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55FDEF">
      <w:pPr>
        <w:widowControl/>
        <w:jc w:val="left"/>
        <w:rPr>
          <w:rFonts w:ascii="仿宋" w:hAnsi="仿宋" w:eastAsia="仿宋_GB2312" w:cs="仿宋"/>
          <w:color w:val="000000"/>
          <w:sz w:val="32"/>
          <w:szCs w:val="32"/>
        </w:rPr>
      </w:pPr>
      <w:bookmarkStart w:id="8" w:name="_GoBack"/>
      <w:bookmarkEnd w:id="8"/>
    </w:p>
    <w:p w14:paraId="3DFB8188">
      <w:pPr>
        <w:spacing w:before="98" w:line="222" w:lineRule="auto"/>
        <w:ind w:left="3764"/>
        <w:outlineLvl w:val="0"/>
        <w:rPr>
          <w:rFonts w:ascii="仿宋" w:hAnsi="仿宋" w:eastAsia="仿宋" w:cs="仿宋"/>
          <w:sz w:val="30"/>
          <w:szCs w:val="30"/>
        </w:rPr>
      </w:pPr>
      <w:bookmarkStart w:id="0" w:name="_Toc8344"/>
      <w:r>
        <w:rPr>
          <w:rFonts w:ascii="仿宋" w:hAnsi="仿宋" w:eastAsia="仿宋" w:cs="仿宋"/>
          <w:spacing w:val="12"/>
          <w:sz w:val="30"/>
          <w:szCs w:val="30"/>
        </w:rPr>
        <w:t>制度履历表</w:t>
      </w:r>
      <w:bookmarkEnd w:id="0"/>
    </w:p>
    <w:p w14:paraId="74A511B9">
      <w:pPr>
        <w:spacing w:before="44"/>
      </w:pPr>
    </w:p>
    <w:tbl>
      <w:tblPr>
        <w:tblStyle w:val="25"/>
        <w:tblW w:w="90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75"/>
        <w:gridCol w:w="1388"/>
        <w:gridCol w:w="539"/>
        <w:gridCol w:w="529"/>
        <w:gridCol w:w="1498"/>
        <w:gridCol w:w="1069"/>
        <w:gridCol w:w="759"/>
        <w:gridCol w:w="2193"/>
      </w:tblGrid>
      <w:tr w14:paraId="008783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3" w:hRule="atLeast"/>
        </w:trPr>
        <w:tc>
          <w:tcPr>
            <w:tcW w:w="1075" w:type="dxa"/>
            <w:vAlign w:val="center"/>
          </w:tcPr>
          <w:p w14:paraId="7BA5E5CE">
            <w:pPr>
              <w:spacing w:line="220" w:lineRule="auto"/>
              <w:jc w:val="center"/>
              <w:rPr>
                <w:rFonts w:ascii="宋体" w:hAnsi="宋体" w:cs="宋体"/>
                <w:sz w:val="22"/>
                <w:szCs w:val="22"/>
              </w:rPr>
            </w:pPr>
            <w:r>
              <w:rPr>
                <w:rFonts w:hint="eastAsia" w:ascii="宋体" w:hAnsi="宋体" w:cs="宋体"/>
                <w:sz w:val="22"/>
                <w:szCs w:val="22"/>
              </w:rPr>
              <w:t>制度名称</w:t>
            </w:r>
          </w:p>
        </w:tc>
        <w:tc>
          <w:tcPr>
            <w:tcW w:w="1388" w:type="dxa"/>
            <w:vAlign w:val="center"/>
          </w:tcPr>
          <w:p w14:paraId="266E1CEE">
            <w:pPr>
              <w:spacing w:line="234" w:lineRule="auto"/>
              <w:jc w:val="center"/>
              <w:rPr>
                <w:rFonts w:ascii="宋体" w:hAnsi="宋体" w:cs="宋体"/>
                <w:spacing w:val="10"/>
                <w:sz w:val="22"/>
                <w:szCs w:val="22"/>
              </w:rPr>
            </w:pPr>
            <w:r>
              <w:rPr>
                <w:rFonts w:ascii="宋体" w:hAnsi="宋体" w:cs="宋体"/>
                <w:spacing w:val="8"/>
                <w:sz w:val="22"/>
                <w:szCs w:val="22"/>
              </w:rPr>
              <w:t>编制(修改)</w:t>
            </w:r>
            <w:r>
              <w:rPr>
                <w:rFonts w:ascii="宋体" w:hAnsi="宋体" w:cs="宋体"/>
                <w:sz w:val="22"/>
                <w:szCs w:val="22"/>
              </w:rPr>
              <w:t xml:space="preserve"> </w:t>
            </w:r>
            <w:r>
              <w:rPr>
                <w:rFonts w:ascii="宋体" w:hAnsi="宋体" w:cs="宋体"/>
                <w:spacing w:val="10"/>
                <w:sz w:val="22"/>
                <w:szCs w:val="22"/>
              </w:rPr>
              <w:t>时间</w:t>
            </w:r>
          </w:p>
        </w:tc>
        <w:tc>
          <w:tcPr>
            <w:tcW w:w="539" w:type="dxa"/>
            <w:textDirection w:val="tbRlV"/>
            <w:vAlign w:val="center"/>
          </w:tcPr>
          <w:p w14:paraId="69588B22">
            <w:pPr>
              <w:spacing w:line="216" w:lineRule="auto"/>
              <w:jc w:val="center"/>
              <w:rPr>
                <w:rFonts w:ascii="宋体" w:hAnsi="宋体" w:cs="宋体"/>
                <w:sz w:val="22"/>
                <w:szCs w:val="22"/>
              </w:rPr>
            </w:pPr>
            <w:r>
              <w:rPr>
                <w:rFonts w:ascii="宋体" w:hAnsi="宋体" w:cs="宋体"/>
                <w:sz w:val="22"/>
                <w:szCs w:val="22"/>
              </w:rPr>
              <w:t>首</w:t>
            </w:r>
            <w:r>
              <w:rPr>
                <w:rFonts w:ascii="宋体" w:hAnsi="宋体" w:cs="宋体"/>
                <w:spacing w:val="-12"/>
                <w:sz w:val="22"/>
                <w:szCs w:val="22"/>
              </w:rPr>
              <w:t xml:space="preserve"> </w:t>
            </w:r>
            <w:r>
              <w:rPr>
                <w:rFonts w:ascii="宋体" w:hAnsi="宋体" w:cs="宋体"/>
                <w:sz w:val="22"/>
                <w:szCs w:val="22"/>
              </w:rPr>
              <w:t>次</w:t>
            </w:r>
            <w:r>
              <w:rPr>
                <w:rFonts w:ascii="宋体" w:hAnsi="宋体" w:cs="宋体"/>
                <w:spacing w:val="-12"/>
                <w:sz w:val="22"/>
                <w:szCs w:val="22"/>
              </w:rPr>
              <w:t xml:space="preserve"> </w:t>
            </w:r>
            <w:r>
              <w:rPr>
                <w:rFonts w:ascii="宋体" w:hAnsi="宋体" w:cs="宋体"/>
                <w:sz w:val="22"/>
                <w:szCs w:val="22"/>
              </w:rPr>
              <w:t>编</w:t>
            </w:r>
            <w:r>
              <w:rPr>
                <w:rFonts w:ascii="宋体" w:hAnsi="宋体" w:cs="宋体"/>
                <w:spacing w:val="-11"/>
                <w:sz w:val="22"/>
                <w:szCs w:val="22"/>
              </w:rPr>
              <w:t xml:space="preserve"> </w:t>
            </w:r>
            <w:r>
              <w:rPr>
                <w:rFonts w:ascii="宋体" w:hAnsi="宋体" w:cs="宋体"/>
                <w:sz w:val="22"/>
                <w:szCs w:val="22"/>
              </w:rPr>
              <w:t>制</w:t>
            </w:r>
          </w:p>
        </w:tc>
        <w:tc>
          <w:tcPr>
            <w:tcW w:w="529" w:type="dxa"/>
            <w:textDirection w:val="tbRlV"/>
            <w:vAlign w:val="center"/>
          </w:tcPr>
          <w:p w14:paraId="04DE8BCB">
            <w:pPr>
              <w:spacing w:line="216" w:lineRule="auto"/>
              <w:jc w:val="center"/>
              <w:rPr>
                <w:rFonts w:ascii="宋体" w:hAnsi="宋体" w:cs="宋体"/>
                <w:sz w:val="22"/>
                <w:szCs w:val="22"/>
              </w:rPr>
            </w:pPr>
            <w:r>
              <w:rPr>
                <w:rFonts w:ascii="宋体" w:hAnsi="宋体" w:cs="宋体"/>
                <w:sz w:val="22"/>
                <w:szCs w:val="22"/>
              </w:rPr>
              <w:t>修 订 编 制</w:t>
            </w:r>
          </w:p>
        </w:tc>
        <w:tc>
          <w:tcPr>
            <w:tcW w:w="1498" w:type="dxa"/>
            <w:vAlign w:val="center"/>
          </w:tcPr>
          <w:p w14:paraId="68A5A88F">
            <w:pPr>
              <w:spacing w:line="219" w:lineRule="auto"/>
              <w:jc w:val="center"/>
              <w:rPr>
                <w:rFonts w:ascii="宋体" w:hAnsi="宋体" w:cs="宋体"/>
                <w:sz w:val="22"/>
                <w:szCs w:val="22"/>
              </w:rPr>
            </w:pPr>
            <w:r>
              <w:rPr>
                <w:rFonts w:ascii="宋体" w:hAnsi="宋体" w:cs="宋体"/>
                <w:spacing w:val="6"/>
                <w:sz w:val="22"/>
                <w:szCs w:val="22"/>
              </w:rPr>
              <w:t>编制部门</w:t>
            </w:r>
          </w:p>
        </w:tc>
        <w:tc>
          <w:tcPr>
            <w:tcW w:w="1069" w:type="dxa"/>
            <w:vAlign w:val="center"/>
          </w:tcPr>
          <w:p w14:paraId="36407088">
            <w:pPr>
              <w:spacing w:line="220" w:lineRule="auto"/>
              <w:jc w:val="center"/>
              <w:rPr>
                <w:rFonts w:ascii="宋体" w:hAnsi="宋体" w:cs="宋体"/>
                <w:sz w:val="22"/>
                <w:szCs w:val="22"/>
              </w:rPr>
            </w:pPr>
            <w:r>
              <w:rPr>
                <w:rFonts w:ascii="宋体" w:hAnsi="宋体" w:cs="宋体"/>
                <w:spacing w:val="4"/>
                <w:sz w:val="22"/>
                <w:szCs w:val="22"/>
              </w:rPr>
              <w:t>审批</w:t>
            </w:r>
          </w:p>
        </w:tc>
        <w:tc>
          <w:tcPr>
            <w:tcW w:w="759" w:type="dxa"/>
            <w:vAlign w:val="center"/>
          </w:tcPr>
          <w:p w14:paraId="6129F18A">
            <w:pPr>
              <w:spacing w:line="220" w:lineRule="auto"/>
              <w:jc w:val="center"/>
              <w:rPr>
                <w:rFonts w:ascii="宋体" w:hAnsi="宋体" w:cs="宋体"/>
                <w:sz w:val="22"/>
                <w:szCs w:val="22"/>
              </w:rPr>
            </w:pPr>
            <w:r>
              <w:rPr>
                <w:rFonts w:ascii="宋体" w:hAnsi="宋体" w:cs="宋体"/>
                <w:spacing w:val="-2"/>
                <w:sz w:val="22"/>
                <w:szCs w:val="22"/>
              </w:rPr>
              <w:t>废止</w:t>
            </w:r>
          </w:p>
        </w:tc>
        <w:tc>
          <w:tcPr>
            <w:tcW w:w="2193" w:type="dxa"/>
            <w:vAlign w:val="center"/>
          </w:tcPr>
          <w:p w14:paraId="212416B3">
            <w:pPr>
              <w:spacing w:line="219" w:lineRule="auto"/>
              <w:jc w:val="center"/>
              <w:rPr>
                <w:rFonts w:ascii="宋体" w:hAnsi="宋体" w:cs="宋体"/>
                <w:sz w:val="22"/>
                <w:szCs w:val="22"/>
              </w:rPr>
            </w:pPr>
            <w:r>
              <w:rPr>
                <w:rFonts w:ascii="宋体" w:hAnsi="宋体" w:cs="宋体"/>
                <w:spacing w:val="6"/>
                <w:sz w:val="22"/>
                <w:szCs w:val="22"/>
              </w:rPr>
              <w:t>编号</w:t>
            </w:r>
          </w:p>
        </w:tc>
      </w:tr>
      <w:tr w14:paraId="6EDEE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075" w:type="dxa"/>
            <w:vMerge w:val="restart"/>
            <w:tcBorders>
              <w:bottom w:val="nil"/>
            </w:tcBorders>
            <w:vAlign w:val="center"/>
          </w:tcPr>
          <w:p w14:paraId="69BF5CDC">
            <w:pPr>
              <w:pStyle w:val="24"/>
              <w:spacing w:line="248" w:lineRule="auto"/>
              <w:jc w:val="center"/>
              <w:rPr>
                <w:rFonts w:ascii="宋体" w:hAnsi="宋体" w:eastAsia="宋体" w:cs="宋体"/>
                <w:spacing w:val="-3"/>
                <w:sz w:val="22"/>
                <w:szCs w:val="22"/>
                <w:lang w:eastAsia="zh-CN"/>
              </w:rPr>
            </w:pPr>
            <w:r>
              <w:rPr>
                <w:rFonts w:hint="eastAsia" w:ascii="宋体" w:hAnsi="宋体" w:eastAsia="宋体" w:cs="宋体"/>
                <w:spacing w:val="-3"/>
                <w:sz w:val="22"/>
                <w:szCs w:val="22"/>
                <w:lang w:eastAsia="zh-CN"/>
              </w:rPr>
              <w:t xml:space="preserve">九洲集团科工园区能源使用 </w:t>
            </w:r>
          </w:p>
          <w:p w14:paraId="6D5A6120">
            <w:pPr>
              <w:spacing w:line="219" w:lineRule="auto"/>
              <w:ind w:hanging="219"/>
              <w:jc w:val="center"/>
              <w:rPr>
                <w:rFonts w:ascii="宋体" w:hAnsi="宋体" w:cs="宋体"/>
                <w:sz w:val="22"/>
                <w:szCs w:val="22"/>
              </w:rPr>
            </w:pPr>
            <w:r>
              <w:rPr>
                <w:rFonts w:hint="eastAsia" w:ascii="宋体" w:hAnsi="宋体" w:cs="宋体"/>
                <w:spacing w:val="-3"/>
                <w:sz w:val="22"/>
                <w:szCs w:val="22"/>
              </w:rPr>
              <w:t xml:space="preserve">  管理规范</w:t>
            </w:r>
          </w:p>
        </w:tc>
        <w:tc>
          <w:tcPr>
            <w:tcW w:w="1388" w:type="dxa"/>
            <w:vAlign w:val="center"/>
          </w:tcPr>
          <w:p w14:paraId="3F4D01EF">
            <w:pPr>
              <w:spacing w:line="219" w:lineRule="auto"/>
              <w:jc w:val="center"/>
              <w:rPr>
                <w:rFonts w:ascii="宋体" w:hAnsi="宋体" w:cs="宋体"/>
                <w:sz w:val="22"/>
                <w:szCs w:val="22"/>
              </w:rPr>
            </w:pPr>
            <w:r>
              <w:rPr>
                <w:rFonts w:ascii="宋体" w:hAnsi="宋体" w:cs="宋体"/>
                <w:spacing w:val="1"/>
                <w:sz w:val="22"/>
                <w:szCs w:val="22"/>
              </w:rPr>
              <w:t>2024年</w:t>
            </w:r>
          </w:p>
        </w:tc>
        <w:tc>
          <w:tcPr>
            <w:tcW w:w="539" w:type="dxa"/>
            <w:vAlign w:val="center"/>
          </w:tcPr>
          <w:p w14:paraId="08500AAA">
            <w:pPr>
              <w:spacing w:line="238" w:lineRule="auto"/>
              <w:jc w:val="center"/>
              <w:rPr>
                <w:rFonts w:ascii="宋体" w:hAnsi="宋体" w:cs="宋体"/>
                <w:sz w:val="22"/>
                <w:szCs w:val="22"/>
              </w:rPr>
            </w:pPr>
            <w:r>
              <w:rPr>
                <w:rFonts w:ascii="宋体" w:hAnsi="宋体" w:cs="宋体"/>
                <w:sz w:val="22"/>
                <w:szCs w:val="22"/>
              </w:rPr>
              <w:t>√</w:t>
            </w:r>
          </w:p>
        </w:tc>
        <w:tc>
          <w:tcPr>
            <w:tcW w:w="529" w:type="dxa"/>
            <w:vAlign w:val="center"/>
          </w:tcPr>
          <w:p w14:paraId="01B5D143">
            <w:pPr>
              <w:pStyle w:val="24"/>
              <w:jc w:val="center"/>
            </w:pPr>
          </w:p>
        </w:tc>
        <w:tc>
          <w:tcPr>
            <w:tcW w:w="1498" w:type="dxa"/>
            <w:vAlign w:val="center"/>
          </w:tcPr>
          <w:p w14:paraId="37299EFA">
            <w:pPr>
              <w:spacing w:line="230" w:lineRule="auto"/>
              <w:jc w:val="center"/>
              <w:rPr>
                <w:rFonts w:ascii="宋体" w:hAnsi="宋体" w:cs="宋体"/>
                <w:sz w:val="22"/>
                <w:szCs w:val="22"/>
              </w:rPr>
            </w:pPr>
            <w:r>
              <w:rPr>
                <w:rFonts w:hint="eastAsia" w:ascii="宋体" w:hAnsi="宋体" w:cs="宋体"/>
                <w:sz w:val="22"/>
                <w:szCs w:val="22"/>
              </w:rPr>
              <w:t>园区服务中心</w:t>
            </w:r>
          </w:p>
        </w:tc>
        <w:tc>
          <w:tcPr>
            <w:tcW w:w="1069" w:type="dxa"/>
            <w:vAlign w:val="center"/>
          </w:tcPr>
          <w:p w14:paraId="52C4BA08">
            <w:pPr>
              <w:spacing w:line="221" w:lineRule="auto"/>
              <w:jc w:val="center"/>
              <w:rPr>
                <w:rFonts w:ascii="宋体" w:hAnsi="宋体" w:cs="宋体"/>
                <w:sz w:val="22"/>
                <w:szCs w:val="22"/>
              </w:rPr>
            </w:pPr>
            <w:r>
              <w:rPr>
                <w:rFonts w:hint="eastAsia" w:ascii="宋体" w:hAnsi="宋体" w:cs="宋体"/>
                <w:spacing w:val="3"/>
                <w:sz w:val="22"/>
                <w:szCs w:val="22"/>
              </w:rPr>
              <w:t>总经理</w:t>
            </w:r>
          </w:p>
        </w:tc>
        <w:tc>
          <w:tcPr>
            <w:tcW w:w="759" w:type="dxa"/>
            <w:vAlign w:val="center"/>
          </w:tcPr>
          <w:p w14:paraId="6021B440">
            <w:pPr>
              <w:pStyle w:val="24"/>
              <w:jc w:val="center"/>
            </w:pPr>
          </w:p>
        </w:tc>
        <w:tc>
          <w:tcPr>
            <w:tcW w:w="2193" w:type="dxa"/>
            <w:vAlign w:val="center"/>
          </w:tcPr>
          <w:p w14:paraId="080CD1F2">
            <w:pPr>
              <w:spacing w:line="183" w:lineRule="auto"/>
              <w:jc w:val="center"/>
              <w:rPr>
                <w:rFonts w:ascii="宋体" w:hAnsi="宋体" w:cs="宋体"/>
                <w:sz w:val="22"/>
                <w:szCs w:val="22"/>
              </w:rPr>
            </w:pPr>
            <w:r>
              <w:rPr>
                <w:rFonts w:hint="eastAsia" w:ascii="宋体" w:hAnsi="宋体" w:cs="宋体"/>
                <w:sz w:val="22"/>
                <w:szCs w:val="22"/>
              </w:rPr>
              <w:t>XXXXXXXX</w:t>
            </w:r>
          </w:p>
        </w:tc>
      </w:tr>
      <w:tr w14:paraId="2B54BB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8" w:hRule="atLeast"/>
        </w:trPr>
        <w:tc>
          <w:tcPr>
            <w:tcW w:w="1075" w:type="dxa"/>
            <w:vMerge w:val="continue"/>
            <w:tcBorders>
              <w:top w:val="nil"/>
              <w:bottom w:val="nil"/>
            </w:tcBorders>
          </w:tcPr>
          <w:p w14:paraId="78D57785">
            <w:pPr>
              <w:pStyle w:val="24"/>
              <w:jc w:val="left"/>
            </w:pPr>
          </w:p>
        </w:tc>
        <w:tc>
          <w:tcPr>
            <w:tcW w:w="7975" w:type="dxa"/>
            <w:gridSpan w:val="7"/>
          </w:tcPr>
          <w:p w14:paraId="3057349C">
            <w:pPr>
              <w:pStyle w:val="24"/>
              <w:jc w:val="left"/>
              <w:rPr>
                <w:rFonts w:eastAsia="宋体"/>
                <w:lang w:eastAsia="zh-CN"/>
              </w:rPr>
            </w:pPr>
            <w:r>
              <w:rPr>
                <w:rFonts w:hint="eastAsia" w:eastAsia="宋体"/>
                <w:lang w:eastAsia="zh-CN"/>
              </w:rPr>
              <w:t>说明：</w:t>
            </w:r>
          </w:p>
          <w:p w14:paraId="1C8A11ED">
            <w:pPr>
              <w:pStyle w:val="24"/>
              <w:jc w:val="left"/>
              <w:rPr>
                <w:rFonts w:eastAsia="宋体"/>
                <w:lang w:eastAsia="zh-CN"/>
              </w:rPr>
            </w:pPr>
            <w:r>
              <w:rPr>
                <w:rFonts w:hint="eastAsia" w:eastAsia="宋体"/>
                <w:lang w:eastAsia="zh-CN"/>
              </w:rPr>
              <w:t>1.规范园区用能管理，提高利用率，降低运营成本。</w:t>
            </w:r>
          </w:p>
          <w:p w14:paraId="77DE6EFC">
            <w:pPr>
              <w:pStyle w:val="24"/>
              <w:jc w:val="left"/>
              <w:rPr>
                <w:rFonts w:eastAsia="宋体"/>
                <w:lang w:eastAsia="zh-CN"/>
              </w:rPr>
            </w:pPr>
            <w:r>
              <w:rPr>
                <w:rFonts w:hint="eastAsia" w:eastAsia="宋体"/>
                <w:lang w:eastAsia="zh-CN"/>
              </w:rPr>
              <w:t>2.根据九洲集团科技工业园区能源管理现状，结合原机动能源部下发的《空调使用管理办法》《能源管理考核细则》《公共用能管理办法》等能源管理相关制度文件，综合、优化后形成，明确各职能部门、产业公司职责及节约用能、安全用能规范。</w:t>
            </w:r>
          </w:p>
        </w:tc>
      </w:tr>
      <w:tr w14:paraId="163E90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075" w:type="dxa"/>
            <w:vMerge w:val="continue"/>
            <w:tcBorders>
              <w:top w:val="nil"/>
              <w:bottom w:val="nil"/>
            </w:tcBorders>
          </w:tcPr>
          <w:p w14:paraId="6C9A8A2B">
            <w:pPr>
              <w:pStyle w:val="24"/>
              <w:rPr>
                <w:lang w:eastAsia="zh-CN"/>
              </w:rPr>
            </w:pPr>
          </w:p>
        </w:tc>
        <w:tc>
          <w:tcPr>
            <w:tcW w:w="1388" w:type="dxa"/>
            <w:vAlign w:val="center"/>
          </w:tcPr>
          <w:p w14:paraId="7FB37686">
            <w:pPr>
              <w:pStyle w:val="24"/>
              <w:jc w:val="center"/>
              <w:rPr>
                <w:lang w:eastAsia="zh-CN"/>
              </w:rPr>
            </w:pPr>
          </w:p>
        </w:tc>
        <w:tc>
          <w:tcPr>
            <w:tcW w:w="539" w:type="dxa"/>
            <w:vAlign w:val="center"/>
          </w:tcPr>
          <w:p w14:paraId="22D6E9E5">
            <w:pPr>
              <w:pStyle w:val="24"/>
              <w:jc w:val="center"/>
              <w:rPr>
                <w:lang w:eastAsia="zh-CN"/>
              </w:rPr>
            </w:pPr>
          </w:p>
        </w:tc>
        <w:tc>
          <w:tcPr>
            <w:tcW w:w="529" w:type="dxa"/>
            <w:vAlign w:val="center"/>
          </w:tcPr>
          <w:p w14:paraId="29D7A95E">
            <w:pPr>
              <w:pStyle w:val="24"/>
              <w:jc w:val="center"/>
              <w:rPr>
                <w:lang w:eastAsia="zh-CN"/>
              </w:rPr>
            </w:pPr>
          </w:p>
        </w:tc>
        <w:tc>
          <w:tcPr>
            <w:tcW w:w="1498" w:type="dxa"/>
            <w:vAlign w:val="center"/>
          </w:tcPr>
          <w:p w14:paraId="5189574F">
            <w:pPr>
              <w:pStyle w:val="24"/>
              <w:jc w:val="center"/>
              <w:rPr>
                <w:lang w:eastAsia="zh-CN"/>
              </w:rPr>
            </w:pPr>
          </w:p>
        </w:tc>
        <w:tc>
          <w:tcPr>
            <w:tcW w:w="1069" w:type="dxa"/>
            <w:vAlign w:val="center"/>
          </w:tcPr>
          <w:p w14:paraId="1CE75B93">
            <w:pPr>
              <w:pStyle w:val="24"/>
              <w:jc w:val="center"/>
              <w:rPr>
                <w:lang w:eastAsia="zh-CN"/>
              </w:rPr>
            </w:pPr>
          </w:p>
        </w:tc>
        <w:tc>
          <w:tcPr>
            <w:tcW w:w="759" w:type="dxa"/>
            <w:vAlign w:val="center"/>
          </w:tcPr>
          <w:p w14:paraId="72B0E320">
            <w:pPr>
              <w:pStyle w:val="24"/>
              <w:jc w:val="center"/>
              <w:rPr>
                <w:lang w:eastAsia="zh-CN"/>
              </w:rPr>
            </w:pPr>
          </w:p>
        </w:tc>
        <w:tc>
          <w:tcPr>
            <w:tcW w:w="2193" w:type="dxa"/>
            <w:vAlign w:val="center"/>
          </w:tcPr>
          <w:p w14:paraId="070642D5">
            <w:pPr>
              <w:pStyle w:val="24"/>
              <w:jc w:val="center"/>
              <w:rPr>
                <w:lang w:eastAsia="zh-CN"/>
              </w:rPr>
            </w:pPr>
          </w:p>
        </w:tc>
      </w:tr>
      <w:tr w14:paraId="09207A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8" w:hRule="atLeast"/>
        </w:trPr>
        <w:tc>
          <w:tcPr>
            <w:tcW w:w="1075" w:type="dxa"/>
            <w:vMerge w:val="continue"/>
            <w:tcBorders>
              <w:top w:val="nil"/>
              <w:bottom w:val="nil"/>
            </w:tcBorders>
          </w:tcPr>
          <w:p w14:paraId="79446932">
            <w:pPr>
              <w:pStyle w:val="24"/>
              <w:rPr>
                <w:lang w:eastAsia="zh-CN"/>
              </w:rPr>
            </w:pPr>
          </w:p>
        </w:tc>
        <w:tc>
          <w:tcPr>
            <w:tcW w:w="7975" w:type="dxa"/>
            <w:gridSpan w:val="7"/>
            <w:vAlign w:val="center"/>
          </w:tcPr>
          <w:p w14:paraId="508493A1">
            <w:pPr>
              <w:pStyle w:val="24"/>
              <w:jc w:val="center"/>
              <w:rPr>
                <w:lang w:eastAsia="zh-CN"/>
              </w:rPr>
            </w:pPr>
          </w:p>
        </w:tc>
      </w:tr>
      <w:tr w14:paraId="77A94F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75" w:type="dxa"/>
            <w:vMerge w:val="continue"/>
            <w:tcBorders>
              <w:top w:val="nil"/>
              <w:bottom w:val="nil"/>
            </w:tcBorders>
          </w:tcPr>
          <w:p w14:paraId="3DF73A83">
            <w:pPr>
              <w:pStyle w:val="24"/>
              <w:rPr>
                <w:lang w:eastAsia="zh-CN"/>
              </w:rPr>
            </w:pPr>
          </w:p>
        </w:tc>
        <w:tc>
          <w:tcPr>
            <w:tcW w:w="1388" w:type="dxa"/>
            <w:vAlign w:val="center"/>
          </w:tcPr>
          <w:p w14:paraId="508C7BBF">
            <w:pPr>
              <w:pStyle w:val="24"/>
              <w:jc w:val="center"/>
              <w:rPr>
                <w:lang w:eastAsia="zh-CN"/>
              </w:rPr>
            </w:pPr>
          </w:p>
        </w:tc>
        <w:tc>
          <w:tcPr>
            <w:tcW w:w="539" w:type="dxa"/>
            <w:vAlign w:val="center"/>
          </w:tcPr>
          <w:p w14:paraId="38742528">
            <w:pPr>
              <w:pStyle w:val="24"/>
              <w:jc w:val="center"/>
              <w:rPr>
                <w:lang w:eastAsia="zh-CN"/>
              </w:rPr>
            </w:pPr>
          </w:p>
        </w:tc>
        <w:tc>
          <w:tcPr>
            <w:tcW w:w="529" w:type="dxa"/>
            <w:vAlign w:val="center"/>
          </w:tcPr>
          <w:p w14:paraId="5AC2300B">
            <w:pPr>
              <w:pStyle w:val="24"/>
              <w:jc w:val="center"/>
              <w:rPr>
                <w:lang w:eastAsia="zh-CN"/>
              </w:rPr>
            </w:pPr>
          </w:p>
        </w:tc>
        <w:tc>
          <w:tcPr>
            <w:tcW w:w="1498" w:type="dxa"/>
            <w:vAlign w:val="center"/>
          </w:tcPr>
          <w:p w14:paraId="66B9FEE5">
            <w:pPr>
              <w:pStyle w:val="24"/>
              <w:jc w:val="center"/>
              <w:rPr>
                <w:lang w:eastAsia="zh-CN"/>
              </w:rPr>
            </w:pPr>
          </w:p>
        </w:tc>
        <w:tc>
          <w:tcPr>
            <w:tcW w:w="1069" w:type="dxa"/>
            <w:vAlign w:val="center"/>
          </w:tcPr>
          <w:p w14:paraId="08747C6C">
            <w:pPr>
              <w:pStyle w:val="24"/>
              <w:jc w:val="center"/>
              <w:rPr>
                <w:lang w:eastAsia="zh-CN"/>
              </w:rPr>
            </w:pPr>
          </w:p>
        </w:tc>
        <w:tc>
          <w:tcPr>
            <w:tcW w:w="759" w:type="dxa"/>
            <w:vAlign w:val="center"/>
          </w:tcPr>
          <w:p w14:paraId="77D5FDEB">
            <w:pPr>
              <w:pStyle w:val="24"/>
              <w:jc w:val="center"/>
              <w:rPr>
                <w:lang w:eastAsia="zh-CN"/>
              </w:rPr>
            </w:pPr>
          </w:p>
        </w:tc>
        <w:tc>
          <w:tcPr>
            <w:tcW w:w="2193" w:type="dxa"/>
            <w:vAlign w:val="center"/>
          </w:tcPr>
          <w:p w14:paraId="677B1389">
            <w:pPr>
              <w:pStyle w:val="24"/>
              <w:jc w:val="center"/>
              <w:rPr>
                <w:lang w:eastAsia="zh-CN"/>
              </w:rPr>
            </w:pPr>
          </w:p>
        </w:tc>
      </w:tr>
      <w:tr w14:paraId="4BCEF9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32" w:hRule="atLeast"/>
        </w:trPr>
        <w:tc>
          <w:tcPr>
            <w:tcW w:w="1075" w:type="dxa"/>
            <w:vMerge w:val="continue"/>
            <w:tcBorders>
              <w:top w:val="nil"/>
            </w:tcBorders>
          </w:tcPr>
          <w:p w14:paraId="35618E30">
            <w:pPr>
              <w:pStyle w:val="24"/>
              <w:rPr>
                <w:lang w:eastAsia="zh-CN"/>
              </w:rPr>
            </w:pPr>
          </w:p>
        </w:tc>
        <w:tc>
          <w:tcPr>
            <w:tcW w:w="7975" w:type="dxa"/>
            <w:gridSpan w:val="7"/>
            <w:vAlign w:val="center"/>
          </w:tcPr>
          <w:p w14:paraId="7A989D14">
            <w:pPr>
              <w:pStyle w:val="24"/>
              <w:jc w:val="center"/>
              <w:rPr>
                <w:lang w:eastAsia="zh-CN"/>
              </w:rPr>
            </w:pPr>
          </w:p>
        </w:tc>
      </w:tr>
    </w:tbl>
    <w:p w14:paraId="736EF4E3">
      <w:pPr>
        <w:adjustRightInd w:val="0"/>
        <w:spacing w:line="560" w:lineRule="exact"/>
        <w:rPr>
          <w:rFonts w:ascii="仿宋" w:hAnsi="仿宋" w:eastAsia="仿宋_GB2312" w:cs="仿宋"/>
          <w:color w:val="000000"/>
          <w:sz w:val="32"/>
          <w:szCs w:val="32"/>
        </w:rPr>
        <w:sectPr>
          <w:headerReference r:id="rId5" w:type="first"/>
          <w:headerReference r:id="rId4" w:type="default"/>
          <w:footerReference r:id="rId6" w:type="default"/>
          <w:pgSz w:w="11907" w:h="16800"/>
          <w:pgMar w:top="2098" w:right="1474" w:bottom="1984" w:left="1587" w:header="737" w:footer="1134" w:gutter="0"/>
          <w:cols w:space="720" w:num="1"/>
          <w:titlePg/>
          <w:docGrid w:type="lines" w:linePitch="312" w:charSpace="0"/>
        </w:sectPr>
      </w:pPr>
    </w:p>
    <w:p w14:paraId="2FFEC571">
      <w:pPr>
        <w:adjustRightInd w:val="0"/>
        <w:spacing w:line="560" w:lineRule="exact"/>
        <w:ind w:firstLine="3840" w:firstLineChars="1200"/>
        <w:rPr>
          <w:rFonts w:hint="eastAsia" w:ascii="仿宋" w:hAnsi="仿宋" w:eastAsia="仿宋_GB2312" w:cs="仿宋"/>
          <w:color w:val="000000"/>
          <w:sz w:val="32"/>
          <w:szCs w:val="32"/>
          <w:lang w:val="en-US" w:eastAsia="zh-CN"/>
        </w:rPr>
      </w:pPr>
    </w:p>
    <w:p w14:paraId="2D585A78">
      <w:pPr>
        <w:adjustRightInd w:val="0"/>
        <w:spacing w:line="560" w:lineRule="exact"/>
        <w:ind w:firstLine="3840" w:firstLineChars="1200"/>
        <w:rPr>
          <w:rFonts w:hint="eastAsia" w:ascii="仿宋" w:hAnsi="仿宋" w:eastAsia="仿宋_GB2312" w:cs="仿宋"/>
          <w:color w:val="000000"/>
          <w:sz w:val="32"/>
          <w:szCs w:val="32"/>
          <w:lang w:val="en-US" w:eastAsia="zh-CN"/>
        </w:rPr>
      </w:pPr>
    </w:p>
    <w:p w14:paraId="15A76441">
      <w:pPr>
        <w:adjustRightInd w:val="0"/>
        <w:spacing w:line="560" w:lineRule="exact"/>
        <w:ind w:firstLine="3840" w:firstLineChars="1200"/>
        <w:rPr>
          <w:rFonts w:hint="eastAsia" w:ascii="仿宋" w:hAnsi="仿宋" w:eastAsia="仿宋_GB2312" w:cs="仿宋"/>
          <w:color w:val="000000"/>
          <w:sz w:val="32"/>
          <w:szCs w:val="32"/>
          <w:lang w:val="en-US" w:eastAsia="zh-CN"/>
        </w:rPr>
      </w:pPr>
    </w:p>
    <w:p w14:paraId="0E11F6A2">
      <w:pPr>
        <w:adjustRightInd w:val="0"/>
        <w:spacing w:line="560" w:lineRule="exact"/>
        <w:ind w:firstLine="3840" w:firstLineChars="1200"/>
        <w:rPr>
          <w:rFonts w:hint="eastAsia" w:ascii="仿宋" w:hAnsi="仿宋" w:eastAsia="仿宋_GB2312" w:cs="仿宋"/>
          <w:color w:val="000000"/>
          <w:sz w:val="32"/>
          <w:szCs w:val="32"/>
          <w:lang w:val="en-US" w:eastAsia="zh-CN"/>
        </w:rPr>
      </w:pPr>
    </w:p>
    <w:p w14:paraId="25107F51">
      <w:pPr>
        <w:adjustRightInd w:val="0"/>
        <w:spacing w:line="560" w:lineRule="exact"/>
        <w:ind w:firstLine="3840" w:firstLineChars="1200"/>
        <w:rPr>
          <w:rFonts w:hint="eastAsia" w:ascii="仿宋" w:hAnsi="仿宋" w:eastAsia="仿宋_GB2312" w:cs="仿宋"/>
          <w:color w:val="000000"/>
          <w:sz w:val="32"/>
          <w:szCs w:val="32"/>
          <w:lang w:val="en-US" w:eastAsia="zh-CN"/>
        </w:rPr>
      </w:pPr>
      <w:r>
        <w:rPr>
          <w:rFonts w:hint="eastAsia" w:ascii="仿宋" w:hAnsi="仿宋" w:eastAsia="仿宋_GB2312" w:cs="仿宋"/>
          <w:color w:val="000000"/>
          <w:sz w:val="32"/>
          <w:szCs w:val="32"/>
          <w:lang w:val="en-US" w:eastAsia="zh-CN"/>
        </w:rPr>
        <w:t>目录</w:t>
      </w:r>
    </w:p>
    <w:p w14:paraId="3BB0C142">
      <w:pPr>
        <w:adjustRightInd w:val="0"/>
        <w:spacing w:line="560" w:lineRule="exact"/>
        <w:ind w:firstLine="3840" w:firstLineChars="1200"/>
        <w:rPr>
          <w:rFonts w:hint="eastAsia" w:ascii="仿宋" w:hAnsi="仿宋" w:eastAsia="仿宋_GB2312" w:cs="仿宋"/>
          <w:color w:val="000000"/>
          <w:sz w:val="32"/>
          <w:szCs w:val="32"/>
          <w:lang w:val="en-US" w:eastAsia="zh-CN"/>
        </w:rPr>
      </w:pPr>
    </w:p>
    <w:p w14:paraId="6FD3A2DB">
      <w:pPr>
        <w:pStyle w:val="11"/>
        <w:tabs>
          <w:tab w:val="right" w:leader="dot" w:pos="8846"/>
        </w:tabs>
        <w:spacing w:line="480" w:lineRule="auto"/>
        <w:rPr>
          <w:rFonts w:hint="default" w:ascii="仿宋" w:hAnsi="仿宋" w:eastAsia="仿宋" w:cs="仿宋"/>
          <w:sz w:val="32"/>
          <w:szCs w:val="32"/>
          <w:lang w:val="en-US"/>
        </w:rPr>
      </w:pPr>
      <w:r>
        <w:rPr>
          <w:rFonts w:hint="eastAsia" w:ascii="仿宋" w:hAnsi="仿宋" w:eastAsia="仿宋" w:cs="仿宋"/>
          <w:color w:val="000000"/>
          <w:sz w:val="32"/>
          <w:szCs w:val="32"/>
          <w:lang w:val="en-US" w:eastAsia="zh-CN"/>
        </w:rPr>
        <w:fldChar w:fldCharType="begin"/>
      </w:r>
      <w:r>
        <w:rPr>
          <w:rFonts w:hint="eastAsia" w:ascii="仿宋" w:hAnsi="仿宋" w:eastAsia="仿宋" w:cs="仿宋"/>
          <w:color w:val="000000"/>
          <w:sz w:val="32"/>
          <w:szCs w:val="32"/>
          <w:lang w:val="en-US" w:eastAsia="zh-CN"/>
        </w:rPr>
        <w:instrText xml:space="preserve">TOC \o "1-1" \h \u </w:instrText>
      </w:r>
      <w:r>
        <w:rPr>
          <w:rFonts w:hint="eastAsia" w:ascii="仿宋" w:hAnsi="仿宋" w:eastAsia="仿宋" w:cs="仿宋"/>
          <w:color w:val="000000"/>
          <w:sz w:val="32"/>
          <w:szCs w:val="32"/>
          <w:lang w:val="en-US" w:eastAsia="zh-CN"/>
        </w:rPr>
        <w:fldChar w:fldCharType="separate"/>
      </w:r>
      <w:r>
        <w:rPr>
          <w:rFonts w:hint="eastAsia" w:ascii="仿宋" w:hAnsi="仿宋" w:eastAsia="仿宋" w:cs="仿宋"/>
          <w:color w:val="000000"/>
          <w:sz w:val="32"/>
          <w:szCs w:val="32"/>
          <w:lang w:val="en-US" w:eastAsia="zh-CN"/>
        </w:rPr>
        <w:fldChar w:fldCharType="begin"/>
      </w:r>
      <w:r>
        <w:rPr>
          <w:rFonts w:hint="eastAsia" w:ascii="仿宋" w:hAnsi="仿宋" w:eastAsia="仿宋" w:cs="仿宋"/>
          <w:sz w:val="32"/>
          <w:szCs w:val="32"/>
          <w:lang w:val="en-US" w:eastAsia="zh-CN"/>
        </w:rPr>
        <w:instrText xml:space="preserve"> HYPERLINK \l _Toc16051 </w:instrText>
      </w:r>
      <w:r>
        <w:rPr>
          <w:rFonts w:hint="eastAsia" w:ascii="仿宋" w:hAnsi="仿宋" w:eastAsia="仿宋" w:cs="仿宋"/>
          <w:sz w:val="32"/>
          <w:szCs w:val="32"/>
          <w:lang w:val="en-US" w:eastAsia="zh-CN"/>
        </w:rPr>
        <w:fldChar w:fldCharType="separate"/>
      </w:r>
      <w:r>
        <w:rPr>
          <w:rFonts w:hint="eastAsia" w:ascii="仿宋" w:hAnsi="仿宋" w:eastAsia="仿宋" w:cs="仿宋"/>
          <w:sz w:val="32"/>
          <w:szCs w:val="32"/>
        </w:rPr>
        <w:t>第一章 目的和范围</w:t>
      </w:r>
      <w:r>
        <w:rPr>
          <w:rFonts w:hint="eastAsia" w:ascii="仿宋" w:hAnsi="仿宋" w:eastAsia="仿宋" w:cs="仿宋"/>
          <w:sz w:val="32"/>
          <w:szCs w:val="32"/>
        </w:rPr>
        <w:tab/>
      </w:r>
      <w:r>
        <w:rPr>
          <w:rFonts w:hint="eastAsia" w:ascii="仿宋" w:hAnsi="仿宋" w:eastAsia="仿宋" w:cs="仿宋"/>
          <w:sz w:val="32"/>
          <w:szCs w:val="32"/>
          <w:lang w:val="en-US" w:eastAsia="zh-CN"/>
        </w:rPr>
        <w:t>-</w:t>
      </w:r>
      <w:r>
        <w:rPr>
          <w:rFonts w:hint="eastAsia" w:ascii="仿宋" w:hAnsi="仿宋" w:eastAsia="仿宋" w:cs="仿宋"/>
          <w:color w:val="000000"/>
          <w:sz w:val="32"/>
          <w:szCs w:val="32"/>
          <w:lang w:val="en-US" w:eastAsia="zh-CN"/>
        </w:rPr>
        <w:fldChar w:fldCharType="end"/>
      </w:r>
      <w:r>
        <w:rPr>
          <w:rFonts w:hint="eastAsia" w:ascii="仿宋" w:hAnsi="仿宋" w:eastAsia="仿宋" w:cs="仿宋"/>
          <w:color w:val="000000"/>
          <w:sz w:val="32"/>
          <w:szCs w:val="32"/>
          <w:lang w:val="en-US" w:eastAsia="zh-CN"/>
        </w:rPr>
        <w:t>1-</w:t>
      </w:r>
    </w:p>
    <w:p w14:paraId="654CCB5D">
      <w:pPr>
        <w:pStyle w:val="11"/>
        <w:tabs>
          <w:tab w:val="right" w:leader="dot" w:pos="8846"/>
        </w:tabs>
        <w:spacing w:line="480" w:lineRule="auto"/>
        <w:rPr>
          <w:rFonts w:hint="default" w:ascii="仿宋" w:hAnsi="仿宋" w:eastAsia="仿宋" w:cs="仿宋"/>
          <w:sz w:val="32"/>
          <w:szCs w:val="32"/>
          <w:lang w:val="en-US"/>
        </w:rPr>
      </w:pPr>
      <w:r>
        <w:rPr>
          <w:rFonts w:hint="eastAsia" w:ascii="仿宋" w:hAnsi="仿宋" w:eastAsia="仿宋" w:cs="仿宋"/>
          <w:color w:val="000000"/>
          <w:sz w:val="32"/>
          <w:szCs w:val="32"/>
          <w:lang w:val="en-US" w:eastAsia="zh-CN"/>
        </w:rPr>
        <w:fldChar w:fldCharType="begin"/>
      </w:r>
      <w:r>
        <w:rPr>
          <w:rFonts w:hint="eastAsia" w:ascii="仿宋" w:hAnsi="仿宋" w:eastAsia="仿宋" w:cs="仿宋"/>
          <w:sz w:val="32"/>
          <w:szCs w:val="32"/>
          <w:lang w:val="en-US" w:eastAsia="zh-CN"/>
        </w:rPr>
        <w:instrText xml:space="preserve"> HYPERLINK \l _Toc4860 </w:instrText>
      </w:r>
      <w:r>
        <w:rPr>
          <w:rFonts w:hint="eastAsia" w:ascii="仿宋" w:hAnsi="仿宋" w:eastAsia="仿宋" w:cs="仿宋"/>
          <w:sz w:val="32"/>
          <w:szCs w:val="32"/>
          <w:lang w:val="en-US" w:eastAsia="zh-CN"/>
        </w:rPr>
        <w:fldChar w:fldCharType="separate"/>
      </w:r>
      <w:r>
        <w:rPr>
          <w:rFonts w:hint="eastAsia" w:ascii="仿宋" w:hAnsi="仿宋" w:eastAsia="仿宋" w:cs="仿宋"/>
          <w:sz w:val="32"/>
          <w:szCs w:val="32"/>
        </w:rPr>
        <w:t>第二章 组织与职责</w:t>
      </w:r>
      <w:r>
        <w:rPr>
          <w:rFonts w:hint="eastAsia" w:ascii="仿宋" w:hAnsi="仿宋" w:eastAsia="仿宋" w:cs="仿宋"/>
          <w:sz w:val="32"/>
          <w:szCs w:val="32"/>
        </w:rPr>
        <w:tab/>
      </w:r>
      <w:r>
        <w:rPr>
          <w:rFonts w:hint="eastAsia" w:ascii="仿宋" w:hAnsi="仿宋" w:eastAsia="仿宋" w:cs="仿宋"/>
          <w:sz w:val="32"/>
          <w:szCs w:val="32"/>
          <w:lang w:val="en-US" w:eastAsia="zh-CN"/>
        </w:rPr>
        <w:t>-</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_Toc4860 \h </w:instrText>
      </w:r>
      <w:r>
        <w:rPr>
          <w:rFonts w:hint="eastAsia" w:ascii="仿宋" w:hAnsi="仿宋" w:eastAsia="仿宋" w:cs="仿宋"/>
          <w:sz w:val="32"/>
          <w:szCs w:val="32"/>
        </w:rPr>
        <w:fldChar w:fldCharType="separate"/>
      </w:r>
      <w:r>
        <w:rPr>
          <w:rFonts w:hint="eastAsia" w:ascii="仿宋" w:hAnsi="仿宋" w:eastAsia="仿宋" w:cs="仿宋"/>
          <w:sz w:val="32"/>
          <w:szCs w:val="32"/>
        </w:rPr>
        <w:t>1</w:t>
      </w:r>
      <w:r>
        <w:rPr>
          <w:rFonts w:hint="eastAsia" w:ascii="仿宋" w:hAnsi="仿宋" w:eastAsia="仿宋" w:cs="仿宋"/>
          <w:sz w:val="32"/>
          <w:szCs w:val="32"/>
        </w:rPr>
        <w:fldChar w:fldCharType="end"/>
      </w:r>
      <w:r>
        <w:rPr>
          <w:rFonts w:hint="eastAsia" w:ascii="仿宋" w:hAnsi="仿宋" w:eastAsia="仿宋" w:cs="仿宋"/>
          <w:color w:val="000000"/>
          <w:sz w:val="32"/>
          <w:szCs w:val="32"/>
          <w:lang w:val="en-US" w:eastAsia="zh-CN"/>
        </w:rPr>
        <w:fldChar w:fldCharType="end"/>
      </w:r>
      <w:r>
        <w:rPr>
          <w:rFonts w:hint="eastAsia" w:ascii="仿宋" w:hAnsi="仿宋" w:eastAsia="仿宋" w:cs="仿宋"/>
          <w:color w:val="000000"/>
          <w:sz w:val="32"/>
          <w:szCs w:val="32"/>
          <w:lang w:val="en-US" w:eastAsia="zh-CN"/>
        </w:rPr>
        <w:t>-</w:t>
      </w:r>
    </w:p>
    <w:p w14:paraId="342E1830">
      <w:pPr>
        <w:pStyle w:val="11"/>
        <w:tabs>
          <w:tab w:val="right" w:leader="dot" w:pos="8846"/>
        </w:tabs>
        <w:spacing w:line="480" w:lineRule="auto"/>
        <w:rPr>
          <w:rFonts w:hint="default" w:ascii="仿宋" w:hAnsi="仿宋" w:eastAsia="仿宋" w:cs="仿宋"/>
          <w:sz w:val="32"/>
          <w:szCs w:val="32"/>
          <w:lang w:val="en-US"/>
        </w:rPr>
      </w:pPr>
      <w:r>
        <w:rPr>
          <w:rFonts w:hint="eastAsia" w:ascii="仿宋" w:hAnsi="仿宋" w:eastAsia="仿宋" w:cs="仿宋"/>
          <w:color w:val="000000"/>
          <w:sz w:val="32"/>
          <w:szCs w:val="32"/>
          <w:lang w:val="en-US" w:eastAsia="zh-CN"/>
        </w:rPr>
        <w:fldChar w:fldCharType="begin"/>
      </w:r>
      <w:r>
        <w:rPr>
          <w:rFonts w:hint="eastAsia" w:ascii="仿宋" w:hAnsi="仿宋" w:eastAsia="仿宋" w:cs="仿宋"/>
          <w:sz w:val="32"/>
          <w:szCs w:val="32"/>
          <w:lang w:val="en-US" w:eastAsia="zh-CN"/>
        </w:rPr>
        <w:instrText xml:space="preserve"> HYPERLINK \l _Toc11904 </w:instrText>
      </w:r>
      <w:r>
        <w:rPr>
          <w:rFonts w:hint="eastAsia" w:ascii="仿宋" w:hAnsi="仿宋" w:eastAsia="仿宋" w:cs="仿宋"/>
          <w:sz w:val="32"/>
          <w:szCs w:val="32"/>
          <w:lang w:val="en-US" w:eastAsia="zh-CN"/>
        </w:rPr>
        <w:fldChar w:fldCharType="separate"/>
      </w:r>
      <w:r>
        <w:rPr>
          <w:rFonts w:hint="eastAsia" w:ascii="仿宋" w:hAnsi="仿宋" w:eastAsia="仿宋" w:cs="仿宋"/>
          <w:sz w:val="32"/>
          <w:szCs w:val="32"/>
        </w:rPr>
        <w:t>第三章 使用规范</w:t>
      </w:r>
      <w:r>
        <w:rPr>
          <w:rFonts w:hint="eastAsia" w:ascii="仿宋" w:hAnsi="仿宋" w:eastAsia="仿宋" w:cs="仿宋"/>
          <w:sz w:val="32"/>
          <w:szCs w:val="32"/>
        </w:rPr>
        <w:tab/>
      </w:r>
      <w:r>
        <w:rPr>
          <w:rFonts w:hint="eastAsia" w:ascii="仿宋" w:hAnsi="仿宋" w:eastAsia="仿宋" w:cs="仿宋"/>
          <w:sz w:val="32"/>
          <w:szCs w:val="32"/>
          <w:lang w:val="en-US" w:eastAsia="zh-CN"/>
        </w:rPr>
        <w:t>-</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_Toc11904 \h </w:instrText>
      </w:r>
      <w:r>
        <w:rPr>
          <w:rFonts w:hint="eastAsia" w:ascii="仿宋" w:hAnsi="仿宋" w:eastAsia="仿宋" w:cs="仿宋"/>
          <w:sz w:val="32"/>
          <w:szCs w:val="32"/>
        </w:rPr>
        <w:fldChar w:fldCharType="separate"/>
      </w:r>
      <w:r>
        <w:rPr>
          <w:rFonts w:hint="eastAsia" w:ascii="仿宋" w:hAnsi="仿宋" w:eastAsia="仿宋" w:cs="仿宋"/>
          <w:sz w:val="32"/>
          <w:szCs w:val="32"/>
        </w:rPr>
        <w:t>3</w:t>
      </w:r>
      <w:r>
        <w:rPr>
          <w:rFonts w:hint="eastAsia" w:ascii="仿宋" w:hAnsi="仿宋" w:eastAsia="仿宋" w:cs="仿宋"/>
          <w:sz w:val="32"/>
          <w:szCs w:val="32"/>
        </w:rPr>
        <w:fldChar w:fldCharType="end"/>
      </w:r>
      <w:r>
        <w:rPr>
          <w:rFonts w:hint="eastAsia" w:ascii="仿宋" w:hAnsi="仿宋" w:eastAsia="仿宋" w:cs="仿宋"/>
          <w:color w:val="000000"/>
          <w:sz w:val="32"/>
          <w:szCs w:val="32"/>
          <w:lang w:val="en-US" w:eastAsia="zh-CN"/>
        </w:rPr>
        <w:fldChar w:fldCharType="end"/>
      </w:r>
      <w:r>
        <w:rPr>
          <w:rFonts w:hint="eastAsia" w:ascii="仿宋" w:hAnsi="仿宋" w:eastAsia="仿宋" w:cs="仿宋"/>
          <w:color w:val="000000"/>
          <w:sz w:val="32"/>
          <w:szCs w:val="32"/>
          <w:lang w:val="en-US" w:eastAsia="zh-CN"/>
        </w:rPr>
        <w:t>-</w:t>
      </w:r>
    </w:p>
    <w:p w14:paraId="24AF39BA">
      <w:pPr>
        <w:pStyle w:val="11"/>
        <w:tabs>
          <w:tab w:val="right" w:leader="dot" w:pos="8846"/>
        </w:tabs>
        <w:spacing w:line="480" w:lineRule="auto"/>
        <w:rPr>
          <w:rFonts w:hint="default" w:ascii="仿宋" w:hAnsi="仿宋" w:eastAsia="仿宋" w:cs="仿宋"/>
          <w:sz w:val="32"/>
          <w:szCs w:val="32"/>
          <w:lang w:val="en-US"/>
        </w:rPr>
      </w:pPr>
      <w:r>
        <w:rPr>
          <w:rFonts w:hint="eastAsia" w:ascii="仿宋" w:hAnsi="仿宋" w:eastAsia="仿宋" w:cs="仿宋"/>
          <w:color w:val="000000"/>
          <w:sz w:val="32"/>
          <w:szCs w:val="32"/>
          <w:lang w:val="en-US" w:eastAsia="zh-CN"/>
        </w:rPr>
        <w:fldChar w:fldCharType="begin"/>
      </w:r>
      <w:r>
        <w:rPr>
          <w:rFonts w:hint="eastAsia" w:ascii="仿宋" w:hAnsi="仿宋" w:eastAsia="仿宋" w:cs="仿宋"/>
          <w:sz w:val="32"/>
          <w:szCs w:val="32"/>
          <w:lang w:val="en-US" w:eastAsia="zh-CN"/>
        </w:rPr>
        <w:instrText xml:space="preserve"> HYPERLINK \l _Toc26187 </w:instrText>
      </w:r>
      <w:r>
        <w:rPr>
          <w:rFonts w:hint="eastAsia" w:ascii="仿宋" w:hAnsi="仿宋" w:eastAsia="仿宋" w:cs="仿宋"/>
          <w:sz w:val="32"/>
          <w:szCs w:val="32"/>
          <w:lang w:val="en-US" w:eastAsia="zh-CN"/>
        </w:rPr>
        <w:fldChar w:fldCharType="separate"/>
      </w:r>
      <w:r>
        <w:rPr>
          <w:rFonts w:hint="eastAsia" w:ascii="仿宋" w:hAnsi="仿宋" w:eastAsia="仿宋" w:cs="仿宋"/>
          <w:sz w:val="32"/>
          <w:szCs w:val="32"/>
        </w:rPr>
        <w:t>第四章 考核</w:t>
      </w:r>
      <w:r>
        <w:rPr>
          <w:rFonts w:hint="eastAsia" w:ascii="仿宋" w:hAnsi="仿宋" w:eastAsia="仿宋" w:cs="仿宋"/>
          <w:sz w:val="32"/>
          <w:szCs w:val="32"/>
        </w:rPr>
        <w:tab/>
      </w:r>
      <w:r>
        <w:rPr>
          <w:rFonts w:hint="eastAsia" w:ascii="仿宋" w:hAnsi="仿宋" w:eastAsia="仿宋" w:cs="仿宋"/>
          <w:sz w:val="32"/>
          <w:szCs w:val="32"/>
          <w:lang w:val="en-US" w:eastAsia="zh-CN"/>
        </w:rPr>
        <w:t>-</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_Toc26187 \h </w:instrText>
      </w:r>
      <w:r>
        <w:rPr>
          <w:rFonts w:hint="eastAsia" w:ascii="仿宋" w:hAnsi="仿宋" w:eastAsia="仿宋" w:cs="仿宋"/>
          <w:sz w:val="32"/>
          <w:szCs w:val="32"/>
        </w:rPr>
        <w:fldChar w:fldCharType="separate"/>
      </w:r>
      <w:r>
        <w:rPr>
          <w:rFonts w:hint="eastAsia" w:ascii="仿宋" w:hAnsi="仿宋" w:eastAsia="仿宋" w:cs="仿宋"/>
          <w:sz w:val="32"/>
          <w:szCs w:val="32"/>
        </w:rPr>
        <w:t>12</w:t>
      </w:r>
      <w:r>
        <w:rPr>
          <w:rFonts w:hint="eastAsia" w:ascii="仿宋" w:hAnsi="仿宋" w:eastAsia="仿宋" w:cs="仿宋"/>
          <w:sz w:val="32"/>
          <w:szCs w:val="32"/>
        </w:rPr>
        <w:fldChar w:fldCharType="end"/>
      </w:r>
      <w:r>
        <w:rPr>
          <w:rFonts w:hint="eastAsia" w:ascii="仿宋" w:hAnsi="仿宋" w:eastAsia="仿宋" w:cs="仿宋"/>
          <w:color w:val="000000"/>
          <w:sz w:val="32"/>
          <w:szCs w:val="32"/>
          <w:lang w:val="en-US" w:eastAsia="zh-CN"/>
        </w:rPr>
        <w:fldChar w:fldCharType="end"/>
      </w:r>
      <w:r>
        <w:rPr>
          <w:rFonts w:hint="eastAsia" w:ascii="仿宋" w:hAnsi="仿宋" w:eastAsia="仿宋" w:cs="仿宋"/>
          <w:color w:val="000000"/>
          <w:sz w:val="32"/>
          <w:szCs w:val="32"/>
          <w:lang w:val="en-US" w:eastAsia="zh-CN"/>
        </w:rPr>
        <w:t>-</w:t>
      </w:r>
    </w:p>
    <w:p w14:paraId="21BF6366">
      <w:pPr>
        <w:pStyle w:val="11"/>
        <w:tabs>
          <w:tab w:val="right" w:leader="dot" w:pos="8846"/>
        </w:tabs>
        <w:spacing w:line="480" w:lineRule="auto"/>
        <w:rPr>
          <w:rFonts w:hint="default" w:ascii="仿宋" w:hAnsi="仿宋" w:eastAsia="仿宋" w:cs="仿宋"/>
          <w:sz w:val="32"/>
          <w:szCs w:val="32"/>
          <w:lang w:val="en-US"/>
        </w:rPr>
      </w:pPr>
      <w:r>
        <w:rPr>
          <w:rFonts w:hint="eastAsia" w:ascii="仿宋" w:hAnsi="仿宋" w:eastAsia="仿宋" w:cs="仿宋"/>
          <w:color w:val="000000"/>
          <w:sz w:val="32"/>
          <w:szCs w:val="32"/>
          <w:lang w:val="en-US" w:eastAsia="zh-CN"/>
        </w:rPr>
        <w:fldChar w:fldCharType="begin"/>
      </w:r>
      <w:r>
        <w:rPr>
          <w:rFonts w:hint="eastAsia" w:ascii="仿宋" w:hAnsi="仿宋" w:eastAsia="仿宋" w:cs="仿宋"/>
          <w:sz w:val="32"/>
          <w:szCs w:val="32"/>
          <w:lang w:val="en-US" w:eastAsia="zh-CN"/>
        </w:rPr>
        <w:instrText xml:space="preserve"> HYPERLINK \l _Toc26008 </w:instrText>
      </w:r>
      <w:r>
        <w:rPr>
          <w:rFonts w:hint="eastAsia" w:ascii="仿宋" w:hAnsi="仿宋" w:eastAsia="仿宋" w:cs="仿宋"/>
          <w:sz w:val="32"/>
          <w:szCs w:val="32"/>
          <w:lang w:val="en-US" w:eastAsia="zh-CN"/>
        </w:rPr>
        <w:fldChar w:fldCharType="separate"/>
      </w:r>
      <w:r>
        <w:rPr>
          <w:rFonts w:hint="eastAsia" w:ascii="仿宋" w:hAnsi="仿宋" w:eastAsia="仿宋" w:cs="仿宋"/>
          <w:sz w:val="32"/>
          <w:szCs w:val="32"/>
        </w:rPr>
        <w:t>第五章 附则</w:t>
      </w:r>
      <w:r>
        <w:rPr>
          <w:rFonts w:hint="eastAsia" w:ascii="仿宋" w:hAnsi="仿宋" w:eastAsia="仿宋" w:cs="仿宋"/>
          <w:sz w:val="32"/>
          <w:szCs w:val="32"/>
        </w:rPr>
        <w:tab/>
      </w:r>
      <w:r>
        <w:rPr>
          <w:rFonts w:hint="eastAsia" w:ascii="仿宋" w:hAnsi="仿宋" w:eastAsia="仿宋" w:cs="仿宋"/>
          <w:sz w:val="32"/>
          <w:szCs w:val="32"/>
          <w:lang w:val="en-US" w:eastAsia="zh-CN"/>
        </w:rPr>
        <w:t>-</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_Toc26008 \h </w:instrText>
      </w:r>
      <w:r>
        <w:rPr>
          <w:rFonts w:hint="eastAsia" w:ascii="仿宋" w:hAnsi="仿宋" w:eastAsia="仿宋" w:cs="仿宋"/>
          <w:sz w:val="32"/>
          <w:szCs w:val="32"/>
        </w:rPr>
        <w:fldChar w:fldCharType="separate"/>
      </w:r>
      <w:r>
        <w:rPr>
          <w:rFonts w:hint="eastAsia" w:ascii="仿宋" w:hAnsi="仿宋" w:eastAsia="仿宋" w:cs="仿宋"/>
          <w:sz w:val="32"/>
          <w:szCs w:val="32"/>
        </w:rPr>
        <w:t>12</w:t>
      </w:r>
      <w:r>
        <w:rPr>
          <w:rFonts w:hint="eastAsia" w:ascii="仿宋" w:hAnsi="仿宋" w:eastAsia="仿宋" w:cs="仿宋"/>
          <w:sz w:val="32"/>
          <w:szCs w:val="32"/>
        </w:rPr>
        <w:fldChar w:fldCharType="end"/>
      </w:r>
      <w:r>
        <w:rPr>
          <w:rFonts w:hint="eastAsia" w:ascii="仿宋" w:hAnsi="仿宋" w:eastAsia="仿宋" w:cs="仿宋"/>
          <w:color w:val="000000"/>
          <w:sz w:val="32"/>
          <w:szCs w:val="32"/>
          <w:lang w:val="en-US" w:eastAsia="zh-CN"/>
        </w:rPr>
        <w:fldChar w:fldCharType="end"/>
      </w:r>
      <w:r>
        <w:rPr>
          <w:rFonts w:hint="eastAsia" w:ascii="仿宋" w:hAnsi="仿宋" w:eastAsia="仿宋" w:cs="仿宋"/>
          <w:color w:val="000000"/>
          <w:sz w:val="32"/>
          <w:szCs w:val="32"/>
          <w:lang w:val="en-US" w:eastAsia="zh-CN"/>
        </w:rPr>
        <w:t>-</w:t>
      </w:r>
    </w:p>
    <w:p w14:paraId="4B17BF5B">
      <w:pPr>
        <w:adjustRightInd w:val="0"/>
        <w:spacing w:line="480" w:lineRule="auto"/>
        <w:rPr>
          <w:rFonts w:hint="eastAsia" w:ascii="仿宋" w:hAnsi="仿宋" w:eastAsia="仿宋_GB2312" w:cs="仿宋"/>
          <w:color w:val="000000"/>
          <w:sz w:val="32"/>
          <w:szCs w:val="32"/>
          <w:lang w:val="en-US" w:eastAsia="zh-CN"/>
        </w:rPr>
        <w:sectPr>
          <w:pgSz w:w="11907" w:h="16800"/>
          <w:pgMar w:top="2098" w:right="1474" w:bottom="1984" w:left="1587" w:header="737" w:footer="1134" w:gutter="0"/>
          <w:cols w:space="720" w:num="1"/>
          <w:titlePg/>
          <w:docGrid w:type="lines" w:linePitch="312" w:charSpace="0"/>
        </w:sectPr>
      </w:pPr>
      <w:r>
        <w:rPr>
          <w:rFonts w:hint="eastAsia" w:ascii="仿宋" w:hAnsi="仿宋" w:eastAsia="仿宋" w:cs="仿宋"/>
          <w:color w:val="000000"/>
          <w:sz w:val="32"/>
          <w:szCs w:val="32"/>
          <w:lang w:val="en-US" w:eastAsia="zh-CN"/>
        </w:rPr>
        <w:fldChar w:fldCharType="end"/>
      </w:r>
    </w:p>
    <w:p w14:paraId="7D9141C7">
      <w:pPr>
        <w:adjustRightInd w:val="0"/>
        <w:spacing w:line="560" w:lineRule="exact"/>
        <w:jc w:val="center"/>
        <w:rPr>
          <w:rFonts w:ascii="方正小标宋简体" w:hAnsi="方正小标宋简体" w:eastAsia="方正小标宋简体" w:cs="方正小标宋简体"/>
          <w:bCs/>
          <w:kern w:val="0"/>
          <w:sz w:val="40"/>
          <w:szCs w:val="36"/>
        </w:rPr>
      </w:pPr>
    </w:p>
    <w:p w14:paraId="48956562">
      <w:pPr>
        <w:adjustRightInd w:val="0"/>
        <w:spacing w:line="560" w:lineRule="exact"/>
        <w:jc w:val="center"/>
        <w:rPr>
          <w:rFonts w:ascii="方正小标宋简体" w:hAnsi="方正小标宋简体" w:eastAsia="方正小标宋简体" w:cs="方正小标宋简体"/>
          <w:bCs/>
          <w:kern w:val="0"/>
          <w:sz w:val="40"/>
          <w:szCs w:val="36"/>
        </w:rPr>
      </w:pPr>
      <w:r>
        <w:rPr>
          <w:rFonts w:hint="eastAsia" w:ascii="方正小标宋简体" w:hAnsi="方正小标宋简体" w:eastAsia="方正小标宋简体" w:cs="方正小标宋简体"/>
          <w:bCs/>
          <w:kern w:val="0"/>
          <w:sz w:val="40"/>
          <w:szCs w:val="36"/>
        </w:rPr>
        <w:t>九洲集团科工园区能源使用管理规范</w:t>
      </w:r>
    </w:p>
    <w:p w14:paraId="265F3559">
      <w:pPr>
        <w:adjustRightInd w:val="0"/>
        <w:spacing w:line="560" w:lineRule="exact"/>
        <w:ind w:firstLine="883" w:firstLineChars="200"/>
        <w:jc w:val="center"/>
        <w:rPr>
          <w:rFonts w:ascii="黑体" w:hAnsi="黑体" w:eastAsia="黑体" w:cs="黑体"/>
          <w:b/>
          <w:kern w:val="0"/>
          <w:sz w:val="44"/>
          <w:szCs w:val="40"/>
        </w:rPr>
      </w:pPr>
    </w:p>
    <w:p w14:paraId="2D8E5B85">
      <w:pPr>
        <w:adjustRightInd w:val="0"/>
        <w:spacing w:line="560" w:lineRule="exact"/>
        <w:jc w:val="center"/>
        <w:outlineLvl w:val="0"/>
        <w:rPr>
          <w:rFonts w:ascii="仿宋_GB2312" w:hAnsi="仿宋_GB2312" w:eastAsia="仿宋_GB2312" w:cs="仿宋_GB2312"/>
          <w:bCs/>
          <w:kern w:val="0"/>
          <w:sz w:val="32"/>
          <w:szCs w:val="32"/>
        </w:rPr>
      </w:pPr>
      <w:bookmarkStart w:id="1" w:name="_Toc16051"/>
      <w:r>
        <w:rPr>
          <w:rFonts w:hint="eastAsia" w:ascii="黑体" w:hAnsi="黑体" w:eastAsia="黑体" w:cs="黑体"/>
          <w:b/>
          <w:sz w:val="32"/>
          <w:szCs w:val="32"/>
        </w:rPr>
        <w:t>第一章 目的和范围</w:t>
      </w:r>
      <w:bookmarkEnd w:id="1"/>
    </w:p>
    <w:p w14:paraId="4959BC08">
      <w:pPr>
        <w:pStyle w:val="7"/>
        <w:spacing w:line="560" w:lineRule="exact"/>
        <w:ind w:left="0" w:leftChars="0" w:firstLine="643"/>
        <w:rPr>
          <w:rFonts w:ascii="仿宋" w:hAnsi="仿宋" w:eastAsia="仿宋_GB2312" w:cs="仿宋"/>
          <w:color w:val="000000"/>
          <w:sz w:val="32"/>
          <w:szCs w:val="32"/>
        </w:rPr>
      </w:pPr>
      <w:r>
        <w:rPr>
          <w:rFonts w:hint="eastAsia" w:ascii="楷体" w:hAnsi="楷体" w:eastAsia="楷体_GB2312" w:cs="楷体"/>
          <w:b/>
          <w:color w:val="000000"/>
          <w:sz w:val="32"/>
          <w:szCs w:val="32"/>
        </w:rPr>
        <w:t>第一条</w:t>
      </w:r>
      <w:r>
        <w:rPr>
          <w:rFonts w:hint="eastAsia" w:ascii="仿宋" w:hAnsi="仿宋" w:eastAsia="仿宋_GB2312" w:cs="仿宋"/>
          <w:color w:val="000000"/>
          <w:sz w:val="32"/>
          <w:szCs w:val="32"/>
        </w:rPr>
        <w:t xml:space="preserve"> 为规范九洲集团科技工业园区（以下简称“园区”）能源使用管理工作，提高能源利用效率，降低园区运营成本，根据国家有关法律法规及标准，结合园区实际情况，制定本规范。</w:t>
      </w:r>
    </w:p>
    <w:p w14:paraId="128F5A06">
      <w:pPr>
        <w:pStyle w:val="7"/>
        <w:spacing w:line="560" w:lineRule="exact"/>
        <w:ind w:left="0" w:leftChars="0" w:firstLine="643"/>
        <w:rPr>
          <w:rFonts w:ascii="仿宋" w:hAnsi="仿宋" w:eastAsia="仿宋_GB2312" w:cs="仿宋"/>
          <w:color w:val="000000"/>
          <w:sz w:val="32"/>
          <w:szCs w:val="32"/>
        </w:rPr>
      </w:pPr>
      <w:r>
        <w:rPr>
          <w:rFonts w:hint="eastAsia" w:ascii="楷体" w:hAnsi="楷体" w:eastAsia="楷体_GB2312" w:cs="楷体"/>
          <w:b/>
          <w:color w:val="000000"/>
          <w:sz w:val="32"/>
          <w:szCs w:val="32"/>
        </w:rPr>
        <w:t>第二条</w:t>
      </w:r>
      <w:r>
        <w:rPr>
          <w:rFonts w:hint="eastAsia" w:ascii="仿宋" w:hAnsi="仿宋" w:eastAsia="仿宋_GB2312" w:cs="仿宋"/>
          <w:color w:val="000000"/>
          <w:sz w:val="32"/>
          <w:szCs w:val="32"/>
        </w:rPr>
        <w:t xml:space="preserve"> 本规范所称能源，是指外购的电力、自来水、天然气及自产的压缩空气、空调冷温水等；本规范所称节约能源，是指加强用能管理，采用技术上可行，经济上合理的措施，减少能源购入（生产）到使用各个环节的损失和浪费，更加有效、合理地利用能源，降低生产成本。</w:t>
      </w:r>
    </w:p>
    <w:p w14:paraId="207D46DD">
      <w:pPr>
        <w:pStyle w:val="7"/>
        <w:spacing w:line="560" w:lineRule="exact"/>
        <w:ind w:left="0" w:leftChars="0" w:firstLine="643"/>
        <w:rPr>
          <w:rFonts w:ascii="仿宋" w:hAnsi="仿宋" w:eastAsia="仿宋_GB2312" w:cs="仿宋"/>
          <w:b/>
          <w:color w:val="000000"/>
          <w:sz w:val="32"/>
          <w:szCs w:val="32"/>
        </w:rPr>
      </w:pPr>
      <w:r>
        <w:rPr>
          <w:rFonts w:hint="eastAsia" w:ascii="楷体" w:hAnsi="楷体" w:eastAsia="楷体_GB2312" w:cs="楷体"/>
          <w:b/>
          <w:color w:val="000000"/>
          <w:sz w:val="32"/>
          <w:szCs w:val="32"/>
        </w:rPr>
        <w:t>第三条</w:t>
      </w:r>
      <w:r>
        <w:rPr>
          <w:rFonts w:hint="eastAsia" w:ascii="仿宋" w:hAnsi="仿宋" w:eastAsia="仿宋_GB2312" w:cs="仿宋"/>
          <w:color w:val="000000"/>
          <w:sz w:val="32"/>
          <w:szCs w:val="32"/>
        </w:rPr>
        <w:t xml:space="preserve"> 本规范适用四川九洲投资控股集团有限公司（以下简称“总部”）及园区内各产业公司（以下简称“各单位”）。</w:t>
      </w:r>
    </w:p>
    <w:p w14:paraId="011445FC">
      <w:pPr>
        <w:adjustRightInd w:val="0"/>
        <w:spacing w:line="560" w:lineRule="exact"/>
        <w:jc w:val="center"/>
        <w:outlineLvl w:val="0"/>
        <w:rPr>
          <w:rFonts w:hint="eastAsia" w:ascii="黑体" w:hAnsi="黑体" w:eastAsia="黑体" w:cs="黑体"/>
          <w:b/>
          <w:sz w:val="32"/>
          <w:szCs w:val="32"/>
        </w:rPr>
      </w:pPr>
      <w:bookmarkStart w:id="2" w:name="_Toc4860"/>
      <w:r>
        <w:rPr>
          <w:rFonts w:hint="eastAsia" w:ascii="黑体" w:hAnsi="黑体" w:eastAsia="黑体" w:cs="黑体"/>
          <w:b/>
          <w:sz w:val="32"/>
          <w:szCs w:val="32"/>
        </w:rPr>
        <w:t>第二章 组织与职责</w:t>
      </w:r>
      <w:bookmarkEnd w:id="2"/>
    </w:p>
    <w:p w14:paraId="01CD82C8">
      <w:pPr>
        <w:spacing w:line="560" w:lineRule="exact"/>
        <w:ind w:firstLine="643" w:firstLineChars="200"/>
        <w:rPr>
          <w:rFonts w:ascii="楷体" w:hAnsi="楷体" w:eastAsia="楷体_GB2312" w:cs="楷体"/>
          <w:b/>
          <w:sz w:val="32"/>
          <w:szCs w:val="32"/>
        </w:rPr>
      </w:pPr>
      <w:r>
        <w:rPr>
          <w:rFonts w:hint="eastAsia" w:ascii="楷体" w:hAnsi="楷体" w:eastAsia="楷体_GB2312" w:cs="楷体"/>
          <w:b/>
          <w:sz w:val="32"/>
          <w:szCs w:val="32"/>
        </w:rPr>
        <w:t xml:space="preserve">第四条 组织架构 </w:t>
      </w:r>
    </w:p>
    <w:p w14:paraId="441EE8E8">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（一）园区服务中心是园区能源管理的归口单位；</w:t>
      </w:r>
    </w:p>
    <w:p w14:paraId="70D9DEBC">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（二）各单位及总部各部门设立以业务分管领导为组长的能源管理小组</w:t>
      </w:r>
      <w:r>
        <w:rPr>
          <w:rFonts w:ascii="仿宋" w:hAnsi="仿宋" w:eastAsia="仿宋_GB2312" w:cs="仿宋"/>
          <w:sz w:val="32"/>
          <w:szCs w:val="32"/>
        </w:rPr>
        <w:t>；</w:t>
      </w:r>
    </w:p>
    <w:p w14:paraId="7142CAB4">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（三）能源管理小组设能源监管员及节能员。</w:t>
      </w:r>
    </w:p>
    <w:p w14:paraId="2A6757B3">
      <w:pPr>
        <w:tabs>
          <w:tab w:val="left" w:pos="945"/>
        </w:tabs>
        <w:spacing w:line="560" w:lineRule="exact"/>
        <w:ind w:firstLine="643" w:firstLineChars="200"/>
        <w:rPr>
          <w:rFonts w:ascii="楷体" w:hAnsi="楷体" w:eastAsia="楷体_GB2312" w:cs="楷体"/>
          <w:b/>
          <w:sz w:val="32"/>
          <w:szCs w:val="32"/>
        </w:rPr>
      </w:pPr>
      <w:r>
        <w:rPr>
          <w:rFonts w:hint="eastAsia" w:ascii="楷体" w:hAnsi="楷体" w:eastAsia="楷体_GB2312" w:cs="楷体"/>
          <w:b/>
          <w:sz w:val="32"/>
          <w:szCs w:val="32"/>
        </w:rPr>
        <w:t>第五条 园区服务中心职责</w:t>
      </w:r>
    </w:p>
    <w:p w14:paraId="599C2EB0">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（一）贯彻执行国家的节能方针、政策和法规，监督和协助各单位能源管理工作。</w:t>
      </w:r>
    </w:p>
    <w:p w14:paraId="57B80CC6">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（二）建立、健全园区能源管理制度体系，制定各单位年度用能指标。</w:t>
      </w:r>
    </w:p>
    <w:p w14:paraId="4ACEE4EA">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（三）建立园区能源统计台账、编制用能分析报告，定期向财务管理部报送能耗费用收缴相关材料。</w:t>
      </w:r>
    </w:p>
    <w:p w14:paraId="7E30CECE">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（四）组织用能巡检，对巡检中发现的问题进行记录并要求整改。</w:t>
      </w:r>
    </w:p>
    <w:p w14:paraId="317AA0F5">
      <w:pPr>
        <w:tabs>
          <w:tab w:val="left" w:pos="945"/>
        </w:tabs>
        <w:spacing w:line="560" w:lineRule="exact"/>
        <w:ind w:firstLine="640" w:firstLineChars="200"/>
        <w:rPr>
          <w:rFonts w:ascii="仿宋" w:hAnsi="仿宋" w:eastAsia="仿宋_GB2312" w:cs="仿宋"/>
          <w:color w:val="000000"/>
          <w:sz w:val="32"/>
          <w:szCs w:val="32"/>
        </w:rPr>
      </w:pPr>
      <w:r>
        <w:rPr>
          <w:rFonts w:hint="eastAsia" w:ascii="仿宋" w:hAnsi="仿宋" w:eastAsia="仿宋_GB2312" w:cs="仿宋"/>
          <w:color w:val="000000"/>
          <w:sz w:val="32"/>
          <w:szCs w:val="32"/>
        </w:rPr>
        <w:t>（五）监督园区内</w:t>
      </w:r>
      <w:r>
        <w:rPr>
          <w:rFonts w:hint="eastAsia" w:ascii="仿宋" w:hAnsi="仿宋" w:eastAsia="仿宋_GB2312" w:cs="仿宋"/>
          <w:sz w:val="32"/>
          <w:szCs w:val="32"/>
        </w:rPr>
        <w:t>新建、改建、扩建项目</w:t>
      </w:r>
      <w:r>
        <w:rPr>
          <w:rFonts w:hint="eastAsia" w:ascii="仿宋" w:hAnsi="仿宋" w:eastAsia="仿宋_GB2312" w:cs="仿宋"/>
          <w:color w:val="000000"/>
          <w:sz w:val="32"/>
          <w:szCs w:val="32"/>
        </w:rPr>
        <w:t>中的用能、节能、</w:t>
      </w:r>
      <w:r>
        <w:rPr>
          <w:rFonts w:hint="eastAsia" w:ascii="仿宋" w:hAnsi="仿宋" w:eastAsia="仿宋_GB2312" w:cs="仿宋"/>
          <w:sz w:val="32"/>
          <w:szCs w:val="32"/>
        </w:rPr>
        <w:t>计量器具配置工作。</w:t>
      </w:r>
      <w:r>
        <w:rPr>
          <w:rFonts w:hint="eastAsia" w:ascii="仿宋" w:hAnsi="仿宋" w:eastAsia="仿宋_GB2312" w:cs="仿宋"/>
          <w:color w:val="000000"/>
          <w:sz w:val="32"/>
          <w:szCs w:val="32"/>
        </w:rPr>
        <w:t>为各单位提供能源管理、节能技改相关的业务、技术咨询，负责指导和监督各单位安全使用能源。</w:t>
      </w:r>
    </w:p>
    <w:p w14:paraId="487DB50A">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（六）搜集了解能源相关政策法规、合理化建议、先进节能信息，积极推广应用节能新技术、新设备、新材料和新工艺，开展节能宣传，借助各类媒介宣传节能相关信息和知识。</w:t>
      </w:r>
    </w:p>
    <w:p w14:paraId="199718E7">
      <w:pPr>
        <w:spacing w:line="560" w:lineRule="exact"/>
        <w:ind w:firstLine="640" w:firstLineChars="200"/>
        <w:rPr>
          <w:rFonts w:ascii="仿宋" w:hAnsi="仿宋" w:eastAsia="仿宋_GB2312" w:cs="仿宋"/>
          <w:color w:val="000000"/>
          <w:sz w:val="32"/>
          <w:szCs w:val="32"/>
        </w:rPr>
      </w:pPr>
      <w:r>
        <w:rPr>
          <w:rFonts w:hint="eastAsia" w:ascii="仿宋" w:hAnsi="仿宋" w:eastAsia="仿宋_GB2312" w:cs="仿宋"/>
          <w:sz w:val="32"/>
          <w:szCs w:val="32"/>
        </w:rPr>
        <w:t>（七）负责总部</w:t>
      </w:r>
      <w:r>
        <w:rPr>
          <w:rFonts w:ascii="仿宋" w:hAnsi="仿宋" w:eastAsia="仿宋_GB2312" w:cs="仿宋"/>
          <w:sz w:val="32"/>
          <w:szCs w:val="32"/>
        </w:rPr>
        <w:t>产权的</w:t>
      </w:r>
      <w:r>
        <w:rPr>
          <w:rFonts w:hint="eastAsia" w:ascii="仿宋" w:hAnsi="仿宋" w:eastAsia="仿宋_GB2312" w:cs="仿宋"/>
          <w:sz w:val="32"/>
          <w:szCs w:val="32"/>
        </w:rPr>
        <w:t>能源、动力站房（含厂房循环水）管理及设备设施维修改造工作，能源、动力设备设施的安装调试、验收、维护等工作；负责园区生活污水管路维修改造及建筑内给、排水设施维修工作；</w:t>
      </w:r>
      <w:r>
        <w:rPr>
          <w:rFonts w:hint="eastAsia" w:ascii="仿宋" w:hAnsi="仿宋" w:eastAsia="仿宋_GB2312" w:cs="仿宋"/>
          <w:color w:val="000000"/>
          <w:sz w:val="32"/>
          <w:szCs w:val="32"/>
        </w:rPr>
        <w:t>负责总部</w:t>
      </w:r>
      <w:r>
        <w:rPr>
          <w:rFonts w:ascii="仿宋" w:hAnsi="仿宋" w:eastAsia="仿宋_GB2312" w:cs="仿宋"/>
          <w:color w:val="000000"/>
          <w:sz w:val="32"/>
          <w:szCs w:val="32"/>
        </w:rPr>
        <w:t>权责内的</w:t>
      </w:r>
      <w:r>
        <w:rPr>
          <w:rFonts w:hint="eastAsia" w:ascii="仿宋" w:hAnsi="仿宋" w:eastAsia="仿宋_GB2312" w:cs="仿宋"/>
          <w:color w:val="000000"/>
          <w:sz w:val="32"/>
          <w:szCs w:val="32"/>
        </w:rPr>
        <w:t>供能管线的维护保养、检修、更新改造及相关图纸的绘制和更新。</w:t>
      </w:r>
    </w:p>
    <w:p w14:paraId="54A30858">
      <w:pPr>
        <w:spacing w:line="560" w:lineRule="exact"/>
        <w:ind w:firstLine="640" w:firstLineChars="200"/>
        <w:rPr>
          <w:rFonts w:ascii="仿宋" w:hAnsi="仿宋" w:eastAsia="仿宋_GB2312" w:cs="仿宋"/>
          <w:sz w:val="32"/>
          <w:szCs w:val="32"/>
        </w:rPr>
      </w:pPr>
      <w:r>
        <w:rPr>
          <w:rFonts w:hint="eastAsia" w:ascii="仿宋" w:hAnsi="仿宋" w:eastAsia="仿宋_GB2312" w:cs="仿宋"/>
          <w:color w:val="000000"/>
          <w:sz w:val="32"/>
          <w:szCs w:val="32"/>
        </w:rPr>
        <w:t>（八）参与</w:t>
      </w:r>
      <w:r>
        <w:rPr>
          <w:rFonts w:hint="eastAsia" w:ascii="仿宋" w:hAnsi="仿宋" w:eastAsia="仿宋_GB2312" w:cs="仿宋"/>
          <w:sz w:val="32"/>
          <w:szCs w:val="32"/>
        </w:rPr>
        <w:t>园区能源收费标准制定。</w:t>
      </w:r>
    </w:p>
    <w:p w14:paraId="0D83FB2D">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（九）协调与供能公司之间的各项事宜，确保能源质量满足园区内科研、生产和员工生活需求。</w:t>
      </w:r>
    </w:p>
    <w:p w14:paraId="1B47B3B5">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（十）负责单身公寓、食堂、绿化及保洁的能源使用管理。</w:t>
      </w:r>
    </w:p>
    <w:p w14:paraId="28C5EFBC">
      <w:pPr>
        <w:spacing w:line="560" w:lineRule="exact"/>
        <w:ind w:firstLine="643" w:firstLineChars="200"/>
        <w:rPr>
          <w:rFonts w:ascii="楷体" w:hAnsi="楷体" w:eastAsia="楷体_GB2312" w:cs="楷体"/>
          <w:b/>
          <w:sz w:val="32"/>
          <w:szCs w:val="32"/>
        </w:rPr>
      </w:pPr>
      <w:r>
        <w:rPr>
          <w:rFonts w:hint="eastAsia" w:ascii="楷体" w:hAnsi="楷体" w:eastAsia="楷体_GB2312" w:cs="楷体"/>
          <w:b/>
          <w:sz w:val="32"/>
          <w:szCs w:val="32"/>
        </w:rPr>
        <w:t>第六条 总部其他职能部门职责</w:t>
      </w:r>
    </w:p>
    <w:p w14:paraId="4C8AD5FD">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（一）资本运营部负责组织制定园区能源收费标准，财务管理部负责能源相关费用收缴。</w:t>
      </w:r>
    </w:p>
    <w:p w14:paraId="05402AD3">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（二）战略发展部、财务管理部、公司办公室负责参与园区能源收费标准制定及审核各单位年度用能指标。</w:t>
      </w:r>
    </w:p>
    <w:p w14:paraId="09B780F3">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（三）负责为能源管理提供相关数据支持。</w:t>
      </w:r>
    </w:p>
    <w:p w14:paraId="5FDAA8C4">
      <w:pPr>
        <w:spacing w:line="560" w:lineRule="exact"/>
        <w:ind w:firstLine="643" w:firstLineChars="200"/>
        <w:rPr>
          <w:rFonts w:ascii="楷体" w:hAnsi="楷体" w:eastAsia="楷体_GB2312" w:cs="楷体"/>
          <w:b/>
          <w:sz w:val="32"/>
          <w:szCs w:val="32"/>
        </w:rPr>
      </w:pPr>
      <w:r>
        <w:rPr>
          <w:rFonts w:hint="eastAsia" w:ascii="楷体" w:hAnsi="楷体" w:eastAsia="楷体_GB2312" w:cs="楷体"/>
          <w:b/>
          <w:sz w:val="32"/>
          <w:szCs w:val="32"/>
        </w:rPr>
        <w:t>第七条 能源管理小组职责</w:t>
      </w:r>
    </w:p>
    <w:p w14:paraId="628953C6">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（一）组织、指导、决策及检查本单位能源管理相关工作，贯彻落实能源管理方针、政策，建立健全内部能源管理相关制度，明确本单位能源监管员、节能员</w:t>
      </w:r>
      <w:r>
        <w:rPr>
          <w:rFonts w:ascii="仿宋" w:hAnsi="仿宋" w:eastAsia="仿宋_GB2312" w:cs="仿宋"/>
          <w:sz w:val="32"/>
          <w:szCs w:val="32"/>
        </w:rPr>
        <w:t>及节能员责任区域</w:t>
      </w:r>
      <w:r>
        <w:rPr>
          <w:rFonts w:hint="eastAsia" w:ascii="仿宋" w:hAnsi="仿宋" w:eastAsia="仿宋_GB2312" w:cs="仿宋"/>
          <w:sz w:val="32"/>
          <w:szCs w:val="32"/>
        </w:rPr>
        <w:t>。</w:t>
      </w:r>
    </w:p>
    <w:p w14:paraId="495FB456">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（二）负责本单位用能宣传教育，增强员工节约用能意识。</w:t>
      </w:r>
    </w:p>
    <w:p w14:paraId="7796262C">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（三）</w:t>
      </w:r>
      <w:r>
        <w:rPr>
          <w:rFonts w:ascii="仿宋" w:hAnsi="仿宋" w:eastAsia="仿宋_GB2312" w:cs="仿宋"/>
          <w:sz w:val="32"/>
          <w:szCs w:val="32"/>
        </w:rPr>
        <w:t>每年</w:t>
      </w:r>
      <w:r>
        <w:rPr>
          <w:rFonts w:eastAsia="仿宋_GB2312" w:cs="仿宋"/>
          <w:sz w:val="32"/>
          <w:szCs w:val="32"/>
        </w:rPr>
        <w:t>1</w:t>
      </w:r>
      <w:r>
        <w:rPr>
          <w:rFonts w:hint="eastAsia" w:eastAsia="仿宋_GB2312" w:cs="仿宋"/>
          <w:sz w:val="32"/>
          <w:szCs w:val="32"/>
        </w:rPr>
        <w:t>1</w:t>
      </w:r>
      <w:r>
        <w:rPr>
          <w:rFonts w:ascii="仿宋" w:hAnsi="仿宋" w:eastAsia="仿宋_GB2312" w:cs="仿宋"/>
          <w:sz w:val="32"/>
          <w:szCs w:val="32"/>
        </w:rPr>
        <w:t>月</w:t>
      </w:r>
      <w:r>
        <w:rPr>
          <w:rFonts w:hint="eastAsia" w:eastAsia="仿宋_GB2312" w:cs="仿宋"/>
          <w:sz w:val="32"/>
          <w:szCs w:val="32"/>
        </w:rPr>
        <w:t>30</w:t>
      </w:r>
      <w:r>
        <w:rPr>
          <w:rFonts w:hint="eastAsia" w:ascii="仿宋" w:hAnsi="仿宋" w:eastAsia="仿宋_GB2312" w:cs="仿宋"/>
          <w:sz w:val="32"/>
          <w:szCs w:val="32"/>
        </w:rPr>
        <w:t>日前</w:t>
      </w:r>
      <w:r>
        <w:rPr>
          <w:rFonts w:ascii="仿宋" w:hAnsi="仿宋" w:eastAsia="仿宋_GB2312" w:cs="仿宋"/>
          <w:sz w:val="32"/>
          <w:szCs w:val="32"/>
        </w:rPr>
        <w:t>，</w:t>
      </w:r>
      <w:r>
        <w:rPr>
          <w:rFonts w:hint="eastAsia" w:ascii="仿宋" w:hAnsi="仿宋" w:eastAsia="仿宋_GB2312" w:cs="仿宋"/>
          <w:sz w:val="32"/>
          <w:szCs w:val="32"/>
        </w:rPr>
        <w:t>园区各生产型单位向园区服务中心报送本单位下一年度用能需求</w:t>
      </w:r>
      <w:r>
        <w:rPr>
          <w:rStyle w:val="18"/>
          <w:rFonts w:hint="eastAsia" w:ascii="仿宋" w:hAnsi="仿宋" w:eastAsia="仿宋_GB2312" w:cs="仿宋"/>
          <w:sz w:val="32"/>
          <w:szCs w:val="32"/>
        </w:rPr>
        <w:footnoteReference w:id="0"/>
      </w:r>
      <w:r>
        <w:rPr>
          <w:rFonts w:hint="eastAsia" w:ascii="仿宋" w:hAnsi="仿宋" w:eastAsia="仿宋_GB2312" w:cs="仿宋"/>
          <w:sz w:val="32"/>
          <w:szCs w:val="32"/>
        </w:rPr>
        <w:t>，并配合做好能源相关</w:t>
      </w:r>
      <w:r>
        <w:rPr>
          <w:rFonts w:ascii="仿宋" w:hAnsi="仿宋" w:eastAsia="仿宋_GB2312" w:cs="仿宋"/>
          <w:sz w:val="32"/>
          <w:szCs w:val="32"/>
        </w:rPr>
        <w:t>分析报告</w:t>
      </w:r>
      <w:r>
        <w:rPr>
          <w:rFonts w:hint="eastAsia" w:ascii="仿宋" w:hAnsi="仿宋" w:eastAsia="仿宋_GB2312" w:cs="仿宋"/>
          <w:sz w:val="32"/>
          <w:szCs w:val="32"/>
        </w:rPr>
        <w:t>的编制工作。</w:t>
      </w:r>
    </w:p>
    <w:p w14:paraId="56436B81">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（四）能源监管员负责本单位日常能源的使用监管、制度建设、信息传达、组织协调等工作。</w:t>
      </w:r>
    </w:p>
    <w:p w14:paraId="73802813">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（五）节能员负责责任区域内的用能管理及监督，对责任区域内发生的能源浪费现象及时整改。</w:t>
      </w:r>
    </w:p>
    <w:p w14:paraId="168E568B">
      <w:pPr>
        <w:adjustRightInd w:val="0"/>
        <w:spacing w:line="560" w:lineRule="exact"/>
        <w:jc w:val="center"/>
        <w:outlineLvl w:val="0"/>
        <w:rPr>
          <w:rFonts w:hint="eastAsia" w:ascii="黑体" w:hAnsi="黑体" w:eastAsia="黑体" w:cs="黑体"/>
          <w:b/>
          <w:sz w:val="32"/>
          <w:szCs w:val="32"/>
        </w:rPr>
      </w:pPr>
      <w:bookmarkStart w:id="3" w:name="_Toc11904"/>
      <w:r>
        <w:rPr>
          <w:rFonts w:hint="eastAsia" w:ascii="黑体" w:hAnsi="黑体" w:eastAsia="黑体" w:cs="黑体"/>
          <w:b/>
          <w:sz w:val="32"/>
          <w:szCs w:val="32"/>
        </w:rPr>
        <w:t>第三章 使用规范</w:t>
      </w:r>
      <w:bookmarkEnd w:id="3"/>
    </w:p>
    <w:p w14:paraId="6D9ACCDD">
      <w:pPr>
        <w:spacing w:line="560" w:lineRule="exact"/>
        <w:ind w:firstLine="643" w:firstLineChars="200"/>
        <w:rPr>
          <w:rFonts w:ascii="楷体" w:hAnsi="楷体" w:eastAsia="楷体_GB2312" w:cs="楷体"/>
          <w:b/>
          <w:color w:val="000000"/>
          <w:sz w:val="32"/>
          <w:szCs w:val="32"/>
        </w:rPr>
      </w:pPr>
      <w:r>
        <w:rPr>
          <w:rFonts w:hint="eastAsia" w:ascii="楷体" w:hAnsi="楷体" w:eastAsia="楷体_GB2312" w:cs="楷体"/>
          <w:b/>
          <w:color w:val="000000"/>
          <w:sz w:val="32"/>
          <w:szCs w:val="32"/>
        </w:rPr>
        <w:t>第八条 基础管理规范</w:t>
      </w:r>
    </w:p>
    <w:p w14:paraId="66B2273B">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（一）园区服务中心负责能源计量器具的管理。能源计量器具的配备以满足能源管理的需要为前提，原则上一级计量器具配备率应达到</w:t>
      </w:r>
      <w:r>
        <w:rPr>
          <w:rFonts w:hint="eastAsia" w:eastAsia="仿宋_GB2312" w:cs="仿宋"/>
          <w:sz w:val="32"/>
          <w:szCs w:val="32"/>
        </w:rPr>
        <w:t>100</w:t>
      </w:r>
      <w:r>
        <w:rPr>
          <w:rFonts w:hint="eastAsia" w:ascii="仿宋" w:hAnsi="仿宋" w:eastAsia="仿宋_GB2312" w:cs="仿宋"/>
          <w:sz w:val="32"/>
          <w:szCs w:val="32"/>
        </w:rPr>
        <w:t>%，二级计量器具配备率应达到</w:t>
      </w:r>
      <w:r>
        <w:rPr>
          <w:rFonts w:hint="eastAsia" w:eastAsia="仿宋_GB2312" w:cs="仿宋"/>
          <w:sz w:val="32"/>
          <w:szCs w:val="32"/>
        </w:rPr>
        <w:t>80</w:t>
      </w:r>
      <w:r>
        <w:rPr>
          <w:rFonts w:hint="eastAsia" w:ascii="仿宋" w:hAnsi="仿宋" w:eastAsia="仿宋_GB2312" w:cs="仿宋"/>
          <w:sz w:val="32"/>
          <w:szCs w:val="32"/>
        </w:rPr>
        <w:t>%以上，三级计量器具配备率应达到</w:t>
      </w:r>
      <w:r>
        <w:rPr>
          <w:rFonts w:hint="eastAsia" w:eastAsia="仿宋_GB2312" w:cs="仿宋"/>
          <w:sz w:val="32"/>
          <w:szCs w:val="32"/>
        </w:rPr>
        <w:t>60</w:t>
      </w:r>
      <w:r>
        <w:rPr>
          <w:rFonts w:hint="eastAsia" w:ascii="仿宋" w:hAnsi="仿宋" w:eastAsia="仿宋_GB2312" w:cs="仿宋"/>
          <w:sz w:val="32"/>
          <w:szCs w:val="32"/>
        </w:rPr>
        <w:t>%以上，一、二级计量器具检测率应达到</w:t>
      </w:r>
      <w:r>
        <w:rPr>
          <w:rFonts w:hint="eastAsia" w:eastAsia="仿宋_GB2312" w:cs="仿宋"/>
          <w:sz w:val="32"/>
          <w:szCs w:val="32"/>
        </w:rPr>
        <w:t>100</w:t>
      </w:r>
      <w:r>
        <w:rPr>
          <w:rFonts w:hint="eastAsia" w:ascii="仿宋" w:hAnsi="仿宋" w:eastAsia="仿宋_GB2312" w:cs="仿宋"/>
          <w:sz w:val="32"/>
          <w:szCs w:val="32"/>
        </w:rPr>
        <w:t>%。</w:t>
      </w:r>
    </w:p>
    <w:p w14:paraId="5B97E078">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（二）能源统计分析应按当月/年如实建立健全消耗原始记录、台账，有效反映能源使用过程中的问题及变化，为</w:t>
      </w:r>
      <w:r>
        <w:rPr>
          <w:rFonts w:ascii="仿宋" w:hAnsi="仿宋" w:eastAsia="仿宋_GB2312" w:cs="仿宋"/>
          <w:sz w:val="32"/>
          <w:szCs w:val="32"/>
        </w:rPr>
        <w:t>挖掘</w:t>
      </w:r>
      <w:r>
        <w:rPr>
          <w:rFonts w:hint="eastAsia" w:ascii="仿宋" w:hAnsi="仿宋" w:eastAsia="仿宋_GB2312" w:cs="仿宋"/>
          <w:sz w:val="32"/>
          <w:szCs w:val="32"/>
        </w:rPr>
        <w:t>节能潜力、</w:t>
      </w:r>
      <w:r>
        <w:rPr>
          <w:rFonts w:ascii="仿宋" w:hAnsi="仿宋" w:eastAsia="仿宋_GB2312" w:cs="仿宋"/>
          <w:sz w:val="32"/>
          <w:szCs w:val="32"/>
        </w:rPr>
        <w:t>探索</w:t>
      </w:r>
      <w:r>
        <w:rPr>
          <w:rFonts w:hint="eastAsia" w:ascii="仿宋" w:hAnsi="仿宋" w:eastAsia="仿宋_GB2312" w:cs="仿宋"/>
          <w:sz w:val="32"/>
          <w:szCs w:val="32"/>
        </w:rPr>
        <w:t>节能方向、</w:t>
      </w:r>
      <w:r>
        <w:rPr>
          <w:rFonts w:ascii="仿宋" w:hAnsi="仿宋" w:eastAsia="仿宋_GB2312" w:cs="仿宋"/>
          <w:sz w:val="32"/>
          <w:szCs w:val="32"/>
        </w:rPr>
        <w:t>实施节能</w:t>
      </w:r>
      <w:r>
        <w:rPr>
          <w:rFonts w:hint="eastAsia" w:ascii="仿宋" w:hAnsi="仿宋" w:eastAsia="仿宋_GB2312" w:cs="仿宋"/>
          <w:sz w:val="32"/>
          <w:szCs w:val="32"/>
        </w:rPr>
        <w:t>改造提供依据。</w:t>
      </w:r>
    </w:p>
    <w:p w14:paraId="6C8B33DB">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（三）园区服务中心应合理安排自产能源的生产、供应工作，在安全、环保、经济的前提下，满足园区内科研、生产的用能需求。</w:t>
      </w:r>
    </w:p>
    <w:p w14:paraId="335157B7">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（四）各单位应按《四川九洲投资控股集团有限公司园区服务收费管理办法》及时结清能耗费，对拖欠能耗费用超过</w:t>
      </w:r>
      <w:r>
        <w:rPr>
          <w:rFonts w:hint="eastAsia" w:eastAsia="仿宋_GB2312" w:cs="仿宋"/>
          <w:sz w:val="32"/>
          <w:szCs w:val="32"/>
        </w:rPr>
        <w:t>90</w:t>
      </w:r>
      <w:r>
        <w:rPr>
          <w:rFonts w:hint="eastAsia" w:ascii="仿宋" w:hAnsi="仿宋" w:eastAsia="仿宋_GB2312" w:cs="仿宋"/>
          <w:sz w:val="32"/>
          <w:szCs w:val="32"/>
        </w:rPr>
        <w:t>天的，自第91天起按应付款的</w:t>
      </w:r>
      <w:r>
        <w:rPr>
          <w:rFonts w:eastAsia="仿宋_GB2312"/>
          <w:sz w:val="32"/>
          <w:szCs w:val="32"/>
        </w:rPr>
        <w:t>0.05%</w:t>
      </w:r>
      <w:r>
        <w:rPr>
          <w:rFonts w:hint="eastAsia" w:eastAsia="仿宋_GB2312"/>
          <w:sz w:val="32"/>
          <w:szCs w:val="32"/>
        </w:rPr>
        <w:t>/</w:t>
      </w:r>
      <w:r>
        <w:rPr>
          <w:rFonts w:hint="eastAsia" w:ascii="仿宋" w:hAnsi="仿宋" w:eastAsia="仿宋_GB2312" w:cs="仿宋"/>
          <w:sz w:val="32"/>
          <w:szCs w:val="32"/>
        </w:rPr>
        <w:t>天缴纳滞纳金。</w:t>
      </w:r>
    </w:p>
    <w:p w14:paraId="529EC465">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（五）新装能源计量装置投用前，使用单位应通知园区服务中心共同进行现场数据核对，投用前未核对计量数据的，一律按起始数据（以零作为起始值）进行计费。</w:t>
      </w:r>
    </w:p>
    <w:p w14:paraId="2FE14A62">
      <w:pPr>
        <w:spacing w:line="560" w:lineRule="exact"/>
        <w:ind w:firstLine="640" w:firstLineChars="200"/>
        <w:rPr>
          <w:rFonts w:ascii="仿宋" w:hAnsi="仿宋" w:eastAsia="仿宋_GB2312" w:cs="仿宋"/>
          <w:sz w:val="32"/>
          <w:szCs w:val="32"/>
        </w:rPr>
      </w:pPr>
      <w:r>
        <w:rPr>
          <w:rFonts w:hint="eastAsia" w:eastAsia="仿宋_GB2312" w:cs="仿宋"/>
          <w:color w:val="000000"/>
          <w:sz w:val="32"/>
          <w:szCs w:val="32"/>
        </w:rPr>
        <w:t>（六）</w:t>
      </w:r>
      <w:r>
        <w:rPr>
          <w:rFonts w:hint="eastAsia" w:ascii="仿宋" w:hAnsi="仿宋" w:eastAsia="仿宋_GB2312" w:cs="仿宋"/>
          <w:color w:val="000000"/>
          <w:sz w:val="32"/>
          <w:szCs w:val="32"/>
        </w:rPr>
        <w:t>承办单位负责第三方用能管理，由园区服务中心指定用能接入点位和计量器具的查验，用能价格按园区相关收费标准执行，园区服务中心负责定时收缴能耗费用并上缴财务管理部。禁止第三方单位擅自改动能源计量器具和供能管线，否则造成的一切损失由责任者</w:t>
      </w:r>
      <w:r>
        <w:rPr>
          <w:rFonts w:hint="eastAsia" w:ascii="仿宋" w:hAnsi="仿宋" w:eastAsia="仿宋_GB2312" w:cs="仿宋"/>
          <w:color w:val="000000"/>
          <w:sz w:val="32"/>
          <w:szCs w:val="32"/>
          <w:lang w:val="en-US" w:eastAsia="zh-CN"/>
        </w:rPr>
        <w:t>承担</w:t>
      </w:r>
      <w:r>
        <w:rPr>
          <w:rFonts w:hint="eastAsia" w:ascii="仿宋" w:hAnsi="仿宋" w:eastAsia="仿宋_GB2312" w:cs="仿宋"/>
          <w:color w:val="000000"/>
          <w:sz w:val="32"/>
          <w:szCs w:val="32"/>
        </w:rPr>
        <w:t>全额赔偿</w:t>
      </w:r>
      <w:r>
        <w:rPr>
          <w:rFonts w:hint="eastAsia" w:ascii="仿宋" w:hAnsi="仿宋" w:eastAsia="仿宋_GB2312" w:cs="仿宋"/>
          <w:color w:val="000000"/>
          <w:sz w:val="32"/>
          <w:szCs w:val="32"/>
          <w:lang w:val="en-US" w:eastAsia="zh-CN"/>
        </w:rPr>
        <w:t>责任</w:t>
      </w:r>
      <w:r>
        <w:rPr>
          <w:rFonts w:hint="eastAsia" w:ascii="仿宋" w:hAnsi="仿宋" w:eastAsia="仿宋_GB2312" w:cs="仿宋"/>
          <w:color w:val="000000"/>
          <w:sz w:val="32"/>
          <w:szCs w:val="32"/>
        </w:rPr>
        <w:t>，情节严重者公司保留追究其法律责任的权利。</w:t>
      </w:r>
    </w:p>
    <w:p w14:paraId="70EF5675">
      <w:pPr>
        <w:spacing w:line="560" w:lineRule="exact"/>
        <w:ind w:firstLine="643" w:firstLineChars="200"/>
        <w:rPr>
          <w:rFonts w:ascii="楷体" w:hAnsi="楷体" w:eastAsia="楷体_GB2312" w:cs="楷体"/>
          <w:b/>
          <w:color w:val="000000"/>
          <w:sz w:val="32"/>
          <w:szCs w:val="32"/>
        </w:rPr>
      </w:pPr>
      <w:r>
        <w:rPr>
          <w:rFonts w:hint="eastAsia" w:ascii="楷体" w:hAnsi="楷体" w:eastAsia="楷体_GB2312" w:cs="楷体"/>
          <w:b/>
          <w:color w:val="000000"/>
          <w:sz w:val="32"/>
          <w:szCs w:val="32"/>
        </w:rPr>
        <w:t>第九条 节能使用规范</w:t>
      </w:r>
    </w:p>
    <w:p w14:paraId="28D4C3F0">
      <w:pPr>
        <w:pStyle w:val="20"/>
        <w:spacing w:line="560" w:lineRule="exact"/>
        <w:ind w:firstLine="640"/>
        <w:rPr>
          <w:rFonts w:ascii="仿宋" w:hAnsi="仿宋" w:eastAsia="仿宋_GB2312" w:cs="仿宋"/>
          <w:sz w:val="32"/>
          <w:szCs w:val="32"/>
        </w:rPr>
      </w:pPr>
      <w:r>
        <w:rPr>
          <w:rFonts w:hint="eastAsia" w:ascii="仿宋" w:hAnsi="仿宋" w:eastAsia="仿宋_GB2312" w:cs="仿宋"/>
          <w:sz w:val="32"/>
          <w:szCs w:val="32"/>
        </w:rPr>
        <w:t>（一）办公场所应根据实际需求开关照明灯，优先使用自然光照明，严禁开启“禁开开关”</w:t>
      </w:r>
      <w:r>
        <w:rPr>
          <w:rFonts w:ascii="仿宋" w:hAnsi="仿宋" w:eastAsia="仿宋_GB2312" w:cs="仿宋"/>
          <w:sz w:val="32"/>
          <w:szCs w:val="32"/>
        </w:rPr>
        <w:t>；</w:t>
      </w:r>
      <w:r>
        <w:rPr>
          <w:rFonts w:hint="eastAsia" w:ascii="仿宋" w:hAnsi="仿宋" w:eastAsia="仿宋_GB2312" w:cs="仿宋"/>
          <w:sz w:val="32"/>
          <w:szCs w:val="32"/>
        </w:rPr>
        <w:t>各单位负责本单位责任区域内所有照明电源，严格</w:t>
      </w:r>
      <w:r>
        <w:rPr>
          <w:rFonts w:ascii="仿宋" w:hAnsi="仿宋" w:eastAsia="仿宋_GB2312" w:cs="仿宋"/>
          <w:sz w:val="32"/>
          <w:szCs w:val="32"/>
        </w:rPr>
        <w:t>执行</w:t>
      </w:r>
      <w:r>
        <w:rPr>
          <w:rFonts w:hint="eastAsia" w:ascii="仿宋" w:hAnsi="仿宋" w:eastAsia="仿宋_GB2312" w:cs="仿宋"/>
          <w:sz w:val="32"/>
          <w:szCs w:val="32"/>
        </w:rPr>
        <w:t>“人离灯熄”，坚决杜绝“长明灯”。</w:t>
      </w:r>
    </w:p>
    <w:p w14:paraId="056D845D">
      <w:pPr>
        <w:pStyle w:val="20"/>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二）用水点位张贴节水标识，加强节能宣传，增强环保意识。绿化、保洁、景观用水应优先使用收集的雨水或自然水体，杜绝“放水溢流”“积水成潭”“跑冒滴漏”现象的发生，取水时应确保取水器具完好无泄漏，取水后及时关紧水阀，如遇漏水应及时通知相关单位处理。</w:t>
      </w:r>
    </w:p>
    <w:p w14:paraId="557BA3C6">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（三）禁止在空调使用过程中大开门、窗。</w:t>
      </w:r>
      <w:r>
        <w:rPr>
          <w:rFonts w:hint="eastAsia" w:ascii="仿宋" w:hAnsi="仿宋" w:eastAsia="仿宋_GB2312" w:cs="仿宋"/>
          <w:spacing w:val="0"/>
          <w:sz w:val="32"/>
          <w:szCs w:val="32"/>
        </w:rPr>
        <w:t>禁止开启电梯间</w:t>
      </w:r>
      <w:r>
        <w:rPr>
          <w:rFonts w:hint="eastAsia" w:ascii="仿宋" w:hAnsi="仿宋" w:eastAsia="仿宋_GB2312" w:cs="仿宋"/>
          <w:spacing w:val="-8"/>
          <w:sz w:val="32"/>
          <w:szCs w:val="32"/>
        </w:rPr>
        <w:t>、开水间等公共区域的空调。</w:t>
      </w:r>
    </w:p>
    <w:p w14:paraId="0346C16B">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（四）夏、秋季每日最高体感温度高于</w:t>
      </w:r>
      <w:r>
        <w:rPr>
          <w:rFonts w:hint="eastAsia" w:eastAsia="仿宋_GB2312" w:cs="仿宋"/>
          <w:sz w:val="32"/>
          <w:szCs w:val="32"/>
        </w:rPr>
        <w:t>30</w:t>
      </w:r>
      <w:r>
        <w:rPr>
          <w:rFonts w:hint="eastAsia" w:ascii="仿宋" w:hAnsi="仿宋" w:eastAsia="仿宋_GB2312" w:cs="仿宋"/>
          <w:sz w:val="32"/>
          <w:szCs w:val="32"/>
        </w:rPr>
        <w:t>℃，冬季每日最低体感温度低于</w:t>
      </w:r>
      <w:r>
        <w:rPr>
          <w:rFonts w:hint="eastAsia" w:eastAsia="仿宋_GB2312" w:cs="仿宋"/>
          <w:sz w:val="32"/>
          <w:szCs w:val="32"/>
        </w:rPr>
        <w:t>10</w:t>
      </w:r>
      <w:r>
        <w:rPr>
          <w:rFonts w:hint="eastAsia" w:ascii="仿宋" w:hAnsi="仿宋" w:eastAsia="仿宋_GB2312" w:cs="仿宋"/>
          <w:sz w:val="32"/>
          <w:szCs w:val="32"/>
        </w:rPr>
        <w:t>℃时，可开启空调。原则上，办公区域工作日空调供给时段：</w:t>
      </w:r>
      <w:r>
        <w:rPr>
          <w:rFonts w:hint="eastAsia" w:eastAsia="仿宋_GB2312" w:cs="仿宋"/>
          <w:sz w:val="32"/>
          <w:szCs w:val="32"/>
        </w:rPr>
        <w:t>8</w:t>
      </w:r>
      <w:r>
        <w:rPr>
          <w:rFonts w:hint="eastAsia" w:ascii="仿宋" w:hAnsi="仿宋" w:eastAsia="仿宋_GB2312" w:cs="仿宋"/>
          <w:sz w:val="32"/>
          <w:szCs w:val="32"/>
        </w:rPr>
        <w:t>:</w:t>
      </w:r>
      <w:r>
        <w:rPr>
          <w:rFonts w:hint="eastAsia" w:eastAsia="仿宋_GB2312" w:cs="仿宋"/>
          <w:sz w:val="32"/>
          <w:szCs w:val="32"/>
        </w:rPr>
        <w:t>30</w:t>
      </w:r>
      <w:r>
        <w:rPr>
          <w:rFonts w:hint="eastAsia" w:ascii="仿宋" w:hAnsi="仿宋" w:eastAsia="仿宋_GB2312" w:cs="仿宋"/>
          <w:sz w:val="32"/>
          <w:szCs w:val="32"/>
        </w:rPr>
        <w:t>—</w:t>
      </w:r>
      <w:r>
        <w:rPr>
          <w:rFonts w:hint="eastAsia" w:eastAsia="仿宋_GB2312" w:cs="仿宋"/>
          <w:sz w:val="32"/>
          <w:szCs w:val="32"/>
        </w:rPr>
        <w:t>17</w:t>
      </w:r>
      <w:r>
        <w:rPr>
          <w:rFonts w:hint="eastAsia" w:ascii="仿宋" w:hAnsi="仿宋" w:eastAsia="仿宋_GB2312" w:cs="仿宋"/>
          <w:sz w:val="32"/>
          <w:szCs w:val="32"/>
        </w:rPr>
        <w:t>:</w:t>
      </w:r>
      <w:r>
        <w:rPr>
          <w:rFonts w:hint="eastAsia" w:eastAsia="仿宋_GB2312" w:cs="仿宋"/>
          <w:sz w:val="32"/>
          <w:szCs w:val="32"/>
        </w:rPr>
        <w:t>30</w:t>
      </w:r>
      <w:r>
        <w:rPr>
          <w:rFonts w:hint="eastAsia" w:ascii="仿宋" w:hAnsi="仿宋" w:eastAsia="仿宋_GB2312" w:cs="仿宋"/>
          <w:sz w:val="32"/>
          <w:szCs w:val="32"/>
        </w:rPr>
        <w:t>；食堂工作日空调供给时段：</w:t>
      </w:r>
      <w:r>
        <w:rPr>
          <w:rFonts w:hint="eastAsia" w:eastAsia="仿宋_GB2312" w:cs="仿宋"/>
          <w:sz w:val="32"/>
          <w:szCs w:val="32"/>
        </w:rPr>
        <w:t>07</w:t>
      </w:r>
      <w:r>
        <w:rPr>
          <w:rFonts w:hint="eastAsia" w:ascii="仿宋" w:hAnsi="仿宋" w:eastAsia="仿宋_GB2312" w:cs="仿宋"/>
          <w:sz w:val="32"/>
          <w:szCs w:val="32"/>
        </w:rPr>
        <w:t>:</w:t>
      </w:r>
      <w:r>
        <w:rPr>
          <w:rFonts w:hint="eastAsia" w:eastAsia="仿宋_GB2312" w:cs="仿宋"/>
          <w:sz w:val="32"/>
          <w:szCs w:val="32"/>
        </w:rPr>
        <w:t>30</w:t>
      </w:r>
      <w:r>
        <w:rPr>
          <w:rFonts w:hint="eastAsia" w:ascii="仿宋" w:hAnsi="仿宋" w:eastAsia="仿宋_GB2312" w:cs="仿宋"/>
          <w:sz w:val="32"/>
          <w:szCs w:val="32"/>
        </w:rPr>
        <w:t>—</w:t>
      </w:r>
      <w:r>
        <w:rPr>
          <w:rFonts w:hint="eastAsia" w:eastAsia="仿宋_GB2312" w:cs="仿宋"/>
          <w:sz w:val="32"/>
          <w:szCs w:val="32"/>
        </w:rPr>
        <w:t>08</w:t>
      </w:r>
      <w:r>
        <w:rPr>
          <w:rFonts w:hint="eastAsia" w:ascii="仿宋" w:hAnsi="仿宋" w:eastAsia="仿宋_GB2312" w:cs="仿宋"/>
          <w:sz w:val="32"/>
          <w:szCs w:val="32"/>
        </w:rPr>
        <w:t>:</w:t>
      </w:r>
      <w:r>
        <w:rPr>
          <w:rFonts w:hint="eastAsia" w:eastAsia="仿宋_GB2312" w:cs="仿宋"/>
          <w:sz w:val="32"/>
          <w:szCs w:val="32"/>
        </w:rPr>
        <w:t>30</w:t>
      </w:r>
      <w:r>
        <w:rPr>
          <w:rFonts w:hint="eastAsia" w:ascii="仿宋" w:hAnsi="仿宋" w:eastAsia="仿宋_GB2312" w:cs="仿宋"/>
          <w:sz w:val="32"/>
          <w:szCs w:val="32"/>
        </w:rPr>
        <w:t>，</w:t>
      </w:r>
      <w:r>
        <w:rPr>
          <w:rFonts w:hint="eastAsia" w:eastAsia="仿宋_GB2312" w:cs="仿宋"/>
          <w:sz w:val="32"/>
          <w:szCs w:val="32"/>
        </w:rPr>
        <w:t>11</w:t>
      </w:r>
      <w:r>
        <w:rPr>
          <w:rFonts w:hint="eastAsia" w:ascii="仿宋" w:hAnsi="仿宋" w:eastAsia="仿宋_GB2312" w:cs="仿宋"/>
          <w:sz w:val="32"/>
          <w:szCs w:val="32"/>
        </w:rPr>
        <w:t>:</w:t>
      </w:r>
      <w:r>
        <w:rPr>
          <w:rFonts w:hint="eastAsia" w:eastAsia="仿宋_GB2312" w:cs="仿宋"/>
          <w:sz w:val="32"/>
          <w:szCs w:val="32"/>
        </w:rPr>
        <w:t>30</w:t>
      </w:r>
      <w:r>
        <w:rPr>
          <w:rFonts w:hint="eastAsia" w:ascii="仿宋" w:hAnsi="仿宋" w:eastAsia="仿宋_GB2312" w:cs="仿宋"/>
          <w:sz w:val="32"/>
          <w:szCs w:val="32"/>
        </w:rPr>
        <w:t>—</w:t>
      </w:r>
      <w:r>
        <w:rPr>
          <w:rFonts w:hint="eastAsia" w:eastAsia="仿宋_GB2312" w:cs="仿宋"/>
          <w:sz w:val="32"/>
          <w:szCs w:val="32"/>
        </w:rPr>
        <w:t>12</w:t>
      </w:r>
      <w:r>
        <w:rPr>
          <w:rFonts w:hint="eastAsia" w:ascii="仿宋" w:hAnsi="仿宋" w:eastAsia="仿宋_GB2312" w:cs="仿宋"/>
          <w:sz w:val="32"/>
          <w:szCs w:val="32"/>
        </w:rPr>
        <w:t>:</w:t>
      </w:r>
      <w:r>
        <w:rPr>
          <w:rFonts w:hint="eastAsia" w:eastAsia="仿宋_GB2312" w:cs="仿宋"/>
          <w:sz w:val="32"/>
          <w:szCs w:val="32"/>
        </w:rPr>
        <w:t>40</w:t>
      </w:r>
      <w:r>
        <w:rPr>
          <w:rFonts w:hint="eastAsia" w:ascii="仿宋" w:hAnsi="仿宋" w:eastAsia="仿宋_GB2312" w:cs="仿宋"/>
          <w:sz w:val="32"/>
          <w:szCs w:val="32"/>
        </w:rPr>
        <w:t>，</w:t>
      </w:r>
      <w:r>
        <w:rPr>
          <w:rFonts w:hint="eastAsia" w:eastAsia="仿宋_GB2312" w:cs="仿宋"/>
          <w:sz w:val="32"/>
          <w:szCs w:val="32"/>
        </w:rPr>
        <w:t>17</w:t>
      </w:r>
      <w:r>
        <w:rPr>
          <w:rFonts w:hint="eastAsia" w:ascii="仿宋" w:hAnsi="仿宋" w:eastAsia="仿宋_GB2312" w:cs="仿宋"/>
          <w:sz w:val="32"/>
          <w:szCs w:val="32"/>
        </w:rPr>
        <w:t>:</w:t>
      </w:r>
      <w:r>
        <w:rPr>
          <w:rFonts w:hint="eastAsia" w:eastAsia="仿宋_GB2312" w:cs="仿宋"/>
          <w:sz w:val="32"/>
          <w:szCs w:val="32"/>
        </w:rPr>
        <w:t>20</w:t>
      </w:r>
      <w:r>
        <w:rPr>
          <w:rFonts w:hint="eastAsia" w:ascii="仿宋" w:hAnsi="仿宋" w:eastAsia="仿宋_GB2312" w:cs="仿宋"/>
          <w:sz w:val="32"/>
          <w:szCs w:val="32"/>
        </w:rPr>
        <w:t>-</w:t>
      </w:r>
      <w:r>
        <w:rPr>
          <w:rFonts w:hint="eastAsia" w:eastAsia="仿宋_GB2312" w:cs="仿宋"/>
          <w:sz w:val="32"/>
          <w:szCs w:val="32"/>
        </w:rPr>
        <w:t>18</w:t>
      </w:r>
      <w:r>
        <w:rPr>
          <w:rFonts w:hint="eastAsia" w:ascii="仿宋" w:hAnsi="仿宋" w:eastAsia="仿宋_GB2312" w:cs="仿宋"/>
          <w:sz w:val="32"/>
          <w:szCs w:val="32"/>
        </w:rPr>
        <w:t>:</w:t>
      </w:r>
      <w:r>
        <w:rPr>
          <w:rFonts w:hint="eastAsia" w:eastAsia="仿宋_GB2312" w:cs="仿宋"/>
          <w:sz w:val="32"/>
          <w:szCs w:val="32"/>
        </w:rPr>
        <w:t>20</w:t>
      </w:r>
      <w:r>
        <w:rPr>
          <w:rFonts w:hint="eastAsia" w:ascii="仿宋" w:hAnsi="仿宋" w:eastAsia="仿宋_GB2312" w:cs="仿宋"/>
          <w:sz w:val="32"/>
          <w:szCs w:val="32"/>
        </w:rPr>
        <w:t>。</w:t>
      </w:r>
    </w:p>
    <w:p w14:paraId="4C76DB38">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（五）夏季空调制冷温度设置不低于</w:t>
      </w:r>
      <w:r>
        <w:rPr>
          <w:rFonts w:hint="eastAsia" w:eastAsia="仿宋_GB2312" w:cs="仿宋"/>
          <w:sz w:val="32"/>
          <w:szCs w:val="32"/>
        </w:rPr>
        <w:t>26</w:t>
      </w:r>
      <w:r>
        <w:rPr>
          <w:rFonts w:hint="eastAsia" w:ascii="仿宋" w:hAnsi="仿宋" w:eastAsia="仿宋_GB2312" w:cs="仿宋"/>
          <w:sz w:val="32"/>
          <w:szCs w:val="32"/>
        </w:rPr>
        <w:t>℃，冬季空调制热温度设置不高于</w:t>
      </w:r>
      <w:r>
        <w:rPr>
          <w:rFonts w:hint="eastAsia" w:eastAsia="仿宋_GB2312" w:cs="仿宋"/>
          <w:sz w:val="32"/>
          <w:szCs w:val="32"/>
        </w:rPr>
        <w:t>20</w:t>
      </w:r>
      <w:r>
        <w:rPr>
          <w:rFonts w:hint="eastAsia" w:ascii="仿宋" w:hAnsi="仿宋" w:eastAsia="仿宋_GB2312" w:cs="仿宋"/>
          <w:sz w:val="32"/>
          <w:szCs w:val="32"/>
        </w:rPr>
        <w:t>℃，生产、科研区域空调温度按工艺要求设置。</w:t>
      </w:r>
    </w:p>
    <w:p w14:paraId="06C4D9C7">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（六）</w:t>
      </w:r>
      <w:r>
        <w:rPr>
          <w:rFonts w:ascii="仿宋" w:hAnsi="仿宋" w:eastAsia="仿宋_GB2312" w:cs="仿宋"/>
          <w:sz w:val="32"/>
          <w:szCs w:val="32"/>
        </w:rPr>
        <w:t>各单位</w:t>
      </w:r>
      <w:r>
        <w:rPr>
          <w:rFonts w:hint="eastAsia" w:ascii="仿宋" w:hAnsi="仿宋" w:eastAsia="仿宋_GB2312" w:cs="仿宋"/>
          <w:sz w:val="32"/>
          <w:szCs w:val="32"/>
        </w:rPr>
        <w:t>加班、重要接待、大型会议</w:t>
      </w:r>
      <w:r>
        <w:rPr>
          <w:rFonts w:ascii="仿宋" w:hAnsi="仿宋" w:eastAsia="仿宋_GB2312" w:cs="仿宋"/>
          <w:sz w:val="32"/>
          <w:szCs w:val="32"/>
        </w:rPr>
        <w:t>需</w:t>
      </w:r>
      <w:r>
        <w:rPr>
          <w:rFonts w:hint="eastAsia" w:ascii="仿宋" w:hAnsi="仿宋" w:eastAsia="仿宋_GB2312" w:cs="仿宋"/>
          <w:sz w:val="32"/>
          <w:szCs w:val="32"/>
        </w:rPr>
        <w:t>使用中央空调</w:t>
      </w:r>
      <w:r>
        <w:rPr>
          <w:rFonts w:ascii="仿宋" w:hAnsi="仿宋" w:eastAsia="仿宋_GB2312" w:cs="仿宋"/>
          <w:sz w:val="32"/>
          <w:szCs w:val="32"/>
        </w:rPr>
        <w:t>时</w:t>
      </w:r>
      <w:r>
        <w:rPr>
          <w:rFonts w:hint="eastAsia" w:ascii="仿宋" w:hAnsi="仿宋" w:eastAsia="仿宋_GB2312" w:cs="仿宋"/>
          <w:sz w:val="32"/>
          <w:szCs w:val="32"/>
        </w:rPr>
        <w:t>，</w:t>
      </w:r>
      <w:r>
        <w:rPr>
          <w:rFonts w:ascii="仿宋" w:hAnsi="仿宋" w:eastAsia="仿宋_GB2312" w:cs="仿宋"/>
          <w:sz w:val="32"/>
          <w:szCs w:val="32"/>
        </w:rPr>
        <w:t>应由能源监管员（或其他经单位授权的人员）</w:t>
      </w:r>
      <w:r>
        <w:rPr>
          <w:rFonts w:hint="eastAsia" w:ascii="仿宋" w:hAnsi="仿宋" w:eastAsia="仿宋_GB2312" w:cs="仿宋"/>
          <w:sz w:val="32"/>
          <w:szCs w:val="32"/>
        </w:rPr>
        <w:t>提前一个工作日向园区服务中心</w:t>
      </w:r>
      <w:r>
        <w:rPr>
          <w:rFonts w:ascii="仿宋" w:hAnsi="仿宋" w:eastAsia="仿宋_GB2312" w:cs="仿宋"/>
          <w:sz w:val="32"/>
          <w:szCs w:val="32"/>
        </w:rPr>
        <w:t>报备并承担空调使用相关的能耗费用</w:t>
      </w:r>
      <w:r>
        <w:rPr>
          <w:rFonts w:hint="eastAsia" w:ascii="仿宋" w:hAnsi="仿宋" w:eastAsia="仿宋_GB2312" w:cs="仿宋"/>
          <w:sz w:val="32"/>
          <w:szCs w:val="32"/>
        </w:rPr>
        <w:t>。</w:t>
      </w:r>
    </w:p>
    <w:p w14:paraId="48E35706">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（七）各单位加强用能现场管理，对本单位用能设备、设施及管线进行定期巡检，做好自来水、冷温水、天然气和压缩空气等的防泄漏管理，做好管网和阀门的日常维护、检修工作，杜绝能源浪费现象发生。</w:t>
      </w:r>
    </w:p>
    <w:p w14:paraId="548E4FB4">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（八）各单位合理安排大功率生产、试验设备的使用时间，满足条件的情况下做到错峰用能。</w:t>
      </w:r>
    </w:p>
    <w:p w14:paraId="72949404">
      <w:pPr>
        <w:pStyle w:val="20"/>
        <w:spacing w:line="560" w:lineRule="exact"/>
        <w:ind w:firstLine="643"/>
        <w:rPr>
          <w:rFonts w:ascii="楷体" w:hAnsi="楷体" w:eastAsia="楷体_GB2312" w:cs="楷体"/>
          <w:b/>
          <w:color w:val="000000"/>
          <w:sz w:val="32"/>
          <w:szCs w:val="32"/>
        </w:rPr>
      </w:pPr>
      <w:r>
        <w:rPr>
          <w:rFonts w:hint="eastAsia" w:ascii="楷体" w:hAnsi="楷体" w:eastAsia="楷体_GB2312" w:cs="楷体"/>
          <w:b/>
          <w:color w:val="000000"/>
          <w:sz w:val="32"/>
          <w:szCs w:val="32"/>
        </w:rPr>
        <w:t>第十条 安全使用规范</w:t>
      </w:r>
    </w:p>
    <w:p w14:paraId="48FF3F4F">
      <w:pPr>
        <w:spacing w:line="560" w:lineRule="exact"/>
        <w:ind w:firstLine="640" w:firstLineChars="200"/>
        <w:rPr>
          <w:rFonts w:ascii="楷体" w:hAnsi="楷体" w:eastAsia="楷体_GB2312" w:cs="楷体"/>
          <w:b/>
          <w:color w:val="000000"/>
          <w:sz w:val="32"/>
          <w:szCs w:val="32"/>
        </w:rPr>
      </w:pPr>
      <w:r>
        <w:rPr>
          <w:rFonts w:hint="eastAsia" w:ascii="仿宋" w:hAnsi="仿宋" w:eastAsia="仿宋_GB2312" w:cs="仿宋"/>
          <w:sz w:val="32"/>
          <w:szCs w:val="32"/>
        </w:rPr>
        <w:t>（一）能源使用安全应坚持谁使用谁负责的原则</w:t>
      </w:r>
      <w:r>
        <w:rPr>
          <w:rFonts w:ascii="仿宋" w:hAnsi="仿宋" w:eastAsia="仿宋_GB2312" w:cs="仿宋"/>
          <w:sz w:val="32"/>
          <w:szCs w:val="32"/>
        </w:rPr>
        <w:t>。</w:t>
      </w:r>
    </w:p>
    <w:p w14:paraId="032C9C3C">
      <w:pPr>
        <w:spacing w:line="560" w:lineRule="exact"/>
        <w:ind w:firstLine="640" w:firstLineChars="200"/>
        <w:rPr>
          <w:rFonts w:ascii="仿宋" w:hAnsi="仿宋" w:eastAsia="仿宋_GB2312" w:cs="仿宋"/>
          <w:color w:val="000000"/>
          <w:sz w:val="32"/>
          <w:szCs w:val="32"/>
        </w:rPr>
      </w:pPr>
      <w:r>
        <w:rPr>
          <w:rFonts w:hint="eastAsia" w:ascii="仿宋" w:hAnsi="仿宋" w:eastAsia="仿宋_GB2312" w:cs="仿宋"/>
          <w:color w:val="000000"/>
          <w:sz w:val="32"/>
          <w:szCs w:val="32"/>
        </w:rPr>
        <w:t>（二）用电负荷管理。</w:t>
      </w:r>
    </w:p>
    <w:p w14:paraId="617257CD">
      <w:pPr>
        <w:spacing w:line="560" w:lineRule="exact"/>
        <w:ind w:firstLine="640" w:firstLineChars="200"/>
        <w:rPr>
          <w:rFonts w:ascii="仿宋" w:hAnsi="仿宋" w:eastAsia="仿宋_GB2312" w:cs="仿宋"/>
          <w:color w:val="000000"/>
          <w:sz w:val="32"/>
          <w:szCs w:val="32"/>
        </w:rPr>
      </w:pPr>
      <w:r>
        <w:rPr>
          <w:rFonts w:hint="eastAsia" w:eastAsia="仿宋_GB2312" w:cs="仿宋"/>
          <w:color w:val="000000"/>
          <w:sz w:val="32"/>
          <w:szCs w:val="32"/>
        </w:rPr>
        <w:t>1</w:t>
      </w:r>
      <w:r>
        <w:rPr>
          <w:rFonts w:hint="eastAsia" w:ascii="仿宋" w:hAnsi="仿宋" w:eastAsia="仿宋_GB2312" w:cs="仿宋"/>
          <w:color w:val="000000"/>
          <w:sz w:val="32"/>
          <w:szCs w:val="32"/>
        </w:rPr>
        <w:t>.园区各单位负荷调整、增容</w:t>
      </w:r>
      <w:r>
        <w:rPr>
          <w:rStyle w:val="18"/>
          <w:rFonts w:hint="eastAsia" w:ascii="仿宋" w:hAnsi="仿宋" w:eastAsia="仿宋_GB2312" w:cs="仿宋"/>
          <w:color w:val="000000"/>
          <w:sz w:val="32"/>
          <w:szCs w:val="32"/>
        </w:rPr>
        <w:footnoteReference w:id="1"/>
      </w:r>
      <w:r>
        <w:rPr>
          <w:rFonts w:hint="eastAsia" w:ascii="仿宋" w:hAnsi="仿宋" w:eastAsia="仿宋_GB2312" w:cs="仿宋"/>
          <w:color w:val="000000"/>
          <w:sz w:val="32"/>
          <w:szCs w:val="32"/>
        </w:rPr>
        <w:t>或扩容</w:t>
      </w:r>
      <w:r>
        <w:rPr>
          <w:rStyle w:val="18"/>
          <w:rFonts w:hint="eastAsia" w:ascii="仿宋" w:hAnsi="仿宋" w:eastAsia="仿宋_GB2312" w:cs="仿宋"/>
          <w:color w:val="000000"/>
          <w:sz w:val="32"/>
          <w:szCs w:val="32"/>
        </w:rPr>
        <w:footnoteReference w:id="2"/>
      </w:r>
      <w:r>
        <w:rPr>
          <w:rFonts w:hint="eastAsia" w:ascii="仿宋" w:hAnsi="仿宋" w:eastAsia="仿宋_GB2312" w:cs="仿宋"/>
          <w:color w:val="000000"/>
          <w:sz w:val="32"/>
          <w:szCs w:val="32"/>
        </w:rPr>
        <w:t>应向园区服务中心报备、申请，由园区服务中心负责评估审批或统筹办理相关用电手续后方可实施，各单位不得擅自实施相关改造。</w:t>
      </w:r>
    </w:p>
    <w:p w14:paraId="7A9F418B">
      <w:pPr>
        <w:spacing w:line="560" w:lineRule="exact"/>
        <w:ind w:firstLine="640" w:firstLineChars="200"/>
        <w:rPr>
          <w:rFonts w:ascii="仿宋" w:hAnsi="仿宋" w:eastAsia="仿宋_GB2312" w:cs="仿宋"/>
          <w:color w:val="000000"/>
          <w:sz w:val="32"/>
          <w:szCs w:val="32"/>
        </w:rPr>
      </w:pPr>
      <w:r>
        <w:rPr>
          <w:rFonts w:hint="eastAsia" w:eastAsia="仿宋_GB2312" w:cs="仿宋"/>
          <w:color w:val="000000"/>
          <w:sz w:val="32"/>
          <w:szCs w:val="32"/>
        </w:rPr>
        <w:t>2</w:t>
      </w:r>
      <w:r>
        <w:rPr>
          <w:rFonts w:hint="eastAsia" w:ascii="仿宋" w:hAnsi="仿宋" w:eastAsia="仿宋_GB2312" w:cs="仿宋"/>
          <w:color w:val="000000"/>
          <w:sz w:val="32"/>
          <w:szCs w:val="32"/>
        </w:rPr>
        <w:t>.为确保变压器使用的安全性，园区各变压器高压保护定值设置为额定值的120%，即：单台变压器的负荷率</w:t>
      </w:r>
      <w:r>
        <w:rPr>
          <w:rFonts w:hint="default" w:ascii="仿宋" w:hAnsi="仿宋" w:eastAsia="仿宋_GB2312" w:cs="仿宋"/>
          <w:color w:val="000000"/>
          <w:sz w:val="32"/>
          <w:szCs w:val="32"/>
        </w:rPr>
        <w:footnoteReference w:id="3"/>
      </w:r>
      <w:r>
        <w:rPr>
          <w:rFonts w:hint="eastAsia" w:ascii="仿宋" w:hAnsi="仿宋" w:eastAsia="仿宋_GB2312" w:cs="仿宋"/>
          <w:color w:val="000000"/>
          <w:sz w:val="32"/>
          <w:szCs w:val="32"/>
        </w:rPr>
        <w:t>超过</w:t>
      </w:r>
      <w:r>
        <w:rPr>
          <w:rFonts w:hint="default" w:ascii="仿宋" w:hAnsi="仿宋" w:eastAsia="仿宋_GB2312" w:cs="仿宋"/>
          <w:color w:val="000000"/>
          <w:sz w:val="32"/>
          <w:szCs w:val="32"/>
        </w:rPr>
        <w:t>120</w:t>
      </w:r>
      <w:r>
        <w:rPr>
          <w:rFonts w:hint="eastAsia" w:ascii="仿宋" w:hAnsi="仿宋" w:eastAsia="仿宋_GB2312" w:cs="仿宋"/>
          <w:color w:val="000000"/>
          <w:sz w:val="32"/>
          <w:szCs w:val="32"/>
        </w:rPr>
        <w:t>%时，将自动跳闸断电。</w:t>
      </w:r>
    </w:p>
    <w:p w14:paraId="4AA25BD2">
      <w:pPr>
        <w:spacing w:line="560" w:lineRule="exact"/>
        <w:ind w:firstLine="640" w:firstLineChars="200"/>
        <w:rPr>
          <w:rFonts w:ascii="仿宋" w:hAnsi="仿宋" w:eastAsia="仿宋_GB2312" w:cs="仿宋"/>
          <w:color w:val="000000"/>
          <w:sz w:val="32"/>
          <w:szCs w:val="32"/>
        </w:rPr>
      </w:pPr>
      <w:r>
        <w:rPr>
          <w:rFonts w:hint="eastAsia" w:eastAsia="仿宋_GB2312" w:cs="仿宋"/>
          <w:color w:val="000000"/>
          <w:sz w:val="32"/>
          <w:szCs w:val="32"/>
        </w:rPr>
        <w:t>3</w:t>
      </w:r>
      <w:r>
        <w:rPr>
          <w:rFonts w:hint="eastAsia" w:ascii="仿宋" w:hAnsi="仿宋" w:eastAsia="仿宋_GB2312" w:cs="仿宋"/>
          <w:color w:val="000000"/>
          <w:sz w:val="32"/>
          <w:szCs w:val="32"/>
        </w:rPr>
        <w:t>.为提高变压器使用的经济性，各单位应将单台变压器负荷率控制在</w:t>
      </w:r>
      <w:r>
        <w:rPr>
          <w:rFonts w:hint="eastAsia" w:eastAsia="仿宋_GB2312" w:cs="仿宋"/>
          <w:color w:val="000000"/>
          <w:sz w:val="32"/>
          <w:szCs w:val="32"/>
        </w:rPr>
        <w:t>60</w:t>
      </w:r>
      <w:r>
        <w:rPr>
          <w:rFonts w:hint="eastAsia" w:ascii="仿宋" w:hAnsi="仿宋" w:eastAsia="仿宋_GB2312" w:cs="仿宋"/>
          <w:color w:val="000000"/>
          <w:sz w:val="32"/>
          <w:szCs w:val="32"/>
        </w:rPr>
        <w:t>%—</w:t>
      </w:r>
      <w:r>
        <w:rPr>
          <w:rFonts w:hint="eastAsia" w:eastAsia="仿宋_GB2312" w:cs="仿宋"/>
          <w:color w:val="000000"/>
          <w:sz w:val="32"/>
          <w:szCs w:val="32"/>
        </w:rPr>
        <w:t>100</w:t>
      </w:r>
      <w:r>
        <w:rPr>
          <w:rFonts w:hint="eastAsia" w:ascii="仿宋" w:hAnsi="仿宋" w:eastAsia="仿宋_GB2312" w:cs="仿宋"/>
          <w:color w:val="000000"/>
          <w:sz w:val="32"/>
          <w:szCs w:val="32"/>
        </w:rPr>
        <w:t>%以内为宜。</w:t>
      </w:r>
    </w:p>
    <w:p w14:paraId="51A95789">
      <w:pPr>
        <w:spacing w:line="560" w:lineRule="exact"/>
        <w:ind w:firstLine="640" w:firstLineChars="200"/>
        <w:rPr>
          <w:rFonts w:ascii="仿宋" w:hAnsi="仿宋" w:eastAsia="仿宋_GB2312" w:cs="仿宋"/>
          <w:color w:val="000000"/>
          <w:sz w:val="32"/>
          <w:szCs w:val="32"/>
        </w:rPr>
      </w:pPr>
      <w:r>
        <w:rPr>
          <w:rFonts w:hint="eastAsia" w:eastAsia="仿宋_GB2312" w:cs="仿宋"/>
          <w:color w:val="000000"/>
          <w:sz w:val="32"/>
          <w:szCs w:val="32"/>
        </w:rPr>
        <w:t>4</w:t>
      </w:r>
      <w:r>
        <w:rPr>
          <w:rFonts w:hint="eastAsia" w:ascii="仿宋" w:hAnsi="仿宋" w:eastAsia="仿宋_GB2312" w:cs="仿宋"/>
          <w:color w:val="000000"/>
          <w:sz w:val="32"/>
          <w:szCs w:val="32"/>
        </w:rPr>
        <w:t>.使用单位单台变压器负荷率达到</w:t>
      </w:r>
      <w:r>
        <w:rPr>
          <w:rFonts w:hint="eastAsia" w:eastAsia="仿宋_GB2312" w:cs="仿宋"/>
          <w:color w:val="000000"/>
          <w:sz w:val="32"/>
          <w:szCs w:val="32"/>
        </w:rPr>
        <w:t>100</w:t>
      </w:r>
      <w:r>
        <w:rPr>
          <w:rFonts w:hint="eastAsia" w:ascii="仿宋" w:hAnsi="仿宋" w:eastAsia="仿宋_GB2312" w:cs="仿宋"/>
          <w:color w:val="000000"/>
          <w:sz w:val="32"/>
          <w:szCs w:val="32"/>
        </w:rPr>
        <w:t>%—</w:t>
      </w:r>
      <w:r>
        <w:rPr>
          <w:rFonts w:hint="eastAsia" w:eastAsia="仿宋_GB2312" w:cs="仿宋"/>
          <w:color w:val="000000"/>
          <w:sz w:val="32"/>
          <w:szCs w:val="32"/>
        </w:rPr>
        <w:t>110</w:t>
      </w:r>
      <w:r>
        <w:rPr>
          <w:rFonts w:hint="eastAsia" w:ascii="仿宋" w:hAnsi="仿宋" w:eastAsia="仿宋_GB2312" w:cs="仿宋"/>
          <w:color w:val="000000"/>
          <w:sz w:val="32"/>
          <w:szCs w:val="32"/>
        </w:rPr>
        <w:t>%时，园区服务中心将电话（微信、飞书）提醒使用单位（能源监管员）控制负荷，并要求其在</w:t>
      </w:r>
      <w:r>
        <w:rPr>
          <w:rFonts w:hint="eastAsia" w:eastAsia="仿宋_GB2312" w:cs="仿宋"/>
          <w:color w:val="000000"/>
          <w:sz w:val="32"/>
          <w:szCs w:val="32"/>
        </w:rPr>
        <w:t>1</w:t>
      </w:r>
      <w:r>
        <w:rPr>
          <w:rFonts w:hint="eastAsia" w:ascii="仿宋" w:hAnsi="仿宋" w:eastAsia="仿宋_GB2312" w:cs="仿宋"/>
          <w:color w:val="000000"/>
          <w:sz w:val="32"/>
          <w:szCs w:val="32"/>
        </w:rPr>
        <w:t>小时内将负荷调整到规定范围；负荷率达到</w:t>
      </w:r>
      <w:r>
        <w:rPr>
          <w:rFonts w:hint="eastAsia" w:eastAsia="仿宋_GB2312" w:cs="仿宋"/>
          <w:color w:val="000000"/>
          <w:sz w:val="32"/>
          <w:szCs w:val="32"/>
        </w:rPr>
        <w:t>110</w:t>
      </w:r>
      <w:r>
        <w:rPr>
          <w:rFonts w:hint="eastAsia" w:ascii="仿宋" w:hAnsi="仿宋" w:eastAsia="仿宋_GB2312" w:cs="仿宋"/>
          <w:color w:val="000000"/>
          <w:sz w:val="32"/>
          <w:szCs w:val="32"/>
        </w:rPr>
        <w:t>%—</w:t>
      </w:r>
      <w:r>
        <w:rPr>
          <w:rFonts w:hint="eastAsia" w:eastAsia="仿宋_GB2312" w:cs="仿宋"/>
          <w:color w:val="000000"/>
          <w:sz w:val="32"/>
          <w:szCs w:val="32"/>
        </w:rPr>
        <w:t>120</w:t>
      </w:r>
      <w:r>
        <w:rPr>
          <w:rFonts w:hint="eastAsia" w:ascii="仿宋" w:hAnsi="仿宋" w:eastAsia="仿宋_GB2312" w:cs="仿宋"/>
          <w:color w:val="000000"/>
          <w:sz w:val="32"/>
          <w:szCs w:val="32"/>
        </w:rPr>
        <w:t>%时，园区服务中心将电话（微信、飞书）通知使用单位（能源管理小组组长）压降负荷，并要求其在</w:t>
      </w:r>
      <w:r>
        <w:rPr>
          <w:rFonts w:hint="eastAsia" w:eastAsia="仿宋_GB2312" w:cs="仿宋"/>
          <w:color w:val="000000"/>
          <w:sz w:val="32"/>
          <w:szCs w:val="32"/>
        </w:rPr>
        <w:t>0</w:t>
      </w:r>
      <w:r>
        <w:rPr>
          <w:rFonts w:hint="eastAsia" w:ascii="仿宋" w:hAnsi="仿宋" w:eastAsia="仿宋_GB2312" w:cs="仿宋"/>
          <w:color w:val="000000"/>
          <w:sz w:val="32"/>
          <w:szCs w:val="32"/>
        </w:rPr>
        <w:t>.</w:t>
      </w:r>
      <w:r>
        <w:rPr>
          <w:rFonts w:hint="eastAsia" w:eastAsia="仿宋_GB2312" w:cs="仿宋"/>
          <w:color w:val="000000"/>
          <w:sz w:val="32"/>
          <w:szCs w:val="32"/>
        </w:rPr>
        <w:t>5</w:t>
      </w:r>
      <w:r>
        <w:rPr>
          <w:rFonts w:hint="eastAsia" w:ascii="仿宋" w:hAnsi="仿宋" w:eastAsia="仿宋_GB2312" w:cs="仿宋"/>
          <w:color w:val="000000"/>
          <w:sz w:val="32"/>
          <w:szCs w:val="32"/>
        </w:rPr>
        <w:t>小时内将负荷调整到规定范围。</w:t>
      </w:r>
    </w:p>
    <w:p w14:paraId="68901136">
      <w:pPr>
        <w:spacing w:line="560" w:lineRule="exact"/>
        <w:ind w:firstLine="640" w:firstLineChars="200"/>
        <w:rPr>
          <w:rFonts w:ascii="仿宋" w:hAnsi="仿宋" w:eastAsia="仿宋_GB2312" w:cs="仿宋"/>
          <w:color w:val="000000"/>
          <w:sz w:val="32"/>
          <w:szCs w:val="32"/>
        </w:rPr>
      </w:pPr>
      <w:r>
        <w:rPr>
          <w:rFonts w:hint="eastAsia" w:eastAsia="仿宋_GB2312" w:cs="仿宋"/>
          <w:color w:val="000000"/>
          <w:sz w:val="32"/>
          <w:szCs w:val="32"/>
        </w:rPr>
        <w:t>5</w:t>
      </w:r>
      <w:r>
        <w:rPr>
          <w:rFonts w:hint="eastAsia" w:ascii="仿宋" w:hAnsi="仿宋" w:eastAsia="仿宋_GB2312" w:cs="仿宋"/>
          <w:color w:val="000000"/>
          <w:sz w:val="32"/>
          <w:szCs w:val="32"/>
        </w:rPr>
        <w:t>.在未采取有效管控措施的前提下，禁止并联或串联使用变压器。</w:t>
      </w:r>
    </w:p>
    <w:p w14:paraId="79F13AC7">
      <w:pPr>
        <w:spacing w:line="560" w:lineRule="exact"/>
        <w:ind w:firstLine="640" w:firstLineChars="200"/>
        <w:rPr>
          <w:rFonts w:ascii="仿宋" w:hAnsi="仿宋" w:eastAsia="仿宋_GB2312" w:cs="仿宋"/>
          <w:color w:val="000000"/>
          <w:sz w:val="32"/>
          <w:szCs w:val="32"/>
        </w:rPr>
      </w:pPr>
      <w:r>
        <w:rPr>
          <w:rFonts w:hint="eastAsia" w:eastAsia="仿宋_GB2312" w:cs="仿宋"/>
          <w:color w:val="000000"/>
          <w:sz w:val="32"/>
          <w:szCs w:val="32"/>
        </w:rPr>
        <w:t>6</w:t>
      </w:r>
      <w:r>
        <w:rPr>
          <w:rFonts w:hint="eastAsia" w:ascii="仿宋" w:hAnsi="仿宋" w:eastAsia="仿宋_GB2312" w:cs="仿宋"/>
          <w:color w:val="000000"/>
          <w:sz w:val="32"/>
          <w:szCs w:val="32"/>
        </w:rPr>
        <w:t>.园区内生产负荷原则上禁止采用低压联络线供电。</w:t>
      </w:r>
    </w:p>
    <w:p w14:paraId="3668CF4B">
      <w:pPr>
        <w:spacing w:line="560" w:lineRule="exact"/>
        <w:ind w:firstLine="640" w:firstLineChars="200"/>
        <w:rPr>
          <w:rFonts w:ascii="仿宋" w:hAnsi="仿宋" w:eastAsia="仿宋_GB2312" w:cs="仿宋"/>
          <w:color w:val="000000"/>
          <w:sz w:val="32"/>
          <w:szCs w:val="32"/>
        </w:rPr>
      </w:pPr>
      <w:r>
        <w:rPr>
          <w:rFonts w:hint="eastAsia" w:ascii="仿宋" w:hAnsi="仿宋" w:eastAsia="仿宋_GB2312" w:cs="仿宋"/>
          <w:color w:val="000000"/>
          <w:sz w:val="32"/>
          <w:szCs w:val="32"/>
        </w:rPr>
        <w:t>（三）用电负荷调整流程</w:t>
      </w:r>
    </w:p>
    <w:p w14:paraId="6DE53268">
      <w:pPr>
        <w:spacing w:line="560" w:lineRule="exact"/>
        <w:ind w:firstLine="640" w:firstLineChars="200"/>
        <w:rPr>
          <w:rFonts w:ascii="仿宋" w:hAnsi="仿宋" w:eastAsia="仿宋_GB2312" w:cs="仿宋"/>
          <w:color w:val="000000"/>
          <w:sz w:val="32"/>
          <w:szCs w:val="32"/>
        </w:rPr>
      </w:pPr>
      <w:r>
        <w:rPr>
          <w:rFonts w:hint="eastAsia" w:eastAsia="方正仿宋_GB2312" w:cs="方正仿宋_GB2312"/>
          <w:sz w:val="32"/>
          <w:szCs w:val="32"/>
        </w:rPr>
        <w:t>1</w:t>
      </w:r>
      <w:r>
        <w:rPr>
          <w:rFonts w:hint="eastAsia" w:ascii="方正仿宋_GB2312" w:hAnsi="方正仿宋_GB2312" w:eastAsia="方正仿宋_GB2312" w:cs="方正仿宋_GB2312"/>
          <w:sz w:val="32"/>
          <w:szCs w:val="32"/>
        </w:rPr>
        <w:t>.</w:t>
      </w:r>
      <w:r>
        <w:rPr>
          <w:rFonts w:hint="eastAsia" w:ascii="仿宋" w:hAnsi="仿宋" w:eastAsia="仿宋_GB2312" w:cs="仿宋"/>
          <w:color w:val="000000"/>
          <w:sz w:val="32"/>
          <w:szCs w:val="32"/>
        </w:rPr>
        <w:t>园区各生产型单位应在每年</w:t>
      </w:r>
      <w:r>
        <w:rPr>
          <w:rFonts w:hint="eastAsia" w:eastAsia="仿宋_GB2312" w:cs="仿宋"/>
          <w:color w:val="000000"/>
          <w:sz w:val="32"/>
          <w:szCs w:val="32"/>
        </w:rPr>
        <w:t>11</w:t>
      </w:r>
      <w:r>
        <w:rPr>
          <w:rFonts w:hint="eastAsia" w:ascii="仿宋" w:hAnsi="仿宋" w:eastAsia="仿宋_GB2312" w:cs="仿宋"/>
          <w:color w:val="000000"/>
          <w:sz w:val="32"/>
          <w:szCs w:val="32"/>
        </w:rPr>
        <w:t>月</w:t>
      </w:r>
      <w:r>
        <w:rPr>
          <w:rFonts w:hint="eastAsia" w:eastAsia="仿宋_GB2312" w:cs="仿宋"/>
          <w:color w:val="000000"/>
          <w:sz w:val="32"/>
          <w:szCs w:val="32"/>
        </w:rPr>
        <w:t>30</w:t>
      </w:r>
      <w:r>
        <w:rPr>
          <w:rFonts w:hint="eastAsia" w:ascii="仿宋" w:hAnsi="仿宋" w:eastAsia="仿宋_GB2312" w:cs="仿宋"/>
          <w:color w:val="000000"/>
          <w:sz w:val="32"/>
          <w:szCs w:val="32"/>
        </w:rPr>
        <w:t>日之前，向园区服务中心报送次年的用电负荷调整计划</w:t>
      </w:r>
      <w:r>
        <w:rPr>
          <w:rFonts w:hint="eastAsia" w:ascii="仿宋" w:hAnsi="仿宋" w:eastAsia="仿宋_GB2312" w:cs="仿宋"/>
          <w:color w:val="000000"/>
          <w:sz w:val="32"/>
          <w:szCs w:val="32"/>
          <w:vertAlign w:val="superscript"/>
        </w:rPr>
        <w:footnoteReference w:id="4"/>
      </w:r>
      <w:r>
        <w:rPr>
          <w:rFonts w:hint="eastAsia" w:ascii="仿宋" w:hAnsi="仿宋" w:eastAsia="仿宋_GB2312" w:cs="仿宋"/>
          <w:color w:val="000000"/>
          <w:sz w:val="32"/>
          <w:szCs w:val="32"/>
        </w:rPr>
        <w:t>，计划应精确到每幢厂房，无变化则无需填报。</w:t>
      </w:r>
    </w:p>
    <w:p w14:paraId="0CCBA889">
      <w:pPr>
        <w:spacing w:line="560" w:lineRule="exact"/>
        <w:ind w:firstLine="640" w:firstLineChars="200"/>
        <w:rPr>
          <w:rFonts w:ascii="仿宋" w:hAnsi="仿宋" w:eastAsia="仿宋_GB2312" w:cs="仿宋"/>
          <w:color w:val="000000"/>
          <w:sz w:val="32"/>
          <w:szCs w:val="32"/>
        </w:rPr>
      </w:pPr>
      <w:r>
        <w:rPr>
          <w:rFonts w:hint="eastAsia" w:eastAsia="仿宋_GB2312" w:cs="仿宋"/>
          <w:color w:val="000000"/>
          <w:sz w:val="32"/>
          <w:szCs w:val="32"/>
        </w:rPr>
        <w:t>2</w:t>
      </w:r>
      <w:r>
        <w:rPr>
          <w:rFonts w:hint="eastAsia" w:ascii="仿宋" w:hAnsi="仿宋" w:eastAsia="仿宋_GB2312" w:cs="仿宋"/>
          <w:color w:val="000000"/>
          <w:sz w:val="32"/>
          <w:szCs w:val="32"/>
        </w:rPr>
        <w:t>.各单位拟增加负荷投用后的运行负荷最大值，未达到拟接入变压器额定负荷率</w:t>
      </w:r>
      <w:r>
        <w:rPr>
          <w:rFonts w:hint="eastAsia" w:eastAsia="仿宋_GB2312" w:cs="仿宋"/>
          <w:color w:val="000000"/>
          <w:sz w:val="32"/>
          <w:szCs w:val="32"/>
        </w:rPr>
        <w:t>80</w:t>
      </w:r>
      <w:r>
        <w:rPr>
          <w:rFonts w:hint="eastAsia" w:ascii="仿宋" w:hAnsi="仿宋" w:eastAsia="仿宋_GB2312" w:cs="仿宋"/>
          <w:color w:val="000000"/>
          <w:sz w:val="32"/>
          <w:szCs w:val="32"/>
        </w:rPr>
        <w:t>%的，应在投用后</w:t>
      </w:r>
      <w:r>
        <w:rPr>
          <w:rFonts w:hint="eastAsia" w:eastAsia="仿宋_GB2312" w:cs="仿宋"/>
          <w:color w:val="000000"/>
          <w:sz w:val="32"/>
          <w:szCs w:val="32"/>
        </w:rPr>
        <w:t>20</w:t>
      </w:r>
      <w:r>
        <w:rPr>
          <w:rFonts w:hint="eastAsia" w:ascii="仿宋" w:hAnsi="仿宋" w:eastAsia="仿宋_GB2312" w:cs="仿宋"/>
          <w:color w:val="000000"/>
          <w:sz w:val="32"/>
          <w:szCs w:val="32"/>
        </w:rPr>
        <w:t>个工作日内，向园区服务中心报备。</w:t>
      </w:r>
    </w:p>
    <w:p w14:paraId="7C0D40D8">
      <w:pPr>
        <w:spacing w:line="560" w:lineRule="exact"/>
        <w:ind w:firstLine="640" w:firstLineChars="200"/>
        <w:rPr>
          <w:rFonts w:ascii="仿宋" w:hAnsi="仿宋" w:eastAsia="仿宋_GB2312" w:cs="仿宋"/>
          <w:color w:val="000000"/>
          <w:sz w:val="32"/>
          <w:szCs w:val="32"/>
        </w:rPr>
      </w:pPr>
      <w:r>
        <w:rPr>
          <w:rFonts w:hint="eastAsia" w:eastAsia="仿宋_GB2312" w:cs="仿宋"/>
          <w:color w:val="000000"/>
          <w:sz w:val="32"/>
          <w:szCs w:val="32"/>
        </w:rPr>
        <w:t>3</w:t>
      </w:r>
      <w:r>
        <w:rPr>
          <w:rFonts w:hint="eastAsia" w:ascii="仿宋" w:hAnsi="仿宋" w:eastAsia="仿宋_GB2312" w:cs="仿宋"/>
          <w:color w:val="000000"/>
          <w:sz w:val="32"/>
          <w:szCs w:val="32"/>
        </w:rPr>
        <w:t>.各单位拟增加负荷投用后的运行负荷最大值，达到拟接入变压器额定负荷率</w:t>
      </w:r>
      <w:r>
        <w:rPr>
          <w:rFonts w:hint="eastAsia" w:eastAsia="仿宋_GB2312" w:cs="仿宋"/>
          <w:color w:val="000000"/>
          <w:sz w:val="32"/>
          <w:szCs w:val="32"/>
        </w:rPr>
        <w:t>80</w:t>
      </w:r>
      <w:r>
        <w:rPr>
          <w:rFonts w:hint="eastAsia" w:ascii="仿宋" w:hAnsi="仿宋" w:eastAsia="仿宋_GB2312" w:cs="仿宋"/>
          <w:color w:val="000000"/>
          <w:sz w:val="32"/>
          <w:szCs w:val="32"/>
        </w:rPr>
        <w:t>%—</w:t>
      </w:r>
      <w:r>
        <w:rPr>
          <w:rFonts w:hint="eastAsia" w:eastAsia="仿宋_GB2312" w:cs="仿宋"/>
          <w:color w:val="000000"/>
          <w:sz w:val="32"/>
          <w:szCs w:val="32"/>
        </w:rPr>
        <w:t>100</w:t>
      </w:r>
      <w:r>
        <w:rPr>
          <w:rFonts w:hint="eastAsia" w:ascii="仿宋" w:hAnsi="仿宋" w:eastAsia="仿宋_GB2312" w:cs="仿宋"/>
          <w:color w:val="000000"/>
          <w:sz w:val="32"/>
          <w:szCs w:val="32"/>
        </w:rPr>
        <w:t>%的，应提前至少</w:t>
      </w:r>
      <w:r>
        <w:rPr>
          <w:rFonts w:hint="eastAsia" w:eastAsia="仿宋_GB2312" w:cs="仿宋"/>
          <w:color w:val="000000"/>
          <w:sz w:val="32"/>
          <w:szCs w:val="32"/>
        </w:rPr>
        <w:t>15</w:t>
      </w:r>
      <w:r>
        <w:rPr>
          <w:rFonts w:hint="eastAsia" w:ascii="仿宋" w:hAnsi="仿宋" w:eastAsia="仿宋_GB2312" w:cs="仿宋"/>
          <w:color w:val="000000"/>
          <w:sz w:val="32"/>
          <w:szCs w:val="32"/>
        </w:rPr>
        <w:t>个工作日，向园区服务中心提交申请</w:t>
      </w:r>
      <w:r>
        <w:rPr>
          <w:rStyle w:val="18"/>
          <w:rFonts w:hint="eastAsia" w:ascii="仿宋" w:hAnsi="仿宋" w:eastAsia="仿宋_GB2312" w:cs="仿宋"/>
          <w:color w:val="000000"/>
          <w:sz w:val="32"/>
          <w:szCs w:val="32"/>
        </w:rPr>
        <w:footnoteReference w:id="5"/>
      </w:r>
      <w:r>
        <w:rPr>
          <w:rFonts w:hint="eastAsia" w:ascii="仿宋" w:hAnsi="仿宋" w:eastAsia="仿宋_GB2312" w:cs="仿宋"/>
          <w:color w:val="000000"/>
          <w:sz w:val="32"/>
          <w:szCs w:val="32"/>
        </w:rPr>
        <w:t>，经评估审批后方可投用。</w:t>
      </w:r>
    </w:p>
    <w:p w14:paraId="237D9DB3">
      <w:pPr>
        <w:spacing w:line="560" w:lineRule="exact"/>
        <w:ind w:firstLine="640" w:firstLineChars="200"/>
        <w:rPr>
          <w:rFonts w:ascii="仿宋" w:hAnsi="仿宋" w:eastAsia="仿宋_GB2312" w:cs="仿宋"/>
          <w:color w:val="000000"/>
          <w:sz w:val="32"/>
          <w:szCs w:val="32"/>
        </w:rPr>
      </w:pPr>
      <w:r>
        <w:rPr>
          <w:rFonts w:hint="eastAsia" w:eastAsia="仿宋_GB2312" w:cs="仿宋"/>
          <w:color w:val="000000"/>
          <w:sz w:val="32"/>
          <w:szCs w:val="32"/>
        </w:rPr>
        <w:t>4</w:t>
      </w:r>
      <w:r>
        <w:rPr>
          <w:rFonts w:hint="eastAsia" w:ascii="仿宋" w:hAnsi="仿宋" w:eastAsia="仿宋_GB2312" w:cs="仿宋"/>
          <w:color w:val="000000"/>
          <w:sz w:val="32"/>
          <w:szCs w:val="32"/>
        </w:rPr>
        <w:t>.各单位拟增加负荷投用后的运行负荷最大值，超过拟接入变压器额定负荷率</w:t>
      </w:r>
      <w:r>
        <w:rPr>
          <w:rFonts w:hint="eastAsia" w:eastAsia="仿宋_GB2312" w:cs="仿宋"/>
          <w:color w:val="000000"/>
          <w:sz w:val="32"/>
          <w:szCs w:val="32"/>
        </w:rPr>
        <w:t>100</w:t>
      </w:r>
      <w:r>
        <w:rPr>
          <w:rFonts w:hint="eastAsia" w:ascii="仿宋" w:hAnsi="仿宋" w:eastAsia="仿宋_GB2312" w:cs="仿宋"/>
          <w:color w:val="000000"/>
          <w:sz w:val="32"/>
          <w:szCs w:val="32"/>
        </w:rPr>
        <w:t>%或需新投用变压器的，应提前至少</w:t>
      </w:r>
      <w:r>
        <w:rPr>
          <w:rFonts w:hint="eastAsia" w:eastAsia="仿宋_GB2312" w:cs="仿宋"/>
          <w:color w:val="000000"/>
          <w:sz w:val="32"/>
          <w:szCs w:val="32"/>
        </w:rPr>
        <w:t>40</w:t>
      </w:r>
      <w:r>
        <w:rPr>
          <w:rFonts w:hint="eastAsia" w:ascii="仿宋" w:hAnsi="仿宋" w:eastAsia="仿宋_GB2312" w:cs="仿宋"/>
          <w:color w:val="000000"/>
          <w:sz w:val="32"/>
          <w:szCs w:val="32"/>
        </w:rPr>
        <w:t>个</w:t>
      </w:r>
      <w:r>
        <w:rPr>
          <w:rFonts w:hint="eastAsia" w:ascii="仿宋" w:hAnsi="仿宋" w:eastAsia="仿宋_GB2312" w:cs="仿宋"/>
          <w:color w:val="000000"/>
          <w:spacing w:val="-6"/>
          <w:sz w:val="32"/>
          <w:szCs w:val="32"/>
        </w:rPr>
        <w:t>工作日，向园区服务中心提交申请，经增容或扩容改造后方可投用。</w:t>
      </w:r>
    </w:p>
    <w:p w14:paraId="25179FFD">
      <w:pPr>
        <w:spacing w:line="560" w:lineRule="exact"/>
        <w:ind w:firstLine="640" w:firstLineChars="200"/>
        <w:rPr>
          <w:rFonts w:ascii="方正仿宋_GB2312" w:hAnsi="方正仿宋_GB2312" w:eastAsia="方正仿宋_GB2312" w:cs="方正仿宋_GB2312"/>
          <w:sz w:val="32"/>
          <w:szCs w:val="32"/>
        </w:rPr>
      </w:pPr>
      <w:r>
        <w:rPr>
          <w:rFonts w:hint="eastAsia" w:eastAsia="仿宋_GB2312" w:cs="仿宋"/>
          <w:color w:val="000000"/>
          <w:sz w:val="32"/>
          <w:szCs w:val="32"/>
        </w:rPr>
        <w:t>5</w:t>
      </w:r>
      <w:r>
        <w:rPr>
          <w:rFonts w:hint="eastAsia" w:ascii="仿宋" w:hAnsi="仿宋" w:eastAsia="仿宋_GB2312" w:cs="仿宋"/>
          <w:color w:val="000000"/>
          <w:sz w:val="32"/>
          <w:szCs w:val="32"/>
        </w:rPr>
        <w:t>.各单位运行负荷大幅度降低且最大负荷率低于</w:t>
      </w:r>
      <w:r>
        <w:rPr>
          <w:rFonts w:hint="eastAsia" w:eastAsia="仿宋_GB2312" w:cs="仿宋"/>
          <w:color w:val="000000"/>
          <w:sz w:val="32"/>
          <w:szCs w:val="32"/>
        </w:rPr>
        <w:t>50</w:t>
      </w:r>
      <w:r>
        <w:rPr>
          <w:rFonts w:hint="eastAsia" w:ascii="仿宋" w:hAnsi="仿宋" w:eastAsia="仿宋_GB2312" w:cs="仿宋"/>
          <w:color w:val="000000"/>
          <w:sz w:val="32"/>
          <w:szCs w:val="32"/>
        </w:rPr>
        <w:t>%时，应在负荷稳定后的</w:t>
      </w:r>
      <w:r>
        <w:rPr>
          <w:rFonts w:hint="eastAsia" w:eastAsia="仿宋_GB2312" w:cs="仿宋"/>
          <w:color w:val="000000"/>
          <w:sz w:val="32"/>
          <w:szCs w:val="32"/>
        </w:rPr>
        <w:t>10</w:t>
      </w:r>
      <w:r>
        <w:rPr>
          <w:rFonts w:hint="eastAsia" w:ascii="仿宋" w:hAnsi="仿宋" w:eastAsia="仿宋_GB2312" w:cs="仿宋"/>
          <w:color w:val="000000"/>
          <w:sz w:val="32"/>
          <w:szCs w:val="32"/>
        </w:rPr>
        <w:t>个工作日内向园区服务中心报备。</w:t>
      </w:r>
    </w:p>
    <w:p w14:paraId="16617D16">
      <w:pPr>
        <w:spacing w:line="560" w:lineRule="exact"/>
        <w:ind w:firstLine="640" w:firstLineChars="200"/>
        <w:rPr>
          <w:rFonts w:ascii="仿宋" w:hAnsi="仿宋" w:eastAsia="仿宋_GB2312" w:cs="仿宋"/>
          <w:sz w:val="32"/>
          <w:szCs w:val="32"/>
        </w:rPr>
      </w:pPr>
      <w:r>
        <w:rPr>
          <w:rFonts w:hint="eastAsia" w:eastAsia="仿宋_GB2312" w:cs="仿宋"/>
          <w:sz w:val="32"/>
          <w:szCs w:val="32"/>
        </w:rPr>
        <w:t>6</w:t>
      </w:r>
      <w:r>
        <w:rPr>
          <w:rFonts w:hint="eastAsia" w:ascii="仿宋" w:hAnsi="仿宋" w:eastAsia="仿宋_GB2312" w:cs="仿宋"/>
          <w:sz w:val="32"/>
          <w:szCs w:val="32"/>
        </w:rPr>
        <w:t>.各单位应根据实际需求合理申请负荷。单台变压器投用3个月后，其平均负荷率未达到5</w:t>
      </w:r>
      <w:r>
        <w:rPr>
          <w:rFonts w:hint="eastAsia" w:eastAsia="仿宋_GB2312" w:cs="仿宋"/>
          <w:sz w:val="32"/>
          <w:szCs w:val="32"/>
        </w:rPr>
        <w:t>0</w:t>
      </w:r>
      <w:r>
        <w:rPr>
          <w:rFonts w:hint="eastAsia" w:ascii="仿宋" w:hAnsi="仿宋" w:eastAsia="仿宋_GB2312" w:cs="仿宋"/>
          <w:sz w:val="32"/>
          <w:szCs w:val="32"/>
        </w:rPr>
        <w:t>%</w:t>
      </w:r>
      <w:r>
        <w:rPr>
          <w:rStyle w:val="18"/>
          <w:rFonts w:hint="eastAsia" w:ascii="仿宋" w:hAnsi="仿宋" w:eastAsia="仿宋_GB2312" w:cs="仿宋"/>
          <w:sz w:val="32"/>
          <w:szCs w:val="32"/>
        </w:rPr>
        <w:footnoteReference w:id="6"/>
      </w:r>
      <w:r>
        <w:rPr>
          <w:rFonts w:hint="eastAsia" w:ascii="仿宋" w:hAnsi="仿宋" w:eastAsia="仿宋_GB2312" w:cs="仿宋"/>
          <w:sz w:val="32"/>
          <w:szCs w:val="32"/>
        </w:rPr>
        <w:t>且未提前向园区服务中心书面说明原因的，使用单位需在次月向集团总部缴纳资源占用费，费用计算公式：</w:t>
      </w:r>
      <w:r>
        <w:rPr>
          <w:rFonts w:hint="eastAsia" w:ascii="微软雅黑" w:hAnsi="微软雅黑" w:eastAsia="微软雅黑" w:cs="微软雅黑"/>
          <w:sz w:val="32"/>
          <w:szCs w:val="32"/>
        </w:rPr>
        <w:t>∑</w:t>
      </w:r>
      <w:r>
        <w:rPr>
          <w:rFonts w:hint="eastAsia" w:ascii="仿宋" w:hAnsi="仿宋" w:eastAsia="仿宋_GB2312" w:cs="仿宋"/>
          <w:sz w:val="32"/>
          <w:szCs w:val="32"/>
        </w:rPr>
        <w:t>单台变压器总容量*（</w:t>
      </w:r>
      <w:r>
        <w:rPr>
          <w:rFonts w:hint="eastAsia" w:eastAsia="仿宋_GB2312" w:cs="仿宋"/>
          <w:sz w:val="32"/>
          <w:szCs w:val="32"/>
        </w:rPr>
        <w:t>50</w:t>
      </w:r>
      <w:r>
        <w:rPr>
          <w:rFonts w:hint="eastAsia" w:ascii="仿宋" w:hAnsi="仿宋" w:eastAsia="仿宋_GB2312" w:cs="仿宋"/>
          <w:sz w:val="32"/>
          <w:szCs w:val="32"/>
        </w:rPr>
        <w:t>%－实际平均负荷率）*</w:t>
      </w:r>
      <w:r>
        <w:rPr>
          <w:rFonts w:hint="eastAsia" w:eastAsia="仿宋_GB2312" w:cs="仿宋"/>
          <w:sz w:val="32"/>
          <w:szCs w:val="32"/>
        </w:rPr>
        <w:t>22</w:t>
      </w:r>
      <w:r>
        <w:rPr>
          <w:rFonts w:hint="eastAsia" w:ascii="仿宋" w:hAnsi="仿宋" w:eastAsia="仿宋_GB2312" w:cs="仿宋"/>
          <w:sz w:val="32"/>
          <w:szCs w:val="32"/>
        </w:rPr>
        <w:t>元/千伏安。</w:t>
      </w:r>
    </w:p>
    <w:p w14:paraId="3508761B">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（四）严禁擅自改装线路、私拉乱接。设备、线路等在使用过程中，发生高热、异味、打火等情况时，应立即停止</w:t>
      </w:r>
      <w:r>
        <w:rPr>
          <w:rFonts w:ascii="仿宋" w:hAnsi="仿宋" w:eastAsia="仿宋_GB2312" w:cs="仿宋"/>
          <w:sz w:val="32"/>
          <w:szCs w:val="32"/>
        </w:rPr>
        <w:t>使用并</w:t>
      </w:r>
      <w:r>
        <w:rPr>
          <w:rFonts w:hint="eastAsia" w:ascii="仿宋" w:hAnsi="仿宋" w:eastAsia="仿宋_GB2312" w:cs="仿宋"/>
          <w:sz w:val="32"/>
          <w:szCs w:val="32"/>
        </w:rPr>
        <w:t>关闭电源，</w:t>
      </w:r>
      <w:r>
        <w:rPr>
          <w:rFonts w:ascii="仿宋" w:hAnsi="仿宋" w:eastAsia="仿宋_GB2312" w:cs="仿宋"/>
          <w:sz w:val="32"/>
          <w:szCs w:val="32"/>
        </w:rPr>
        <w:t>及时报修排除隐患</w:t>
      </w:r>
      <w:r>
        <w:rPr>
          <w:rFonts w:hint="eastAsia" w:ascii="仿宋" w:hAnsi="仿宋" w:eastAsia="仿宋_GB2312" w:cs="仿宋"/>
          <w:sz w:val="32"/>
          <w:szCs w:val="32"/>
        </w:rPr>
        <w:t>后方可继续使用。</w:t>
      </w:r>
    </w:p>
    <w:p w14:paraId="20A7BDBB">
      <w:pPr>
        <w:spacing w:line="560" w:lineRule="exact"/>
        <w:ind w:firstLine="640" w:firstLineChars="200"/>
        <w:rPr>
          <w:rFonts w:ascii="仿宋" w:hAnsi="仿宋" w:eastAsia="仿宋_GB2312" w:cs="仿宋"/>
          <w:sz w:val="32"/>
          <w:szCs w:val="32"/>
        </w:rPr>
      </w:pPr>
      <w:r>
        <w:rPr>
          <w:rFonts w:ascii="仿宋" w:hAnsi="仿宋" w:eastAsia="仿宋_GB2312" w:cs="仿宋"/>
          <w:sz w:val="32"/>
          <w:szCs w:val="32"/>
        </w:rPr>
        <w:t>（</w:t>
      </w:r>
      <w:r>
        <w:rPr>
          <w:rFonts w:hint="eastAsia" w:ascii="仿宋" w:hAnsi="仿宋" w:eastAsia="仿宋_GB2312" w:cs="仿宋"/>
          <w:sz w:val="32"/>
          <w:szCs w:val="32"/>
        </w:rPr>
        <w:t>五</w:t>
      </w:r>
      <w:r>
        <w:rPr>
          <w:rFonts w:ascii="仿宋" w:hAnsi="仿宋" w:eastAsia="仿宋_GB2312" w:cs="仿宋"/>
          <w:sz w:val="32"/>
          <w:szCs w:val="32"/>
        </w:rPr>
        <w:t>）配电室、变电站等供配电场所室内及其周边</w:t>
      </w:r>
      <w:r>
        <w:rPr>
          <w:rFonts w:eastAsia="仿宋_GB2312" w:cs="仿宋"/>
          <w:sz w:val="32"/>
          <w:szCs w:val="32"/>
        </w:rPr>
        <w:t>15</w:t>
      </w:r>
      <w:r>
        <w:rPr>
          <w:rFonts w:ascii="仿宋" w:hAnsi="仿宋" w:eastAsia="仿宋_GB2312" w:cs="仿宋"/>
          <w:sz w:val="32"/>
          <w:szCs w:val="32"/>
        </w:rPr>
        <w:t>米内严禁火源和违规动火。</w:t>
      </w:r>
    </w:p>
    <w:p w14:paraId="5E267331">
      <w:pPr>
        <w:pStyle w:val="20"/>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（六）燃气管道、配气柜等供气设备设施周边</w:t>
      </w:r>
      <w:r>
        <w:rPr>
          <w:rFonts w:hint="eastAsia" w:eastAsia="仿宋_GB2312" w:cs="仿宋_GB2312"/>
          <w:sz w:val="32"/>
          <w:szCs w:val="32"/>
        </w:rPr>
        <w:t>15</w:t>
      </w:r>
      <w:r>
        <w:rPr>
          <w:rFonts w:hint="eastAsia" w:ascii="仿宋_GB2312" w:hAnsi="仿宋_GB2312" w:eastAsia="仿宋_GB2312" w:cs="仿宋_GB2312"/>
          <w:sz w:val="32"/>
          <w:szCs w:val="32"/>
        </w:rPr>
        <w:t>米内严禁火源和违规动火，燃气管道</w:t>
      </w:r>
      <w:r>
        <w:rPr>
          <w:rFonts w:hint="eastAsia" w:eastAsia="仿宋_GB2312" w:cs="仿宋_GB2312"/>
          <w:sz w:val="32"/>
          <w:szCs w:val="32"/>
        </w:rPr>
        <w:t>5</w:t>
      </w:r>
      <w:r>
        <w:rPr>
          <w:rFonts w:hint="eastAsia" w:ascii="仿宋_GB2312" w:hAnsi="仿宋_GB2312" w:eastAsia="仿宋_GB2312" w:cs="仿宋_GB2312"/>
          <w:sz w:val="32"/>
          <w:szCs w:val="32"/>
        </w:rPr>
        <w:t>米内严禁堆放易燃、易爆物。</w:t>
      </w:r>
    </w:p>
    <w:p w14:paraId="041E0ADA">
      <w:pPr>
        <w:pStyle w:val="20"/>
        <w:spacing w:line="56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sz w:val="32"/>
          <w:szCs w:val="32"/>
        </w:rPr>
        <w:t>（七）严禁擅自安装、改装</w:t>
      </w:r>
      <w:r>
        <w:rPr>
          <w:rFonts w:hint="eastAsia" w:ascii="仿宋_GB2312" w:hAnsi="仿宋_GB2312" w:eastAsia="仿宋_GB2312" w:cs="仿宋_GB2312"/>
          <w:color w:val="000000"/>
          <w:sz w:val="32"/>
          <w:szCs w:val="32"/>
        </w:rPr>
        <w:t>、拆除燃气设施和计量器具等，</w:t>
      </w:r>
    </w:p>
    <w:p w14:paraId="0F92FDD4">
      <w:pPr>
        <w:pStyle w:val="20"/>
        <w:spacing w:line="560" w:lineRule="exact"/>
        <w:ind w:firstLine="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严禁将燃气管道作为负重支架，搭、挂物件。</w:t>
      </w:r>
    </w:p>
    <w:p w14:paraId="15205D13">
      <w:pPr>
        <w:spacing w:line="560" w:lineRule="exact"/>
        <w:ind w:firstLine="640" w:firstLineChars="200"/>
        <w:rPr>
          <w:rFonts w:ascii="楷体" w:hAnsi="楷体" w:eastAsia="楷体_GB2312" w:cs="楷体"/>
          <w:b/>
          <w:color w:val="000000"/>
          <w:sz w:val="32"/>
          <w:szCs w:val="32"/>
        </w:rPr>
      </w:pPr>
      <w:r>
        <w:rPr>
          <w:rFonts w:hint="eastAsia" w:ascii="仿宋" w:hAnsi="仿宋" w:eastAsia="仿宋_GB2312" w:cs="仿宋"/>
          <w:sz w:val="32"/>
          <w:szCs w:val="32"/>
        </w:rPr>
        <w:t>（八）暖风机、电风扇等电器使用过程中发生故障，应立即停止使用、断开电源并告知</w:t>
      </w:r>
      <w:r>
        <w:rPr>
          <w:rFonts w:hint="eastAsia" w:ascii="仿宋" w:hAnsi="仿宋" w:eastAsia="仿宋_GB2312" w:cs="仿宋"/>
          <w:color w:val="000000"/>
          <w:sz w:val="32"/>
          <w:szCs w:val="32"/>
        </w:rPr>
        <w:t>园区服务中心</w:t>
      </w:r>
      <w:r>
        <w:rPr>
          <w:rFonts w:hint="eastAsia" w:ascii="仿宋" w:hAnsi="仿宋" w:eastAsia="仿宋_GB2312" w:cs="仿宋"/>
          <w:sz w:val="32"/>
          <w:szCs w:val="32"/>
        </w:rPr>
        <w:t>，擅自处理造成不良后果者责任自担。</w:t>
      </w:r>
    </w:p>
    <w:p w14:paraId="159F5814">
      <w:pPr>
        <w:pStyle w:val="20"/>
        <w:spacing w:line="56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sz w:val="32"/>
          <w:szCs w:val="32"/>
        </w:rPr>
        <w:t>（九）燃气使用单位应当建立健全安全管理制度，燃气使用场所明显位置张贴有关</w:t>
      </w:r>
      <w:r>
        <w:rPr>
          <w:rFonts w:hint="eastAsia" w:ascii="仿宋_GB2312" w:hAnsi="仿宋_GB2312" w:eastAsia="仿宋_GB2312" w:cs="仿宋_GB2312"/>
          <w:color w:val="000000"/>
          <w:sz w:val="32"/>
          <w:szCs w:val="32"/>
        </w:rPr>
        <w:t>“燃气使用安全常识”等宣传内容，每年至少组织一次对操作人员燃气安全知识和操作技能培训，总学时不低于</w:t>
      </w:r>
      <w:r>
        <w:rPr>
          <w:rFonts w:hint="eastAsia" w:eastAsia="仿宋_GB2312" w:cs="仿宋_GB2312"/>
          <w:color w:val="000000"/>
          <w:sz w:val="32"/>
          <w:szCs w:val="32"/>
        </w:rPr>
        <w:t>2</w:t>
      </w:r>
      <w:r>
        <w:rPr>
          <w:rFonts w:hint="eastAsia" w:ascii="仿宋_GB2312" w:hAnsi="仿宋_GB2312" w:eastAsia="仿宋_GB2312" w:cs="仿宋_GB2312"/>
          <w:color w:val="000000"/>
          <w:sz w:val="32"/>
          <w:szCs w:val="32"/>
        </w:rPr>
        <w:t>小时，并保留培训资料备查。</w:t>
      </w:r>
    </w:p>
    <w:p w14:paraId="1D02B742">
      <w:pPr>
        <w:pStyle w:val="20"/>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（十）遵守安全用气规则，使用合格的燃气燃烧器具（参照GB</w:t>
      </w:r>
      <w:r>
        <w:rPr>
          <w:rFonts w:hint="eastAsia" w:eastAsia="仿宋_GB2312" w:cs="仿宋_GB2312"/>
          <w:sz w:val="32"/>
          <w:szCs w:val="32"/>
        </w:rPr>
        <w:t>16410</w:t>
      </w:r>
      <w:r>
        <w:rPr>
          <w:rFonts w:hint="eastAsia" w:ascii="仿宋_GB2312" w:hAnsi="仿宋_GB2312" w:eastAsia="仿宋_GB2312" w:cs="仿宋_GB2312"/>
          <w:sz w:val="32"/>
          <w:szCs w:val="32"/>
        </w:rPr>
        <w:t>-</w:t>
      </w:r>
      <w:r>
        <w:rPr>
          <w:rFonts w:hint="eastAsia" w:eastAsia="仿宋_GB2312" w:cs="仿宋_GB2312"/>
          <w:sz w:val="32"/>
          <w:szCs w:val="32"/>
        </w:rPr>
        <w:t>2020</w:t>
      </w:r>
      <w:r>
        <w:rPr>
          <w:rFonts w:hint="eastAsia" w:ascii="仿宋_GB2312" w:hAnsi="仿宋_GB2312" w:eastAsia="仿宋_GB2312" w:cs="仿宋_GB2312"/>
          <w:sz w:val="32"/>
          <w:szCs w:val="32"/>
        </w:rPr>
        <w:t>《家用燃气灶具》、GB</w:t>
      </w:r>
      <w:r>
        <w:rPr>
          <w:rFonts w:hint="eastAsia" w:eastAsia="仿宋_GB2312" w:cs="仿宋_GB2312"/>
          <w:sz w:val="32"/>
          <w:szCs w:val="32"/>
        </w:rPr>
        <w:t>35848</w:t>
      </w:r>
      <w:r>
        <w:rPr>
          <w:rFonts w:hint="eastAsia" w:ascii="仿宋_GB2312" w:hAnsi="仿宋_GB2312" w:eastAsia="仿宋_GB2312" w:cs="仿宋_GB2312"/>
          <w:sz w:val="32"/>
          <w:szCs w:val="32"/>
        </w:rPr>
        <w:t>-</w:t>
      </w:r>
      <w:r>
        <w:rPr>
          <w:rFonts w:hint="eastAsia" w:eastAsia="仿宋_GB2312" w:cs="仿宋_GB2312"/>
          <w:sz w:val="32"/>
          <w:szCs w:val="32"/>
        </w:rPr>
        <w:t>2018</w:t>
      </w:r>
      <w:r>
        <w:rPr>
          <w:rFonts w:hint="eastAsia" w:ascii="仿宋_GB2312" w:hAnsi="仿宋_GB2312" w:eastAsia="仿宋_GB2312" w:cs="仿宋_GB2312"/>
          <w:sz w:val="32"/>
          <w:szCs w:val="32"/>
        </w:rPr>
        <w:t>《商用燃气燃烧器具》），及时更换国家明令淘汰或使用年限已届满的燃气燃烧器具；燃气用具连接软管采用不锈钢波纹软管（GB/T</w:t>
      </w:r>
      <w:r>
        <w:rPr>
          <w:rFonts w:hint="eastAsia" w:eastAsia="仿宋_GB2312" w:cs="仿宋_GB2312"/>
          <w:sz w:val="32"/>
          <w:szCs w:val="32"/>
        </w:rPr>
        <w:t>41317</w:t>
      </w:r>
      <w:r>
        <w:rPr>
          <w:rFonts w:hint="eastAsia" w:ascii="仿宋_GB2312" w:hAnsi="仿宋_GB2312" w:eastAsia="仿宋_GB2312" w:cs="仿宋_GB2312"/>
          <w:sz w:val="32"/>
          <w:szCs w:val="32"/>
        </w:rPr>
        <w:t>-</w:t>
      </w:r>
      <w:r>
        <w:rPr>
          <w:rFonts w:hint="eastAsia" w:eastAsia="仿宋_GB2312" w:cs="仿宋_GB2312"/>
          <w:sz w:val="32"/>
          <w:szCs w:val="32"/>
        </w:rPr>
        <w:t>2022</w:t>
      </w:r>
      <w:r>
        <w:rPr>
          <w:rFonts w:hint="eastAsia" w:ascii="仿宋_GB2312" w:hAnsi="仿宋_GB2312" w:eastAsia="仿宋_GB2312" w:cs="仿宋_GB2312"/>
          <w:sz w:val="32"/>
          <w:szCs w:val="32"/>
        </w:rPr>
        <w:t>《燃气用具连接用不锈钢波纹软管》）。</w:t>
      </w:r>
    </w:p>
    <w:p w14:paraId="0C3D171A">
      <w:pPr>
        <w:pStyle w:val="20"/>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（十一）燃气使用场所必须具备良好的通风条件并根据GB</w:t>
      </w:r>
      <w:r>
        <w:rPr>
          <w:rFonts w:hint="eastAsia" w:eastAsia="仿宋_GB2312" w:cs="仿宋_GB2312"/>
          <w:sz w:val="32"/>
          <w:szCs w:val="32"/>
        </w:rPr>
        <w:t>15322</w:t>
      </w:r>
      <w:r>
        <w:rPr>
          <w:rFonts w:hint="eastAsia" w:ascii="仿宋_GB2312" w:hAnsi="仿宋_GB2312" w:eastAsia="仿宋_GB2312" w:cs="仿宋_GB2312"/>
          <w:sz w:val="32"/>
          <w:szCs w:val="32"/>
        </w:rPr>
        <w:t>《可燃气体探测器》安装燃气报警装置。</w:t>
      </w:r>
    </w:p>
    <w:p w14:paraId="1EABF5CC">
      <w:pPr>
        <w:pStyle w:val="20"/>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（十二）各单位应对自有产权内的燃气管线及其附属设施每月至少进行一次巡视检查，发现燃气泄漏、管道锈蚀等异常情况立即采取相应措施，并保留相关检查记录。</w:t>
      </w:r>
    </w:p>
    <w:p w14:paraId="4601532C">
      <w:pPr>
        <w:pStyle w:val="20"/>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（十三）各单位应使用保护装置完好的气动设备、设施，安全使用压缩空气。</w:t>
      </w:r>
    </w:p>
    <w:p w14:paraId="3BE0A470">
      <w:pPr>
        <w:pStyle w:val="20"/>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（十四）各单位应对自有产权内的压缩空气管道、阀门、连接软管等每周进行一次检查，发现漏气及时处理。</w:t>
      </w:r>
    </w:p>
    <w:p w14:paraId="34113448">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（十五）各单位应对自有产权内的压缩空气净化处理设施（如管道过滤器）进行每周至少一次的排水、排污。</w:t>
      </w:r>
    </w:p>
    <w:p w14:paraId="130F6E99">
      <w:pPr>
        <w:pStyle w:val="20"/>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（十六）禁止人员面对压缩空气气流方向使用压缩空气；禁止使用压缩空气吹扫身体、衣物。</w:t>
      </w:r>
    </w:p>
    <w:p w14:paraId="52129F26">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（十七）使用压缩空气时，若空气软管脱手，应立即关闭空气软管上游阀门，以免软管伤人、损物。</w:t>
      </w:r>
    </w:p>
    <w:p w14:paraId="2F705E28">
      <w:pPr>
        <w:pStyle w:val="20"/>
        <w:spacing w:line="56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（十八）各单位对自有产权内用水管道和设备每月进行不少于一次检查，修缮老化管道及设备，确保用水安全。</w:t>
      </w:r>
    </w:p>
    <w:p w14:paraId="04D8E6D9">
      <w:pPr>
        <w:pStyle w:val="20"/>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（十九）各单位对废水、污水混合物进行分类处理，依法、依规进行排放。</w:t>
      </w:r>
    </w:p>
    <w:p w14:paraId="101CBCCC">
      <w:pPr>
        <w:spacing w:line="560" w:lineRule="exact"/>
        <w:ind w:firstLine="640" w:firstLineChars="200"/>
        <w:rPr>
          <w:rFonts w:ascii="仿宋_GB2312" w:hAnsi="仿宋_GB2312" w:eastAsia="仿宋_GB2312" w:cs="仿宋_GB2312"/>
          <w:sz w:val="32"/>
          <w:szCs w:val="32"/>
        </w:rPr>
      </w:pPr>
      <w:r>
        <w:rPr>
          <w:rFonts w:hint="eastAsia" w:ascii="仿宋" w:hAnsi="仿宋" w:eastAsia="仿宋_GB2312" w:cs="仿宋"/>
          <w:sz w:val="32"/>
          <w:szCs w:val="32"/>
        </w:rPr>
        <w:t>（二十）各单位的非办公电器</w:t>
      </w:r>
      <w:r>
        <w:rPr>
          <w:rStyle w:val="18"/>
          <w:rFonts w:hint="eastAsia" w:ascii="仿宋" w:hAnsi="仿宋" w:eastAsia="仿宋_GB2312" w:cs="仿宋"/>
          <w:sz w:val="32"/>
          <w:szCs w:val="32"/>
        </w:rPr>
        <w:footnoteReference w:id="7"/>
      </w:r>
      <w:r>
        <w:rPr>
          <w:rFonts w:hint="eastAsia" w:ascii="仿宋" w:hAnsi="仿宋" w:eastAsia="仿宋_GB2312" w:cs="仿宋"/>
          <w:sz w:val="32"/>
          <w:szCs w:val="32"/>
        </w:rPr>
        <w:t>，由本单位负责使用安全及日常管理。投用前，电器使用人应书面申请由本单位领导审批同意后，向园区服务中心报备领取《电器使用许用证》。</w:t>
      </w:r>
    </w:p>
    <w:p w14:paraId="398386CC">
      <w:pPr>
        <w:pStyle w:val="20"/>
        <w:spacing w:line="560" w:lineRule="exact"/>
        <w:ind w:firstLine="643"/>
        <w:rPr>
          <w:rFonts w:ascii="楷体" w:hAnsi="楷体" w:eastAsia="楷体_GB2312" w:cs="楷体"/>
          <w:b/>
          <w:sz w:val="32"/>
          <w:szCs w:val="32"/>
        </w:rPr>
      </w:pPr>
      <w:r>
        <w:rPr>
          <w:rFonts w:hint="eastAsia" w:ascii="楷体" w:hAnsi="楷体" w:eastAsia="楷体_GB2312" w:cs="楷体"/>
          <w:b/>
          <w:sz w:val="32"/>
          <w:szCs w:val="32"/>
        </w:rPr>
        <w:t>第十一条 供应维护规范</w:t>
      </w:r>
    </w:p>
    <w:p w14:paraId="05D70BCA">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（一）园区水电气供应除不可抗力因素和计划性检修外，全年总停供率</w:t>
      </w:r>
      <w:r>
        <w:rPr>
          <w:rStyle w:val="18"/>
          <w:rFonts w:hint="eastAsia" w:ascii="仿宋" w:hAnsi="仿宋" w:eastAsia="仿宋_GB2312" w:cs="仿宋"/>
          <w:sz w:val="32"/>
          <w:szCs w:val="32"/>
        </w:rPr>
        <w:footnoteReference w:id="8"/>
      </w:r>
      <w:r>
        <w:rPr>
          <w:rFonts w:hint="eastAsia" w:ascii="仿宋" w:hAnsi="仿宋" w:eastAsia="仿宋_GB2312" w:cs="仿宋"/>
          <w:sz w:val="32"/>
          <w:szCs w:val="32"/>
        </w:rPr>
        <w:t>不得高于0.5%。</w:t>
      </w:r>
    </w:p>
    <w:p w14:paraId="25EC0965">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（二）</w:t>
      </w:r>
      <w:r>
        <w:rPr>
          <w:rFonts w:ascii="仿宋" w:hAnsi="仿宋" w:eastAsia="仿宋_GB2312" w:cs="仿宋"/>
          <w:sz w:val="32"/>
          <w:szCs w:val="32"/>
        </w:rPr>
        <w:t xml:space="preserve"> 园区内供能系统日常保养、维护、维修以末端计量总表为</w:t>
      </w:r>
      <w:r>
        <w:rPr>
          <w:rFonts w:hint="eastAsia" w:ascii="仿宋" w:hAnsi="仿宋" w:eastAsia="仿宋_GB2312" w:cs="仿宋"/>
          <w:sz w:val="32"/>
          <w:szCs w:val="32"/>
        </w:rPr>
        <w:t>权责</w:t>
      </w:r>
      <w:r>
        <w:rPr>
          <w:rFonts w:ascii="仿宋" w:hAnsi="仿宋" w:eastAsia="仿宋_GB2312" w:cs="仿宋"/>
          <w:sz w:val="32"/>
          <w:szCs w:val="32"/>
        </w:rPr>
        <w:t>界</w:t>
      </w:r>
      <w:r>
        <w:rPr>
          <w:rFonts w:hint="eastAsia" w:ascii="仿宋" w:hAnsi="仿宋" w:eastAsia="仿宋_GB2312" w:cs="仿宋"/>
          <w:sz w:val="32"/>
          <w:szCs w:val="32"/>
        </w:rPr>
        <w:t>面</w:t>
      </w:r>
      <w:r>
        <w:rPr>
          <w:rFonts w:ascii="仿宋" w:hAnsi="仿宋" w:eastAsia="仿宋_GB2312" w:cs="仿宋"/>
          <w:sz w:val="32"/>
          <w:szCs w:val="32"/>
        </w:rPr>
        <w:t>，计量总表及前端（公共部分）由</w:t>
      </w:r>
      <w:r>
        <w:rPr>
          <w:rFonts w:hint="eastAsia" w:ascii="仿宋" w:hAnsi="仿宋" w:eastAsia="仿宋_GB2312" w:cs="仿宋"/>
          <w:sz w:val="32"/>
          <w:szCs w:val="32"/>
        </w:rPr>
        <w:t>总部</w:t>
      </w:r>
      <w:r>
        <w:rPr>
          <w:rFonts w:ascii="仿宋" w:hAnsi="仿宋" w:eastAsia="仿宋_GB2312" w:cs="仿宋"/>
          <w:sz w:val="32"/>
          <w:szCs w:val="32"/>
        </w:rPr>
        <w:t>负责，表后由各</w:t>
      </w:r>
      <w:r>
        <w:rPr>
          <w:rFonts w:hint="eastAsia" w:ascii="仿宋" w:hAnsi="仿宋" w:eastAsia="仿宋_GB2312" w:cs="仿宋"/>
          <w:sz w:val="32"/>
          <w:szCs w:val="32"/>
        </w:rPr>
        <w:t>使用单位</w:t>
      </w:r>
      <w:r>
        <w:rPr>
          <w:rFonts w:ascii="仿宋" w:hAnsi="仿宋" w:eastAsia="仿宋_GB2312" w:cs="仿宋"/>
          <w:sz w:val="32"/>
          <w:szCs w:val="32"/>
        </w:rPr>
        <w:t>负责。</w:t>
      </w:r>
      <w:r>
        <w:rPr>
          <w:rFonts w:hint="eastAsia" w:ascii="仿宋" w:hAnsi="仿宋" w:eastAsia="仿宋_GB2312" w:cs="仿宋"/>
          <w:sz w:val="32"/>
          <w:szCs w:val="32"/>
        </w:rPr>
        <w:t>供能</w:t>
      </w:r>
      <w:r>
        <w:rPr>
          <w:rFonts w:ascii="仿宋" w:hAnsi="仿宋" w:eastAsia="仿宋_GB2312" w:cs="仿宋"/>
          <w:sz w:val="32"/>
          <w:szCs w:val="32"/>
        </w:rPr>
        <w:t>系统</w:t>
      </w:r>
      <w:r>
        <w:rPr>
          <w:rFonts w:hint="eastAsia" w:ascii="仿宋" w:hAnsi="仿宋" w:eastAsia="仿宋_GB2312" w:cs="仿宋"/>
          <w:sz w:val="32"/>
          <w:szCs w:val="32"/>
        </w:rPr>
        <w:t>及其相关设备设施</w:t>
      </w:r>
      <w:r>
        <w:rPr>
          <w:rFonts w:ascii="仿宋" w:hAnsi="仿宋" w:eastAsia="仿宋_GB2312" w:cs="仿宋"/>
          <w:sz w:val="32"/>
          <w:szCs w:val="32"/>
        </w:rPr>
        <w:t>的</w:t>
      </w:r>
      <w:r>
        <w:rPr>
          <w:rFonts w:hint="eastAsia" w:ascii="仿宋" w:hAnsi="仿宋" w:eastAsia="仿宋_GB2312" w:cs="仿宋"/>
          <w:sz w:val="32"/>
          <w:szCs w:val="32"/>
        </w:rPr>
        <w:t>新建</w:t>
      </w:r>
      <w:r>
        <w:rPr>
          <w:rFonts w:ascii="仿宋" w:hAnsi="仿宋" w:eastAsia="仿宋_GB2312" w:cs="仿宋"/>
          <w:sz w:val="32"/>
          <w:szCs w:val="32"/>
        </w:rPr>
        <w:t>、改造</w:t>
      </w:r>
      <w:r>
        <w:rPr>
          <w:rFonts w:hint="eastAsia" w:ascii="仿宋" w:hAnsi="仿宋" w:eastAsia="仿宋_GB2312" w:cs="仿宋"/>
          <w:sz w:val="32"/>
          <w:szCs w:val="32"/>
        </w:rPr>
        <w:t>应</w:t>
      </w:r>
      <w:r>
        <w:rPr>
          <w:rFonts w:ascii="仿宋" w:hAnsi="仿宋" w:eastAsia="仿宋_GB2312" w:cs="仿宋"/>
          <w:sz w:val="32"/>
          <w:szCs w:val="32"/>
        </w:rPr>
        <w:t>经</w:t>
      </w:r>
      <w:r>
        <w:rPr>
          <w:rFonts w:hint="eastAsia" w:ascii="仿宋" w:hAnsi="仿宋" w:eastAsia="仿宋_GB2312" w:cs="仿宋"/>
          <w:sz w:val="32"/>
          <w:szCs w:val="32"/>
        </w:rPr>
        <w:t>总部批准</w:t>
      </w:r>
      <w:r>
        <w:rPr>
          <w:rFonts w:ascii="仿宋" w:hAnsi="仿宋" w:eastAsia="仿宋_GB2312" w:cs="仿宋"/>
          <w:sz w:val="32"/>
          <w:szCs w:val="32"/>
        </w:rPr>
        <w:t>后方可实施，</w:t>
      </w:r>
      <w:r>
        <w:rPr>
          <w:rFonts w:hint="eastAsia" w:ascii="仿宋" w:hAnsi="仿宋" w:eastAsia="仿宋_GB2312" w:cs="仿宋"/>
          <w:sz w:val="32"/>
          <w:szCs w:val="32"/>
        </w:rPr>
        <w:t>相关</w:t>
      </w:r>
      <w:r>
        <w:rPr>
          <w:rFonts w:ascii="仿宋" w:hAnsi="仿宋" w:eastAsia="仿宋_GB2312" w:cs="仿宋"/>
          <w:sz w:val="32"/>
          <w:szCs w:val="32"/>
        </w:rPr>
        <w:t>费用按“谁</w:t>
      </w:r>
      <w:r>
        <w:rPr>
          <w:rFonts w:hint="eastAsia" w:ascii="仿宋" w:hAnsi="仿宋" w:eastAsia="仿宋_GB2312" w:cs="仿宋"/>
          <w:sz w:val="32"/>
          <w:szCs w:val="32"/>
        </w:rPr>
        <w:t>受益</w:t>
      </w:r>
      <w:r>
        <w:rPr>
          <w:rFonts w:ascii="仿宋" w:hAnsi="仿宋" w:eastAsia="仿宋_GB2312" w:cs="仿宋"/>
          <w:sz w:val="32"/>
          <w:szCs w:val="32"/>
        </w:rPr>
        <w:t>，谁出资”的原则</w:t>
      </w:r>
      <w:r>
        <w:rPr>
          <w:rFonts w:hint="eastAsia" w:ascii="仿宋" w:hAnsi="仿宋" w:eastAsia="仿宋_GB2312" w:cs="仿宋"/>
          <w:sz w:val="32"/>
          <w:szCs w:val="32"/>
        </w:rPr>
        <w:t>确认</w:t>
      </w:r>
      <w:r>
        <w:rPr>
          <w:rFonts w:ascii="仿宋" w:hAnsi="仿宋" w:eastAsia="仿宋_GB2312" w:cs="仿宋"/>
          <w:sz w:val="32"/>
          <w:szCs w:val="32"/>
        </w:rPr>
        <w:t>承担主体。</w:t>
      </w:r>
    </w:p>
    <w:p w14:paraId="6B312654">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（三）供水系统维护由园区服务中心负责，主管道阀门维护每季度1次，水泵维护每半年1次。</w:t>
      </w:r>
    </w:p>
    <w:p w14:paraId="57985F06">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（四）供配电设备设施一级保养，每年1次，由使用单位负责实施；二级保养，每年1次，由园区服务中心负责实施。</w:t>
      </w:r>
    </w:p>
    <w:p w14:paraId="0B82426C">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（五）建筑物防雷接地检测，产权单位</w:t>
      </w:r>
      <w:r>
        <w:rPr>
          <w:rFonts w:hint="eastAsia" w:ascii="仿宋_GB2312" w:hAnsi="仿宋_GB2312" w:eastAsia="仿宋_GB2312" w:cs="仿宋_GB2312"/>
          <w:sz w:val="32"/>
          <w:szCs w:val="32"/>
        </w:rPr>
        <w:t>应委托</w:t>
      </w:r>
      <w:r>
        <w:rPr>
          <w:rFonts w:hint="eastAsia" w:ascii="仿宋" w:hAnsi="仿宋" w:eastAsia="仿宋_GB2312" w:cs="仿宋"/>
          <w:sz w:val="32"/>
          <w:szCs w:val="32"/>
        </w:rPr>
        <w:t>具有专业资质的单位检定并出具报告，</w:t>
      </w:r>
      <w:r>
        <w:rPr>
          <w:rFonts w:hint="eastAsia" w:ascii="仿宋_GB2312" w:hAnsi="仿宋_GB2312" w:eastAsia="仿宋_GB2312" w:cs="仿宋_GB2312"/>
          <w:sz w:val="32"/>
          <w:szCs w:val="32"/>
        </w:rPr>
        <w:t>每年1次</w:t>
      </w:r>
      <w:r>
        <w:rPr>
          <w:rFonts w:hint="eastAsia" w:ascii="仿宋" w:hAnsi="仿宋" w:eastAsia="仿宋_GB2312" w:cs="仿宋"/>
          <w:sz w:val="32"/>
          <w:szCs w:val="32"/>
        </w:rPr>
        <w:t>。</w:t>
      </w:r>
    </w:p>
    <w:p w14:paraId="1F3AE986">
      <w:pPr>
        <w:numPr>
          <w:ilvl w:val="255"/>
          <w:numId w:val="0"/>
        </w:num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（六）供配电高压系统预防性试验，产权单位</w:t>
      </w:r>
      <w:r>
        <w:rPr>
          <w:rFonts w:hint="eastAsia" w:ascii="仿宋_GB2312" w:hAnsi="仿宋_GB2312" w:eastAsia="仿宋_GB2312" w:cs="仿宋_GB2312"/>
          <w:sz w:val="32"/>
          <w:szCs w:val="32"/>
        </w:rPr>
        <w:t>应委托</w:t>
      </w:r>
      <w:r>
        <w:rPr>
          <w:rFonts w:hint="eastAsia" w:ascii="仿宋" w:hAnsi="仿宋" w:eastAsia="仿宋_GB2312" w:cs="仿宋"/>
          <w:sz w:val="32"/>
          <w:szCs w:val="32"/>
        </w:rPr>
        <w:t>具有专业资质的单位检定并出具报告，至少三年1次。</w:t>
      </w:r>
    </w:p>
    <w:p w14:paraId="321D8DAD">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（七）可燃气体探测器、燃气</w:t>
      </w:r>
      <w:r>
        <w:rPr>
          <w:rFonts w:hint="eastAsia" w:ascii="仿宋_GB2312" w:hAnsi="仿宋_GB2312" w:eastAsia="仿宋_GB2312" w:cs="仿宋_GB2312"/>
          <w:sz w:val="32"/>
          <w:szCs w:val="32"/>
          <w:lang w:bidi="ar"/>
        </w:rPr>
        <w:t>散放阀、空压系统安全阀及压力表检定，</w:t>
      </w:r>
      <w:r>
        <w:rPr>
          <w:rFonts w:hint="eastAsia" w:ascii="仿宋" w:hAnsi="仿宋" w:eastAsia="仿宋_GB2312" w:cs="仿宋"/>
          <w:sz w:val="32"/>
          <w:szCs w:val="32"/>
        </w:rPr>
        <w:t>产权单位</w:t>
      </w:r>
      <w:r>
        <w:rPr>
          <w:rFonts w:hint="eastAsia" w:ascii="仿宋_GB2312" w:hAnsi="仿宋_GB2312" w:eastAsia="仿宋_GB2312" w:cs="仿宋_GB2312"/>
          <w:sz w:val="32"/>
          <w:szCs w:val="32"/>
        </w:rPr>
        <w:t>应委托</w:t>
      </w:r>
      <w:r>
        <w:rPr>
          <w:rFonts w:hint="eastAsia" w:ascii="仿宋" w:hAnsi="仿宋" w:eastAsia="仿宋_GB2312" w:cs="仿宋"/>
          <w:sz w:val="32"/>
          <w:szCs w:val="32"/>
        </w:rPr>
        <w:t>具有专业资质的单位检定并出</w:t>
      </w:r>
      <w:r>
        <w:rPr>
          <w:rFonts w:hint="eastAsia" w:ascii="仿宋_GB2312" w:hAnsi="仿宋_GB2312" w:eastAsia="仿宋_GB2312" w:cs="仿宋_GB2312"/>
          <w:sz w:val="32"/>
          <w:szCs w:val="32"/>
        </w:rPr>
        <w:t xml:space="preserve">具报告，每年1次。  </w:t>
      </w:r>
    </w:p>
    <w:p w14:paraId="32D0F114">
      <w:pPr>
        <w:spacing w:line="560" w:lineRule="exact"/>
        <w:ind w:firstLine="640"/>
        <w:rPr>
          <w:rFonts w:ascii="仿宋" w:hAnsi="仿宋" w:eastAsia="仿宋_GB2312" w:cs="仿宋"/>
          <w:sz w:val="32"/>
          <w:szCs w:val="32"/>
        </w:rPr>
      </w:pPr>
      <w:r>
        <w:rPr>
          <w:rFonts w:hint="eastAsia" w:ascii="仿宋" w:hAnsi="仿宋" w:eastAsia="仿宋_GB2312" w:cs="仿宋"/>
          <w:sz w:val="32"/>
          <w:szCs w:val="32"/>
        </w:rPr>
        <w:t>（八）燃气压力表</w:t>
      </w:r>
      <w:r>
        <w:rPr>
          <w:rFonts w:hint="eastAsia" w:ascii="仿宋_GB2312" w:hAnsi="仿宋_GB2312" w:eastAsia="仿宋_GB2312" w:cs="仿宋_GB2312"/>
          <w:sz w:val="32"/>
          <w:szCs w:val="32"/>
        </w:rPr>
        <w:t>应委托</w:t>
      </w:r>
      <w:r>
        <w:rPr>
          <w:rFonts w:hint="eastAsia" w:ascii="仿宋" w:hAnsi="仿宋" w:eastAsia="仿宋_GB2312" w:cs="仿宋"/>
          <w:sz w:val="32"/>
          <w:szCs w:val="32"/>
        </w:rPr>
        <w:t>具有专业资质的单位检定并出具报告，至少每年2次。</w:t>
      </w:r>
    </w:p>
    <w:p w14:paraId="14BD4DD5">
      <w:pPr>
        <w:spacing w:line="560" w:lineRule="exact"/>
        <w:ind w:firstLine="640"/>
        <w:rPr>
          <w:rFonts w:ascii="仿宋" w:hAnsi="仿宋" w:eastAsia="仿宋_GB2312" w:cs="仿宋"/>
          <w:sz w:val="32"/>
          <w:szCs w:val="32"/>
        </w:rPr>
      </w:pPr>
      <w:r>
        <w:rPr>
          <w:rFonts w:hint="eastAsia" w:ascii="仿宋" w:hAnsi="仿宋" w:eastAsia="仿宋_GB2312" w:cs="仿宋"/>
          <w:sz w:val="32"/>
          <w:szCs w:val="32"/>
        </w:rPr>
        <w:t>（九）燃气</w:t>
      </w:r>
      <w:r>
        <w:rPr>
          <w:rFonts w:hint="eastAsia" w:ascii="仿宋_GB2312" w:hAnsi="仿宋_GB2312" w:eastAsia="仿宋_GB2312"/>
          <w:bCs/>
          <w:color w:val="000000"/>
          <w:sz w:val="32"/>
          <w:szCs w:val="32"/>
        </w:rPr>
        <w:t>配气柜</w:t>
      </w:r>
      <w:r>
        <w:rPr>
          <w:rFonts w:hint="eastAsia" w:ascii="仿宋_GB2312" w:hAnsi="仿宋_GB2312" w:eastAsia="仿宋_GB2312" w:cs="仿宋_GB2312"/>
          <w:sz w:val="32"/>
          <w:szCs w:val="32"/>
        </w:rPr>
        <w:t>应委托</w:t>
      </w:r>
      <w:r>
        <w:rPr>
          <w:rFonts w:hint="eastAsia" w:ascii="仿宋" w:hAnsi="仿宋" w:eastAsia="仿宋_GB2312" w:cs="仿宋"/>
          <w:sz w:val="32"/>
          <w:szCs w:val="32"/>
        </w:rPr>
        <w:t>具有专业资质的单位维护并出具维护记录，至少三年1次。包括调压器内部橡胶件、过滤器滤芯更换，调压器切断压力、出口压力调整等。</w:t>
      </w:r>
    </w:p>
    <w:p w14:paraId="3D5F9562">
      <w:pPr>
        <w:numPr>
          <w:ilvl w:val="255"/>
          <w:numId w:val="0"/>
        </w:numPr>
        <w:spacing w:line="560" w:lineRule="exact"/>
        <w:ind w:firstLine="640" w:firstLineChars="200"/>
        <w:jc w:val="left"/>
        <w:rPr>
          <w:rFonts w:ascii="仿宋" w:hAnsi="仿宋" w:eastAsia="仿宋_GB2312" w:cs="仿宋"/>
          <w:sz w:val="32"/>
          <w:szCs w:val="32"/>
        </w:rPr>
      </w:pPr>
      <w:r>
        <w:rPr>
          <w:rFonts w:hint="eastAsia" w:ascii="仿宋_GB2312" w:hAnsi="仿宋_GB2312" w:eastAsia="仿宋_GB2312" w:cs="仿宋_GB2312"/>
          <w:sz w:val="32"/>
          <w:szCs w:val="32"/>
          <w:lang w:bidi="ar"/>
        </w:rPr>
        <w:t>（十）储气罐罐体、燃气管道检定，</w:t>
      </w:r>
      <w:r>
        <w:rPr>
          <w:rFonts w:hint="eastAsia" w:ascii="仿宋" w:hAnsi="仿宋" w:eastAsia="仿宋_GB2312" w:cs="仿宋"/>
          <w:sz w:val="32"/>
          <w:szCs w:val="32"/>
        </w:rPr>
        <w:t>产权单位</w:t>
      </w:r>
      <w:r>
        <w:rPr>
          <w:rFonts w:hint="eastAsia" w:ascii="仿宋_GB2312" w:hAnsi="仿宋_GB2312" w:eastAsia="仿宋_GB2312" w:cs="仿宋_GB2312"/>
          <w:sz w:val="32"/>
          <w:szCs w:val="32"/>
        </w:rPr>
        <w:t>应委托</w:t>
      </w:r>
      <w:r>
        <w:rPr>
          <w:rFonts w:hint="eastAsia" w:ascii="仿宋" w:hAnsi="仿宋" w:eastAsia="仿宋_GB2312" w:cs="仿宋"/>
          <w:sz w:val="32"/>
          <w:szCs w:val="32"/>
        </w:rPr>
        <w:t>具有专业资质的单位检定并出具报告，每三年1次。</w:t>
      </w:r>
    </w:p>
    <w:p w14:paraId="16F2A280">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（十一）空压机组、直燃机组维保，产权单位应委托专业单位维护保养并出具维护保养记录，每年1次。包括易耗件更换、清洁散热系统及机内冷凝系统、检查控制管路及电气系统等。</w:t>
      </w:r>
    </w:p>
    <w:p w14:paraId="7550D06E">
      <w:pPr>
        <w:spacing w:line="560" w:lineRule="exact"/>
        <w:ind w:firstLine="643" w:firstLineChars="200"/>
        <w:rPr>
          <w:rFonts w:ascii="楷体" w:hAnsi="楷体" w:eastAsia="楷体_GB2312" w:cs="楷体"/>
          <w:b/>
          <w:sz w:val="32"/>
          <w:szCs w:val="32"/>
        </w:rPr>
      </w:pPr>
      <w:r>
        <w:rPr>
          <w:rFonts w:hint="eastAsia" w:ascii="楷体" w:hAnsi="楷体" w:eastAsia="楷体_GB2312" w:cs="楷体"/>
          <w:b/>
          <w:sz w:val="32"/>
          <w:szCs w:val="32"/>
        </w:rPr>
        <w:t>第十二条 维修抢修规范</w:t>
      </w:r>
    </w:p>
    <w:p w14:paraId="3858F430">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（一）</w:t>
      </w:r>
      <w:r>
        <w:rPr>
          <w:rFonts w:ascii="仿宋" w:hAnsi="仿宋" w:eastAsia="仿宋_GB2312" w:cs="仿宋"/>
          <w:sz w:val="32"/>
          <w:szCs w:val="32"/>
        </w:rPr>
        <w:t>园区服务中心是供能系统</w:t>
      </w:r>
      <w:r>
        <w:rPr>
          <w:rFonts w:hint="eastAsia" w:ascii="仿宋" w:hAnsi="仿宋" w:eastAsia="仿宋_GB2312" w:cs="仿宋"/>
          <w:sz w:val="32"/>
          <w:szCs w:val="32"/>
        </w:rPr>
        <w:t>（总部产权）</w:t>
      </w:r>
      <w:r>
        <w:rPr>
          <w:rFonts w:ascii="仿宋" w:hAnsi="仿宋" w:eastAsia="仿宋_GB2312" w:cs="仿宋"/>
          <w:sz w:val="32"/>
          <w:szCs w:val="32"/>
        </w:rPr>
        <w:t>抢修和维护的主责单位</w:t>
      </w:r>
      <w:r>
        <w:rPr>
          <w:rFonts w:hint="eastAsia" w:ascii="仿宋" w:hAnsi="仿宋" w:eastAsia="仿宋_GB2312" w:cs="仿宋"/>
          <w:sz w:val="32"/>
          <w:szCs w:val="32"/>
        </w:rPr>
        <w:t>，</w:t>
      </w:r>
      <w:r>
        <w:rPr>
          <w:rFonts w:ascii="仿宋" w:hAnsi="仿宋" w:eastAsia="仿宋_GB2312" w:cs="仿宋"/>
          <w:sz w:val="32"/>
          <w:szCs w:val="32"/>
        </w:rPr>
        <w:t>各单位和个人均有配合供能系统抢修、维护，确保能源供给安全和使用安全的义务。对园区供能和用能过程中出现的故障、违规、异常现象可直接向园区服务中心反映。</w:t>
      </w:r>
    </w:p>
    <w:p w14:paraId="479CA264">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（二）供能期间如遇</w:t>
      </w:r>
      <w:r>
        <w:rPr>
          <w:rFonts w:ascii="仿宋" w:hAnsi="仿宋" w:eastAsia="仿宋_GB2312" w:cs="仿宋"/>
          <w:sz w:val="32"/>
          <w:szCs w:val="32"/>
        </w:rPr>
        <w:t>突发性</w:t>
      </w:r>
      <w:r>
        <w:rPr>
          <w:rFonts w:hint="eastAsia" w:ascii="仿宋" w:hAnsi="仿宋" w:eastAsia="仿宋_GB2312" w:cs="仿宋"/>
          <w:sz w:val="32"/>
          <w:szCs w:val="32"/>
        </w:rPr>
        <w:t>故障，园区服务中心应及时</w:t>
      </w:r>
      <w:r>
        <w:rPr>
          <w:rFonts w:ascii="仿宋" w:hAnsi="仿宋" w:eastAsia="仿宋_GB2312" w:cs="仿宋"/>
          <w:sz w:val="32"/>
          <w:szCs w:val="32"/>
        </w:rPr>
        <w:t>通过电话、微信等通讯手段</w:t>
      </w:r>
      <w:r>
        <w:rPr>
          <w:rFonts w:hint="eastAsia" w:ascii="仿宋" w:hAnsi="仿宋" w:eastAsia="仿宋_GB2312" w:cs="仿宋"/>
          <w:sz w:val="32"/>
          <w:szCs w:val="32"/>
        </w:rPr>
        <w:t>通知各相关单位能源监管员并组织</w:t>
      </w:r>
      <w:r>
        <w:rPr>
          <w:rFonts w:ascii="仿宋" w:hAnsi="仿宋" w:eastAsia="仿宋_GB2312" w:cs="仿宋"/>
          <w:sz w:val="32"/>
          <w:szCs w:val="32"/>
        </w:rPr>
        <w:t>抢修，由能源监管员向其上级进行及时汇报；计划性</w:t>
      </w:r>
      <w:r>
        <w:rPr>
          <w:rFonts w:hint="eastAsia" w:ascii="仿宋" w:hAnsi="仿宋" w:eastAsia="仿宋_GB2312" w:cs="仿宋"/>
          <w:sz w:val="32"/>
          <w:szCs w:val="32"/>
        </w:rPr>
        <w:t>停供、检修、保养，园区服务中心应提前</w:t>
      </w:r>
      <w:r>
        <w:rPr>
          <w:rFonts w:ascii="仿宋" w:hAnsi="仿宋" w:eastAsia="仿宋_GB2312" w:cs="仿宋"/>
          <w:sz w:val="32"/>
          <w:szCs w:val="32"/>
        </w:rPr>
        <w:t>一个工作日，以书面函告或通知通告的方式，</w:t>
      </w:r>
      <w:r>
        <w:rPr>
          <w:rFonts w:hint="eastAsia" w:ascii="仿宋" w:hAnsi="仿宋" w:eastAsia="仿宋_GB2312" w:cs="仿宋"/>
          <w:sz w:val="32"/>
          <w:szCs w:val="32"/>
        </w:rPr>
        <w:t>告知</w:t>
      </w:r>
      <w:r>
        <w:rPr>
          <w:rFonts w:ascii="仿宋" w:hAnsi="仿宋" w:eastAsia="仿宋_GB2312" w:cs="仿宋"/>
          <w:sz w:val="32"/>
          <w:szCs w:val="32"/>
        </w:rPr>
        <w:t>相关单位</w:t>
      </w:r>
      <w:r>
        <w:rPr>
          <w:rFonts w:hint="eastAsia" w:ascii="仿宋" w:hAnsi="仿宋" w:eastAsia="仿宋_GB2312" w:cs="仿宋"/>
          <w:sz w:val="32"/>
          <w:szCs w:val="32"/>
        </w:rPr>
        <w:t>停供时长、影响范围、风险隐患及控制措施。</w:t>
      </w:r>
    </w:p>
    <w:p w14:paraId="5F0E9EB5">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（三）</w:t>
      </w:r>
      <w:r>
        <w:rPr>
          <w:rFonts w:ascii="仿宋" w:hAnsi="仿宋" w:eastAsia="仿宋_GB2312" w:cs="仿宋"/>
          <w:sz w:val="32"/>
          <w:szCs w:val="32"/>
        </w:rPr>
        <w:t>突发性电力故障</w:t>
      </w:r>
      <w:r>
        <w:rPr>
          <w:rFonts w:hint="eastAsia" w:ascii="仿宋" w:hAnsi="仿宋" w:eastAsia="仿宋_GB2312" w:cs="仿宋"/>
          <w:sz w:val="32"/>
          <w:szCs w:val="32"/>
        </w:rPr>
        <w:t>导致</w:t>
      </w:r>
      <w:r>
        <w:rPr>
          <w:rFonts w:ascii="仿宋" w:hAnsi="仿宋" w:eastAsia="仿宋_GB2312" w:cs="仿宋"/>
          <w:sz w:val="32"/>
          <w:szCs w:val="32"/>
        </w:rPr>
        <w:t>安防</w:t>
      </w:r>
      <w:r>
        <w:rPr>
          <w:rFonts w:hint="eastAsia" w:ascii="仿宋" w:hAnsi="仿宋" w:eastAsia="仿宋_GB2312" w:cs="仿宋"/>
          <w:sz w:val="32"/>
          <w:szCs w:val="32"/>
        </w:rPr>
        <w:t>或数据</w:t>
      </w:r>
      <w:r>
        <w:rPr>
          <w:rFonts w:ascii="仿宋" w:hAnsi="仿宋" w:eastAsia="仿宋_GB2312" w:cs="仿宋"/>
          <w:sz w:val="32"/>
          <w:szCs w:val="32"/>
        </w:rPr>
        <w:t>系统（</w:t>
      </w:r>
      <w:r>
        <w:rPr>
          <w:rFonts w:eastAsia="仿宋_GB2312" w:cs="仿宋"/>
          <w:sz w:val="32"/>
          <w:szCs w:val="32"/>
        </w:rPr>
        <w:t>201</w:t>
      </w:r>
      <w:r>
        <w:rPr>
          <w:rFonts w:ascii="仿宋" w:hAnsi="仿宋" w:eastAsia="仿宋_GB2312" w:cs="仿宋"/>
          <w:sz w:val="32"/>
          <w:szCs w:val="32"/>
          <w:vertAlign w:val="superscript"/>
        </w:rPr>
        <w:t>#</w:t>
      </w:r>
      <w:r>
        <w:rPr>
          <w:rFonts w:ascii="仿宋" w:hAnsi="仿宋" w:eastAsia="仿宋_GB2312" w:cs="仿宋"/>
          <w:sz w:val="32"/>
          <w:szCs w:val="32"/>
        </w:rPr>
        <w:t>大楼</w:t>
      </w:r>
      <w:r>
        <w:rPr>
          <w:rFonts w:hint="eastAsia" w:ascii="仿宋" w:hAnsi="仿宋" w:eastAsia="仿宋_GB2312" w:cs="仿宋"/>
          <w:sz w:val="32"/>
          <w:szCs w:val="32"/>
        </w:rPr>
        <w:t>或数据中心</w:t>
      </w:r>
      <w:r>
        <w:rPr>
          <w:rFonts w:ascii="仿宋" w:hAnsi="仿宋" w:eastAsia="仿宋_GB2312" w:cs="仿宋"/>
          <w:sz w:val="32"/>
          <w:szCs w:val="32"/>
        </w:rPr>
        <w:t>）</w:t>
      </w:r>
      <w:r>
        <w:rPr>
          <w:rFonts w:hint="eastAsia" w:ascii="仿宋" w:hAnsi="仿宋" w:eastAsia="仿宋_GB2312" w:cs="仿宋"/>
          <w:sz w:val="32"/>
          <w:szCs w:val="32"/>
        </w:rPr>
        <w:t>断电时，园区服务中心应在</w:t>
      </w:r>
      <w:r>
        <w:rPr>
          <w:rFonts w:eastAsia="仿宋_GB2312" w:cs="仿宋"/>
          <w:sz w:val="32"/>
          <w:szCs w:val="32"/>
        </w:rPr>
        <w:t>2</w:t>
      </w:r>
      <w:r>
        <w:rPr>
          <w:rFonts w:hint="eastAsia" w:eastAsia="仿宋_GB2312" w:cs="仿宋"/>
          <w:sz w:val="32"/>
          <w:szCs w:val="32"/>
        </w:rPr>
        <w:t>0</w:t>
      </w:r>
      <w:r>
        <w:rPr>
          <w:rFonts w:hint="eastAsia" w:ascii="仿宋" w:hAnsi="仿宋" w:eastAsia="仿宋_GB2312" w:cs="仿宋"/>
          <w:sz w:val="32"/>
          <w:szCs w:val="32"/>
        </w:rPr>
        <w:t>分钟内启用备用电源或采用发电机供电；停电后各单位应立即断开设备电源，防止来电时的冲击电流损坏设备。</w:t>
      </w:r>
    </w:p>
    <w:p w14:paraId="4EEB716D">
      <w:pPr>
        <w:adjustRightInd w:val="0"/>
        <w:spacing w:line="560" w:lineRule="exact"/>
        <w:jc w:val="center"/>
        <w:outlineLvl w:val="0"/>
        <w:rPr>
          <w:rFonts w:hint="eastAsia" w:ascii="黑体" w:hAnsi="黑体" w:eastAsia="黑体" w:cs="黑体"/>
          <w:b/>
          <w:sz w:val="32"/>
          <w:szCs w:val="32"/>
        </w:rPr>
      </w:pPr>
      <w:bookmarkStart w:id="4" w:name="_Toc26187"/>
      <w:r>
        <w:rPr>
          <w:rFonts w:hint="eastAsia" w:ascii="黑体" w:hAnsi="黑体" w:eastAsia="黑体" w:cs="黑体"/>
          <w:b/>
          <w:sz w:val="32"/>
          <w:szCs w:val="32"/>
        </w:rPr>
        <w:t>第四章 考核</w:t>
      </w:r>
      <w:bookmarkEnd w:id="4"/>
    </w:p>
    <w:p w14:paraId="396B3D1D">
      <w:pPr>
        <w:pStyle w:val="20"/>
        <w:spacing w:line="560" w:lineRule="exact"/>
        <w:ind w:firstLine="643"/>
        <w:rPr>
          <w:rFonts w:ascii="仿宋" w:hAnsi="仿宋" w:eastAsia="仿宋_GB2312" w:cs="仿宋"/>
          <w:sz w:val="32"/>
          <w:szCs w:val="32"/>
        </w:rPr>
      </w:pPr>
      <w:r>
        <w:rPr>
          <w:rFonts w:hint="eastAsia" w:ascii="楷体" w:hAnsi="楷体" w:eastAsia="楷体_GB2312" w:cs="楷体"/>
          <w:b/>
          <w:sz w:val="32"/>
          <w:szCs w:val="32"/>
        </w:rPr>
        <w:t>第十三条</w:t>
      </w:r>
      <w:r>
        <w:rPr>
          <w:rFonts w:hint="eastAsia" w:ascii="仿宋" w:hAnsi="仿宋" w:eastAsia="仿宋_GB2312" w:cs="仿宋"/>
          <w:sz w:val="32"/>
          <w:szCs w:val="32"/>
        </w:rPr>
        <w:t xml:space="preserve"> 园区服务中心负责组织开展用能巡检，对违反本规范的单位或个人予以考核。</w:t>
      </w:r>
    </w:p>
    <w:p w14:paraId="62144532">
      <w:pPr>
        <w:pStyle w:val="20"/>
        <w:spacing w:line="560" w:lineRule="exact"/>
        <w:ind w:firstLine="643"/>
        <w:rPr>
          <w:rFonts w:ascii="仿宋" w:hAnsi="仿宋" w:eastAsia="仿宋_GB2312" w:cs="仿宋"/>
          <w:sz w:val="32"/>
          <w:szCs w:val="32"/>
        </w:rPr>
      </w:pPr>
      <w:r>
        <w:rPr>
          <w:rFonts w:hint="eastAsia" w:ascii="楷体" w:hAnsi="楷体" w:eastAsia="楷体_GB2312" w:cs="楷体"/>
          <w:b/>
          <w:sz w:val="32"/>
          <w:szCs w:val="32"/>
        </w:rPr>
        <w:t xml:space="preserve">第十四条 </w:t>
      </w:r>
      <w:r>
        <w:rPr>
          <w:rFonts w:hint="eastAsia" w:ascii="仿宋" w:hAnsi="仿宋" w:eastAsia="仿宋_GB2312" w:cs="仿宋"/>
          <w:sz w:val="32"/>
          <w:szCs w:val="32"/>
        </w:rPr>
        <w:t>考核视违规频次及配合情况，主要采用口头提醒、书面警告、通报批评等方式，即：年度内初次违反予以口头提醒，再次违反则予以书面警告，年度内累计违反三次及以上或不配合整改的予以通报批评。</w:t>
      </w:r>
    </w:p>
    <w:p w14:paraId="3EAF69D4">
      <w:pPr>
        <w:adjustRightInd w:val="0"/>
        <w:spacing w:line="560" w:lineRule="exact"/>
        <w:jc w:val="center"/>
        <w:outlineLvl w:val="0"/>
        <w:rPr>
          <w:rFonts w:hint="eastAsia" w:ascii="黑体" w:hAnsi="黑体" w:eastAsia="黑体" w:cs="黑体"/>
          <w:b/>
          <w:sz w:val="32"/>
          <w:szCs w:val="32"/>
        </w:rPr>
      </w:pPr>
      <w:bookmarkStart w:id="5" w:name="_Toc26008"/>
      <w:r>
        <w:rPr>
          <w:rFonts w:hint="eastAsia" w:ascii="黑体" w:hAnsi="黑体" w:eastAsia="黑体" w:cs="黑体"/>
          <w:b/>
          <w:sz w:val="32"/>
          <w:szCs w:val="32"/>
        </w:rPr>
        <w:t>第五章 附则</w:t>
      </w:r>
      <w:bookmarkEnd w:id="5"/>
    </w:p>
    <w:p w14:paraId="6A7BBB9C">
      <w:pPr>
        <w:spacing w:line="560" w:lineRule="exact"/>
        <w:ind w:firstLine="643" w:firstLineChars="200"/>
        <w:rPr>
          <w:rFonts w:ascii="仿宋" w:hAnsi="仿宋" w:eastAsia="仿宋_GB2312" w:cs="仿宋"/>
          <w:sz w:val="32"/>
          <w:szCs w:val="40"/>
        </w:rPr>
      </w:pPr>
      <w:r>
        <w:rPr>
          <w:rFonts w:hint="eastAsia" w:ascii="楷体" w:hAnsi="楷体" w:eastAsia="楷体_GB2312" w:cs="楷体"/>
          <w:b/>
          <w:sz w:val="32"/>
          <w:szCs w:val="40"/>
        </w:rPr>
        <w:t>第十五条</w:t>
      </w:r>
      <w:r>
        <w:rPr>
          <w:rFonts w:hint="eastAsia" w:ascii="仿宋" w:hAnsi="仿宋" w:eastAsia="仿宋_GB2312" w:cs="仿宋"/>
          <w:sz w:val="32"/>
          <w:szCs w:val="40"/>
        </w:rPr>
        <w:t xml:space="preserve"> 本规范由</w:t>
      </w:r>
      <w:r>
        <w:rPr>
          <w:rFonts w:hint="eastAsia" w:ascii="仿宋" w:hAnsi="仿宋" w:eastAsia="仿宋_GB2312" w:cs="仿宋"/>
          <w:sz w:val="32"/>
          <w:szCs w:val="32"/>
        </w:rPr>
        <w:t>园区服务中心</w:t>
      </w:r>
      <w:r>
        <w:rPr>
          <w:rFonts w:hint="eastAsia" w:ascii="仿宋" w:hAnsi="仿宋" w:eastAsia="仿宋_GB2312" w:cs="仿宋"/>
          <w:sz w:val="32"/>
          <w:szCs w:val="40"/>
        </w:rPr>
        <w:t>负责解释。</w:t>
      </w:r>
    </w:p>
    <w:p w14:paraId="27D94875">
      <w:pPr>
        <w:spacing w:line="560" w:lineRule="exact"/>
        <w:ind w:firstLine="643" w:firstLineChars="200"/>
        <w:rPr>
          <w:rFonts w:ascii="仿宋" w:hAnsi="仿宋" w:eastAsia="仿宋_GB2312" w:cs="仿宋"/>
          <w:sz w:val="32"/>
          <w:szCs w:val="40"/>
        </w:rPr>
      </w:pPr>
      <w:r>
        <w:rPr>
          <w:rFonts w:hint="eastAsia" w:ascii="楷体" w:hAnsi="楷体" w:eastAsia="楷体_GB2312" w:cs="楷体"/>
          <w:b/>
          <w:sz w:val="32"/>
          <w:szCs w:val="40"/>
        </w:rPr>
        <w:t>第十六条</w:t>
      </w:r>
      <w:r>
        <w:rPr>
          <w:rFonts w:hint="eastAsia" w:ascii="仿宋" w:hAnsi="仿宋" w:eastAsia="仿宋_GB2312" w:cs="仿宋"/>
          <w:sz w:val="32"/>
          <w:szCs w:val="40"/>
        </w:rPr>
        <w:t xml:space="preserve"> 本规范自发布之日起施行，原《能源管理制度》《空调使用管理办法》等相关规章制度废止。</w:t>
      </w:r>
    </w:p>
    <w:p w14:paraId="55BD82D9">
      <w:pPr>
        <w:spacing w:line="560" w:lineRule="exact"/>
        <w:ind w:firstLine="640" w:firstLineChars="200"/>
        <w:rPr>
          <w:rFonts w:ascii="仿宋" w:hAnsi="仿宋" w:eastAsia="仿宋_GB2312" w:cs="仿宋"/>
          <w:sz w:val="32"/>
          <w:szCs w:val="40"/>
        </w:rPr>
      </w:pPr>
    </w:p>
    <w:p w14:paraId="6251B092">
      <w:pPr>
        <w:spacing w:line="560" w:lineRule="exact"/>
        <w:rPr>
          <w:rFonts w:ascii="仿宋_GB2312" w:hAnsi="仿宋_GB2312" w:eastAsia="仿宋_GB2312" w:cs="仿宋_GB2312"/>
          <w:sz w:val="32"/>
          <w:szCs w:val="40"/>
        </w:rPr>
      </w:pPr>
    </w:p>
    <w:p w14:paraId="72EFC6E6">
      <w:pPr>
        <w:spacing w:line="560" w:lineRule="exact"/>
        <w:rPr>
          <w:rFonts w:ascii="仿宋_GB2312" w:hAnsi="仿宋_GB2312" w:eastAsia="仿宋_GB2312" w:cs="仿宋_GB2312"/>
          <w:sz w:val="32"/>
          <w:szCs w:val="40"/>
        </w:rPr>
      </w:pPr>
    </w:p>
    <w:p w14:paraId="73AE5B0A">
      <w:pPr>
        <w:spacing w:line="560" w:lineRule="exact"/>
        <w:ind w:firstLine="640" w:firstLineChars="200"/>
        <w:rPr>
          <w:rFonts w:ascii="仿宋" w:hAnsi="仿宋" w:eastAsia="仿宋_GB2312" w:cs="仿宋"/>
          <w:sz w:val="32"/>
          <w:szCs w:val="32"/>
        </w:rPr>
      </w:pPr>
      <w:r>
        <w:rPr>
          <w:rFonts w:hint="eastAsia" w:ascii="仿宋" w:hAnsi="仿宋" w:eastAsia="仿宋_GB2312" w:cs="仿宋"/>
          <w:sz w:val="32"/>
          <w:szCs w:val="32"/>
        </w:rPr>
        <w:t>附件：</w:t>
      </w:r>
      <w:r>
        <w:rPr>
          <w:rFonts w:hint="eastAsia" w:eastAsia="仿宋_GB2312" w:cs="仿宋"/>
          <w:sz w:val="32"/>
          <w:szCs w:val="32"/>
        </w:rPr>
        <w:t>1</w:t>
      </w:r>
      <w:r>
        <w:rPr>
          <w:rFonts w:hint="eastAsia" w:ascii="仿宋" w:hAnsi="仿宋" w:eastAsia="仿宋_GB2312" w:cs="仿宋"/>
          <w:sz w:val="32"/>
          <w:szCs w:val="32"/>
        </w:rPr>
        <w:t>.用电负荷及用电量需求表</w:t>
      </w:r>
    </w:p>
    <w:p w14:paraId="02E787A5">
      <w:pPr>
        <w:spacing w:line="560" w:lineRule="exact"/>
        <w:ind w:firstLine="1600" w:firstLineChars="500"/>
        <w:rPr>
          <w:rFonts w:ascii="仿宋" w:hAnsi="仿宋" w:eastAsia="仿宋_GB2312" w:cs="仿宋"/>
          <w:sz w:val="32"/>
          <w:szCs w:val="32"/>
        </w:rPr>
      </w:pPr>
      <w:r>
        <w:rPr>
          <w:rFonts w:hint="eastAsia" w:eastAsia="仿宋_GB2312" w:cs="仿宋"/>
          <w:sz w:val="32"/>
          <w:szCs w:val="32"/>
        </w:rPr>
        <w:t>2</w:t>
      </w:r>
      <w:r>
        <w:rPr>
          <w:rFonts w:hint="eastAsia" w:ascii="仿宋" w:hAnsi="仿宋" w:eastAsia="仿宋_GB2312" w:cs="仿宋"/>
          <w:sz w:val="32"/>
          <w:szCs w:val="32"/>
        </w:rPr>
        <w:t>.用电负荷调整备案/审批表</w:t>
      </w:r>
    </w:p>
    <w:p w14:paraId="074B85E8">
      <w:pPr>
        <w:spacing w:line="560" w:lineRule="exact"/>
        <w:jc w:val="center"/>
        <w:rPr>
          <w:rFonts w:ascii="仿宋_GB2312" w:hAnsi="仿宋_GB2312" w:eastAsia="仿宋_GB2312" w:cs="仿宋_GB2312"/>
          <w:sz w:val="32"/>
          <w:szCs w:val="40"/>
        </w:rPr>
      </w:pPr>
    </w:p>
    <w:p w14:paraId="775CDB43">
      <w:pPr>
        <w:spacing w:line="560" w:lineRule="exact"/>
        <w:rPr>
          <w:rFonts w:ascii="仿宋_GB2312" w:hAnsi="仿宋_GB2312" w:eastAsia="仿宋_GB2312" w:cs="仿宋_GB2312"/>
          <w:sz w:val="32"/>
          <w:szCs w:val="40"/>
        </w:rPr>
      </w:pPr>
    </w:p>
    <w:p w14:paraId="4054A333">
      <w:pPr>
        <w:spacing w:line="560" w:lineRule="exact"/>
        <w:rPr>
          <w:rFonts w:ascii="仿宋_GB2312" w:hAnsi="仿宋_GB2312" w:eastAsia="仿宋_GB2312" w:cs="仿宋_GB2312"/>
          <w:sz w:val="32"/>
          <w:szCs w:val="40"/>
        </w:rPr>
      </w:pPr>
    </w:p>
    <w:p w14:paraId="0A05AEA0">
      <w:pPr>
        <w:spacing w:line="560" w:lineRule="exact"/>
        <w:outlineLvl w:val="0"/>
        <w:rPr>
          <w:rFonts w:ascii="仿宋_GB2312" w:hAnsi="仿宋_GB2312" w:eastAsia="仿宋_GB2312" w:cs="仿宋_GB2312"/>
          <w:sz w:val="32"/>
          <w:szCs w:val="40"/>
        </w:rPr>
      </w:pPr>
      <w:r>
        <w:rPr>
          <w:rFonts w:hint="eastAsia" w:ascii="仿宋_GB2312" w:hAnsi="仿宋_GB2312" w:eastAsia="仿宋_GB2312" w:cs="仿宋_GB2312"/>
          <w:sz w:val="32"/>
          <w:szCs w:val="40"/>
        </w:rPr>
        <w:br w:type="page"/>
      </w:r>
      <w:bookmarkStart w:id="6" w:name="_Toc25237"/>
      <w:r>
        <w:rPr>
          <w:rFonts w:hint="eastAsia" w:ascii="仿宋_GB2312" w:hAnsi="仿宋_GB2312" w:eastAsia="仿宋_GB2312" w:cs="仿宋_GB2312"/>
          <w:sz w:val="32"/>
          <w:szCs w:val="40"/>
        </w:rPr>
        <w:t>附件</w:t>
      </w:r>
      <w:r>
        <w:rPr>
          <w:rFonts w:hint="eastAsia" w:eastAsia="仿宋_GB2312" w:cs="仿宋_GB2312"/>
          <w:sz w:val="32"/>
          <w:szCs w:val="40"/>
        </w:rPr>
        <w:t>1</w:t>
      </w:r>
      <w:bookmarkEnd w:id="6"/>
    </w:p>
    <w:tbl>
      <w:tblPr>
        <w:tblStyle w:val="14"/>
        <w:tblW w:w="8580" w:type="dxa"/>
        <w:tblInd w:w="96" w:type="dxa"/>
        <w:tblLayout w:type="fixed"/>
        <w:tblCellMar>
          <w:top w:w="0" w:type="dxa"/>
          <w:left w:w="108" w:type="dxa"/>
          <w:bottom w:w="0" w:type="dxa"/>
          <w:right w:w="108" w:type="dxa"/>
        </w:tblCellMar>
      </w:tblPr>
      <w:tblGrid>
        <w:gridCol w:w="1347"/>
        <w:gridCol w:w="1765"/>
        <w:gridCol w:w="1632"/>
        <w:gridCol w:w="219"/>
        <w:gridCol w:w="1764"/>
        <w:gridCol w:w="1853"/>
      </w:tblGrid>
      <w:tr w14:paraId="39A10430">
        <w:tblPrEx>
          <w:tblCellMar>
            <w:top w:w="0" w:type="dxa"/>
            <w:left w:w="108" w:type="dxa"/>
            <w:bottom w:w="0" w:type="dxa"/>
            <w:right w:w="108" w:type="dxa"/>
          </w:tblCellMar>
        </w:tblPrEx>
        <w:trPr>
          <w:trHeight w:val="298" w:hRule="atLeast"/>
        </w:trPr>
        <w:tc>
          <w:tcPr>
            <w:tcW w:w="8580" w:type="dxa"/>
            <w:gridSpan w:val="6"/>
            <w:tcBorders>
              <w:top w:val="nil"/>
              <w:left w:val="nil"/>
              <w:bottom w:val="nil"/>
              <w:right w:val="nil"/>
            </w:tcBorders>
            <w:noWrap/>
            <w:vAlign w:val="center"/>
          </w:tcPr>
          <w:p w14:paraId="1708F476">
            <w:pPr>
              <w:widowControl/>
              <w:jc w:val="center"/>
              <w:textAlignment w:val="center"/>
              <w:rPr>
                <w:rFonts w:ascii="方正小标宋简体" w:hAnsi="方正小标宋简体" w:eastAsia="方正小标宋简体" w:cs="方正小标宋简体"/>
                <w:b/>
                <w:bCs/>
                <w:color w:val="000000"/>
                <w:kern w:val="0"/>
                <w:sz w:val="44"/>
                <w:szCs w:val="44"/>
                <w:lang w:bidi="ar"/>
              </w:rPr>
            </w:pPr>
            <w:r>
              <w:rPr>
                <w:rFonts w:hint="eastAsia" w:ascii="方正小标宋简体" w:hAnsi="方正小标宋简体" w:eastAsia="方正小标宋简体" w:cs="方正小标宋简体"/>
                <w:b/>
                <w:bCs/>
                <w:color w:val="000000"/>
                <w:kern w:val="0"/>
                <w:sz w:val="44"/>
                <w:szCs w:val="44"/>
                <w:lang w:bidi="ar"/>
              </w:rPr>
              <w:t>用电负荷及用电量需求表</w:t>
            </w:r>
          </w:p>
          <w:p w14:paraId="4D971F85">
            <w:pPr>
              <w:widowControl/>
              <w:jc w:val="center"/>
              <w:textAlignment w:val="center"/>
              <w:rPr>
                <w:rFonts w:ascii="方正小标宋简体" w:hAnsi="方正小标宋简体" w:eastAsia="方正小标宋简体" w:cs="方正小标宋简体"/>
                <w:b/>
                <w:bCs/>
                <w:color w:val="000000"/>
                <w:kern w:val="0"/>
                <w:sz w:val="44"/>
                <w:szCs w:val="44"/>
                <w:lang w:bidi="ar"/>
              </w:rPr>
            </w:pPr>
            <w:r>
              <w:rPr>
                <w:rFonts w:hint="eastAsia" w:ascii="宋体" w:hAnsi="宋体" w:cs="宋体"/>
                <w:color w:val="000000"/>
                <w:kern w:val="0"/>
                <w:sz w:val="28"/>
                <w:szCs w:val="28"/>
                <w:lang w:bidi="ar"/>
              </w:rPr>
              <w:t xml:space="preserve">              </w:t>
            </w:r>
            <w:r>
              <w:rPr>
                <w:rFonts w:hint="eastAsia" w:ascii="仿宋_GB2312" w:hAnsi="仿宋_GB2312" w:eastAsia="仿宋_GB2312" w:cs="仿宋_GB2312"/>
                <w:color w:val="000000"/>
                <w:kern w:val="0"/>
                <w:sz w:val="28"/>
                <w:szCs w:val="28"/>
                <w:lang w:bidi="ar"/>
              </w:rPr>
              <w:t xml:space="preserve"> 报送单位（盖章）：</w:t>
            </w:r>
          </w:p>
        </w:tc>
      </w:tr>
      <w:tr w14:paraId="48DD450A">
        <w:tblPrEx>
          <w:tblCellMar>
            <w:top w:w="0" w:type="dxa"/>
            <w:left w:w="108" w:type="dxa"/>
            <w:bottom w:w="0" w:type="dxa"/>
            <w:right w:w="108" w:type="dxa"/>
          </w:tblCellMar>
        </w:tblPrEx>
        <w:trPr>
          <w:trHeight w:val="202" w:hRule="atLeast"/>
        </w:trPr>
        <w:tc>
          <w:tcPr>
            <w:tcW w:w="1347" w:type="dxa"/>
            <w:vMerge w:val="restart"/>
            <w:tcBorders>
              <w:top w:val="single" w:color="000000" w:sz="4" w:space="0"/>
              <w:left w:val="single" w:color="000000" w:sz="4" w:space="0"/>
              <w:right w:val="single" w:color="000000" w:sz="4" w:space="0"/>
            </w:tcBorders>
            <w:noWrap/>
            <w:vAlign w:val="center"/>
          </w:tcPr>
          <w:p w14:paraId="712A7B3A">
            <w:pPr>
              <w:widowControl/>
              <w:jc w:val="center"/>
              <w:textAlignment w:val="center"/>
              <w:rPr>
                <w:rFonts w:ascii="仿宋_GB2312" w:hAnsi="仿宋_GB2312" w:eastAsia="仿宋_GB2312" w:cs="仿宋_GB2312"/>
                <w:b/>
                <w:bCs/>
                <w:color w:val="000000"/>
                <w:sz w:val="24"/>
              </w:rPr>
            </w:pPr>
            <w:r>
              <w:rPr>
                <w:rFonts w:hint="eastAsia" w:ascii="仿宋_GB2312" w:hAnsi="仿宋_GB2312" w:eastAsia="仿宋_GB2312" w:cs="仿宋_GB2312"/>
                <w:b/>
                <w:bCs/>
                <w:color w:val="000000"/>
                <w:kern w:val="0"/>
                <w:sz w:val="24"/>
                <w:lang w:bidi="ar"/>
              </w:rPr>
              <w:t>序号</w:t>
            </w:r>
          </w:p>
        </w:tc>
        <w:tc>
          <w:tcPr>
            <w:tcW w:w="3397" w:type="dxa"/>
            <w:gridSpan w:val="2"/>
            <w:vMerge w:val="restart"/>
            <w:tcBorders>
              <w:top w:val="single" w:color="000000" w:sz="4" w:space="0"/>
              <w:left w:val="single" w:color="000000" w:sz="4" w:space="0"/>
              <w:right w:val="single" w:color="000000" w:sz="4" w:space="0"/>
            </w:tcBorders>
            <w:noWrap/>
            <w:vAlign w:val="center"/>
          </w:tcPr>
          <w:p w14:paraId="05C65F74">
            <w:pPr>
              <w:widowControl/>
              <w:jc w:val="center"/>
              <w:textAlignment w:val="center"/>
              <w:rPr>
                <w:rFonts w:ascii="仿宋_GB2312" w:hAnsi="仿宋_GB2312" w:eastAsia="仿宋_GB2312" w:cs="仿宋_GB2312"/>
                <w:b/>
                <w:bCs/>
                <w:color w:val="000000"/>
                <w:sz w:val="24"/>
              </w:rPr>
            </w:pPr>
            <w:r>
              <w:rPr>
                <w:rFonts w:hint="eastAsia" w:ascii="仿宋_GB2312" w:hAnsi="仿宋_GB2312" w:eastAsia="仿宋_GB2312" w:cs="仿宋_GB2312"/>
                <w:b/>
                <w:bCs/>
                <w:color w:val="000000"/>
                <w:kern w:val="0"/>
                <w:sz w:val="24"/>
                <w:lang w:bidi="ar"/>
              </w:rPr>
              <w:t>楼栋</w:t>
            </w:r>
          </w:p>
        </w:tc>
        <w:tc>
          <w:tcPr>
            <w:tcW w:w="3836" w:type="dxa"/>
            <w:gridSpan w:val="3"/>
            <w:tcBorders>
              <w:top w:val="single" w:color="000000" w:sz="4" w:space="0"/>
              <w:left w:val="single" w:color="000000" w:sz="4" w:space="0"/>
              <w:bottom w:val="single" w:color="auto" w:sz="4" w:space="0"/>
              <w:right w:val="single" w:color="000000" w:sz="4" w:space="0"/>
            </w:tcBorders>
            <w:noWrap/>
            <w:vAlign w:val="center"/>
          </w:tcPr>
          <w:p w14:paraId="26489087">
            <w:pPr>
              <w:widowControl/>
              <w:jc w:val="center"/>
              <w:textAlignment w:val="center"/>
              <w:rPr>
                <w:rFonts w:ascii="仿宋_GB2312" w:hAnsi="仿宋_GB2312" w:eastAsia="仿宋_GB2312" w:cs="仿宋_GB2312"/>
                <w:b/>
                <w:bCs/>
                <w:color w:val="000000"/>
                <w:sz w:val="24"/>
              </w:rPr>
            </w:pPr>
            <w:r>
              <w:rPr>
                <w:rFonts w:hint="eastAsia" w:ascii="仿宋_GB2312" w:hAnsi="仿宋_GB2312" w:eastAsia="仿宋_GB2312" w:cs="仿宋_GB2312"/>
                <w:b/>
                <w:bCs/>
                <w:color w:val="000000"/>
                <w:kern w:val="0"/>
                <w:sz w:val="24"/>
                <w:lang w:bidi="ar"/>
              </w:rPr>
              <w:t>负荷（千瓦）</w:t>
            </w:r>
          </w:p>
        </w:tc>
      </w:tr>
      <w:tr w14:paraId="2A3F3F25">
        <w:tblPrEx>
          <w:tblCellMar>
            <w:top w:w="0" w:type="dxa"/>
            <w:left w:w="108" w:type="dxa"/>
            <w:bottom w:w="0" w:type="dxa"/>
            <w:right w:w="108" w:type="dxa"/>
          </w:tblCellMar>
        </w:tblPrEx>
        <w:trPr>
          <w:trHeight w:val="202" w:hRule="atLeast"/>
        </w:trPr>
        <w:tc>
          <w:tcPr>
            <w:tcW w:w="1347" w:type="dxa"/>
            <w:vMerge w:val="continue"/>
            <w:tcBorders>
              <w:left w:val="single" w:color="000000" w:sz="4" w:space="0"/>
              <w:bottom w:val="single" w:color="000000" w:sz="4" w:space="0"/>
              <w:right w:val="single" w:color="000000" w:sz="4" w:space="0"/>
            </w:tcBorders>
            <w:noWrap/>
            <w:vAlign w:val="center"/>
          </w:tcPr>
          <w:p w14:paraId="6BAE5ABC">
            <w:pPr>
              <w:widowControl/>
              <w:jc w:val="center"/>
              <w:textAlignment w:val="center"/>
              <w:rPr>
                <w:rFonts w:ascii="仿宋_GB2312" w:hAnsi="仿宋_GB2312" w:eastAsia="仿宋_GB2312" w:cs="仿宋_GB2312"/>
                <w:b/>
                <w:bCs/>
                <w:color w:val="000000"/>
                <w:kern w:val="0"/>
                <w:sz w:val="24"/>
                <w:lang w:bidi="ar"/>
              </w:rPr>
            </w:pPr>
          </w:p>
        </w:tc>
        <w:tc>
          <w:tcPr>
            <w:tcW w:w="3397" w:type="dxa"/>
            <w:gridSpan w:val="2"/>
            <w:vMerge w:val="continue"/>
            <w:tcBorders>
              <w:left w:val="single" w:color="000000" w:sz="4" w:space="0"/>
              <w:bottom w:val="single" w:color="000000" w:sz="4" w:space="0"/>
              <w:right w:val="single" w:color="000000" w:sz="4" w:space="0"/>
            </w:tcBorders>
            <w:noWrap/>
            <w:vAlign w:val="center"/>
          </w:tcPr>
          <w:p w14:paraId="1ADBD0CA">
            <w:pPr>
              <w:widowControl/>
              <w:jc w:val="center"/>
              <w:textAlignment w:val="center"/>
              <w:rPr>
                <w:rFonts w:ascii="仿宋_GB2312" w:hAnsi="仿宋_GB2312" w:eastAsia="仿宋_GB2312" w:cs="仿宋_GB2312"/>
                <w:b/>
                <w:bCs/>
                <w:color w:val="000000"/>
                <w:kern w:val="0"/>
                <w:sz w:val="24"/>
                <w:lang w:bidi="ar"/>
              </w:rPr>
            </w:pPr>
          </w:p>
        </w:tc>
        <w:tc>
          <w:tcPr>
            <w:tcW w:w="1983" w:type="dxa"/>
            <w:gridSpan w:val="2"/>
            <w:tcBorders>
              <w:top w:val="single" w:color="auto" w:sz="4" w:space="0"/>
              <w:left w:val="single" w:color="000000" w:sz="4" w:space="0"/>
              <w:bottom w:val="single" w:color="000000" w:sz="4" w:space="0"/>
              <w:right w:val="single" w:color="auto" w:sz="4" w:space="0"/>
            </w:tcBorders>
            <w:noWrap/>
            <w:vAlign w:val="center"/>
          </w:tcPr>
          <w:p w14:paraId="7DE59DD6">
            <w:pPr>
              <w:widowControl/>
              <w:jc w:val="center"/>
              <w:textAlignment w:val="center"/>
              <w:rPr>
                <w:rFonts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增加</w:t>
            </w:r>
          </w:p>
        </w:tc>
        <w:tc>
          <w:tcPr>
            <w:tcW w:w="1853" w:type="dxa"/>
            <w:tcBorders>
              <w:top w:val="single" w:color="auto" w:sz="4" w:space="0"/>
              <w:left w:val="single" w:color="auto" w:sz="4" w:space="0"/>
              <w:bottom w:val="single" w:color="000000" w:sz="4" w:space="0"/>
              <w:right w:val="single" w:color="000000" w:sz="4" w:space="0"/>
            </w:tcBorders>
            <w:noWrap/>
            <w:vAlign w:val="center"/>
          </w:tcPr>
          <w:p w14:paraId="6CE50D61">
            <w:pPr>
              <w:widowControl/>
              <w:jc w:val="center"/>
              <w:textAlignment w:val="center"/>
              <w:rPr>
                <w:rFonts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减少</w:t>
            </w:r>
          </w:p>
        </w:tc>
      </w:tr>
      <w:tr w14:paraId="5D92CB1A">
        <w:tblPrEx>
          <w:tblCellMar>
            <w:top w:w="0" w:type="dxa"/>
            <w:left w:w="108" w:type="dxa"/>
            <w:bottom w:w="0" w:type="dxa"/>
            <w:right w:w="108" w:type="dxa"/>
          </w:tblCellMar>
        </w:tblPrEx>
        <w:trPr>
          <w:trHeight w:val="170" w:hRule="atLeast"/>
        </w:trPr>
        <w:tc>
          <w:tcPr>
            <w:tcW w:w="1347" w:type="dxa"/>
            <w:tcBorders>
              <w:top w:val="single" w:color="000000" w:sz="4" w:space="0"/>
              <w:left w:val="single" w:color="000000" w:sz="4" w:space="0"/>
              <w:bottom w:val="single" w:color="000000" w:sz="4" w:space="0"/>
              <w:right w:val="single" w:color="000000" w:sz="4" w:space="0"/>
            </w:tcBorders>
            <w:noWrap/>
            <w:vAlign w:val="center"/>
          </w:tcPr>
          <w:p w14:paraId="5766407D">
            <w:pPr>
              <w:widowControl/>
              <w:jc w:val="center"/>
              <w:textAlignment w:val="center"/>
              <w:rPr>
                <w:rFonts w:ascii="宋体" w:hAnsi="宋体" w:cs="宋体"/>
                <w:color w:val="000000"/>
                <w:sz w:val="28"/>
                <w:szCs w:val="28"/>
              </w:rPr>
            </w:pPr>
            <w:r>
              <w:rPr>
                <w:rFonts w:hint="eastAsia" w:cs="宋体"/>
                <w:color w:val="000000"/>
                <w:kern w:val="0"/>
                <w:sz w:val="28"/>
                <w:szCs w:val="28"/>
                <w:lang w:bidi="ar"/>
              </w:rPr>
              <w:t>1</w:t>
            </w:r>
          </w:p>
        </w:tc>
        <w:tc>
          <w:tcPr>
            <w:tcW w:w="3397" w:type="dxa"/>
            <w:gridSpan w:val="2"/>
            <w:tcBorders>
              <w:top w:val="single" w:color="000000" w:sz="4" w:space="0"/>
              <w:left w:val="single" w:color="000000" w:sz="4" w:space="0"/>
              <w:bottom w:val="single" w:color="000000" w:sz="4" w:space="0"/>
              <w:right w:val="single" w:color="000000" w:sz="4" w:space="0"/>
            </w:tcBorders>
            <w:noWrap/>
            <w:vAlign w:val="center"/>
          </w:tcPr>
          <w:p w14:paraId="08C4D148">
            <w:pPr>
              <w:rPr>
                <w:rFonts w:ascii="宋体" w:hAnsi="宋体" w:cs="宋体"/>
                <w:color w:val="000000"/>
                <w:sz w:val="28"/>
                <w:szCs w:val="28"/>
              </w:rPr>
            </w:pPr>
          </w:p>
        </w:tc>
        <w:tc>
          <w:tcPr>
            <w:tcW w:w="1983" w:type="dxa"/>
            <w:gridSpan w:val="2"/>
            <w:tcBorders>
              <w:top w:val="single" w:color="000000" w:sz="4" w:space="0"/>
              <w:left w:val="single" w:color="000000" w:sz="4" w:space="0"/>
              <w:bottom w:val="single" w:color="000000" w:sz="4" w:space="0"/>
              <w:right w:val="single" w:color="auto" w:sz="4" w:space="0"/>
            </w:tcBorders>
            <w:noWrap/>
            <w:vAlign w:val="center"/>
          </w:tcPr>
          <w:p w14:paraId="019D70C8">
            <w:pPr>
              <w:jc w:val="center"/>
              <w:rPr>
                <w:rFonts w:ascii="宋体" w:hAnsi="宋体" w:cs="宋体"/>
                <w:color w:val="000000"/>
                <w:sz w:val="28"/>
                <w:szCs w:val="28"/>
              </w:rPr>
            </w:pPr>
          </w:p>
        </w:tc>
        <w:tc>
          <w:tcPr>
            <w:tcW w:w="1853" w:type="dxa"/>
            <w:tcBorders>
              <w:top w:val="single" w:color="000000" w:sz="4" w:space="0"/>
              <w:left w:val="single" w:color="auto" w:sz="4" w:space="0"/>
              <w:bottom w:val="single" w:color="000000" w:sz="4" w:space="0"/>
              <w:right w:val="single" w:color="000000" w:sz="4" w:space="0"/>
            </w:tcBorders>
            <w:noWrap/>
            <w:vAlign w:val="center"/>
          </w:tcPr>
          <w:p w14:paraId="0FFC4FEC">
            <w:pPr>
              <w:jc w:val="center"/>
              <w:rPr>
                <w:rFonts w:ascii="宋体" w:hAnsi="宋体" w:cs="宋体"/>
                <w:color w:val="000000"/>
                <w:sz w:val="28"/>
                <w:szCs w:val="28"/>
              </w:rPr>
            </w:pPr>
          </w:p>
        </w:tc>
      </w:tr>
      <w:tr w14:paraId="1592496F">
        <w:tblPrEx>
          <w:tblCellMar>
            <w:top w:w="0" w:type="dxa"/>
            <w:left w:w="108" w:type="dxa"/>
            <w:bottom w:w="0" w:type="dxa"/>
            <w:right w:w="108" w:type="dxa"/>
          </w:tblCellMar>
        </w:tblPrEx>
        <w:trPr>
          <w:trHeight w:val="170" w:hRule="atLeast"/>
        </w:trPr>
        <w:tc>
          <w:tcPr>
            <w:tcW w:w="1347" w:type="dxa"/>
            <w:tcBorders>
              <w:top w:val="single" w:color="000000" w:sz="4" w:space="0"/>
              <w:left w:val="single" w:color="000000" w:sz="4" w:space="0"/>
              <w:bottom w:val="single" w:color="000000" w:sz="4" w:space="0"/>
              <w:right w:val="single" w:color="000000" w:sz="4" w:space="0"/>
            </w:tcBorders>
            <w:noWrap/>
            <w:vAlign w:val="center"/>
          </w:tcPr>
          <w:p w14:paraId="63869CE4">
            <w:pPr>
              <w:widowControl/>
              <w:jc w:val="center"/>
              <w:textAlignment w:val="center"/>
              <w:rPr>
                <w:rFonts w:ascii="宋体" w:hAnsi="宋体" w:cs="宋体"/>
                <w:color w:val="000000"/>
                <w:sz w:val="28"/>
                <w:szCs w:val="28"/>
              </w:rPr>
            </w:pPr>
            <w:r>
              <w:rPr>
                <w:rFonts w:hint="eastAsia" w:cs="宋体"/>
                <w:color w:val="000000"/>
                <w:kern w:val="0"/>
                <w:sz w:val="28"/>
                <w:szCs w:val="28"/>
                <w:lang w:bidi="ar"/>
              </w:rPr>
              <w:t>2</w:t>
            </w:r>
          </w:p>
        </w:tc>
        <w:tc>
          <w:tcPr>
            <w:tcW w:w="3397" w:type="dxa"/>
            <w:gridSpan w:val="2"/>
            <w:tcBorders>
              <w:top w:val="single" w:color="000000" w:sz="4" w:space="0"/>
              <w:left w:val="single" w:color="000000" w:sz="4" w:space="0"/>
              <w:bottom w:val="single" w:color="000000" w:sz="4" w:space="0"/>
              <w:right w:val="single" w:color="000000" w:sz="4" w:space="0"/>
            </w:tcBorders>
            <w:noWrap/>
            <w:vAlign w:val="center"/>
          </w:tcPr>
          <w:p w14:paraId="3E3DC353">
            <w:pPr>
              <w:rPr>
                <w:rFonts w:ascii="宋体" w:hAnsi="宋体" w:cs="宋体"/>
                <w:color w:val="000000"/>
                <w:sz w:val="28"/>
                <w:szCs w:val="28"/>
              </w:rPr>
            </w:pPr>
          </w:p>
        </w:tc>
        <w:tc>
          <w:tcPr>
            <w:tcW w:w="1983" w:type="dxa"/>
            <w:gridSpan w:val="2"/>
            <w:tcBorders>
              <w:top w:val="single" w:color="000000" w:sz="4" w:space="0"/>
              <w:left w:val="single" w:color="000000" w:sz="4" w:space="0"/>
              <w:bottom w:val="single" w:color="000000" w:sz="4" w:space="0"/>
              <w:right w:val="single" w:color="auto" w:sz="4" w:space="0"/>
            </w:tcBorders>
            <w:noWrap/>
            <w:vAlign w:val="center"/>
          </w:tcPr>
          <w:p w14:paraId="627B2197">
            <w:pPr>
              <w:jc w:val="center"/>
              <w:rPr>
                <w:rFonts w:ascii="宋体" w:hAnsi="宋体" w:cs="宋体"/>
                <w:color w:val="000000"/>
                <w:sz w:val="28"/>
                <w:szCs w:val="28"/>
              </w:rPr>
            </w:pPr>
          </w:p>
        </w:tc>
        <w:tc>
          <w:tcPr>
            <w:tcW w:w="1853" w:type="dxa"/>
            <w:tcBorders>
              <w:top w:val="single" w:color="000000" w:sz="4" w:space="0"/>
              <w:left w:val="single" w:color="auto" w:sz="4" w:space="0"/>
              <w:bottom w:val="single" w:color="000000" w:sz="4" w:space="0"/>
              <w:right w:val="single" w:color="000000" w:sz="4" w:space="0"/>
            </w:tcBorders>
            <w:noWrap/>
            <w:vAlign w:val="center"/>
          </w:tcPr>
          <w:p w14:paraId="28C480EA">
            <w:pPr>
              <w:jc w:val="center"/>
              <w:rPr>
                <w:rFonts w:ascii="宋体" w:hAnsi="宋体" w:cs="宋体"/>
                <w:color w:val="000000"/>
                <w:sz w:val="28"/>
                <w:szCs w:val="28"/>
              </w:rPr>
            </w:pPr>
          </w:p>
        </w:tc>
      </w:tr>
      <w:tr w14:paraId="72B5ABA0">
        <w:tblPrEx>
          <w:tblCellMar>
            <w:top w:w="0" w:type="dxa"/>
            <w:left w:w="108" w:type="dxa"/>
            <w:bottom w:w="0" w:type="dxa"/>
            <w:right w:w="108" w:type="dxa"/>
          </w:tblCellMar>
        </w:tblPrEx>
        <w:trPr>
          <w:trHeight w:val="170" w:hRule="atLeast"/>
        </w:trPr>
        <w:tc>
          <w:tcPr>
            <w:tcW w:w="1347" w:type="dxa"/>
            <w:tcBorders>
              <w:top w:val="single" w:color="000000" w:sz="4" w:space="0"/>
              <w:left w:val="single" w:color="000000" w:sz="4" w:space="0"/>
              <w:bottom w:val="single" w:color="000000" w:sz="4" w:space="0"/>
              <w:right w:val="single" w:color="000000" w:sz="4" w:space="0"/>
            </w:tcBorders>
            <w:noWrap/>
            <w:vAlign w:val="center"/>
          </w:tcPr>
          <w:p w14:paraId="2817D22F">
            <w:pPr>
              <w:widowControl/>
              <w:jc w:val="center"/>
              <w:textAlignment w:val="center"/>
              <w:rPr>
                <w:rFonts w:ascii="宋体" w:hAnsi="宋体" w:cs="宋体"/>
                <w:color w:val="000000"/>
                <w:sz w:val="28"/>
                <w:szCs w:val="28"/>
              </w:rPr>
            </w:pPr>
            <w:r>
              <w:rPr>
                <w:rFonts w:hint="eastAsia" w:cs="宋体"/>
                <w:color w:val="000000"/>
                <w:kern w:val="0"/>
                <w:sz w:val="28"/>
                <w:szCs w:val="28"/>
                <w:lang w:bidi="ar"/>
              </w:rPr>
              <w:t>3</w:t>
            </w:r>
          </w:p>
        </w:tc>
        <w:tc>
          <w:tcPr>
            <w:tcW w:w="3397" w:type="dxa"/>
            <w:gridSpan w:val="2"/>
            <w:tcBorders>
              <w:top w:val="single" w:color="000000" w:sz="4" w:space="0"/>
              <w:left w:val="single" w:color="000000" w:sz="4" w:space="0"/>
              <w:bottom w:val="single" w:color="000000" w:sz="4" w:space="0"/>
              <w:right w:val="single" w:color="000000" w:sz="4" w:space="0"/>
            </w:tcBorders>
            <w:noWrap/>
            <w:vAlign w:val="center"/>
          </w:tcPr>
          <w:p w14:paraId="34E72B05">
            <w:pPr>
              <w:rPr>
                <w:rFonts w:ascii="宋体" w:hAnsi="宋体" w:cs="宋体"/>
                <w:color w:val="000000"/>
                <w:sz w:val="28"/>
                <w:szCs w:val="28"/>
              </w:rPr>
            </w:pPr>
          </w:p>
        </w:tc>
        <w:tc>
          <w:tcPr>
            <w:tcW w:w="1983" w:type="dxa"/>
            <w:gridSpan w:val="2"/>
            <w:tcBorders>
              <w:top w:val="single" w:color="000000" w:sz="4" w:space="0"/>
              <w:left w:val="single" w:color="000000" w:sz="4" w:space="0"/>
              <w:bottom w:val="single" w:color="000000" w:sz="4" w:space="0"/>
              <w:right w:val="single" w:color="auto" w:sz="4" w:space="0"/>
            </w:tcBorders>
            <w:noWrap/>
            <w:vAlign w:val="center"/>
          </w:tcPr>
          <w:p w14:paraId="236A1F68">
            <w:pPr>
              <w:jc w:val="center"/>
              <w:rPr>
                <w:rFonts w:ascii="宋体" w:hAnsi="宋体" w:cs="宋体"/>
                <w:color w:val="000000"/>
                <w:sz w:val="28"/>
                <w:szCs w:val="28"/>
              </w:rPr>
            </w:pPr>
          </w:p>
        </w:tc>
        <w:tc>
          <w:tcPr>
            <w:tcW w:w="1853" w:type="dxa"/>
            <w:tcBorders>
              <w:top w:val="single" w:color="000000" w:sz="4" w:space="0"/>
              <w:left w:val="single" w:color="auto" w:sz="4" w:space="0"/>
              <w:bottom w:val="single" w:color="000000" w:sz="4" w:space="0"/>
              <w:right w:val="single" w:color="000000" w:sz="4" w:space="0"/>
            </w:tcBorders>
            <w:noWrap/>
            <w:vAlign w:val="center"/>
          </w:tcPr>
          <w:p w14:paraId="3943A249">
            <w:pPr>
              <w:jc w:val="center"/>
              <w:rPr>
                <w:rFonts w:ascii="宋体" w:hAnsi="宋体" w:cs="宋体"/>
                <w:color w:val="000000"/>
                <w:sz w:val="28"/>
                <w:szCs w:val="28"/>
              </w:rPr>
            </w:pPr>
          </w:p>
        </w:tc>
      </w:tr>
      <w:tr w14:paraId="78CC584D">
        <w:tblPrEx>
          <w:tblCellMar>
            <w:top w:w="0" w:type="dxa"/>
            <w:left w:w="108" w:type="dxa"/>
            <w:bottom w:w="0" w:type="dxa"/>
            <w:right w:w="108" w:type="dxa"/>
          </w:tblCellMar>
        </w:tblPrEx>
        <w:trPr>
          <w:trHeight w:val="170" w:hRule="atLeast"/>
        </w:trPr>
        <w:tc>
          <w:tcPr>
            <w:tcW w:w="1347" w:type="dxa"/>
            <w:tcBorders>
              <w:top w:val="single" w:color="000000" w:sz="4" w:space="0"/>
              <w:left w:val="single" w:color="000000" w:sz="4" w:space="0"/>
              <w:bottom w:val="single" w:color="000000" w:sz="4" w:space="0"/>
              <w:right w:val="single" w:color="000000" w:sz="4" w:space="0"/>
            </w:tcBorders>
            <w:noWrap/>
            <w:vAlign w:val="center"/>
          </w:tcPr>
          <w:p w14:paraId="3E86028D">
            <w:pPr>
              <w:widowControl/>
              <w:jc w:val="center"/>
              <w:textAlignment w:val="center"/>
              <w:rPr>
                <w:rFonts w:ascii="宋体" w:hAnsi="宋体" w:cs="宋体"/>
                <w:color w:val="000000"/>
                <w:sz w:val="28"/>
                <w:szCs w:val="28"/>
              </w:rPr>
            </w:pPr>
            <w:r>
              <w:rPr>
                <w:rFonts w:hint="eastAsia" w:cs="宋体"/>
                <w:color w:val="000000"/>
                <w:kern w:val="0"/>
                <w:sz w:val="28"/>
                <w:szCs w:val="28"/>
                <w:lang w:bidi="ar"/>
              </w:rPr>
              <w:t>4</w:t>
            </w:r>
          </w:p>
        </w:tc>
        <w:tc>
          <w:tcPr>
            <w:tcW w:w="3397" w:type="dxa"/>
            <w:gridSpan w:val="2"/>
            <w:tcBorders>
              <w:top w:val="single" w:color="000000" w:sz="4" w:space="0"/>
              <w:left w:val="single" w:color="000000" w:sz="4" w:space="0"/>
              <w:bottom w:val="single" w:color="000000" w:sz="4" w:space="0"/>
              <w:right w:val="single" w:color="000000" w:sz="4" w:space="0"/>
            </w:tcBorders>
            <w:noWrap/>
            <w:vAlign w:val="center"/>
          </w:tcPr>
          <w:p w14:paraId="361CA494">
            <w:pPr>
              <w:rPr>
                <w:rFonts w:ascii="宋体" w:hAnsi="宋体" w:cs="宋体"/>
                <w:color w:val="000000"/>
                <w:sz w:val="28"/>
                <w:szCs w:val="28"/>
              </w:rPr>
            </w:pPr>
          </w:p>
        </w:tc>
        <w:tc>
          <w:tcPr>
            <w:tcW w:w="1983" w:type="dxa"/>
            <w:gridSpan w:val="2"/>
            <w:tcBorders>
              <w:top w:val="single" w:color="000000" w:sz="4" w:space="0"/>
              <w:left w:val="single" w:color="000000" w:sz="4" w:space="0"/>
              <w:bottom w:val="single" w:color="000000" w:sz="4" w:space="0"/>
              <w:right w:val="single" w:color="auto" w:sz="4" w:space="0"/>
            </w:tcBorders>
            <w:noWrap/>
            <w:vAlign w:val="center"/>
          </w:tcPr>
          <w:p w14:paraId="03E294F1">
            <w:pPr>
              <w:jc w:val="center"/>
              <w:rPr>
                <w:rFonts w:ascii="宋体" w:hAnsi="宋体" w:cs="宋体"/>
                <w:color w:val="000000"/>
                <w:sz w:val="28"/>
                <w:szCs w:val="28"/>
              </w:rPr>
            </w:pPr>
          </w:p>
        </w:tc>
        <w:tc>
          <w:tcPr>
            <w:tcW w:w="1853" w:type="dxa"/>
            <w:tcBorders>
              <w:top w:val="single" w:color="000000" w:sz="4" w:space="0"/>
              <w:left w:val="single" w:color="auto" w:sz="4" w:space="0"/>
              <w:bottom w:val="single" w:color="000000" w:sz="4" w:space="0"/>
              <w:right w:val="single" w:color="000000" w:sz="4" w:space="0"/>
            </w:tcBorders>
            <w:noWrap/>
            <w:vAlign w:val="center"/>
          </w:tcPr>
          <w:p w14:paraId="2678867E">
            <w:pPr>
              <w:jc w:val="center"/>
              <w:rPr>
                <w:rFonts w:ascii="宋体" w:hAnsi="宋体" w:cs="宋体"/>
                <w:color w:val="000000"/>
                <w:sz w:val="28"/>
                <w:szCs w:val="28"/>
              </w:rPr>
            </w:pPr>
          </w:p>
        </w:tc>
      </w:tr>
      <w:tr w14:paraId="24EAB7E9">
        <w:tblPrEx>
          <w:tblCellMar>
            <w:top w:w="0" w:type="dxa"/>
            <w:left w:w="108" w:type="dxa"/>
            <w:bottom w:w="0" w:type="dxa"/>
            <w:right w:w="108" w:type="dxa"/>
          </w:tblCellMar>
        </w:tblPrEx>
        <w:trPr>
          <w:trHeight w:val="170" w:hRule="atLeast"/>
        </w:trPr>
        <w:tc>
          <w:tcPr>
            <w:tcW w:w="1347" w:type="dxa"/>
            <w:tcBorders>
              <w:top w:val="single" w:color="000000" w:sz="4" w:space="0"/>
              <w:left w:val="single" w:color="000000" w:sz="4" w:space="0"/>
              <w:bottom w:val="single" w:color="000000" w:sz="4" w:space="0"/>
              <w:right w:val="single" w:color="000000" w:sz="4" w:space="0"/>
            </w:tcBorders>
            <w:noWrap/>
            <w:vAlign w:val="center"/>
          </w:tcPr>
          <w:p w14:paraId="52647B95">
            <w:pPr>
              <w:widowControl/>
              <w:jc w:val="center"/>
              <w:textAlignment w:val="center"/>
              <w:rPr>
                <w:rFonts w:ascii="宋体" w:hAnsi="宋体" w:cs="宋体"/>
                <w:color w:val="000000"/>
                <w:sz w:val="28"/>
                <w:szCs w:val="28"/>
              </w:rPr>
            </w:pPr>
            <w:r>
              <w:rPr>
                <w:rFonts w:hint="eastAsia" w:cs="宋体"/>
                <w:color w:val="000000"/>
                <w:kern w:val="0"/>
                <w:sz w:val="28"/>
                <w:szCs w:val="28"/>
                <w:lang w:bidi="ar"/>
              </w:rPr>
              <w:t>5</w:t>
            </w:r>
          </w:p>
        </w:tc>
        <w:tc>
          <w:tcPr>
            <w:tcW w:w="3397" w:type="dxa"/>
            <w:gridSpan w:val="2"/>
            <w:tcBorders>
              <w:top w:val="single" w:color="000000" w:sz="4" w:space="0"/>
              <w:left w:val="single" w:color="000000" w:sz="4" w:space="0"/>
              <w:bottom w:val="single" w:color="000000" w:sz="4" w:space="0"/>
              <w:right w:val="single" w:color="auto" w:sz="4" w:space="0"/>
            </w:tcBorders>
            <w:noWrap/>
            <w:vAlign w:val="center"/>
          </w:tcPr>
          <w:p w14:paraId="73E5D579">
            <w:pPr>
              <w:rPr>
                <w:rFonts w:ascii="宋体" w:hAnsi="宋体" w:cs="宋体"/>
                <w:color w:val="000000"/>
                <w:sz w:val="28"/>
                <w:szCs w:val="28"/>
              </w:rPr>
            </w:pPr>
          </w:p>
        </w:tc>
        <w:tc>
          <w:tcPr>
            <w:tcW w:w="1983" w:type="dxa"/>
            <w:gridSpan w:val="2"/>
            <w:tcBorders>
              <w:top w:val="single" w:color="000000" w:sz="4" w:space="0"/>
              <w:left w:val="single" w:color="auto" w:sz="4" w:space="0"/>
              <w:bottom w:val="single" w:color="000000" w:sz="4" w:space="0"/>
              <w:right w:val="single" w:color="auto" w:sz="4" w:space="0"/>
            </w:tcBorders>
            <w:noWrap/>
            <w:vAlign w:val="center"/>
          </w:tcPr>
          <w:p w14:paraId="533B74B3">
            <w:pPr>
              <w:jc w:val="center"/>
              <w:rPr>
                <w:rFonts w:ascii="宋体" w:hAnsi="宋体" w:cs="宋体"/>
                <w:color w:val="000000"/>
                <w:sz w:val="28"/>
                <w:szCs w:val="28"/>
              </w:rPr>
            </w:pPr>
          </w:p>
        </w:tc>
        <w:tc>
          <w:tcPr>
            <w:tcW w:w="1853" w:type="dxa"/>
            <w:tcBorders>
              <w:top w:val="single" w:color="000000" w:sz="4" w:space="0"/>
              <w:left w:val="single" w:color="auto" w:sz="4" w:space="0"/>
              <w:bottom w:val="single" w:color="000000" w:sz="4" w:space="0"/>
              <w:right w:val="single" w:color="000000" w:sz="4" w:space="0"/>
            </w:tcBorders>
            <w:noWrap/>
            <w:vAlign w:val="center"/>
          </w:tcPr>
          <w:p w14:paraId="2AF8C6AD">
            <w:pPr>
              <w:jc w:val="center"/>
              <w:rPr>
                <w:rFonts w:ascii="宋体" w:hAnsi="宋体" w:cs="宋体"/>
                <w:color w:val="000000"/>
                <w:sz w:val="28"/>
                <w:szCs w:val="28"/>
              </w:rPr>
            </w:pPr>
          </w:p>
        </w:tc>
      </w:tr>
      <w:tr w14:paraId="1023B8EC">
        <w:tblPrEx>
          <w:tblCellMar>
            <w:top w:w="0" w:type="dxa"/>
            <w:left w:w="108" w:type="dxa"/>
            <w:bottom w:w="0" w:type="dxa"/>
            <w:right w:w="108" w:type="dxa"/>
          </w:tblCellMar>
        </w:tblPrEx>
        <w:trPr>
          <w:trHeight w:val="170" w:hRule="atLeast"/>
        </w:trPr>
        <w:tc>
          <w:tcPr>
            <w:tcW w:w="1347" w:type="dxa"/>
            <w:tcBorders>
              <w:top w:val="single" w:color="000000" w:sz="4" w:space="0"/>
              <w:left w:val="single" w:color="000000" w:sz="4" w:space="0"/>
              <w:bottom w:val="single" w:color="000000" w:sz="4" w:space="0"/>
              <w:right w:val="single" w:color="000000" w:sz="4" w:space="0"/>
            </w:tcBorders>
            <w:noWrap/>
            <w:vAlign w:val="center"/>
          </w:tcPr>
          <w:p w14:paraId="5B9E300C">
            <w:pPr>
              <w:widowControl/>
              <w:jc w:val="center"/>
              <w:textAlignment w:val="center"/>
              <w:rPr>
                <w:rFonts w:cs="宋体"/>
                <w:color w:val="000000"/>
                <w:kern w:val="0"/>
                <w:sz w:val="28"/>
                <w:szCs w:val="28"/>
                <w:lang w:bidi="ar"/>
              </w:rPr>
            </w:pPr>
            <w:r>
              <w:rPr>
                <w:rFonts w:hint="eastAsia" w:cs="宋体"/>
                <w:color w:val="000000"/>
                <w:kern w:val="0"/>
                <w:sz w:val="28"/>
                <w:szCs w:val="28"/>
                <w:lang w:bidi="ar"/>
              </w:rPr>
              <w:t>6</w:t>
            </w:r>
          </w:p>
        </w:tc>
        <w:tc>
          <w:tcPr>
            <w:tcW w:w="3397" w:type="dxa"/>
            <w:gridSpan w:val="2"/>
            <w:tcBorders>
              <w:top w:val="single" w:color="000000" w:sz="4" w:space="0"/>
              <w:left w:val="single" w:color="000000" w:sz="4" w:space="0"/>
              <w:bottom w:val="single" w:color="000000" w:sz="4" w:space="0"/>
              <w:right w:val="single" w:color="auto" w:sz="4" w:space="0"/>
            </w:tcBorders>
            <w:noWrap/>
            <w:vAlign w:val="center"/>
          </w:tcPr>
          <w:p w14:paraId="5EA6245C">
            <w:pPr>
              <w:rPr>
                <w:rFonts w:ascii="宋体" w:hAnsi="宋体" w:cs="宋体"/>
                <w:color w:val="000000"/>
                <w:sz w:val="28"/>
                <w:szCs w:val="28"/>
              </w:rPr>
            </w:pPr>
          </w:p>
        </w:tc>
        <w:tc>
          <w:tcPr>
            <w:tcW w:w="1983" w:type="dxa"/>
            <w:gridSpan w:val="2"/>
            <w:tcBorders>
              <w:top w:val="single" w:color="000000" w:sz="4" w:space="0"/>
              <w:left w:val="single" w:color="auto" w:sz="4" w:space="0"/>
              <w:bottom w:val="single" w:color="000000" w:sz="4" w:space="0"/>
              <w:right w:val="single" w:color="auto" w:sz="4" w:space="0"/>
            </w:tcBorders>
            <w:noWrap/>
            <w:vAlign w:val="center"/>
          </w:tcPr>
          <w:p w14:paraId="26CDBBC2">
            <w:pPr>
              <w:jc w:val="center"/>
              <w:rPr>
                <w:rFonts w:ascii="宋体" w:hAnsi="宋体" w:cs="宋体"/>
                <w:color w:val="000000"/>
                <w:sz w:val="28"/>
                <w:szCs w:val="28"/>
              </w:rPr>
            </w:pPr>
          </w:p>
        </w:tc>
        <w:tc>
          <w:tcPr>
            <w:tcW w:w="1853" w:type="dxa"/>
            <w:tcBorders>
              <w:top w:val="single" w:color="000000" w:sz="4" w:space="0"/>
              <w:left w:val="single" w:color="auto" w:sz="4" w:space="0"/>
              <w:bottom w:val="single" w:color="000000" w:sz="4" w:space="0"/>
              <w:right w:val="single" w:color="000000" w:sz="4" w:space="0"/>
            </w:tcBorders>
            <w:noWrap/>
            <w:vAlign w:val="center"/>
          </w:tcPr>
          <w:p w14:paraId="3DA8CF41">
            <w:pPr>
              <w:jc w:val="center"/>
              <w:rPr>
                <w:rFonts w:ascii="宋体" w:hAnsi="宋体" w:cs="宋体"/>
                <w:color w:val="000000"/>
                <w:sz w:val="28"/>
                <w:szCs w:val="28"/>
              </w:rPr>
            </w:pPr>
          </w:p>
        </w:tc>
      </w:tr>
      <w:tr w14:paraId="78902A07">
        <w:tblPrEx>
          <w:tblCellMar>
            <w:top w:w="0" w:type="dxa"/>
            <w:left w:w="108" w:type="dxa"/>
            <w:bottom w:w="0" w:type="dxa"/>
            <w:right w:w="108" w:type="dxa"/>
          </w:tblCellMar>
        </w:tblPrEx>
        <w:trPr>
          <w:trHeight w:val="170" w:hRule="atLeast"/>
        </w:trPr>
        <w:tc>
          <w:tcPr>
            <w:tcW w:w="1347" w:type="dxa"/>
            <w:tcBorders>
              <w:top w:val="single" w:color="000000" w:sz="4" w:space="0"/>
              <w:left w:val="single" w:color="000000" w:sz="4" w:space="0"/>
              <w:bottom w:val="single" w:color="000000" w:sz="4" w:space="0"/>
              <w:right w:val="single" w:color="000000" w:sz="4" w:space="0"/>
            </w:tcBorders>
            <w:noWrap/>
            <w:vAlign w:val="center"/>
          </w:tcPr>
          <w:p w14:paraId="4579F413">
            <w:pPr>
              <w:widowControl/>
              <w:jc w:val="center"/>
              <w:textAlignment w:val="center"/>
              <w:rPr>
                <w:rFonts w:cs="宋体"/>
                <w:color w:val="000000"/>
                <w:kern w:val="0"/>
                <w:sz w:val="28"/>
                <w:szCs w:val="28"/>
                <w:lang w:bidi="ar"/>
              </w:rPr>
            </w:pPr>
            <w:r>
              <w:rPr>
                <w:rFonts w:hint="eastAsia" w:cs="宋体"/>
                <w:color w:val="000000"/>
                <w:kern w:val="0"/>
                <w:sz w:val="28"/>
                <w:szCs w:val="28"/>
                <w:lang w:bidi="ar"/>
              </w:rPr>
              <w:t>7</w:t>
            </w:r>
          </w:p>
        </w:tc>
        <w:tc>
          <w:tcPr>
            <w:tcW w:w="3397" w:type="dxa"/>
            <w:gridSpan w:val="2"/>
            <w:tcBorders>
              <w:top w:val="single" w:color="000000" w:sz="4" w:space="0"/>
              <w:left w:val="single" w:color="000000" w:sz="4" w:space="0"/>
              <w:bottom w:val="single" w:color="000000" w:sz="4" w:space="0"/>
              <w:right w:val="single" w:color="auto" w:sz="4" w:space="0"/>
            </w:tcBorders>
            <w:noWrap/>
            <w:vAlign w:val="center"/>
          </w:tcPr>
          <w:p w14:paraId="72955B89">
            <w:pPr>
              <w:rPr>
                <w:rFonts w:ascii="宋体" w:hAnsi="宋体" w:cs="宋体"/>
                <w:color w:val="000000"/>
                <w:sz w:val="28"/>
                <w:szCs w:val="28"/>
              </w:rPr>
            </w:pPr>
          </w:p>
        </w:tc>
        <w:tc>
          <w:tcPr>
            <w:tcW w:w="1983" w:type="dxa"/>
            <w:gridSpan w:val="2"/>
            <w:tcBorders>
              <w:top w:val="single" w:color="000000" w:sz="4" w:space="0"/>
              <w:left w:val="single" w:color="auto" w:sz="4" w:space="0"/>
              <w:bottom w:val="single" w:color="000000" w:sz="4" w:space="0"/>
              <w:right w:val="single" w:color="auto" w:sz="4" w:space="0"/>
            </w:tcBorders>
            <w:noWrap/>
            <w:vAlign w:val="center"/>
          </w:tcPr>
          <w:p w14:paraId="66E5806B">
            <w:pPr>
              <w:jc w:val="center"/>
              <w:rPr>
                <w:rFonts w:ascii="宋体" w:hAnsi="宋体" w:cs="宋体"/>
                <w:color w:val="000000"/>
                <w:sz w:val="28"/>
                <w:szCs w:val="28"/>
              </w:rPr>
            </w:pPr>
          </w:p>
        </w:tc>
        <w:tc>
          <w:tcPr>
            <w:tcW w:w="1853" w:type="dxa"/>
            <w:tcBorders>
              <w:top w:val="single" w:color="000000" w:sz="4" w:space="0"/>
              <w:left w:val="single" w:color="auto" w:sz="4" w:space="0"/>
              <w:bottom w:val="single" w:color="000000" w:sz="4" w:space="0"/>
              <w:right w:val="single" w:color="000000" w:sz="4" w:space="0"/>
            </w:tcBorders>
            <w:noWrap/>
            <w:vAlign w:val="center"/>
          </w:tcPr>
          <w:p w14:paraId="0D7C6736">
            <w:pPr>
              <w:jc w:val="center"/>
              <w:rPr>
                <w:rFonts w:ascii="宋体" w:hAnsi="宋体" w:cs="宋体"/>
                <w:color w:val="000000"/>
                <w:sz w:val="28"/>
                <w:szCs w:val="28"/>
              </w:rPr>
            </w:pPr>
          </w:p>
        </w:tc>
      </w:tr>
      <w:tr w14:paraId="39E3E591">
        <w:tblPrEx>
          <w:tblCellMar>
            <w:top w:w="0" w:type="dxa"/>
            <w:left w:w="108" w:type="dxa"/>
            <w:bottom w:w="0" w:type="dxa"/>
            <w:right w:w="108" w:type="dxa"/>
          </w:tblCellMar>
        </w:tblPrEx>
        <w:trPr>
          <w:trHeight w:val="170" w:hRule="atLeast"/>
        </w:trPr>
        <w:tc>
          <w:tcPr>
            <w:tcW w:w="1347" w:type="dxa"/>
            <w:tcBorders>
              <w:top w:val="single" w:color="000000" w:sz="4" w:space="0"/>
              <w:left w:val="single" w:color="000000" w:sz="4" w:space="0"/>
              <w:bottom w:val="single" w:color="000000" w:sz="4" w:space="0"/>
              <w:right w:val="single" w:color="000000" w:sz="4" w:space="0"/>
            </w:tcBorders>
            <w:noWrap/>
            <w:vAlign w:val="center"/>
          </w:tcPr>
          <w:p w14:paraId="4DA93D36">
            <w:pPr>
              <w:widowControl/>
              <w:jc w:val="center"/>
              <w:textAlignment w:val="center"/>
              <w:rPr>
                <w:rFonts w:cs="宋体"/>
                <w:color w:val="000000"/>
                <w:kern w:val="0"/>
                <w:sz w:val="28"/>
                <w:szCs w:val="28"/>
                <w:lang w:bidi="ar"/>
              </w:rPr>
            </w:pPr>
            <w:r>
              <w:rPr>
                <w:rFonts w:hint="eastAsia" w:cs="宋体"/>
                <w:color w:val="000000"/>
                <w:kern w:val="0"/>
                <w:sz w:val="28"/>
                <w:szCs w:val="28"/>
                <w:lang w:bidi="ar"/>
              </w:rPr>
              <w:t>8</w:t>
            </w:r>
          </w:p>
        </w:tc>
        <w:tc>
          <w:tcPr>
            <w:tcW w:w="3397" w:type="dxa"/>
            <w:gridSpan w:val="2"/>
            <w:tcBorders>
              <w:top w:val="single" w:color="000000" w:sz="4" w:space="0"/>
              <w:left w:val="single" w:color="000000" w:sz="4" w:space="0"/>
              <w:bottom w:val="single" w:color="000000" w:sz="4" w:space="0"/>
              <w:right w:val="single" w:color="auto" w:sz="4" w:space="0"/>
            </w:tcBorders>
            <w:noWrap/>
            <w:vAlign w:val="center"/>
          </w:tcPr>
          <w:p w14:paraId="709E2565">
            <w:pPr>
              <w:rPr>
                <w:rFonts w:ascii="宋体" w:hAnsi="宋体" w:cs="宋体"/>
                <w:color w:val="000000"/>
                <w:sz w:val="28"/>
                <w:szCs w:val="28"/>
              </w:rPr>
            </w:pPr>
          </w:p>
        </w:tc>
        <w:tc>
          <w:tcPr>
            <w:tcW w:w="1983" w:type="dxa"/>
            <w:gridSpan w:val="2"/>
            <w:tcBorders>
              <w:top w:val="single" w:color="000000" w:sz="4" w:space="0"/>
              <w:left w:val="single" w:color="auto" w:sz="4" w:space="0"/>
              <w:bottom w:val="single" w:color="000000" w:sz="4" w:space="0"/>
              <w:right w:val="single" w:color="auto" w:sz="4" w:space="0"/>
            </w:tcBorders>
            <w:noWrap/>
            <w:vAlign w:val="center"/>
          </w:tcPr>
          <w:p w14:paraId="7E0D794A">
            <w:pPr>
              <w:jc w:val="center"/>
              <w:rPr>
                <w:rFonts w:ascii="宋体" w:hAnsi="宋体" w:cs="宋体"/>
                <w:color w:val="000000"/>
                <w:sz w:val="28"/>
                <w:szCs w:val="28"/>
              </w:rPr>
            </w:pPr>
          </w:p>
        </w:tc>
        <w:tc>
          <w:tcPr>
            <w:tcW w:w="1853" w:type="dxa"/>
            <w:tcBorders>
              <w:top w:val="single" w:color="000000" w:sz="4" w:space="0"/>
              <w:left w:val="single" w:color="auto" w:sz="4" w:space="0"/>
              <w:bottom w:val="single" w:color="000000" w:sz="4" w:space="0"/>
              <w:right w:val="single" w:color="000000" w:sz="4" w:space="0"/>
            </w:tcBorders>
            <w:noWrap/>
            <w:vAlign w:val="center"/>
          </w:tcPr>
          <w:p w14:paraId="65F317C6">
            <w:pPr>
              <w:jc w:val="center"/>
              <w:rPr>
                <w:rFonts w:ascii="宋体" w:hAnsi="宋体" w:cs="宋体"/>
                <w:color w:val="000000"/>
                <w:sz w:val="28"/>
                <w:szCs w:val="28"/>
              </w:rPr>
            </w:pPr>
          </w:p>
        </w:tc>
      </w:tr>
      <w:tr w14:paraId="2120DB4A">
        <w:tblPrEx>
          <w:tblCellMar>
            <w:top w:w="0" w:type="dxa"/>
            <w:left w:w="108" w:type="dxa"/>
            <w:bottom w:w="0" w:type="dxa"/>
            <w:right w:w="108" w:type="dxa"/>
          </w:tblCellMar>
        </w:tblPrEx>
        <w:trPr>
          <w:trHeight w:val="170" w:hRule="atLeast"/>
        </w:trPr>
        <w:tc>
          <w:tcPr>
            <w:tcW w:w="1347" w:type="dxa"/>
            <w:tcBorders>
              <w:top w:val="single" w:color="000000" w:sz="4" w:space="0"/>
              <w:left w:val="single" w:color="000000" w:sz="4" w:space="0"/>
              <w:bottom w:val="single" w:color="000000" w:sz="4" w:space="0"/>
              <w:right w:val="single" w:color="000000" w:sz="4" w:space="0"/>
            </w:tcBorders>
            <w:noWrap/>
            <w:vAlign w:val="center"/>
          </w:tcPr>
          <w:p w14:paraId="76EAAEF5">
            <w:pPr>
              <w:widowControl/>
              <w:jc w:val="center"/>
              <w:textAlignment w:val="center"/>
              <w:rPr>
                <w:rFonts w:cs="宋体"/>
                <w:color w:val="000000"/>
                <w:kern w:val="0"/>
                <w:sz w:val="28"/>
                <w:szCs w:val="28"/>
                <w:lang w:bidi="ar"/>
              </w:rPr>
            </w:pPr>
            <w:r>
              <w:rPr>
                <w:rFonts w:hint="eastAsia" w:cs="宋体"/>
                <w:color w:val="000000"/>
                <w:kern w:val="0"/>
                <w:sz w:val="28"/>
                <w:szCs w:val="28"/>
                <w:lang w:bidi="ar"/>
              </w:rPr>
              <w:t>9</w:t>
            </w:r>
          </w:p>
        </w:tc>
        <w:tc>
          <w:tcPr>
            <w:tcW w:w="3397" w:type="dxa"/>
            <w:gridSpan w:val="2"/>
            <w:tcBorders>
              <w:top w:val="single" w:color="000000" w:sz="4" w:space="0"/>
              <w:left w:val="single" w:color="000000" w:sz="4" w:space="0"/>
              <w:bottom w:val="single" w:color="000000" w:sz="4" w:space="0"/>
              <w:right w:val="single" w:color="auto" w:sz="4" w:space="0"/>
            </w:tcBorders>
            <w:noWrap/>
            <w:vAlign w:val="center"/>
          </w:tcPr>
          <w:p w14:paraId="2446F18E">
            <w:pPr>
              <w:rPr>
                <w:rFonts w:ascii="宋体" w:hAnsi="宋体" w:cs="宋体"/>
                <w:color w:val="000000"/>
                <w:sz w:val="28"/>
                <w:szCs w:val="28"/>
              </w:rPr>
            </w:pPr>
          </w:p>
        </w:tc>
        <w:tc>
          <w:tcPr>
            <w:tcW w:w="1983" w:type="dxa"/>
            <w:gridSpan w:val="2"/>
            <w:tcBorders>
              <w:top w:val="single" w:color="000000" w:sz="4" w:space="0"/>
              <w:left w:val="single" w:color="auto" w:sz="4" w:space="0"/>
              <w:bottom w:val="single" w:color="000000" w:sz="4" w:space="0"/>
              <w:right w:val="single" w:color="auto" w:sz="4" w:space="0"/>
            </w:tcBorders>
            <w:noWrap/>
            <w:vAlign w:val="center"/>
          </w:tcPr>
          <w:p w14:paraId="50AD9480">
            <w:pPr>
              <w:jc w:val="center"/>
              <w:rPr>
                <w:rFonts w:ascii="宋体" w:hAnsi="宋体" w:cs="宋体"/>
                <w:color w:val="000000"/>
                <w:sz w:val="28"/>
                <w:szCs w:val="28"/>
              </w:rPr>
            </w:pPr>
          </w:p>
        </w:tc>
        <w:tc>
          <w:tcPr>
            <w:tcW w:w="1853" w:type="dxa"/>
            <w:tcBorders>
              <w:top w:val="single" w:color="000000" w:sz="4" w:space="0"/>
              <w:left w:val="single" w:color="auto" w:sz="4" w:space="0"/>
              <w:bottom w:val="single" w:color="000000" w:sz="4" w:space="0"/>
              <w:right w:val="single" w:color="000000" w:sz="4" w:space="0"/>
            </w:tcBorders>
            <w:noWrap/>
            <w:vAlign w:val="center"/>
          </w:tcPr>
          <w:p w14:paraId="2E26CA05">
            <w:pPr>
              <w:jc w:val="center"/>
              <w:rPr>
                <w:rFonts w:ascii="宋体" w:hAnsi="宋体" w:cs="宋体"/>
                <w:color w:val="000000"/>
                <w:sz w:val="28"/>
                <w:szCs w:val="28"/>
              </w:rPr>
            </w:pPr>
          </w:p>
        </w:tc>
      </w:tr>
      <w:tr w14:paraId="49536807">
        <w:tblPrEx>
          <w:tblCellMar>
            <w:top w:w="0" w:type="dxa"/>
            <w:left w:w="108" w:type="dxa"/>
            <w:bottom w:w="0" w:type="dxa"/>
            <w:right w:w="108" w:type="dxa"/>
          </w:tblCellMar>
        </w:tblPrEx>
        <w:trPr>
          <w:trHeight w:val="170" w:hRule="atLeast"/>
        </w:trPr>
        <w:tc>
          <w:tcPr>
            <w:tcW w:w="1347" w:type="dxa"/>
            <w:tcBorders>
              <w:top w:val="single" w:color="000000" w:sz="4" w:space="0"/>
              <w:left w:val="single" w:color="000000" w:sz="4" w:space="0"/>
              <w:bottom w:val="single" w:color="000000" w:sz="4" w:space="0"/>
              <w:right w:val="single" w:color="000000" w:sz="4" w:space="0"/>
            </w:tcBorders>
            <w:noWrap/>
            <w:vAlign w:val="center"/>
          </w:tcPr>
          <w:p w14:paraId="04896593">
            <w:pPr>
              <w:widowControl/>
              <w:jc w:val="center"/>
              <w:textAlignment w:val="center"/>
              <w:rPr>
                <w:rFonts w:ascii="宋体" w:hAnsi="宋体" w:cs="宋体"/>
                <w:color w:val="000000"/>
                <w:sz w:val="28"/>
                <w:szCs w:val="28"/>
              </w:rPr>
            </w:pPr>
            <w:r>
              <w:rPr>
                <w:rFonts w:hint="eastAsia" w:ascii="宋体" w:hAnsi="宋体" w:cs="宋体"/>
                <w:color w:val="000000"/>
                <w:kern w:val="0"/>
                <w:sz w:val="28"/>
                <w:szCs w:val="28"/>
                <w:lang w:bidi="ar"/>
              </w:rPr>
              <w:t>合计</w:t>
            </w:r>
          </w:p>
        </w:tc>
        <w:tc>
          <w:tcPr>
            <w:tcW w:w="3397" w:type="dxa"/>
            <w:gridSpan w:val="2"/>
            <w:tcBorders>
              <w:top w:val="single" w:color="000000" w:sz="4" w:space="0"/>
              <w:left w:val="single" w:color="000000" w:sz="4" w:space="0"/>
              <w:bottom w:val="single" w:color="000000" w:sz="4" w:space="0"/>
              <w:right w:val="single" w:color="auto" w:sz="4" w:space="0"/>
            </w:tcBorders>
            <w:noWrap/>
            <w:vAlign w:val="center"/>
          </w:tcPr>
          <w:p w14:paraId="260A7B04">
            <w:pPr>
              <w:jc w:val="center"/>
              <w:rPr>
                <w:rFonts w:ascii="宋体" w:hAnsi="宋体" w:cs="宋体"/>
                <w:color w:val="000000"/>
                <w:sz w:val="28"/>
                <w:szCs w:val="28"/>
              </w:rPr>
            </w:pPr>
            <w:r>
              <w:rPr>
                <w:rFonts w:hint="eastAsia" w:ascii="宋体" w:hAnsi="宋体" w:cs="宋体"/>
                <w:color w:val="000000"/>
                <w:sz w:val="28"/>
                <w:szCs w:val="28"/>
              </w:rPr>
              <w:t>\</w:t>
            </w:r>
          </w:p>
        </w:tc>
        <w:tc>
          <w:tcPr>
            <w:tcW w:w="1983" w:type="dxa"/>
            <w:gridSpan w:val="2"/>
            <w:tcBorders>
              <w:top w:val="single" w:color="000000" w:sz="4" w:space="0"/>
              <w:left w:val="single" w:color="auto" w:sz="4" w:space="0"/>
              <w:bottom w:val="single" w:color="000000" w:sz="4" w:space="0"/>
              <w:right w:val="single" w:color="auto" w:sz="4" w:space="0"/>
            </w:tcBorders>
            <w:noWrap/>
            <w:vAlign w:val="center"/>
          </w:tcPr>
          <w:p w14:paraId="7B1E0E48">
            <w:pPr>
              <w:jc w:val="center"/>
              <w:rPr>
                <w:rFonts w:ascii="宋体" w:hAnsi="宋体" w:cs="宋体"/>
                <w:color w:val="000000"/>
                <w:sz w:val="28"/>
                <w:szCs w:val="28"/>
              </w:rPr>
            </w:pPr>
          </w:p>
        </w:tc>
        <w:tc>
          <w:tcPr>
            <w:tcW w:w="1853" w:type="dxa"/>
            <w:tcBorders>
              <w:top w:val="single" w:color="000000" w:sz="4" w:space="0"/>
              <w:left w:val="single" w:color="auto" w:sz="4" w:space="0"/>
              <w:bottom w:val="single" w:color="000000" w:sz="4" w:space="0"/>
              <w:right w:val="single" w:color="000000" w:sz="4" w:space="0"/>
            </w:tcBorders>
            <w:noWrap/>
            <w:vAlign w:val="center"/>
          </w:tcPr>
          <w:p w14:paraId="4B16EB73">
            <w:pPr>
              <w:jc w:val="center"/>
              <w:rPr>
                <w:rFonts w:ascii="宋体" w:hAnsi="宋体" w:cs="宋体"/>
                <w:color w:val="000000"/>
                <w:sz w:val="28"/>
                <w:szCs w:val="28"/>
              </w:rPr>
            </w:pPr>
          </w:p>
        </w:tc>
      </w:tr>
      <w:tr w14:paraId="2827E608">
        <w:tblPrEx>
          <w:tblCellMar>
            <w:top w:w="0" w:type="dxa"/>
            <w:left w:w="108" w:type="dxa"/>
            <w:bottom w:w="0" w:type="dxa"/>
            <w:right w:w="108" w:type="dxa"/>
          </w:tblCellMar>
        </w:tblPrEx>
        <w:trPr>
          <w:trHeight w:val="400" w:hRule="atLeast"/>
        </w:trPr>
        <w:tc>
          <w:tcPr>
            <w:tcW w:w="1347" w:type="dxa"/>
            <w:vMerge w:val="restart"/>
            <w:tcBorders>
              <w:top w:val="single" w:color="000000" w:sz="4" w:space="0"/>
              <w:left w:val="single" w:color="000000" w:sz="4" w:space="0"/>
              <w:right w:val="single" w:color="000000" w:sz="4" w:space="0"/>
            </w:tcBorders>
            <w:noWrap/>
            <w:vAlign w:val="center"/>
          </w:tcPr>
          <w:p w14:paraId="1FCAB8CD">
            <w:pPr>
              <w:widowControl/>
              <w:jc w:val="center"/>
              <w:textAlignment w:val="center"/>
              <w:rPr>
                <w:rFonts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用电量</w:t>
            </w:r>
          </w:p>
          <w:p w14:paraId="3F20454C">
            <w:pPr>
              <w:widowControl/>
              <w:jc w:val="center"/>
              <w:textAlignment w:val="center"/>
              <w:rPr>
                <w:rFonts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需求</w:t>
            </w:r>
          </w:p>
        </w:tc>
        <w:tc>
          <w:tcPr>
            <w:tcW w:w="1765" w:type="dxa"/>
            <w:tcBorders>
              <w:top w:val="single" w:color="000000" w:sz="4" w:space="0"/>
              <w:left w:val="single" w:color="000000" w:sz="4" w:space="0"/>
              <w:bottom w:val="single" w:color="auto" w:sz="4" w:space="0"/>
              <w:right w:val="single" w:color="auto" w:sz="4" w:space="0"/>
            </w:tcBorders>
            <w:noWrap/>
            <w:vAlign w:val="center"/>
          </w:tcPr>
          <w:p w14:paraId="540F509F">
            <w:pPr>
              <w:jc w:val="center"/>
              <w:rPr>
                <w:rFonts w:ascii="仿宋_GB2312" w:hAnsi="仿宋_GB2312" w:eastAsia="仿宋_GB2312" w:cs="仿宋_GB2312"/>
                <w:b/>
                <w:bCs/>
                <w:color w:val="000000"/>
                <w:sz w:val="24"/>
              </w:rPr>
            </w:pPr>
            <w:r>
              <w:rPr>
                <w:rFonts w:hint="eastAsia" w:ascii="仿宋_GB2312" w:hAnsi="仿宋_GB2312" w:eastAsia="仿宋_GB2312" w:cs="仿宋_GB2312"/>
                <w:b/>
                <w:bCs/>
                <w:color w:val="000000"/>
                <w:sz w:val="24"/>
              </w:rPr>
              <w:t>本年度总量</w:t>
            </w:r>
          </w:p>
          <w:p w14:paraId="6A94BFB2">
            <w:pPr>
              <w:jc w:val="center"/>
              <w:rPr>
                <w:rFonts w:ascii="仿宋_GB2312" w:hAnsi="仿宋_GB2312" w:eastAsia="仿宋_GB2312" w:cs="仿宋_GB2312"/>
                <w:b/>
                <w:bCs/>
                <w:color w:val="000000"/>
                <w:sz w:val="24"/>
              </w:rPr>
            </w:pPr>
            <w:r>
              <w:rPr>
                <w:rFonts w:hint="eastAsia" w:ascii="仿宋_GB2312" w:hAnsi="仿宋_GB2312" w:eastAsia="仿宋_GB2312" w:cs="仿宋_GB2312"/>
                <w:b/>
                <w:bCs/>
                <w:color w:val="000000"/>
                <w:sz w:val="24"/>
              </w:rPr>
              <w:t>（万千瓦时）</w:t>
            </w:r>
          </w:p>
        </w:tc>
        <w:tc>
          <w:tcPr>
            <w:tcW w:w="1632" w:type="dxa"/>
            <w:tcBorders>
              <w:top w:val="single" w:color="000000" w:sz="4" w:space="0"/>
              <w:left w:val="single" w:color="auto" w:sz="4" w:space="0"/>
              <w:bottom w:val="single" w:color="auto" w:sz="4" w:space="0"/>
              <w:right w:val="single" w:color="auto" w:sz="4" w:space="0"/>
            </w:tcBorders>
            <w:noWrap/>
            <w:vAlign w:val="center"/>
          </w:tcPr>
          <w:p w14:paraId="678B0AFE">
            <w:pPr>
              <w:rPr>
                <w:rFonts w:ascii="仿宋_GB2312" w:hAnsi="仿宋_GB2312" w:eastAsia="仿宋_GB2312" w:cs="仿宋_GB2312"/>
                <w:b/>
                <w:bCs/>
                <w:color w:val="000000"/>
                <w:sz w:val="24"/>
                <w:u w:val="single"/>
              </w:rPr>
            </w:pPr>
          </w:p>
        </w:tc>
        <w:tc>
          <w:tcPr>
            <w:tcW w:w="1983" w:type="dxa"/>
            <w:gridSpan w:val="2"/>
            <w:tcBorders>
              <w:top w:val="single" w:color="000000" w:sz="4" w:space="0"/>
              <w:left w:val="single" w:color="auto" w:sz="4" w:space="0"/>
              <w:bottom w:val="single" w:color="auto" w:sz="4" w:space="0"/>
              <w:right w:val="single" w:color="auto" w:sz="4" w:space="0"/>
            </w:tcBorders>
            <w:noWrap/>
            <w:vAlign w:val="center"/>
          </w:tcPr>
          <w:p w14:paraId="5C31B1BA">
            <w:pPr>
              <w:jc w:val="center"/>
              <w:rPr>
                <w:rFonts w:ascii="仿宋_GB2312" w:hAnsi="仿宋_GB2312" w:eastAsia="仿宋_GB2312" w:cs="仿宋_GB2312"/>
                <w:b/>
                <w:bCs/>
                <w:color w:val="000000"/>
                <w:sz w:val="24"/>
              </w:rPr>
            </w:pPr>
            <w:r>
              <w:rPr>
                <w:rFonts w:hint="eastAsia" w:ascii="仿宋_GB2312" w:hAnsi="仿宋_GB2312" w:eastAsia="仿宋_GB2312" w:cs="仿宋_GB2312"/>
                <w:b/>
                <w:bCs/>
                <w:color w:val="000000"/>
                <w:sz w:val="24"/>
              </w:rPr>
              <w:t>下年度需求总量</w:t>
            </w:r>
          </w:p>
          <w:p w14:paraId="797C0548">
            <w:pPr>
              <w:jc w:val="center"/>
              <w:rPr>
                <w:rFonts w:ascii="仿宋_GB2312" w:hAnsi="仿宋_GB2312" w:eastAsia="仿宋_GB2312" w:cs="仿宋_GB2312"/>
                <w:b/>
                <w:bCs/>
                <w:color w:val="000000"/>
                <w:sz w:val="24"/>
                <w:u w:val="single"/>
              </w:rPr>
            </w:pPr>
            <w:r>
              <w:rPr>
                <w:rFonts w:hint="eastAsia" w:ascii="仿宋_GB2312" w:hAnsi="仿宋_GB2312" w:eastAsia="仿宋_GB2312" w:cs="仿宋_GB2312"/>
                <w:b/>
                <w:bCs/>
                <w:color w:val="000000"/>
                <w:sz w:val="24"/>
              </w:rPr>
              <w:t>（万千瓦时）</w:t>
            </w:r>
          </w:p>
        </w:tc>
        <w:tc>
          <w:tcPr>
            <w:tcW w:w="1853" w:type="dxa"/>
            <w:tcBorders>
              <w:top w:val="single" w:color="000000" w:sz="4" w:space="0"/>
              <w:left w:val="single" w:color="auto" w:sz="4" w:space="0"/>
              <w:bottom w:val="single" w:color="auto" w:sz="4" w:space="0"/>
              <w:right w:val="single" w:color="000000" w:sz="4" w:space="0"/>
            </w:tcBorders>
            <w:noWrap/>
            <w:vAlign w:val="center"/>
          </w:tcPr>
          <w:p w14:paraId="25E39DC2">
            <w:pPr>
              <w:jc w:val="center"/>
              <w:rPr>
                <w:rFonts w:ascii="仿宋_GB2312" w:hAnsi="仿宋_GB2312" w:eastAsia="仿宋_GB2312" w:cs="仿宋_GB2312"/>
                <w:b/>
                <w:bCs/>
                <w:color w:val="000000"/>
                <w:sz w:val="24"/>
                <w:u w:val="single"/>
              </w:rPr>
            </w:pPr>
          </w:p>
        </w:tc>
      </w:tr>
      <w:tr w14:paraId="1F1B8D8E">
        <w:tblPrEx>
          <w:tblCellMar>
            <w:top w:w="0" w:type="dxa"/>
            <w:left w:w="108" w:type="dxa"/>
            <w:bottom w:w="0" w:type="dxa"/>
            <w:right w:w="108" w:type="dxa"/>
          </w:tblCellMar>
        </w:tblPrEx>
        <w:trPr>
          <w:trHeight w:val="1136" w:hRule="atLeast"/>
        </w:trPr>
        <w:tc>
          <w:tcPr>
            <w:tcW w:w="1347" w:type="dxa"/>
            <w:vMerge w:val="continue"/>
            <w:tcBorders>
              <w:left w:val="single" w:color="000000" w:sz="4" w:space="0"/>
              <w:right w:val="single" w:color="000000" w:sz="4" w:space="0"/>
            </w:tcBorders>
            <w:noWrap/>
            <w:vAlign w:val="center"/>
          </w:tcPr>
          <w:p w14:paraId="1DB0907C">
            <w:pPr>
              <w:widowControl/>
              <w:jc w:val="center"/>
              <w:textAlignment w:val="center"/>
              <w:rPr>
                <w:rFonts w:ascii="仿宋_GB2312" w:hAnsi="仿宋_GB2312" w:eastAsia="仿宋_GB2312" w:cs="仿宋_GB2312"/>
                <w:b/>
                <w:bCs/>
                <w:color w:val="000000"/>
                <w:kern w:val="0"/>
                <w:sz w:val="24"/>
                <w:lang w:bidi="ar"/>
              </w:rPr>
            </w:pPr>
          </w:p>
        </w:tc>
        <w:tc>
          <w:tcPr>
            <w:tcW w:w="1765" w:type="dxa"/>
            <w:tcBorders>
              <w:top w:val="single" w:color="auto" w:sz="4" w:space="0"/>
              <w:left w:val="single" w:color="000000" w:sz="4" w:space="0"/>
              <w:right w:val="single" w:color="auto" w:sz="4" w:space="0"/>
            </w:tcBorders>
            <w:noWrap/>
            <w:vAlign w:val="center"/>
          </w:tcPr>
          <w:p w14:paraId="19A394C7">
            <w:pPr>
              <w:jc w:val="center"/>
              <w:rPr>
                <w:rFonts w:ascii="仿宋_GB2312" w:hAnsi="仿宋_GB2312" w:eastAsia="仿宋_GB2312" w:cs="仿宋_GB2312"/>
                <w:b/>
                <w:bCs/>
                <w:color w:val="000000"/>
                <w:sz w:val="24"/>
              </w:rPr>
            </w:pPr>
            <w:r>
              <w:rPr>
                <w:rFonts w:hint="eastAsia" w:ascii="仿宋_GB2312" w:hAnsi="仿宋_GB2312" w:eastAsia="仿宋_GB2312" w:cs="仿宋_GB2312"/>
                <w:b/>
                <w:bCs/>
                <w:color w:val="000000"/>
                <w:sz w:val="24"/>
              </w:rPr>
              <w:t>增减原因简述</w:t>
            </w:r>
          </w:p>
        </w:tc>
        <w:tc>
          <w:tcPr>
            <w:tcW w:w="5468" w:type="dxa"/>
            <w:gridSpan w:val="4"/>
            <w:tcBorders>
              <w:top w:val="single" w:color="auto" w:sz="4" w:space="0"/>
              <w:left w:val="single" w:color="auto" w:sz="4" w:space="0"/>
              <w:bottom w:val="single" w:color="000000" w:sz="4" w:space="0"/>
              <w:right w:val="single" w:color="000000" w:sz="4" w:space="0"/>
            </w:tcBorders>
            <w:noWrap/>
            <w:vAlign w:val="center"/>
          </w:tcPr>
          <w:p w14:paraId="338F64D2">
            <w:pPr>
              <w:jc w:val="center"/>
              <w:rPr>
                <w:rFonts w:ascii="仿宋_GB2312" w:hAnsi="仿宋_GB2312" w:eastAsia="仿宋_GB2312" w:cs="仿宋_GB2312"/>
                <w:b/>
                <w:bCs/>
                <w:color w:val="000000"/>
                <w:sz w:val="24"/>
              </w:rPr>
            </w:pPr>
          </w:p>
        </w:tc>
      </w:tr>
      <w:tr w14:paraId="6EA68E00">
        <w:tblPrEx>
          <w:tblCellMar>
            <w:top w:w="0" w:type="dxa"/>
            <w:left w:w="108" w:type="dxa"/>
            <w:bottom w:w="0" w:type="dxa"/>
            <w:right w:w="108" w:type="dxa"/>
          </w:tblCellMar>
        </w:tblPrEx>
        <w:trPr>
          <w:trHeight w:val="312" w:hRule="atLeast"/>
        </w:trPr>
        <w:tc>
          <w:tcPr>
            <w:tcW w:w="1347" w:type="dxa"/>
            <w:vMerge w:val="restart"/>
            <w:tcBorders>
              <w:top w:val="single" w:color="000000" w:sz="4" w:space="0"/>
              <w:left w:val="single" w:color="000000" w:sz="4" w:space="0"/>
              <w:bottom w:val="single" w:color="000000" w:sz="4" w:space="0"/>
              <w:right w:val="single" w:color="000000" w:sz="4" w:space="0"/>
            </w:tcBorders>
            <w:noWrap/>
            <w:vAlign w:val="center"/>
          </w:tcPr>
          <w:p w14:paraId="7F123C13">
            <w:pPr>
              <w:widowControl/>
              <w:jc w:val="center"/>
              <w:textAlignment w:val="center"/>
              <w:rPr>
                <w:rFonts w:ascii="仿宋_GB2312" w:hAnsi="仿宋_GB2312" w:eastAsia="仿宋_GB2312" w:cs="仿宋_GB2312"/>
                <w:b/>
                <w:bCs/>
                <w:color w:val="000000"/>
                <w:sz w:val="24"/>
              </w:rPr>
            </w:pPr>
            <w:r>
              <w:rPr>
                <w:rFonts w:hint="eastAsia" w:ascii="仿宋_GB2312" w:hAnsi="仿宋_GB2312" w:eastAsia="仿宋_GB2312" w:cs="仿宋_GB2312"/>
                <w:b/>
                <w:bCs/>
                <w:color w:val="000000"/>
                <w:kern w:val="0"/>
                <w:sz w:val="24"/>
                <w:lang w:bidi="ar"/>
              </w:rPr>
              <w:t>经办人</w:t>
            </w:r>
          </w:p>
        </w:tc>
        <w:tc>
          <w:tcPr>
            <w:tcW w:w="1765" w:type="dxa"/>
            <w:vMerge w:val="restart"/>
            <w:tcBorders>
              <w:top w:val="single" w:color="000000" w:sz="4" w:space="0"/>
              <w:left w:val="single" w:color="000000" w:sz="4" w:space="0"/>
              <w:bottom w:val="single" w:color="000000" w:sz="4" w:space="0"/>
              <w:right w:val="single" w:color="000000" w:sz="4" w:space="0"/>
            </w:tcBorders>
            <w:noWrap/>
            <w:vAlign w:val="center"/>
          </w:tcPr>
          <w:p w14:paraId="7997ADA5">
            <w:pPr>
              <w:jc w:val="center"/>
              <w:rPr>
                <w:rFonts w:ascii="仿宋_GB2312" w:hAnsi="仿宋_GB2312" w:eastAsia="仿宋_GB2312" w:cs="仿宋_GB2312"/>
                <w:b/>
                <w:bCs/>
                <w:color w:val="000000"/>
                <w:sz w:val="24"/>
              </w:rPr>
            </w:pPr>
          </w:p>
        </w:tc>
        <w:tc>
          <w:tcPr>
            <w:tcW w:w="1851"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4AED7FD0">
            <w:pPr>
              <w:jc w:val="center"/>
              <w:rPr>
                <w:rFonts w:ascii="仿宋_GB2312" w:hAnsi="仿宋_GB2312" w:eastAsia="仿宋_GB2312" w:cs="仿宋_GB2312"/>
                <w:b/>
                <w:bCs/>
                <w:color w:val="000000"/>
                <w:sz w:val="24"/>
              </w:rPr>
            </w:pPr>
            <w:r>
              <w:rPr>
                <w:rFonts w:hint="eastAsia" w:ascii="仿宋_GB2312" w:hAnsi="仿宋_GB2312" w:eastAsia="仿宋_GB2312" w:cs="仿宋_GB2312"/>
                <w:b/>
                <w:bCs/>
                <w:color w:val="000000"/>
                <w:kern w:val="0"/>
                <w:sz w:val="24"/>
                <w:lang w:bidi="ar"/>
              </w:rPr>
              <w:t>联系电话</w:t>
            </w:r>
          </w:p>
        </w:tc>
        <w:tc>
          <w:tcPr>
            <w:tcW w:w="3617"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144D258F">
            <w:pPr>
              <w:jc w:val="center"/>
              <w:rPr>
                <w:rFonts w:ascii="仿宋_GB2312" w:hAnsi="仿宋_GB2312" w:eastAsia="仿宋_GB2312" w:cs="仿宋_GB2312"/>
                <w:b/>
                <w:bCs/>
                <w:color w:val="000000"/>
                <w:sz w:val="24"/>
              </w:rPr>
            </w:pPr>
          </w:p>
        </w:tc>
      </w:tr>
      <w:tr w14:paraId="27EA74A4">
        <w:tblPrEx>
          <w:tblCellMar>
            <w:top w:w="0" w:type="dxa"/>
            <w:left w:w="108" w:type="dxa"/>
            <w:bottom w:w="0" w:type="dxa"/>
            <w:right w:w="108" w:type="dxa"/>
          </w:tblCellMar>
        </w:tblPrEx>
        <w:trPr>
          <w:trHeight w:val="312" w:hRule="atLeast"/>
        </w:trPr>
        <w:tc>
          <w:tcPr>
            <w:tcW w:w="1347" w:type="dxa"/>
            <w:vMerge w:val="continue"/>
            <w:tcBorders>
              <w:top w:val="single" w:color="000000" w:sz="4" w:space="0"/>
              <w:left w:val="single" w:color="000000" w:sz="4" w:space="0"/>
              <w:bottom w:val="single" w:color="000000" w:sz="4" w:space="0"/>
              <w:right w:val="single" w:color="000000" w:sz="4" w:space="0"/>
            </w:tcBorders>
            <w:noWrap/>
            <w:vAlign w:val="center"/>
          </w:tcPr>
          <w:p w14:paraId="06A298E7">
            <w:pPr>
              <w:jc w:val="center"/>
              <w:rPr>
                <w:rFonts w:ascii="仿宋_GB2312" w:hAnsi="仿宋_GB2312" w:eastAsia="仿宋_GB2312" w:cs="仿宋_GB2312"/>
                <w:color w:val="000000"/>
                <w:sz w:val="24"/>
              </w:rPr>
            </w:pPr>
          </w:p>
        </w:tc>
        <w:tc>
          <w:tcPr>
            <w:tcW w:w="1765" w:type="dxa"/>
            <w:vMerge w:val="continue"/>
            <w:tcBorders>
              <w:top w:val="single" w:color="000000" w:sz="4" w:space="0"/>
              <w:left w:val="single" w:color="000000" w:sz="4" w:space="0"/>
              <w:bottom w:val="single" w:color="000000" w:sz="4" w:space="0"/>
              <w:right w:val="single" w:color="000000" w:sz="4" w:space="0"/>
            </w:tcBorders>
            <w:noWrap/>
            <w:vAlign w:val="center"/>
          </w:tcPr>
          <w:p w14:paraId="26D095FC">
            <w:pPr>
              <w:jc w:val="center"/>
              <w:rPr>
                <w:rFonts w:ascii="仿宋_GB2312" w:hAnsi="仿宋_GB2312" w:eastAsia="仿宋_GB2312" w:cs="仿宋_GB2312"/>
                <w:color w:val="000000"/>
                <w:sz w:val="24"/>
              </w:rPr>
            </w:pPr>
          </w:p>
        </w:tc>
        <w:tc>
          <w:tcPr>
            <w:tcW w:w="1851"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2B16A3A3">
            <w:pPr>
              <w:jc w:val="center"/>
              <w:rPr>
                <w:rFonts w:ascii="仿宋_GB2312" w:hAnsi="仿宋_GB2312" w:eastAsia="仿宋_GB2312" w:cs="仿宋_GB2312"/>
                <w:color w:val="000000"/>
                <w:sz w:val="24"/>
              </w:rPr>
            </w:pPr>
          </w:p>
        </w:tc>
        <w:tc>
          <w:tcPr>
            <w:tcW w:w="3617"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1E907BCF">
            <w:pPr>
              <w:jc w:val="center"/>
              <w:rPr>
                <w:rFonts w:ascii="仿宋_GB2312" w:hAnsi="仿宋_GB2312" w:eastAsia="仿宋_GB2312" w:cs="仿宋_GB2312"/>
                <w:color w:val="000000"/>
                <w:sz w:val="24"/>
              </w:rPr>
            </w:pPr>
          </w:p>
        </w:tc>
      </w:tr>
      <w:tr w14:paraId="7C133BCA">
        <w:tblPrEx>
          <w:tblCellMar>
            <w:top w:w="0" w:type="dxa"/>
            <w:left w:w="108" w:type="dxa"/>
            <w:bottom w:w="0" w:type="dxa"/>
            <w:right w:w="108" w:type="dxa"/>
          </w:tblCellMar>
        </w:tblPrEx>
        <w:trPr>
          <w:trHeight w:val="168" w:hRule="atLeast"/>
        </w:trPr>
        <w:tc>
          <w:tcPr>
            <w:tcW w:w="8580" w:type="dxa"/>
            <w:gridSpan w:val="6"/>
            <w:tcBorders>
              <w:top w:val="nil"/>
              <w:left w:val="nil"/>
              <w:bottom w:val="nil"/>
              <w:right w:val="nil"/>
            </w:tcBorders>
            <w:noWrap/>
            <w:vAlign w:val="center"/>
          </w:tcPr>
          <w:p w14:paraId="68897325">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注：表格中楼栋数量不够，报送单位可自行添加。</w:t>
            </w:r>
          </w:p>
        </w:tc>
      </w:tr>
    </w:tbl>
    <w:p w14:paraId="08E99D10">
      <w:pPr>
        <w:spacing w:line="560" w:lineRule="exact"/>
        <w:jc w:val="center"/>
        <w:rPr>
          <w:rFonts w:ascii="仿宋_GB2312" w:hAnsi="仿宋_GB2312" w:eastAsia="仿宋_GB2312" w:cs="仿宋_GB2312"/>
          <w:sz w:val="32"/>
          <w:szCs w:val="40"/>
        </w:rPr>
      </w:pPr>
    </w:p>
    <w:p w14:paraId="053B18DA">
      <w:pPr>
        <w:spacing w:line="560" w:lineRule="exact"/>
        <w:jc w:val="left"/>
        <w:outlineLvl w:val="0"/>
        <w:rPr>
          <w:rFonts w:ascii="仿宋_GB2312" w:hAnsi="仿宋_GB2312" w:eastAsia="仿宋_GB2312" w:cs="仿宋_GB2312"/>
          <w:sz w:val="32"/>
          <w:szCs w:val="40"/>
        </w:rPr>
      </w:pPr>
      <w:r>
        <w:rPr>
          <w:rFonts w:hint="eastAsia" w:ascii="仿宋_GB2312" w:hAnsi="仿宋_GB2312" w:eastAsia="仿宋_GB2312" w:cs="仿宋_GB2312"/>
          <w:sz w:val="32"/>
          <w:szCs w:val="40"/>
        </w:rPr>
        <w:br w:type="page"/>
      </w:r>
      <w:bookmarkStart w:id="7" w:name="_Toc28195"/>
      <w:r>
        <w:rPr>
          <w:rFonts w:hint="eastAsia" w:ascii="仿宋_GB2312" w:hAnsi="仿宋_GB2312" w:eastAsia="仿宋_GB2312" w:cs="仿宋_GB2312"/>
          <w:sz w:val="32"/>
          <w:szCs w:val="40"/>
        </w:rPr>
        <w:t>附件</w:t>
      </w:r>
      <w:r>
        <w:rPr>
          <w:rFonts w:hint="eastAsia" w:eastAsia="仿宋_GB2312" w:cs="仿宋_GB2312"/>
          <w:sz w:val="32"/>
          <w:szCs w:val="40"/>
        </w:rPr>
        <w:t>2</w:t>
      </w:r>
      <w:bookmarkEnd w:id="7"/>
    </w:p>
    <w:tbl>
      <w:tblPr>
        <w:tblStyle w:val="14"/>
        <w:tblW w:w="9720" w:type="dxa"/>
        <w:jc w:val="center"/>
        <w:tblLayout w:type="fixed"/>
        <w:tblCellMar>
          <w:top w:w="0" w:type="dxa"/>
          <w:left w:w="108" w:type="dxa"/>
          <w:bottom w:w="0" w:type="dxa"/>
          <w:right w:w="108" w:type="dxa"/>
        </w:tblCellMar>
      </w:tblPr>
      <w:tblGrid>
        <w:gridCol w:w="2499"/>
        <w:gridCol w:w="2862"/>
        <w:gridCol w:w="1950"/>
        <w:gridCol w:w="2409"/>
      </w:tblGrid>
      <w:tr w14:paraId="5A20FCC0">
        <w:tblPrEx>
          <w:tblCellMar>
            <w:top w:w="0" w:type="dxa"/>
            <w:left w:w="108" w:type="dxa"/>
            <w:bottom w:w="0" w:type="dxa"/>
            <w:right w:w="108" w:type="dxa"/>
          </w:tblCellMar>
        </w:tblPrEx>
        <w:trPr>
          <w:trHeight w:val="938" w:hRule="atLeast"/>
          <w:jc w:val="center"/>
        </w:trPr>
        <w:tc>
          <w:tcPr>
            <w:tcW w:w="9720" w:type="dxa"/>
            <w:gridSpan w:val="4"/>
            <w:tcBorders>
              <w:top w:val="nil"/>
              <w:left w:val="nil"/>
              <w:bottom w:val="nil"/>
              <w:right w:val="nil"/>
            </w:tcBorders>
            <w:noWrap/>
            <w:vAlign w:val="center"/>
          </w:tcPr>
          <w:p w14:paraId="473512D9">
            <w:pPr>
              <w:widowControl/>
              <w:jc w:val="center"/>
              <w:textAlignment w:val="center"/>
              <w:rPr>
                <w:rFonts w:ascii="方正小标宋简体" w:hAnsi="方正小标宋简体" w:eastAsia="方正小标宋简体" w:cs="方正小标宋简体"/>
                <w:b/>
                <w:bCs/>
                <w:color w:val="000000"/>
                <w:sz w:val="28"/>
                <w:szCs w:val="28"/>
              </w:rPr>
            </w:pPr>
            <w:r>
              <w:rPr>
                <w:rFonts w:hint="eastAsia" w:ascii="方正小标宋简体" w:hAnsi="方正小标宋简体" w:eastAsia="方正小标宋简体" w:cs="方正小标宋简体"/>
                <w:b/>
                <w:bCs/>
                <w:color w:val="000000"/>
                <w:kern w:val="0"/>
                <w:sz w:val="44"/>
                <w:szCs w:val="44"/>
                <w:lang w:bidi="ar"/>
              </w:rPr>
              <w:t>用电负荷调整备案/审批表</w:t>
            </w:r>
          </w:p>
        </w:tc>
      </w:tr>
      <w:tr w14:paraId="4B7D129E">
        <w:tblPrEx>
          <w:tblCellMar>
            <w:top w:w="0" w:type="dxa"/>
            <w:left w:w="108" w:type="dxa"/>
            <w:bottom w:w="0" w:type="dxa"/>
            <w:right w:w="108" w:type="dxa"/>
          </w:tblCellMar>
        </w:tblPrEx>
        <w:trPr>
          <w:trHeight w:val="634" w:hRule="atLeast"/>
          <w:jc w:val="center"/>
        </w:trPr>
        <w:tc>
          <w:tcPr>
            <w:tcW w:w="9720" w:type="dxa"/>
            <w:gridSpan w:val="4"/>
            <w:tcBorders>
              <w:top w:val="nil"/>
              <w:left w:val="nil"/>
              <w:bottom w:val="nil"/>
              <w:right w:val="nil"/>
            </w:tcBorders>
            <w:noWrap/>
            <w:vAlign w:val="center"/>
          </w:tcPr>
          <w:p w14:paraId="3E8D3D7F">
            <w:pPr>
              <w:widowControl/>
              <w:jc w:val="left"/>
              <w:textAlignment w:val="center"/>
              <w:rPr>
                <w:rFonts w:ascii="方正小标宋简体" w:hAnsi="方正小标宋简体" w:eastAsia="方正小标宋简体" w:cs="方正小标宋简体"/>
                <w:color w:val="000000"/>
                <w:sz w:val="28"/>
                <w:szCs w:val="28"/>
              </w:rPr>
            </w:pPr>
            <w:r>
              <w:rPr>
                <w:rFonts w:hint="eastAsia" w:ascii="方正小标宋简体" w:hAnsi="方正小标宋简体" w:eastAsia="方正小标宋简体" w:cs="方正小标宋简体"/>
                <w:color w:val="000000"/>
                <w:kern w:val="0"/>
                <w:sz w:val="28"/>
                <w:szCs w:val="28"/>
                <w:lang w:bidi="ar"/>
              </w:rPr>
              <w:t xml:space="preserve">备案□  审批□                                时间：     </w:t>
            </w:r>
          </w:p>
        </w:tc>
      </w:tr>
      <w:tr w14:paraId="5CDF1EA6">
        <w:tblPrEx>
          <w:tblCellMar>
            <w:top w:w="0" w:type="dxa"/>
            <w:left w:w="108" w:type="dxa"/>
            <w:bottom w:w="0" w:type="dxa"/>
            <w:right w:w="108" w:type="dxa"/>
          </w:tblCellMar>
        </w:tblPrEx>
        <w:trPr>
          <w:trHeight w:val="656" w:hRule="atLeast"/>
          <w:jc w:val="center"/>
        </w:trPr>
        <w:tc>
          <w:tcPr>
            <w:tcW w:w="2499" w:type="dxa"/>
            <w:tcBorders>
              <w:top w:val="single" w:color="000000" w:sz="4" w:space="0"/>
              <w:left w:val="single" w:color="000000" w:sz="4" w:space="0"/>
              <w:bottom w:val="single" w:color="000000" w:sz="4" w:space="0"/>
              <w:right w:val="single" w:color="000000" w:sz="4" w:space="0"/>
            </w:tcBorders>
            <w:noWrap/>
            <w:vAlign w:val="center"/>
          </w:tcPr>
          <w:p w14:paraId="18401D4E">
            <w:pPr>
              <w:widowControl/>
              <w:jc w:val="center"/>
              <w:textAlignment w:val="center"/>
              <w:rPr>
                <w:rFonts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单位</w:t>
            </w:r>
          </w:p>
        </w:tc>
        <w:tc>
          <w:tcPr>
            <w:tcW w:w="2862" w:type="dxa"/>
            <w:tcBorders>
              <w:top w:val="single" w:color="000000" w:sz="4" w:space="0"/>
              <w:left w:val="single" w:color="000000" w:sz="4" w:space="0"/>
              <w:bottom w:val="single" w:color="000000" w:sz="4" w:space="0"/>
              <w:right w:val="single" w:color="000000" w:sz="4" w:space="0"/>
            </w:tcBorders>
            <w:noWrap/>
            <w:vAlign w:val="center"/>
          </w:tcPr>
          <w:p w14:paraId="6EB0EE02">
            <w:pPr>
              <w:jc w:val="center"/>
              <w:rPr>
                <w:rFonts w:ascii="仿宋_GB2312" w:hAnsi="宋体" w:eastAsia="仿宋_GB2312" w:cs="仿宋_GB2312"/>
                <w:color w:val="000000"/>
                <w:sz w:val="28"/>
                <w:szCs w:val="28"/>
              </w:rPr>
            </w:pPr>
          </w:p>
        </w:tc>
        <w:tc>
          <w:tcPr>
            <w:tcW w:w="1950" w:type="dxa"/>
            <w:tcBorders>
              <w:top w:val="single" w:color="000000" w:sz="4" w:space="0"/>
              <w:left w:val="single" w:color="000000" w:sz="4" w:space="0"/>
              <w:bottom w:val="single" w:color="000000" w:sz="4" w:space="0"/>
              <w:right w:val="single" w:color="000000" w:sz="4" w:space="0"/>
            </w:tcBorders>
            <w:noWrap/>
            <w:vAlign w:val="center"/>
          </w:tcPr>
          <w:p w14:paraId="14A7B72B">
            <w:pPr>
              <w:widowControl/>
              <w:jc w:val="center"/>
              <w:textAlignment w:val="center"/>
              <w:rPr>
                <w:rFonts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经办人</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012AAA97">
            <w:pPr>
              <w:jc w:val="center"/>
              <w:rPr>
                <w:rFonts w:ascii="仿宋_GB2312" w:hAnsi="宋体" w:eastAsia="仿宋_GB2312" w:cs="仿宋_GB2312"/>
                <w:color w:val="000000"/>
                <w:sz w:val="28"/>
                <w:szCs w:val="28"/>
              </w:rPr>
            </w:pPr>
          </w:p>
        </w:tc>
      </w:tr>
      <w:tr w14:paraId="3A49693A">
        <w:tblPrEx>
          <w:tblCellMar>
            <w:top w:w="0" w:type="dxa"/>
            <w:left w:w="108" w:type="dxa"/>
            <w:bottom w:w="0" w:type="dxa"/>
            <w:right w:w="108" w:type="dxa"/>
          </w:tblCellMar>
        </w:tblPrEx>
        <w:trPr>
          <w:trHeight w:val="815" w:hRule="atLeast"/>
          <w:jc w:val="center"/>
        </w:trPr>
        <w:tc>
          <w:tcPr>
            <w:tcW w:w="2499" w:type="dxa"/>
            <w:tcBorders>
              <w:top w:val="single" w:color="000000" w:sz="4" w:space="0"/>
              <w:left w:val="single" w:color="000000" w:sz="4" w:space="0"/>
              <w:bottom w:val="single" w:color="000000" w:sz="4" w:space="0"/>
              <w:right w:val="single" w:color="000000" w:sz="4" w:space="0"/>
            </w:tcBorders>
            <w:noWrap/>
            <w:vAlign w:val="center"/>
          </w:tcPr>
          <w:p w14:paraId="76A79E32">
            <w:pPr>
              <w:widowControl/>
              <w:jc w:val="center"/>
              <w:textAlignment w:val="center"/>
              <w:rPr>
                <w:rFonts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调整日期</w:t>
            </w:r>
          </w:p>
        </w:tc>
        <w:tc>
          <w:tcPr>
            <w:tcW w:w="2862" w:type="dxa"/>
            <w:tcBorders>
              <w:top w:val="single" w:color="000000" w:sz="4" w:space="0"/>
              <w:left w:val="single" w:color="000000" w:sz="4" w:space="0"/>
              <w:bottom w:val="single" w:color="000000" w:sz="4" w:space="0"/>
              <w:right w:val="single" w:color="000000" w:sz="4" w:space="0"/>
            </w:tcBorders>
            <w:noWrap/>
            <w:vAlign w:val="center"/>
          </w:tcPr>
          <w:p w14:paraId="176CCBF1">
            <w:pPr>
              <w:widowControl/>
              <w:jc w:val="center"/>
              <w:textAlignment w:val="center"/>
              <w:rPr>
                <w:rFonts w:ascii="仿宋_GB2312" w:hAnsi="宋体" w:eastAsia="仿宋_GB2312" w:cs="仿宋_GB2312"/>
                <w:color w:val="000000"/>
                <w:sz w:val="28"/>
                <w:szCs w:val="28"/>
                <w:u w:val="single"/>
              </w:rPr>
            </w:pPr>
            <w:r>
              <w:rPr>
                <w:rFonts w:hint="eastAsia" w:ascii="仿宋_GB2312" w:hAnsi="宋体" w:eastAsia="仿宋_GB2312" w:cs="仿宋_GB2312"/>
                <w:color w:val="000000"/>
                <w:kern w:val="0"/>
                <w:sz w:val="28"/>
                <w:szCs w:val="28"/>
                <w:lang w:bidi="ar"/>
              </w:rPr>
              <w:t xml:space="preserve">     年   月   日</w:t>
            </w:r>
          </w:p>
        </w:tc>
        <w:tc>
          <w:tcPr>
            <w:tcW w:w="1950" w:type="dxa"/>
            <w:tcBorders>
              <w:top w:val="single" w:color="000000" w:sz="4" w:space="0"/>
              <w:left w:val="single" w:color="000000" w:sz="4" w:space="0"/>
              <w:bottom w:val="single" w:color="000000" w:sz="4" w:space="0"/>
              <w:right w:val="single" w:color="000000" w:sz="4" w:space="0"/>
            </w:tcBorders>
            <w:noWrap/>
            <w:vAlign w:val="center"/>
          </w:tcPr>
          <w:p w14:paraId="43D8A60E">
            <w:pPr>
              <w:widowControl/>
              <w:jc w:val="center"/>
              <w:textAlignment w:val="center"/>
              <w:rPr>
                <w:rFonts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联系电话</w:t>
            </w:r>
          </w:p>
        </w:tc>
        <w:tc>
          <w:tcPr>
            <w:tcW w:w="2409" w:type="dxa"/>
            <w:tcBorders>
              <w:top w:val="single" w:color="000000" w:sz="4" w:space="0"/>
              <w:left w:val="single" w:color="000000" w:sz="4" w:space="0"/>
              <w:bottom w:val="single" w:color="000000" w:sz="4" w:space="0"/>
              <w:right w:val="single" w:color="000000" w:sz="4" w:space="0"/>
            </w:tcBorders>
            <w:noWrap/>
            <w:vAlign w:val="center"/>
          </w:tcPr>
          <w:p w14:paraId="69674831">
            <w:pPr>
              <w:rPr>
                <w:rFonts w:ascii="宋体" w:hAnsi="宋体" w:cs="宋体"/>
                <w:color w:val="000000"/>
                <w:sz w:val="28"/>
                <w:szCs w:val="28"/>
              </w:rPr>
            </w:pPr>
          </w:p>
        </w:tc>
      </w:tr>
      <w:tr w14:paraId="07D145FC">
        <w:tblPrEx>
          <w:tblCellMar>
            <w:top w:w="0" w:type="dxa"/>
            <w:left w:w="108" w:type="dxa"/>
            <w:bottom w:w="0" w:type="dxa"/>
            <w:right w:w="108" w:type="dxa"/>
          </w:tblCellMar>
        </w:tblPrEx>
        <w:trPr>
          <w:trHeight w:val="1456" w:hRule="atLeast"/>
          <w:jc w:val="center"/>
        </w:trPr>
        <w:tc>
          <w:tcPr>
            <w:tcW w:w="2499" w:type="dxa"/>
            <w:tcBorders>
              <w:top w:val="single" w:color="000000" w:sz="4" w:space="0"/>
              <w:left w:val="single" w:color="000000" w:sz="4" w:space="0"/>
              <w:bottom w:val="single" w:color="000000" w:sz="4" w:space="0"/>
              <w:right w:val="single" w:color="000000" w:sz="4" w:space="0"/>
            </w:tcBorders>
            <w:noWrap/>
            <w:vAlign w:val="center"/>
          </w:tcPr>
          <w:p w14:paraId="2D569F5A">
            <w:pPr>
              <w:widowControl/>
              <w:jc w:val="center"/>
              <w:textAlignment w:val="center"/>
              <w:rPr>
                <w:rFonts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用电位置</w:t>
            </w:r>
          </w:p>
        </w:tc>
        <w:tc>
          <w:tcPr>
            <w:tcW w:w="7221" w:type="dxa"/>
            <w:gridSpan w:val="3"/>
            <w:tcBorders>
              <w:top w:val="single" w:color="000000" w:sz="4" w:space="0"/>
              <w:left w:val="single" w:color="000000" w:sz="4" w:space="0"/>
              <w:bottom w:val="single" w:color="000000" w:sz="4" w:space="0"/>
              <w:right w:val="single" w:color="000000" w:sz="4" w:space="0"/>
            </w:tcBorders>
            <w:noWrap/>
            <w:vAlign w:val="center"/>
          </w:tcPr>
          <w:p w14:paraId="6F2C0BE5">
            <w:pPr>
              <w:jc w:val="center"/>
              <w:rPr>
                <w:rFonts w:ascii="仿宋_GB2312" w:hAnsi="宋体" w:eastAsia="仿宋_GB2312" w:cs="仿宋_GB2312"/>
                <w:color w:val="000000"/>
                <w:sz w:val="28"/>
                <w:szCs w:val="28"/>
              </w:rPr>
            </w:pPr>
          </w:p>
        </w:tc>
      </w:tr>
      <w:tr w14:paraId="38E22964">
        <w:tblPrEx>
          <w:tblCellMar>
            <w:top w:w="0" w:type="dxa"/>
            <w:left w:w="108" w:type="dxa"/>
            <w:bottom w:w="0" w:type="dxa"/>
            <w:right w:w="108" w:type="dxa"/>
          </w:tblCellMar>
        </w:tblPrEx>
        <w:trPr>
          <w:trHeight w:val="1584" w:hRule="atLeast"/>
          <w:jc w:val="center"/>
        </w:trPr>
        <w:tc>
          <w:tcPr>
            <w:tcW w:w="2499" w:type="dxa"/>
            <w:tcBorders>
              <w:top w:val="single" w:color="000000" w:sz="4" w:space="0"/>
              <w:left w:val="single" w:color="000000" w:sz="4" w:space="0"/>
              <w:bottom w:val="single" w:color="000000" w:sz="4" w:space="0"/>
              <w:right w:val="single" w:color="000000" w:sz="4" w:space="0"/>
            </w:tcBorders>
            <w:vAlign w:val="center"/>
          </w:tcPr>
          <w:p w14:paraId="02767658">
            <w:pPr>
              <w:widowControl/>
              <w:jc w:val="center"/>
              <w:textAlignment w:val="center"/>
              <w:rPr>
                <w:rFonts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 xml:space="preserve">拟增/减负荷情况   </w:t>
            </w:r>
          </w:p>
        </w:tc>
        <w:tc>
          <w:tcPr>
            <w:tcW w:w="7221" w:type="dxa"/>
            <w:gridSpan w:val="3"/>
            <w:tcBorders>
              <w:top w:val="single" w:color="000000" w:sz="4" w:space="0"/>
              <w:left w:val="single" w:color="000000" w:sz="4" w:space="0"/>
              <w:bottom w:val="single" w:color="000000" w:sz="4" w:space="0"/>
              <w:right w:val="single" w:color="000000" w:sz="4" w:space="0"/>
            </w:tcBorders>
            <w:noWrap/>
            <w:vAlign w:val="center"/>
          </w:tcPr>
          <w:p w14:paraId="15A6BE60">
            <w:pPr>
              <w:jc w:val="center"/>
              <w:rPr>
                <w:rFonts w:ascii="仿宋_GB2312" w:hAnsi="宋体" w:eastAsia="仿宋_GB2312" w:cs="仿宋_GB2312"/>
                <w:color w:val="000000"/>
                <w:sz w:val="28"/>
                <w:szCs w:val="28"/>
              </w:rPr>
            </w:pPr>
          </w:p>
        </w:tc>
      </w:tr>
      <w:tr w14:paraId="2B3B9913">
        <w:tblPrEx>
          <w:tblCellMar>
            <w:top w:w="0" w:type="dxa"/>
            <w:left w:w="108" w:type="dxa"/>
            <w:bottom w:w="0" w:type="dxa"/>
            <w:right w:w="108" w:type="dxa"/>
          </w:tblCellMar>
        </w:tblPrEx>
        <w:trPr>
          <w:trHeight w:val="1625" w:hRule="atLeast"/>
          <w:jc w:val="center"/>
        </w:trPr>
        <w:tc>
          <w:tcPr>
            <w:tcW w:w="2499" w:type="dxa"/>
            <w:tcBorders>
              <w:top w:val="single" w:color="000000" w:sz="4" w:space="0"/>
              <w:left w:val="single" w:color="000000" w:sz="4" w:space="0"/>
              <w:bottom w:val="single" w:color="auto" w:sz="4" w:space="0"/>
              <w:right w:val="single" w:color="000000" w:sz="4" w:space="0"/>
            </w:tcBorders>
            <w:noWrap/>
            <w:vAlign w:val="center"/>
          </w:tcPr>
          <w:p w14:paraId="575ABADE">
            <w:pPr>
              <w:widowControl/>
              <w:jc w:val="center"/>
              <w:textAlignment w:val="center"/>
              <w:rPr>
                <w:rFonts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申请单位领导意见</w:t>
            </w:r>
          </w:p>
        </w:tc>
        <w:tc>
          <w:tcPr>
            <w:tcW w:w="7221" w:type="dxa"/>
            <w:gridSpan w:val="3"/>
            <w:tcBorders>
              <w:top w:val="single" w:color="000000" w:sz="4" w:space="0"/>
              <w:left w:val="single" w:color="000000" w:sz="4" w:space="0"/>
              <w:bottom w:val="single" w:color="000000" w:sz="4" w:space="0"/>
              <w:right w:val="single" w:color="000000" w:sz="4" w:space="0"/>
            </w:tcBorders>
            <w:noWrap/>
            <w:vAlign w:val="bottom"/>
          </w:tcPr>
          <w:p w14:paraId="4EBFB2CF">
            <w:pPr>
              <w:widowControl/>
              <w:jc w:val="center"/>
              <w:textAlignment w:val="bottom"/>
              <w:rPr>
                <w:rFonts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 xml:space="preserve">        签字（盖章）：         </w:t>
            </w:r>
          </w:p>
        </w:tc>
      </w:tr>
      <w:tr w14:paraId="00C63ED5">
        <w:tblPrEx>
          <w:tblCellMar>
            <w:top w:w="0" w:type="dxa"/>
            <w:left w:w="108" w:type="dxa"/>
            <w:bottom w:w="0" w:type="dxa"/>
            <w:right w:w="108" w:type="dxa"/>
          </w:tblCellMar>
        </w:tblPrEx>
        <w:trPr>
          <w:trHeight w:val="1690" w:hRule="atLeast"/>
          <w:jc w:val="center"/>
        </w:trPr>
        <w:tc>
          <w:tcPr>
            <w:tcW w:w="2499" w:type="dxa"/>
            <w:tcBorders>
              <w:top w:val="single" w:color="auto" w:sz="4" w:space="0"/>
              <w:left w:val="single" w:color="auto" w:sz="4" w:space="0"/>
              <w:bottom w:val="single" w:color="auto" w:sz="4" w:space="0"/>
              <w:right w:val="single" w:color="auto" w:sz="4" w:space="0"/>
            </w:tcBorders>
            <w:vAlign w:val="center"/>
          </w:tcPr>
          <w:p w14:paraId="286C3AA1">
            <w:pPr>
              <w:widowControl/>
              <w:jc w:val="center"/>
              <w:textAlignment w:val="center"/>
              <w:rPr>
                <w:rFonts w:ascii="仿宋_GB2312" w:hAnsi="宋体" w:eastAsia="仿宋_GB2312" w:cs="仿宋_GB2312"/>
                <w:color w:val="000000"/>
                <w:sz w:val="28"/>
                <w:szCs w:val="28"/>
              </w:rPr>
            </w:pPr>
            <w:r>
              <w:rPr>
                <w:rFonts w:hint="eastAsia" w:ascii="仿宋_GB2312" w:hAnsi="宋体" w:eastAsia="仿宋_GB2312" w:cs="仿宋_GB2312"/>
                <w:color w:val="000000"/>
                <w:sz w:val="28"/>
                <w:szCs w:val="28"/>
              </w:rPr>
              <w:t>归口管理部门技术建议</w:t>
            </w:r>
          </w:p>
          <w:p w14:paraId="5B120C53">
            <w:pPr>
              <w:widowControl/>
              <w:jc w:val="center"/>
              <w:textAlignment w:val="center"/>
              <w:rPr>
                <w:rFonts w:ascii="仿宋_GB2312" w:hAnsi="宋体" w:eastAsia="仿宋_GB2312" w:cs="仿宋_GB2312"/>
                <w:color w:val="000000"/>
                <w:sz w:val="28"/>
                <w:szCs w:val="28"/>
              </w:rPr>
            </w:pPr>
            <w:r>
              <w:rPr>
                <w:rFonts w:hint="eastAsia" w:ascii="仿宋_GB2312" w:hAnsi="宋体" w:eastAsia="仿宋_GB2312" w:cs="仿宋_GB2312"/>
                <w:color w:val="000000"/>
                <w:sz w:val="24"/>
              </w:rPr>
              <w:t>（备案无需填此项）</w:t>
            </w:r>
          </w:p>
        </w:tc>
        <w:tc>
          <w:tcPr>
            <w:tcW w:w="7221" w:type="dxa"/>
            <w:gridSpan w:val="3"/>
            <w:tcBorders>
              <w:top w:val="single" w:color="000000" w:sz="4" w:space="0"/>
              <w:left w:val="single" w:color="auto" w:sz="4" w:space="0"/>
              <w:bottom w:val="single" w:color="000000" w:sz="4" w:space="0"/>
              <w:right w:val="single" w:color="000000" w:sz="4" w:space="0"/>
            </w:tcBorders>
            <w:noWrap/>
            <w:vAlign w:val="bottom"/>
          </w:tcPr>
          <w:p w14:paraId="5E6FC430">
            <w:pPr>
              <w:widowControl/>
              <w:jc w:val="center"/>
              <w:textAlignment w:val="bottom"/>
              <w:rPr>
                <w:rFonts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 xml:space="preserve">                签字：           </w:t>
            </w:r>
          </w:p>
        </w:tc>
      </w:tr>
      <w:tr w14:paraId="23371A3D">
        <w:tblPrEx>
          <w:tblCellMar>
            <w:top w:w="0" w:type="dxa"/>
            <w:left w:w="108" w:type="dxa"/>
            <w:bottom w:w="0" w:type="dxa"/>
            <w:right w:w="108" w:type="dxa"/>
          </w:tblCellMar>
        </w:tblPrEx>
        <w:trPr>
          <w:trHeight w:val="1710" w:hRule="atLeast"/>
          <w:jc w:val="center"/>
        </w:trPr>
        <w:tc>
          <w:tcPr>
            <w:tcW w:w="2499" w:type="dxa"/>
            <w:tcBorders>
              <w:top w:val="single" w:color="auto" w:sz="4" w:space="0"/>
              <w:left w:val="single" w:color="auto" w:sz="4" w:space="0"/>
              <w:bottom w:val="single" w:color="auto" w:sz="4" w:space="0"/>
              <w:right w:val="single" w:color="auto" w:sz="4" w:space="0"/>
            </w:tcBorders>
            <w:vAlign w:val="center"/>
          </w:tcPr>
          <w:p w14:paraId="5065193D">
            <w:pPr>
              <w:widowControl/>
              <w:jc w:val="center"/>
              <w:textAlignment w:val="center"/>
              <w:rPr>
                <w:rFonts w:ascii="仿宋_GB2312" w:hAnsi="宋体" w:eastAsia="仿宋_GB2312" w:cs="仿宋_GB2312"/>
                <w:color w:val="000000"/>
                <w:kern w:val="0"/>
                <w:sz w:val="28"/>
                <w:szCs w:val="28"/>
                <w:lang w:bidi="ar"/>
              </w:rPr>
            </w:pPr>
            <w:r>
              <w:rPr>
                <w:rFonts w:hint="eastAsia" w:ascii="仿宋_GB2312" w:hAnsi="宋体" w:eastAsia="仿宋_GB2312" w:cs="仿宋_GB2312"/>
                <w:color w:val="000000"/>
                <w:kern w:val="0"/>
                <w:sz w:val="28"/>
                <w:szCs w:val="28"/>
                <w:lang w:bidi="ar"/>
              </w:rPr>
              <w:t>归口管理部门领导意见</w:t>
            </w:r>
          </w:p>
        </w:tc>
        <w:tc>
          <w:tcPr>
            <w:tcW w:w="7221" w:type="dxa"/>
            <w:gridSpan w:val="3"/>
            <w:tcBorders>
              <w:top w:val="single" w:color="000000" w:sz="4" w:space="0"/>
              <w:left w:val="single" w:color="auto" w:sz="4" w:space="0"/>
              <w:bottom w:val="single" w:color="000000" w:sz="4" w:space="0"/>
              <w:right w:val="single" w:color="000000" w:sz="4" w:space="0"/>
            </w:tcBorders>
            <w:noWrap/>
            <w:vAlign w:val="bottom"/>
          </w:tcPr>
          <w:p w14:paraId="51862B47">
            <w:pPr>
              <w:widowControl/>
              <w:jc w:val="center"/>
              <w:textAlignment w:val="bottom"/>
              <w:rPr>
                <w:rFonts w:ascii="仿宋_GB2312" w:hAnsi="宋体" w:eastAsia="仿宋_GB2312" w:cs="仿宋_GB2312"/>
                <w:color w:val="000000"/>
                <w:kern w:val="0"/>
                <w:sz w:val="28"/>
                <w:szCs w:val="28"/>
                <w:lang w:bidi="ar"/>
              </w:rPr>
            </w:pPr>
            <w:r>
              <w:rPr>
                <w:rFonts w:hint="eastAsia" w:ascii="仿宋_GB2312" w:hAnsi="宋体" w:eastAsia="仿宋_GB2312" w:cs="仿宋_GB2312"/>
                <w:color w:val="000000"/>
                <w:kern w:val="0"/>
                <w:sz w:val="28"/>
                <w:szCs w:val="28"/>
                <w:lang w:bidi="ar"/>
              </w:rPr>
              <w:t xml:space="preserve">         签字（盖章）：</w:t>
            </w:r>
          </w:p>
        </w:tc>
      </w:tr>
    </w:tbl>
    <w:p w14:paraId="13F648AA">
      <w:pPr>
        <w:numPr>
          <w:ilvl w:val="255"/>
          <w:numId w:val="0"/>
        </w:numPr>
        <w:jc w:val="left"/>
        <w:rPr>
          <w:rFonts w:ascii="仿宋_GB2312" w:hAnsi="仿宋_GB2312" w:eastAsia="仿宋_GB2312" w:cs="仿宋_GB2312"/>
          <w:sz w:val="32"/>
          <w:szCs w:val="40"/>
        </w:rPr>
      </w:pPr>
    </w:p>
    <w:sectPr>
      <w:footerReference r:id="rId8" w:type="first"/>
      <w:footerReference r:id="rId7" w:type="default"/>
      <w:pgSz w:w="11907" w:h="16800"/>
      <w:pgMar w:top="2098" w:right="1418" w:bottom="1984" w:left="1587" w:header="737" w:footer="1134"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7A44309-8F1F-4423-A5F2-922B778A13A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embedRegular r:id="rId2" w:fontKey="{76761D9A-96F0-44D8-86FE-CDEC7AE001D0}"/>
  </w:font>
  <w:font w:name="仿宋">
    <w:panose1 w:val="02010609060101010101"/>
    <w:charset w:val="86"/>
    <w:family w:val="modern"/>
    <w:pitch w:val="default"/>
    <w:sig w:usb0="800002BF" w:usb1="38CF7CFA" w:usb2="00000016" w:usb3="00000000" w:csb0="00040001" w:csb1="00000000"/>
    <w:embedRegular r:id="rId3" w:fontKey="{A3B2EB04-A48C-4E68-AB79-12654F011579}"/>
  </w:font>
  <w:font w:name="方正小标宋简体">
    <w:panose1 w:val="02000000000000000000"/>
    <w:charset w:val="86"/>
    <w:family w:val="auto"/>
    <w:pitch w:val="default"/>
    <w:sig w:usb0="00000001" w:usb1="08000000" w:usb2="00000000" w:usb3="00000000" w:csb0="00040000" w:csb1="00000000"/>
    <w:embedRegular r:id="rId4" w:fontKey="{0D724980-6C11-40FD-B716-4F570F692335}"/>
  </w:font>
  <w:font w:name="楷体">
    <w:panose1 w:val="02010609060101010101"/>
    <w:charset w:val="86"/>
    <w:family w:val="modern"/>
    <w:pitch w:val="default"/>
    <w:sig w:usb0="800002BF" w:usb1="38CF7CFA" w:usb2="00000016" w:usb3="00000000" w:csb0="00040001" w:csb1="00000000"/>
    <w:embedRegular r:id="rId5" w:fontKey="{AA66A577-9565-4F2E-B0E7-D341C2E67254}"/>
  </w:font>
  <w:font w:name="楷体_GB2312">
    <w:altName w:val="楷体"/>
    <w:panose1 w:val="00000000000000000000"/>
    <w:charset w:val="86"/>
    <w:family w:val="auto"/>
    <w:pitch w:val="default"/>
    <w:sig w:usb0="00000000" w:usb1="00000000" w:usb2="00000000" w:usb3="00000000" w:csb0="00040000" w:csb1="00000000"/>
    <w:embedRegular r:id="rId6" w:fontKey="{C260B7CB-B6CD-450C-B453-0120FC91C800}"/>
  </w:font>
  <w:font w:name="方正仿宋_GB2312">
    <w:panose1 w:val="02000000000000000000"/>
    <w:charset w:val="86"/>
    <w:family w:val="auto"/>
    <w:pitch w:val="default"/>
    <w:sig w:usb0="A00002BF" w:usb1="184F6CFA" w:usb2="00000012" w:usb3="00000000" w:csb0="00040001" w:csb1="00000000"/>
    <w:embedRegular r:id="rId7" w:fontKey="{1580C604-2039-4D4A-9F2A-75849AD56729}"/>
  </w:font>
  <w:font w:name="微软雅黑">
    <w:panose1 w:val="020B0503020204020204"/>
    <w:charset w:val="86"/>
    <w:family w:val="swiss"/>
    <w:pitch w:val="default"/>
    <w:sig w:usb0="80000287" w:usb1="2ACF3C50" w:usb2="00000016" w:usb3="00000000" w:csb0="0004001F" w:csb1="00000000"/>
    <w:embedRegular r:id="rId8" w:fontKey="{125A6011-2F79-48FC-8889-23F064582F3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F9A37">
    <w:pPr>
      <w:pStyle w:val="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251D9">
    <w:pPr>
      <w:pStyle w:val="9"/>
      <w:ind w:right="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AA4862">
                          <w:pPr>
                            <w:pStyle w:val="9"/>
                            <w:rPr>
                              <w:sz w:val="22"/>
                              <w:szCs w:val="22"/>
                            </w:rPr>
                          </w:pPr>
                          <w:r>
                            <w:rPr>
                              <w:sz w:val="22"/>
                              <w:szCs w:val="22"/>
                            </w:rPr>
                            <w:t xml:space="preserve">— </w:t>
                          </w:r>
                          <w:r>
                            <w:rPr>
                              <w:sz w:val="22"/>
                              <w:szCs w:val="22"/>
                            </w:rPr>
                            <w:fldChar w:fldCharType="begin"/>
                          </w:r>
                          <w:r>
                            <w:rPr>
                              <w:sz w:val="22"/>
                              <w:szCs w:val="22"/>
                            </w:rPr>
                            <w:instrText xml:space="preserve"> PAGE  \* MERGEFORMAT </w:instrText>
                          </w:r>
                          <w:r>
                            <w:rPr>
                              <w:sz w:val="22"/>
                              <w:szCs w:val="22"/>
                            </w:rPr>
                            <w:fldChar w:fldCharType="separate"/>
                          </w:r>
                          <w:r>
                            <w:rPr>
                              <w:sz w:val="22"/>
                              <w:szCs w:val="22"/>
                            </w:rPr>
                            <w:t>3</w:t>
                          </w:r>
                          <w:r>
                            <w:rPr>
                              <w:sz w:val="22"/>
                              <w:szCs w:val="22"/>
                            </w:rPr>
                            <w:fldChar w:fldCharType="end"/>
                          </w:r>
                          <w:r>
                            <w:rPr>
                              <w:sz w:val="22"/>
                              <w:szCs w:val="22"/>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71AA4862">
                    <w:pPr>
                      <w:pStyle w:val="9"/>
                      <w:rPr>
                        <w:sz w:val="22"/>
                        <w:szCs w:val="22"/>
                      </w:rPr>
                    </w:pPr>
                    <w:r>
                      <w:rPr>
                        <w:sz w:val="22"/>
                        <w:szCs w:val="22"/>
                      </w:rPr>
                      <w:t xml:space="preserve">— </w:t>
                    </w:r>
                    <w:r>
                      <w:rPr>
                        <w:sz w:val="22"/>
                        <w:szCs w:val="22"/>
                      </w:rPr>
                      <w:fldChar w:fldCharType="begin"/>
                    </w:r>
                    <w:r>
                      <w:rPr>
                        <w:sz w:val="22"/>
                        <w:szCs w:val="22"/>
                      </w:rPr>
                      <w:instrText xml:space="preserve"> PAGE  \* MERGEFORMAT </w:instrText>
                    </w:r>
                    <w:r>
                      <w:rPr>
                        <w:sz w:val="22"/>
                        <w:szCs w:val="22"/>
                      </w:rPr>
                      <w:fldChar w:fldCharType="separate"/>
                    </w:r>
                    <w:r>
                      <w:rPr>
                        <w:sz w:val="22"/>
                        <w:szCs w:val="22"/>
                      </w:rPr>
                      <w:t>3</w:t>
                    </w:r>
                    <w:r>
                      <w:rPr>
                        <w:sz w:val="22"/>
                        <w:szCs w:val="22"/>
                      </w:rPr>
                      <w:fldChar w:fldCharType="end"/>
                    </w:r>
                    <w:r>
                      <w:rPr>
                        <w:sz w:val="22"/>
                        <w:szCs w:val="22"/>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CA257">
    <w:pPr>
      <w:pStyle w:val="9"/>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EA75C7">
                          <w:pPr>
                            <w:pStyle w:val="9"/>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72EA75C7">
                    <w:pPr>
                      <w:pStyle w:val="9"/>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8">
    <w:p>
      <w:r>
        <w:separator/>
      </w:r>
    </w:p>
  </w:footnote>
  <w:footnote w:type="continuationSeparator" w:id="19">
    <w:p>
      <w:r>
        <w:continuationSeparator/>
      </w:r>
    </w:p>
  </w:footnote>
  <w:footnote w:id="0">
    <w:p w14:paraId="73A292ED">
      <w:pPr>
        <w:pStyle w:val="12"/>
      </w:pPr>
      <w:r>
        <w:rPr>
          <w:rStyle w:val="18"/>
        </w:rPr>
        <w:footnoteRef/>
      </w:r>
      <w:r>
        <w:t xml:space="preserve"> </w:t>
      </w:r>
      <w:r>
        <w:rPr>
          <w:rFonts w:hint="eastAsia"/>
        </w:rPr>
        <w:t>填写《用电负荷及用电量需求表》，见附件1</w:t>
      </w:r>
    </w:p>
  </w:footnote>
  <w:footnote w:id="1">
    <w:p w14:paraId="3EEB877B">
      <w:pPr>
        <w:pStyle w:val="12"/>
      </w:pPr>
      <w:r>
        <w:rPr>
          <w:rStyle w:val="18"/>
        </w:rPr>
        <w:footnoteRef/>
      </w:r>
      <w:r>
        <w:t xml:space="preserve"> </w:t>
      </w:r>
      <w:r>
        <w:rPr>
          <w:rFonts w:hint="eastAsia"/>
        </w:rPr>
        <w:t>增加厂房变电站内变压器容量，电压等级在10kV及以下。</w:t>
      </w:r>
    </w:p>
  </w:footnote>
  <w:footnote w:id="2">
    <w:p w14:paraId="6CB95D69">
      <w:pPr>
        <w:pStyle w:val="12"/>
      </w:pPr>
      <w:r>
        <w:rPr>
          <w:rStyle w:val="18"/>
        </w:rPr>
        <w:footnoteRef/>
      </w:r>
      <w:r>
        <w:t xml:space="preserve"> </w:t>
      </w:r>
      <w:r>
        <w:rPr>
          <w:rFonts w:hint="eastAsia"/>
        </w:rPr>
        <w:t>增加园区总电力负荷容量，电压等级在10kV以上。</w:t>
      </w:r>
    </w:p>
  </w:footnote>
  <w:footnote w:id="3">
    <w:p w14:paraId="1E417C48">
      <w:pPr>
        <w:pStyle w:val="12"/>
      </w:pPr>
      <w:r>
        <w:rPr>
          <w:rStyle w:val="18"/>
        </w:rPr>
        <w:footnoteRef/>
      </w:r>
      <w:r>
        <w:t xml:space="preserve"> </w:t>
      </w:r>
      <w:r>
        <w:rPr>
          <w:rFonts w:hint="eastAsia"/>
        </w:rPr>
        <w:t>负荷率=低压侧总电流*0.4*1.732/变压器容量</w:t>
      </w:r>
    </w:p>
  </w:footnote>
  <w:footnote w:id="4">
    <w:p w14:paraId="5149A8CD">
      <w:pPr>
        <w:pStyle w:val="12"/>
      </w:pPr>
      <w:r>
        <w:rPr>
          <w:rStyle w:val="18"/>
        </w:rPr>
        <w:footnoteRef/>
      </w:r>
      <w:r>
        <w:t xml:space="preserve"> </w:t>
      </w:r>
      <w:r>
        <w:rPr>
          <w:rFonts w:hint="eastAsia"/>
        </w:rPr>
        <w:t>填写《用电负荷及用量需求表》，见附件1</w:t>
      </w:r>
    </w:p>
  </w:footnote>
  <w:footnote w:id="5">
    <w:p w14:paraId="11DDA7BA">
      <w:pPr>
        <w:pStyle w:val="12"/>
      </w:pPr>
      <w:r>
        <w:rPr>
          <w:rStyle w:val="18"/>
        </w:rPr>
        <w:footnoteRef/>
      </w:r>
      <w:r>
        <w:t xml:space="preserve"> </w:t>
      </w:r>
      <w:r>
        <w:rPr>
          <w:rFonts w:hint="eastAsia"/>
        </w:rPr>
        <w:t>填写《用电负荷调整备案/审批表》，见附件2。</w:t>
      </w:r>
    </w:p>
  </w:footnote>
  <w:footnote w:id="6">
    <w:p w14:paraId="7F784995">
      <w:pPr>
        <w:pStyle w:val="12"/>
      </w:pPr>
      <w:r>
        <w:rPr>
          <w:rStyle w:val="18"/>
        </w:rPr>
        <w:footnoteRef/>
      </w:r>
      <w:r>
        <w:t xml:space="preserve"> </w:t>
      </w:r>
      <w:r>
        <w:rPr>
          <w:rFonts w:hint="eastAsia"/>
        </w:rPr>
        <w:t>根据园区近3年负荷运行、电力消耗总量等情况进行综合测算（考虑早晚负荷差异，每日按12小时计），平均负荷率约50%。</w:t>
      </w:r>
    </w:p>
    <w:p w14:paraId="44ABD01D">
      <w:pPr>
        <w:pStyle w:val="12"/>
      </w:pPr>
    </w:p>
  </w:footnote>
  <w:footnote w:id="7">
    <w:p w14:paraId="0E5BD376">
      <w:pPr>
        <w:pStyle w:val="12"/>
      </w:pPr>
      <w:r>
        <w:rPr>
          <w:rStyle w:val="18"/>
        </w:rPr>
        <w:footnoteRef/>
      </w:r>
      <w:r>
        <w:t xml:space="preserve"> </w:t>
      </w:r>
      <w:r>
        <w:rPr>
          <w:rFonts w:hint="eastAsia"/>
        </w:rPr>
        <w:t>指各单位因工作需要添置的家用电器</w:t>
      </w:r>
    </w:p>
  </w:footnote>
  <w:footnote w:id="8">
    <w:p w14:paraId="73CC110F">
      <w:pPr>
        <w:pStyle w:val="12"/>
      </w:pPr>
      <w:r>
        <w:rPr>
          <w:rStyle w:val="18"/>
        </w:rPr>
        <w:footnoteRef/>
      </w:r>
      <w:r>
        <w:t xml:space="preserve"> </w:t>
      </w:r>
      <w:r>
        <w:rPr>
          <w:rFonts w:hint="eastAsia"/>
        </w:rPr>
        <w:t>因管理或维护原因导致水电气停止供应并对生产、经营造成不利影响，根据年度水电气供应总时长测算。</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3A644">
    <w:pPr>
      <w:pStyle w:val="10"/>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5C2DD">
    <w:pPr>
      <w:pStyle w:val="10"/>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noPunctuationKerning w:val="1"/>
  <w:characterSpacingControl w:val="compressPunctuation"/>
  <w:footnotePr>
    <w:footnote w:id="18"/>
    <w:footnote w:id="19"/>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3NTBlYjIxM2UxZDQwMTY0MWRhY2ZkZTZlMmM4YzcifQ=="/>
  </w:docVars>
  <w:rsids>
    <w:rsidRoot w:val="005F3392"/>
    <w:rsid w:val="00015B11"/>
    <w:rsid w:val="00022F28"/>
    <w:rsid w:val="00027608"/>
    <w:rsid w:val="00034080"/>
    <w:rsid w:val="00050B3D"/>
    <w:rsid w:val="00072F28"/>
    <w:rsid w:val="000763E1"/>
    <w:rsid w:val="000840BE"/>
    <w:rsid w:val="00095B83"/>
    <w:rsid w:val="000A1C78"/>
    <w:rsid w:val="000D5BFB"/>
    <w:rsid w:val="000E3E1B"/>
    <w:rsid w:val="000E6A23"/>
    <w:rsid w:val="000F1177"/>
    <w:rsid w:val="001015A5"/>
    <w:rsid w:val="001100A0"/>
    <w:rsid w:val="00111321"/>
    <w:rsid w:val="00114475"/>
    <w:rsid w:val="00123B87"/>
    <w:rsid w:val="00140677"/>
    <w:rsid w:val="00142E11"/>
    <w:rsid w:val="001552C1"/>
    <w:rsid w:val="0015594C"/>
    <w:rsid w:val="001679A8"/>
    <w:rsid w:val="00191E7D"/>
    <w:rsid w:val="001B1D01"/>
    <w:rsid w:val="002074F7"/>
    <w:rsid w:val="00216E92"/>
    <w:rsid w:val="002254F7"/>
    <w:rsid w:val="00232BE0"/>
    <w:rsid w:val="00233F7F"/>
    <w:rsid w:val="002516B1"/>
    <w:rsid w:val="002C0A27"/>
    <w:rsid w:val="002E45AD"/>
    <w:rsid w:val="002F184A"/>
    <w:rsid w:val="00305370"/>
    <w:rsid w:val="00336A0B"/>
    <w:rsid w:val="003A4190"/>
    <w:rsid w:val="003C52E2"/>
    <w:rsid w:val="00404C7D"/>
    <w:rsid w:val="00412B09"/>
    <w:rsid w:val="004339FD"/>
    <w:rsid w:val="004469B3"/>
    <w:rsid w:val="004817E9"/>
    <w:rsid w:val="00496A2A"/>
    <w:rsid w:val="004A676A"/>
    <w:rsid w:val="004B3EC1"/>
    <w:rsid w:val="004D24F1"/>
    <w:rsid w:val="004E251A"/>
    <w:rsid w:val="004F2ABC"/>
    <w:rsid w:val="004F6F78"/>
    <w:rsid w:val="0050687A"/>
    <w:rsid w:val="0051486F"/>
    <w:rsid w:val="005239FE"/>
    <w:rsid w:val="00544473"/>
    <w:rsid w:val="00545BD7"/>
    <w:rsid w:val="005609EF"/>
    <w:rsid w:val="00562D7D"/>
    <w:rsid w:val="00574030"/>
    <w:rsid w:val="0058066C"/>
    <w:rsid w:val="00581902"/>
    <w:rsid w:val="005D2C6F"/>
    <w:rsid w:val="005F2080"/>
    <w:rsid w:val="005F3392"/>
    <w:rsid w:val="00613570"/>
    <w:rsid w:val="00651E27"/>
    <w:rsid w:val="006A1838"/>
    <w:rsid w:val="006B5C71"/>
    <w:rsid w:val="006C3A72"/>
    <w:rsid w:val="006D0BE1"/>
    <w:rsid w:val="006D729D"/>
    <w:rsid w:val="00701ADF"/>
    <w:rsid w:val="00706B75"/>
    <w:rsid w:val="00797C9E"/>
    <w:rsid w:val="007A37D9"/>
    <w:rsid w:val="0080751E"/>
    <w:rsid w:val="00826AFD"/>
    <w:rsid w:val="00837FD0"/>
    <w:rsid w:val="00844E16"/>
    <w:rsid w:val="00867ACE"/>
    <w:rsid w:val="00877440"/>
    <w:rsid w:val="00896911"/>
    <w:rsid w:val="008974A1"/>
    <w:rsid w:val="008A4805"/>
    <w:rsid w:val="008F5C90"/>
    <w:rsid w:val="00935FDF"/>
    <w:rsid w:val="00962839"/>
    <w:rsid w:val="009B6B40"/>
    <w:rsid w:val="009E6A9D"/>
    <w:rsid w:val="009E6D3A"/>
    <w:rsid w:val="009F66AE"/>
    <w:rsid w:val="00A107F1"/>
    <w:rsid w:val="00A712A8"/>
    <w:rsid w:val="00A74F23"/>
    <w:rsid w:val="00A954E3"/>
    <w:rsid w:val="00AA4E94"/>
    <w:rsid w:val="00AD0E89"/>
    <w:rsid w:val="00AF160C"/>
    <w:rsid w:val="00AF7109"/>
    <w:rsid w:val="00B55DBE"/>
    <w:rsid w:val="00BA2057"/>
    <w:rsid w:val="00BB4E45"/>
    <w:rsid w:val="00BD392D"/>
    <w:rsid w:val="00BD5BCB"/>
    <w:rsid w:val="00C23199"/>
    <w:rsid w:val="00C839A3"/>
    <w:rsid w:val="00C959A8"/>
    <w:rsid w:val="00CA5BDE"/>
    <w:rsid w:val="00CB6D03"/>
    <w:rsid w:val="00CC118C"/>
    <w:rsid w:val="00CC40D3"/>
    <w:rsid w:val="00CD0EE6"/>
    <w:rsid w:val="00D00524"/>
    <w:rsid w:val="00D55018"/>
    <w:rsid w:val="00D569C3"/>
    <w:rsid w:val="00D81E3D"/>
    <w:rsid w:val="00D94C60"/>
    <w:rsid w:val="00DA4CAB"/>
    <w:rsid w:val="00DB26B8"/>
    <w:rsid w:val="00DC720D"/>
    <w:rsid w:val="00E05017"/>
    <w:rsid w:val="00E06E78"/>
    <w:rsid w:val="00E26EDD"/>
    <w:rsid w:val="00E4141D"/>
    <w:rsid w:val="00E43C85"/>
    <w:rsid w:val="00E525AF"/>
    <w:rsid w:val="00E67455"/>
    <w:rsid w:val="00E7158A"/>
    <w:rsid w:val="00EA5ADB"/>
    <w:rsid w:val="00EB1668"/>
    <w:rsid w:val="00EB510F"/>
    <w:rsid w:val="00EB65DD"/>
    <w:rsid w:val="00ED56D2"/>
    <w:rsid w:val="00EE4122"/>
    <w:rsid w:val="00EF22D0"/>
    <w:rsid w:val="00F001B2"/>
    <w:rsid w:val="00F06135"/>
    <w:rsid w:val="00F12C7C"/>
    <w:rsid w:val="00F16E24"/>
    <w:rsid w:val="00F1798D"/>
    <w:rsid w:val="00F20834"/>
    <w:rsid w:val="00F268BB"/>
    <w:rsid w:val="00F50626"/>
    <w:rsid w:val="00F55D82"/>
    <w:rsid w:val="00F627F4"/>
    <w:rsid w:val="00F845D2"/>
    <w:rsid w:val="00F87045"/>
    <w:rsid w:val="00FB5D9D"/>
    <w:rsid w:val="00FC436E"/>
    <w:rsid w:val="00FE0FC4"/>
    <w:rsid w:val="014E5648"/>
    <w:rsid w:val="01DB7D7B"/>
    <w:rsid w:val="021474BD"/>
    <w:rsid w:val="031F3FE6"/>
    <w:rsid w:val="037C62AF"/>
    <w:rsid w:val="037D56E7"/>
    <w:rsid w:val="03AF12B1"/>
    <w:rsid w:val="041D6583"/>
    <w:rsid w:val="04521DC8"/>
    <w:rsid w:val="04F504BE"/>
    <w:rsid w:val="05C0366A"/>
    <w:rsid w:val="064E336B"/>
    <w:rsid w:val="082D65A4"/>
    <w:rsid w:val="08EC29C7"/>
    <w:rsid w:val="090515D1"/>
    <w:rsid w:val="09455F12"/>
    <w:rsid w:val="099C35D3"/>
    <w:rsid w:val="0A4C1FFD"/>
    <w:rsid w:val="0A4E7E48"/>
    <w:rsid w:val="0A767485"/>
    <w:rsid w:val="0B484401"/>
    <w:rsid w:val="0B5C5916"/>
    <w:rsid w:val="0B8F34F7"/>
    <w:rsid w:val="0BBA4FFF"/>
    <w:rsid w:val="0BE43E2A"/>
    <w:rsid w:val="0C0839E2"/>
    <w:rsid w:val="0C357870"/>
    <w:rsid w:val="0CA25F94"/>
    <w:rsid w:val="0D15711D"/>
    <w:rsid w:val="0D447276"/>
    <w:rsid w:val="0D8C392C"/>
    <w:rsid w:val="0DEE0107"/>
    <w:rsid w:val="0DF25FEF"/>
    <w:rsid w:val="0E192E1B"/>
    <w:rsid w:val="0F073790"/>
    <w:rsid w:val="0F2E1A90"/>
    <w:rsid w:val="0F5512C6"/>
    <w:rsid w:val="0F632971"/>
    <w:rsid w:val="0F8C4116"/>
    <w:rsid w:val="0FFA071C"/>
    <w:rsid w:val="10467859"/>
    <w:rsid w:val="118B5BFE"/>
    <w:rsid w:val="12465EAA"/>
    <w:rsid w:val="128A5F59"/>
    <w:rsid w:val="12EE6778"/>
    <w:rsid w:val="143A20CA"/>
    <w:rsid w:val="145F04F1"/>
    <w:rsid w:val="14CE518C"/>
    <w:rsid w:val="14CE6C1F"/>
    <w:rsid w:val="14F72E20"/>
    <w:rsid w:val="153D4CD7"/>
    <w:rsid w:val="154F1589"/>
    <w:rsid w:val="15785F83"/>
    <w:rsid w:val="166D702F"/>
    <w:rsid w:val="17557BE2"/>
    <w:rsid w:val="1777726C"/>
    <w:rsid w:val="177E1CD3"/>
    <w:rsid w:val="1795621E"/>
    <w:rsid w:val="18696008"/>
    <w:rsid w:val="1881238F"/>
    <w:rsid w:val="191477B1"/>
    <w:rsid w:val="194F26C2"/>
    <w:rsid w:val="19F3709F"/>
    <w:rsid w:val="1A0D716D"/>
    <w:rsid w:val="1A8622E4"/>
    <w:rsid w:val="1B186075"/>
    <w:rsid w:val="1CC33687"/>
    <w:rsid w:val="1CE10064"/>
    <w:rsid w:val="1D3C618D"/>
    <w:rsid w:val="1E8D2DE0"/>
    <w:rsid w:val="1F673ACF"/>
    <w:rsid w:val="1FD04999"/>
    <w:rsid w:val="1FD77368"/>
    <w:rsid w:val="1FF82C18"/>
    <w:rsid w:val="20614703"/>
    <w:rsid w:val="21EF7359"/>
    <w:rsid w:val="22503022"/>
    <w:rsid w:val="227F4046"/>
    <w:rsid w:val="22E84EA8"/>
    <w:rsid w:val="23406071"/>
    <w:rsid w:val="23515DF1"/>
    <w:rsid w:val="235C20D3"/>
    <w:rsid w:val="23AB0479"/>
    <w:rsid w:val="23CB3473"/>
    <w:rsid w:val="243B221C"/>
    <w:rsid w:val="246D6C5B"/>
    <w:rsid w:val="249A71D9"/>
    <w:rsid w:val="250046DC"/>
    <w:rsid w:val="253828E0"/>
    <w:rsid w:val="26CB3A24"/>
    <w:rsid w:val="27FD2019"/>
    <w:rsid w:val="28410098"/>
    <w:rsid w:val="292C64FD"/>
    <w:rsid w:val="29411CFF"/>
    <w:rsid w:val="2957138D"/>
    <w:rsid w:val="29986528"/>
    <w:rsid w:val="29D86B48"/>
    <w:rsid w:val="2A1F4553"/>
    <w:rsid w:val="2A2C67C1"/>
    <w:rsid w:val="2A431C09"/>
    <w:rsid w:val="2A77438F"/>
    <w:rsid w:val="2C332538"/>
    <w:rsid w:val="2C9F15B1"/>
    <w:rsid w:val="2CB06198"/>
    <w:rsid w:val="2CFE13E7"/>
    <w:rsid w:val="2D6E3D13"/>
    <w:rsid w:val="2D9C3A79"/>
    <w:rsid w:val="2DEF557B"/>
    <w:rsid w:val="2E3018DE"/>
    <w:rsid w:val="2E3A497C"/>
    <w:rsid w:val="2E4A2FF9"/>
    <w:rsid w:val="2E7C53CE"/>
    <w:rsid w:val="2F422E51"/>
    <w:rsid w:val="2F8736FB"/>
    <w:rsid w:val="2FFB057B"/>
    <w:rsid w:val="307827A9"/>
    <w:rsid w:val="30F73B34"/>
    <w:rsid w:val="31673C8E"/>
    <w:rsid w:val="31E930F2"/>
    <w:rsid w:val="31EF42A5"/>
    <w:rsid w:val="32620700"/>
    <w:rsid w:val="32F6765E"/>
    <w:rsid w:val="33F751F3"/>
    <w:rsid w:val="345013AA"/>
    <w:rsid w:val="34AE5530"/>
    <w:rsid w:val="35036E43"/>
    <w:rsid w:val="35C961D8"/>
    <w:rsid w:val="35CD7559"/>
    <w:rsid w:val="35DE52C2"/>
    <w:rsid w:val="3608233F"/>
    <w:rsid w:val="36113D90"/>
    <w:rsid w:val="361221A9"/>
    <w:rsid w:val="36C721FA"/>
    <w:rsid w:val="36C97E2F"/>
    <w:rsid w:val="37C06B22"/>
    <w:rsid w:val="37FCBF88"/>
    <w:rsid w:val="381227EA"/>
    <w:rsid w:val="383B7831"/>
    <w:rsid w:val="39333ED1"/>
    <w:rsid w:val="39A17917"/>
    <w:rsid w:val="39FFB1CC"/>
    <w:rsid w:val="3AAF1FA4"/>
    <w:rsid w:val="3AD04B09"/>
    <w:rsid w:val="3B85362E"/>
    <w:rsid w:val="3B976D4C"/>
    <w:rsid w:val="3D18555E"/>
    <w:rsid w:val="3DA2475F"/>
    <w:rsid w:val="3DE3AC1C"/>
    <w:rsid w:val="3DF5269B"/>
    <w:rsid w:val="3EC37438"/>
    <w:rsid w:val="3EF5367D"/>
    <w:rsid w:val="3F9D5486"/>
    <w:rsid w:val="3FCC2635"/>
    <w:rsid w:val="3FEF17B1"/>
    <w:rsid w:val="404843AC"/>
    <w:rsid w:val="40A2761B"/>
    <w:rsid w:val="40C46D1F"/>
    <w:rsid w:val="4149781C"/>
    <w:rsid w:val="41D10E19"/>
    <w:rsid w:val="42142854"/>
    <w:rsid w:val="426F7654"/>
    <w:rsid w:val="42D12FFC"/>
    <w:rsid w:val="430F7403"/>
    <w:rsid w:val="438214BE"/>
    <w:rsid w:val="43A60C81"/>
    <w:rsid w:val="43B77F00"/>
    <w:rsid w:val="43DE4BD3"/>
    <w:rsid w:val="44A16EE7"/>
    <w:rsid w:val="45464458"/>
    <w:rsid w:val="454D5FC1"/>
    <w:rsid w:val="4567254C"/>
    <w:rsid w:val="45BC4EF4"/>
    <w:rsid w:val="45BE4AD7"/>
    <w:rsid w:val="46151903"/>
    <w:rsid w:val="46B32A70"/>
    <w:rsid w:val="473D6807"/>
    <w:rsid w:val="48062522"/>
    <w:rsid w:val="48A3538D"/>
    <w:rsid w:val="49153299"/>
    <w:rsid w:val="4A8B73E2"/>
    <w:rsid w:val="4AE554EC"/>
    <w:rsid w:val="4AF82BB2"/>
    <w:rsid w:val="4C363B7A"/>
    <w:rsid w:val="4C5D3277"/>
    <w:rsid w:val="4C83698F"/>
    <w:rsid w:val="4D181DEB"/>
    <w:rsid w:val="4D6E40A1"/>
    <w:rsid w:val="4DDB1009"/>
    <w:rsid w:val="4DF259C2"/>
    <w:rsid w:val="4F437932"/>
    <w:rsid w:val="4F6D3CA3"/>
    <w:rsid w:val="4FD67EC7"/>
    <w:rsid w:val="5032728D"/>
    <w:rsid w:val="507408A5"/>
    <w:rsid w:val="512C7ED2"/>
    <w:rsid w:val="516E2BEE"/>
    <w:rsid w:val="517F3714"/>
    <w:rsid w:val="51C23892"/>
    <w:rsid w:val="51DA1A18"/>
    <w:rsid w:val="52801963"/>
    <w:rsid w:val="528F6BDC"/>
    <w:rsid w:val="52CC3BD0"/>
    <w:rsid w:val="52F70810"/>
    <w:rsid w:val="5361189D"/>
    <w:rsid w:val="53C37735"/>
    <w:rsid w:val="53DB7305"/>
    <w:rsid w:val="540C2D17"/>
    <w:rsid w:val="54EB43A1"/>
    <w:rsid w:val="55F1744D"/>
    <w:rsid w:val="565F5B54"/>
    <w:rsid w:val="571928FF"/>
    <w:rsid w:val="57FA43BF"/>
    <w:rsid w:val="5958335F"/>
    <w:rsid w:val="595F41ED"/>
    <w:rsid w:val="596D2336"/>
    <w:rsid w:val="59BEF18E"/>
    <w:rsid w:val="5ACB492F"/>
    <w:rsid w:val="5AD15510"/>
    <w:rsid w:val="5AFD256C"/>
    <w:rsid w:val="5B07445C"/>
    <w:rsid w:val="5B3A64BA"/>
    <w:rsid w:val="5B7C3BA1"/>
    <w:rsid w:val="5BFC404A"/>
    <w:rsid w:val="5C1F0AF8"/>
    <w:rsid w:val="5C7E485A"/>
    <w:rsid w:val="5C8770A5"/>
    <w:rsid w:val="5D2EEE21"/>
    <w:rsid w:val="5D9D4C3E"/>
    <w:rsid w:val="5DF75966"/>
    <w:rsid w:val="5E8B0432"/>
    <w:rsid w:val="5EAD7A34"/>
    <w:rsid w:val="5EDE2DE4"/>
    <w:rsid w:val="5EE16246"/>
    <w:rsid w:val="5EFD300E"/>
    <w:rsid w:val="5F583096"/>
    <w:rsid w:val="5F6E6E08"/>
    <w:rsid w:val="5F837129"/>
    <w:rsid w:val="601677C9"/>
    <w:rsid w:val="60C04548"/>
    <w:rsid w:val="613E0337"/>
    <w:rsid w:val="61FB7E06"/>
    <w:rsid w:val="628A36B1"/>
    <w:rsid w:val="63472384"/>
    <w:rsid w:val="64695AFD"/>
    <w:rsid w:val="64FFBA7C"/>
    <w:rsid w:val="656F7435"/>
    <w:rsid w:val="65936174"/>
    <w:rsid w:val="66F17C23"/>
    <w:rsid w:val="67253721"/>
    <w:rsid w:val="673F90DC"/>
    <w:rsid w:val="6784366C"/>
    <w:rsid w:val="67DE171F"/>
    <w:rsid w:val="67E4410B"/>
    <w:rsid w:val="68622FF5"/>
    <w:rsid w:val="687528B8"/>
    <w:rsid w:val="68887A69"/>
    <w:rsid w:val="68C00BD5"/>
    <w:rsid w:val="6A294FCE"/>
    <w:rsid w:val="6A502703"/>
    <w:rsid w:val="6AFD31B9"/>
    <w:rsid w:val="6B286E85"/>
    <w:rsid w:val="6B301E01"/>
    <w:rsid w:val="6BD8064A"/>
    <w:rsid w:val="6BED17F6"/>
    <w:rsid w:val="6BFDEBC0"/>
    <w:rsid w:val="6C190095"/>
    <w:rsid w:val="6C983716"/>
    <w:rsid w:val="6D15572B"/>
    <w:rsid w:val="6D667370"/>
    <w:rsid w:val="6D831373"/>
    <w:rsid w:val="6DE7028E"/>
    <w:rsid w:val="6EC41202"/>
    <w:rsid w:val="6F045C56"/>
    <w:rsid w:val="6F35228F"/>
    <w:rsid w:val="6FB77893"/>
    <w:rsid w:val="6FCB3CFA"/>
    <w:rsid w:val="6FCD2A4A"/>
    <w:rsid w:val="6FDB4045"/>
    <w:rsid w:val="6FFFBCCD"/>
    <w:rsid w:val="706C685F"/>
    <w:rsid w:val="70806A99"/>
    <w:rsid w:val="70D71584"/>
    <w:rsid w:val="713E09EE"/>
    <w:rsid w:val="717007BD"/>
    <w:rsid w:val="718D61EB"/>
    <w:rsid w:val="71FFB8E7"/>
    <w:rsid w:val="724424F5"/>
    <w:rsid w:val="7257734C"/>
    <w:rsid w:val="72A411A8"/>
    <w:rsid w:val="72B8066E"/>
    <w:rsid w:val="72BF88FD"/>
    <w:rsid w:val="73165D4F"/>
    <w:rsid w:val="73B9469D"/>
    <w:rsid w:val="73CA2D31"/>
    <w:rsid w:val="74611854"/>
    <w:rsid w:val="74B68F8F"/>
    <w:rsid w:val="750B34A6"/>
    <w:rsid w:val="75F623FF"/>
    <w:rsid w:val="76736654"/>
    <w:rsid w:val="769A7EF3"/>
    <w:rsid w:val="76F7523E"/>
    <w:rsid w:val="770B66E2"/>
    <w:rsid w:val="7776323C"/>
    <w:rsid w:val="77CB3EB6"/>
    <w:rsid w:val="77DFCCAF"/>
    <w:rsid w:val="79550054"/>
    <w:rsid w:val="79555902"/>
    <w:rsid w:val="799663BD"/>
    <w:rsid w:val="7A400C91"/>
    <w:rsid w:val="7B294D4B"/>
    <w:rsid w:val="7CCA2238"/>
    <w:rsid w:val="7D8D2C78"/>
    <w:rsid w:val="7D935774"/>
    <w:rsid w:val="7DAD0547"/>
    <w:rsid w:val="7DCD54E0"/>
    <w:rsid w:val="7DFC630F"/>
    <w:rsid w:val="7DFD9291"/>
    <w:rsid w:val="7E130E4E"/>
    <w:rsid w:val="7E3E3DE2"/>
    <w:rsid w:val="7EDE9FF9"/>
    <w:rsid w:val="7F4B2209"/>
    <w:rsid w:val="7F4F06A8"/>
    <w:rsid w:val="7F72B513"/>
    <w:rsid w:val="7F89406B"/>
    <w:rsid w:val="7F9411F0"/>
    <w:rsid w:val="7F9C13FD"/>
    <w:rsid w:val="7FA93EA6"/>
    <w:rsid w:val="7FE9455C"/>
    <w:rsid w:val="96FE6A52"/>
    <w:rsid w:val="ABFFBA5F"/>
    <w:rsid w:val="B77FDEE8"/>
    <w:rsid w:val="B9DFA5E2"/>
    <w:rsid w:val="BF3FF585"/>
    <w:rsid w:val="BFBF2C49"/>
    <w:rsid w:val="C47E7A36"/>
    <w:rsid w:val="CFE5F07B"/>
    <w:rsid w:val="D35E971D"/>
    <w:rsid w:val="D71FC2F7"/>
    <w:rsid w:val="D777FEBE"/>
    <w:rsid w:val="D87B9D03"/>
    <w:rsid w:val="DDFD49BF"/>
    <w:rsid w:val="DF6F9522"/>
    <w:rsid w:val="DFFDDBE1"/>
    <w:rsid w:val="E347E737"/>
    <w:rsid w:val="EFDC9F1A"/>
    <w:rsid w:val="F0FF3D36"/>
    <w:rsid w:val="F1F81812"/>
    <w:rsid w:val="F73E8C8C"/>
    <w:rsid w:val="FE66D65B"/>
    <w:rsid w:val="FFC135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jc w:val="center"/>
      <w:outlineLvl w:val="0"/>
    </w:pPr>
    <w:rPr>
      <w:b/>
      <w:bCs/>
      <w:color w:val="3366FF"/>
      <w:sz w:val="28"/>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7"/>
    <w:qFormat/>
    <w:uiPriority w:val="0"/>
    <w:pPr>
      <w:jc w:val="left"/>
    </w:pPr>
  </w:style>
  <w:style w:type="paragraph" w:styleId="4">
    <w:name w:val="Body Text Indent"/>
    <w:basedOn w:val="1"/>
    <w:qFormat/>
    <w:uiPriority w:val="0"/>
    <w:pPr>
      <w:adjustRightInd w:val="0"/>
      <w:spacing w:line="400" w:lineRule="exact"/>
      <w:ind w:firstLine="400"/>
    </w:pPr>
    <w:rPr>
      <w:rFonts w:ascii="宋体" w:hAnsi="宋体"/>
      <w:sz w:val="24"/>
    </w:rPr>
  </w:style>
  <w:style w:type="paragraph" w:styleId="5">
    <w:name w:val="Plain Text"/>
    <w:basedOn w:val="1"/>
    <w:link w:val="19"/>
    <w:qFormat/>
    <w:uiPriority w:val="0"/>
    <w:rPr>
      <w:rFonts w:ascii="宋体" w:hAnsi="Courier New" w:cs="Courier New"/>
      <w:szCs w:val="21"/>
    </w:rPr>
  </w:style>
  <w:style w:type="paragraph" w:styleId="6">
    <w:name w:val="Date"/>
    <w:basedOn w:val="1"/>
    <w:next w:val="1"/>
    <w:qFormat/>
    <w:uiPriority w:val="0"/>
    <w:pPr>
      <w:ind w:left="100" w:leftChars="2500"/>
    </w:pPr>
    <w:rPr>
      <w:rFonts w:ascii="宋体" w:hAnsi="宋体"/>
      <w:i/>
      <w:iCs/>
      <w:color w:val="FF0000"/>
      <w:sz w:val="24"/>
    </w:rPr>
  </w:style>
  <w:style w:type="paragraph" w:styleId="7">
    <w:name w:val="Body Text Indent 2"/>
    <w:basedOn w:val="1"/>
    <w:qFormat/>
    <w:uiPriority w:val="0"/>
    <w:pPr>
      <w:adjustRightInd w:val="0"/>
      <w:spacing w:line="360" w:lineRule="exact"/>
      <w:ind w:left="105" w:leftChars="50" w:firstLine="420" w:firstLineChars="200"/>
    </w:pPr>
    <w:rPr>
      <w:rFonts w:ascii="宋体" w:hAnsi="宋体"/>
    </w:rPr>
  </w:style>
  <w:style w:type="paragraph" w:styleId="8">
    <w:name w:val="Balloon Text"/>
    <w:basedOn w:val="1"/>
    <w:semiHidden/>
    <w:qFormat/>
    <w:uiPriority w:val="0"/>
    <w:rPr>
      <w:sz w:val="18"/>
      <w:szCs w:val="18"/>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0"/>
  </w:style>
  <w:style w:type="paragraph" w:styleId="12">
    <w:name w:val="footnote text"/>
    <w:basedOn w:val="1"/>
    <w:semiHidden/>
    <w:qFormat/>
    <w:uiPriority w:val="0"/>
    <w:pPr>
      <w:snapToGrid w:val="0"/>
      <w:jc w:val="left"/>
    </w:pPr>
    <w:rPr>
      <w:sz w:val="18"/>
      <w:szCs w:val="18"/>
    </w:rPr>
  </w:style>
  <w:style w:type="paragraph" w:styleId="13">
    <w:name w:val="annotation subject"/>
    <w:basedOn w:val="3"/>
    <w:next w:val="3"/>
    <w:link w:val="28"/>
    <w:qFormat/>
    <w:uiPriority w:val="0"/>
    <w:rPr>
      <w:b/>
      <w:bCs/>
    </w:rPr>
  </w:style>
  <w:style w:type="character" w:styleId="16">
    <w:name w:val="page number"/>
    <w:basedOn w:val="15"/>
    <w:qFormat/>
    <w:uiPriority w:val="0"/>
  </w:style>
  <w:style w:type="character" w:styleId="17">
    <w:name w:val="annotation reference"/>
    <w:basedOn w:val="15"/>
    <w:qFormat/>
    <w:uiPriority w:val="0"/>
    <w:rPr>
      <w:sz w:val="21"/>
      <w:szCs w:val="21"/>
    </w:rPr>
  </w:style>
  <w:style w:type="character" w:styleId="18">
    <w:name w:val="footnote reference"/>
    <w:semiHidden/>
    <w:qFormat/>
    <w:uiPriority w:val="0"/>
    <w:rPr>
      <w:vertAlign w:val="superscript"/>
    </w:rPr>
  </w:style>
  <w:style w:type="character" w:customStyle="1" w:styleId="19">
    <w:name w:val="纯文本 字符"/>
    <w:link w:val="5"/>
    <w:qFormat/>
    <w:uiPriority w:val="0"/>
    <w:rPr>
      <w:rFonts w:ascii="宋体" w:hAnsi="Courier New" w:cs="Courier New"/>
      <w:kern w:val="2"/>
      <w:sz w:val="21"/>
      <w:szCs w:val="21"/>
    </w:rPr>
  </w:style>
  <w:style w:type="paragraph" w:styleId="20">
    <w:name w:val="List Paragraph"/>
    <w:basedOn w:val="1"/>
    <w:qFormat/>
    <w:uiPriority w:val="34"/>
    <w:pPr>
      <w:ind w:firstLine="420" w:firstLineChars="200"/>
    </w:pPr>
  </w:style>
  <w:style w:type="character" w:customStyle="1" w:styleId="21">
    <w:name w:val="font51"/>
    <w:basedOn w:val="15"/>
    <w:qFormat/>
    <w:uiPriority w:val="0"/>
    <w:rPr>
      <w:rFonts w:hint="default" w:ascii="仿宋_GB2312" w:eastAsia="仿宋_GB2312" w:cs="仿宋_GB2312"/>
      <w:color w:val="000000"/>
      <w:sz w:val="28"/>
      <w:szCs w:val="28"/>
      <w:u w:val="single"/>
    </w:rPr>
  </w:style>
  <w:style w:type="character" w:customStyle="1" w:styleId="22">
    <w:name w:val="font41"/>
    <w:basedOn w:val="15"/>
    <w:qFormat/>
    <w:uiPriority w:val="0"/>
    <w:rPr>
      <w:rFonts w:hint="default" w:ascii="仿宋_GB2312" w:eastAsia="仿宋_GB2312" w:cs="仿宋_GB2312"/>
      <w:color w:val="000000"/>
      <w:sz w:val="28"/>
      <w:szCs w:val="28"/>
      <w:u w:val="none"/>
    </w:rPr>
  </w:style>
  <w:style w:type="character" w:customStyle="1" w:styleId="23">
    <w:name w:val="font31"/>
    <w:basedOn w:val="15"/>
    <w:qFormat/>
    <w:uiPriority w:val="0"/>
    <w:rPr>
      <w:rFonts w:hint="default" w:ascii="仿宋_GB2312" w:eastAsia="仿宋_GB2312" w:cs="仿宋_GB2312"/>
      <w:color w:val="000000"/>
      <w:sz w:val="24"/>
      <w:szCs w:val="24"/>
      <w:u w:val="none"/>
    </w:rPr>
  </w:style>
  <w:style w:type="paragraph" w:customStyle="1" w:styleId="24">
    <w:name w:val="Table Text"/>
    <w:basedOn w:val="1"/>
    <w:semiHidden/>
    <w:qFormat/>
    <w:uiPriority w:val="0"/>
    <w:rPr>
      <w:rFonts w:ascii="Arial" w:hAnsi="Arial" w:eastAsia="Arial" w:cs="Arial"/>
      <w:szCs w:val="21"/>
      <w:lang w:eastAsia="en-US"/>
    </w:rPr>
  </w:style>
  <w:style w:type="table" w:customStyle="1" w:styleId="25">
    <w:name w:val="Table Normal"/>
    <w:semiHidden/>
    <w:unhideWhenUsed/>
    <w:qFormat/>
    <w:uiPriority w:val="0"/>
    <w:tblPr>
      <w:tblCellMar>
        <w:top w:w="0" w:type="dxa"/>
        <w:left w:w="0" w:type="dxa"/>
        <w:bottom w:w="0" w:type="dxa"/>
        <w:right w:w="0" w:type="dxa"/>
      </w:tblCellMar>
    </w:tblPr>
  </w:style>
  <w:style w:type="paragraph" w:customStyle="1" w:styleId="26">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27">
    <w:name w:val="批注文字 字符"/>
    <w:basedOn w:val="15"/>
    <w:link w:val="3"/>
    <w:qFormat/>
    <w:uiPriority w:val="0"/>
    <w:rPr>
      <w:kern w:val="2"/>
      <w:sz w:val="21"/>
      <w:szCs w:val="24"/>
    </w:rPr>
  </w:style>
  <w:style w:type="character" w:customStyle="1" w:styleId="28">
    <w:name w:val="批注主题 字符"/>
    <w:basedOn w:val="27"/>
    <w:link w:val="13"/>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机动能源部能源室</Company>
  <Pages>16</Pages>
  <Words>6123</Words>
  <Characters>6319</Characters>
  <Lines>47</Lines>
  <Paragraphs>13</Paragraphs>
  <TotalTime>9</TotalTime>
  <ScaleCrop>false</ScaleCrop>
  <LinksUpToDate>false</LinksUpToDate>
  <CharactersWithSpaces>6499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2017-05-24T19:41:00Z</dcterms:created>
  <dc:creator>王锌</dc:creator>
  <cp:lastModifiedBy>阿妍</cp:lastModifiedBy>
  <cp:lastPrinted>2018-03-15T17:39:00Z</cp:lastPrinted>
  <dcterms:modified xsi:type="dcterms:W3CDTF">2024-06-26T02:36:25Z</dcterms:modified>
  <dc:title>四川九洲电器集团有限责任公司</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F6523C955E374B0BB70624E857E54761_13</vt:lpwstr>
  </property>
</Properties>
</file>