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</w:rPr>
        <w:t>维信诺经营状况分析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  <w:t>的报告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8" w:leftChars="475" w:firstLine="4800" w:firstLineChars="2000"/>
        <w:textAlignment w:val="auto"/>
        <w:rPr>
          <w:rFonts w:hint="default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lang w:val="en-US" w:eastAsia="zh-CN" w:bidi="ar-SA"/>
        </w:rPr>
        <w:t>JZZFB-报告-2024-0</w:t>
      </w:r>
      <w:r>
        <w:rPr>
          <w:rFonts w:hint="default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lang w:eastAsia="zh-CN" w:bidi="ar-SA"/>
        </w:rPr>
        <w:t>7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pStyle w:val="19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6月14日，战略发展部提交了《关于久和新科技开展京东方手机盖板代理业务的分析报告》。基于久和新科技与维信诺合作基础为维信诺的资金支付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能力，本次战略发展部对维信诺近5年经营情况以及与行业企业进行了对比分析，现将有关情况报告如下：</w:t>
      </w:r>
    </w:p>
    <w:p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720" w:right="-1260" w:rightChars="-600" w:firstLine="0" w:firstLineChars="0"/>
        <w:textAlignment w:val="auto"/>
        <w:outlineLvl w:val="0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一、企业基本情况</w:t>
      </w:r>
    </w:p>
    <w:p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维信诺成立于2001年，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注册资本13.7亿，位于江苏省苏州市，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公司2010年上市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，股票代码002387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公司业务聚焦于新型显示业务，研发、生产和销售 OLED 小尺寸、中尺寸显示器件，应用领域涵盖智能手机、智能穿戴、平板、笔记本电脑、车载显示、超大尺寸等方面。公司与荣耀、小米、OPPO、vivo、华米、中兴、努比亚、摩托罗拉、谷歌等全球领先的智能手机、智能穿戴的头部品牌终端厂商始终保持良好密切的合作关系。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</w:rPr>
        <w:t>2018年，维信诺通过竞买江苏维信诺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eastAsia="zh-CN" w:bidi="ar"/>
        </w:rPr>
        <w:t>以及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</w:rPr>
        <w:t>置出市场规模及成长性较小的PMOLED业务，集中精力发展AMOLED业务。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eastAsia="zh-CN" w:bidi="ar"/>
        </w:rPr>
        <w:t>据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CINNO Research 数据显示，2023年维信诺AMOLED智能手机面板出货量位居全球前三，市场份额9.9%。 </w:t>
      </w:r>
    </w:p>
    <w:p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OLED分为有源驱动（AMOLED）和无源驱动（PMOLED）两种。其中，AMOLED具有更高分辨率、更高刷新率和更薄尺寸特性，被广泛应用领域在智能手机、笔记本电脑、智能穿戴等中小尺寸显示设备（下文提到的OLED均指AMOLED产品）。</w:t>
      </w:r>
    </w:p>
    <w:p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720" w:firstLine="0" w:firstLineChars="0"/>
        <w:textAlignment w:val="auto"/>
        <w:outlineLvl w:val="0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二、维信诺</w:t>
      </w:r>
      <w:r>
        <w:rPr>
          <w:rFonts w:hint="default" w:ascii="黑体" w:hAnsi="黑体" w:eastAsia="黑体" w:cs="黑体"/>
          <w:b w:val="0"/>
          <w:bCs w:val="0"/>
          <w:kern w:val="0"/>
          <w:sz w:val="32"/>
          <w:szCs w:val="32"/>
          <w:lang w:eastAsia="zh-CN" w:bidi="ar-SA"/>
        </w:rPr>
        <w:t>经营情况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分析</w:t>
      </w:r>
    </w:p>
    <w:p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eastAsia="zh-CN" w:bidi="ar"/>
        </w:rPr>
        <w:t>近5年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</w:rPr>
        <w:t>维信诺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eastAsia="zh-CN" w:bidi="ar"/>
        </w:rPr>
        <w:t>经营状况不佳，长、短期偿债能力下降。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</w:rPr>
        <w:t>具体情况如下：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 xml:space="preserve">   （一）近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5年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公司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核心利润均亏损，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2019、2020年依靠政府补贴实现盈利。</w:t>
      </w:r>
    </w:p>
    <w:p>
      <w:pPr>
        <w:pStyle w:val="2"/>
        <w:spacing w:before="0" w:beforeAutospacing="0" w:after="0" w:afterAutospacing="0" w:line="400" w:lineRule="exact"/>
        <w:jc w:val="center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eastAsia="zh-CN"/>
        </w:rPr>
        <w:t>表1 维信诺近5年经营指标（单位：亿元）</w:t>
      </w:r>
    </w:p>
    <w:tbl>
      <w:tblPr>
        <w:tblStyle w:val="22"/>
        <w:tblW w:w="90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1"/>
        <w:gridCol w:w="1341"/>
        <w:gridCol w:w="1493"/>
        <w:gridCol w:w="1320"/>
        <w:gridCol w:w="1"/>
        <w:gridCol w:w="1124"/>
        <w:gridCol w:w="12"/>
        <w:gridCol w:w="11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  <w:tblHeader/>
        </w:trPr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>指标名称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</w:t>
            </w:r>
          </w:p>
        </w:tc>
        <w:tc>
          <w:tcPr>
            <w:tcW w:w="11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营业收入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 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</w:trPr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毛利率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-35%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-5%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27%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核心利润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-47 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-29 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-25 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-9 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政府补贴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利润总额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-50 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-32 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-25 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4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60" w:firstLineChars="200"/>
        <w:jc w:val="both"/>
        <w:textAlignment w:val="auto"/>
        <w:rPr>
          <w:rFonts w:hint="eastAsia" w:ascii="仿宋_GB2312" w:hAnsi="仿宋_GB2312" w:eastAsia="仿宋_GB2312" w:cs="仿宋_GB2312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注：数据来源于公司年报；核心利润=营业收入-营业成本-税金及附加-期间费用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根据WitsView Irving数据分析，面板行业发展有明显的周期性，周期通常为2年，2021年面板价格达到峰值，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</w:rPr>
        <w:t>2022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年、2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</w:rPr>
        <w:t>023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年价格下行，预计2024年迎来上涨周期（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2023年四季度开始，京东方明确现金成本是底线，同时华为回归，带来新需求增量，OLED开始恢复性涨价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）。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2023年消费电子复苏缓慢，叠加 OLED 产能加速释放等因素，行业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内出现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价格战，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维信诺以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降价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手段抢夺市场，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维信诺OLED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销售平均单价13美元/片（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营收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53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亿，销售5608万片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），远低于行业6.5寸OLED 销售单价（约17美元/片）及BOM成本（约22美元/片）</w:t>
      </w:r>
      <w:r>
        <w:rPr>
          <w:rStyle w:val="25"/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footnoteReference w:id="0"/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（二）2023年应收、应付账款周转显著变慢，资产负债率显著增加超70%。</w:t>
      </w:r>
    </w:p>
    <w:p>
      <w:pPr>
        <w:pStyle w:val="2"/>
        <w:spacing w:before="0" w:beforeAutospacing="0" w:after="0" w:afterAutospacing="0" w:line="400" w:lineRule="exact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eastAsia="zh-CN"/>
        </w:rPr>
        <w:t>表2 维信诺近5年资产周转情况</w:t>
      </w:r>
    </w:p>
    <w:tbl>
      <w:tblPr>
        <w:tblStyle w:val="22"/>
        <w:tblW w:w="90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1299"/>
        <w:gridCol w:w="1429"/>
        <w:gridCol w:w="5"/>
        <w:gridCol w:w="14"/>
        <w:gridCol w:w="1096"/>
        <w:gridCol w:w="5"/>
        <w:gridCol w:w="15"/>
        <w:gridCol w:w="1094"/>
        <w:gridCol w:w="5"/>
        <w:gridCol w:w="17"/>
        <w:gridCol w:w="11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0" w:hRule="atLeast"/>
          <w:tblHeader/>
        </w:trPr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>指标名称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</w:t>
            </w:r>
          </w:p>
        </w:tc>
        <w:tc>
          <w:tcPr>
            <w:tcW w:w="14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</w:t>
            </w:r>
          </w:p>
        </w:tc>
        <w:tc>
          <w:tcPr>
            <w:tcW w:w="1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</w:t>
            </w:r>
          </w:p>
        </w:tc>
        <w:tc>
          <w:tcPr>
            <w:tcW w:w="1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应收账款周转天数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20" w:hRule="atLeast"/>
        </w:trPr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存货周转天数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应付账款周转天数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277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</w:t>
            </w:r>
          </w:p>
        </w:tc>
        <w:tc>
          <w:tcPr>
            <w:tcW w:w="1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1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582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应付与应收账款差额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（亿）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1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1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资产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率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72%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62%</w:t>
            </w:r>
          </w:p>
        </w:tc>
        <w:tc>
          <w:tcPr>
            <w:tcW w:w="1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55%</w:t>
            </w:r>
          </w:p>
        </w:tc>
        <w:tc>
          <w:tcPr>
            <w:tcW w:w="1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49%</w:t>
            </w:r>
          </w:p>
        </w:tc>
        <w:tc>
          <w:tcPr>
            <w:tcW w:w="1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其中：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有息负债率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47%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45%</w:t>
            </w:r>
          </w:p>
        </w:tc>
        <w:tc>
          <w:tcPr>
            <w:tcW w:w="1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41%</w:t>
            </w:r>
          </w:p>
        </w:tc>
        <w:tc>
          <w:tcPr>
            <w:tcW w:w="1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38%</w:t>
            </w:r>
          </w:p>
        </w:tc>
        <w:tc>
          <w:tcPr>
            <w:tcW w:w="1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流动比率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0.51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0.58</w:t>
            </w:r>
          </w:p>
        </w:tc>
        <w:tc>
          <w:tcPr>
            <w:tcW w:w="1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0.58</w:t>
            </w:r>
          </w:p>
        </w:tc>
        <w:tc>
          <w:tcPr>
            <w:tcW w:w="1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0.58</w:t>
            </w:r>
          </w:p>
        </w:tc>
        <w:tc>
          <w:tcPr>
            <w:tcW w:w="1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uto"/>
              <w:ind w:left="0" w:right="0"/>
              <w:jc w:val="righ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0.7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2023年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维信诺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增加销售放宽信用政策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应收账款周转天数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较上年变慢50天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；公司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低价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处理库存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存货周转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天数较上年加快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10天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应付账款周转较上年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变慢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75天，且应付与应收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账款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差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额逐年扩大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2023年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差额70亿，同比增长63%，一方面反映公司对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上游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话语权强，另一方面也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反映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公司货币资金紧张，拖欠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上游供应商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货款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近三年公司现金净流入为正，主要是公司控制供应商付款进度，同时2018年开建的5、6代OLED产线逐步建成（建设周期2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—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2.5年），近三年投入资金减少。</w:t>
      </w:r>
    </w:p>
    <w:p>
      <w:pPr>
        <w:pStyle w:val="2"/>
        <w:spacing w:before="0" w:beforeAutospacing="0" w:after="0" w:afterAutospacing="0" w:line="560" w:lineRule="exact"/>
        <w:jc w:val="center"/>
        <w:rPr>
          <w:rFonts w:hint="default" w:ascii="仿宋" w:hAnsi="仿宋" w:eastAsia="仿宋" w:cs="仿宋"/>
          <w:b w:val="0"/>
          <w:bCs w:val="0"/>
          <w:kern w:val="0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b w:val="0"/>
          <w:bCs w:val="0"/>
          <w:kern w:val="0"/>
          <w:sz w:val="28"/>
          <w:szCs w:val="28"/>
          <w:lang w:eastAsia="zh-CN"/>
        </w:rPr>
        <w:t>表3 维信诺近5年现金流情况（单位：亿元）</w:t>
      </w:r>
    </w:p>
    <w:tbl>
      <w:tblPr>
        <w:tblStyle w:val="22"/>
        <w:tblW w:w="90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1371"/>
        <w:gridCol w:w="1434"/>
        <w:gridCol w:w="1109"/>
        <w:gridCol w:w="1"/>
        <w:gridCol w:w="1112"/>
        <w:gridCol w:w="11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20" w:hRule="atLeast"/>
          <w:tblHeader/>
        </w:trPr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>指标名称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</w:t>
            </w:r>
          </w:p>
        </w:tc>
        <w:tc>
          <w:tcPr>
            <w:tcW w:w="1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购付现金比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59%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经营活动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净流入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0" w:hRule="atLeast"/>
        </w:trPr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投资活动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净流入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-18 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-15 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-11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-29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筹资活动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净流入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 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 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-5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4" w:hRule="atLeast"/>
        </w:trPr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现金净流入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 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 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-11.7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-39.8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60" w:firstLineChars="200"/>
        <w:jc w:val="both"/>
        <w:textAlignment w:val="auto"/>
        <w:rPr>
          <w:rFonts w:hint="default" w:ascii="仿宋_GB2312" w:hAnsi="仿宋_GB2312" w:eastAsia="仿宋_GB2312" w:cs="仿宋_GB2312"/>
          <w:sz w:val="18"/>
          <w:szCs w:val="18"/>
        </w:rPr>
      </w:pPr>
      <w:r>
        <w:rPr>
          <w:rFonts w:hint="default" w:ascii="仿宋_GB2312" w:hAnsi="仿宋_GB2312" w:eastAsia="仿宋_GB2312" w:cs="仿宋_GB2312"/>
          <w:sz w:val="18"/>
          <w:szCs w:val="18"/>
        </w:rPr>
        <w:t>注：购付现金比=购买商品支付的现金/营业成本</w:t>
      </w:r>
    </w:p>
    <w:p>
      <w:pPr>
        <w:widowControl/>
        <w:spacing w:line="52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（四）据Wind查询，目前公司无在发行的债券，无合同纠纷官司。</w:t>
      </w:r>
    </w:p>
    <w:p>
      <w:pPr>
        <w:widowControl/>
        <w:spacing w:line="520" w:lineRule="exact"/>
        <w:ind w:firstLine="640" w:firstLineChars="200"/>
        <w:outlineLvl w:val="0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三、与行业企业对比情况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维信诺主要生产柔性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OLED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屏，选择柔性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OLED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屏占比高的京东方、深天马对比分析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2023年3家公司核心利润均亏损，</w:t>
      </w:r>
      <w:r>
        <w:rPr>
          <w:rFonts w:hint="default" w:ascii="仿宋_GB2312" w:hAnsi="仿宋_GB2312" w:eastAsia="仿宋_GB2312" w:cs="仿宋_GB2312"/>
          <w:sz w:val="32"/>
          <w:szCs w:val="32"/>
        </w:rPr>
        <w:t>反映</w:t>
      </w:r>
      <w:r>
        <w:rPr>
          <w:rFonts w:hint="eastAsia" w:ascii="仿宋_GB2312" w:hAnsi="仿宋_GB2312" w:eastAsia="仿宋_GB2312" w:cs="仿宋_GB2312"/>
          <w:sz w:val="32"/>
          <w:szCs w:val="32"/>
        </w:rPr>
        <w:t>行业不景气，但维信诺盈利能力最差；维信诺应收、应付周转速度远低于京东方和深天马，同时应收与应付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账款差额</w:t>
      </w:r>
      <w:r>
        <w:rPr>
          <w:rFonts w:hint="eastAsia" w:ascii="仿宋_GB2312" w:hAnsi="仿宋_GB2312" w:eastAsia="仿宋_GB2312" w:cs="仿宋_GB2312"/>
          <w:sz w:val="32"/>
          <w:szCs w:val="32"/>
        </w:rPr>
        <w:t>远高于京东方和深天马，对上游供应商货款</w:t>
      </w:r>
      <w:r>
        <w:rPr>
          <w:rFonts w:hint="default" w:ascii="仿宋_GB2312" w:hAnsi="仿宋_GB2312" w:eastAsia="仿宋_GB2312" w:cs="仿宋_GB2312"/>
          <w:sz w:val="32"/>
          <w:szCs w:val="32"/>
        </w:rPr>
        <w:t>占用金额大且时间长</w:t>
      </w:r>
      <w:r>
        <w:rPr>
          <w:rFonts w:hint="eastAsia" w:ascii="仿宋_GB2312" w:hAnsi="仿宋_GB2312" w:eastAsia="仿宋_GB2312" w:cs="仿宋_GB2312"/>
          <w:sz w:val="32"/>
          <w:szCs w:val="32"/>
        </w:rPr>
        <w:t>；维信诺资产负债率超70%、流动比率</w:t>
      </w:r>
      <w:r>
        <w:rPr>
          <w:rFonts w:hint="default" w:ascii="仿宋_GB2312" w:hAnsi="仿宋_GB2312" w:eastAsia="仿宋_GB2312" w:cs="仿宋_GB2312"/>
          <w:sz w:val="32"/>
          <w:szCs w:val="32"/>
        </w:rPr>
        <w:t>仅0.5，远不及</w:t>
      </w:r>
      <w:r>
        <w:rPr>
          <w:rFonts w:hint="eastAsia" w:ascii="仿宋_GB2312" w:hAnsi="仿宋_GB2312" w:eastAsia="仿宋_GB2312" w:cs="仿宋_GB2312"/>
          <w:sz w:val="32"/>
          <w:szCs w:val="32"/>
        </w:rPr>
        <w:t>京东方和深天马</w:t>
      </w:r>
      <w:r>
        <w:rPr>
          <w:rFonts w:hint="default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长、短期偿债压力</w:t>
      </w:r>
      <w:r>
        <w:rPr>
          <w:rFonts w:hint="default" w:ascii="仿宋_GB2312" w:hAnsi="仿宋_GB2312" w:eastAsia="仿宋_GB2312" w:cs="仿宋_GB2312"/>
          <w:sz w:val="32"/>
          <w:szCs w:val="32"/>
        </w:rPr>
        <w:t>较大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00" w:lineRule="atLeas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                 </w:t>
      </w:r>
      <w:r>
        <w:rPr>
          <w:rFonts w:hint="default" w:ascii="仿宋" w:hAnsi="仿宋" w:eastAsia="仿宋" w:cs="仿宋"/>
          <w:b w:val="0"/>
          <w:bCs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 w:bidi="ar-SA"/>
        </w:rPr>
        <w:t>表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eastAsia="zh-CN" w:bidi="ar-SA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 w:bidi="ar-SA"/>
        </w:rPr>
        <w:t>：2023年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eastAsia="zh-CN" w:bidi="ar-SA"/>
        </w:rPr>
        <w:t>对标企业情况分析</w:t>
      </w:r>
    </w:p>
    <w:tbl>
      <w:tblPr>
        <w:tblStyle w:val="22"/>
        <w:tblW w:w="5197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751"/>
        <w:gridCol w:w="2062"/>
        <w:gridCol w:w="1909"/>
        <w:gridCol w:w="1879"/>
      </w:tblGrid>
      <w:tr>
        <w:trPr>
          <w:trHeight w:val="340" w:hRule="atLeast"/>
          <w:tblHeader/>
        </w:trPr>
        <w:tc>
          <w:tcPr>
            <w:tcW w:w="1893" w:type="pct"/>
            <w:gridSpan w:val="2"/>
            <w:tcBorders>
              <w:top w:val="single" w:color="000000" w:sz="4" w:space="0"/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指标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094" w:type="pct"/>
            <w:tcBorders>
              <w:top w:val="single" w:color="000000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维信诺</w:t>
            </w:r>
          </w:p>
        </w:tc>
        <w:tc>
          <w:tcPr>
            <w:tcW w:w="1013" w:type="pct"/>
            <w:tcBorders>
              <w:top w:val="single" w:color="000000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京东方</w:t>
            </w:r>
          </w:p>
        </w:tc>
        <w:tc>
          <w:tcPr>
            <w:tcW w:w="997" w:type="pct"/>
            <w:tcBorders>
              <w:top w:val="single" w:color="000000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深天马</w:t>
            </w:r>
          </w:p>
        </w:tc>
      </w:tr>
      <w:tr>
        <w:trPr>
          <w:trHeight w:val="740" w:hRule="atLeast"/>
        </w:trPr>
        <w:tc>
          <w:tcPr>
            <w:tcW w:w="1893" w:type="pct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产线情况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4条线中3条柔性OLED产线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4条线中3条柔性OLED产线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3条线中2条柔性OLED产线</w:t>
            </w:r>
          </w:p>
        </w:tc>
      </w:tr>
      <w:tr>
        <w:trPr>
          <w:trHeight w:val="397" w:hRule="atLeast"/>
        </w:trPr>
        <w:tc>
          <w:tcPr>
            <w:tcW w:w="1893" w:type="pct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全球OLED面板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市占率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（%）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10%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16%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7%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restart"/>
            <w:tcBorders>
              <w:top w:val="single" w:color="A6A6A6" w:sz="4" w:space="0"/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盈利能力</w:t>
            </w: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营业收入（亿）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59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1745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323 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60" w:type="pct"/>
            <w:vMerge w:val="restart"/>
            <w:tcBorders>
              <w:top w:val="single" w:color="A6A6A6" w:sz="4" w:space="0"/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其中：显示器件业务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51 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（占比86%）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1471 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（占比84%）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320 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（占比99%）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60" w:type="pct"/>
            <w:vMerge w:val="continue"/>
            <w:tcBorders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OLED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LCD、OLED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LCD、OLED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</w:rPr>
              <w:t>近5年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营收复合增速（%）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27%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12%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2%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利润总额（亿）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-50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18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-19 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核心利润（亿）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-47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-14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-31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毛利率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（%）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-35%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13%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7%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其中：显示器件业务（%）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-40%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9%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7%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restart"/>
            <w:tcBorders>
              <w:top w:val="single" w:color="A6A6A6" w:sz="4" w:space="0"/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运营能力</w:t>
            </w: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应付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应收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账款差额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1.6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应收账款周转天数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114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63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78 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应付账款周转天数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277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74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79 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存货周转天数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30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56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51 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restart"/>
            <w:tcBorders>
              <w:top w:val="single" w:color="A6A6A6" w:sz="4" w:space="0"/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偿债能力</w:t>
            </w: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资产负债率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（%）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72%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53%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65%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其中：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有息负债率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（%）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47%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43%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52%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流动比率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1.6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1.0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restart"/>
            <w:tcBorders>
              <w:top w:val="single" w:color="A6A6A6" w:sz="4" w:space="0"/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现金流</w:t>
            </w: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经营活动净流入（亿）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22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383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40 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投资活动净流入（亿）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-18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-293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-54 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筹资活动净流入（亿）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-4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-217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7 </w:t>
            </w:r>
          </w:p>
        </w:tc>
      </w:tr>
      <w:tr>
        <w:trPr>
          <w:trHeight w:val="397" w:hRule="atLeast"/>
        </w:trPr>
        <w:tc>
          <w:tcPr>
            <w:tcW w:w="433" w:type="pct"/>
            <w:vMerge w:val="continue"/>
            <w:tcBorders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0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现金净流入（亿）</w:t>
            </w:r>
          </w:p>
        </w:tc>
        <w:tc>
          <w:tcPr>
            <w:tcW w:w="1094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E1F4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0.3 </w:t>
            </w:r>
          </w:p>
        </w:tc>
        <w:tc>
          <w:tcPr>
            <w:tcW w:w="1013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-127 </w:t>
            </w:r>
          </w:p>
        </w:tc>
        <w:tc>
          <w:tcPr>
            <w:tcW w:w="997" w:type="pc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 xml:space="preserve">-8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60" w:firstLineChars="200"/>
        <w:jc w:val="both"/>
        <w:textAlignment w:val="auto"/>
        <w:rPr>
          <w:rFonts w:hint="default" w:ascii="仿宋_GB2312" w:hAnsi="仿宋_GB2312" w:eastAsia="仿宋_GB2312" w:cs="仿宋_GB2312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注：数据来源于公司年报、国联证券</w:t>
      </w:r>
      <w:r>
        <w:rPr>
          <w:rFonts w:hint="default" w:ascii="仿宋_GB2312" w:hAnsi="仿宋_GB2312" w:eastAsia="仿宋_GB2312" w:cs="仿宋_GB2312"/>
          <w:sz w:val="18"/>
          <w:szCs w:val="18"/>
        </w:rPr>
        <w:t>。</w:t>
      </w:r>
    </w:p>
    <w:p>
      <w:pPr>
        <w:pStyle w:val="39"/>
        <w:widowControl/>
        <w:spacing w:line="520" w:lineRule="exact"/>
        <w:ind w:left="720" w:firstLine="0" w:firstLineChars="0"/>
        <w:outlineLvl w:val="0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kern w:val="0"/>
          <w:sz w:val="32"/>
          <w:szCs w:val="32"/>
          <w:lang w:eastAsia="zh-CN" w:bidi="ar-SA"/>
        </w:rPr>
        <w:t>四、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相关方评价</w:t>
      </w:r>
    </w:p>
    <w:p>
      <w:pPr>
        <w:pStyle w:val="2"/>
        <w:numPr>
          <w:ilvl w:val="0"/>
          <w:numId w:val="0"/>
        </w:numPr>
        <w:spacing w:before="0" w:beforeAutospacing="0" w:after="0" w:afterAutospacing="0" w:line="520" w:lineRule="exact"/>
        <w:ind w:left="0" w:leftChars="0" w:firstLine="643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上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>下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游供应商评价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>上游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FPC软板供应商厦门著赫公司表示维信诺付款较差，一般物料款6个月账期+6个月承兑；其治具供应商锐坤公司表示维信诺付款非常差，通常是8个月账期+6个月承兑。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>其下游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华为对维信诺的总体评价是风险较高，流动负债增加，现金流恶化。</w:t>
      </w:r>
    </w:p>
    <w:p>
      <w:pPr>
        <w:pStyle w:val="2"/>
        <w:numPr>
          <w:ilvl w:val="0"/>
          <w:numId w:val="0"/>
        </w:numPr>
        <w:spacing w:before="0" w:beforeAutospacing="0" w:after="0" w:afterAutospacing="0" w:line="520" w:lineRule="exact"/>
        <w:ind w:left="0" w:leftChars="0" w:firstLine="643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同行评价：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京东方重庆负责人表示，OLED行业整体亏损，维信诺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>主业为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OLED，其年年亏损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>导致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资金状况不佳。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>对比同行，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京东方、深天马可用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</w:rPr>
        <w:t>LCD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面板利润反哺OLED。</w:t>
      </w:r>
    </w:p>
    <w:p>
      <w:pPr>
        <w:widowControl/>
        <w:numPr>
          <w:ilvl w:val="0"/>
          <w:numId w:val="0"/>
        </w:numPr>
        <w:spacing w:beforeAutospacing="0" w:afterAutospacing="0" w:line="520" w:lineRule="exact"/>
        <w:ind w:left="0" w:leftChars="0" w:firstLine="640" w:firstLineChars="200"/>
        <w:outlineLvl w:val="0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五、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结论</w:t>
      </w:r>
    </w:p>
    <w:p>
      <w:pPr>
        <w:keepNext w:val="0"/>
        <w:keepLines w:val="0"/>
        <w:widowControl/>
        <w:suppressLineNumbers w:val="0"/>
        <w:spacing w:line="520" w:lineRule="exact"/>
        <w:ind w:left="0" w:leftChars="0" w:firstLine="64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整体来看，短时间内维信诺尚有一定实力支撑自身在OLED领域</w:t>
      </w:r>
      <w:r>
        <w:rPr>
          <w:rFonts w:hint="default" w:ascii="仿宋_GB2312" w:hAnsi="仿宋_GB2312" w:eastAsia="仿宋_GB2312" w:cs="仿宋_GB2312"/>
          <w:sz w:val="32"/>
          <w:szCs w:val="32"/>
        </w:rPr>
        <w:t>发展，</w:t>
      </w:r>
      <w:r>
        <w:rPr>
          <w:rFonts w:hint="eastAsia" w:ascii="仿宋_GB2312" w:hAnsi="仿宋_GB2312" w:eastAsia="仿宋_GB2312" w:cs="仿宋_GB2312"/>
          <w:sz w:val="32"/>
          <w:szCs w:val="32"/>
        </w:rPr>
        <w:t>但维信诺盈利能力、运营能力、偿债能力持续变差</w:t>
      </w:r>
      <w:r>
        <w:rPr>
          <w:rFonts w:hint="default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难以在</w:t>
      </w:r>
      <w:r>
        <w:rPr>
          <w:rFonts w:hint="default" w:ascii="仿宋_GB2312" w:hAnsi="仿宋_GB2312" w:eastAsia="仿宋_GB2312" w:cs="仿宋_GB2312"/>
          <w:sz w:val="32"/>
          <w:szCs w:val="32"/>
        </w:rPr>
        <w:t>短期</w:t>
      </w:r>
      <w:r>
        <w:rPr>
          <w:rFonts w:hint="eastAsia" w:ascii="仿宋_GB2312" w:hAnsi="仿宋_GB2312" w:eastAsia="仿宋_GB2312" w:cs="仿宋_GB2312"/>
          <w:sz w:val="32"/>
          <w:szCs w:val="32"/>
        </w:rPr>
        <w:t>内实现经营好转。综上，久和新科技</w:t>
      </w:r>
      <w:r>
        <w:rPr>
          <w:rFonts w:hint="default" w:ascii="仿宋_GB2312" w:hAnsi="仿宋_GB2312" w:eastAsia="仿宋_GB2312" w:cs="仿宋_GB2312"/>
          <w:sz w:val="32"/>
          <w:szCs w:val="32"/>
        </w:rPr>
        <w:t>在无上下游担保的情况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给维信诺做敞口垫资业务</w:t>
      </w:r>
      <w:r>
        <w:rPr>
          <w:rFonts w:hint="default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资金风险非常高，在上下游对久和新科技资金未提供安全保证举措前提下，建议不开展此业务。</w:t>
      </w:r>
    </w:p>
    <w:p>
      <w:pPr>
        <w:keepNext w:val="0"/>
        <w:keepLines w:val="0"/>
        <w:widowControl/>
        <w:suppressLineNumbers w:val="0"/>
        <w:spacing w:line="520" w:lineRule="exact"/>
        <w:ind w:left="5747" w:leftChars="608" w:hanging="4470" w:hangingChars="1397"/>
        <w:jc w:val="both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    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default" w:ascii="仿宋_GB2312" w:hAnsi="仿宋_GB2312" w:eastAsia="仿宋_GB2312" w:cs="仿宋_GB2312"/>
          <w:sz w:val="32"/>
          <w:szCs w:val="32"/>
        </w:rPr>
        <w:t>战略发展部</w:t>
      </w:r>
    </w:p>
    <w:p>
      <w:pPr>
        <w:pStyle w:val="2"/>
        <w:spacing w:before="0" w:beforeAutospacing="0" w:after="0" w:afterAutospacing="0"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                                  2024年6月27日</w:t>
      </w:r>
    </w:p>
    <w:sectPr>
      <w:headerReference r:id="rId4" w:type="default"/>
      <w:footerReference r:id="rId5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QisiAaBanSong">
    <w:altName w:val="苹方-简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新魏">
    <w:altName w:val="宋体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FgAAAGRycy9QSwECFAAUAAAACACHTuJAHU06wtUAAAAEAQAADwAAAAAA&#10;AAABACAAAAA4AAAAZHJzL2Rvd25yZXYueG1sUEsBAhQAFAAAAAgAh07iQFXENto5AgAAYwQAAA4A&#10;AAAAAAAAAQAgAAAAOgEAAGRycy9lMm9Eb2MueG1sUEsFBgAAAAAGAAYAWQEAAOU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18"/>
        <w:snapToGrid w:val="0"/>
        <w:rPr>
          <w:rFonts w:hint="default"/>
        </w:rPr>
      </w:pPr>
      <w:r>
        <w:rPr>
          <w:rStyle w:val="25"/>
        </w:rPr>
        <w:footnoteRef/>
      </w:r>
      <w:r>
        <w:t xml:space="preserve"> 行业数据来源于</w:t>
      </w:r>
      <w:r>
        <w:rPr>
          <w:rFonts w:hint="eastAsia"/>
          <w:lang w:eastAsia="zh-CN"/>
        </w:rPr>
        <w:t>屏幕供应链咨询公司DSCC举例数据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5"/>
      <w:spacing w:line="300" w:lineRule="exact"/>
      <w:jc w:val="center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5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5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BmNjU0Y2UxZTU3NWI4NmQwZWY0YWE0OWJhODg0NjE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665D07"/>
    <w:rsid w:val="05A52CD4"/>
    <w:rsid w:val="06577AD4"/>
    <w:rsid w:val="068E3768"/>
    <w:rsid w:val="06E17D3B"/>
    <w:rsid w:val="079046C9"/>
    <w:rsid w:val="07983414"/>
    <w:rsid w:val="07AC6C76"/>
    <w:rsid w:val="07D7219C"/>
    <w:rsid w:val="07EC0B14"/>
    <w:rsid w:val="08094D85"/>
    <w:rsid w:val="082A3964"/>
    <w:rsid w:val="08D613F6"/>
    <w:rsid w:val="090A6581"/>
    <w:rsid w:val="09165225"/>
    <w:rsid w:val="09313F0E"/>
    <w:rsid w:val="098146E6"/>
    <w:rsid w:val="0A4B1FCC"/>
    <w:rsid w:val="0A6D7B38"/>
    <w:rsid w:val="0A6F525B"/>
    <w:rsid w:val="0AA456F3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F3B0205"/>
    <w:rsid w:val="0F4F16B2"/>
    <w:rsid w:val="0FE12B5A"/>
    <w:rsid w:val="10086339"/>
    <w:rsid w:val="103435D2"/>
    <w:rsid w:val="10541406"/>
    <w:rsid w:val="108F6A5A"/>
    <w:rsid w:val="10AC13BA"/>
    <w:rsid w:val="116752E1"/>
    <w:rsid w:val="11771B12"/>
    <w:rsid w:val="11987B90"/>
    <w:rsid w:val="119F6E8B"/>
    <w:rsid w:val="11B47634"/>
    <w:rsid w:val="11E20E0C"/>
    <w:rsid w:val="125E66E4"/>
    <w:rsid w:val="12733E70"/>
    <w:rsid w:val="12BE3627"/>
    <w:rsid w:val="12CE0C99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53052A"/>
    <w:rsid w:val="16AD68BA"/>
    <w:rsid w:val="16B76879"/>
    <w:rsid w:val="16B965DF"/>
    <w:rsid w:val="16BF516A"/>
    <w:rsid w:val="16E7210F"/>
    <w:rsid w:val="17667442"/>
    <w:rsid w:val="178B5F49"/>
    <w:rsid w:val="1843750D"/>
    <w:rsid w:val="18730A0F"/>
    <w:rsid w:val="19307018"/>
    <w:rsid w:val="194F441F"/>
    <w:rsid w:val="19AC41D9"/>
    <w:rsid w:val="19EA6AAF"/>
    <w:rsid w:val="1A321DA9"/>
    <w:rsid w:val="1A473E72"/>
    <w:rsid w:val="1A4E703E"/>
    <w:rsid w:val="1AD11A1D"/>
    <w:rsid w:val="1AFC6A9A"/>
    <w:rsid w:val="1B1526BF"/>
    <w:rsid w:val="1B1535E6"/>
    <w:rsid w:val="1B2E59C9"/>
    <w:rsid w:val="1B6B1E72"/>
    <w:rsid w:val="1B79089D"/>
    <w:rsid w:val="1BF04544"/>
    <w:rsid w:val="1C155AA2"/>
    <w:rsid w:val="1C740F63"/>
    <w:rsid w:val="1C7B0660"/>
    <w:rsid w:val="1CB05A7F"/>
    <w:rsid w:val="1D1F566C"/>
    <w:rsid w:val="1D526E45"/>
    <w:rsid w:val="1D770C9F"/>
    <w:rsid w:val="1D781367"/>
    <w:rsid w:val="1D934F03"/>
    <w:rsid w:val="1DC422B8"/>
    <w:rsid w:val="1DDC1D26"/>
    <w:rsid w:val="1DF63C75"/>
    <w:rsid w:val="1E30234F"/>
    <w:rsid w:val="1E675979"/>
    <w:rsid w:val="1E8C601F"/>
    <w:rsid w:val="1EB353CC"/>
    <w:rsid w:val="1EC975DB"/>
    <w:rsid w:val="1EE10644"/>
    <w:rsid w:val="1F4D7724"/>
    <w:rsid w:val="1F6D61B8"/>
    <w:rsid w:val="20144886"/>
    <w:rsid w:val="20360CA0"/>
    <w:rsid w:val="208A4797"/>
    <w:rsid w:val="20F76FFF"/>
    <w:rsid w:val="21176FBB"/>
    <w:rsid w:val="21577120"/>
    <w:rsid w:val="21736403"/>
    <w:rsid w:val="218B39C0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CB23C4"/>
    <w:rsid w:val="250456E8"/>
    <w:rsid w:val="2535072C"/>
    <w:rsid w:val="254D2640"/>
    <w:rsid w:val="258B55EA"/>
    <w:rsid w:val="25983863"/>
    <w:rsid w:val="25AA0769"/>
    <w:rsid w:val="25DD571A"/>
    <w:rsid w:val="263C57B2"/>
    <w:rsid w:val="265513EA"/>
    <w:rsid w:val="26FF4758"/>
    <w:rsid w:val="270811D6"/>
    <w:rsid w:val="2727030E"/>
    <w:rsid w:val="27A97FAA"/>
    <w:rsid w:val="27DE07E0"/>
    <w:rsid w:val="27E126B6"/>
    <w:rsid w:val="27F21951"/>
    <w:rsid w:val="28243AD4"/>
    <w:rsid w:val="282D3E1D"/>
    <w:rsid w:val="283858CD"/>
    <w:rsid w:val="28821D21"/>
    <w:rsid w:val="29341AF5"/>
    <w:rsid w:val="293C78E0"/>
    <w:rsid w:val="29A30A29"/>
    <w:rsid w:val="29A92DEF"/>
    <w:rsid w:val="2A4B5348"/>
    <w:rsid w:val="2A924D25"/>
    <w:rsid w:val="2AB90504"/>
    <w:rsid w:val="2AC7692A"/>
    <w:rsid w:val="2B040F10"/>
    <w:rsid w:val="2B762C31"/>
    <w:rsid w:val="2B784A89"/>
    <w:rsid w:val="2BB553E6"/>
    <w:rsid w:val="2BD001FB"/>
    <w:rsid w:val="2BF23635"/>
    <w:rsid w:val="2C8965FC"/>
    <w:rsid w:val="2C9C1E8B"/>
    <w:rsid w:val="2CB91C59"/>
    <w:rsid w:val="2D067C4C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12D57A8"/>
    <w:rsid w:val="31CB6D6E"/>
    <w:rsid w:val="31D9592F"/>
    <w:rsid w:val="31F54FD7"/>
    <w:rsid w:val="320504D2"/>
    <w:rsid w:val="329459AD"/>
    <w:rsid w:val="329E4165"/>
    <w:rsid w:val="32C00582"/>
    <w:rsid w:val="335C6818"/>
    <w:rsid w:val="33C26591"/>
    <w:rsid w:val="33FB52BF"/>
    <w:rsid w:val="346F0006"/>
    <w:rsid w:val="34F565DC"/>
    <w:rsid w:val="35B415EC"/>
    <w:rsid w:val="35C83CF1"/>
    <w:rsid w:val="35E328D9"/>
    <w:rsid w:val="36000EF9"/>
    <w:rsid w:val="365C3DBB"/>
    <w:rsid w:val="367571F9"/>
    <w:rsid w:val="369235A5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9A3B61"/>
    <w:rsid w:val="3AC71D0D"/>
    <w:rsid w:val="3B8406BA"/>
    <w:rsid w:val="3B963A4D"/>
    <w:rsid w:val="3B9F48B6"/>
    <w:rsid w:val="3BB645EB"/>
    <w:rsid w:val="3C2D0D52"/>
    <w:rsid w:val="3C814BF9"/>
    <w:rsid w:val="3C9B3F0D"/>
    <w:rsid w:val="3CD4717D"/>
    <w:rsid w:val="3D121CF5"/>
    <w:rsid w:val="3D404AB5"/>
    <w:rsid w:val="3D897F97"/>
    <w:rsid w:val="3D8F1598"/>
    <w:rsid w:val="3DF46E97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363B1F"/>
    <w:rsid w:val="3F5F64EF"/>
    <w:rsid w:val="3F744EE9"/>
    <w:rsid w:val="3F7B6278"/>
    <w:rsid w:val="3FA30A38"/>
    <w:rsid w:val="3FCB250F"/>
    <w:rsid w:val="3FCB2D5B"/>
    <w:rsid w:val="3FD15E98"/>
    <w:rsid w:val="40006363"/>
    <w:rsid w:val="409E3FCC"/>
    <w:rsid w:val="40D55514"/>
    <w:rsid w:val="40ED3BA3"/>
    <w:rsid w:val="412F51E3"/>
    <w:rsid w:val="41B17D2F"/>
    <w:rsid w:val="424E1A22"/>
    <w:rsid w:val="42611755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7A48DC"/>
    <w:rsid w:val="45DE1D77"/>
    <w:rsid w:val="45FB5626"/>
    <w:rsid w:val="460F7548"/>
    <w:rsid w:val="462A2F7C"/>
    <w:rsid w:val="4654337F"/>
    <w:rsid w:val="4694464B"/>
    <w:rsid w:val="47617B01"/>
    <w:rsid w:val="477A0BC3"/>
    <w:rsid w:val="47A04ACD"/>
    <w:rsid w:val="47D81FA9"/>
    <w:rsid w:val="486B440C"/>
    <w:rsid w:val="494E5D41"/>
    <w:rsid w:val="49583186"/>
    <w:rsid w:val="49A03796"/>
    <w:rsid w:val="49A53CC1"/>
    <w:rsid w:val="49BF7253"/>
    <w:rsid w:val="49C83E68"/>
    <w:rsid w:val="49F3676E"/>
    <w:rsid w:val="4A3E237C"/>
    <w:rsid w:val="4AF85673"/>
    <w:rsid w:val="4B6B71A0"/>
    <w:rsid w:val="4B982BB3"/>
    <w:rsid w:val="4BF7108D"/>
    <w:rsid w:val="4BFC429C"/>
    <w:rsid w:val="4C9B5863"/>
    <w:rsid w:val="4CC50B32"/>
    <w:rsid w:val="4CE0771A"/>
    <w:rsid w:val="4D096C71"/>
    <w:rsid w:val="4DA44BEC"/>
    <w:rsid w:val="4DAE1633"/>
    <w:rsid w:val="4DB82445"/>
    <w:rsid w:val="4DEB45C9"/>
    <w:rsid w:val="4E30647F"/>
    <w:rsid w:val="4EFF13E5"/>
    <w:rsid w:val="4F807D78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245097E"/>
    <w:rsid w:val="52575455"/>
    <w:rsid w:val="526F57C8"/>
    <w:rsid w:val="527B604B"/>
    <w:rsid w:val="53603363"/>
    <w:rsid w:val="538E6122"/>
    <w:rsid w:val="53B611D5"/>
    <w:rsid w:val="543E18F6"/>
    <w:rsid w:val="54C811C0"/>
    <w:rsid w:val="54DE6C35"/>
    <w:rsid w:val="551E4A4E"/>
    <w:rsid w:val="55724DC3"/>
    <w:rsid w:val="55760C1C"/>
    <w:rsid w:val="55B335CC"/>
    <w:rsid w:val="55DB13C7"/>
    <w:rsid w:val="564662EE"/>
    <w:rsid w:val="565D20C7"/>
    <w:rsid w:val="57284198"/>
    <w:rsid w:val="57D22CC7"/>
    <w:rsid w:val="58003366"/>
    <w:rsid w:val="58C47EF0"/>
    <w:rsid w:val="58C90767"/>
    <w:rsid w:val="58FE1CB5"/>
    <w:rsid w:val="59032FB6"/>
    <w:rsid w:val="594B23BF"/>
    <w:rsid w:val="594D4389"/>
    <w:rsid w:val="597933D0"/>
    <w:rsid w:val="59AF0BA0"/>
    <w:rsid w:val="59BC506B"/>
    <w:rsid w:val="5A4F276C"/>
    <w:rsid w:val="5A7871E4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E0707E8"/>
    <w:rsid w:val="5E343D6A"/>
    <w:rsid w:val="5E516DC3"/>
    <w:rsid w:val="5E836CBA"/>
    <w:rsid w:val="5EB93F9B"/>
    <w:rsid w:val="5ED131DB"/>
    <w:rsid w:val="5EEA61D6"/>
    <w:rsid w:val="5F2B2A77"/>
    <w:rsid w:val="5F6E1D2C"/>
    <w:rsid w:val="5FA82319"/>
    <w:rsid w:val="5FB05505"/>
    <w:rsid w:val="5FB76230"/>
    <w:rsid w:val="5FDC6B40"/>
    <w:rsid w:val="5FF437B1"/>
    <w:rsid w:val="60673F83"/>
    <w:rsid w:val="60A76AF7"/>
    <w:rsid w:val="60B10AFA"/>
    <w:rsid w:val="60FD670A"/>
    <w:rsid w:val="61265BEC"/>
    <w:rsid w:val="61483335"/>
    <w:rsid w:val="61CE3B8D"/>
    <w:rsid w:val="61D75138"/>
    <w:rsid w:val="624C78D4"/>
    <w:rsid w:val="62785DEC"/>
    <w:rsid w:val="62CD2097"/>
    <w:rsid w:val="62D96C8E"/>
    <w:rsid w:val="62E3123D"/>
    <w:rsid w:val="63194438"/>
    <w:rsid w:val="64570A13"/>
    <w:rsid w:val="64810435"/>
    <w:rsid w:val="64FE29DC"/>
    <w:rsid w:val="65021D19"/>
    <w:rsid w:val="655D5954"/>
    <w:rsid w:val="65E55147"/>
    <w:rsid w:val="66372649"/>
    <w:rsid w:val="67222BCE"/>
    <w:rsid w:val="682B7F8C"/>
    <w:rsid w:val="68404A74"/>
    <w:rsid w:val="685A261F"/>
    <w:rsid w:val="68AF64C7"/>
    <w:rsid w:val="68B0082B"/>
    <w:rsid w:val="68C72CFE"/>
    <w:rsid w:val="68F840FA"/>
    <w:rsid w:val="6A2124C5"/>
    <w:rsid w:val="6AE54422"/>
    <w:rsid w:val="6BA92830"/>
    <w:rsid w:val="6BD154E6"/>
    <w:rsid w:val="6C0E5BFA"/>
    <w:rsid w:val="6CDA3D2E"/>
    <w:rsid w:val="6D257FA0"/>
    <w:rsid w:val="6D400F45"/>
    <w:rsid w:val="6DC42A14"/>
    <w:rsid w:val="6DCE3893"/>
    <w:rsid w:val="6DD55F01"/>
    <w:rsid w:val="6DF7CA34"/>
    <w:rsid w:val="6F245233"/>
    <w:rsid w:val="6F854425"/>
    <w:rsid w:val="6F8D6E36"/>
    <w:rsid w:val="6FC974CE"/>
    <w:rsid w:val="6FE401BA"/>
    <w:rsid w:val="6FF10FE9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B66440"/>
    <w:rsid w:val="742A559B"/>
    <w:rsid w:val="746A1C1D"/>
    <w:rsid w:val="746C1710"/>
    <w:rsid w:val="74817FA7"/>
    <w:rsid w:val="74C829A2"/>
    <w:rsid w:val="756120B5"/>
    <w:rsid w:val="75FB0F9D"/>
    <w:rsid w:val="76366479"/>
    <w:rsid w:val="76742AFE"/>
    <w:rsid w:val="76870A83"/>
    <w:rsid w:val="76A038F3"/>
    <w:rsid w:val="76B455F0"/>
    <w:rsid w:val="770B16B4"/>
    <w:rsid w:val="7715608F"/>
    <w:rsid w:val="77333622"/>
    <w:rsid w:val="786A065C"/>
    <w:rsid w:val="788A29CD"/>
    <w:rsid w:val="788E2CEB"/>
    <w:rsid w:val="78E35D19"/>
    <w:rsid w:val="790A599B"/>
    <w:rsid w:val="791800B8"/>
    <w:rsid w:val="79256331"/>
    <w:rsid w:val="792A55F5"/>
    <w:rsid w:val="793D367B"/>
    <w:rsid w:val="794C1B10"/>
    <w:rsid w:val="79824AD4"/>
    <w:rsid w:val="79AD6A52"/>
    <w:rsid w:val="79CB3751"/>
    <w:rsid w:val="79F006ED"/>
    <w:rsid w:val="7A2B7977"/>
    <w:rsid w:val="7A6A4943"/>
    <w:rsid w:val="7AC041A5"/>
    <w:rsid w:val="7AD54393"/>
    <w:rsid w:val="7AE2272C"/>
    <w:rsid w:val="7B2C2BB5"/>
    <w:rsid w:val="7BEB3862"/>
    <w:rsid w:val="7C376AA7"/>
    <w:rsid w:val="7C42333B"/>
    <w:rsid w:val="7C4466BB"/>
    <w:rsid w:val="7C9A7D2E"/>
    <w:rsid w:val="7C9C679D"/>
    <w:rsid w:val="7CB73744"/>
    <w:rsid w:val="7CD23C96"/>
    <w:rsid w:val="7D140B97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BD7A31"/>
    <w:rsid w:val="7FCE2AAE"/>
    <w:rsid w:val="9BC97C41"/>
    <w:rsid w:val="DFF32028"/>
    <w:rsid w:val="E6EF66F5"/>
    <w:rsid w:val="E7EE0508"/>
    <w:rsid w:val="F6FB0839"/>
    <w:rsid w:val="FF4E635F"/>
    <w:rsid w:val="FFFB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7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8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1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4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7">
    <w:name w:val="Subtitle"/>
    <w:basedOn w:val="1"/>
    <w:next w:val="1"/>
    <w:link w:val="3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19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2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link w:val="3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footnote reference"/>
    <w:basedOn w:val="24"/>
    <w:semiHidden/>
    <w:unhideWhenUsed/>
    <w:qFormat/>
    <w:uiPriority w:val="99"/>
    <w:rPr>
      <w:vertAlign w:val="superscript"/>
    </w:rPr>
  </w:style>
  <w:style w:type="character" w:customStyle="1" w:styleId="26">
    <w:name w:val="标题 1 字符"/>
    <w:basedOn w:val="24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7">
    <w:name w:val="标题 2 字符"/>
    <w:basedOn w:val="24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8">
    <w:name w:val="标题 3 字符"/>
    <w:basedOn w:val="24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9">
    <w:name w:val="标题 4 字符"/>
    <w:basedOn w:val="24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0">
    <w:name w:val="标题 5 字符"/>
    <w:basedOn w:val="24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1">
    <w:name w:val="标题 6 字符"/>
    <w:basedOn w:val="24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2">
    <w:name w:val="标题 7 字符"/>
    <w:basedOn w:val="24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8 字符"/>
    <w:basedOn w:val="24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9 字符"/>
    <w:basedOn w:val="24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字符"/>
    <w:basedOn w:val="24"/>
    <w:link w:val="2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副标题 字符"/>
    <w:basedOn w:val="24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Quote"/>
    <w:basedOn w:val="1"/>
    <w:next w:val="1"/>
    <w:link w:val="3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引用 字符"/>
    <w:basedOn w:val="24"/>
    <w:link w:val="3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List Paragraph"/>
    <w:basedOn w:val="1"/>
    <w:qFormat/>
    <w:uiPriority w:val="34"/>
    <w:pPr>
      <w:ind w:left="720"/>
      <w:contextualSpacing/>
    </w:pPr>
  </w:style>
  <w:style w:type="character" w:customStyle="1" w:styleId="40">
    <w:name w:val="Intense Emphasis"/>
    <w:basedOn w:val="24"/>
    <w:qFormat/>
    <w:uiPriority w:val="21"/>
    <w:rPr>
      <w:i/>
      <w:iCs/>
      <w:color w:val="104862" w:themeColor="accent1" w:themeShade="BF"/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2">
    <w:name w:val="明显引用 字符"/>
    <w:basedOn w:val="24"/>
    <w:link w:val="41"/>
    <w:qFormat/>
    <w:uiPriority w:val="30"/>
    <w:rPr>
      <w:i/>
      <w:iCs/>
      <w:color w:val="104862" w:themeColor="accent1" w:themeShade="BF"/>
    </w:rPr>
  </w:style>
  <w:style w:type="character" w:customStyle="1" w:styleId="43">
    <w:name w:val="Intense Reference"/>
    <w:basedOn w:val="2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4">
    <w:name w:val="页眉 字符"/>
    <w:basedOn w:val="24"/>
    <w:link w:val="15"/>
    <w:qFormat/>
    <w:uiPriority w:val="99"/>
    <w:rPr>
      <w:sz w:val="18"/>
      <w:szCs w:val="18"/>
    </w:rPr>
  </w:style>
  <w:style w:type="character" w:customStyle="1" w:styleId="45">
    <w:name w:val="页脚 字符"/>
    <w:basedOn w:val="24"/>
    <w:link w:val="14"/>
    <w:qFormat/>
    <w:uiPriority w:val="99"/>
    <w:rPr>
      <w:sz w:val="18"/>
      <w:szCs w:val="18"/>
    </w:rPr>
  </w:style>
  <w:style w:type="paragraph" w:customStyle="1" w:styleId="4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2251</Words>
  <Characters>2788</Characters>
  <Lines>25</Lines>
  <Paragraphs>7</Paragraphs>
  <TotalTime>56</TotalTime>
  <ScaleCrop>false</ScaleCrop>
  <LinksUpToDate>false</LinksUpToDate>
  <CharactersWithSpaces>3018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2024-01-22T20:35:00Z</dcterms:created>
  <dc:creator>a15280976656@outlook.com</dc:creator>
  <cp:lastModifiedBy>coco</cp:lastModifiedBy>
  <cp:lastPrinted>2024-02-02T16:47:00Z</cp:lastPrinted>
  <dcterms:modified xsi:type="dcterms:W3CDTF">2024-06-30T21:25:13Z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9490CA8D91417A15E35981661A923DBD_43</vt:lpwstr>
  </property>
</Properties>
</file>