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B1EA2">
      <w:pPr>
        <w:pStyle w:val="4"/>
        <w:pageBreakBefore w:val="0"/>
        <w:wordWrap/>
        <w:topLinePunct w:val="0"/>
        <w:bidi w:val="0"/>
        <w:spacing w:before="120" w:after="163" w:afterLines="50" w:line="560" w:lineRule="exact"/>
        <w:jc w:val="center"/>
        <w:outlineLvl w:val="0"/>
        <w:rPr>
          <w:rFonts w:hint="eastAsia" w:ascii="仿宋_GB2312" w:hAnsi="仿宋_GB2312" w:eastAsia="仿宋_GB2312" w:cs="仿宋_GB2312"/>
          <w:b/>
          <w:bCs/>
          <w:color w:val="auto"/>
          <w:sz w:val="44"/>
          <w:szCs w:val="44"/>
          <w:highlight w:val="none"/>
          <w:lang w:val="en-US" w:eastAsia="zh-CN"/>
        </w:rPr>
      </w:pPr>
      <w:bookmarkStart w:id="0" w:name="OLE_LINK3"/>
    </w:p>
    <w:p w14:paraId="61F31719">
      <w:pPr>
        <w:pageBreakBefore w:val="0"/>
        <w:widowControl/>
        <w:shd w:val="clear" w:color="auto" w:fill="FFFFFF"/>
        <w:tabs>
          <w:tab w:val="left" w:pos="1605"/>
        </w:tabs>
        <w:wordWrap/>
        <w:topLinePunct w:val="0"/>
        <w:bidi w:val="0"/>
        <w:spacing w:line="560" w:lineRule="exact"/>
        <w:ind w:firstLine="0" w:firstLineChars="0"/>
        <w:jc w:val="center"/>
        <w:outlineLvl w:val="1"/>
        <w:rPr>
          <w:rFonts w:hint="eastAsia" w:ascii="方正小标宋简体" w:hAnsi="黑体" w:eastAsia="方正小标宋简体" w:cs="宋体"/>
          <w:b w:val="0"/>
          <w:bCs w:val="0"/>
          <w:color w:val="auto"/>
          <w:sz w:val="44"/>
          <w:szCs w:val="44"/>
          <w:highlight w:val="none"/>
          <w:lang w:val="en-US" w:eastAsia="zh-CN"/>
        </w:rPr>
      </w:pPr>
      <w:r>
        <w:rPr>
          <w:rFonts w:hint="eastAsia" w:ascii="方正小标宋简体" w:hAnsi="黑体" w:eastAsia="方正小标宋简体" w:cs="宋体"/>
          <w:b w:val="0"/>
          <w:bCs w:val="0"/>
          <w:color w:val="auto"/>
          <w:sz w:val="44"/>
          <w:szCs w:val="44"/>
          <w:highlight w:val="none"/>
          <w:lang w:val="en-US" w:eastAsia="zh-CN"/>
        </w:rPr>
        <w:t>四川九洲投资控股集团有限公司</w:t>
      </w:r>
    </w:p>
    <w:p w14:paraId="1267E63B">
      <w:pPr>
        <w:pageBreakBefore w:val="0"/>
        <w:widowControl/>
        <w:shd w:val="clear" w:color="auto" w:fill="FFFFFF"/>
        <w:tabs>
          <w:tab w:val="left" w:pos="1605"/>
        </w:tabs>
        <w:wordWrap/>
        <w:topLinePunct w:val="0"/>
        <w:bidi w:val="0"/>
        <w:spacing w:line="560" w:lineRule="exact"/>
        <w:ind w:firstLine="0" w:firstLineChars="0"/>
        <w:jc w:val="center"/>
        <w:outlineLvl w:val="1"/>
        <w:rPr>
          <w:rFonts w:hint="eastAsia" w:ascii="方正小标宋简体" w:hAnsi="黑体" w:eastAsia="方正小标宋简体" w:cs="宋体"/>
          <w:b w:val="0"/>
          <w:bCs w:val="0"/>
          <w:color w:val="auto"/>
          <w:sz w:val="44"/>
          <w:szCs w:val="44"/>
          <w:highlight w:val="none"/>
          <w:lang w:val="en-US" w:eastAsia="zh-CN"/>
        </w:rPr>
      </w:pPr>
      <w:r>
        <w:rPr>
          <w:rFonts w:hint="eastAsia" w:ascii="方正小标宋简体" w:hAnsi="黑体" w:eastAsia="方正小标宋简体" w:cs="宋体"/>
          <w:b w:val="0"/>
          <w:bCs w:val="0"/>
          <w:color w:val="auto"/>
          <w:sz w:val="44"/>
          <w:szCs w:val="44"/>
          <w:highlight w:val="none"/>
          <w:lang w:val="en-US" w:eastAsia="zh-CN"/>
        </w:rPr>
        <w:t>两化融合、DCMM、DTMM、CMMM</w:t>
      </w:r>
    </w:p>
    <w:p w14:paraId="2E44A7CF">
      <w:pPr>
        <w:pageBreakBefore w:val="0"/>
        <w:widowControl/>
        <w:shd w:val="clear" w:color="auto" w:fill="FFFFFF"/>
        <w:tabs>
          <w:tab w:val="left" w:pos="1605"/>
        </w:tabs>
        <w:wordWrap/>
        <w:topLinePunct w:val="0"/>
        <w:bidi w:val="0"/>
        <w:spacing w:line="560" w:lineRule="exact"/>
        <w:ind w:firstLine="0" w:firstLineChars="0"/>
        <w:jc w:val="center"/>
        <w:outlineLvl w:val="1"/>
        <w:rPr>
          <w:rFonts w:hint="default" w:ascii="方正小标宋简体" w:hAnsi="黑体" w:eastAsia="方正小标宋简体" w:cs="宋体"/>
          <w:b w:val="0"/>
          <w:bCs w:val="0"/>
          <w:color w:val="auto"/>
          <w:sz w:val="44"/>
          <w:szCs w:val="44"/>
          <w:highlight w:val="none"/>
          <w:lang w:val="en-US" w:eastAsia="zh-CN"/>
        </w:rPr>
      </w:pPr>
      <w:r>
        <w:rPr>
          <w:rFonts w:hint="eastAsia" w:ascii="方正小标宋简体" w:hAnsi="黑体" w:eastAsia="方正小标宋简体" w:cs="宋体"/>
          <w:b w:val="0"/>
          <w:bCs w:val="0"/>
          <w:color w:val="auto"/>
          <w:sz w:val="44"/>
          <w:szCs w:val="44"/>
          <w:highlight w:val="none"/>
          <w:lang w:val="en-US" w:eastAsia="zh-CN"/>
        </w:rPr>
        <w:t>咨询和评估服务选聘</w:t>
      </w:r>
    </w:p>
    <w:p w14:paraId="70F490C3">
      <w:pPr>
        <w:pageBreakBefore w:val="0"/>
        <w:wordWrap/>
        <w:topLinePunct w:val="0"/>
        <w:bidi w:val="0"/>
        <w:spacing w:line="560" w:lineRule="exact"/>
        <w:jc w:val="center"/>
        <w:outlineLvl w:val="0"/>
        <w:rPr>
          <w:rFonts w:hint="eastAsia" w:ascii="方正小标宋简体" w:hAnsi="方正小标宋简体" w:eastAsia="方正小标宋简体" w:cs="方正小标宋简体"/>
          <w:b w:val="0"/>
          <w:bCs w:val="0"/>
          <w:color w:val="auto"/>
          <w:sz w:val="44"/>
          <w:szCs w:val="44"/>
          <w:highlight w:val="none"/>
          <w:lang w:val="en-US" w:eastAsia="zh"/>
        </w:rPr>
      </w:pPr>
    </w:p>
    <w:p w14:paraId="00404293">
      <w:pPr>
        <w:pStyle w:val="4"/>
        <w:pageBreakBefore w:val="0"/>
        <w:wordWrap/>
        <w:topLinePunct w:val="0"/>
        <w:bidi w:val="0"/>
        <w:spacing w:before="120" w:after="163" w:afterLines="50" w:line="560" w:lineRule="exact"/>
        <w:jc w:val="center"/>
        <w:outlineLvl w:val="0"/>
        <w:rPr>
          <w:rFonts w:hint="eastAsia" w:ascii="方正小标宋简体" w:hAnsi="方正小标宋简体" w:eastAsia="方正小标宋简体" w:cs="方正小标宋简体"/>
          <w:b w:val="0"/>
          <w:bCs w:val="0"/>
          <w:color w:val="auto"/>
          <w:spacing w:val="-20"/>
          <w:sz w:val="44"/>
          <w:szCs w:val="44"/>
          <w:highlight w:val="none"/>
          <w:lang w:eastAsia="zh-CN"/>
        </w:rPr>
      </w:pPr>
    </w:p>
    <w:p w14:paraId="30483BD8">
      <w:pPr>
        <w:keepNext w:val="0"/>
        <w:keepLines w:val="0"/>
        <w:pageBreakBefore w:val="0"/>
        <w:widowControl/>
        <w:suppressLineNumbers w:val="0"/>
        <w:shd w:val="clear" w:color="auto" w:fill="FFFFFF"/>
        <w:wordWrap/>
        <w:topLinePunct w:val="0"/>
        <w:bidi w:val="0"/>
        <w:spacing w:line="560" w:lineRule="exact"/>
        <w:jc w:val="center"/>
        <w:outlineLvl w:val="1"/>
        <w:rPr>
          <w:rFonts w:hint="default" w:ascii="方正小标宋简体" w:hAnsi="黑体" w:eastAsia="方正小标宋简体" w:cs="宋体"/>
          <w:b w:val="0"/>
          <w:bCs w:val="0"/>
          <w:color w:val="auto"/>
          <w:sz w:val="44"/>
          <w:szCs w:val="44"/>
          <w:highlight w:val="none"/>
          <w:lang w:val="en-US"/>
        </w:rPr>
      </w:pPr>
      <w:bookmarkStart w:id="1" w:name="_Toc18454"/>
      <w:r>
        <w:rPr>
          <w:rFonts w:hint="eastAsia" w:ascii="方正小标宋简体" w:hAnsi="黑体" w:eastAsia="方正小标宋简体" w:cs="宋体"/>
          <w:b w:val="0"/>
          <w:bCs w:val="0"/>
          <w:color w:val="auto"/>
          <w:sz w:val="44"/>
          <w:szCs w:val="44"/>
          <w:highlight w:val="none"/>
        </w:rPr>
        <w:t>项目编号：</w:t>
      </w:r>
      <w:bookmarkEnd w:id="1"/>
      <w:r>
        <w:rPr>
          <w:rFonts w:hint="eastAsia" w:ascii="方正小标宋简体" w:hAnsi="黑体" w:eastAsia="方正小标宋简体" w:cs="宋体"/>
          <w:b w:val="0"/>
          <w:bCs w:val="0"/>
          <w:color w:val="auto"/>
          <w:sz w:val="44"/>
          <w:szCs w:val="44"/>
          <w:highlight w:val="none"/>
          <w:lang w:val="en-US" w:eastAsia="zh-CN"/>
        </w:rPr>
        <w:t>JZCG-JTZB-FZ-202504018</w:t>
      </w:r>
    </w:p>
    <w:p w14:paraId="2A4CAE3A">
      <w:pPr>
        <w:pStyle w:val="26"/>
        <w:pageBreakBefore w:val="0"/>
        <w:wordWrap/>
        <w:topLinePunct w:val="0"/>
        <w:bidi w:val="0"/>
        <w:spacing w:line="560" w:lineRule="exact"/>
        <w:ind w:firstLine="320"/>
        <w:jc w:val="center"/>
        <w:outlineLvl w:val="0"/>
        <w:rPr>
          <w:rFonts w:hint="eastAsia" w:ascii="方正小标宋简体" w:hAnsi="方正小标宋简体" w:eastAsia="方正小标宋简体" w:cs="方正小标宋简体"/>
          <w:b w:val="0"/>
          <w:bCs w:val="0"/>
          <w:color w:val="auto"/>
          <w:sz w:val="44"/>
          <w:szCs w:val="44"/>
          <w:highlight w:val="none"/>
        </w:rPr>
      </w:pPr>
    </w:p>
    <w:p w14:paraId="42F044B0">
      <w:pPr>
        <w:pStyle w:val="4"/>
        <w:pageBreakBefore w:val="0"/>
        <w:wordWrap/>
        <w:topLinePunct w:val="0"/>
        <w:bidi w:val="0"/>
        <w:spacing w:before="120" w:after="163" w:afterLines="50" w:line="560" w:lineRule="exact"/>
        <w:jc w:val="center"/>
        <w:outlineLvl w:val="0"/>
        <w:rPr>
          <w:rFonts w:hint="eastAsia" w:ascii="方正小标宋简体" w:hAnsi="黑体" w:eastAsia="方正小标宋简体" w:cs="宋体"/>
          <w:b w:val="0"/>
          <w:bCs w:val="0"/>
          <w:color w:val="auto"/>
          <w:sz w:val="44"/>
          <w:szCs w:val="44"/>
          <w:highlight w:val="none"/>
        </w:rPr>
      </w:pPr>
      <w:r>
        <w:rPr>
          <w:rFonts w:hint="eastAsia" w:ascii="方正小标宋简体" w:hAnsi="黑体" w:eastAsia="方正小标宋简体" w:cs="宋体"/>
          <w:b w:val="0"/>
          <w:bCs w:val="0"/>
          <w:color w:val="auto"/>
          <w:sz w:val="44"/>
          <w:szCs w:val="44"/>
          <w:highlight w:val="none"/>
          <w:lang w:val="en-US" w:eastAsia="zh-CN"/>
        </w:rPr>
        <w:t>询比</w:t>
      </w:r>
      <w:r>
        <w:rPr>
          <w:rFonts w:hint="eastAsia" w:ascii="方正小标宋简体" w:hAnsi="黑体" w:eastAsia="方正小标宋简体" w:cs="宋体"/>
          <w:b w:val="0"/>
          <w:bCs w:val="0"/>
          <w:color w:val="auto"/>
          <w:sz w:val="44"/>
          <w:szCs w:val="44"/>
          <w:highlight w:val="none"/>
        </w:rPr>
        <w:t>文件</w:t>
      </w:r>
    </w:p>
    <w:p w14:paraId="762998B6">
      <w:pPr>
        <w:pStyle w:val="4"/>
        <w:pageBreakBefore w:val="0"/>
        <w:wordWrap/>
        <w:topLinePunct w:val="0"/>
        <w:bidi w:val="0"/>
        <w:spacing w:before="156" w:after="163" w:afterLines="50" w:line="560" w:lineRule="exact"/>
        <w:ind w:firstLine="0"/>
        <w:jc w:val="center"/>
        <w:rPr>
          <w:rFonts w:hint="eastAsia" w:ascii="仿宋_GB2312" w:hAnsi="仿宋_GB2312" w:eastAsia="仿宋_GB2312" w:cs="仿宋_GB2312"/>
          <w:b/>
          <w:color w:val="auto"/>
          <w:sz w:val="32"/>
          <w:szCs w:val="32"/>
          <w:highlight w:val="none"/>
        </w:rPr>
      </w:pPr>
    </w:p>
    <w:p w14:paraId="788556F3">
      <w:pPr>
        <w:pStyle w:val="4"/>
        <w:pageBreakBefore w:val="0"/>
        <w:wordWrap/>
        <w:topLinePunct w:val="0"/>
        <w:bidi w:val="0"/>
        <w:spacing w:before="156" w:after="163" w:afterLines="50" w:line="560" w:lineRule="exact"/>
        <w:ind w:firstLine="627"/>
        <w:jc w:val="center"/>
        <w:rPr>
          <w:rFonts w:hint="eastAsia" w:ascii="仿宋_GB2312" w:hAnsi="仿宋_GB2312" w:eastAsia="仿宋_GB2312" w:cs="仿宋_GB2312"/>
          <w:b/>
          <w:bCs/>
          <w:color w:val="auto"/>
          <w:sz w:val="32"/>
          <w:szCs w:val="32"/>
          <w:highlight w:val="none"/>
        </w:rPr>
      </w:pPr>
    </w:p>
    <w:p w14:paraId="189E04A2">
      <w:pPr>
        <w:pStyle w:val="4"/>
        <w:pageBreakBefore w:val="0"/>
        <w:wordWrap/>
        <w:topLinePunct w:val="0"/>
        <w:bidi w:val="0"/>
        <w:spacing w:before="156" w:after="163" w:afterLines="50" w:line="560" w:lineRule="exact"/>
        <w:jc w:val="center"/>
        <w:outlineLvl w:val="9"/>
        <w:rPr>
          <w:rFonts w:hint="eastAsia" w:ascii="仿宋_GB2312" w:hAnsi="仿宋_GB2312" w:eastAsia="仿宋_GB2312" w:cs="仿宋_GB2312"/>
          <w:b w:val="0"/>
          <w:bCs w:val="0"/>
          <w:color w:val="auto"/>
          <w:sz w:val="32"/>
          <w:szCs w:val="32"/>
          <w:highlight w:val="none"/>
          <w:lang w:eastAsia="zh"/>
        </w:rPr>
      </w:pPr>
      <w:bookmarkStart w:id="2" w:name="_Toc24842"/>
      <w:r>
        <w:rPr>
          <w:rFonts w:hint="eastAsia" w:ascii="仿宋_GB2312" w:hAnsi="仿宋_GB2312" w:eastAsia="仿宋_GB2312" w:cs="仿宋_GB2312"/>
          <w:b w:val="0"/>
          <w:bCs w:val="0"/>
          <w:color w:val="auto"/>
          <w:sz w:val="32"/>
          <w:szCs w:val="32"/>
          <w:highlight w:val="none"/>
        </w:rPr>
        <w:t>采购人：</w:t>
      </w:r>
      <w:bookmarkEnd w:id="2"/>
      <w:r>
        <w:rPr>
          <w:rFonts w:hint="eastAsia" w:ascii="仿宋_GB2312" w:hAnsi="仿宋_GB2312" w:eastAsia="仿宋_GB2312" w:cs="仿宋_GB2312"/>
          <w:b w:val="0"/>
          <w:bCs w:val="0"/>
          <w:color w:val="auto"/>
          <w:sz w:val="32"/>
          <w:szCs w:val="32"/>
          <w:highlight w:val="none"/>
          <w:lang w:eastAsia="zh"/>
        </w:rPr>
        <w:t>四川九洲投资控股集团有限公司</w:t>
      </w:r>
    </w:p>
    <w:p w14:paraId="1BD30160">
      <w:pPr>
        <w:pStyle w:val="4"/>
        <w:pageBreakBefore w:val="0"/>
        <w:wordWrap/>
        <w:topLinePunct w:val="0"/>
        <w:bidi w:val="0"/>
        <w:spacing w:before="156" w:after="163" w:afterLines="50" w:line="560" w:lineRule="exact"/>
        <w:ind w:firstLine="627"/>
        <w:jc w:val="center"/>
        <w:rPr>
          <w:rFonts w:hint="eastAsia" w:ascii="仿宋_GB2312" w:hAnsi="仿宋_GB2312" w:eastAsia="仿宋_GB2312" w:cs="仿宋_GB2312"/>
          <w:b w:val="0"/>
          <w:bCs w:val="0"/>
          <w:color w:val="auto"/>
          <w:sz w:val="32"/>
          <w:szCs w:val="32"/>
          <w:highlight w:val="none"/>
        </w:rPr>
      </w:pPr>
    </w:p>
    <w:p w14:paraId="0AECA200">
      <w:pPr>
        <w:pStyle w:val="4"/>
        <w:pageBreakBefore w:val="0"/>
        <w:wordWrap/>
        <w:topLinePunct w:val="0"/>
        <w:bidi w:val="0"/>
        <w:spacing w:before="156" w:after="163" w:afterLines="50" w:line="560" w:lineRule="exact"/>
        <w:jc w:val="center"/>
        <w:rPr>
          <w:rFonts w:hint="eastAsia" w:ascii="仿宋_GB2312" w:hAnsi="仿宋_GB2312" w:eastAsia="仿宋_GB2312" w:cs="仿宋_GB2312"/>
          <w:b w:val="0"/>
          <w:bCs w:val="0"/>
          <w:color w:val="auto"/>
          <w:sz w:val="32"/>
          <w:szCs w:val="32"/>
          <w:highlight w:val="none"/>
          <w:u w:val="none"/>
          <w:lang w:eastAsia="zh"/>
        </w:rPr>
      </w:pPr>
      <w:r>
        <w:rPr>
          <w:rFonts w:hint="eastAsia" w:ascii="仿宋_GB2312" w:hAnsi="仿宋_GB2312" w:eastAsia="仿宋_GB2312" w:cs="仿宋_GB2312"/>
          <w:b w:val="0"/>
          <w:bCs w:val="0"/>
          <w:color w:val="auto"/>
          <w:sz w:val="32"/>
          <w:szCs w:val="32"/>
          <w:highlight w:val="none"/>
          <w:u w:val="single"/>
          <w:lang w:val="en-US" w:eastAsia="zh-CN"/>
        </w:rPr>
        <w:t>2025</w:t>
      </w:r>
      <w:r>
        <w:rPr>
          <w:rFonts w:hint="eastAsia" w:ascii="仿宋_GB2312" w:hAnsi="仿宋_GB2312" w:eastAsia="仿宋_GB2312" w:cs="仿宋_GB2312"/>
          <w:b w:val="0"/>
          <w:bCs w:val="0"/>
          <w:color w:val="auto"/>
          <w:sz w:val="32"/>
          <w:szCs w:val="32"/>
          <w:highlight w:val="none"/>
        </w:rPr>
        <w:t>年</w:t>
      </w:r>
      <w:r>
        <w:rPr>
          <w:rFonts w:hint="eastAsia" w:ascii="仿宋_GB2312" w:hAnsi="仿宋_GB2312" w:eastAsia="仿宋_GB2312" w:cs="仿宋_GB2312"/>
          <w:b w:val="0"/>
          <w:bCs w:val="0"/>
          <w:color w:val="auto"/>
          <w:sz w:val="32"/>
          <w:szCs w:val="32"/>
          <w:highlight w:val="none"/>
          <w:u w:val="single"/>
          <w:lang w:val="en-US" w:eastAsia="zh-CN"/>
        </w:rPr>
        <w:t>05月</w:t>
      </w:r>
    </w:p>
    <w:p w14:paraId="6497B2D2">
      <w:pPr>
        <w:pStyle w:val="22"/>
        <w:pageBreakBefore w:val="0"/>
        <w:wordWrap/>
        <w:topLinePunct w:val="0"/>
        <w:bidi w:val="0"/>
        <w:spacing w:line="560" w:lineRule="exact"/>
        <w:ind w:left="0" w:leftChars="0" w:right="420" w:rightChars="200" w:firstLine="0" w:firstLineChars="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44"/>
          <w:szCs w:val="44"/>
          <w:highlight w:val="none"/>
        </w:rPr>
        <w:br w:type="page"/>
      </w:r>
      <w:r>
        <w:rPr>
          <w:rFonts w:hint="eastAsia" w:ascii="仿宋_GB2312" w:hAnsi="仿宋_GB2312" w:eastAsia="仿宋_GB2312" w:cs="仿宋_GB2312"/>
          <w:color w:val="auto"/>
          <w:sz w:val="32"/>
          <w:szCs w:val="32"/>
          <w:highlight w:val="none"/>
        </w:rPr>
        <w:t>目</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录</w:t>
      </w:r>
    </w:p>
    <w:p w14:paraId="4C232AD7">
      <w:pPr>
        <w:pStyle w:val="20"/>
        <w:pageBreakBefore w:val="0"/>
        <w:tabs>
          <w:tab w:val="right" w:leader="dot" w:pos="8844"/>
        </w:tabs>
        <w:wordWrap/>
        <w:topLinePunct w:val="0"/>
        <w:bidi w:val="0"/>
        <w:spacing w:line="560" w:lineRule="exact"/>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TOC \o "1-1" \h \u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\l _Toc3781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bCs w:val="0"/>
          <w:color w:val="auto"/>
          <w:sz w:val="32"/>
          <w:szCs w:val="32"/>
          <w:highlight w:val="none"/>
          <w:lang w:val="en-US" w:eastAsia="zh-CN"/>
        </w:rPr>
        <w:t>第一章 询比</w:t>
      </w:r>
      <w:r>
        <w:rPr>
          <w:rFonts w:hint="eastAsia" w:ascii="仿宋_GB2312" w:hAnsi="仿宋_GB2312" w:eastAsia="仿宋_GB2312" w:cs="仿宋_GB2312"/>
          <w:bCs w:val="0"/>
          <w:color w:val="auto"/>
          <w:sz w:val="32"/>
          <w:szCs w:val="32"/>
          <w:highlight w:val="none"/>
        </w:rPr>
        <w:t>公告</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PAGEREF _Toc3781 \h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fldChar w:fldCharType="end"/>
      </w:r>
    </w:p>
    <w:p w14:paraId="29AE3618">
      <w:pPr>
        <w:pStyle w:val="20"/>
        <w:pageBreakBefore w:val="0"/>
        <w:tabs>
          <w:tab w:val="right" w:leader="dot" w:pos="8844"/>
        </w:tabs>
        <w:wordWrap/>
        <w:topLinePunct w:val="0"/>
        <w:bidi w:val="0"/>
        <w:spacing w:line="560" w:lineRule="exact"/>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\l _Toc2098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bCs w:val="0"/>
          <w:color w:val="auto"/>
          <w:sz w:val="32"/>
          <w:szCs w:val="32"/>
          <w:highlight w:val="none"/>
          <w:lang w:val="en-US" w:eastAsia="zh-CN"/>
        </w:rPr>
        <w:t>第二章 供应商须知</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PAGEREF _Toc2098 \h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6</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fldChar w:fldCharType="end"/>
      </w:r>
    </w:p>
    <w:p w14:paraId="5F375E7F">
      <w:pPr>
        <w:pStyle w:val="20"/>
        <w:pageBreakBefore w:val="0"/>
        <w:tabs>
          <w:tab w:val="right" w:leader="dot" w:pos="8844"/>
        </w:tabs>
        <w:wordWrap/>
        <w:topLinePunct w:val="0"/>
        <w:bidi w:val="0"/>
        <w:spacing w:line="560" w:lineRule="exact"/>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\l _Toc23453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bCs w:val="0"/>
          <w:color w:val="auto"/>
          <w:sz w:val="32"/>
          <w:szCs w:val="32"/>
          <w:highlight w:val="none"/>
          <w:lang w:val="en-US" w:eastAsia="zh-CN"/>
        </w:rPr>
        <w:t>第三章 服务内容及要求</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PAGEREF _Toc23453 \h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18</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fldChar w:fldCharType="end"/>
      </w:r>
    </w:p>
    <w:p w14:paraId="35974F30">
      <w:pPr>
        <w:pStyle w:val="20"/>
        <w:pageBreakBefore w:val="0"/>
        <w:tabs>
          <w:tab w:val="right" w:leader="dot" w:pos="8844"/>
        </w:tabs>
        <w:wordWrap/>
        <w:topLinePunct w:val="0"/>
        <w:bidi w:val="0"/>
        <w:spacing w:line="560" w:lineRule="exact"/>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\l _Toc440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bCs w:val="0"/>
          <w:color w:val="auto"/>
          <w:sz w:val="32"/>
          <w:szCs w:val="32"/>
          <w:highlight w:val="none"/>
          <w:lang w:val="en-US" w:eastAsia="zh-CN"/>
        </w:rPr>
        <w:t xml:space="preserve">第四章 </w:t>
      </w:r>
      <w:r>
        <w:rPr>
          <w:rFonts w:hint="eastAsia" w:ascii="仿宋_GB2312" w:hAnsi="仿宋_GB2312" w:eastAsia="仿宋_GB2312" w:cs="仿宋_GB2312"/>
          <w:bCs w:val="0"/>
          <w:color w:val="auto"/>
          <w:sz w:val="32"/>
          <w:szCs w:val="32"/>
          <w:highlight w:val="none"/>
        </w:rPr>
        <w:t>评审</w:t>
      </w:r>
      <w:r>
        <w:rPr>
          <w:rFonts w:hint="eastAsia" w:ascii="仿宋_GB2312" w:hAnsi="仿宋_GB2312" w:eastAsia="仿宋_GB2312" w:cs="仿宋_GB2312"/>
          <w:bCs w:val="0"/>
          <w:color w:val="auto"/>
          <w:sz w:val="32"/>
          <w:szCs w:val="32"/>
          <w:highlight w:val="none"/>
          <w:lang w:val="en-US" w:eastAsia="zh-CN"/>
        </w:rPr>
        <w:t>方法与标准</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PAGEREF _Toc440 \h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19</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fldChar w:fldCharType="end"/>
      </w:r>
    </w:p>
    <w:p w14:paraId="21F7BB36">
      <w:pPr>
        <w:pStyle w:val="20"/>
        <w:pageBreakBefore w:val="0"/>
        <w:tabs>
          <w:tab w:val="right" w:leader="dot" w:pos="8844"/>
        </w:tabs>
        <w:wordWrap/>
        <w:topLinePunct w:val="0"/>
        <w:bidi w:val="0"/>
        <w:spacing w:line="560" w:lineRule="exact"/>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\l _Toc20481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bCs w:val="0"/>
          <w:color w:val="auto"/>
          <w:sz w:val="32"/>
          <w:szCs w:val="32"/>
          <w:highlight w:val="none"/>
        </w:rPr>
        <w:t>第</w:t>
      </w:r>
      <w:r>
        <w:rPr>
          <w:rFonts w:hint="eastAsia" w:ascii="仿宋_GB2312" w:hAnsi="仿宋_GB2312" w:eastAsia="仿宋_GB2312" w:cs="仿宋_GB2312"/>
          <w:bCs w:val="0"/>
          <w:color w:val="auto"/>
          <w:sz w:val="32"/>
          <w:szCs w:val="32"/>
          <w:highlight w:val="none"/>
          <w:lang w:val="en-US" w:eastAsia="zh-CN"/>
        </w:rPr>
        <w:t>五</w:t>
      </w:r>
      <w:r>
        <w:rPr>
          <w:rFonts w:hint="eastAsia" w:ascii="仿宋_GB2312" w:hAnsi="仿宋_GB2312" w:eastAsia="仿宋_GB2312" w:cs="仿宋_GB2312"/>
          <w:bCs w:val="0"/>
          <w:color w:val="auto"/>
          <w:sz w:val="32"/>
          <w:szCs w:val="32"/>
          <w:highlight w:val="none"/>
        </w:rPr>
        <w:t>章 响应文件格式</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PAGEREF _Toc20481 \h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27</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fldChar w:fldCharType="end"/>
      </w:r>
    </w:p>
    <w:p w14:paraId="24418F7B">
      <w:pPr>
        <w:pStyle w:val="20"/>
        <w:pageBreakBefore w:val="0"/>
        <w:tabs>
          <w:tab w:val="right" w:leader="dot" w:pos="8844"/>
        </w:tabs>
        <w:wordWrap/>
        <w:topLinePunct w:val="0"/>
        <w:bidi w:val="0"/>
        <w:spacing w:line="5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\l _Toc32328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bCs w:val="0"/>
          <w:color w:val="auto"/>
          <w:kern w:val="44"/>
          <w:sz w:val="32"/>
          <w:szCs w:val="32"/>
          <w:highlight w:val="none"/>
          <w:lang w:val="en-US" w:eastAsia="zh-CN" w:bidi="ar-SA"/>
        </w:rPr>
        <w:t>第六章 拟签订的合同文本主要内容</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PAGEREF _Toc32328 \h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color w:val="auto"/>
          <w:sz w:val="32"/>
          <w:szCs w:val="32"/>
          <w:highlight w:val="none"/>
        </w:rPr>
        <w:t>42</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fldChar w:fldCharType="end"/>
      </w:r>
    </w:p>
    <w:p w14:paraId="4F178B68">
      <w:pPr>
        <w:pageBreakBefore w:val="0"/>
        <w:wordWrap/>
        <w:topLinePunct w:val="0"/>
        <w:bidi w:val="0"/>
        <w:spacing w:line="560" w:lineRule="exact"/>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rPr>
        <w:fldChar w:fldCharType="end"/>
      </w:r>
    </w:p>
    <w:p w14:paraId="3D065731">
      <w:pPr>
        <w:keepNext w:val="0"/>
        <w:keepLines w:val="0"/>
        <w:pageBreakBefore w:val="0"/>
        <w:widowControl w:val="0"/>
        <w:kinsoku/>
        <w:wordWrap/>
        <w:overflowPunct/>
        <w:topLinePunct w:val="0"/>
        <w:autoSpaceDE/>
        <w:autoSpaceDN/>
        <w:bidi w:val="0"/>
        <w:adjustRightInd/>
        <w:snapToGrid/>
        <w:spacing w:beforeLines="0" w:afterLines="0" w:line="560" w:lineRule="exact"/>
        <w:ind w:firstLine="880" w:firstLineChars="200"/>
        <w:jc w:val="center"/>
        <w:textAlignment w:val="auto"/>
        <w:outlineLvl w:val="0"/>
        <w:rPr>
          <w:rStyle w:val="33"/>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color w:val="auto"/>
          <w:sz w:val="44"/>
          <w:szCs w:val="44"/>
          <w:highlight w:val="none"/>
        </w:rPr>
        <w:br w:type="page"/>
      </w:r>
      <w:bookmarkStart w:id="3" w:name="_Toc1388962471"/>
      <w:bookmarkStart w:id="4" w:name="_Toc3781"/>
      <w:bookmarkStart w:id="5" w:name="_Toc21290"/>
      <w:bookmarkStart w:id="6" w:name="_Toc9195"/>
      <w:r>
        <w:rPr>
          <w:rStyle w:val="33"/>
          <w:rFonts w:hint="eastAsia" w:ascii="方正小标宋简体" w:hAnsi="黑体" w:eastAsia="方正小标宋简体" w:cs="宋体"/>
          <w:b w:val="0"/>
          <w:bCs w:val="0"/>
          <w:color w:val="auto"/>
          <w:kern w:val="0"/>
          <w:sz w:val="44"/>
          <w:highlight w:val="none"/>
          <w:lang w:val="en-US" w:eastAsia="zh-CN"/>
        </w:rPr>
        <w:t>第一章 询比</w:t>
      </w:r>
      <w:r>
        <w:rPr>
          <w:rStyle w:val="33"/>
          <w:rFonts w:hint="eastAsia" w:ascii="方正小标宋简体" w:hAnsi="黑体" w:eastAsia="方正小标宋简体" w:cs="宋体"/>
          <w:b w:val="0"/>
          <w:bCs w:val="0"/>
          <w:color w:val="auto"/>
          <w:kern w:val="0"/>
          <w:sz w:val="44"/>
          <w:highlight w:val="none"/>
        </w:rPr>
        <w:t>公告</w:t>
      </w:r>
      <w:bookmarkEnd w:id="3"/>
      <w:bookmarkEnd w:id="4"/>
      <w:bookmarkEnd w:id="5"/>
      <w:bookmarkEnd w:id="6"/>
    </w:p>
    <w:p w14:paraId="0FA7794B">
      <w:pPr>
        <w:pageBreakBefore w:val="0"/>
        <w:wordWrap/>
        <w:topLinePunct w:val="0"/>
        <w:bidi w:val="0"/>
        <w:spacing w:beforeLines="0" w:afterLines="0" w:line="560" w:lineRule="exact"/>
        <w:ind w:firstLine="640" w:firstLineChars="200"/>
        <w:jc w:val="left"/>
        <w:rPr>
          <w:rFonts w:hint="eastAsia" w:ascii="仿宋_GB2312" w:hAnsi="仿宋_GB2312" w:eastAsia="仿宋_GB2312" w:cs="仿宋_GB2312"/>
          <w:bCs w:val="0"/>
          <w:color w:val="auto"/>
          <w:sz w:val="32"/>
          <w:szCs w:val="32"/>
          <w:highlight w:val="none"/>
          <w:shd w:val="clear" w:color="auto" w:fill="FFFFFF"/>
          <w:lang w:val="en-US" w:eastAsia="zh-CN" w:bidi="ar"/>
        </w:rPr>
      </w:pPr>
      <w:r>
        <w:rPr>
          <w:rFonts w:hint="eastAsia" w:ascii="仿宋_GB2312" w:hAnsi="仿宋_GB2312" w:eastAsia="仿宋_GB2312" w:cs="仿宋_GB2312"/>
          <w:color w:val="auto"/>
          <w:sz w:val="32"/>
          <w:szCs w:val="32"/>
          <w:highlight w:val="none"/>
          <w:shd w:val="clear" w:color="auto" w:fill="FFFFFF"/>
          <w:lang w:bidi="ar"/>
        </w:rPr>
        <w:t>四川九洲投资控股集团有限公司</w:t>
      </w:r>
      <w:r>
        <w:rPr>
          <w:rFonts w:hint="eastAsia" w:ascii="仿宋_GB2312" w:hAnsi="仿宋_GB2312" w:eastAsia="仿宋_GB2312" w:cs="仿宋_GB2312"/>
          <w:color w:val="auto"/>
          <w:sz w:val="32"/>
          <w:szCs w:val="32"/>
          <w:highlight w:val="none"/>
          <w:shd w:val="clear" w:color="auto" w:fill="FFFFFF"/>
          <w:lang w:eastAsia="zh-CN" w:bidi="ar"/>
        </w:rPr>
        <w:t>（</w:t>
      </w:r>
      <w:r>
        <w:rPr>
          <w:rFonts w:hint="eastAsia" w:ascii="仿宋_GB2312" w:hAnsi="仿宋_GB2312" w:eastAsia="仿宋_GB2312" w:cs="仿宋_GB2312"/>
          <w:color w:val="auto"/>
          <w:sz w:val="32"/>
          <w:szCs w:val="32"/>
          <w:highlight w:val="none"/>
          <w:shd w:val="clear" w:color="auto" w:fill="FFFFFF"/>
          <w:lang w:val="en-US" w:eastAsia="zh-CN" w:bidi="ar"/>
        </w:rPr>
        <w:t>下称“</w:t>
      </w:r>
      <w:r>
        <w:rPr>
          <w:rFonts w:hint="eastAsia" w:ascii="仿宋_GB2312" w:hAnsi="仿宋_GB2312" w:eastAsia="仿宋_GB2312" w:cs="仿宋_GB2312"/>
          <w:color w:val="auto"/>
          <w:sz w:val="32"/>
          <w:szCs w:val="32"/>
          <w:highlight w:val="none"/>
          <w:shd w:val="clear" w:color="auto" w:fill="FFFFFF"/>
          <w:lang w:bidi="ar"/>
        </w:rPr>
        <w:t>九洲集团</w:t>
      </w:r>
      <w:r>
        <w:rPr>
          <w:rFonts w:hint="eastAsia" w:ascii="仿宋_GB2312" w:hAnsi="仿宋_GB2312" w:eastAsia="仿宋_GB2312" w:cs="仿宋_GB2312"/>
          <w:color w:val="auto"/>
          <w:sz w:val="32"/>
          <w:szCs w:val="32"/>
          <w:highlight w:val="none"/>
          <w:shd w:val="clear" w:color="auto" w:fill="FFFFFF"/>
          <w:lang w:eastAsia="zh-CN" w:bidi="ar"/>
        </w:rPr>
        <w:t>”）</w:t>
      </w:r>
      <w:r>
        <w:rPr>
          <w:rFonts w:hint="eastAsia" w:ascii="仿宋_GB2312" w:hAnsi="仿宋_GB2312" w:eastAsia="仿宋_GB2312" w:cs="仿宋_GB2312"/>
          <w:color w:val="auto"/>
          <w:sz w:val="32"/>
          <w:szCs w:val="32"/>
          <w:highlight w:val="none"/>
          <w:shd w:val="clear" w:color="auto" w:fill="FFFFFF"/>
          <w:lang w:val="en-US" w:eastAsia="zh-CN" w:bidi="ar"/>
        </w:rPr>
        <w:t>在积极推进数字化和智能化转型的过程中，计划选聘</w:t>
      </w:r>
      <w:r>
        <w:rPr>
          <w:rFonts w:hint="eastAsia" w:ascii="仿宋_GB2312" w:hAnsi="仿宋_GB2312" w:eastAsia="仿宋_GB2312" w:cs="仿宋_GB2312"/>
          <w:color w:val="auto"/>
          <w:kern w:val="0"/>
          <w:sz w:val="32"/>
          <w:szCs w:val="32"/>
          <w:highlight w:val="none"/>
          <w:shd w:val="clear" w:color="auto" w:fill="FFFFFF"/>
          <w:lang w:bidi="ar"/>
        </w:rPr>
        <w:t>外部专业</w:t>
      </w:r>
      <w:r>
        <w:rPr>
          <w:rFonts w:hint="eastAsia" w:ascii="仿宋_GB2312" w:hAnsi="仿宋_GB2312" w:eastAsia="仿宋_GB2312" w:cs="仿宋_GB2312"/>
          <w:color w:val="auto"/>
          <w:kern w:val="0"/>
          <w:sz w:val="32"/>
          <w:szCs w:val="32"/>
          <w:highlight w:val="none"/>
          <w:shd w:val="clear" w:color="auto" w:fill="FFFFFF"/>
          <w:lang w:val="en-US" w:eastAsia="zh-CN" w:bidi="ar"/>
        </w:rPr>
        <w:t>服务机构对九洲集团两化融合、DCMM、DTMM、CMMM进行专项咨询和评估服务</w:t>
      </w:r>
      <w:r>
        <w:rPr>
          <w:rFonts w:hint="eastAsia" w:ascii="仿宋_GB2312" w:hAnsi="仿宋_GB2312" w:eastAsia="仿宋_GB2312" w:cs="仿宋_GB2312"/>
          <w:color w:val="auto"/>
          <w:kern w:val="0"/>
          <w:sz w:val="32"/>
          <w:szCs w:val="32"/>
          <w:highlight w:val="none"/>
          <w:shd w:val="clear" w:color="auto" w:fill="FFFFFF"/>
          <w:lang w:eastAsia="zh-CN" w:bidi="ar"/>
        </w:rPr>
        <w:t>。</w:t>
      </w:r>
      <w:r>
        <w:rPr>
          <w:rFonts w:hint="eastAsia" w:ascii="仿宋_GB2312" w:hAnsi="仿宋_GB2312" w:eastAsia="仿宋_GB2312" w:cs="仿宋_GB2312"/>
          <w:bCs w:val="0"/>
          <w:color w:val="auto"/>
          <w:sz w:val="32"/>
          <w:szCs w:val="32"/>
          <w:highlight w:val="none"/>
          <w:shd w:val="clear" w:color="auto" w:fill="FFFFFF"/>
          <w:lang w:val="en-US" w:eastAsia="zh-CN" w:bidi="ar"/>
        </w:rPr>
        <w:t>兹公开邀请符合要求的供应商参加询比。</w:t>
      </w:r>
    </w:p>
    <w:p w14:paraId="157C0773">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bidi="ar"/>
        </w:rPr>
      </w:pPr>
      <w:r>
        <w:rPr>
          <w:rFonts w:hint="eastAsia" w:ascii="黑体" w:hAnsi="黑体" w:eastAsia="黑体" w:cs="黑体"/>
          <w:b w:val="0"/>
          <w:bCs w:val="0"/>
          <w:color w:val="auto"/>
          <w:sz w:val="32"/>
          <w:szCs w:val="32"/>
          <w:highlight w:val="none"/>
          <w:lang w:val="en-US" w:bidi="ar"/>
        </w:rPr>
        <w:t>项目</w:t>
      </w:r>
      <w:r>
        <w:rPr>
          <w:rFonts w:hint="eastAsia" w:ascii="黑体" w:hAnsi="黑体" w:eastAsia="黑体" w:cs="黑体"/>
          <w:b w:val="0"/>
          <w:bCs w:val="0"/>
          <w:color w:val="auto"/>
          <w:sz w:val="32"/>
          <w:szCs w:val="32"/>
          <w:highlight w:val="none"/>
          <w:lang w:val="zh-CN" w:bidi="ar"/>
        </w:rPr>
        <w:t>概况</w:t>
      </w:r>
    </w:p>
    <w:p w14:paraId="7F9C5522">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pPr>
      <w:r>
        <w:rPr>
          <w:rFonts w:hint="eastAsia" w:ascii="仿宋_GB2312" w:hAnsi="仿宋_GB2312" w:eastAsia="仿宋_GB2312" w:cs="仿宋_GB2312"/>
          <w:b w:val="0"/>
          <w:bCs w:val="0"/>
          <w:color w:val="auto"/>
          <w:kern w:val="0"/>
          <w:sz w:val="32"/>
          <w:szCs w:val="32"/>
          <w:highlight w:val="none"/>
          <w:lang w:val="en-US" w:eastAsia="zh-CN" w:bidi="ar"/>
        </w:rPr>
        <w:t>项目名称：</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九洲集团两化融合、DCMM、DTMM、CMMM咨询和评估服务选聘项目</w:t>
      </w:r>
    </w:p>
    <w:p w14:paraId="3379042B">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pPr>
      <w:r>
        <w:rPr>
          <w:rFonts w:hint="eastAsia" w:ascii="仿宋_GB2312" w:hAnsi="仿宋_GB2312" w:eastAsia="仿宋_GB2312" w:cs="仿宋_GB2312"/>
          <w:b w:val="0"/>
          <w:bCs w:val="0"/>
          <w:color w:val="auto"/>
          <w:kern w:val="0"/>
          <w:sz w:val="32"/>
          <w:szCs w:val="32"/>
          <w:highlight w:val="none"/>
          <w:lang w:val="en-US" w:eastAsia="zh-CN" w:bidi="ar"/>
        </w:rPr>
        <w:t>采购事项：</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九洲集团两化融合、DCMM、DTMM、CMMM咨询和评估服务选聘</w:t>
      </w:r>
    </w:p>
    <w:p w14:paraId="2F668D18">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sz w:val="32"/>
          <w:szCs w:val="32"/>
          <w:highlight w:val="none"/>
          <w:lang w:eastAsia="zh"/>
        </w:rPr>
      </w:pPr>
      <w:r>
        <w:rPr>
          <w:rFonts w:hint="eastAsia" w:ascii="仿宋_GB2312" w:hAnsi="仿宋_GB2312" w:eastAsia="仿宋_GB2312" w:cs="仿宋_GB2312"/>
          <w:b w:val="0"/>
          <w:bCs w:val="0"/>
          <w:color w:val="auto"/>
          <w:sz w:val="32"/>
          <w:szCs w:val="32"/>
          <w:highlight w:val="none"/>
          <w:shd w:val="clear" w:color="auto" w:fill="auto"/>
          <w:lang w:val="en-US" w:eastAsia="zh-CN" w:bidi="ar"/>
        </w:rPr>
        <w:t>项目编号：</w:t>
      </w:r>
      <w:r>
        <w:rPr>
          <w:rFonts w:hint="eastAsia" w:ascii="仿宋_GB2312" w:hAnsi="仿宋_GB2312" w:eastAsia="仿宋_GB2312" w:cs="仿宋_GB2312"/>
          <w:b w:val="0"/>
          <w:bCs w:val="0"/>
          <w:color w:val="auto"/>
          <w:kern w:val="0"/>
          <w:sz w:val="32"/>
          <w:szCs w:val="32"/>
          <w:highlight w:val="none"/>
          <w:shd w:val="clear" w:color="auto" w:fill="auto"/>
          <w:lang w:val="en-US" w:eastAsia="zh-CN" w:bidi="ar"/>
        </w:rPr>
        <w:t>JZCG-JTZB-FZ-202504018</w:t>
      </w:r>
    </w:p>
    <w:p w14:paraId="5DC26E02">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sz w:val="32"/>
          <w:szCs w:val="32"/>
          <w:highlight w:val="none"/>
          <w:shd w:val="clear" w:color="auto" w:fill="auto"/>
          <w:vertAlign w:val="baseline"/>
          <w:lang w:bidi="ar"/>
        </w:rPr>
      </w:pPr>
      <w:r>
        <w:rPr>
          <w:rFonts w:hint="eastAsia" w:ascii="仿宋_GB2312" w:hAnsi="仿宋_GB2312" w:eastAsia="仿宋_GB2312" w:cs="仿宋_GB2312"/>
          <w:b w:val="0"/>
          <w:bCs w:val="0"/>
          <w:color w:val="auto"/>
          <w:kern w:val="0"/>
          <w:sz w:val="32"/>
          <w:szCs w:val="32"/>
          <w:highlight w:val="none"/>
          <w:shd w:val="clear" w:color="auto" w:fill="auto"/>
          <w:vertAlign w:val="baseline"/>
          <w:lang w:val="en-US" w:eastAsia="zh-CN" w:bidi="ar"/>
        </w:rPr>
        <w:t>采购人：四川九洲投资控股集团有限公司</w:t>
      </w:r>
    </w:p>
    <w:p w14:paraId="464E76F5">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sz w:val="32"/>
          <w:szCs w:val="32"/>
          <w:highlight w:val="none"/>
          <w:shd w:val="clear" w:color="auto" w:fill="auto"/>
          <w:vertAlign w:val="baseline"/>
          <w:lang w:bidi="ar"/>
        </w:rPr>
      </w:pPr>
      <w:r>
        <w:rPr>
          <w:rFonts w:hint="eastAsia" w:ascii="仿宋_GB2312" w:hAnsi="仿宋_GB2312" w:eastAsia="仿宋_GB2312" w:cs="仿宋_GB2312"/>
          <w:b w:val="0"/>
          <w:bCs w:val="0"/>
          <w:color w:val="auto"/>
          <w:kern w:val="0"/>
          <w:sz w:val="32"/>
          <w:szCs w:val="32"/>
          <w:highlight w:val="none"/>
          <w:shd w:val="clear" w:color="auto" w:fill="auto"/>
          <w:vertAlign w:val="baseline"/>
          <w:lang w:val="en-US" w:eastAsia="zh-CN" w:bidi="ar"/>
        </w:rPr>
        <w:t>采购方式：询比</w:t>
      </w:r>
    </w:p>
    <w:p w14:paraId="5D7916A7">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sz w:val="32"/>
          <w:szCs w:val="32"/>
          <w:highlight w:val="none"/>
          <w:shd w:val="clear" w:color="auto" w:fill="auto"/>
          <w:vertAlign w:val="baseline"/>
          <w:lang w:bidi="ar"/>
        </w:rPr>
      </w:pPr>
      <w:r>
        <w:rPr>
          <w:rFonts w:hint="eastAsia" w:ascii="仿宋_GB2312" w:hAnsi="仿宋_GB2312" w:eastAsia="仿宋_GB2312" w:cs="仿宋_GB2312"/>
          <w:b w:val="0"/>
          <w:bCs w:val="0"/>
          <w:color w:val="auto"/>
          <w:kern w:val="0"/>
          <w:sz w:val="32"/>
          <w:szCs w:val="32"/>
          <w:highlight w:val="none"/>
          <w:shd w:val="clear" w:color="auto" w:fill="auto"/>
          <w:vertAlign w:val="baseline"/>
          <w:lang w:val="en-US" w:eastAsia="zh-CN" w:bidi="ar"/>
        </w:rPr>
        <w:t>评审方式：综合评分法</w:t>
      </w:r>
    </w:p>
    <w:p w14:paraId="07823E45">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kern w:val="0"/>
          <w:sz w:val="32"/>
          <w:szCs w:val="32"/>
          <w:highlight w:val="none"/>
          <w:lang w:val="en-US" w:eastAsia="zh" w:bidi="ar"/>
        </w:rPr>
      </w:pPr>
      <w:r>
        <w:rPr>
          <w:rFonts w:hint="eastAsia" w:ascii="仿宋_GB2312" w:hAnsi="仿宋_GB2312" w:eastAsia="仿宋_GB2312" w:cs="仿宋_GB2312"/>
          <w:b w:val="0"/>
          <w:bCs w:val="0"/>
          <w:color w:val="auto"/>
          <w:kern w:val="0"/>
          <w:sz w:val="32"/>
          <w:szCs w:val="32"/>
          <w:highlight w:val="none"/>
          <w:lang w:val="en-US" w:eastAsia="zh-CN" w:bidi="ar"/>
        </w:rPr>
        <w:t>限价金额：两化融合3A级认证，本次认证2个不同的公司主体，九洲集团限价12万元，四川九州科技限价13万元；DCMM二级，限价8万元，本次认证1个公司主体（九洲集团）；DTMM三级，限价20万元，本次认证1个公司主体（九洲集团）；CMMM三级，限价16万元，本次认证1个公司主体（四川九州科技）；以上价格均为含税价。</w:t>
      </w:r>
    </w:p>
    <w:p w14:paraId="5E05929A">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kern w:val="0"/>
          <w:sz w:val="32"/>
          <w:szCs w:val="32"/>
          <w:highlight w:val="none"/>
          <w:lang w:val="en-US" w:eastAsia="zh" w:bidi="ar"/>
        </w:rPr>
      </w:pPr>
      <w:r>
        <w:rPr>
          <w:rFonts w:hint="eastAsia" w:ascii="仿宋_GB2312" w:hAnsi="仿宋_GB2312" w:eastAsia="仿宋_GB2312" w:cs="仿宋_GB2312"/>
          <w:b w:val="0"/>
          <w:bCs w:val="0"/>
          <w:color w:val="auto"/>
          <w:kern w:val="0"/>
          <w:sz w:val="32"/>
          <w:szCs w:val="32"/>
          <w:highlight w:val="none"/>
          <w:lang w:val="en-US" w:eastAsia="zh-CN" w:bidi="ar"/>
        </w:rPr>
        <w:t>协议签署：本次认证的项目，按不同的公司主体与中选供应商分别签署相关协议文件。</w:t>
      </w:r>
    </w:p>
    <w:p w14:paraId="20261AFF">
      <w:pPr>
        <w:pStyle w:val="22"/>
        <w:pageBreakBefore w:val="0"/>
        <w:numPr>
          <w:ilvl w:val="0"/>
          <w:numId w:val="5"/>
        </w:numPr>
        <w:wordWrap/>
        <w:topLinePunct w:val="0"/>
        <w:bidi w:val="0"/>
        <w:spacing w:beforeLines="0" w:afterLines="0" w:line="560" w:lineRule="exact"/>
        <w:ind w:firstLine="640" w:firstLineChars="200"/>
        <w:jc w:val="left"/>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pPr>
      <w:bookmarkStart w:id="34" w:name="_GoBack"/>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其他：以上项目独立采购；各询比申请人可依据业务范畴，单独申报一个项目，也可同时申报多个项目；两化融合是两个公司主体单独采购，按独立的项目计算，由同一家供应商中选。</w:t>
      </w:r>
      <w:bookmarkEnd w:id="34"/>
    </w:p>
    <w:bookmarkEnd w:id="0"/>
    <w:p w14:paraId="4D5E380E">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bidi="ar"/>
        </w:rPr>
      </w:pPr>
      <w:r>
        <w:rPr>
          <w:rFonts w:hint="eastAsia" w:ascii="黑体" w:hAnsi="黑体" w:eastAsia="黑体" w:cs="黑体"/>
          <w:b w:val="0"/>
          <w:bCs w:val="0"/>
          <w:color w:val="auto"/>
          <w:sz w:val="32"/>
          <w:szCs w:val="32"/>
          <w:highlight w:val="none"/>
          <w:lang w:val="en-US" w:eastAsia="zh-CN" w:bidi="ar"/>
        </w:rPr>
        <w:t>供应商应具备的</w:t>
      </w:r>
      <w:r>
        <w:rPr>
          <w:rFonts w:hint="eastAsia" w:ascii="黑体" w:hAnsi="黑体" w:eastAsia="黑体" w:cs="黑体"/>
          <w:b w:val="0"/>
          <w:bCs w:val="0"/>
          <w:color w:val="auto"/>
          <w:sz w:val="32"/>
          <w:szCs w:val="32"/>
          <w:highlight w:val="none"/>
          <w:lang w:bidi="ar"/>
        </w:rPr>
        <w:t>资格</w:t>
      </w:r>
      <w:r>
        <w:rPr>
          <w:rFonts w:hint="eastAsia" w:ascii="黑体" w:hAnsi="黑体" w:eastAsia="黑体" w:cs="黑体"/>
          <w:b w:val="0"/>
          <w:bCs w:val="0"/>
          <w:color w:val="auto"/>
          <w:sz w:val="32"/>
          <w:szCs w:val="32"/>
          <w:highlight w:val="none"/>
          <w:lang w:val="en-US" w:eastAsia="zh-CN" w:bidi="ar"/>
        </w:rPr>
        <w:t>条件</w:t>
      </w:r>
    </w:p>
    <w:p w14:paraId="51F1A050">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kern w:val="32"/>
          <w:sz w:val="32"/>
          <w:szCs w:val="32"/>
          <w:highlight w:val="none"/>
          <w:shd w:val="clear" w:color="auto" w:fill="auto"/>
          <w:lang w:val="en-US" w:eastAsia="zh-CN" w:bidi="ar-SA"/>
        </w:rPr>
      </w:pPr>
      <w:r>
        <w:rPr>
          <w:rFonts w:hint="eastAsia" w:ascii="仿宋_GB2312" w:hAnsi="仿宋_GB2312" w:eastAsia="仿宋_GB2312" w:cs="仿宋_GB2312"/>
          <w:color w:val="auto"/>
          <w:kern w:val="32"/>
          <w:sz w:val="32"/>
          <w:szCs w:val="32"/>
          <w:highlight w:val="none"/>
          <w:shd w:val="clear" w:color="auto" w:fill="auto"/>
          <w:lang w:val="en-US" w:eastAsia="zh-CN" w:bidi="ar-SA"/>
        </w:rPr>
        <w:t>在中华人民共和国境内注册，具有独立承担民事责任能力的企业法人或其他组织；</w:t>
      </w:r>
    </w:p>
    <w:p w14:paraId="161CCA35">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kern w:val="32"/>
          <w:sz w:val="32"/>
          <w:szCs w:val="32"/>
          <w:highlight w:val="none"/>
          <w:shd w:val="clear" w:color="auto" w:fill="auto"/>
          <w:lang w:val="en-US" w:eastAsia="zh-CN" w:bidi="ar-SA"/>
        </w:rPr>
      </w:pPr>
      <w:r>
        <w:rPr>
          <w:rFonts w:hint="eastAsia" w:ascii="仿宋_GB2312" w:hAnsi="仿宋_GB2312" w:eastAsia="仿宋_GB2312" w:cs="仿宋_GB2312"/>
          <w:color w:val="auto"/>
          <w:kern w:val="32"/>
          <w:sz w:val="32"/>
          <w:szCs w:val="32"/>
          <w:highlight w:val="none"/>
          <w:shd w:val="clear" w:color="auto" w:fill="auto"/>
          <w:lang w:val="en-US" w:eastAsia="zh-CN"/>
        </w:rPr>
        <w:t>具有良好的商业信誉和健全的财务制度；</w:t>
      </w:r>
    </w:p>
    <w:p w14:paraId="6C2A7F7E">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kern w:val="32"/>
          <w:sz w:val="32"/>
          <w:szCs w:val="32"/>
          <w:highlight w:val="none"/>
          <w:shd w:val="clear" w:color="auto" w:fill="auto"/>
          <w:lang w:val="en-US" w:eastAsia="zh-CN" w:bidi="ar-SA"/>
        </w:rPr>
      </w:pPr>
      <w:r>
        <w:rPr>
          <w:rFonts w:hint="eastAsia" w:ascii="仿宋_GB2312" w:hAnsi="仿宋_GB2312" w:eastAsia="仿宋_GB2312" w:cs="仿宋_GB2312"/>
          <w:color w:val="auto"/>
          <w:kern w:val="32"/>
          <w:sz w:val="32"/>
          <w:szCs w:val="32"/>
          <w:highlight w:val="none"/>
          <w:shd w:val="clear" w:color="auto" w:fill="auto"/>
          <w:lang w:val="en-US" w:eastAsia="zh-CN" w:bidi="ar-SA"/>
        </w:rPr>
        <w:t>具有履行合同所必需的设备和专业技术能力；</w:t>
      </w:r>
    </w:p>
    <w:p w14:paraId="328C9734">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rPr>
      </w:pPr>
      <w:r>
        <w:rPr>
          <w:rFonts w:hint="eastAsia" w:ascii="仿宋_GB2312" w:hAnsi="仿宋_GB2312" w:eastAsia="仿宋_GB2312" w:cs="仿宋_GB2312"/>
          <w:color w:val="auto"/>
          <w:kern w:val="32"/>
          <w:sz w:val="32"/>
          <w:szCs w:val="32"/>
          <w:highlight w:val="none"/>
          <w:shd w:val="clear" w:color="auto" w:fill="auto"/>
          <w:lang w:val="en-US" w:eastAsia="zh-CN"/>
        </w:rPr>
        <w:t>有依法缴纳税收和社会保障资金的良好记录；</w:t>
      </w:r>
    </w:p>
    <w:p w14:paraId="576CDB7F">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参加本次采购活动前三年内，在经营活动中没有重大违法记录</w:t>
      </w:r>
      <w:r>
        <w:rPr>
          <w:rFonts w:hint="eastAsia" w:ascii="仿宋_GB2312" w:hAnsi="仿宋_GB2312" w:eastAsia="仿宋_GB2312" w:cs="仿宋_GB2312"/>
          <w:color w:val="auto"/>
          <w:sz w:val="32"/>
          <w:szCs w:val="32"/>
          <w:lang w:bidi="ar"/>
        </w:rPr>
        <w:t>,无市场禁入。重大违法记录，是指投标人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r>
        <w:rPr>
          <w:rFonts w:hint="eastAsia" w:ascii="仿宋_GB2312" w:hAnsi="仿宋_GB2312" w:eastAsia="仿宋_GB2312" w:cs="仿宋_GB2312"/>
          <w:color w:val="auto"/>
          <w:sz w:val="32"/>
        </w:rPr>
        <w:t>；</w:t>
      </w:r>
    </w:p>
    <w:p w14:paraId="49FC8044">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szCs w:val="32"/>
          <w:lang w:eastAsia="zh-CN" w:bidi="ar"/>
        </w:rPr>
        <w:t>未处于投标禁入期内；</w:t>
      </w:r>
    </w:p>
    <w:p w14:paraId="625C44A0">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参加</w:t>
      </w:r>
      <w:r>
        <w:rPr>
          <w:rFonts w:hint="eastAsia" w:ascii="仿宋_GB2312" w:hAnsi="仿宋_GB2312" w:eastAsia="仿宋_GB2312" w:cs="仿宋_GB2312"/>
          <w:color w:val="auto"/>
          <w:sz w:val="32"/>
          <w:lang w:val="en-US" w:eastAsia="zh-CN"/>
        </w:rPr>
        <w:t>本项目</w:t>
      </w:r>
      <w:r>
        <w:rPr>
          <w:rFonts w:hint="eastAsia" w:ascii="仿宋_GB2312" w:hAnsi="仿宋_GB2312" w:eastAsia="仿宋_GB2312" w:cs="仿宋_GB2312"/>
          <w:color w:val="auto"/>
          <w:sz w:val="32"/>
        </w:rPr>
        <w:t>的投标人、法定代表人(非法人负责人)前</w:t>
      </w:r>
      <w:r>
        <w:rPr>
          <w:rFonts w:hint="eastAsia" w:ascii="仿宋_GB2312" w:hAnsi="仿宋_GB2312" w:eastAsia="仿宋_GB2312" w:cs="仿宋_GB2312"/>
          <w:color w:val="auto"/>
          <w:sz w:val="32"/>
          <w:lang w:val="en-US" w:eastAsia="zh-CN"/>
        </w:rPr>
        <w:t>三</w:t>
      </w:r>
      <w:r>
        <w:rPr>
          <w:rFonts w:hint="eastAsia" w:ascii="仿宋_GB2312" w:hAnsi="仿宋_GB2312" w:eastAsia="仿宋_GB2312" w:cs="仿宋_GB2312"/>
          <w:color w:val="auto"/>
          <w:sz w:val="32"/>
        </w:rPr>
        <w:t>年内不得有行贿犯罪记录</w:t>
      </w:r>
      <w:r>
        <w:rPr>
          <w:rFonts w:hint="eastAsia" w:ascii="仿宋_GB2312" w:hAnsi="仿宋_GB2312" w:eastAsia="仿宋_GB2312" w:cs="仿宋_GB2312"/>
          <w:color w:val="auto"/>
          <w:sz w:val="32"/>
          <w:lang w:eastAsia="zh-CN"/>
        </w:rPr>
        <w:t>；</w:t>
      </w:r>
    </w:p>
    <w:p w14:paraId="4A13E98F">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lang w:val="en-US" w:eastAsia="zh-CN"/>
        </w:rPr>
        <w:t>没有处于被有关部门责令停业、暂停或取消投标资格、财产被接管或冻结等状态的；</w:t>
      </w:r>
    </w:p>
    <w:p w14:paraId="5219465C">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sz w:val="32"/>
          <w:lang w:val="en-US" w:eastAsia="zh-CN"/>
        </w:rPr>
        <w:t xml:space="preserve">单位负责人为同一人或者存在控股、管理关系的不同单位，不得参加同一标段、包或者未划分标段、包的同一招标项目的投标； </w:t>
      </w:r>
    </w:p>
    <w:p w14:paraId="716E15E8">
      <w:pPr>
        <w:keepNext w:val="0"/>
        <w:keepLines w:val="0"/>
        <w:pageBreakBefore w:val="0"/>
        <w:widowControl/>
        <w:numPr>
          <w:ilvl w:val="0"/>
          <w:numId w:val="6"/>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sz w:val="32"/>
          <w:szCs w:val="32"/>
          <w:lang w:bidi="ar"/>
        </w:rPr>
        <w:t>投标人在投标截止时间前被“信用中国”网站（www.creditchina.gov.cn）列入失信被执行人名单的、经营异常名录的,“中国政府采购网”网站（www.ccgp.gov.cn）政府采购严重违法失信行为记录名单的，拒绝参加本项目的采购活动。</w:t>
      </w:r>
      <w:r>
        <w:rPr>
          <w:rFonts w:hint="eastAsia" w:ascii="仿宋_GB2312" w:hAnsi="仿宋_GB2312" w:eastAsia="仿宋_GB2312" w:cs="仿宋_GB2312"/>
          <w:color w:val="auto"/>
          <w:sz w:val="32"/>
          <w:szCs w:val="32"/>
          <w:lang w:eastAsia="zh-CN" w:bidi="ar"/>
        </w:rPr>
        <w:t>信用信息</w:t>
      </w:r>
      <w:r>
        <w:rPr>
          <w:rFonts w:hint="eastAsia" w:ascii="仿宋_GB2312" w:hAnsi="仿宋_GB2312" w:eastAsia="仿宋_GB2312" w:cs="仿宋_GB2312"/>
          <w:color w:val="auto"/>
          <w:sz w:val="32"/>
          <w:szCs w:val="32"/>
          <w:lang w:val="en-US" w:eastAsia="zh-CN" w:bidi="ar"/>
        </w:rPr>
        <w:t>有效</w:t>
      </w:r>
      <w:r>
        <w:rPr>
          <w:rFonts w:hint="eastAsia" w:ascii="仿宋_GB2312" w:hAnsi="仿宋_GB2312" w:eastAsia="仿宋_GB2312" w:cs="仿宋_GB2312"/>
          <w:color w:val="auto"/>
          <w:sz w:val="32"/>
          <w:szCs w:val="32"/>
          <w:lang w:eastAsia="zh-CN" w:bidi="ar"/>
        </w:rPr>
        <w:t>时</w:t>
      </w:r>
      <w:r>
        <w:rPr>
          <w:rFonts w:hint="eastAsia" w:ascii="仿宋_GB2312" w:hAnsi="仿宋_GB2312" w:eastAsia="仿宋_GB2312" w:cs="仿宋_GB2312"/>
          <w:color w:val="auto"/>
          <w:sz w:val="32"/>
          <w:szCs w:val="32"/>
          <w:lang w:val="en-US" w:eastAsia="zh-CN" w:bidi="ar"/>
        </w:rPr>
        <w:t>间</w:t>
      </w:r>
      <w:r>
        <w:rPr>
          <w:rFonts w:hint="eastAsia" w:ascii="仿宋_GB2312" w:hAnsi="仿宋_GB2312" w:eastAsia="仿宋_GB2312" w:cs="仿宋_GB2312"/>
          <w:color w:val="auto"/>
          <w:sz w:val="32"/>
          <w:szCs w:val="32"/>
          <w:lang w:eastAsia="zh-CN" w:bidi="ar"/>
        </w:rPr>
        <w:t>点为</w:t>
      </w:r>
      <w:r>
        <w:rPr>
          <w:rFonts w:hint="eastAsia" w:ascii="仿宋_GB2312" w:hAnsi="仿宋_GB2312" w:eastAsia="仿宋_GB2312" w:cs="仿宋_GB2312"/>
          <w:color w:val="auto"/>
          <w:sz w:val="32"/>
          <w:szCs w:val="32"/>
          <w:lang w:val="en-US" w:eastAsia="zh-CN" w:bidi="ar"/>
        </w:rPr>
        <w:t>截止递交</w:t>
      </w:r>
      <w:r>
        <w:rPr>
          <w:rFonts w:hint="eastAsia" w:ascii="仿宋_GB2312" w:hAnsi="仿宋_GB2312" w:eastAsia="仿宋_GB2312" w:cs="仿宋_GB2312"/>
          <w:color w:val="auto"/>
          <w:sz w:val="32"/>
          <w:szCs w:val="32"/>
          <w:highlight w:val="none"/>
          <w:lang w:val="en-US" w:eastAsia="zh-CN" w:bidi="ar"/>
        </w:rPr>
        <w:t>投标</w:t>
      </w:r>
      <w:r>
        <w:rPr>
          <w:rFonts w:hint="eastAsia" w:ascii="仿宋_GB2312" w:hAnsi="仿宋_GB2312" w:eastAsia="仿宋_GB2312" w:cs="仿宋_GB2312"/>
          <w:color w:val="auto"/>
          <w:sz w:val="32"/>
          <w:szCs w:val="32"/>
          <w:lang w:val="en-US" w:eastAsia="zh-CN" w:bidi="ar"/>
        </w:rPr>
        <w:t>文件前三天。</w:t>
      </w:r>
    </w:p>
    <w:p w14:paraId="1EB6941B">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询比采购文件获取</w:t>
      </w:r>
    </w:p>
    <w:p w14:paraId="57F72CA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firstLine="640" w:firstLineChars="200"/>
        <w:jc w:val="left"/>
        <w:textAlignment w:val="auto"/>
        <w:outlineLvl w:val="2"/>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bidi="ar"/>
        </w:rPr>
        <w:t>（一）获取时间：</w:t>
      </w:r>
      <w:r>
        <w:rPr>
          <w:rFonts w:hint="eastAsia" w:ascii="仿宋_GB2312" w:hAnsi="仿宋_GB2312" w:eastAsia="仿宋_GB2312" w:cs="仿宋_GB2312"/>
          <w:b w:val="0"/>
          <w:bCs w:val="0"/>
          <w:color w:val="auto"/>
          <w:sz w:val="32"/>
          <w:szCs w:val="32"/>
          <w:highlight w:val="none"/>
          <w:lang w:val="en-US" w:eastAsia="zh-CN"/>
        </w:rPr>
        <w:t>自</w:t>
      </w:r>
      <w:r>
        <w:rPr>
          <w:rFonts w:hint="eastAsia" w:ascii="仿宋_GB2312" w:hAnsi="仿宋_GB2312" w:eastAsia="仿宋_GB2312" w:cs="仿宋_GB2312"/>
          <w:b w:val="0"/>
          <w:bCs w:val="0"/>
          <w:color w:val="auto"/>
          <w:sz w:val="32"/>
          <w:szCs w:val="32"/>
          <w:highlight w:val="none"/>
          <w:lang w:val="en-US" w:eastAsia="zh"/>
        </w:rPr>
        <w:t>2025</w:t>
      </w:r>
      <w:r>
        <w:rPr>
          <w:rFonts w:hint="eastAsia" w:ascii="仿宋_GB2312" w:hAnsi="仿宋_GB2312" w:eastAsia="仿宋_GB2312" w:cs="仿宋_GB2312"/>
          <w:b w:val="0"/>
          <w:bCs w:val="0"/>
          <w:color w:val="auto"/>
          <w:sz w:val="32"/>
          <w:szCs w:val="32"/>
          <w:highlight w:val="none"/>
          <w:lang w:val="en-US" w:eastAsia="zh-CN"/>
        </w:rPr>
        <w:t xml:space="preserve">年05月06日至 </w:t>
      </w:r>
      <w:r>
        <w:rPr>
          <w:rFonts w:hint="eastAsia" w:ascii="仿宋_GB2312" w:hAnsi="仿宋_GB2312" w:eastAsia="仿宋_GB2312" w:cs="仿宋_GB2312"/>
          <w:b w:val="0"/>
          <w:bCs w:val="0"/>
          <w:color w:val="auto"/>
          <w:sz w:val="32"/>
          <w:szCs w:val="32"/>
          <w:highlight w:val="none"/>
          <w:lang w:val="en-US" w:eastAsia="zh"/>
        </w:rPr>
        <w:t>2025</w:t>
      </w:r>
      <w:r>
        <w:rPr>
          <w:rFonts w:hint="eastAsia" w:ascii="仿宋_GB2312" w:hAnsi="仿宋_GB2312" w:eastAsia="仿宋_GB2312" w:cs="仿宋_GB2312"/>
          <w:b w:val="0"/>
          <w:bCs w:val="0"/>
          <w:color w:val="auto"/>
          <w:sz w:val="32"/>
          <w:szCs w:val="32"/>
          <w:highlight w:val="none"/>
          <w:lang w:val="en-US" w:eastAsia="zh-CN"/>
        </w:rPr>
        <w:t xml:space="preserve"> 年05月12日</w:t>
      </w:r>
    </w:p>
    <w:p w14:paraId="27B88F2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firstLine="640" w:firstLineChars="200"/>
        <w:jc w:val="left"/>
        <w:textAlignment w:val="auto"/>
        <w:outlineLvl w:val="2"/>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bidi="ar"/>
        </w:rPr>
        <w:t>（二）获取方式：</w:t>
      </w:r>
      <w:r>
        <w:rPr>
          <w:rFonts w:hint="eastAsia" w:ascii="仿宋_GB2312" w:hAnsi="仿宋_GB2312" w:eastAsia="仿宋_GB2312" w:cs="仿宋_GB2312"/>
          <w:b w:val="0"/>
          <w:bCs w:val="0"/>
          <w:color w:val="auto"/>
          <w:sz w:val="32"/>
          <w:szCs w:val="32"/>
          <w:highlight w:val="none"/>
          <w:lang w:val="en-US" w:eastAsia="zh-CN"/>
        </w:rPr>
        <w:t>询比采购文件以邮件方式发送，供应商报名需提供：</w:t>
      </w:r>
    </w:p>
    <w:p w14:paraId="1CA83BA9">
      <w:pPr>
        <w:keepNext w:val="0"/>
        <w:keepLines w:val="0"/>
        <w:pageBreakBefore w:val="0"/>
        <w:widowControl w:val="0"/>
        <w:numPr>
          <w:ilvl w:val="0"/>
          <w:numId w:val="0"/>
        </w:numPr>
        <w:suppressLineNumbers w:val="0"/>
        <w:tabs>
          <w:tab w:val="left" w:pos="312"/>
        </w:tabs>
        <w:wordWrap/>
        <w:topLinePunct w:val="0"/>
        <w:bidi w:val="0"/>
        <w:spacing w:before="0" w:beforeLines="0" w:beforeAutospacing="0" w:after="0" w:afterLines="0" w:afterAutospacing="0" w:line="560" w:lineRule="exact"/>
        <w:ind w:left="0" w:leftChars="0" w:right="0" w:firstLine="640" w:firstLineChars="200"/>
        <w:jc w:val="left"/>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1.有效的营业执照复印件；</w:t>
      </w:r>
    </w:p>
    <w:p w14:paraId="69492CDA">
      <w:pPr>
        <w:keepNext w:val="0"/>
        <w:keepLines w:val="0"/>
        <w:pageBreakBefore w:val="0"/>
        <w:widowControl w:val="0"/>
        <w:numPr>
          <w:ilvl w:val="0"/>
          <w:numId w:val="0"/>
        </w:numPr>
        <w:suppressLineNumbers w:val="0"/>
        <w:tabs>
          <w:tab w:val="left" w:pos="312"/>
        </w:tabs>
        <w:wordWrap/>
        <w:topLinePunct w:val="0"/>
        <w:bidi w:val="0"/>
        <w:spacing w:before="0" w:beforeLines="0" w:beforeAutospacing="0" w:after="0" w:afterLines="0" w:afterAutospacing="0" w:line="560" w:lineRule="exact"/>
        <w:ind w:left="0" w:leftChars="0" w:right="0" w:firstLine="640" w:firstLineChars="200"/>
        <w:jc w:val="left"/>
        <w:rPr>
          <w:rFonts w:hint="eastAsia" w:ascii="仿宋_GB2312" w:hAnsi="仿宋_GB2312" w:eastAsia="仿宋_GB2312" w:cs="仿宋_GB2312"/>
          <w:b w:val="0"/>
          <w:bCs w:val="0"/>
          <w:color w:val="auto"/>
          <w:kern w:val="0"/>
          <w:sz w:val="32"/>
          <w:szCs w:val="32"/>
          <w:highlight w:val="none"/>
          <w:shd w:val="clear" w:color="auto" w:fill="FFFFFF"/>
          <w:lang w:val="en-US" w:eastAsia="zh" w:bidi="ar"/>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2.法定代表人身份证明书、法定代表人身份证</w:t>
      </w:r>
      <w:r>
        <w:rPr>
          <w:rFonts w:hint="eastAsia" w:ascii="仿宋_GB2312" w:hAnsi="仿宋_GB2312" w:eastAsia="仿宋_GB2312" w:cs="仿宋_GB2312"/>
          <w:b w:val="0"/>
          <w:bCs w:val="0"/>
          <w:color w:val="auto"/>
          <w:kern w:val="0"/>
          <w:sz w:val="32"/>
          <w:szCs w:val="32"/>
          <w:highlight w:val="none"/>
          <w:shd w:val="clear" w:color="auto" w:fill="FFFFFF"/>
          <w:lang w:val="en-US" w:eastAsia="zh" w:bidi="ar"/>
        </w:rPr>
        <w:t>或法</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定代表人</w:t>
      </w:r>
      <w:r>
        <w:rPr>
          <w:rFonts w:hint="eastAsia" w:ascii="仿宋_GB2312" w:hAnsi="仿宋_GB2312" w:eastAsia="仿宋_GB2312" w:cs="仿宋_GB2312"/>
          <w:b w:val="0"/>
          <w:bCs w:val="0"/>
          <w:color w:val="auto"/>
          <w:kern w:val="0"/>
          <w:sz w:val="32"/>
          <w:szCs w:val="32"/>
          <w:highlight w:val="none"/>
          <w:shd w:val="clear" w:color="auto" w:fill="FFFFFF"/>
          <w:lang w:val="en-US" w:eastAsia="zh" w:bidi="ar"/>
        </w:rPr>
        <w:t>授权委托书</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、法定代表人身份证及授权委托人身份证；</w:t>
      </w:r>
    </w:p>
    <w:p w14:paraId="6A36D8DC">
      <w:pPr>
        <w:keepNext w:val="0"/>
        <w:keepLines w:val="0"/>
        <w:pageBreakBefore w:val="0"/>
        <w:widowControl w:val="0"/>
        <w:numPr>
          <w:ilvl w:val="0"/>
          <w:numId w:val="0"/>
        </w:numPr>
        <w:suppressLineNumbers w:val="0"/>
        <w:tabs>
          <w:tab w:val="left" w:pos="312"/>
        </w:tabs>
        <w:wordWrap/>
        <w:topLinePunct w:val="0"/>
        <w:bidi w:val="0"/>
        <w:spacing w:before="0" w:beforeLines="0" w:beforeAutospacing="0" w:after="0" w:afterLines="0" w:afterAutospacing="0" w:line="560" w:lineRule="exact"/>
        <w:ind w:left="0" w:leftChars="0" w:right="0" w:firstLine="640" w:firstLineChars="200"/>
        <w:jc w:val="left"/>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
        </w:rPr>
        <w:t>3.供应商采购申请书（格式见附件）</w:t>
      </w:r>
      <w:r>
        <w:rPr>
          <w:rFonts w:hint="eastAsia" w:ascii="仿宋_GB2312" w:hAnsi="仿宋_GB2312" w:eastAsia="仿宋_GB2312" w:cs="仿宋_GB2312"/>
          <w:b w:val="0"/>
          <w:bCs w:val="0"/>
          <w:color w:val="auto"/>
          <w:sz w:val="32"/>
          <w:szCs w:val="32"/>
          <w:highlight w:val="none"/>
          <w:lang w:val="en-US" w:eastAsia="zh-CN"/>
        </w:rPr>
        <w:t>。</w:t>
      </w:r>
    </w:p>
    <w:p w14:paraId="1E3CF944">
      <w:pPr>
        <w:keepNext w:val="0"/>
        <w:keepLines w:val="0"/>
        <w:pageBreakBefore w:val="0"/>
        <w:widowControl w:val="0"/>
        <w:numPr>
          <w:ilvl w:val="0"/>
          <w:numId w:val="0"/>
        </w:numPr>
        <w:suppressLineNumbers w:val="0"/>
        <w:tabs>
          <w:tab w:val="left" w:pos="312"/>
        </w:tabs>
        <w:wordWrap/>
        <w:topLinePunct w:val="0"/>
        <w:bidi w:val="0"/>
        <w:spacing w:beforeLines="0" w:afterLines="0" w:line="560" w:lineRule="exact"/>
        <w:ind w:firstLine="640" w:firstLineChars="200"/>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供应商须将上述报名材料盖章扫描后的PDF版本，发送至采购人邮箱taoliujing@jezetek.cc进行报名。审核通过后报名成</w:t>
      </w:r>
      <w:r>
        <w:rPr>
          <w:rFonts w:hint="eastAsia" w:ascii="仿宋_GB2312" w:hAnsi="仿宋_GB2312" w:eastAsia="仿宋_GB2312" w:cs="仿宋_GB2312"/>
          <w:color w:val="auto"/>
          <w:sz w:val="32"/>
          <w:szCs w:val="32"/>
          <w:highlight w:val="none"/>
          <w:lang w:val="en-US" w:eastAsia="zh-CN"/>
        </w:rPr>
        <w:t>功，询比采购文件通过报名邮箱发送至供应商。</w:t>
      </w:r>
    </w:p>
    <w:p w14:paraId="67F9D935">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响应文件递交</w:t>
      </w:r>
    </w:p>
    <w:p w14:paraId="064C5BC1">
      <w:pPr>
        <w:pStyle w:val="24"/>
        <w:keepNext w:val="0"/>
        <w:keepLines w:val="0"/>
        <w:pageBreakBefore w:val="0"/>
        <w:widowControl w:val="0"/>
        <w:suppressLineNumbers w:val="0"/>
        <w:wordWrap/>
        <w:topLinePunct w:val="0"/>
        <w:bidi w:val="0"/>
        <w:adjustRightInd w:val="0"/>
        <w:snapToGrid w:val="0"/>
        <w:spacing w:before="0" w:beforeLines="0" w:beforeAutospacing="0" w:after="0" w:afterLines="0" w:afterAutospacing="0" w:line="560" w:lineRule="exact"/>
        <w:ind w:left="0" w:leftChars="0" w:right="0" w:firstLine="640" w:firstLineChars="200"/>
        <w:jc w:val="left"/>
        <w:outlineLvl w:val="2"/>
        <w:rPr>
          <w:rFonts w:hint="eastAsia" w:ascii="仿宋_GB2312" w:hAnsi="仿宋_GB2312" w:eastAsia="仿宋_GB2312" w:cs="仿宋_GB2312"/>
          <w:b w:val="0"/>
          <w:bCs w:val="0"/>
          <w:color w:val="auto"/>
          <w:kern w:val="0"/>
          <w:sz w:val="32"/>
          <w:szCs w:val="32"/>
          <w:highlight w:val="none"/>
          <w:lang w:val="en-US" w:eastAsia="zh-CN" w:bidi="ar"/>
        </w:rPr>
      </w:pPr>
      <w:r>
        <w:rPr>
          <w:rFonts w:hint="eastAsia" w:ascii="仿宋_GB2312" w:hAnsi="仿宋_GB2312" w:eastAsia="仿宋_GB2312" w:cs="仿宋_GB2312"/>
          <w:b w:val="0"/>
          <w:bCs w:val="0"/>
          <w:color w:val="auto"/>
          <w:kern w:val="0"/>
          <w:sz w:val="32"/>
          <w:szCs w:val="32"/>
          <w:highlight w:val="none"/>
          <w:lang w:val="en-US" w:eastAsia="zh-CN" w:bidi="ar"/>
        </w:rPr>
        <w:t>（一）递交截止时间：2025年05月14日09:30（北京时间）</w:t>
      </w:r>
    </w:p>
    <w:p w14:paraId="2C0E770E">
      <w:pPr>
        <w:pStyle w:val="24"/>
        <w:keepNext w:val="0"/>
        <w:keepLines w:val="0"/>
        <w:pageBreakBefore w:val="0"/>
        <w:widowControl w:val="0"/>
        <w:suppressLineNumbers w:val="0"/>
        <w:wordWrap/>
        <w:topLinePunct w:val="0"/>
        <w:bidi w:val="0"/>
        <w:adjustRightInd w:val="0"/>
        <w:snapToGrid w:val="0"/>
        <w:spacing w:before="0" w:beforeLines="0" w:beforeAutospacing="0" w:after="0" w:afterLines="0" w:afterAutospacing="0" w:line="560" w:lineRule="exact"/>
        <w:ind w:left="0" w:leftChars="0" w:right="0" w:firstLine="640" w:firstLineChars="200"/>
        <w:jc w:val="left"/>
        <w:outlineLvl w:val="2"/>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kern w:val="0"/>
          <w:sz w:val="32"/>
          <w:szCs w:val="32"/>
          <w:highlight w:val="none"/>
          <w:lang w:val="en-US" w:eastAsia="zh-CN" w:bidi="ar"/>
        </w:rPr>
        <w:t>（二）递交方式：</w:t>
      </w:r>
      <w:r>
        <w:rPr>
          <w:rFonts w:hint="eastAsia" w:ascii="仿宋_GB2312" w:hAnsi="仿宋_GB2312" w:eastAsia="仿宋_GB2312" w:cs="仿宋_GB2312"/>
          <w:b w:val="0"/>
          <w:bCs w:val="0"/>
          <w:color w:val="auto"/>
          <w:sz w:val="32"/>
          <w:szCs w:val="32"/>
          <w:highlight w:val="none"/>
          <w:lang w:val="en-US" w:eastAsia="zh-CN"/>
        </w:rPr>
        <w:t>现场</w:t>
      </w:r>
      <w:r>
        <w:rPr>
          <w:rFonts w:hint="eastAsia" w:ascii="仿宋_GB2312" w:hAnsi="仿宋_GB2312" w:eastAsia="仿宋_GB2312" w:cs="仿宋_GB2312"/>
          <w:b w:val="0"/>
          <w:bCs w:val="0"/>
          <w:color w:val="auto"/>
          <w:sz w:val="32"/>
          <w:szCs w:val="32"/>
          <w:highlight w:val="none"/>
        </w:rPr>
        <w:t>递交</w:t>
      </w:r>
    </w:p>
    <w:p w14:paraId="602B2E9C">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firstLine="640" w:firstLineChars="200"/>
        <w:jc w:val="left"/>
        <w:textAlignment w:val="auto"/>
        <w:rPr>
          <w:rFonts w:hint="eastAsia" w:ascii="仿宋_GB2312" w:hAnsi="仿宋_GB2312" w:eastAsia="仿宋_GB2312" w:cs="仿宋_GB2312"/>
          <w:color w:val="auto"/>
          <w:sz w:val="32"/>
          <w:highlight w:val="yellow"/>
          <w:lang w:val="en-US" w:eastAsia="zh-CN"/>
        </w:rPr>
      </w:pP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val="en-US" w:eastAsia="zh" w:bidi="ar"/>
        </w:rPr>
        <w:t>三</w:t>
      </w:r>
      <w:r>
        <w:rPr>
          <w:rFonts w:hint="eastAsia"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sz w:val="32"/>
          <w:szCs w:val="32"/>
          <w:highlight w:val="none"/>
          <w:lang w:val="en-US" w:eastAsia="zh-CN"/>
        </w:rPr>
        <w:t>递交</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highlight w:val="none"/>
        </w:rPr>
        <w:t>四川省绵阳市</w:t>
      </w:r>
      <w:r>
        <w:rPr>
          <w:rFonts w:hint="eastAsia" w:ascii="仿宋_GB2312" w:hAnsi="仿宋_GB2312" w:eastAsia="仿宋_GB2312" w:cs="仿宋_GB2312"/>
          <w:color w:val="auto"/>
          <w:sz w:val="32"/>
          <w:highlight w:val="none"/>
          <w:lang w:val="en-US" w:eastAsia="zh-CN"/>
        </w:rPr>
        <w:t>九洲科技工业园</w:t>
      </w:r>
    </w:p>
    <w:p w14:paraId="3759897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firstLine="640" w:firstLineChars="200"/>
        <w:jc w:val="left"/>
        <w:textAlignment w:val="auto"/>
        <w:rPr>
          <w:rFonts w:hint="eastAsia" w:ascii="仿宋_GB2312" w:hAnsi="仿宋_GB2312" w:eastAsia="仿宋_GB2312" w:cs="仿宋_GB2312"/>
          <w:color w:val="auto"/>
          <w:sz w:val="32"/>
          <w:highlight w:val="none"/>
          <w:lang w:val="en-US" w:eastAsia="zh-CN"/>
        </w:rPr>
      </w:pPr>
      <w:r>
        <w:rPr>
          <w:rFonts w:hint="eastAsia" w:ascii="仿宋_GB2312" w:hAnsi="仿宋_GB2312" w:eastAsia="仿宋_GB2312" w:cs="仿宋_GB2312"/>
          <w:color w:val="auto"/>
          <w:sz w:val="32"/>
          <w:highlight w:val="none"/>
          <w:lang w:val="en-US" w:eastAsia="zh-CN"/>
        </w:rPr>
        <w:t>响应</w:t>
      </w:r>
      <w:r>
        <w:rPr>
          <w:rFonts w:hint="eastAsia" w:ascii="仿宋_GB2312" w:hAnsi="仿宋_GB2312" w:eastAsia="仿宋_GB2312" w:cs="仿宋_GB2312"/>
          <w:color w:val="auto"/>
          <w:sz w:val="32"/>
          <w:highlight w:val="none"/>
        </w:rPr>
        <w:t>文件必须在递交截止时间前送达递交地点，逾期送达或未送达指定地点的视为自动弃权。</w:t>
      </w:r>
    </w:p>
    <w:p w14:paraId="16F79365">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询比时间</w:t>
      </w:r>
    </w:p>
    <w:p w14:paraId="7FD6DA9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bidi="ar"/>
        </w:rPr>
        <w:t>2025年05月14日09:30</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北京时间</w:t>
      </w:r>
      <w:r>
        <w:rPr>
          <w:rFonts w:hint="eastAsia" w:ascii="仿宋_GB2312" w:hAnsi="仿宋_GB2312" w:eastAsia="仿宋_GB2312" w:cs="仿宋_GB2312"/>
          <w:b w:val="0"/>
          <w:bCs w:val="0"/>
          <w:color w:val="auto"/>
          <w:sz w:val="32"/>
          <w:szCs w:val="32"/>
          <w:highlight w:val="none"/>
          <w:lang w:eastAsia="zh-CN"/>
        </w:rPr>
        <w:t>）</w:t>
      </w:r>
    </w:p>
    <w:p w14:paraId="5AB0A2FA">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发布公告媒介</w:t>
      </w:r>
    </w:p>
    <w:p w14:paraId="46A51F5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本次询比采购公告仅在四川九洲投资控股集团有限公司官网（www.jezetek.cc）和</w:t>
      </w:r>
      <w:r>
        <w:rPr>
          <w:rFonts w:hint="eastAsia" w:ascii="仿宋_GB2312" w:hAnsi="仿宋_GB2312" w:eastAsia="仿宋_GB2312" w:cs="仿宋_GB2312"/>
          <w:i w:val="0"/>
          <w:iCs w:val="0"/>
          <w:caps w:val="0"/>
          <w:color w:val="auto"/>
          <w:spacing w:val="0"/>
          <w:sz w:val="32"/>
          <w:szCs w:val="32"/>
          <w:highlight w:val="none"/>
          <w:shd w:val="clear" w:color="auto" w:fill="auto"/>
        </w:rPr>
        <w:t>绵阳市国资委官网（gzw.my.gov.cn）</w:t>
      </w:r>
      <w:r>
        <w:rPr>
          <w:rFonts w:hint="eastAsia" w:ascii="仿宋_GB2312" w:hAnsi="仿宋_GB2312" w:eastAsia="仿宋_GB2312" w:cs="仿宋_GB2312"/>
          <w:color w:val="auto"/>
          <w:sz w:val="32"/>
          <w:szCs w:val="32"/>
          <w:highlight w:val="none"/>
          <w:lang w:val="en-US" w:eastAsia="zh-CN"/>
        </w:rPr>
        <w:t>发布。对于因其他网站转载并发布的非完整版或修改版公告，而导致误报名或无效报名的情形，</w:t>
      </w:r>
      <w:r>
        <w:rPr>
          <w:rFonts w:hint="default" w:ascii="仿宋_GB2312" w:hAnsi="仿宋_GB2312" w:eastAsia="仿宋_GB2312" w:cs="仿宋_GB2312"/>
          <w:color w:val="auto"/>
          <w:sz w:val="32"/>
          <w:szCs w:val="32"/>
          <w:highlight w:val="none"/>
          <w:lang w:eastAsia="zh-CN"/>
        </w:rPr>
        <w:t>采购</w:t>
      </w:r>
      <w:r>
        <w:rPr>
          <w:rFonts w:hint="eastAsia" w:ascii="仿宋_GB2312" w:hAnsi="仿宋_GB2312" w:eastAsia="仿宋_GB2312" w:cs="仿宋_GB2312"/>
          <w:color w:val="auto"/>
          <w:sz w:val="32"/>
          <w:szCs w:val="32"/>
          <w:highlight w:val="none"/>
          <w:lang w:val="en-US" w:eastAsia="zh-CN"/>
        </w:rPr>
        <w:t>人不予承担责任。</w:t>
      </w:r>
    </w:p>
    <w:p w14:paraId="74E09DCC">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公告期限</w:t>
      </w:r>
    </w:p>
    <w:p w14:paraId="3A2DFA4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2025年05月06日至2025年05月12日</w:t>
      </w:r>
    </w:p>
    <w:p w14:paraId="0EC528DD">
      <w:pPr>
        <w:pStyle w:val="2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联系方式</w:t>
      </w:r>
    </w:p>
    <w:p w14:paraId="78DDE28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采购人：</w:t>
      </w:r>
      <w:r>
        <w:rPr>
          <w:rFonts w:hint="default" w:ascii="仿宋_GB2312" w:hAnsi="仿宋_GB2312" w:eastAsia="仿宋_GB2312" w:cs="仿宋_GB2312"/>
          <w:color w:val="auto"/>
          <w:sz w:val="32"/>
          <w:szCs w:val="32"/>
          <w:highlight w:val="none"/>
          <w:lang w:val="en-US" w:eastAsia="zh-CN"/>
        </w:rPr>
        <w:t>四川九洲投资控股集团有限公司</w:t>
      </w:r>
    </w:p>
    <w:p w14:paraId="42A9B3FD">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联系人：陶女士</w:t>
      </w:r>
    </w:p>
    <w:p w14:paraId="3730E75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eastAsia="zh-CN"/>
        </w:rPr>
        <w:t>联系电话：</w:t>
      </w:r>
      <w:r>
        <w:rPr>
          <w:rFonts w:hint="eastAsia" w:ascii="仿宋_GB2312" w:hAnsi="仿宋_GB2312" w:eastAsia="仿宋_GB2312" w:cs="仿宋_GB2312"/>
          <w:color w:val="auto"/>
          <w:sz w:val="32"/>
          <w:szCs w:val="32"/>
          <w:highlight w:val="none"/>
          <w:lang w:val="en-US" w:eastAsia="zh-CN"/>
        </w:rPr>
        <w:t>18581618207</w:t>
      </w:r>
    </w:p>
    <w:p w14:paraId="7299248B">
      <w:pPr>
        <w:keepNext w:val="0"/>
        <w:keepLines w:val="0"/>
        <w:pageBreakBefore w:val="0"/>
        <w:widowControl/>
        <w:suppressLineNumbers w:val="0"/>
        <w:wordWrap/>
        <w:topLinePunct w:val="0"/>
        <w:bidi w:val="0"/>
        <w:spacing w:beforeLines="0" w:afterLines="0" w:line="560" w:lineRule="exact"/>
        <w:ind w:firstLine="640" w:firstLineChars="200"/>
        <w:jc w:val="lef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highlight w:val="none"/>
        </w:rPr>
        <w:t>联系邮箱：</w:t>
      </w:r>
      <w:r>
        <w:rPr>
          <w:rFonts w:hint="default" w:ascii="仿宋_GB2312" w:hAnsi="仿宋_GB2312" w:eastAsia="仿宋_GB2312" w:cs="仿宋_GB2312"/>
          <w:color w:val="auto"/>
          <w:sz w:val="32"/>
          <w:szCs w:val="32"/>
          <w:highlight w:val="none"/>
          <w:lang w:val="en-US" w:eastAsia="zh-CN"/>
        </w:rPr>
        <w:fldChar w:fldCharType="begin"/>
      </w:r>
      <w:r>
        <w:rPr>
          <w:rFonts w:hint="default" w:ascii="仿宋_GB2312" w:hAnsi="仿宋_GB2312" w:eastAsia="仿宋_GB2312" w:cs="仿宋_GB2312"/>
          <w:color w:val="auto"/>
          <w:sz w:val="32"/>
          <w:szCs w:val="32"/>
          <w:highlight w:val="none"/>
          <w:lang w:val="en-US" w:eastAsia="zh-CN"/>
        </w:rPr>
        <w:instrText xml:space="preserve"> HYPERLINK "mailto:zhangyujiao1@jezetek.cc" \t "_blank" </w:instrText>
      </w:r>
      <w:r>
        <w:rPr>
          <w:rFonts w:hint="default" w:ascii="仿宋_GB2312" w:hAnsi="仿宋_GB2312" w:eastAsia="仿宋_GB2312" w:cs="仿宋_GB2312"/>
          <w:color w:val="auto"/>
          <w:sz w:val="32"/>
          <w:szCs w:val="32"/>
          <w:highlight w:val="none"/>
          <w:lang w:val="en-US" w:eastAsia="zh-CN"/>
        </w:rPr>
        <w:fldChar w:fldCharType="separate"/>
      </w:r>
      <w:r>
        <w:rPr>
          <w:rFonts w:hint="eastAsia" w:ascii="仿宋_GB2312" w:hAnsi="仿宋_GB2312" w:eastAsia="仿宋_GB2312" w:cs="仿宋_GB2312"/>
          <w:color w:val="auto"/>
          <w:sz w:val="32"/>
          <w:szCs w:val="32"/>
          <w:highlight w:val="none"/>
          <w:lang w:val="en-US" w:eastAsia="zh-CN"/>
        </w:rPr>
        <w:t>taoliujing</w:t>
      </w:r>
      <w:r>
        <w:rPr>
          <w:rFonts w:hint="default" w:ascii="仿宋_GB2312" w:hAnsi="仿宋_GB2312" w:eastAsia="仿宋_GB2312" w:cs="仿宋_GB2312"/>
          <w:color w:val="auto"/>
          <w:sz w:val="32"/>
          <w:szCs w:val="32"/>
          <w:highlight w:val="none"/>
          <w:lang w:eastAsia="zh-CN"/>
        </w:rPr>
        <w:t>@jezetek.cc</w:t>
      </w:r>
      <w:r>
        <w:rPr>
          <w:rFonts w:hint="default" w:ascii="仿宋_GB2312" w:hAnsi="仿宋_GB2312" w:eastAsia="仿宋_GB2312" w:cs="仿宋_GB2312"/>
          <w:color w:val="auto"/>
          <w:sz w:val="32"/>
          <w:szCs w:val="32"/>
          <w:highlight w:val="none"/>
          <w:lang w:val="en-US" w:eastAsia="zh-CN"/>
        </w:rPr>
        <w:fldChar w:fldCharType="end"/>
      </w:r>
    </w:p>
    <w:p w14:paraId="6F3318BF">
      <w:pPr>
        <w:keepNext w:val="0"/>
        <w:keepLines w:val="0"/>
        <w:pageBreakBefore w:val="0"/>
        <w:widowControl/>
        <w:suppressLineNumbers w:val="0"/>
        <w:wordWrap/>
        <w:topLinePunct w:val="0"/>
        <w:bidi w:val="0"/>
        <w:spacing w:beforeLines="0" w:afterLines="0" w:line="560" w:lineRule="exact"/>
        <w:ind w:firstLine="640" w:firstLineChars="200"/>
        <w:jc w:val="left"/>
        <w:rPr>
          <w:rFonts w:hint="default" w:ascii="仿宋_GB2312" w:hAnsi="仿宋_GB2312" w:eastAsia="仿宋_GB2312" w:cs="仿宋_GB2312"/>
          <w:color w:val="auto"/>
          <w:sz w:val="32"/>
          <w:szCs w:val="32"/>
          <w:highlight w:val="none"/>
          <w:lang w:val="en-US" w:eastAsia="zh-CN"/>
        </w:rPr>
      </w:pPr>
    </w:p>
    <w:p w14:paraId="1937C7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附件：询比申请书</w:t>
      </w:r>
    </w:p>
    <w:p w14:paraId="7B8C5EB5">
      <w:pPr>
        <w:keepNext w:val="0"/>
        <w:keepLines w:val="0"/>
        <w:pageBreakBefore w:val="0"/>
        <w:widowControl/>
        <w:suppressLineNumbers w:val="0"/>
        <w:wordWrap/>
        <w:topLinePunct w:val="0"/>
        <w:bidi w:val="0"/>
        <w:spacing w:beforeLines="0" w:afterLines="0" w:line="560" w:lineRule="exact"/>
        <w:ind w:firstLine="640" w:firstLineChars="200"/>
        <w:jc w:val="left"/>
        <w:rPr>
          <w:rFonts w:hint="eastAsia" w:ascii="仿宋_GB2312" w:hAnsi="仿宋_GB2312" w:eastAsia="仿宋_GB2312" w:cs="仿宋_GB2312"/>
          <w:color w:val="auto"/>
          <w:sz w:val="32"/>
          <w:szCs w:val="32"/>
          <w:highlight w:val="none"/>
          <w:lang w:val="en-US" w:eastAsia="zh-CN"/>
        </w:rPr>
      </w:pPr>
    </w:p>
    <w:p w14:paraId="7E732F94">
      <w:pPr>
        <w:pageBreakBefore w:val="0"/>
        <w:wordWrap/>
        <w:topLinePunct w:val="0"/>
        <w:bidi w:val="0"/>
        <w:adjustRightInd w:val="0"/>
        <w:snapToGrid w:val="0"/>
        <w:spacing w:line="560" w:lineRule="exact"/>
        <w:jc w:val="both"/>
        <w:outlineLvl w:val="9"/>
        <w:rPr>
          <w:rFonts w:hint="eastAsia" w:ascii="仿宋_GB2312" w:hAnsi="仿宋_GB2312" w:eastAsia="仿宋_GB2312" w:cs="仿宋_GB2312"/>
          <w:color w:val="auto"/>
          <w:sz w:val="32"/>
          <w:szCs w:val="32"/>
          <w:highlight w:val="none"/>
          <w:lang w:val="en-US" w:eastAsia="zh-CN"/>
        </w:rPr>
      </w:pPr>
    </w:p>
    <w:p w14:paraId="5504995B">
      <w:pPr>
        <w:pageBreakBefore w:val="0"/>
        <w:wordWrap/>
        <w:topLinePunct w:val="0"/>
        <w:bidi w:val="0"/>
        <w:adjustRightInd w:val="0"/>
        <w:snapToGrid w:val="0"/>
        <w:spacing w:line="560" w:lineRule="exact"/>
        <w:ind w:firstLine="0" w:firstLineChars="0"/>
        <w:jc w:val="left"/>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w:t>
      </w:r>
    </w:p>
    <w:p w14:paraId="39A3B523">
      <w:pPr>
        <w:pageBreakBefore w:val="0"/>
        <w:wordWrap/>
        <w:topLinePunct w:val="0"/>
        <w:bidi w:val="0"/>
        <w:adjustRightInd w:val="0"/>
        <w:snapToGrid w:val="0"/>
        <w:spacing w:line="560" w:lineRule="exact"/>
        <w:ind w:firstLine="640" w:firstLineChars="200"/>
        <w:jc w:val="center"/>
        <w:outlineLvl w:val="9"/>
        <w:rPr>
          <w:rFonts w:hint="eastAsia" w:ascii="仿宋_GB2312" w:hAnsi="仿宋_GB2312" w:eastAsia="仿宋_GB2312" w:cs="仿宋_GB2312"/>
          <w:bCs/>
          <w:color w:val="auto"/>
          <w:kern w:val="36"/>
          <w:sz w:val="32"/>
          <w:szCs w:val="32"/>
          <w:highlight w:val="none"/>
        </w:rPr>
      </w:pPr>
      <w:r>
        <w:rPr>
          <w:rFonts w:hint="eastAsia" w:ascii="仿宋_GB2312" w:hAnsi="仿宋_GB2312" w:eastAsia="仿宋_GB2312" w:cs="仿宋_GB2312"/>
          <w:bCs/>
          <w:color w:val="auto"/>
          <w:kern w:val="36"/>
          <w:sz w:val="32"/>
          <w:szCs w:val="32"/>
          <w:highlight w:val="none"/>
          <w:lang w:val="en-US" w:eastAsia="zh-CN"/>
        </w:rPr>
        <w:t>询比</w:t>
      </w:r>
      <w:r>
        <w:rPr>
          <w:rFonts w:hint="eastAsia" w:ascii="仿宋_GB2312" w:hAnsi="仿宋_GB2312" w:eastAsia="仿宋_GB2312" w:cs="仿宋_GB2312"/>
          <w:bCs/>
          <w:color w:val="auto"/>
          <w:kern w:val="36"/>
          <w:sz w:val="32"/>
          <w:szCs w:val="32"/>
          <w:highlight w:val="none"/>
        </w:rPr>
        <w:t>申请书</w:t>
      </w:r>
    </w:p>
    <w:p w14:paraId="10A2F69E">
      <w:pPr>
        <w:pStyle w:val="22"/>
        <w:pageBreakBefore w:val="0"/>
        <w:wordWrap/>
        <w:topLinePunct w:val="0"/>
        <w:bidi w:val="0"/>
        <w:spacing w:line="560" w:lineRule="exact"/>
        <w:ind w:left="840" w:firstLine="420" w:firstLineChars="200"/>
        <w:jc w:val="left"/>
        <w:rPr>
          <w:rFonts w:hint="eastAsia"/>
          <w:color w:val="auto"/>
          <w:highlight w:val="none"/>
        </w:rPr>
      </w:pPr>
    </w:p>
    <w:p w14:paraId="5A06ECC5">
      <w:pPr>
        <w:pageBreakBefore w:val="0"/>
        <w:wordWrap/>
        <w:topLinePunct w:val="0"/>
        <w:bidi w:val="0"/>
        <w:adjustRightInd w:val="0"/>
        <w:snapToGrid w:val="0"/>
        <w:spacing w:line="560" w:lineRule="exact"/>
        <w:ind w:left="0" w:firstLine="0" w:firstLineChars="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XXX公司</w:t>
      </w:r>
      <w:r>
        <w:rPr>
          <w:rFonts w:hint="eastAsia" w:ascii="仿宋_GB2312" w:hAnsi="仿宋_GB2312" w:eastAsia="仿宋_GB2312" w:cs="仿宋_GB2312"/>
          <w:color w:val="auto"/>
          <w:sz w:val="32"/>
          <w:szCs w:val="32"/>
          <w:highlight w:val="none"/>
        </w:rPr>
        <w:t>：</w:t>
      </w:r>
    </w:p>
    <w:p w14:paraId="3AE9FF70">
      <w:pPr>
        <w:pageBreakBefore w:val="0"/>
        <w:wordWrap/>
        <w:topLinePunct w:val="0"/>
        <w:bidi w:val="0"/>
        <w:adjustRightInd w:val="0"/>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u w:val="single"/>
          <w:lang w:val="en-US" w:eastAsia="zh-CN"/>
        </w:rPr>
        <w:t>供应商</w:t>
      </w:r>
      <w:r>
        <w:rPr>
          <w:rFonts w:hint="eastAsia" w:ascii="仿宋_GB2312" w:hAnsi="仿宋_GB2312" w:eastAsia="仿宋_GB2312" w:cs="仿宋_GB2312"/>
          <w:color w:val="auto"/>
          <w:sz w:val="32"/>
          <w:szCs w:val="32"/>
          <w:highlight w:val="none"/>
          <w:u w:val="single"/>
        </w:rPr>
        <w:t>名称</w:t>
      </w:r>
      <w:r>
        <w:rPr>
          <w:rFonts w:hint="eastAsia" w:ascii="仿宋_GB2312" w:hAnsi="仿宋_GB2312" w:eastAsia="仿宋_GB2312" w:cs="仿宋_GB2312"/>
          <w:color w:val="auto"/>
          <w:sz w:val="32"/>
          <w:szCs w:val="32"/>
          <w:highlight w:val="none"/>
        </w:rPr>
        <w:t>）已知悉</w:t>
      </w:r>
      <w:r>
        <w:rPr>
          <w:rFonts w:hint="eastAsia" w:ascii="仿宋_GB2312" w:hAnsi="仿宋_GB2312" w:eastAsia="仿宋_GB2312" w:cs="仿宋_GB2312"/>
          <w:color w:val="auto"/>
          <w:sz w:val="32"/>
          <w:szCs w:val="32"/>
          <w:highlight w:val="none"/>
          <w:lang w:val="en-US" w:eastAsia="zh-CN"/>
        </w:rPr>
        <w:t>XXX项目</w:t>
      </w:r>
      <w:r>
        <w:rPr>
          <w:rFonts w:hint="eastAsia" w:ascii="仿宋_GB2312" w:hAnsi="仿宋_GB2312" w:eastAsia="仿宋_GB2312" w:cs="仿宋_GB2312"/>
          <w:color w:val="auto"/>
          <w:sz w:val="32"/>
          <w:szCs w:val="32"/>
          <w:highlight w:val="none"/>
        </w:rPr>
        <w:t>的</w:t>
      </w:r>
      <w:r>
        <w:rPr>
          <w:rFonts w:hint="eastAsia" w:ascii="仿宋_GB2312" w:hAnsi="仿宋_GB2312" w:eastAsia="仿宋_GB2312" w:cs="仿宋_GB2312"/>
          <w:color w:val="auto"/>
          <w:sz w:val="32"/>
          <w:szCs w:val="32"/>
          <w:highlight w:val="none"/>
          <w:lang w:val="en-US" w:eastAsia="zh-CN"/>
        </w:rPr>
        <w:t>询比采购</w:t>
      </w:r>
      <w:r>
        <w:rPr>
          <w:rFonts w:hint="eastAsia" w:ascii="仿宋_GB2312" w:hAnsi="仿宋_GB2312" w:eastAsia="仿宋_GB2312" w:cs="仿宋_GB2312"/>
          <w:color w:val="auto"/>
          <w:sz w:val="32"/>
          <w:szCs w:val="32"/>
          <w:highlight w:val="none"/>
        </w:rPr>
        <w:t>公告，并充分了解贵单位发布的</w:t>
      </w:r>
      <w:r>
        <w:rPr>
          <w:rFonts w:hint="eastAsia" w:ascii="仿宋_GB2312" w:hAnsi="仿宋_GB2312" w:eastAsia="仿宋_GB2312" w:cs="仿宋_GB2312"/>
          <w:color w:val="auto"/>
          <w:sz w:val="32"/>
          <w:szCs w:val="32"/>
          <w:highlight w:val="none"/>
          <w:lang w:val="en-US" w:eastAsia="zh-CN"/>
        </w:rPr>
        <w:t>采购</w:t>
      </w:r>
      <w:r>
        <w:rPr>
          <w:rFonts w:hint="eastAsia" w:ascii="仿宋_GB2312" w:hAnsi="仿宋_GB2312" w:eastAsia="仿宋_GB2312" w:cs="仿宋_GB2312"/>
          <w:color w:val="auto"/>
          <w:sz w:val="32"/>
          <w:szCs w:val="32"/>
          <w:highlight w:val="none"/>
        </w:rPr>
        <w:t>内容及要求，现确认参加贵单位该项目的</w:t>
      </w:r>
      <w:r>
        <w:rPr>
          <w:rFonts w:hint="eastAsia" w:ascii="仿宋_GB2312" w:hAnsi="仿宋_GB2312" w:eastAsia="仿宋_GB2312" w:cs="仿宋_GB2312"/>
          <w:color w:val="auto"/>
          <w:sz w:val="32"/>
          <w:szCs w:val="32"/>
          <w:highlight w:val="none"/>
          <w:lang w:val="en-US" w:eastAsia="zh-CN"/>
        </w:rPr>
        <w:t>询比采购活动</w:t>
      </w:r>
      <w:r>
        <w:rPr>
          <w:rFonts w:hint="eastAsia" w:ascii="仿宋_GB2312" w:hAnsi="仿宋_GB2312" w:eastAsia="仿宋_GB2312" w:cs="仿宋_GB2312"/>
          <w:color w:val="auto"/>
          <w:sz w:val="32"/>
          <w:szCs w:val="32"/>
          <w:highlight w:val="none"/>
        </w:rPr>
        <w:t>。</w:t>
      </w:r>
    </w:p>
    <w:p w14:paraId="42B92B7D">
      <w:pPr>
        <w:pageBreakBefore w:val="0"/>
        <w:wordWrap/>
        <w:topLinePunct w:val="0"/>
        <w:bidi w:val="0"/>
        <w:adjustRightInd w:val="0"/>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p>
    <w:p w14:paraId="2901ACED">
      <w:pPr>
        <w:pageBreakBefore w:val="0"/>
        <w:wordWrap/>
        <w:topLinePunct w:val="0"/>
        <w:bidi w:val="0"/>
        <w:adjustRightInd w:val="0"/>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我单位负责本项目</w:t>
      </w:r>
      <w:r>
        <w:rPr>
          <w:rFonts w:hint="eastAsia" w:ascii="仿宋_GB2312" w:hAnsi="仿宋_GB2312" w:eastAsia="仿宋_GB2312" w:cs="仿宋_GB2312"/>
          <w:color w:val="auto"/>
          <w:sz w:val="32"/>
          <w:szCs w:val="32"/>
          <w:highlight w:val="none"/>
          <w:lang w:val="en-US" w:eastAsia="zh-CN"/>
        </w:rPr>
        <w:t>询比</w:t>
      </w:r>
      <w:r>
        <w:rPr>
          <w:rFonts w:hint="eastAsia" w:ascii="仿宋_GB2312" w:hAnsi="仿宋_GB2312" w:eastAsia="仿宋_GB2312" w:cs="仿宋_GB2312"/>
          <w:color w:val="auto"/>
          <w:sz w:val="32"/>
          <w:szCs w:val="32"/>
          <w:highlight w:val="none"/>
        </w:rPr>
        <w:t xml:space="preserve">的具体联系人：   </w:t>
      </w:r>
    </w:p>
    <w:p w14:paraId="541B9EA1">
      <w:pPr>
        <w:pageBreakBefore w:val="0"/>
        <w:wordWrap/>
        <w:topLinePunct w:val="0"/>
        <w:bidi w:val="0"/>
        <w:adjustRightInd w:val="0"/>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联系电话： </w:t>
      </w:r>
    </w:p>
    <w:p w14:paraId="2CD5846A">
      <w:pPr>
        <w:pageBreakBefore w:val="0"/>
        <w:wordWrap/>
        <w:topLinePunct w:val="0"/>
        <w:bidi w:val="0"/>
        <w:adjustRightInd w:val="0"/>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p>
    <w:p w14:paraId="79296F50">
      <w:pPr>
        <w:pageBreakBefore w:val="0"/>
        <w:wordWrap/>
        <w:topLinePunct w:val="0"/>
        <w:bidi w:val="0"/>
        <w:adjustRightInd w:val="0"/>
        <w:snapToGrid w:val="0"/>
        <w:spacing w:line="56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p>
    <w:p w14:paraId="10957CC8">
      <w:pPr>
        <w:pageBreakBefore w:val="0"/>
        <w:wordWrap/>
        <w:topLinePunct w:val="0"/>
        <w:bidi w:val="0"/>
        <w:adjustRightInd w:val="0"/>
        <w:snapToGrid w:val="0"/>
        <w:spacing w:line="560" w:lineRule="exact"/>
        <w:ind w:left="0" w:leftChars="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
        </w:rPr>
        <w:t xml:space="preserve">                 </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：（全称、盖章）</w:t>
      </w:r>
    </w:p>
    <w:p w14:paraId="7B501E11">
      <w:pPr>
        <w:pageBreakBefore w:val="0"/>
        <w:wordWrap/>
        <w:topLinePunct w:val="0"/>
        <w:bidi w:val="0"/>
        <w:adjustRightInd w:val="0"/>
        <w:snapToGrid w:val="0"/>
        <w:spacing w:line="560" w:lineRule="exact"/>
        <w:ind w:firstLine="56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法定代表人或委托代理人：（</w:t>
      </w:r>
      <w:r>
        <w:rPr>
          <w:rFonts w:hint="eastAsia" w:ascii="仿宋_GB2312" w:hAnsi="仿宋_GB2312" w:eastAsia="仿宋_GB2312" w:cs="仿宋_GB2312"/>
          <w:color w:val="auto"/>
          <w:sz w:val="32"/>
          <w:szCs w:val="32"/>
          <w:highlight w:val="none"/>
          <w:lang w:val="en-US" w:eastAsia="zh-CN"/>
        </w:rPr>
        <w:t>签字</w:t>
      </w:r>
      <w:r>
        <w:rPr>
          <w:rFonts w:hint="eastAsia" w:ascii="仿宋_GB2312" w:hAnsi="仿宋_GB2312" w:eastAsia="仿宋_GB2312" w:cs="仿宋_GB2312"/>
          <w:color w:val="auto"/>
          <w:sz w:val="32"/>
          <w:szCs w:val="32"/>
          <w:highlight w:val="none"/>
        </w:rPr>
        <w:t>）</w:t>
      </w:r>
    </w:p>
    <w:p w14:paraId="2AC77AE7">
      <w:pPr>
        <w:pageBreakBefore w:val="0"/>
        <w:wordWrap/>
        <w:topLinePunct w:val="0"/>
        <w:bidi w:val="0"/>
        <w:spacing w:after="120" w:line="560" w:lineRule="exact"/>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日  期：</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w:t>
      </w:r>
    </w:p>
    <w:p w14:paraId="56DC5EDF">
      <w:pPr>
        <w:pageBreakBefore w:val="0"/>
        <w:wordWrap/>
        <w:topLinePunct w:val="0"/>
        <w:bidi w:val="0"/>
        <w:spacing w:after="120" w:line="560" w:lineRule="exact"/>
        <w:jc w:val="center"/>
        <w:rPr>
          <w:rFonts w:hint="eastAsia" w:ascii="仿宋_GB2312" w:hAnsi="仿宋_GB2312" w:eastAsia="仿宋_GB2312" w:cs="仿宋_GB2312"/>
          <w:color w:val="auto"/>
          <w:sz w:val="32"/>
          <w:szCs w:val="32"/>
          <w:highlight w:val="none"/>
        </w:rPr>
      </w:pPr>
    </w:p>
    <w:p w14:paraId="6FC09A89">
      <w:pPr>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rPr>
      </w:pPr>
    </w:p>
    <w:p w14:paraId="183D0559">
      <w:pPr>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rPr>
      </w:pPr>
    </w:p>
    <w:p w14:paraId="58C228A0">
      <w:pPr>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rPr>
      </w:pPr>
    </w:p>
    <w:p w14:paraId="53417CDB">
      <w:pPr>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rPr>
      </w:pPr>
    </w:p>
    <w:p w14:paraId="7BB4C205">
      <w:pPr>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rPr>
      </w:pPr>
    </w:p>
    <w:p w14:paraId="2CCDDE10">
      <w:pPr>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rPr>
      </w:pPr>
    </w:p>
    <w:p w14:paraId="4D5BEE0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center"/>
        <w:textAlignment w:val="auto"/>
        <w:outlineLvl w:val="0"/>
        <w:rPr>
          <w:rStyle w:val="33"/>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32"/>
          <w:highlight w:val="none"/>
        </w:rPr>
        <w:br w:type="page"/>
      </w:r>
      <w:bookmarkStart w:id="7" w:name="_Toc9094"/>
      <w:bookmarkStart w:id="8" w:name="_Toc2098"/>
      <w:bookmarkStart w:id="9" w:name="_Toc282739058"/>
      <w:bookmarkStart w:id="10" w:name="_Toc29609"/>
      <w:r>
        <w:rPr>
          <w:rStyle w:val="33"/>
          <w:rFonts w:hint="eastAsia" w:ascii="方正小标宋简体" w:hAnsi="黑体" w:eastAsia="方正小标宋简体" w:cs="宋体"/>
          <w:b w:val="0"/>
          <w:bCs w:val="0"/>
          <w:color w:val="auto"/>
          <w:kern w:val="0"/>
          <w:sz w:val="44"/>
          <w:highlight w:val="none"/>
          <w:lang w:val="en-US" w:eastAsia="zh-CN"/>
        </w:rPr>
        <w:t xml:space="preserve"> 第二章 供应商须知</w:t>
      </w:r>
      <w:bookmarkEnd w:id="7"/>
      <w:bookmarkEnd w:id="8"/>
      <w:bookmarkEnd w:id="9"/>
      <w:bookmarkEnd w:id="10"/>
    </w:p>
    <w:p w14:paraId="31E85A49">
      <w:pPr>
        <w:pStyle w:val="22"/>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供应商须知前附表</w:t>
      </w:r>
    </w:p>
    <w:tbl>
      <w:tblPr>
        <w:tblStyle w:val="27"/>
        <w:tblW w:w="8899"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531"/>
        <w:gridCol w:w="1122"/>
        <w:gridCol w:w="7246"/>
      </w:tblGrid>
      <w:tr w14:paraId="4648CA8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tblHeader/>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5DE9AF4C">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b/>
                <w:bCs/>
                <w:color w:val="auto"/>
                <w:sz w:val="24"/>
                <w:szCs w:val="24"/>
                <w:highlight w:val="none"/>
                <w:lang w:val="zh-CN"/>
              </w:rPr>
            </w:pPr>
            <w:r>
              <w:rPr>
                <w:rFonts w:hint="eastAsia" w:ascii="仿宋_GB2312" w:hAnsi="仿宋_GB2312" w:eastAsia="仿宋_GB2312" w:cs="仿宋_GB2312"/>
                <w:b/>
                <w:bCs/>
                <w:color w:val="auto"/>
                <w:sz w:val="24"/>
                <w:szCs w:val="24"/>
                <w:highlight w:val="none"/>
                <w:lang w:val="zh-CN"/>
              </w:rPr>
              <w:t>序号</w:t>
            </w:r>
          </w:p>
        </w:tc>
        <w:tc>
          <w:tcPr>
            <w:tcW w:w="1122" w:type="dxa"/>
            <w:tcBorders>
              <w:top w:val="single" w:color="auto" w:sz="4" w:space="0"/>
              <w:left w:val="single" w:color="auto" w:sz="4" w:space="0"/>
              <w:bottom w:val="single" w:color="auto" w:sz="4" w:space="0"/>
              <w:right w:val="single" w:color="auto" w:sz="4" w:space="0"/>
            </w:tcBorders>
            <w:noWrap/>
            <w:vAlign w:val="center"/>
          </w:tcPr>
          <w:p w14:paraId="1B89749C">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b/>
                <w:bCs/>
                <w:color w:val="auto"/>
                <w:sz w:val="24"/>
                <w:szCs w:val="24"/>
                <w:highlight w:val="none"/>
                <w:lang w:val="zh-CN"/>
              </w:rPr>
            </w:pPr>
            <w:r>
              <w:rPr>
                <w:rFonts w:hint="eastAsia" w:ascii="仿宋_GB2312" w:hAnsi="仿宋_GB2312" w:eastAsia="仿宋_GB2312" w:cs="仿宋_GB2312"/>
                <w:b/>
                <w:bCs/>
                <w:color w:val="auto"/>
                <w:sz w:val="24"/>
                <w:szCs w:val="24"/>
                <w:highlight w:val="none"/>
                <w:lang w:val="zh-CN"/>
              </w:rPr>
              <w:t>应知事项</w:t>
            </w:r>
          </w:p>
        </w:tc>
        <w:tc>
          <w:tcPr>
            <w:tcW w:w="7246" w:type="dxa"/>
            <w:tcBorders>
              <w:top w:val="single" w:color="auto" w:sz="4" w:space="0"/>
              <w:left w:val="single" w:color="auto" w:sz="4" w:space="0"/>
              <w:bottom w:val="single" w:color="auto" w:sz="4" w:space="0"/>
              <w:right w:val="single" w:color="auto" w:sz="4" w:space="0"/>
            </w:tcBorders>
            <w:noWrap/>
            <w:vAlign w:val="center"/>
          </w:tcPr>
          <w:p w14:paraId="5412CFA0">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b/>
                <w:bCs/>
                <w:color w:val="auto"/>
                <w:sz w:val="24"/>
                <w:szCs w:val="24"/>
                <w:highlight w:val="none"/>
                <w:lang w:val="zh-CN"/>
              </w:rPr>
            </w:pPr>
            <w:r>
              <w:rPr>
                <w:rFonts w:hint="eastAsia" w:ascii="仿宋_GB2312" w:hAnsi="仿宋_GB2312" w:eastAsia="仿宋_GB2312" w:cs="仿宋_GB2312"/>
                <w:b/>
                <w:bCs/>
                <w:color w:val="auto"/>
                <w:sz w:val="24"/>
                <w:szCs w:val="24"/>
                <w:highlight w:val="none"/>
                <w:lang w:val="zh-CN"/>
              </w:rPr>
              <w:t>说明和要求</w:t>
            </w:r>
          </w:p>
        </w:tc>
      </w:tr>
      <w:tr w14:paraId="502FB91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596CDA6C">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w:t>
            </w:r>
          </w:p>
        </w:tc>
        <w:tc>
          <w:tcPr>
            <w:tcW w:w="1122" w:type="dxa"/>
            <w:tcBorders>
              <w:top w:val="single" w:color="auto" w:sz="4" w:space="0"/>
              <w:left w:val="single" w:color="auto" w:sz="4" w:space="0"/>
              <w:bottom w:val="single" w:color="auto" w:sz="4" w:space="0"/>
              <w:right w:val="single" w:color="auto" w:sz="4" w:space="0"/>
            </w:tcBorders>
            <w:noWrap/>
            <w:vAlign w:val="center"/>
          </w:tcPr>
          <w:p w14:paraId="189377FC">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采购人</w:t>
            </w:r>
          </w:p>
        </w:tc>
        <w:tc>
          <w:tcPr>
            <w:tcW w:w="7246" w:type="dxa"/>
            <w:tcBorders>
              <w:top w:val="single" w:color="auto" w:sz="4" w:space="0"/>
              <w:left w:val="single" w:color="auto" w:sz="4" w:space="0"/>
              <w:bottom w:val="single" w:color="auto" w:sz="4" w:space="0"/>
              <w:right w:val="single" w:color="auto" w:sz="4" w:space="0"/>
            </w:tcBorders>
            <w:noWrap/>
            <w:vAlign w:val="center"/>
          </w:tcPr>
          <w:p w14:paraId="435FF837">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四川九洲投资控股集团有限公司</w:t>
            </w:r>
          </w:p>
        </w:tc>
      </w:tr>
      <w:tr w14:paraId="2E64C05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2ACDD5C6">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w:t>
            </w:r>
          </w:p>
        </w:tc>
        <w:tc>
          <w:tcPr>
            <w:tcW w:w="1122" w:type="dxa"/>
            <w:tcBorders>
              <w:top w:val="single" w:color="auto" w:sz="4" w:space="0"/>
              <w:left w:val="single" w:color="auto" w:sz="4" w:space="0"/>
              <w:bottom w:val="single" w:color="auto" w:sz="4" w:space="0"/>
              <w:right w:val="single" w:color="auto" w:sz="4" w:space="0"/>
            </w:tcBorders>
            <w:noWrap/>
            <w:vAlign w:val="center"/>
          </w:tcPr>
          <w:p w14:paraId="5FEED74A">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服务</w:t>
            </w:r>
            <w:r>
              <w:rPr>
                <w:rFonts w:hint="eastAsia" w:ascii="仿宋_GB2312" w:hAnsi="仿宋_GB2312" w:eastAsia="仿宋_GB2312" w:cs="仿宋_GB2312"/>
                <w:color w:val="auto"/>
                <w:sz w:val="24"/>
                <w:szCs w:val="24"/>
                <w:highlight w:val="none"/>
                <w:lang w:val="en-US" w:eastAsia="zh-CN"/>
              </w:rPr>
              <w:t>地点</w:t>
            </w:r>
          </w:p>
        </w:tc>
        <w:tc>
          <w:tcPr>
            <w:tcW w:w="7246" w:type="dxa"/>
            <w:tcBorders>
              <w:top w:val="single" w:color="auto" w:sz="4" w:space="0"/>
              <w:left w:val="single" w:color="auto" w:sz="4" w:space="0"/>
              <w:bottom w:val="single" w:color="auto" w:sz="4" w:space="0"/>
              <w:right w:val="single" w:color="auto" w:sz="4" w:space="0"/>
            </w:tcBorders>
            <w:noWrap/>
            <w:vAlign w:val="center"/>
          </w:tcPr>
          <w:p w14:paraId="72833EF3">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
              </w:rPr>
              <w:t>甲方指定地点</w:t>
            </w:r>
          </w:p>
        </w:tc>
      </w:tr>
      <w:tr w14:paraId="7C433BF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7519758C">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3</w:t>
            </w:r>
          </w:p>
        </w:tc>
        <w:tc>
          <w:tcPr>
            <w:tcW w:w="1122" w:type="dxa"/>
            <w:tcBorders>
              <w:top w:val="single" w:color="auto" w:sz="4" w:space="0"/>
              <w:left w:val="single" w:color="auto" w:sz="4" w:space="0"/>
              <w:bottom w:val="single" w:color="auto" w:sz="4" w:space="0"/>
              <w:right w:val="single" w:color="auto" w:sz="4" w:space="0"/>
            </w:tcBorders>
            <w:noWrap/>
            <w:vAlign w:val="center"/>
          </w:tcPr>
          <w:p w14:paraId="37097CE1">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项目名称</w:t>
            </w:r>
          </w:p>
        </w:tc>
        <w:tc>
          <w:tcPr>
            <w:tcW w:w="7246" w:type="dxa"/>
            <w:tcBorders>
              <w:top w:val="single" w:color="auto" w:sz="4" w:space="0"/>
              <w:left w:val="single" w:color="auto" w:sz="4" w:space="0"/>
              <w:bottom w:val="single" w:color="auto" w:sz="4" w:space="0"/>
              <w:right w:val="single" w:color="auto" w:sz="4" w:space="0"/>
            </w:tcBorders>
            <w:noWrap/>
            <w:vAlign w:val="center"/>
          </w:tcPr>
          <w:p w14:paraId="31BDBC10">
            <w:pPr>
              <w:keepNext w:val="0"/>
              <w:keepLines w:val="0"/>
              <w:pageBreakBefore w:val="0"/>
              <w:suppressLineNumbers w:val="0"/>
              <w:wordWrap/>
              <w:topLinePunct w:val="0"/>
              <w:bidi w:val="0"/>
              <w:spacing w:before="0" w:beforeAutospacing="0" w:after="0" w:afterAutospacing="0" w:line="560" w:lineRule="exact"/>
              <w:ind w:left="0" w:right="0"/>
              <w:jc w:val="left"/>
              <w:rPr>
                <w:rFonts w:hint="default" w:ascii="仿宋_GB2312" w:hAnsi="仿宋_GB2312" w:eastAsia="仿宋_GB2312" w:cs="仿宋_GB2312"/>
                <w:color w:val="auto"/>
                <w:sz w:val="24"/>
                <w:szCs w:val="24"/>
                <w:highlight w:val="none"/>
                <w:lang w:val="en-US" w:eastAsia="zh"/>
              </w:rPr>
            </w:pPr>
            <w:r>
              <w:rPr>
                <w:rFonts w:hint="eastAsia" w:ascii="仿宋_GB2312" w:hAnsi="仿宋_GB2312" w:eastAsia="仿宋_GB2312" w:cs="仿宋_GB2312"/>
                <w:color w:val="auto"/>
                <w:sz w:val="24"/>
                <w:szCs w:val="24"/>
                <w:highlight w:val="none"/>
                <w:lang w:val="en-US" w:eastAsia="zh-CN" w:bidi="ar-SA"/>
              </w:rPr>
              <w:t>九洲集团两化融合、DCMM、DTMM、CMMM咨询和评估服务选聘项目</w:t>
            </w:r>
          </w:p>
        </w:tc>
      </w:tr>
      <w:tr w14:paraId="667C598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5E906F63">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4</w:t>
            </w:r>
          </w:p>
        </w:tc>
        <w:tc>
          <w:tcPr>
            <w:tcW w:w="1122" w:type="dxa"/>
            <w:tcBorders>
              <w:top w:val="single" w:color="auto" w:sz="4" w:space="0"/>
              <w:left w:val="single" w:color="auto" w:sz="4" w:space="0"/>
              <w:bottom w:val="single" w:color="auto" w:sz="4" w:space="0"/>
              <w:right w:val="single" w:color="auto" w:sz="4" w:space="0"/>
            </w:tcBorders>
            <w:noWrap/>
            <w:vAlign w:val="center"/>
          </w:tcPr>
          <w:p w14:paraId="2BB25385">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项目编号</w:t>
            </w:r>
          </w:p>
        </w:tc>
        <w:tc>
          <w:tcPr>
            <w:tcW w:w="7246" w:type="dxa"/>
            <w:tcBorders>
              <w:top w:val="single" w:color="auto" w:sz="4" w:space="0"/>
              <w:left w:val="single" w:color="auto" w:sz="4" w:space="0"/>
              <w:bottom w:val="single" w:color="auto" w:sz="4" w:space="0"/>
              <w:right w:val="single" w:color="auto" w:sz="4" w:space="0"/>
            </w:tcBorders>
            <w:noWrap/>
            <w:vAlign w:val="center"/>
          </w:tcPr>
          <w:p w14:paraId="6F285D8B">
            <w:pPr>
              <w:keepNext w:val="0"/>
              <w:keepLines w:val="0"/>
              <w:pageBreakBefore w:val="0"/>
              <w:suppressLineNumbers w:val="0"/>
              <w:wordWrap/>
              <w:topLinePunct w:val="0"/>
              <w:bidi w:val="0"/>
              <w:spacing w:before="0" w:beforeAutospacing="0" w:after="0" w:afterAutospacing="0" w:line="560" w:lineRule="exact"/>
              <w:ind w:left="0" w:right="0"/>
              <w:jc w:val="left"/>
              <w:rPr>
                <w:rFonts w:hint="default" w:ascii="仿宋_GB2312" w:hAnsi="仿宋_GB2312" w:eastAsia="仿宋_GB2312" w:cs="仿宋_GB2312"/>
                <w:color w:val="auto"/>
                <w:sz w:val="24"/>
                <w:szCs w:val="24"/>
                <w:highlight w:val="none"/>
                <w:lang w:val="en-US" w:eastAsia="zh-CN"/>
              </w:rPr>
            </w:pPr>
            <w:r>
              <w:rPr>
                <w:rFonts w:hint="default" w:ascii="仿宋_GB2312" w:hAnsi="仿宋_GB2312" w:eastAsia="仿宋_GB2312" w:cs="仿宋_GB2312"/>
                <w:color w:val="auto"/>
                <w:kern w:val="0"/>
                <w:sz w:val="24"/>
                <w:szCs w:val="24"/>
                <w:highlight w:val="none"/>
                <w:shd w:val="clear" w:color="auto" w:fill="auto"/>
                <w:lang w:val="en-US" w:eastAsia="zh-CN" w:bidi="ar"/>
              </w:rPr>
              <w:t>JZCG-JTZB-FZ-2025040</w:t>
            </w:r>
            <w:r>
              <w:rPr>
                <w:rFonts w:hint="eastAsia" w:ascii="仿宋_GB2312" w:hAnsi="仿宋_GB2312" w:eastAsia="仿宋_GB2312" w:cs="仿宋_GB2312"/>
                <w:color w:val="auto"/>
                <w:kern w:val="0"/>
                <w:sz w:val="24"/>
                <w:szCs w:val="24"/>
                <w:highlight w:val="none"/>
                <w:shd w:val="clear" w:color="auto" w:fill="auto"/>
                <w:lang w:val="en-US" w:eastAsia="zh-CN" w:bidi="ar"/>
              </w:rPr>
              <w:t>18</w:t>
            </w:r>
          </w:p>
        </w:tc>
      </w:tr>
      <w:tr w14:paraId="722F20A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850"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1075E1FF">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5</w:t>
            </w:r>
          </w:p>
        </w:tc>
        <w:tc>
          <w:tcPr>
            <w:tcW w:w="1122" w:type="dxa"/>
            <w:tcBorders>
              <w:top w:val="single" w:color="auto" w:sz="4" w:space="0"/>
              <w:left w:val="single" w:color="auto" w:sz="4" w:space="0"/>
              <w:bottom w:val="single" w:color="auto" w:sz="4" w:space="0"/>
              <w:right w:val="single" w:color="auto" w:sz="4" w:space="0"/>
            </w:tcBorders>
            <w:noWrap/>
            <w:vAlign w:val="center"/>
          </w:tcPr>
          <w:p w14:paraId="760FD3E9">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最高限价</w:t>
            </w:r>
          </w:p>
        </w:tc>
        <w:tc>
          <w:tcPr>
            <w:tcW w:w="7246" w:type="dxa"/>
            <w:tcBorders>
              <w:top w:val="single" w:color="auto" w:sz="4" w:space="0"/>
              <w:left w:val="single" w:color="auto" w:sz="4" w:space="0"/>
              <w:bottom w:val="single" w:color="auto" w:sz="4" w:space="0"/>
              <w:right w:val="single" w:color="auto" w:sz="4" w:space="0"/>
            </w:tcBorders>
            <w:noWrap/>
            <w:vAlign w:val="center"/>
          </w:tcPr>
          <w:p w14:paraId="62D17BE6">
            <w:pPr>
              <w:pStyle w:val="22"/>
              <w:keepNext w:val="0"/>
              <w:keepLines w:val="0"/>
              <w:pageBreakBefore w:val="0"/>
              <w:numPr>
                <w:ilvl w:val="0"/>
                <w:numId w:val="0"/>
              </w:numPr>
              <w:suppressLineNumbers w:val="0"/>
              <w:wordWrap/>
              <w:topLinePunct w:val="0"/>
              <w:bidi w:val="0"/>
              <w:spacing w:before="0" w:beforeLines="0" w:beforeAutospacing="0" w:after="0" w:afterLines="0" w:afterAutospacing="0" w:line="560" w:lineRule="exact"/>
              <w:ind w:right="0"/>
              <w:jc w:val="left"/>
              <w:rPr>
                <w:rFonts w:hint="eastAsia" w:ascii="仿宋_GB2312" w:hAnsi="仿宋_GB2312" w:eastAsia="仿宋_GB2312" w:cs="仿宋_GB2312"/>
                <w:color w:val="auto"/>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bidi="ar-SA"/>
              </w:rPr>
              <w:t>两化融合3A级，九洲集团限价12万元，四川九州科技限价13万元</w:t>
            </w:r>
            <w:r>
              <w:rPr>
                <w:rFonts w:hint="eastAsia" w:ascii="仿宋_GB2312" w:hAnsi="仿宋_GB2312" w:eastAsia="仿宋_GB2312" w:cs="仿宋_GB2312"/>
                <w:color w:val="auto"/>
                <w:sz w:val="24"/>
                <w:szCs w:val="24"/>
                <w:highlight w:val="none"/>
                <w:lang w:val="en-US" w:eastAsia="zh-CN" w:bidi="ar-SA"/>
              </w:rPr>
              <w:t>；</w:t>
            </w:r>
          </w:p>
          <w:p w14:paraId="4C296146">
            <w:pPr>
              <w:pStyle w:val="22"/>
              <w:keepNext w:val="0"/>
              <w:keepLines w:val="0"/>
              <w:pageBreakBefore w:val="0"/>
              <w:numPr>
                <w:ilvl w:val="0"/>
                <w:numId w:val="0"/>
              </w:numPr>
              <w:suppressLineNumbers w:val="0"/>
              <w:wordWrap/>
              <w:topLinePunct w:val="0"/>
              <w:bidi w:val="0"/>
              <w:spacing w:before="0" w:beforeLines="0" w:beforeAutospacing="0" w:after="0" w:afterLines="0" w:afterAutospacing="0" w:line="560" w:lineRule="exact"/>
              <w:ind w:right="0"/>
              <w:jc w:val="left"/>
              <w:rPr>
                <w:rFonts w:hint="eastAsia" w:ascii="仿宋_GB2312" w:hAnsi="仿宋_GB2312" w:eastAsia="仿宋_GB2312" w:cs="仿宋_GB2312"/>
                <w:color w:val="auto"/>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bidi="ar-SA"/>
              </w:rPr>
              <w:t>DCMM二级，限价8万元；</w:t>
            </w:r>
          </w:p>
          <w:p w14:paraId="7A94000F">
            <w:pPr>
              <w:pStyle w:val="22"/>
              <w:keepNext w:val="0"/>
              <w:keepLines w:val="0"/>
              <w:pageBreakBefore w:val="0"/>
              <w:numPr>
                <w:ilvl w:val="0"/>
                <w:numId w:val="0"/>
              </w:numPr>
              <w:suppressLineNumbers w:val="0"/>
              <w:wordWrap/>
              <w:topLinePunct w:val="0"/>
              <w:bidi w:val="0"/>
              <w:spacing w:before="0" w:beforeLines="0" w:beforeAutospacing="0" w:after="0" w:afterLines="0" w:afterAutospacing="0" w:line="560" w:lineRule="exact"/>
              <w:ind w:right="0"/>
              <w:jc w:val="left"/>
              <w:rPr>
                <w:rFonts w:hint="eastAsia" w:ascii="仿宋_GB2312" w:hAnsi="仿宋_GB2312" w:eastAsia="仿宋_GB2312" w:cs="仿宋_GB2312"/>
                <w:color w:val="auto"/>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bidi="ar-SA"/>
              </w:rPr>
              <w:t>DTMM三级，限价20万元；</w:t>
            </w:r>
          </w:p>
          <w:p w14:paraId="049B13F1">
            <w:pPr>
              <w:pStyle w:val="22"/>
              <w:keepNext w:val="0"/>
              <w:keepLines w:val="0"/>
              <w:pageBreakBefore w:val="0"/>
              <w:numPr>
                <w:ilvl w:val="0"/>
                <w:numId w:val="0"/>
              </w:numPr>
              <w:suppressLineNumbers w:val="0"/>
              <w:wordWrap/>
              <w:topLinePunct w:val="0"/>
              <w:bidi w:val="0"/>
              <w:spacing w:before="0" w:beforeLines="0" w:beforeAutospacing="0" w:after="0" w:afterLines="0" w:afterAutospacing="0" w:line="560" w:lineRule="exact"/>
              <w:ind w:right="0"/>
              <w:jc w:val="left"/>
              <w:rPr>
                <w:rFonts w:hint="eastAsia" w:ascii="仿宋_GB2312" w:hAnsi="仿宋_GB2312" w:eastAsia="仿宋_GB2312" w:cs="仿宋_GB2312"/>
                <w:color w:val="auto"/>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bidi="ar-SA"/>
              </w:rPr>
              <w:t>CMMM三级，限价16万元；</w:t>
            </w:r>
          </w:p>
          <w:p w14:paraId="1160A21A">
            <w:pPr>
              <w:pStyle w:val="22"/>
              <w:keepNext w:val="0"/>
              <w:keepLines w:val="0"/>
              <w:pageBreakBefore w:val="0"/>
              <w:numPr>
                <w:ilvl w:val="0"/>
                <w:numId w:val="0"/>
              </w:numPr>
              <w:suppressLineNumbers w:val="0"/>
              <w:wordWrap/>
              <w:topLinePunct w:val="0"/>
              <w:bidi w:val="0"/>
              <w:spacing w:before="0" w:beforeLines="0" w:beforeAutospacing="0" w:after="0" w:afterLines="0" w:afterAutospacing="0" w:line="560" w:lineRule="exact"/>
              <w:ind w:right="0"/>
              <w:jc w:val="left"/>
              <w:rPr>
                <w:rFonts w:hint="eastAsia" w:ascii="仿宋_GB2312" w:hAnsi="仿宋_GB2312" w:eastAsia="仿宋_GB2312" w:cs="仿宋_GB2312"/>
                <w:color w:val="auto"/>
                <w:sz w:val="24"/>
                <w:szCs w:val="24"/>
                <w:highlight w:val="none"/>
                <w:lang w:val="en-US" w:eastAsia="zh" w:bidi="ar-SA"/>
              </w:rPr>
            </w:pPr>
            <w:r>
              <w:rPr>
                <w:rFonts w:hint="eastAsia" w:ascii="仿宋_GB2312" w:hAnsi="仿宋_GB2312" w:eastAsia="仿宋_GB2312" w:cs="仿宋_GB2312"/>
                <w:color w:val="auto"/>
                <w:sz w:val="24"/>
                <w:szCs w:val="24"/>
                <w:highlight w:val="none"/>
                <w:lang w:val="en-US" w:eastAsia="zh-CN" w:bidi="ar-SA"/>
              </w:rPr>
              <w:t>以上价格均为含税价。</w:t>
            </w:r>
          </w:p>
        </w:tc>
      </w:tr>
      <w:tr w14:paraId="1E9EA7E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08F5F883">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6</w:t>
            </w:r>
          </w:p>
        </w:tc>
        <w:tc>
          <w:tcPr>
            <w:tcW w:w="1122" w:type="dxa"/>
            <w:tcBorders>
              <w:top w:val="single" w:color="auto" w:sz="4" w:space="0"/>
              <w:left w:val="single" w:color="auto" w:sz="4" w:space="0"/>
              <w:bottom w:val="single" w:color="auto" w:sz="4" w:space="0"/>
              <w:right w:val="single" w:color="auto" w:sz="4" w:space="0"/>
            </w:tcBorders>
            <w:noWrap/>
            <w:vAlign w:val="center"/>
          </w:tcPr>
          <w:p w14:paraId="434358AC">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采购方式</w:t>
            </w:r>
          </w:p>
        </w:tc>
        <w:tc>
          <w:tcPr>
            <w:tcW w:w="7246" w:type="dxa"/>
            <w:tcBorders>
              <w:top w:val="single" w:color="auto" w:sz="4" w:space="0"/>
              <w:left w:val="single" w:color="auto" w:sz="4" w:space="0"/>
              <w:bottom w:val="single" w:color="auto" w:sz="4" w:space="0"/>
              <w:right w:val="single" w:color="auto" w:sz="4" w:space="0"/>
            </w:tcBorders>
            <w:noWrap/>
            <w:vAlign w:val="center"/>
          </w:tcPr>
          <w:p w14:paraId="25D19D03">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询比采购</w:t>
            </w:r>
          </w:p>
        </w:tc>
      </w:tr>
      <w:tr w14:paraId="7EF0271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3BA755EF">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7</w:t>
            </w:r>
          </w:p>
        </w:tc>
        <w:tc>
          <w:tcPr>
            <w:tcW w:w="1122" w:type="dxa"/>
            <w:tcBorders>
              <w:top w:val="single" w:color="auto" w:sz="4" w:space="0"/>
              <w:left w:val="single" w:color="auto" w:sz="4" w:space="0"/>
              <w:bottom w:val="single" w:color="auto" w:sz="4" w:space="0"/>
              <w:right w:val="single" w:color="auto" w:sz="4" w:space="0"/>
            </w:tcBorders>
            <w:noWrap/>
            <w:vAlign w:val="center"/>
          </w:tcPr>
          <w:p w14:paraId="756A6F05">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评审方法</w:t>
            </w:r>
          </w:p>
        </w:tc>
        <w:tc>
          <w:tcPr>
            <w:tcW w:w="7246" w:type="dxa"/>
            <w:tcBorders>
              <w:top w:val="single" w:color="auto" w:sz="4" w:space="0"/>
              <w:left w:val="single" w:color="auto" w:sz="4" w:space="0"/>
              <w:bottom w:val="single" w:color="auto" w:sz="4" w:space="0"/>
              <w:right w:val="single" w:color="auto" w:sz="4" w:space="0"/>
            </w:tcBorders>
            <w:noWrap/>
            <w:vAlign w:val="center"/>
          </w:tcPr>
          <w:p w14:paraId="166AC34A">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综合评分法</w:t>
            </w:r>
          </w:p>
        </w:tc>
      </w:tr>
      <w:tr w14:paraId="7A2D2E8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1312ECD5">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8</w:t>
            </w:r>
          </w:p>
        </w:tc>
        <w:tc>
          <w:tcPr>
            <w:tcW w:w="1122" w:type="dxa"/>
            <w:tcBorders>
              <w:top w:val="single" w:color="auto" w:sz="4" w:space="0"/>
              <w:left w:val="single" w:color="auto" w:sz="4" w:space="0"/>
              <w:bottom w:val="single" w:color="auto" w:sz="4" w:space="0"/>
              <w:right w:val="single" w:color="auto" w:sz="4" w:space="0"/>
            </w:tcBorders>
            <w:noWrap/>
            <w:vAlign w:val="center"/>
          </w:tcPr>
          <w:p w14:paraId="0179A201">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联合体</w:t>
            </w:r>
          </w:p>
          <w:p w14:paraId="030D8CE1">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leftChars="0" w:right="0" w:righ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参投</w:t>
            </w:r>
          </w:p>
        </w:tc>
        <w:tc>
          <w:tcPr>
            <w:tcW w:w="7246" w:type="dxa"/>
            <w:tcBorders>
              <w:top w:val="single" w:color="auto" w:sz="4" w:space="0"/>
              <w:left w:val="single" w:color="auto" w:sz="4" w:space="0"/>
              <w:bottom w:val="single" w:color="auto" w:sz="4" w:space="0"/>
              <w:right w:val="single" w:color="auto" w:sz="4" w:space="0"/>
            </w:tcBorders>
            <w:noWrap/>
            <w:vAlign w:val="center"/>
          </w:tcPr>
          <w:p w14:paraId="4E3EC10E">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leftChars="0" w:right="0" w:rightChars="0"/>
              <w:jc w:val="left"/>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本项目不接受</w:t>
            </w:r>
            <w:r>
              <w:rPr>
                <w:rFonts w:hint="eastAsia" w:ascii="仿宋_GB2312" w:hAnsi="仿宋_GB2312" w:eastAsia="仿宋_GB2312" w:cs="仿宋_GB2312"/>
                <w:color w:val="auto"/>
                <w:kern w:val="0"/>
                <w:sz w:val="24"/>
                <w:szCs w:val="24"/>
                <w:highlight w:val="none"/>
                <w:lang w:val="en-US" w:eastAsia="zh-CN" w:bidi="ar-SA"/>
              </w:rPr>
              <w:t>联合体参投</w:t>
            </w:r>
          </w:p>
        </w:tc>
      </w:tr>
      <w:tr w14:paraId="46A5BBC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F206E">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leftChars="0" w:right="0" w:rightChars="0"/>
              <w:jc w:val="center"/>
              <w:rPr>
                <w:rFonts w:hint="default" w:ascii="仿宋_GB2312" w:hAnsi="仿宋_GB2312" w:eastAsia="仿宋_GB2312" w:cs="仿宋_GB2312"/>
                <w:b w:val="0"/>
                <w:bCs w:val="0"/>
                <w:color w:val="auto"/>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lang w:val="en-US" w:eastAsia="zh-CN" w:bidi="ar-SA"/>
              </w:rPr>
              <w:t>9</w:t>
            </w:r>
          </w:p>
        </w:tc>
        <w:tc>
          <w:tcPr>
            <w:tcW w:w="112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DF0A26">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leftChars="0" w:right="0" w:rightChars="0"/>
              <w:jc w:val="center"/>
              <w:rPr>
                <w:rFonts w:hint="eastAsia" w:ascii="仿宋_GB2312" w:hAnsi="仿宋_GB2312" w:eastAsia="仿宋_GB2312" w:cs="仿宋_GB2312"/>
                <w:color w:val="auto"/>
                <w:sz w:val="24"/>
                <w:szCs w:val="24"/>
                <w:highlight w:val="none"/>
                <w:lang w:val="en-US" w:eastAsia="zh-CN" w:bidi="ar-SA"/>
              </w:rPr>
            </w:pPr>
            <w:r>
              <w:rPr>
                <w:rFonts w:hint="eastAsia" w:ascii="仿宋_GB2312" w:hAnsi="仿宋_GB2312" w:eastAsia="仿宋_GB2312" w:cs="仿宋_GB2312"/>
                <w:color w:val="auto"/>
                <w:sz w:val="24"/>
                <w:szCs w:val="24"/>
                <w:highlight w:val="none"/>
              </w:rPr>
              <w:t>评审小组</w:t>
            </w:r>
          </w:p>
        </w:tc>
        <w:tc>
          <w:tcPr>
            <w:tcW w:w="72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A2A34">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评审成员：</w:t>
            </w:r>
            <w:r>
              <w:rPr>
                <w:rFonts w:hint="eastAsia" w:ascii="仿宋_GB2312" w:hAnsi="仿宋_GB2312" w:eastAsia="仿宋_GB2312" w:cs="仿宋_GB2312"/>
                <w:color w:val="auto"/>
                <w:sz w:val="24"/>
                <w:szCs w:val="24"/>
                <w:highlight w:val="none"/>
                <w:lang w:val="en-US" w:eastAsia="zh"/>
              </w:rPr>
              <w:t>5</w:t>
            </w:r>
            <w:r>
              <w:rPr>
                <w:rFonts w:hint="eastAsia" w:ascii="仿宋_GB2312" w:hAnsi="仿宋_GB2312" w:eastAsia="仿宋_GB2312" w:cs="仿宋_GB2312"/>
                <w:color w:val="auto"/>
                <w:sz w:val="24"/>
                <w:szCs w:val="24"/>
                <w:highlight w:val="none"/>
                <w:lang w:val="en-US" w:eastAsia="zh-CN"/>
              </w:rPr>
              <w:t>人</w:t>
            </w:r>
          </w:p>
          <w:p w14:paraId="22466772">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leftChars="0" w:right="0" w:rightChars="0"/>
              <w:jc w:val="left"/>
              <w:rPr>
                <w:rFonts w:hint="eastAsia" w:ascii="仿宋_GB2312" w:hAnsi="仿宋_GB2312" w:eastAsia="仿宋_GB2312" w:cs="仿宋_GB2312"/>
                <w:color w:val="auto"/>
                <w:sz w:val="24"/>
                <w:szCs w:val="24"/>
                <w:highlight w:val="none"/>
                <w:lang w:val="en-US" w:eastAsia="zh-CN" w:bidi="ar-SA"/>
              </w:rPr>
            </w:pPr>
            <w:r>
              <w:rPr>
                <w:rFonts w:hint="eastAsia" w:ascii="仿宋_GB2312" w:hAnsi="仿宋_GB2312" w:eastAsia="仿宋_GB2312" w:cs="仿宋_GB2312"/>
                <w:color w:val="auto"/>
                <w:sz w:val="24"/>
                <w:szCs w:val="24"/>
                <w:highlight w:val="none"/>
              </w:rPr>
              <w:t>包含技术、经济等方面的专家。</w:t>
            </w:r>
          </w:p>
        </w:tc>
      </w:tr>
      <w:tr w14:paraId="283AFC0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3F173B9A">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10</w:t>
            </w:r>
          </w:p>
        </w:tc>
        <w:tc>
          <w:tcPr>
            <w:tcW w:w="1122" w:type="dxa"/>
            <w:tcBorders>
              <w:top w:val="single" w:color="auto" w:sz="4" w:space="0"/>
              <w:left w:val="single" w:color="auto" w:sz="4" w:space="0"/>
              <w:bottom w:val="single" w:color="auto" w:sz="4" w:space="0"/>
              <w:right w:val="single" w:color="auto" w:sz="4" w:space="0"/>
            </w:tcBorders>
            <w:noWrap/>
            <w:vAlign w:val="center"/>
          </w:tcPr>
          <w:p w14:paraId="000A6C08">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签字或</w:t>
            </w:r>
          </w:p>
          <w:p w14:paraId="1318C731">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盖章要求</w:t>
            </w:r>
          </w:p>
        </w:tc>
        <w:tc>
          <w:tcPr>
            <w:tcW w:w="7246" w:type="dxa"/>
            <w:tcBorders>
              <w:top w:val="single" w:color="auto" w:sz="4" w:space="0"/>
              <w:left w:val="single" w:color="auto" w:sz="4" w:space="0"/>
              <w:bottom w:val="single" w:color="auto" w:sz="4" w:space="0"/>
              <w:right w:val="single" w:color="auto" w:sz="4" w:space="0"/>
            </w:tcBorders>
            <w:noWrap/>
            <w:vAlign w:val="center"/>
          </w:tcPr>
          <w:p w14:paraId="19303AC1">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响应文件</w:t>
            </w:r>
            <w:r>
              <w:rPr>
                <w:rFonts w:hint="eastAsia" w:ascii="仿宋_GB2312" w:hAnsi="仿宋_GB2312" w:eastAsia="仿宋_GB2312" w:cs="仿宋_GB2312"/>
                <w:color w:val="auto"/>
                <w:sz w:val="24"/>
                <w:szCs w:val="24"/>
                <w:highlight w:val="none"/>
              </w:rPr>
              <w:t>封面和其他需签字或盖章的部分均应由</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的法定代表人或其委托代理人签字或盖章，需盖单位公章的部分均应加盖</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单位公章。委托代理人签字的</w:t>
            </w:r>
            <w:r>
              <w:rPr>
                <w:rFonts w:hint="eastAsia" w:ascii="仿宋_GB2312" w:hAnsi="仿宋_GB2312" w:eastAsia="仿宋_GB2312" w:cs="仿宋_GB2312"/>
                <w:color w:val="auto"/>
                <w:sz w:val="24"/>
                <w:szCs w:val="24"/>
                <w:highlight w:val="none"/>
                <w:lang w:val="en-US" w:eastAsia="zh-CN"/>
              </w:rPr>
              <w:t>响应文件</w:t>
            </w:r>
            <w:r>
              <w:rPr>
                <w:rFonts w:hint="eastAsia" w:ascii="仿宋_GB2312" w:hAnsi="仿宋_GB2312" w:eastAsia="仿宋_GB2312" w:cs="仿宋_GB2312"/>
                <w:color w:val="auto"/>
                <w:sz w:val="24"/>
                <w:szCs w:val="24"/>
                <w:highlight w:val="none"/>
              </w:rPr>
              <w:t>应附法定代表人签署的授权委托书（原件），授权委托书格式、签字、盖章及内容均应符合相关要求。</w:t>
            </w:r>
          </w:p>
        </w:tc>
      </w:tr>
      <w:tr w14:paraId="1E2572C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38"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2C855416">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11</w:t>
            </w:r>
          </w:p>
        </w:tc>
        <w:tc>
          <w:tcPr>
            <w:tcW w:w="1122" w:type="dxa"/>
            <w:tcBorders>
              <w:top w:val="single" w:color="auto" w:sz="4" w:space="0"/>
              <w:left w:val="single" w:color="auto" w:sz="4" w:space="0"/>
              <w:bottom w:val="single" w:color="auto" w:sz="4" w:space="0"/>
              <w:right w:val="single" w:color="auto" w:sz="4" w:space="0"/>
            </w:tcBorders>
            <w:noWrap/>
            <w:vAlign w:val="center"/>
          </w:tcPr>
          <w:p w14:paraId="0414818C">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响应文件的真实性要求</w:t>
            </w:r>
          </w:p>
        </w:tc>
        <w:tc>
          <w:tcPr>
            <w:tcW w:w="7246" w:type="dxa"/>
            <w:tcBorders>
              <w:top w:val="single" w:color="auto" w:sz="4" w:space="0"/>
              <w:left w:val="single" w:color="auto" w:sz="4" w:space="0"/>
              <w:bottom w:val="single" w:color="auto" w:sz="4" w:space="0"/>
              <w:right w:val="single" w:color="auto" w:sz="4" w:space="0"/>
            </w:tcBorders>
            <w:noWrap/>
            <w:vAlign w:val="center"/>
          </w:tcPr>
          <w:p w14:paraId="4C2DEFFA">
            <w:pPr>
              <w:pStyle w:val="36"/>
              <w:keepNext w:val="0"/>
              <w:keepLines w:val="0"/>
              <w:pageBreakBefore w:val="0"/>
              <w:widowControl w:val="0"/>
              <w:numPr>
                <w:ilvl w:val="0"/>
                <w:numId w:val="8"/>
              </w:numPr>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firstLine="0" w:firstLineChars="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供应商所递交的响应文件（包括有关资料、澄清）应真实可信，不存在虚假（包括隐瞒）。</w:t>
            </w:r>
          </w:p>
          <w:p w14:paraId="44F252B5">
            <w:pPr>
              <w:pStyle w:val="36"/>
              <w:keepNext w:val="0"/>
              <w:keepLines w:val="0"/>
              <w:pageBreakBefore w:val="0"/>
              <w:widowControl w:val="0"/>
              <w:numPr>
                <w:ilvl w:val="0"/>
                <w:numId w:val="8"/>
              </w:numPr>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firstLine="0" w:firstLineChars="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如响应文件存在虚假，在评审阶段，评审人员会将该响应文件作无效处理；成交候选人确定之后发现的，采购人可以取消中标资格。</w:t>
            </w:r>
          </w:p>
        </w:tc>
      </w:tr>
      <w:tr w14:paraId="319B14C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7BD4BEF4">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12</w:t>
            </w:r>
          </w:p>
        </w:tc>
        <w:tc>
          <w:tcPr>
            <w:tcW w:w="1122" w:type="dxa"/>
            <w:tcBorders>
              <w:top w:val="single" w:color="auto" w:sz="4" w:space="0"/>
              <w:left w:val="single" w:color="auto" w:sz="4" w:space="0"/>
              <w:bottom w:val="single" w:color="auto" w:sz="4" w:space="0"/>
              <w:right w:val="single" w:color="auto" w:sz="4" w:space="0"/>
            </w:tcBorders>
            <w:noWrap/>
            <w:vAlign w:val="center"/>
          </w:tcPr>
          <w:p w14:paraId="1EE57430">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pacing w:val="-20"/>
                <w:sz w:val="24"/>
                <w:szCs w:val="24"/>
                <w:highlight w:val="none"/>
                <w:lang w:val="en-US" w:eastAsia="zh-CN"/>
              </w:rPr>
              <w:t>响应文件的密封及封套要求</w:t>
            </w:r>
          </w:p>
        </w:tc>
        <w:tc>
          <w:tcPr>
            <w:tcW w:w="7246" w:type="dxa"/>
            <w:tcBorders>
              <w:top w:val="single" w:color="auto" w:sz="4" w:space="0"/>
              <w:left w:val="single" w:color="auto" w:sz="4" w:space="0"/>
              <w:bottom w:val="single" w:color="auto" w:sz="4" w:space="0"/>
              <w:right w:val="single" w:color="auto" w:sz="4" w:space="0"/>
            </w:tcBorders>
            <w:noWrap/>
            <w:vAlign w:val="center"/>
          </w:tcPr>
          <w:p w14:paraId="282E6C1C">
            <w:pPr>
              <w:pStyle w:val="36"/>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响应文件的外包装应经过密封处理，封套的封口处应加贴封条并加盖供应商公章。</w:t>
            </w:r>
          </w:p>
        </w:tc>
      </w:tr>
      <w:tr w14:paraId="3173947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07A57951">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13</w:t>
            </w:r>
          </w:p>
        </w:tc>
        <w:tc>
          <w:tcPr>
            <w:tcW w:w="1122" w:type="dxa"/>
            <w:tcBorders>
              <w:top w:val="single" w:color="auto" w:sz="4" w:space="0"/>
              <w:left w:val="single" w:color="auto" w:sz="4" w:space="0"/>
              <w:bottom w:val="single" w:color="auto" w:sz="4" w:space="0"/>
              <w:right w:val="single" w:color="auto" w:sz="4" w:space="0"/>
            </w:tcBorders>
            <w:noWrap/>
            <w:vAlign w:val="center"/>
          </w:tcPr>
          <w:p w14:paraId="38223CA8">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响应文件的</w:t>
            </w:r>
          </w:p>
          <w:p w14:paraId="1774D9F0">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pacing w:val="-20"/>
                <w:sz w:val="24"/>
                <w:szCs w:val="24"/>
                <w:highlight w:val="none"/>
                <w:lang w:val="en-US" w:eastAsia="zh-CN"/>
              </w:rPr>
            </w:pPr>
            <w:r>
              <w:rPr>
                <w:rFonts w:hint="eastAsia" w:ascii="仿宋_GB2312" w:hAnsi="仿宋_GB2312" w:eastAsia="仿宋_GB2312" w:cs="仿宋_GB2312"/>
                <w:color w:val="auto"/>
                <w:kern w:val="2"/>
                <w:sz w:val="24"/>
                <w:szCs w:val="24"/>
                <w:highlight w:val="none"/>
              </w:rPr>
              <w:t>有效性</w:t>
            </w:r>
          </w:p>
        </w:tc>
        <w:tc>
          <w:tcPr>
            <w:tcW w:w="7246" w:type="dxa"/>
            <w:tcBorders>
              <w:top w:val="single" w:color="auto" w:sz="4" w:space="0"/>
              <w:left w:val="single" w:color="auto" w:sz="4" w:space="0"/>
              <w:bottom w:val="single" w:color="auto" w:sz="4" w:space="0"/>
              <w:right w:val="single" w:color="auto" w:sz="4" w:space="0"/>
            </w:tcBorders>
            <w:noWrap/>
            <w:vAlign w:val="center"/>
          </w:tcPr>
          <w:p w14:paraId="03C5AF5F">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lang w:val="zh-CN"/>
              </w:rPr>
            </w:pP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提交的纸质响应</w:t>
            </w:r>
            <w:r>
              <w:rPr>
                <w:rFonts w:hint="eastAsia" w:ascii="仿宋_GB2312" w:hAnsi="仿宋_GB2312" w:eastAsia="仿宋_GB2312" w:cs="仿宋_GB2312"/>
                <w:color w:val="auto"/>
                <w:sz w:val="24"/>
                <w:szCs w:val="24"/>
                <w:highlight w:val="none"/>
                <w:lang w:val="zh-CN"/>
              </w:rPr>
              <w:t>文件出现下列情形之一的，应当作为无效</w:t>
            </w:r>
            <w:r>
              <w:rPr>
                <w:rFonts w:hint="eastAsia" w:ascii="仿宋_GB2312" w:hAnsi="仿宋_GB2312" w:eastAsia="仿宋_GB2312" w:cs="仿宋_GB2312"/>
                <w:color w:val="auto"/>
                <w:sz w:val="24"/>
                <w:szCs w:val="24"/>
                <w:highlight w:val="none"/>
              </w:rPr>
              <w:t>响应</w:t>
            </w:r>
            <w:r>
              <w:rPr>
                <w:rFonts w:hint="eastAsia" w:ascii="仿宋_GB2312" w:hAnsi="仿宋_GB2312" w:eastAsia="仿宋_GB2312" w:cs="仿宋_GB2312"/>
                <w:color w:val="auto"/>
                <w:sz w:val="24"/>
                <w:szCs w:val="24"/>
                <w:highlight w:val="none"/>
                <w:lang w:val="zh-CN"/>
              </w:rPr>
              <w:t>文件：</w:t>
            </w:r>
          </w:p>
          <w:p w14:paraId="594DC737">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lang w:val="zh-CN"/>
              </w:rPr>
            </w:pPr>
            <w:r>
              <w:rPr>
                <w:rFonts w:hint="eastAsia" w:ascii="仿宋_GB2312" w:hAnsi="仿宋_GB2312" w:eastAsia="仿宋_GB2312" w:cs="仿宋_GB2312"/>
                <w:color w:val="auto"/>
                <w:sz w:val="24"/>
                <w:szCs w:val="24"/>
                <w:highlight w:val="none"/>
                <w:lang w:val="zh-CN"/>
              </w:rPr>
              <w:t>1.</w:t>
            </w:r>
            <w:r>
              <w:rPr>
                <w:rFonts w:hint="eastAsia" w:ascii="仿宋_GB2312" w:hAnsi="仿宋_GB2312" w:eastAsia="仿宋_GB2312" w:cs="仿宋_GB2312"/>
                <w:color w:val="auto"/>
                <w:sz w:val="24"/>
                <w:szCs w:val="24"/>
                <w:highlight w:val="none"/>
              </w:rPr>
              <w:t>响应</w:t>
            </w:r>
            <w:r>
              <w:rPr>
                <w:rFonts w:hint="eastAsia" w:ascii="仿宋_GB2312" w:hAnsi="仿宋_GB2312" w:eastAsia="仿宋_GB2312" w:cs="仿宋_GB2312"/>
                <w:color w:val="auto"/>
                <w:sz w:val="24"/>
                <w:szCs w:val="24"/>
                <w:highlight w:val="none"/>
                <w:lang w:val="zh-CN"/>
              </w:rPr>
              <w:t>文件未按要求装订、密封的；</w:t>
            </w:r>
          </w:p>
          <w:p w14:paraId="0E19A323">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lang w:val="zh-CN"/>
              </w:rPr>
            </w:pPr>
            <w:r>
              <w:rPr>
                <w:rFonts w:hint="eastAsia" w:ascii="仿宋_GB2312" w:hAnsi="仿宋_GB2312" w:eastAsia="仿宋_GB2312" w:cs="仿宋_GB2312"/>
                <w:color w:val="auto"/>
                <w:sz w:val="24"/>
                <w:szCs w:val="24"/>
                <w:highlight w:val="none"/>
                <w:lang w:val="zh-CN"/>
              </w:rPr>
              <w:t>2.</w:t>
            </w:r>
            <w:r>
              <w:rPr>
                <w:rFonts w:hint="eastAsia" w:ascii="仿宋_GB2312" w:hAnsi="仿宋_GB2312" w:eastAsia="仿宋_GB2312" w:cs="仿宋_GB2312"/>
                <w:color w:val="auto"/>
                <w:sz w:val="24"/>
                <w:szCs w:val="24"/>
                <w:highlight w:val="none"/>
              </w:rPr>
              <w:t>响应</w:t>
            </w:r>
            <w:r>
              <w:rPr>
                <w:rFonts w:hint="eastAsia" w:ascii="仿宋_GB2312" w:hAnsi="仿宋_GB2312" w:eastAsia="仿宋_GB2312" w:cs="仿宋_GB2312"/>
                <w:color w:val="auto"/>
                <w:sz w:val="24"/>
                <w:szCs w:val="24"/>
                <w:highlight w:val="none"/>
                <w:lang w:val="zh-CN"/>
              </w:rPr>
              <w:t>文件有关内容未按规定加盖</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lang w:val="zh-CN"/>
              </w:rPr>
              <w:t>印章或未经法定代表人或其委托代理人签字或盖章的；由委托代理人签字或盖章的，但未随</w:t>
            </w:r>
            <w:r>
              <w:rPr>
                <w:rFonts w:hint="eastAsia" w:ascii="仿宋_GB2312" w:hAnsi="仿宋_GB2312" w:eastAsia="仿宋_GB2312" w:cs="仿宋_GB2312"/>
                <w:color w:val="auto"/>
                <w:sz w:val="24"/>
                <w:szCs w:val="24"/>
                <w:highlight w:val="none"/>
              </w:rPr>
              <w:t>响应</w:t>
            </w:r>
            <w:r>
              <w:rPr>
                <w:rFonts w:hint="eastAsia" w:ascii="仿宋_GB2312" w:hAnsi="仿宋_GB2312" w:eastAsia="仿宋_GB2312" w:cs="仿宋_GB2312"/>
                <w:color w:val="auto"/>
                <w:sz w:val="24"/>
                <w:szCs w:val="24"/>
                <w:highlight w:val="none"/>
                <w:lang w:val="zh-CN"/>
              </w:rPr>
              <w:t>文件一起提交有效的“授权委托书”原件的；</w:t>
            </w:r>
          </w:p>
          <w:p w14:paraId="46151FC6">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lang w:val="zh-CN"/>
              </w:rPr>
            </w:pPr>
            <w:r>
              <w:rPr>
                <w:rFonts w:hint="eastAsia" w:ascii="仿宋_GB2312" w:hAnsi="仿宋_GB2312" w:eastAsia="仿宋_GB2312" w:cs="仿宋_GB2312"/>
                <w:color w:val="auto"/>
                <w:sz w:val="24"/>
                <w:szCs w:val="24"/>
                <w:highlight w:val="none"/>
                <w:lang w:val="zh-CN"/>
              </w:rPr>
              <w:t>3.</w:t>
            </w:r>
            <w:r>
              <w:rPr>
                <w:rFonts w:hint="eastAsia" w:ascii="仿宋_GB2312" w:hAnsi="仿宋_GB2312" w:eastAsia="仿宋_GB2312" w:cs="仿宋_GB2312"/>
                <w:color w:val="auto"/>
                <w:sz w:val="24"/>
                <w:szCs w:val="24"/>
                <w:highlight w:val="none"/>
              </w:rPr>
              <w:t>响应</w:t>
            </w:r>
            <w:r>
              <w:rPr>
                <w:rFonts w:hint="eastAsia" w:ascii="仿宋_GB2312" w:hAnsi="仿宋_GB2312" w:eastAsia="仿宋_GB2312" w:cs="仿宋_GB2312"/>
                <w:color w:val="auto"/>
                <w:sz w:val="24"/>
                <w:szCs w:val="24"/>
                <w:highlight w:val="none"/>
                <w:lang w:val="zh-CN"/>
              </w:rPr>
              <w:t>文件的关键内容字迹模糊、无法辨认的；</w:t>
            </w:r>
          </w:p>
          <w:p w14:paraId="36A75330">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default"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4.报价超过控制价的；</w:t>
            </w:r>
          </w:p>
          <w:p w14:paraId="62FDD14E">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5</w:t>
            </w:r>
            <w:r>
              <w:rPr>
                <w:rFonts w:hint="eastAsia" w:ascii="仿宋_GB2312" w:hAnsi="仿宋_GB2312" w:eastAsia="仿宋_GB2312" w:cs="仿宋_GB2312"/>
                <w:color w:val="auto"/>
                <w:sz w:val="24"/>
                <w:szCs w:val="24"/>
                <w:highlight w:val="none"/>
                <w:lang w:val="zh-CN"/>
              </w:rPr>
              <w:t>.</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lang w:val="zh-CN"/>
              </w:rPr>
              <w:t>未按</w:t>
            </w:r>
            <w:r>
              <w:rPr>
                <w:rFonts w:hint="eastAsia" w:ascii="仿宋_GB2312" w:hAnsi="仿宋_GB2312" w:eastAsia="仿宋_GB2312" w:cs="仿宋_GB2312"/>
                <w:color w:val="auto"/>
                <w:sz w:val="24"/>
                <w:szCs w:val="24"/>
                <w:highlight w:val="none"/>
                <w:lang w:val="en-US" w:eastAsia="zh-CN"/>
              </w:rPr>
              <w:t>询比采购</w:t>
            </w:r>
            <w:r>
              <w:rPr>
                <w:rFonts w:hint="eastAsia" w:ascii="仿宋_GB2312" w:hAnsi="仿宋_GB2312" w:eastAsia="仿宋_GB2312" w:cs="仿宋_GB2312"/>
                <w:color w:val="auto"/>
                <w:sz w:val="24"/>
                <w:szCs w:val="24"/>
                <w:highlight w:val="none"/>
                <w:lang w:val="zh-CN"/>
              </w:rPr>
              <w:t>文件要求填写的。</w:t>
            </w:r>
          </w:p>
        </w:tc>
      </w:tr>
      <w:tr w14:paraId="174D373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750CFCB4">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14</w:t>
            </w:r>
          </w:p>
        </w:tc>
        <w:tc>
          <w:tcPr>
            <w:tcW w:w="1122" w:type="dxa"/>
            <w:tcBorders>
              <w:top w:val="single" w:color="auto" w:sz="4" w:space="0"/>
              <w:left w:val="single" w:color="auto" w:sz="4" w:space="0"/>
              <w:bottom w:val="single" w:color="auto" w:sz="4" w:space="0"/>
              <w:right w:val="single" w:color="auto" w:sz="4" w:space="0"/>
            </w:tcBorders>
            <w:noWrap/>
            <w:vAlign w:val="center"/>
          </w:tcPr>
          <w:p w14:paraId="57C1875A">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pacing w:val="-20"/>
                <w:sz w:val="24"/>
                <w:szCs w:val="24"/>
                <w:highlight w:val="none"/>
                <w:lang w:val="en-US" w:eastAsia="zh-CN"/>
              </w:rPr>
            </w:pPr>
            <w:r>
              <w:rPr>
                <w:rFonts w:hint="eastAsia" w:ascii="仿宋_GB2312" w:hAnsi="仿宋_GB2312" w:eastAsia="仿宋_GB2312" w:cs="仿宋_GB2312"/>
                <w:color w:val="auto"/>
                <w:spacing w:val="-20"/>
                <w:sz w:val="24"/>
                <w:szCs w:val="24"/>
                <w:highlight w:val="none"/>
                <w:lang w:val="en-US" w:eastAsia="zh-CN"/>
              </w:rPr>
              <w:t>响应文件的份数</w:t>
            </w:r>
          </w:p>
        </w:tc>
        <w:tc>
          <w:tcPr>
            <w:tcW w:w="7246" w:type="dxa"/>
            <w:tcBorders>
              <w:top w:val="single" w:color="auto" w:sz="4" w:space="0"/>
              <w:left w:val="single" w:color="auto" w:sz="4" w:space="0"/>
              <w:bottom w:val="single" w:color="auto" w:sz="4" w:space="0"/>
              <w:right w:val="single" w:color="auto" w:sz="4" w:space="0"/>
            </w:tcBorders>
            <w:noWrap/>
            <w:vAlign w:val="center"/>
          </w:tcPr>
          <w:p w14:paraId="1ED51AE2">
            <w:pPr>
              <w:pStyle w:val="36"/>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正本</w:t>
            </w:r>
            <w:r>
              <w:rPr>
                <w:rFonts w:hint="eastAsia" w:ascii="仿宋_GB2312" w:hAnsi="仿宋_GB2312" w:eastAsia="仿宋_GB2312" w:cs="仿宋_GB2312"/>
                <w:color w:val="auto"/>
                <w:sz w:val="24"/>
                <w:szCs w:val="24"/>
                <w:highlight w:val="none"/>
                <w:lang w:val="en-US" w:eastAsia="zh"/>
              </w:rPr>
              <w:t>壹</w:t>
            </w:r>
            <w:r>
              <w:rPr>
                <w:rFonts w:hint="eastAsia" w:ascii="仿宋_GB2312" w:hAnsi="仿宋_GB2312" w:eastAsia="仿宋_GB2312" w:cs="仿宋_GB2312"/>
                <w:color w:val="auto"/>
                <w:sz w:val="24"/>
                <w:szCs w:val="24"/>
                <w:highlight w:val="none"/>
                <w:lang w:val="en-US" w:eastAsia="zh-CN"/>
              </w:rPr>
              <w:t>份，副本</w:t>
            </w:r>
            <w:r>
              <w:rPr>
                <w:rFonts w:hint="eastAsia" w:ascii="仿宋_GB2312" w:hAnsi="仿宋_GB2312" w:eastAsia="仿宋_GB2312" w:cs="仿宋_GB2312"/>
                <w:color w:val="auto"/>
                <w:sz w:val="24"/>
                <w:szCs w:val="24"/>
                <w:highlight w:val="none"/>
                <w:lang w:val="en-US" w:eastAsia="zh"/>
              </w:rPr>
              <w:t>肆</w:t>
            </w:r>
            <w:r>
              <w:rPr>
                <w:rFonts w:hint="eastAsia" w:ascii="仿宋_GB2312" w:hAnsi="仿宋_GB2312" w:eastAsia="仿宋_GB2312" w:cs="仿宋_GB2312"/>
                <w:color w:val="auto"/>
                <w:sz w:val="24"/>
                <w:szCs w:val="24"/>
                <w:highlight w:val="none"/>
                <w:lang w:val="en-US" w:eastAsia="zh-CN"/>
              </w:rPr>
              <w:t>份，报价一览表1份（单独密封用于现场唱标）。若响应文件正本与副本不一致，以正本为准。</w:t>
            </w:r>
          </w:p>
        </w:tc>
      </w:tr>
      <w:tr w14:paraId="7675950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0051BE35">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15</w:t>
            </w:r>
          </w:p>
        </w:tc>
        <w:tc>
          <w:tcPr>
            <w:tcW w:w="1122" w:type="dxa"/>
            <w:tcBorders>
              <w:top w:val="single" w:color="auto" w:sz="4" w:space="0"/>
              <w:left w:val="single" w:color="auto" w:sz="4" w:space="0"/>
              <w:bottom w:val="single" w:color="auto" w:sz="4" w:space="0"/>
              <w:right w:val="single" w:color="auto" w:sz="4" w:space="0"/>
            </w:tcBorders>
            <w:noWrap/>
            <w:vAlign w:val="center"/>
          </w:tcPr>
          <w:p w14:paraId="0DC10EF2">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pacing w:val="-20"/>
                <w:sz w:val="24"/>
                <w:szCs w:val="24"/>
                <w:highlight w:val="none"/>
                <w:lang w:val="en-US" w:eastAsia="zh-CN"/>
              </w:rPr>
            </w:pPr>
            <w:r>
              <w:rPr>
                <w:rFonts w:hint="eastAsia" w:ascii="仿宋_GB2312" w:hAnsi="仿宋_GB2312" w:eastAsia="仿宋_GB2312" w:cs="仿宋_GB2312"/>
                <w:color w:val="auto"/>
                <w:spacing w:val="-20"/>
                <w:sz w:val="24"/>
                <w:szCs w:val="24"/>
                <w:highlight w:val="none"/>
                <w:lang w:val="en-US" w:eastAsia="zh-CN"/>
              </w:rPr>
              <w:t>响应文件</w:t>
            </w:r>
          </w:p>
          <w:p w14:paraId="347C7ED0">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pacing w:val="-20"/>
                <w:sz w:val="24"/>
                <w:szCs w:val="24"/>
                <w:highlight w:val="none"/>
                <w:lang w:val="en-US" w:eastAsia="zh-CN"/>
              </w:rPr>
            </w:pPr>
            <w:r>
              <w:rPr>
                <w:rFonts w:hint="eastAsia" w:ascii="仿宋_GB2312" w:hAnsi="仿宋_GB2312" w:eastAsia="仿宋_GB2312" w:cs="仿宋_GB2312"/>
                <w:color w:val="auto"/>
                <w:spacing w:val="-20"/>
                <w:sz w:val="24"/>
                <w:szCs w:val="24"/>
                <w:highlight w:val="none"/>
                <w:lang w:val="en-US" w:eastAsia="zh-CN"/>
              </w:rPr>
              <w:t>递交截止</w:t>
            </w:r>
          </w:p>
          <w:p w14:paraId="1B04D789">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color w:val="auto"/>
                <w:spacing w:val="-20"/>
                <w:sz w:val="24"/>
                <w:szCs w:val="24"/>
                <w:highlight w:val="none"/>
                <w:lang w:val="en-US" w:eastAsia="zh-CN"/>
              </w:rPr>
            </w:pPr>
            <w:r>
              <w:rPr>
                <w:rFonts w:hint="eastAsia" w:ascii="仿宋_GB2312" w:hAnsi="仿宋_GB2312" w:eastAsia="仿宋_GB2312" w:cs="仿宋_GB2312"/>
                <w:color w:val="auto"/>
                <w:spacing w:val="-20"/>
                <w:sz w:val="24"/>
                <w:szCs w:val="24"/>
                <w:highlight w:val="none"/>
                <w:lang w:val="en-US" w:eastAsia="zh-CN"/>
              </w:rPr>
              <w:t>时间</w:t>
            </w:r>
          </w:p>
        </w:tc>
        <w:tc>
          <w:tcPr>
            <w:tcW w:w="7246" w:type="dxa"/>
            <w:tcBorders>
              <w:top w:val="single" w:color="auto" w:sz="4" w:space="0"/>
              <w:left w:val="single" w:color="auto" w:sz="4" w:space="0"/>
              <w:bottom w:val="single" w:color="auto" w:sz="4" w:space="0"/>
              <w:right w:val="single" w:color="auto" w:sz="4" w:space="0"/>
            </w:tcBorders>
            <w:noWrap/>
            <w:vAlign w:val="center"/>
          </w:tcPr>
          <w:p w14:paraId="47BF690B">
            <w:pPr>
              <w:pStyle w:val="36"/>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2025年05月14日09时30分（北京时间）</w:t>
            </w:r>
          </w:p>
        </w:tc>
      </w:tr>
      <w:tr w14:paraId="4A4026B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36E94CF1">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16</w:t>
            </w:r>
          </w:p>
        </w:tc>
        <w:tc>
          <w:tcPr>
            <w:tcW w:w="1122" w:type="dxa"/>
            <w:tcBorders>
              <w:top w:val="single" w:color="auto" w:sz="4" w:space="0"/>
              <w:left w:val="single" w:color="auto" w:sz="4" w:space="0"/>
              <w:bottom w:val="single" w:color="auto" w:sz="4" w:space="0"/>
              <w:right w:val="single" w:color="auto" w:sz="4" w:space="0"/>
            </w:tcBorders>
            <w:noWrap/>
            <w:vAlign w:val="center"/>
          </w:tcPr>
          <w:p w14:paraId="43499DC3">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color w:val="auto"/>
                <w:spacing w:val="-20"/>
                <w:sz w:val="24"/>
                <w:szCs w:val="24"/>
                <w:highlight w:val="none"/>
                <w:lang w:val="en-US" w:eastAsia="zh-CN"/>
              </w:rPr>
            </w:pPr>
            <w:r>
              <w:rPr>
                <w:rFonts w:hint="eastAsia" w:ascii="仿宋_GB2312" w:hAnsi="仿宋_GB2312" w:eastAsia="仿宋_GB2312" w:cs="仿宋_GB2312"/>
                <w:color w:val="auto"/>
                <w:spacing w:val="-20"/>
                <w:sz w:val="24"/>
                <w:szCs w:val="24"/>
                <w:highlight w:val="none"/>
                <w:lang w:val="en-US" w:eastAsia="zh-CN"/>
              </w:rPr>
              <w:t>知识产权</w:t>
            </w:r>
          </w:p>
        </w:tc>
        <w:tc>
          <w:tcPr>
            <w:tcW w:w="7246" w:type="dxa"/>
            <w:tcBorders>
              <w:top w:val="single" w:color="auto" w:sz="4" w:space="0"/>
              <w:left w:val="single" w:color="auto" w:sz="4" w:space="0"/>
              <w:bottom w:val="single" w:color="auto" w:sz="4" w:space="0"/>
              <w:right w:val="single" w:color="auto" w:sz="4" w:space="0"/>
            </w:tcBorders>
            <w:noWrap/>
            <w:vAlign w:val="center"/>
          </w:tcPr>
          <w:p w14:paraId="1CDF57CB">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1.</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应保证在本项目中使用（包括部分使用）的任何产品和服务，不会产生因第三方提出侵犯知识产权而引起的法律和经济纠纷，如因知识产权而引起法律和经济纠纷，由</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承担所有责任；</w:t>
            </w:r>
          </w:p>
          <w:p w14:paraId="38D7CC33">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2.</w:t>
            </w:r>
            <w:r>
              <w:rPr>
                <w:rFonts w:hint="eastAsia" w:ascii="仿宋_GB2312" w:hAnsi="仿宋_GB2312" w:eastAsia="仿宋_GB2312" w:cs="仿宋_GB2312"/>
                <w:color w:val="auto"/>
                <w:kern w:val="2"/>
                <w:sz w:val="24"/>
                <w:szCs w:val="24"/>
                <w:highlight w:val="none"/>
                <w:lang w:val="en-US" w:eastAsia="zh-CN"/>
              </w:rPr>
              <w:t>采购人或接受服务的公司</w:t>
            </w:r>
            <w:r>
              <w:rPr>
                <w:rFonts w:hint="eastAsia" w:ascii="仿宋_GB2312" w:hAnsi="仿宋_GB2312" w:eastAsia="仿宋_GB2312" w:cs="仿宋_GB2312"/>
                <w:color w:val="auto"/>
                <w:kern w:val="2"/>
                <w:sz w:val="24"/>
                <w:szCs w:val="24"/>
                <w:highlight w:val="none"/>
              </w:rPr>
              <w:t>享有本项目实施过程中产生的成果及知识产权；</w:t>
            </w:r>
          </w:p>
          <w:p w14:paraId="68269A30">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2"/>
                <w:sz w:val="24"/>
                <w:szCs w:val="24"/>
                <w:highlight w:val="none"/>
              </w:rPr>
              <w:t>3.</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将在项目实施过程中采用自有或者第三方知识成果的，应当在响应文件中载明，并提供相关知识产权证明文件；</w:t>
            </w:r>
          </w:p>
          <w:p w14:paraId="3AE8A29F">
            <w:pPr>
              <w:pStyle w:val="36"/>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4.如采用</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所不拥有的知识产权，则在响应文件中必须包括合法获取该知识产权的相关证明材料。</w:t>
            </w:r>
          </w:p>
        </w:tc>
      </w:tr>
      <w:tr w14:paraId="4985CB3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5A0730C1">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17</w:t>
            </w:r>
          </w:p>
        </w:tc>
        <w:tc>
          <w:tcPr>
            <w:tcW w:w="1122" w:type="dxa"/>
            <w:tcBorders>
              <w:top w:val="single" w:color="auto" w:sz="4" w:space="0"/>
              <w:left w:val="single" w:color="auto" w:sz="4" w:space="0"/>
              <w:bottom w:val="single" w:color="auto" w:sz="4" w:space="0"/>
              <w:right w:val="single" w:color="auto" w:sz="4" w:space="0"/>
            </w:tcBorders>
            <w:noWrap/>
            <w:vAlign w:val="center"/>
          </w:tcPr>
          <w:p w14:paraId="7AFFED7A">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strike w:val="0"/>
                <w:dstrike w:val="0"/>
                <w:color w:val="auto"/>
                <w:spacing w:val="-20"/>
                <w:sz w:val="24"/>
                <w:szCs w:val="24"/>
                <w:highlight w:val="none"/>
                <w:lang w:val="en-US" w:eastAsia="zh-CN"/>
              </w:rPr>
            </w:pPr>
            <w:r>
              <w:rPr>
                <w:rFonts w:hint="eastAsia" w:ascii="仿宋_GB2312" w:hAnsi="仿宋_GB2312" w:eastAsia="仿宋_GB2312" w:cs="仿宋_GB2312"/>
                <w:strike w:val="0"/>
                <w:dstrike w:val="0"/>
                <w:color w:val="auto"/>
                <w:spacing w:val="-20"/>
                <w:sz w:val="24"/>
                <w:szCs w:val="24"/>
                <w:highlight w:val="none"/>
                <w:lang w:val="en-US" w:eastAsia="zh-CN"/>
              </w:rPr>
              <w:t>响应文件</w:t>
            </w:r>
          </w:p>
          <w:p w14:paraId="79FF7C7B">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strike w:val="0"/>
                <w:dstrike w:val="0"/>
                <w:color w:val="auto"/>
                <w:spacing w:val="-20"/>
                <w:sz w:val="24"/>
                <w:szCs w:val="24"/>
                <w:highlight w:val="none"/>
                <w:lang w:val="en-US" w:eastAsia="zh-CN"/>
              </w:rPr>
            </w:pPr>
            <w:r>
              <w:rPr>
                <w:rFonts w:hint="eastAsia" w:ascii="仿宋_GB2312" w:hAnsi="仿宋_GB2312" w:eastAsia="仿宋_GB2312" w:cs="仿宋_GB2312"/>
                <w:strike w:val="0"/>
                <w:dstrike w:val="0"/>
                <w:color w:val="auto"/>
                <w:spacing w:val="-20"/>
                <w:sz w:val="24"/>
                <w:szCs w:val="24"/>
                <w:highlight w:val="none"/>
                <w:lang w:val="en-US" w:eastAsia="zh-CN"/>
              </w:rPr>
              <w:t>有效期</w:t>
            </w:r>
          </w:p>
        </w:tc>
        <w:tc>
          <w:tcPr>
            <w:tcW w:w="7246" w:type="dxa"/>
            <w:tcBorders>
              <w:top w:val="single" w:color="auto" w:sz="4" w:space="0"/>
              <w:left w:val="single" w:color="auto" w:sz="4" w:space="0"/>
              <w:bottom w:val="single" w:color="auto" w:sz="4" w:space="0"/>
              <w:right w:val="single" w:color="auto" w:sz="4" w:space="0"/>
            </w:tcBorders>
            <w:noWrap/>
            <w:vAlign w:val="center"/>
          </w:tcPr>
          <w:p w14:paraId="53BEF6BE">
            <w:pPr>
              <w:pStyle w:val="36"/>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jc w:val="left"/>
              <w:textAlignment w:val="auto"/>
              <w:rPr>
                <w:rFonts w:hint="default" w:ascii="仿宋_GB2312" w:hAnsi="仿宋_GB2312" w:eastAsia="仿宋_GB2312" w:cs="仿宋_GB2312"/>
                <w:strike w:val="0"/>
                <w:dstrike w:val="0"/>
                <w:color w:val="auto"/>
                <w:kern w:val="2"/>
                <w:sz w:val="24"/>
                <w:szCs w:val="24"/>
                <w:highlight w:val="none"/>
                <w:lang w:val="en-US" w:eastAsia="zh-CN"/>
              </w:rPr>
            </w:pPr>
            <w:r>
              <w:rPr>
                <w:rFonts w:hint="eastAsia" w:ascii="仿宋_GB2312" w:hAnsi="仿宋_GB2312" w:eastAsia="仿宋_GB2312" w:cs="仿宋_GB2312"/>
                <w:strike w:val="0"/>
                <w:dstrike w:val="0"/>
                <w:color w:val="auto"/>
                <w:sz w:val="24"/>
                <w:szCs w:val="24"/>
                <w:highlight w:val="none"/>
              </w:rPr>
              <w:t>响应</w:t>
            </w:r>
            <w:r>
              <w:rPr>
                <w:rFonts w:hint="eastAsia" w:ascii="仿宋_GB2312" w:hAnsi="仿宋_GB2312" w:eastAsia="仿宋_GB2312" w:cs="仿宋_GB2312"/>
                <w:strike w:val="0"/>
                <w:dstrike w:val="0"/>
                <w:color w:val="auto"/>
                <w:kern w:val="2"/>
                <w:sz w:val="24"/>
                <w:szCs w:val="24"/>
                <w:highlight w:val="none"/>
              </w:rPr>
              <w:t>文件有效期为递交</w:t>
            </w:r>
            <w:r>
              <w:rPr>
                <w:rFonts w:hint="eastAsia" w:ascii="仿宋_GB2312" w:hAnsi="仿宋_GB2312" w:eastAsia="仿宋_GB2312" w:cs="仿宋_GB2312"/>
                <w:strike w:val="0"/>
                <w:dstrike w:val="0"/>
                <w:color w:val="auto"/>
                <w:kern w:val="2"/>
                <w:sz w:val="24"/>
                <w:szCs w:val="24"/>
                <w:highlight w:val="none"/>
                <w:lang w:val="en-US" w:eastAsia="zh-CN"/>
              </w:rPr>
              <w:t>响应</w:t>
            </w:r>
            <w:r>
              <w:rPr>
                <w:rFonts w:hint="eastAsia" w:ascii="仿宋_GB2312" w:hAnsi="仿宋_GB2312" w:eastAsia="仿宋_GB2312" w:cs="仿宋_GB2312"/>
                <w:strike w:val="0"/>
                <w:dstrike w:val="0"/>
                <w:color w:val="auto"/>
                <w:kern w:val="2"/>
                <w:sz w:val="24"/>
                <w:szCs w:val="24"/>
                <w:highlight w:val="none"/>
              </w:rPr>
              <w:t>文件截止之日起60天。</w:t>
            </w:r>
          </w:p>
        </w:tc>
      </w:tr>
      <w:tr w14:paraId="048A777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418A69A4">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18</w:t>
            </w:r>
          </w:p>
        </w:tc>
        <w:tc>
          <w:tcPr>
            <w:tcW w:w="1122" w:type="dxa"/>
            <w:tcBorders>
              <w:top w:val="single" w:color="auto" w:sz="4" w:space="0"/>
              <w:left w:val="single" w:color="auto" w:sz="4" w:space="0"/>
              <w:bottom w:val="single" w:color="auto" w:sz="4" w:space="0"/>
              <w:right w:val="single" w:color="auto" w:sz="4" w:space="0"/>
            </w:tcBorders>
            <w:noWrap/>
            <w:vAlign w:val="center"/>
          </w:tcPr>
          <w:p w14:paraId="3C57E655">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color w:val="auto"/>
                <w:spacing w:val="-20"/>
                <w:sz w:val="24"/>
                <w:szCs w:val="24"/>
                <w:highlight w:val="none"/>
                <w:lang w:val="en-US" w:eastAsia="zh-CN"/>
              </w:rPr>
            </w:pPr>
            <w:r>
              <w:rPr>
                <w:rFonts w:hint="eastAsia" w:ascii="仿宋_GB2312" w:hAnsi="仿宋_GB2312" w:eastAsia="仿宋_GB2312" w:cs="仿宋_GB2312"/>
                <w:color w:val="auto"/>
                <w:spacing w:val="-20"/>
                <w:sz w:val="24"/>
                <w:szCs w:val="24"/>
                <w:highlight w:val="none"/>
                <w:shd w:val="clear" w:color="auto" w:fill="auto"/>
                <w:lang w:val="en-US" w:eastAsia="zh-CN"/>
              </w:rPr>
              <w:t>询比费用</w:t>
            </w:r>
          </w:p>
        </w:tc>
        <w:tc>
          <w:tcPr>
            <w:tcW w:w="7246" w:type="dxa"/>
            <w:tcBorders>
              <w:top w:val="single" w:color="auto" w:sz="4" w:space="0"/>
              <w:left w:val="single" w:color="auto" w:sz="4" w:space="0"/>
              <w:bottom w:val="single" w:color="auto" w:sz="4" w:space="0"/>
              <w:right w:val="single" w:color="auto" w:sz="4" w:space="0"/>
            </w:tcBorders>
            <w:noWrap/>
            <w:vAlign w:val="center"/>
          </w:tcPr>
          <w:p w14:paraId="22FF935D">
            <w:pPr>
              <w:pStyle w:val="36"/>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自行承担参与</w:t>
            </w:r>
            <w:r>
              <w:rPr>
                <w:rFonts w:hint="eastAsia" w:ascii="仿宋_GB2312" w:hAnsi="仿宋_GB2312" w:eastAsia="仿宋_GB2312" w:cs="仿宋_GB2312"/>
                <w:color w:val="auto"/>
                <w:sz w:val="24"/>
                <w:szCs w:val="24"/>
                <w:highlight w:val="none"/>
                <w:lang w:val="en-US" w:eastAsia="zh-CN"/>
              </w:rPr>
              <w:t>询比采购</w:t>
            </w:r>
            <w:r>
              <w:rPr>
                <w:rFonts w:hint="eastAsia" w:ascii="仿宋_GB2312" w:hAnsi="仿宋_GB2312" w:eastAsia="仿宋_GB2312" w:cs="仿宋_GB2312"/>
                <w:color w:val="auto"/>
                <w:sz w:val="24"/>
                <w:szCs w:val="24"/>
                <w:highlight w:val="none"/>
              </w:rPr>
              <w:t>有关的全部费用。</w:t>
            </w:r>
          </w:p>
        </w:tc>
      </w:tr>
      <w:tr w14:paraId="2ADC9A6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1AF8C445">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19</w:t>
            </w:r>
          </w:p>
        </w:tc>
        <w:tc>
          <w:tcPr>
            <w:tcW w:w="1122" w:type="dxa"/>
            <w:tcBorders>
              <w:top w:val="single" w:color="auto" w:sz="4" w:space="0"/>
              <w:left w:val="single" w:color="auto" w:sz="4" w:space="0"/>
              <w:bottom w:val="single" w:color="auto" w:sz="4" w:space="0"/>
              <w:right w:val="single" w:color="auto" w:sz="4" w:space="0"/>
            </w:tcBorders>
            <w:noWrap/>
            <w:vAlign w:val="center"/>
          </w:tcPr>
          <w:p w14:paraId="2E3156D4">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投标</w:t>
            </w:r>
          </w:p>
          <w:p w14:paraId="51B58F39">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pacing w:val="-20"/>
                <w:sz w:val="24"/>
                <w:szCs w:val="24"/>
                <w:highlight w:val="none"/>
                <w:lang w:val="en-US" w:eastAsia="zh-CN"/>
              </w:rPr>
            </w:pPr>
            <w:r>
              <w:rPr>
                <w:rFonts w:hint="eastAsia" w:ascii="仿宋_GB2312" w:hAnsi="仿宋_GB2312" w:eastAsia="仿宋_GB2312" w:cs="仿宋_GB2312"/>
                <w:color w:val="auto"/>
                <w:sz w:val="24"/>
                <w:szCs w:val="24"/>
                <w:highlight w:val="none"/>
              </w:rPr>
              <w:t>保证金</w:t>
            </w:r>
          </w:p>
        </w:tc>
        <w:tc>
          <w:tcPr>
            <w:tcW w:w="7246" w:type="dxa"/>
            <w:tcBorders>
              <w:top w:val="single" w:color="auto" w:sz="4" w:space="0"/>
              <w:left w:val="single" w:color="auto" w:sz="4" w:space="0"/>
              <w:bottom w:val="single" w:color="auto" w:sz="4" w:space="0"/>
              <w:right w:val="single" w:color="auto" w:sz="4" w:space="0"/>
            </w:tcBorders>
            <w:noWrap/>
            <w:vAlign w:val="center"/>
          </w:tcPr>
          <w:p w14:paraId="60CC558E">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无</w:t>
            </w:r>
          </w:p>
        </w:tc>
      </w:tr>
      <w:tr w14:paraId="5B333C7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42AE8D97">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20</w:t>
            </w:r>
          </w:p>
        </w:tc>
        <w:tc>
          <w:tcPr>
            <w:tcW w:w="1122" w:type="dxa"/>
            <w:tcBorders>
              <w:top w:val="single" w:color="auto" w:sz="4" w:space="0"/>
              <w:left w:val="single" w:color="auto" w:sz="4" w:space="0"/>
              <w:bottom w:val="single" w:color="auto" w:sz="4" w:space="0"/>
              <w:right w:val="single" w:color="auto" w:sz="4" w:space="0"/>
            </w:tcBorders>
            <w:noWrap/>
            <w:vAlign w:val="center"/>
          </w:tcPr>
          <w:p w14:paraId="5F4B4158">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履约</w:t>
            </w:r>
          </w:p>
          <w:p w14:paraId="76D73727">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pacing w:val="-20"/>
                <w:sz w:val="24"/>
                <w:szCs w:val="24"/>
                <w:highlight w:val="none"/>
                <w:lang w:val="en-US" w:eastAsia="zh-CN"/>
              </w:rPr>
            </w:pPr>
            <w:r>
              <w:rPr>
                <w:rFonts w:hint="eastAsia" w:ascii="仿宋_GB2312" w:hAnsi="仿宋_GB2312" w:eastAsia="仿宋_GB2312" w:cs="仿宋_GB2312"/>
                <w:color w:val="auto"/>
                <w:sz w:val="24"/>
                <w:szCs w:val="24"/>
                <w:highlight w:val="none"/>
              </w:rPr>
              <w:t>保证金</w:t>
            </w:r>
          </w:p>
        </w:tc>
        <w:tc>
          <w:tcPr>
            <w:tcW w:w="7246" w:type="dxa"/>
            <w:tcBorders>
              <w:top w:val="single" w:color="auto" w:sz="4" w:space="0"/>
              <w:left w:val="single" w:color="auto" w:sz="4" w:space="0"/>
              <w:bottom w:val="single" w:color="auto" w:sz="4" w:space="0"/>
              <w:right w:val="single" w:color="auto" w:sz="4" w:space="0"/>
            </w:tcBorders>
            <w:noWrap/>
            <w:vAlign w:val="center"/>
          </w:tcPr>
          <w:p w14:paraId="289F59C2">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无</w:t>
            </w:r>
          </w:p>
        </w:tc>
      </w:tr>
      <w:tr w14:paraId="10545FA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79124F3E">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21</w:t>
            </w:r>
          </w:p>
        </w:tc>
        <w:tc>
          <w:tcPr>
            <w:tcW w:w="1122" w:type="dxa"/>
            <w:tcBorders>
              <w:top w:val="single" w:color="auto" w:sz="4" w:space="0"/>
              <w:left w:val="single" w:color="auto" w:sz="4" w:space="0"/>
              <w:bottom w:val="single" w:color="auto" w:sz="4" w:space="0"/>
              <w:right w:val="single" w:color="auto" w:sz="4" w:space="0"/>
            </w:tcBorders>
            <w:noWrap/>
            <w:vAlign w:val="center"/>
          </w:tcPr>
          <w:p w14:paraId="19DD589E">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公平竞争保障</w:t>
            </w:r>
          </w:p>
        </w:tc>
        <w:tc>
          <w:tcPr>
            <w:tcW w:w="7246" w:type="dxa"/>
            <w:tcBorders>
              <w:top w:val="single" w:color="auto" w:sz="4" w:space="0"/>
              <w:left w:val="single" w:color="auto" w:sz="4" w:space="0"/>
              <w:bottom w:val="single" w:color="auto" w:sz="4" w:space="0"/>
              <w:right w:val="single" w:color="auto" w:sz="4" w:space="0"/>
            </w:tcBorders>
            <w:noWrap/>
            <w:vAlign w:val="center"/>
          </w:tcPr>
          <w:p w14:paraId="79847AE2">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1.利害关系</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处理。单位负责人为同一人或者存在直接控股、管理关系、实际控制的不同</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不得参加同一合同项下的</w:t>
            </w:r>
            <w:r>
              <w:rPr>
                <w:rFonts w:hint="eastAsia" w:ascii="仿宋_GB2312" w:hAnsi="仿宋_GB2312" w:eastAsia="仿宋_GB2312" w:cs="仿宋_GB2312"/>
                <w:color w:val="auto"/>
                <w:sz w:val="24"/>
                <w:szCs w:val="24"/>
                <w:highlight w:val="none"/>
                <w:lang w:val="en-US" w:eastAsia="zh-CN"/>
              </w:rPr>
              <w:t>询比采购活动</w:t>
            </w:r>
            <w:r>
              <w:rPr>
                <w:rFonts w:hint="eastAsia" w:ascii="仿宋_GB2312" w:hAnsi="仿宋_GB2312" w:eastAsia="仿宋_GB2312" w:cs="仿宋_GB2312"/>
                <w:color w:val="auto"/>
                <w:sz w:val="24"/>
                <w:szCs w:val="24"/>
                <w:highlight w:val="none"/>
              </w:rPr>
              <w:t>，否则，其</w:t>
            </w:r>
            <w:r>
              <w:rPr>
                <w:rFonts w:hint="eastAsia" w:ascii="仿宋_GB2312" w:hAnsi="仿宋_GB2312" w:eastAsia="仿宋_GB2312" w:cs="仿宋_GB2312"/>
                <w:color w:val="auto"/>
                <w:sz w:val="24"/>
                <w:szCs w:val="24"/>
                <w:highlight w:val="none"/>
                <w:lang w:val="en-US" w:eastAsia="zh-CN"/>
              </w:rPr>
              <w:t>响应</w:t>
            </w:r>
            <w:r>
              <w:rPr>
                <w:rFonts w:hint="eastAsia" w:ascii="仿宋_GB2312" w:hAnsi="仿宋_GB2312" w:eastAsia="仿宋_GB2312" w:cs="仿宋_GB2312"/>
                <w:color w:val="auto"/>
                <w:sz w:val="24"/>
                <w:szCs w:val="24"/>
                <w:highlight w:val="none"/>
              </w:rPr>
              <w:t>文件作为无效处理；</w:t>
            </w:r>
          </w:p>
          <w:p w14:paraId="769943B9">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2.利害关系授权代表处理。两家以上的</w:t>
            </w:r>
            <w:r>
              <w:rPr>
                <w:rFonts w:hint="eastAsia" w:ascii="仿宋_GB2312" w:hAnsi="仿宋_GB2312" w:eastAsia="仿宋_GB2312" w:cs="仿宋_GB2312"/>
                <w:color w:val="auto"/>
                <w:sz w:val="24"/>
                <w:szCs w:val="24"/>
                <w:highlight w:val="none"/>
                <w:lang w:val="en-US" w:eastAsia="zh-CN"/>
              </w:rPr>
              <w:t>供应商</w:t>
            </w:r>
            <w:r>
              <w:rPr>
                <w:rFonts w:hint="eastAsia" w:ascii="仿宋_GB2312" w:hAnsi="仿宋_GB2312" w:eastAsia="仿宋_GB2312" w:cs="仿宋_GB2312"/>
                <w:color w:val="auto"/>
                <w:sz w:val="24"/>
                <w:szCs w:val="24"/>
                <w:highlight w:val="none"/>
              </w:rPr>
              <w:t>不得在同一合同项下的服务项目中，委托同一个自然人、同一家庭的人员、同一单位的人员作为其授权代表，否则，其响应文件作为无效处理。</w:t>
            </w:r>
          </w:p>
        </w:tc>
      </w:tr>
      <w:tr w14:paraId="42DD919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23AB7CA9">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22</w:t>
            </w:r>
          </w:p>
        </w:tc>
        <w:tc>
          <w:tcPr>
            <w:tcW w:w="1122" w:type="dxa"/>
            <w:tcBorders>
              <w:top w:val="single" w:color="auto" w:sz="4" w:space="0"/>
              <w:left w:val="single" w:color="auto" w:sz="4" w:space="0"/>
              <w:bottom w:val="single" w:color="auto" w:sz="4" w:space="0"/>
              <w:right w:val="single" w:color="auto" w:sz="4" w:space="0"/>
            </w:tcBorders>
            <w:noWrap/>
            <w:vAlign w:val="center"/>
          </w:tcPr>
          <w:p w14:paraId="42C8D949">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低于成本价不正当竞争预防措施</w:t>
            </w:r>
          </w:p>
        </w:tc>
        <w:tc>
          <w:tcPr>
            <w:tcW w:w="7246" w:type="dxa"/>
            <w:tcBorders>
              <w:top w:val="single" w:color="auto" w:sz="4" w:space="0"/>
              <w:left w:val="single" w:color="auto" w:sz="4" w:space="0"/>
              <w:bottom w:val="single" w:color="auto" w:sz="4" w:space="0"/>
              <w:right w:val="single" w:color="auto" w:sz="4" w:space="0"/>
            </w:tcBorders>
            <w:noWrap/>
            <w:vAlign w:val="center"/>
          </w:tcPr>
          <w:p w14:paraId="65924744">
            <w:pPr>
              <w:keepNext w:val="0"/>
              <w:keepLines w:val="0"/>
              <w:pageBreakBefore w:val="0"/>
              <w:widowControl/>
              <w:numPr>
                <w:ilvl w:val="0"/>
                <w:numId w:val="9"/>
              </w:numPr>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bidi="ar-SA"/>
              </w:rPr>
              <w:t>在评审过程中，评标委员会认为供应商的报价明显低于其他通过资格审查供应商的报价，有可能影响服务或者不能诚信履约的，评标委员会应当要求其在现场合理的时间内提供书面说明，并提交相关证明材料，供应商不能证明其报价合理性的，评标委员会应当将其作为无效处理。</w:t>
            </w:r>
          </w:p>
          <w:p w14:paraId="269122CF">
            <w:pPr>
              <w:keepNext w:val="0"/>
              <w:keepLines w:val="0"/>
              <w:pageBreakBefore w:val="0"/>
              <w:widowControl/>
              <w:numPr>
                <w:ilvl w:val="0"/>
                <w:numId w:val="9"/>
              </w:numPr>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bidi="ar-SA"/>
              </w:rPr>
              <w:t>供应商书面说明应当签字确认或者加盖公章，否则无效。书面说明的签字确认，由其法定代表人或者其授权代表签字确认。 供应商提供书面说明后，评标委员会应当结合采购项目采购需求、专业实际情况、供应商财务状况报告、与其他供应商比较情况等就供应商书面说明进行审查评价。</w:t>
            </w:r>
          </w:p>
          <w:p w14:paraId="00DBC75F">
            <w:pPr>
              <w:keepNext w:val="0"/>
              <w:keepLines w:val="0"/>
              <w:pageBreakBefore w:val="0"/>
              <w:widowControl/>
              <w:numPr>
                <w:ilvl w:val="0"/>
                <w:numId w:val="9"/>
              </w:numPr>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bidi="ar-SA"/>
              </w:rPr>
              <w:t>供应商拒绝或者变相拒绝提供有效书面说明或者书面说明不能证明其报价合理性的或未在规定时间内递交有效书面说明书的，评标委员会应当将其响应文件作为无效处理。</w:t>
            </w:r>
          </w:p>
        </w:tc>
      </w:tr>
      <w:tr w14:paraId="5797103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175AE09F">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23</w:t>
            </w:r>
          </w:p>
        </w:tc>
        <w:tc>
          <w:tcPr>
            <w:tcW w:w="1122" w:type="dxa"/>
            <w:tcBorders>
              <w:top w:val="single" w:color="auto" w:sz="4" w:space="0"/>
              <w:left w:val="single" w:color="auto" w:sz="4" w:space="0"/>
              <w:bottom w:val="single" w:color="auto" w:sz="4" w:space="0"/>
              <w:right w:val="single" w:color="auto" w:sz="4" w:space="0"/>
            </w:tcBorders>
            <w:noWrap/>
            <w:vAlign w:val="center"/>
          </w:tcPr>
          <w:p w14:paraId="64FE390D">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现场</w:t>
            </w:r>
            <w:r>
              <w:rPr>
                <w:rFonts w:hint="eastAsia" w:ascii="仿宋_GB2312" w:hAnsi="仿宋_GB2312" w:eastAsia="仿宋_GB2312" w:cs="仿宋_GB2312"/>
                <w:color w:val="auto"/>
                <w:kern w:val="0"/>
                <w:sz w:val="24"/>
                <w:szCs w:val="24"/>
                <w:highlight w:val="none"/>
                <w:lang w:val="en-US" w:eastAsia="zh-CN" w:bidi="ar-SA"/>
              </w:rPr>
              <w:t>陈述</w:t>
            </w:r>
          </w:p>
        </w:tc>
        <w:tc>
          <w:tcPr>
            <w:tcW w:w="7246" w:type="dxa"/>
            <w:tcBorders>
              <w:top w:val="single" w:color="auto" w:sz="4" w:space="0"/>
              <w:left w:val="single" w:color="auto" w:sz="4" w:space="0"/>
              <w:bottom w:val="single" w:color="auto" w:sz="4" w:space="0"/>
              <w:right w:val="single" w:color="auto" w:sz="4" w:space="0"/>
            </w:tcBorders>
            <w:noWrap/>
            <w:vAlign w:val="center"/>
          </w:tcPr>
          <w:p w14:paraId="2835E01E">
            <w:pPr>
              <w:pStyle w:val="39"/>
              <w:keepNext w:val="0"/>
              <w:keepLines w:val="0"/>
              <w:pageBreakBefore w:val="0"/>
              <w:widowControl w:val="0"/>
              <w:numPr>
                <w:ilvl w:val="0"/>
                <w:numId w:val="0"/>
              </w:numPr>
              <w:suppressLineNumbers w:val="0"/>
              <w:kinsoku/>
              <w:wordWrap/>
              <w:overflowPunct/>
              <w:topLinePunct w:val="0"/>
              <w:bidi w:val="0"/>
              <w:spacing w:before="0" w:beforeAutospacing="0" w:after="0" w:afterAutospacing="0" w:line="560" w:lineRule="exact"/>
              <w:ind w:left="0" w:leftChars="0" w:right="0"/>
              <w:jc w:val="left"/>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评审现场由通过资格审查的供应商进行陈述，并回答评审成员提问。陈述时间不超过</w:t>
            </w:r>
            <w:r>
              <w:rPr>
                <w:rFonts w:hint="eastAsia" w:ascii="仿宋_GB2312" w:hAnsi="仿宋_GB2312" w:eastAsia="仿宋_GB2312" w:cs="仿宋_GB2312"/>
                <w:color w:val="auto"/>
                <w:kern w:val="0"/>
                <w:sz w:val="24"/>
                <w:szCs w:val="24"/>
                <w:highlight w:val="none"/>
                <w:lang w:val="en-US" w:eastAsia="zh" w:bidi="ar-SA"/>
              </w:rPr>
              <w:t>15</w:t>
            </w:r>
            <w:r>
              <w:rPr>
                <w:rFonts w:hint="eastAsia" w:ascii="仿宋_GB2312" w:hAnsi="仿宋_GB2312" w:eastAsia="仿宋_GB2312" w:cs="仿宋_GB2312"/>
                <w:color w:val="auto"/>
                <w:kern w:val="0"/>
                <w:sz w:val="24"/>
                <w:szCs w:val="24"/>
                <w:highlight w:val="none"/>
                <w:lang w:val="en-US" w:eastAsia="zh-CN" w:bidi="ar-SA"/>
              </w:rPr>
              <w:t>分钟（由拟委派的项目负责人进行响应方案讲解），陈述内容应包括本机构基本情况、项目组成员情况、本次服务方案和报价等。评审成员提问时间不超过</w:t>
            </w:r>
            <w:r>
              <w:rPr>
                <w:rFonts w:hint="eastAsia" w:ascii="仿宋_GB2312" w:hAnsi="仿宋_GB2312" w:eastAsia="仿宋_GB2312" w:cs="仿宋_GB2312"/>
                <w:color w:val="auto"/>
                <w:kern w:val="0"/>
                <w:sz w:val="24"/>
                <w:szCs w:val="24"/>
                <w:highlight w:val="none"/>
                <w:lang w:val="en-US" w:eastAsia="zh" w:bidi="ar-SA"/>
              </w:rPr>
              <w:t>10</w:t>
            </w:r>
            <w:r>
              <w:rPr>
                <w:rFonts w:hint="eastAsia" w:ascii="仿宋_GB2312" w:hAnsi="仿宋_GB2312" w:eastAsia="仿宋_GB2312" w:cs="仿宋_GB2312"/>
                <w:color w:val="auto"/>
                <w:kern w:val="0"/>
                <w:sz w:val="24"/>
                <w:szCs w:val="24"/>
                <w:highlight w:val="none"/>
                <w:lang w:val="en-US" w:eastAsia="zh-CN" w:bidi="ar-SA"/>
              </w:rPr>
              <w:t>分钟。</w:t>
            </w:r>
          </w:p>
        </w:tc>
      </w:tr>
      <w:tr w14:paraId="339EF90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5895DB33">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24</w:t>
            </w:r>
          </w:p>
        </w:tc>
        <w:tc>
          <w:tcPr>
            <w:tcW w:w="1122" w:type="dxa"/>
            <w:tcBorders>
              <w:top w:val="single" w:color="auto" w:sz="4" w:space="0"/>
              <w:left w:val="single" w:color="auto" w:sz="4" w:space="0"/>
              <w:bottom w:val="single" w:color="auto" w:sz="4" w:space="0"/>
              <w:right w:val="single" w:color="auto" w:sz="4" w:space="0"/>
            </w:tcBorders>
            <w:noWrap/>
            <w:vAlign w:val="center"/>
          </w:tcPr>
          <w:p w14:paraId="0FF36BC9">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结果公示</w:t>
            </w:r>
          </w:p>
        </w:tc>
        <w:tc>
          <w:tcPr>
            <w:tcW w:w="7246" w:type="dxa"/>
            <w:tcBorders>
              <w:top w:val="single" w:color="auto" w:sz="4" w:space="0"/>
              <w:left w:val="single" w:color="auto" w:sz="4" w:space="0"/>
              <w:bottom w:val="single" w:color="auto" w:sz="4" w:space="0"/>
              <w:right w:val="single" w:color="auto" w:sz="4" w:space="0"/>
            </w:tcBorders>
            <w:noWrap/>
            <w:vAlign w:val="center"/>
          </w:tcPr>
          <w:p w14:paraId="78C6DAC2">
            <w:pPr>
              <w:pStyle w:val="39"/>
              <w:keepNext w:val="0"/>
              <w:keepLines w:val="0"/>
              <w:pageBreakBefore w:val="0"/>
              <w:widowControl w:val="0"/>
              <w:numPr>
                <w:ilvl w:val="0"/>
                <w:numId w:val="0"/>
              </w:numPr>
              <w:suppressLineNumbers w:val="0"/>
              <w:kinsoku/>
              <w:wordWrap/>
              <w:overflowPunct/>
              <w:topLinePunct w:val="0"/>
              <w:bidi w:val="0"/>
              <w:spacing w:before="0" w:beforeAutospacing="0" w:after="0" w:afterAutospacing="0" w:line="560" w:lineRule="exact"/>
              <w:ind w:left="0" w:leftChars="0" w:right="0"/>
              <w:jc w:val="left"/>
              <w:textAlignment w:val="auto"/>
              <w:rPr>
                <w:rFonts w:hint="default"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sz w:val="24"/>
                <w:szCs w:val="24"/>
                <w:highlight w:val="none"/>
                <w:lang w:val="zh-CN"/>
              </w:rPr>
              <w:t>评</w:t>
            </w:r>
            <w:r>
              <w:rPr>
                <w:rFonts w:hint="eastAsia" w:ascii="仿宋_GB2312" w:hAnsi="仿宋_GB2312" w:eastAsia="仿宋_GB2312" w:cs="仿宋_GB2312"/>
                <w:color w:val="auto"/>
                <w:sz w:val="24"/>
                <w:szCs w:val="24"/>
                <w:highlight w:val="none"/>
                <w:lang w:val="en-US" w:eastAsia="zh-CN"/>
              </w:rPr>
              <w:t>审</w:t>
            </w:r>
            <w:r>
              <w:rPr>
                <w:rFonts w:hint="eastAsia" w:ascii="仿宋_GB2312" w:hAnsi="仿宋_GB2312" w:eastAsia="仿宋_GB2312" w:cs="仿宋_GB2312"/>
                <w:color w:val="auto"/>
                <w:sz w:val="24"/>
                <w:szCs w:val="24"/>
                <w:highlight w:val="none"/>
              </w:rPr>
              <w:t>结果在四川九洲投资控股集团有限公司官网（www.jezetek.cc</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和</w:t>
            </w:r>
            <w:r>
              <w:rPr>
                <w:rFonts w:hint="eastAsia" w:ascii="仿宋_GB2312" w:hAnsi="仿宋_GB2312" w:eastAsia="仿宋_GB2312" w:cs="仿宋_GB2312"/>
                <w:color w:val="auto"/>
                <w:sz w:val="24"/>
                <w:szCs w:val="24"/>
                <w:highlight w:val="none"/>
              </w:rPr>
              <w:t>绵阳市国资委官网（gzw.my.gov.cn）以公告形式发布。</w:t>
            </w:r>
          </w:p>
        </w:tc>
      </w:tr>
      <w:tr w14:paraId="28472B6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63"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10CFBF4E">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25</w:t>
            </w:r>
          </w:p>
        </w:tc>
        <w:tc>
          <w:tcPr>
            <w:tcW w:w="1122" w:type="dxa"/>
            <w:tcBorders>
              <w:top w:val="single" w:color="auto" w:sz="4" w:space="0"/>
              <w:left w:val="single" w:color="auto" w:sz="4" w:space="0"/>
              <w:bottom w:val="single" w:color="auto" w:sz="4" w:space="0"/>
              <w:right w:val="single" w:color="auto" w:sz="4" w:space="0"/>
            </w:tcBorders>
            <w:noWrap/>
            <w:vAlign w:val="center"/>
          </w:tcPr>
          <w:p w14:paraId="329CE3BA">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成交</w:t>
            </w:r>
          </w:p>
          <w:p w14:paraId="26284EEF">
            <w:pPr>
              <w:pStyle w:val="36"/>
              <w:keepNext w:val="0"/>
              <w:keepLines w:val="0"/>
              <w:pageBreakBefore w:val="0"/>
              <w:suppressLineNumbers w:val="0"/>
              <w:wordWrap/>
              <w:topLinePunct w:val="0"/>
              <w:autoSpaceDE/>
              <w:autoSpaceDN/>
              <w:bidi w:val="0"/>
              <w:snapToGrid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通知书</w:t>
            </w:r>
          </w:p>
        </w:tc>
        <w:tc>
          <w:tcPr>
            <w:tcW w:w="7246" w:type="dxa"/>
            <w:tcBorders>
              <w:top w:val="single" w:color="auto" w:sz="4" w:space="0"/>
              <w:left w:val="single" w:color="auto" w:sz="4" w:space="0"/>
              <w:bottom w:val="single" w:color="auto" w:sz="4" w:space="0"/>
              <w:right w:val="single" w:color="auto" w:sz="4" w:space="0"/>
            </w:tcBorders>
            <w:noWrap/>
            <w:vAlign w:val="center"/>
          </w:tcPr>
          <w:p w14:paraId="7AF725AF">
            <w:pPr>
              <w:pStyle w:val="39"/>
              <w:keepNext w:val="0"/>
              <w:keepLines w:val="0"/>
              <w:pageBreakBefore w:val="0"/>
              <w:widowControl w:val="0"/>
              <w:numPr>
                <w:ilvl w:val="0"/>
                <w:numId w:val="0"/>
              </w:numPr>
              <w:suppressLineNumbers w:val="0"/>
              <w:kinsoku/>
              <w:wordWrap/>
              <w:overflowPunct/>
              <w:topLinePunct w:val="0"/>
              <w:bidi w:val="0"/>
              <w:spacing w:before="0" w:beforeAutospacing="0" w:after="0" w:afterAutospacing="0" w:line="560" w:lineRule="exact"/>
              <w:ind w:left="0" w:leftChars="0" w:right="0"/>
              <w:jc w:val="left"/>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成交人凭有效身份证明证件到采购人处领取成交通知书，或采购人按成交人指定快递地址和收件人快递寄出。</w:t>
            </w:r>
          </w:p>
        </w:tc>
      </w:tr>
    </w:tbl>
    <w:p w14:paraId="2BDE129A">
      <w:pPr>
        <w:pStyle w:val="22"/>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询比采购文件构成</w:t>
      </w:r>
    </w:p>
    <w:p w14:paraId="3E66F08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询比采购文件是供应商准备询比响应文件和参加询比采购的依据，同时也是评审的重要依据，具有准法律文件性质。询比采购文件用以阐明采购项目所需的资质、技术、服务及报价等要求、采购程序、有关规定和注意事项以及合同主要条款等。本询比采购文件包括以下内容：</w:t>
      </w:r>
    </w:p>
    <w:p w14:paraId="1FAE8F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（一）询比采购公告；</w:t>
      </w:r>
    </w:p>
    <w:p w14:paraId="3B482D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（二）供应商须知；</w:t>
      </w:r>
    </w:p>
    <w:p w14:paraId="45BE72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（三）服务内容及要求；</w:t>
      </w:r>
    </w:p>
    <w:p w14:paraId="7F1A5C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（四）评审方法与标准；</w:t>
      </w:r>
    </w:p>
    <w:p w14:paraId="619EB3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（五）响应文件格式；</w:t>
      </w:r>
    </w:p>
    <w:p w14:paraId="53CA73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（六）拟签订的合同文本主要内容。</w:t>
      </w:r>
    </w:p>
    <w:p w14:paraId="10C78C9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供应商应认真阅读和充分理解询比采购文件中的所有事项、格式条款和规范要求。供应商没有对询比采购文件全面做出实质性响应是供应商的风险。没有按照询比采购文件要求作出实质性响应的将作无效处理。</w:t>
      </w:r>
    </w:p>
    <w:p w14:paraId="3F0F3336">
      <w:pPr>
        <w:pStyle w:val="22"/>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询比采购文件的澄清与修改</w:t>
      </w:r>
    </w:p>
    <w:p w14:paraId="188E87A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（一）供应商若对询比采购文件有任何疑问，应</w:t>
      </w:r>
      <w:r>
        <w:rPr>
          <w:rFonts w:hint="default" w:ascii="仿宋_GB2312" w:hAnsi="仿宋_GB2312" w:eastAsia="仿宋_GB2312" w:cs="仿宋_GB2312"/>
          <w:color w:val="auto"/>
          <w:sz w:val="32"/>
          <w:szCs w:val="32"/>
          <w:highlight w:val="none"/>
          <w:lang w:val="en-US" w:eastAsia="zh-CN"/>
        </w:rPr>
        <w:t>至少</w:t>
      </w:r>
      <w:r>
        <w:rPr>
          <w:rFonts w:hint="eastAsia" w:ascii="仿宋_GB2312" w:hAnsi="仿宋_GB2312" w:eastAsia="仿宋_GB2312" w:cs="仿宋_GB2312"/>
          <w:color w:val="auto"/>
          <w:sz w:val="32"/>
          <w:szCs w:val="32"/>
          <w:highlight w:val="none"/>
          <w:lang w:val="en-US" w:eastAsia="zh-CN"/>
        </w:rPr>
        <w:t>在响应文件截止递交时间前2日以书面形式向采购人提出澄清要求。无论是采购人根据需要或是根据供应商的要求对询比采购文件进行必要的澄清，采购人应在收到书面澄清要求后1日内以书面形式予以澄清，同时如澄清文件对响应文件编制有影响的，采购人应将书面澄清文件向所有供应商发送。供应商在收到该澄清文件后应于1日内，以书面形式给予确认，该澄清作为询比采购文件的组成部分，具有约束作用。</w:t>
      </w:r>
    </w:p>
    <w:p w14:paraId="11674D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（二）询比采购文件的澄清、修改、补充等内容均以书面形式明确的内容为准。当询比采购文件、询比采购文件的澄清、修改、补充等在同一内容的表述上不一致时，以最后发出的书面文件为准。</w:t>
      </w:r>
    </w:p>
    <w:p w14:paraId="0D733D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（三）为使供应商在编制响应文件时有充分的时间对询比采购文件的澄清、修改、补充等内容进行研究，采购人将酌情延长提交响应文件的截止时间，具体时间将在询比采购文件的修改、补充通知中予以明确。</w:t>
      </w:r>
    </w:p>
    <w:p w14:paraId="671F65A5">
      <w:pPr>
        <w:pStyle w:val="22"/>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响应文件</w:t>
      </w:r>
    </w:p>
    <w:p w14:paraId="33F614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outlineLvl w:val="2"/>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（一）响应文件的组成</w:t>
      </w:r>
    </w:p>
    <w:p w14:paraId="09A71E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供应商应按照下列要求和顺序形成响应文件，并将响应文件按规定顺序编制成册：</w:t>
      </w:r>
    </w:p>
    <w:p w14:paraId="197AB7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1.供应商采购申请书</w:t>
      </w:r>
    </w:p>
    <w:p w14:paraId="45B430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2.报价一览表及明细</w:t>
      </w:r>
    </w:p>
    <w:p w14:paraId="0D80DA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3.公司资格文件：</w:t>
      </w:r>
      <w:r>
        <w:rPr>
          <w:rFonts w:hint="default" w:ascii="仿宋_GB2312" w:hAnsi="仿宋_GB2312" w:eastAsia="仿宋_GB2312" w:cs="仿宋_GB2312"/>
          <w:color w:val="auto"/>
          <w:sz w:val="32"/>
          <w:szCs w:val="32"/>
          <w:highlight w:val="none"/>
          <w:lang w:eastAsia="zh-CN"/>
        </w:rPr>
        <w:t>详见第</w:t>
      </w:r>
      <w:r>
        <w:rPr>
          <w:rFonts w:hint="eastAsia" w:ascii="仿宋_GB2312" w:hAnsi="仿宋_GB2312" w:eastAsia="仿宋_GB2312" w:cs="仿宋_GB2312"/>
          <w:color w:val="auto"/>
          <w:sz w:val="32"/>
          <w:szCs w:val="32"/>
          <w:highlight w:val="none"/>
          <w:lang w:val="en-US" w:eastAsia="zh-CN"/>
        </w:rPr>
        <w:t>五</w:t>
      </w:r>
      <w:r>
        <w:rPr>
          <w:rFonts w:hint="default" w:ascii="仿宋_GB2312" w:hAnsi="仿宋_GB2312" w:eastAsia="仿宋_GB2312" w:cs="仿宋_GB2312"/>
          <w:color w:val="auto"/>
          <w:sz w:val="32"/>
          <w:szCs w:val="32"/>
          <w:highlight w:val="none"/>
          <w:lang w:eastAsia="zh-CN"/>
        </w:rPr>
        <w:t>章</w:t>
      </w:r>
    </w:p>
    <w:p w14:paraId="57F6C5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4.承诺函</w:t>
      </w:r>
    </w:p>
    <w:p w14:paraId="2C3BFE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5.项目团队构成、项目负责人及成员简介（含资格证书复印件及单位社保证明）</w:t>
      </w:r>
    </w:p>
    <w:p w14:paraId="3AE8A1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6.类似业绩一览表及证明材料</w:t>
      </w:r>
    </w:p>
    <w:p w14:paraId="5A9595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7.响应方案</w:t>
      </w:r>
    </w:p>
    <w:p w14:paraId="5D8F42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8.廉洁承诺书</w:t>
      </w:r>
    </w:p>
    <w:p w14:paraId="149627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9.供应商认为需要提交的其他证明材料</w:t>
      </w:r>
    </w:p>
    <w:p w14:paraId="145B52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outlineLvl w:val="2"/>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（二）响应文件的语言</w:t>
      </w:r>
    </w:p>
    <w:p w14:paraId="69B811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供应商提交的响应文件以及供应商与采购人就有关询比采购的所有来往书面文件均须使用中文。</w:t>
      </w:r>
    </w:p>
    <w:p w14:paraId="45EC7A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outlineLvl w:val="2"/>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（三）计量单位</w:t>
      </w:r>
    </w:p>
    <w:p w14:paraId="0C00BB9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除询比文件中另有规定外，本次项目所有合同项下的询比采购均采用国家法定的计量单位。</w:t>
      </w:r>
    </w:p>
    <w:p w14:paraId="71665C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outlineLvl w:val="2"/>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（四）货币</w:t>
      </w:r>
    </w:p>
    <w:p w14:paraId="2C8B11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本次采购项目均以人民币报价为单位。</w:t>
      </w:r>
    </w:p>
    <w:p w14:paraId="49D430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outlineLvl w:val="2"/>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（五）响应文件格式</w:t>
      </w:r>
    </w:p>
    <w:p w14:paraId="5B2313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1.对于有格式要求的，供应商按照询比采购文件规定填写。</w:t>
      </w:r>
    </w:p>
    <w:p w14:paraId="56C1E84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2.对于没有格式要求的，供应商自行编写。</w:t>
      </w:r>
    </w:p>
    <w:p w14:paraId="50D9D4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outlineLvl w:val="2"/>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（六）响应文件的编制和签署</w:t>
      </w:r>
    </w:p>
    <w:p w14:paraId="20F42CCB">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1.响应文件一式</w:t>
      </w:r>
      <w:r>
        <w:rPr>
          <w:rFonts w:hint="eastAsia" w:ascii="仿宋_GB2312" w:hAnsi="仿宋_GB2312" w:eastAsia="仿宋_GB2312" w:cs="仿宋_GB2312"/>
          <w:color w:val="auto"/>
          <w:sz w:val="32"/>
          <w:szCs w:val="32"/>
          <w:highlight w:val="none"/>
          <w:lang w:val="en-US" w:eastAsia="zh"/>
        </w:rPr>
        <w:t>5</w:t>
      </w:r>
      <w:r>
        <w:rPr>
          <w:rFonts w:hint="eastAsia" w:ascii="仿宋_GB2312" w:hAnsi="仿宋_GB2312" w:eastAsia="仿宋_GB2312" w:cs="仿宋_GB2312"/>
          <w:color w:val="auto"/>
          <w:sz w:val="32"/>
          <w:szCs w:val="32"/>
          <w:highlight w:val="none"/>
          <w:lang w:val="en-US" w:eastAsia="zh-CN"/>
        </w:rPr>
        <w:t>份（</w:t>
      </w:r>
      <w:r>
        <w:rPr>
          <w:rFonts w:hint="eastAsia" w:ascii="仿宋_GB2312" w:hAnsi="仿宋_GB2312" w:eastAsia="仿宋_GB2312" w:cs="仿宋_GB2312"/>
          <w:color w:val="auto"/>
          <w:sz w:val="32"/>
          <w:szCs w:val="32"/>
          <w:highlight w:val="none"/>
          <w:lang w:val="en-US" w:eastAsia="zh"/>
        </w:rPr>
        <w:t>壹</w:t>
      </w:r>
      <w:r>
        <w:rPr>
          <w:rFonts w:hint="eastAsia" w:ascii="仿宋_GB2312" w:hAnsi="仿宋_GB2312" w:eastAsia="仿宋_GB2312" w:cs="仿宋_GB2312"/>
          <w:color w:val="auto"/>
          <w:sz w:val="32"/>
          <w:szCs w:val="32"/>
          <w:highlight w:val="none"/>
          <w:lang w:val="en-US" w:eastAsia="zh-CN"/>
        </w:rPr>
        <w:t>正</w:t>
      </w:r>
      <w:r>
        <w:rPr>
          <w:rFonts w:hint="eastAsia" w:ascii="仿宋_GB2312" w:hAnsi="仿宋_GB2312" w:eastAsia="仿宋_GB2312" w:cs="仿宋_GB2312"/>
          <w:color w:val="auto"/>
          <w:sz w:val="32"/>
          <w:szCs w:val="32"/>
          <w:highlight w:val="none"/>
          <w:lang w:val="en-US" w:eastAsia="zh"/>
        </w:rPr>
        <w:t>肆</w:t>
      </w:r>
      <w:r>
        <w:rPr>
          <w:rFonts w:hint="eastAsia" w:ascii="仿宋_GB2312" w:hAnsi="仿宋_GB2312" w:eastAsia="仿宋_GB2312" w:cs="仿宋_GB2312"/>
          <w:color w:val="auto"/>
          <w:sz w:val="32"/>
          <w:szCs w:val="32"/>
          <w:highlight w:val="none"/>
          <w:lang w:val="en-US" w:eastAsia="zh-CN"/>
        </w:rPr>
        <w:t>副），均需在规定签章处签字和盖章。</w:t>
      </w:r>
    </w:p>
    <w:p w14:paraId="4407928D">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2.响应文件的打印和书写应清楚工整，任何行间插字、涂改或增删，必须由供应商的法定代表人或其授权代表签字并盖供应商公章。</w:t>
      </w:r>
    </w:p>
    <w:p w14:paraId="081C42E6">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3.响应文件应由供应商的法定代表人或其授权代表在响应文件要求的地方签字（或加盖私人印章），要求加盖公章的地方加盖单位公章，不得使用专用章（如合同专用章、询比专用章等）或下属单位印章代替。</w:t>
      </w:r>
    </w:p>
    <w:p w14:paraId="29F580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outlineLvl w:val="2"/>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（七）响应文件递交</w:t>
      </w:r>
    </w:p>
    <w:p w14:paraId="77E483A3">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供应商应在规定的截止时间前，将响应文件密封后送达询比地点。截止时间以后送达的响应文件将被拒绝。</w:t>
      </w:r>
    </w:p>
    <w:p w14:paraId="68034E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未密封或者标注错误的响应文件，采购人不予受理。本次询比不接收邮寄的响应文件。</w:t>
      </w:r>
    </w:p>
    <w:p w14:paraId="62B4EB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outlineLvl w:val="2"/>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（八）响应文件的修改和撤回</w:t>
      </w:r>
    </w:p>
    <w:p w14:paraId="4C8B50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1.供应商在评审现场提交的密封响应文件不允许修改和撤回，但是报价出现不一致的，现场可按以下原则进行修改：</w:t>
      </w:r>
    </w:p>
    <w:p w14:paraId="6B1666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（1）大写金额和小写金额不一致的，以大写金额为准。</w:t>
      </w:r>
    </w:p>
    <w:p w14:paraId="0651CA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（2）单价和数量的乘积与总价不一致时，以单价为准，并修正总价。</w:t>
      </w:r>
    </w:p>
    <w:p w14:paraId="78670C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（3）单价金额小数点或者百分比有明显错位的，以总价为准，修正单价。</w:t>
      </w:r>
    </w:p>
    <w:p w14:paraId="7C9C5A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2.供应商对其提交的响应文件的真实性、合法性承担法律责任。</w:t>
      </w:r>
    </w:p>
    <w:p w14:paraId="484BC348">
      <w:pPr>
        <w:pStyle w:val="22"/>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询比费用</w:t>
      </w:r>
    </w:p>
    <w:p w14:paraId="2094D9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供应商参加询比采购的有关费用由供应商自行承担。</w:t>
      </w:r>
    </w:p>
    <w:p w14:paraId="5FF8BAFF">
      <w:pPr>
        <w:pStyle w:val="22"/>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评审</w:t>
      </w:r>
    </w:p>
    <w:p w14:paraId="1C4162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（一）采购人在询比采购文件规定的时间和地点组织评审，供应商须派授权代表持本人有效身份证件原件现场参加并签到。</w:t>
      </w:r>
    </w:p>
    <w:p w14:paraId="263FE1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评审时由供应商或采购人对响应文件的密封情况进行检查，如供应商代表对其他供应商的响应文件密封情况有异议的，可以当场反映主持人员，要求现场记录人员予以记录，并在评审时予以认定处理，但不得干扰、阻挠评审工作的正常进行。</w:t>
      </w:r>
    </w:p>
    <w:p w14:paraId="682A00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（三）评审主持人按照询比采购文件规定的评审时间宣布评审开始，按照规定要求主持本次评审。评审将按以下程序进行：</w:t>
      </w:r>
    </w:p>
    <w:p w14:paraId="7E74D6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1.根据“供应商签到表”当场宣读供应商名单。</w:t>
      </w:r>
    </w:p>
    <w:p w14:paraId="436322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2.宣布评审纪律和有关注意事项。</w:t>
      </w:r>
    </w:p>
    <w:p w14:paraId="71DB50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3.现场签到的供应商不足3家，不得进行评审。</w:t>
      </w:r>
    </w:p>
    <w:p w14:paraId="7AE0B0F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将供应商单独递交的“报价一览表”当众拆封，并宣读供应商名称、报价等信息。唱标完毕，如供应商代表对宣读的“报价一览表”上的内容有异议的，应当场提出。如确实属于唱标人员宣读错了的，经现场核实后，当场予以更正。</w:t>
      </w:r>
    </w:p>
    <w:p w14:paraId="514C67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5.唱标结束后，所有供应商代表应立即退场（询比采购文件要求有演示、现场陈</w:t>
      </w:r>
      <w:r>
        <w:rPr>
          <w:rFonts w:hint="default" w:ascii="仿宋_GB2312" w:hAnsi="仿宋_GB2312" w:eastAsia="仿宋_GB2312" w:cs="仿宋_GB2312"/>
          <w:color w:val="auto"/>
          <w:sz w:val="32"/>
          <w:szCs w:val="32"/>
          <w:highlight w:val="none"/>
          <w:lang w:eastAsia="zh-CN"/>
        </w:rPr>
        <w:t>述</w:t>
      </w:r>
      <w:r>
        <w:rPr>
          <w:rFonts w:hint="eastAsia" w:ascii="仿宋_GB2312" w:hAnsi="仿宋_GB2312" w:eastAsia="仿宋_GB2312" w:cs="仿宋_GB2312"/>
          <w:color w:val="auto"/>
          <w:sz w:val="32"/>
          <w:szCs w:val="32"/>
          <w:highlight w:val="none"/>
          <w:lang w:val="en-US" w:eastAsia="zh-CN"/>
        </w:rPr>
        <w:t>等的除外）。同时所有供应商应保持通讯设备的畅通，以方便在评审过程中评审小组要求供应商对响应文件的必要澄清、说明和纠正。</w:t>
      </w:r>
    </w:p>
    <w:p w14:paraId="49223E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（四）采购人按询比采购文件要求组成评审小组。</w:t>
      </w:r>
    </w:p>
    <w:p w14:paraId="472B53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（五）评审小组成员根据法律和询比采购文件规定标准进行客观、公正评审，按评审总得分高低排序，推荐排名前三的成交候选人。</w:t>
      </w:r>
    </w:p>
    <w:p w14:paraId="1E9BF3C0">
      <w:pPr>
        <w:pStyle w:val="22"/>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询比废除</w:t>
      </w:r>
    </w:p>
    <w:p w14:paraId="69B893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本次采购活动中，出现下列情形之一的，予以废除：</w:t>
      </w:r>
    </w:p>
    <w:p w14:paraId="6266AA6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（一）报名参与询比的供应商不足三家的；</w:t>
      </w:r>
    </w:p>
    <w:p w14:paraId="6F67C9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（二）出现影响采购公正的违法、违规行为的；</w:t>
      </w:r>
    </w:p>
    <w:p w14:paraId="34322A6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（三）供应商的报价均超过了项目限价；</w:t>
      </w:r>
    </w:p>
    <w:p w14:paraId="2731E9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（四）因重大变化，采购任务取消的。</w:t>
      </w:r>
    </w:p>
    <w:p w14:paraId="75DDBB91">
      <w:pPr>
        <w:pStyle w:val="22"/>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询比纪律要求</w:t>
      </w:r>
    </w:p>
    <w:p w14:paraId="16DFF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（一）供应商参加询比不得有下列情形：</w:t>
      </w:r>
    </w:p>
    <w:p w14:paraId="2F96AF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1.提供虚假材料谋取中标；</w:t>
      </w:r>
    </w:p>
    <w:p w14:paraId="6E2875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2.采取不正当手段诋毁、排挤其他供应商；</w:t>
      </w:r>
    </w:p>
    <w:p w14:paraId="1B4385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3.与采购人、其他供应商恶意串通；</w:t>
      </w:r>
    </w:p>
    <w:p w14:paraId="48543E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4.向采购人、评审小组成员行贿或者提供其他不正当利益；</w:t>
      </w:r>
    </w:p>
    <w:p w14:paraId="12F717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5.中标后无正当理由拒不与采购人或询比采购文件约定接受服务的公司签订采购合同；</w:t>
      </w:r>
    </w:p>
    <w:p w14:paraId="55881C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6.未按照询比采购文件确定的事项签订采购合同；</w:t>
      </w:r>
    </w:p>
    <w:p w14:paraId="0CEA81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7.将采购合同转包或者违规分包；</w:t>
      </w:r>
    </w:p>
    <w:p w14:paraId="7B119B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8.提供假冒伪劣产品；</w:t>
      </w:r>
    </w:p>
    <w:p w14:paraId="4C2D82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9.擅自变更、中止或者终止采购合同；</w:t>
      </w:r>
    </w:p>
    <w:p w14:paraId="17C39E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10.拒绝有关部门的监督检查或者向监督检查部门提供虚假情况；</w:t>
      </w:r>
    </w:p>
    <w:p w14:paraId="392EB5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11.法律法规规定的其他情形。</w:t>
      </w:r>
    </w:p>
    <w:p w14:paraId="764F0B7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有上述情形之一的供应商，属于不合格供应商，其响应文件或中标资格将被取消。</w:t>
      </w:r>
    </w:p>
    <w:p w14:paraId="326E967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（二）供应商有下列情形之一的，视为供应商串通参选，其响应文件将作无效参选处理：</w:t>
      </w:r>
    </w:p>
    <w:p w14:paraId="47CD05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1.不同供应商的响应文件由同一单位或者个人编制；</w:t>
      </w:r>
    </w:p>
    <w:p w14:paraId="2D206C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2.不同供应商委托同一单位或者个人办理采购</w:t>
      </w:r>
      <w:r>
        <w:rPr>
          <w:rFonts w:hint="default" w:ascii="仿宋_GB2312" w:hAnsi="仿宋_GB2312" w:eastAsia="仿宋_GB2312" w:cs="仿宋_GB2312"/>
          <w:color w:val="auto"/>
          <w:sz w:val="32"/>
          <w:szCs w:val="32"/>
          <w:highlight w:val="none"/>
          <w:lang w:eastAsia="zh-CN"/>
        </w:rPr>
        <w:t>申请</w:t>
      </w:r>
      <w:r>
        <w:rPr>
          <w:rFonts w:hint="eastAsia" w:ascii="仿宋_GB2312" w:hAnsi="仿宋_GB2312" w:eastAsia="仿宋_GB2312" w:cs="仿宋_GB2312"/>
          <w:color w:val="auto"/>
          <w:sz w:val="32"/>
          <w:szCs w:val="32"/>
          <w:highlight w:val="none"/>
          <w:lang w:val="en-US" w:eastAsia="zh-CN"/>
        </w:rPr>
        <w:t>事宜；</w:t>
      </w:r>
    </w:p>
    <w:p w14:paraId="17FB0E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3.不同供应商的响应文件载明的项目管理成员或者联系人员为同一人；</w:t>
      </w:r>
    </w:p>
    <w:p w14:paraId="163514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4.不同供应商的响应文件异常一致或者报价呈规律性差异；</w:t>
      </w:r>
    </w:p>
    <w:p w14:paraId="312F7B9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5.不同供应商的响应文件相互混装；</w:t>
      </w:r>
    </w:p>
    <w:p w14:paraId="47B4844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6.不同供应商的保证金从同一单位或者个人的账户转出。</w:t>
      </w:r>
    </w:p>
    <w:p w14:paraId="301E2F17">
      <w:pPr>
        <w:pStyle w:val="22"/>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回避</w:t>
      </w:r>
    </w:p>
    <w:p w14:paraId="1622695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评审人员及相关人员与供应商有下列利害关系之一的，应当回避：</w:t>
      </w:r>
    </w:p>
    <w:p w14:paraId="67B4C5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（一）参加采购活动前3年内与供应商存在劳动关系；</w:t>
      </w:r>
    </w:p>
    <w:p w14:paraId="5D5DD2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（二）参加采购活动前3年内担任供应商的董事、监事；</w:t>
      </w:r>
    </w:p>
    <w:p w14:paraId="4F63AC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（三）参加采购活动前3年内是供应商的控股股东或者实际控制人；</w:t>
      </w:r>
    </w:p>
    <w:p w14:paraId="021267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（四）与供应商的法定代表人或者负责人有夫妻、直系血亲、三代以内旁系血亲或者近姻亲关系；</w:t>
      </w:r>
    </w:p>
    <w:p w14:paraId="673B0C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（五）与供应商有其他可能影响采购活动公平、公正进行的关系。</w:t>
      </w:r>
    </w:p>
    <w:p w14:paraId="5F535ED5">
      <w:pPr>
        <w:pStyle w:val="22"/>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确定成交人</w:t>
      </w:r>
    </w:p>
    <w:p w14:paraId="4B3603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（一）采购人收到评审结果报告及有关资料后，按评审小组推荐的成交候选人顺序确定成交人。成交候选人并列的，优先以报价低的确定成交人，报价也相等的，由采购人自行确定。</w:t>
      </w:r>
    </w:p>
    <w:p w14:paraId="3CD47F3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（二）采购人确定成交人过程中，发现成交候选人有下列情形之一的，应当不予确定其为成交人：</w:t>
      </w:r>
    </w:p>
    <w:p w14:paraId="7F63D033">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1.成交候选人存在禁止参加本项目采购活动的违法行为；</w:t>
      </w:r>
    </w:p>
    <w:p w14:paraId="6C210005">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2.成交候选人因不可抗力，不能继续参加采购活动；</w:t>
      </w:r>
    </w:p>
    <w:p w14:paraId="5758B019">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3.成交候选人提供虚假材料；</w:t>
      </w:r>
    </w:p>
    <w:p w14:paraId="3DD67596">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4.成交候选人恶意串通。</w:t>
      </w:r>
    </w:p>
    <w:p w14:paraId="649E28FB">
      <w:pPr>
        <w:pStyle w:val="22"/>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结果公示</w:t>
      </w:r>
    </w:p>
    <w:p w14:paraId="159081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（一）在确定成交人之日起3日内公示，公示期不少于3个工作日；</w:t>
      </w:r>
    </w:p>
    <w:p w14:paraId="2585AD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（二）公示期满后若无异议，采购人向成交人发出成交通知书，成交人到采购人处领取成交通知书或采购人按成交人指定快递地址和收件人快递寄出。</w:t>
      </w:r>
    </w:p>
    <w:p w14:paraId="4B7C9312">
      <w:pPr>
        <w:pStyle w:val="22"/>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合同事项</w:t>
      </w:r>
    </w:p>
    <w:p w14:paraId="2BA3EFD7">
      <w:pPr>
        <w:pStyle w:val="4"/>
        <w:pageBreakBefore w:val="0"/>
        <w:numPr>
          <w:ilvl w:val="0"/>
          <w:numId w:val="0"/>
        </w:numPr>
        <w:wordWrap/>
        <w:topLinePunct w:val="0"/>
        <w:bidi w:val="0"/>
        <w:spacing w:line="560" w:lineRule="exact"/>
        <w:ind w:leftChars="0" w:firstLine="640" w:firstLineChars="200"/>
        <w:jc w:val="left"/>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（一）合同签订</w:t>
      </w:r>
    </w:p>
    <w:p w14:paraId="5135A5B9">
      <w:pPr>
        <w:pStyle w:val="39"/>
        <w:pageBreakBefore w:val="0"/>
        <w:numPr>
          <w:ilvl w:val="0"/>
          <w:numId w:val="0"/>
        </w:numPr>
        <w:wordWrap/>
        <w:topLinePunct w:val="0"/>
        <w:bidi w:val="0"/>
        <w:spacing w:line="560" w:lineRule="exact"/>
        <w:ind w:firstLine="640" w:firstLineChars="20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lang w:val="en-US" w:eastAsia="zh-CN"/>
        </w:rPr>
        <w:t>1.成交</w:t>
      </w:r>
      <w:r>
        <w:rPr>
          <w:rFonts w:hint="eastAsia" w:ascii="仿宋_GB2312" w:hAnsi="仿宋_GB2312" w:eastAsia="仿宋_GB2312" w:cs="仿宋_GB2312"/>
          <w:color w:val="auto"/>
          <w:sz w:val="32"/>
          <w:highlight w:val="none"/>
        </w:rPr>
        <w:t>人应在</w:t>
      </w:r>
      <w:r>
        <w:rPr>
          <w:rFonts w:hint="eastAsia" w:ascii="仿宋_GB2312" w:hAnsi="仿宋_GB2312" w:eastAsia="仿宋_GB2312" w:cs="仿宋_GB2312"/>
          <w:color w:val="auto"/>
          <w:sz w:val="32"/>
          <w:highlight w:val="none"/>
          <w:lang w:val="en-US" w:eastAsia="zh-CN"/>
        </w:rPr>
        <w:t>成交</w:t>
      </w:r>
      <w:r>
        <w:rPr>
          <w:rFonts w:hint="eastAsia" w:ascii="仿宋_GB2312" w:hAnsi="仿宋_GB2312" w:eastAsia="仿宋_GB2312" w:cs="仿宋_GB2312"/>
          <w:color w:val="auto"/>
          <w:sz w:val="32"/>
          <w:highlight w:val="none"/>
        </w:rPr>
        <w:t>通知书发出之日起</w:t>
      </w:r>
      <w:r>
        <w:rPr>
          <w:rFonts w:hint="eastAsia" w:ascii="仿宋_GB2312" w:hAnsi="仿宋_GB2312" w:eastAsia="仿宋_GB2312" w:cs="仿宋_GB2312"/>
          <w:color w:val="auto"/>
          <w:sz w:val="32"/>
          <w:highlight w:val="none"/>
          <w:lang w:val="en-US" w:eastAsia="zh-CN"/>
        </w:rPr>
        <w:t>30</w:t>
      </w:r>
      <w:r>
        <w:rPr>
          <w:rFonts w:hint="eastAsia" w:ascii="仿宋_GB2312" w:hAnsi="仿宋_GB2312" w:eastAsia="仿宋_GB2312" w:cs="仿宋_GB2312"/>
          <w:color w:val="auto"/>
          <w:sz w:val="32"/>
          <w:highlight w:val="none"/>
        </w:rPr>
        <w:t>日内与</w:t>
      </w:r>
      <w:r>
        <w:rPr>
          <w:rFonts w:hint="eastAsia" w:ascii="仿宋_GB2312" w:hAnsi="仿宋_GB2312" w:eastAsia="仿宋_GB2312" w:cs="仿宋_GB2312"/>
          <w:color w:val="auto"/>
          <w:sz w:val="32"/>
          <w:highlight w:val="none"/>
          <w:lang w:val="en-US" w:eastAsia="zh-CN"/>
        </w:rPr>
        <w:t>采购人签订合同。</w:t>
      </w:r>
    </w:p>
    <w:p w14:paraId="0D892984">
      <w:pPr>
        <w:pStyle w:val="39"/>
        <w:pageBreakBefore w:val="0"/>
        <w:numPr>
          <w:ilvl w:val="0"/>
          <w:numId w:val="0"/>
        </w:numPr>
        <w:wordWrap/>
        <w:topLinePunct w:val="0"/>
        <w:bidi w:val="0"/>
        <w:spacing w:line="560" w:lineRule="exact"/>
        <w:ind w:firstLine="640" w:firstLineChars="200"/>
        <w:jc w:val="left"/>
        <w:rPr>
          <w:rFonts w:hint="eastAsia" w:ascii="仿宋_GB2312" w:hAnsi="仿宋_GB2312" w:eastAsia="仿宋_GB2312" w:cs="仿宋_GB2312"/>
          <w:color w:val="auto"/>
          <w:sz w:val="32"/>
          <w:highlight w:val="none"/>
          <w:lang w:val="en-US" w:eastAsia="zh-CN"/>
        </w:rPr>
      </w:pPr>
      <w:r>
        <w:rPr>
          <w:rFonts w:hint="eastAsia" w:ascii="仿宋_GB2312" w:hAnsi="仿宋_GB2312" w:eastAsia="仿宋_GB2312" w:cs="仿宋_GB2312"/>
          <w:color w:val="auto"/>
          <w:sz w:val="32"/>
          <w:highlight w:val="none"/>
          <w:lang w:val="en-US" w:eastAsia="zh-CN"/>
        </w:rPr>
        <w:t>2.成交人放弃成交、报价有效期内因成交人原因不能正常履行合同或者有采购法律法规规章制度规定的成交无效情形的，采购人有权宣布发出的成交通知书无效，并收回发出的成交通知书。采购人可以按照评审小组提出的成交候选人名单排序依次确定其他成交候选人为成交人，也可以重新采购。</w:t>
      </w:r>
    </w:p>
    <w:p w14:paraId="4FF2BE33">
      <w:pPr>
        <w:pStyle w:val="39"/>
        <w:pageBreakBefore w:val="0"/>
        <w:numPr>
          <w:ilvl w:val="0"/>
          <w:numId w:val="0"/>
        </w:numPr>
        <w:wordWrap/>
        <w:topLinePunct w:val="0"/>
        <w:bidi w:val="0"/>
        <w:spacing w:line="560" w:lineRule="exact"/>
        <w:ind w:firstLine="640" w:firstLineChars="200"/>
        <w:jc w:val="left"/>
        <w:rPr>
          <w:rFonts w:hint="eastAsia" w:ascii="仿宋_GB2312" w:hAnsi="仿宋_GB2312" w:eastAsia="仿宋_GB2312" w:cs="仿宋_GB2312"/>
          <w:color w:val="auto"/>
          <w:sz w:val="32"/>
          <w:highlight w:val="none"/>
          <w:lang w:val="en-US" w:eastAsia="zh-CN"/>
        </w:rPr>
      </w:pPr>
      <w:r>
        <w:rPr>
          <w:rFonts w:hint="eastAsia" w:ascii="仿宋_GB2312" w:hAnsi="仿宋_GB2312" w:eastAsia="仿宋_GB2312" w:cs="仿宋_GB2312"/>
          <w:color w:val="auto"/>
          <w:sz w:val="32"/>
          <w:highlight w:val="none"/>
          <w:lang w:val="en-US" w:eastAsia="zh-CN"/>
        </w:rPr>
        <w:t>3.严禁成交人将任何采购合同义务以任何形式予以部分或全部转让。本项目所称合同义务的部分或全部转让，是指成交人将采购合同义务转让给第三人，并部分或者全部退出现有采购合同当事人双方的权利义务关系，受让人（即第三人）成为采购合同的另一方当事人的行为。成交人部分或全部转让合同义务的，视同拒绝履行采购合同义务，将依法追究法律责任。</w:t>
      </w:r>
    </w:p>
    <w:p w14:paraId="7FD3BFB4">
      <w:pPr>
        <w:pStyle w:val="22"/>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bidi="ar"/>
        </w:rPr>
        <w:t>询问、质疑</w:t>
      </w:r>
    </w:p>
    <w:p w14:paraId="3B3FD0A5">
      <w:pPr>
        <w:pStyle w:val="39"/>
        <w:pageBreakBefore w:val="0"/>
        <w:numPr>
          <w:ilvl w:val="0"/>
          <w:numId w:val="0"/>
        </w:numPr>
        <w:wordWrap/>
        <w:topLinePunct w:val="0"/>
        <w:bidi w:val="0"/>
        <w:spacing w:line="560" w:lineRule="exact"/>
        <w:ind w:firstLine="640" w:firstLineChars="200"/>
        <w:jc w:val="left"/>
        <w:outlineLvl w:val="2"/>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lang w:val="en-US" w:eastAsia="zh-CN"/>
        </w:rPr>
        <w:t>（一）供应商对询比采购文件中应当具备的条件、采购项目技术、商务及其他要求以及评审细则及标准、采购过程及询比结果提出询问或质疑的向采购人提出。</w:t>
      </w:r>
    </w:p>
    <w:p w14:paraId="69B42445">
      <w:pPr>
        <w:pStyle w:val="39"/>
        <w:pageBreakBefore w:val="0"/>
        <w:numPr>
          <w:ilvl w:val="0"/>
          <w:numId w:val="0"/>
        </w:numPr>
        <w:wordWrap/>
        <w:topLinePunct w:val="0"/>
        <w:bidi w:val="0"/>
        <w:spacing w:line="560" w:lineRule="exact"/>
        <w:ind w:firstLine="640" w:firstLineChars="200"/>
        <w:jc w:val="left"/>
        <w:outlineLvl w:val="2"/>
        <w:rPr>
          <w:rFonts w:hint="eastAsia" w:ascii="仿宋_GB2312" w:hAnsi="仿宋_GB2312" w:eastAsia="仿宋_GB2312" w:cs="仿宋_GB2312"/>
          <w:color w:val="auto"/>
          <w:sz w:val="32"/>
          <w:highlight w:val="none"/>
          <w:lang w:val="en-US" w:eastAsia="zh-CN"/>
        </w:rPr>
      </w:pPr>
      <w:r>
        <w:rPr>
          <w:rFonts w:hint="eastAsia" w:ascii="仿宋_GB2312" w:hAnsi="仿宋_GB2312" w:eastAsia="仿宋_GB2312" w:cs="仿宋_GB2312"/>
          <w:color w:val="auto"/>
          <w:sz w:val="32"/>
          <w:highlight w:val="none"/>
          <w:lang w:val="en-US" w:eastAsia="zh-CN"/>
        </w:rPr>
        <w:t>（二）供应商提出的询问，应当明确询问事项，如以书面形式提出的，应由供应商签字并加盖公章。</w:t>
      </w:r>
    </w:p>
    <w:p w14:paraId="52052216">
      <w:pPr>
        <w:pStyle w:val="39"/>
        <w:pageBreakBefore w:val="0"/>
        <w:numPr>
          <w:ilvl w:val="0"/>
          <w:numId w:val="0"/>
        </w:numPr>
        <w:wordWrap/>
        <w:topLinePunct w:val="0"/>
        <w:bidi w:val="0"/>
        <w:spacing w:line="560" w:lineRule="exact"/>
        <w:ind w:firstLine="640" w:firstLineChars="200"/>
        <w:jc w:val="left"/>
        <w:outlineLvl w:val="2"/>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lang w:val="en-US" w:eastAsia="zh-CN"/>
        </w:rPr>
        <w:t>（三）供应商认为询比采购文件、评审过程、询比结果使自己的权益受到损害的，可以在知道或者应知其权益受到损害之日起7个工作日内，以书面形式向采购人提出质疑。</w:t>
      </w:r>
    </w:p>
    <w:p w14:paraId="7426D036">
      <w:pPr>
        <w:pStyle w:val="39"/>
        <w:pageBreakBefore w:val="0"/>
        <w:numPr>
          <w:ilvl w:val="0"/>
          <w:numId w:val="10"/>
        </w:numPr>
        <w:wordWrap/>
        <w:topLinePunct w:val="0"/>
        <w:bidi w:val="0"/>
        <w:spacing w:line="560" w:lineRule="exact"/>
        <w:ind w:left="0"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highlight w:val="none"/>
        </w:rPr>
        <w:t>必须在质疑期内一次性提出针对同一采购环节的质疑。</w:t>
      </w:r>
    </w:p>
    <w:p w14:paraId="5B2158D7">
      <w:pPr>
        <w:pStyle w:val="39"/>
        <w:pageBreakBefore w:val="0"/>
        <w:numPr>
          <w:ilvl w:val="0"/>
          <w:numId w:val="10"/>
        </w:numPr>
        <w:wordWrap/>
        <w:topLinePunct w:val="0"/>
        <w:bidi w:val="0"/>
        <w:spacing w:line="560" w:lineRule="exact"/>
        <w:ind w:left="0"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质疑</w:t>
      </w:r>
      <w:r>
        <w:rPr>
          <w:rFonts w:hint="eastAsia" w:ascii="仿宋_GB2312" w:hAnsi="仿宋_GB2312" w:eastAsia="仿宋_GB2312" w:cs="仿宋_GB2312"/>
          <w:color w:val="auto"/>
          <w:sz w:val="32"/>
          <w:highlight w:val="none"/>
          <w:lang w:val="en-US" w:eastAsia="zh-CN"/>
        </w:rPr>
        <w:t>人</w:t>
      </w:r>
      <w:r>
        <w:rPr>
          <w:rFonts w:hint="eastAsia" w:ascii="仿宋_GB2312" w:hAnsi="仿宋_GB2312" w:eastAsia="仿宋_GB2312" w:cs="仿宋_GB2312"/>
          <w:color w:val="auto"/>
          <w:sz w:val="32"/>
          <w:highlight w:val="none"/>
        </w:rPr>
        <w:t>应当是参与所质疑项目采购活动的</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highlight w:val="none"/>
        </w:rPr>
        <w:t>。</w:t>
      </w:r>
    </w:p>
    <w:p w14:paraId="5207F15A">
      <w:pPr>
        <w:pStyle w:val="39"/>
        <w:pageBreakBefore w:val="0"/>
        <w:numPr>
          <w:ilvl w:val="0"/>
          <w:numId w:val="10"/>
        </w:numPr>
        <w:wordWrap/>
        <w:topLinePunct w:val="0"/>
        <w:bidi w:val="0"/>
        <w:spacing w:line="560" w:lineRule="exact"/>
        <w:ind w:left="0"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highlight w:val="none"/>
        </w:rPr>
        <w:t>提出质疑应当提交质疑函和必要的证明材料。质疑函应当包括下列内容：</w:t>
      </w:r>
    </w:p>
    <w:p w14:paraId="3F24B109">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（1）</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highlight w:val="none"/>
        </w:rPr>
        <w:t>名称、联系人及联系电话；</w:t>
      </w:r>
    </w:p>
    <w:p w14:paraId="2B62BA96">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（2）质疑项目的名称、编号；</w:t>
      </w:r>
    </w:p>
    <w:p w14:paraId="24F9D094">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（3）具体、明确的质疑事项和与质疑事项相关的请求；</w:t>
      </w:r>
    </w:p>
    <w:p w14:paraId="2D7DCC5D">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（4）事实依据；</w:t>
      </w:r>
    </w:p>
    <w:p w14:paraId="2078AFEC">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（5）必要的法律依据；</w:t>
      </w:r>
    </w:p>
    <w:p w14:paraId="70FAEDF8">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（6）提出质疑的日期。</w:t>
      </w:r>
    </w:p>
    <w:p w14:paraId="4A7C93C0">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highlight w:val="none"/>
        </w:rPr>
        <w:t>为法人或者其他组织的，应当由法定代表人、主要负责人，或者其授权代表签字或者盖章，并加盖公章。</w:t>
      </w:r>
    </w:p>
    <w:p w14:paraId="034FA500">
      <w:pPr>
        <w:pageBreakBefore w:val="0"/>
        <w:widowControl/>
        <w:numPr>
          <w:ilvl w:val="0"/>
          <w:numId w:val="0"/>
        </w:numPr>
        <w:kinsoku w:val="0"/>
        <w:wordWrap/>
        <w:topLinePunct w:val="0"/>
        <w:autoSpaceDE/>
        <w:autoSpaceDN/>
        <w:bidi w:val="0"/>
        <w:adjustRightInd w:val="0"/>
        <w:snapToGrid w:val="0"/>
        <w:spacing w:line="560" w:lineRule="exact"/>
        <w:ind w:firstLine="0" w:firstLineChars="0"/>
        <w:jc w:val="center"/>
        <w:textAlignment w:val="baseline"/>
        <w:outlineLvl w:val="0"/>
        <w:rPr>
          <w:rFonts w:hint="eastAsia" w:ascii="仿宋_GB2312" w:hAnsi="仿宋_GB2312" w:eastAsia="仿宋_GB2312" w:cs="仿宋_GB2312"/>
          <w:color w:val="auto"/>
          <w:sz w:val="32"/>
          <w:szCs w:val="32"/>
          <w:highlight w:val="none"/>
          <w:lang w:eastAsia="zh"/>
        </w:rPr>
      </w:pPr>
      <w:bookmarkStart w:id="11" w:name="_Toc25898"/>
    </w:p>
    <w:p w14:paraId="27B1BBA0">
      <w:pPr>
        <w:pageBreakBefore w:val="0"/>
        <w:widowControl/>
        <w:numPr>
          <w:ilvl w:val="0"/>
          <w:numId w:val="0"/>
        </w:numPr>
        <w:kinsoku w:val="0"/>
        <w:wordWrap/>
        <w:topLinePunct w:val="0"/>
        <w:autoSpaceDE/>
        <w:autoSpaceDN/>
        <w:bidi w:val="0"/>
        <w:adjustRightInd w:val="0"/>
        <w:snapToGrid w:val="0"/>
        <w:spacing w:line="560" w:lineRule="exact"/>
        <w:ind w:firstLine="0" w:firstLineChars="0"/>
        <w:jc w:val="center"/>
        <w:textAlignment w:val="baseline"/>
        <w:outlineLvl w:val="0"/>
        <w:rPr>
          <w:rFonts w:hint="eastAsia" w:ascii="仿宋_GB2312" w:hAnsi="仿宋_GB2312" w:eastAsia="仿宋_GB2312" w:cs="仿宋_GB2312"/>
          <w:color w:val="auto"/>
          <w:sz w:val="32"/>
          <w:szCs w:val="32"/>
          <w:highlight w:val="none"/>
          <w:lang w:eastAsia="zh"/>
        </w:rPr>
      </w:pPr>
    </w:p>
    <w:p w14:paraId="6EDFA8C1">
      <w:pPr>
        <w:pageBreakBefore w:val="0"/>
        <w:widowControl/>
        <w:numPr>
          <w:ilvl w:val="0"/>
          <w:numId w:val="0"/>
        </w:numPr>
        <w:kinsoku w:val="0"/>
        <w:wordWrap/>
        <w:topLinePunct w:val="0"/>
        <w:autoSpaceDE/>
        <w:autoSpaceDN/>
        <w:bidi w:val="0"/>
        <w:adjustRightInd w:val="0"/>
        <w:snapToGrid w:val="0"/>
        <w:spacing w:line="560" w:lineRule="exact"/>
        <w:ind w:firstLine="0" w:firstLineChars="0"/>
        <w:jc w:val="center"/>
        <w:textAlignment w:val="baseline"/>
        <w:outlineLvl w:val="0"/>
        <w:rPr>
          <w:rFonts w:hint="eastAsia" w:ascii="仿宋_GB2312" w:hAnsi="仿宋_GB2312" w:eastAsia="仿宋_GB2312" w:cs="仿宋_GB2312"/>
          <w:color w:val="auto"/>
          <w:sz w:val="32"/>
          <w:szCs w:val="32"/>
          <w:highlight w:val="none"/>
          <w:lang w:eastAsia="zh"/>
        </w:rPr>
      </w:pPr>
    </w:p>
    <w:p w14:paraId="17EE1CA1">
      <w:pPr>
        <w:pageBreakBefore w:val="0"/>
        <w:widowControl/>
        <w:numPr>
          <w:ilvl w:val="0"/>
          <w:numId w:val="0"/>
        </w:numPr>
        <w:kinsoku w:val="0"/>
        <w:wordWrap/>
        <w:topLinePunct w:val="0"/>
        <w:autoSpaceDE/>
        <w:autoSpaceDN/>
        <w:bidi w:val="0"/>
        <w:adjustRightInd w:val="0"/>
        <w:snapToGrid w:val="0"/>
        <w:spacing w:line="560" w:lineRule="exact"/>
        <w:ind w:firstLine="0" w:firstLineChars="0"/>
        <w:jc w:val="center"/>
        <w:textAlignment w:val="baseline"/>
        <w:outlineLvl w:val="0"/>
        <w:rPr>
          <w:rFonts w:hint="eastAsia" w:ascii="仿宋_GB2312" w:hAnsi="仿宋_GB2312" w:eastAsia="仿宋_GB2312" w:cs="仿宋_GB2312"/>
          <w:color w:val="auto"/>
          <w:sz w:val="32"/>
          <w:szCs w:val="32"/>
          <w:highlight w:val="none"/>
          <w:lang w:eastAsia="zh"/>
        </w:rPr>
      </w:pPr>
    </w:p>
    <w:p w14:paraId="6BA0D59C">
      <w:pPr>
        <w:pageBreakBefore w:val="0"/>
        <w:widowControl/>
        <w:numPr>
          <w:ilvl w:val="0"/>
          <w:numId w:val="0"/>
        </w:numPr>
        <w:kinsoku w:val="0"/>
        <w:wordWrap/>
        <w:topLinePunct w:val="0"/>
        <w:autoSpaceDE/>
        <w:autoSpaceDN/>
        <w:bidi w:val="0"/>
        <w:adjustRightInd w:val="0"/>
        <w:snapToGrid w:val="0"/>
        <w:spacing w:line="560" w:lineRule="exact"/>
        <w:ind w:firstLine="0" w:firstLineChars="0"/>
        <w:jc w:val="center"/>
        <w:textAlignment w:val="baseline"/>
        <w:outlineLvl w:val="0"/>
        <w:rPr>
          <w:rFonts w:hint="eastAsia" w:ascii="仿宋_GB2312" w:hAnsi="仿宋_GB2312" w:eastAsia="仿宋_GB2312" w:cs="仿宋_GB2312"/>
          <w:color w:val="auto"/>
          <w:sz w:val="32"/>
          <w:szCs w:val="32"/>
          <w:highlight w:val="none"/>
          <w:lang w:eastAsia="zh"/>
        </w:rPr>
      </w:pPr>
    </w:p>
    <w:p w14:paraId="5E926D6D">
      <w:pPr>
        <w:pageBreakBefore w:val="0"/>
        <w:widowControl/>
        <w:numPr>
          <w:ilvl w:val="0"/>
          <w:numId w:val="0"/>
        </w:numPr>
        <w:kinsoku w:val="0"/>
        <w:wordWrap/>
        <w:topLinePunct w:val="0"/>
        <w:autoSpaceDE/>
        <w:autoSpaceDN/>
        <w:bidi w:val="0"/>
        <w:adjustRightInd w:val="0"/>
        <w:snapToGrid w:val="0"/>
        <w:spacing w:line="560" w:lineRule="exact"/>
        <w:ind w:firstLine="0" w:firstLineChars="0"/>
        <w:jc w:val="center"/>
        <w:textAlignment w:val="baseline"/>
        <w:outlineLvl w:val="0"/>
        <w:rPr>
          <w:rFonts w:hint="eastAsia" w:ascii="仿宋_GB2312" w:hAnsi="仿宋_GB2312" w:eastAsia="仿宋_GB2312" w:cs="仿宋_GB2312"/>
          <w:color w:val="auto"/>
          <w:sz w:val="32"/>
          <w:szCs w:val="32"/>
          <w:highlight w:val="none"/>
          <w:lang w:eastAsia="zh"/>
        </w:rPr>
      </w:pPr>
    </w:p>
    <w:p w14:paraId="22E0BB42">
      <w:pPr>
        <w:pageBreakBefore w:val="0"/>
        <w:widowControl/>
        <w:numPr>
          <w:ilvl w:val="0"/>
          <w:numId w:val="0"/>
        </w:numPr>
        <w:kinsoku w:val="0"/>
        <w:wordWrap/>
        <w:topLinePunct w:val="0"/>
        <w:autoSpaceDE/>
        <w:autoSpaceDN/>
        <w:bidi w:val="0"/>
        <w:adjustRightInd w:val="0"/>
        <w:snapToGrid w:val="0"/>
        <w:spacing w:line="560" w:lineRule="exact"/>
        <w:ind w:firstLine="0" w:firstLineChars="0"/>
        <w:jc w:val="center"/>
        <w:textAlignment w:val="baseline"/>
        <w:outlineLvl w:val="0"/>
        <w:rPr>
          <w:rFonts w:hint="eastAsia" w:ascii="仿宋_GB2312" w:hAnsi="仿宋_GB2312" w:eastAsia="仿宋_GB2312" w:cs="仿宋_GB2312"/>
          <w:color w:val="auto"/>
          <w:sz w:val="32"/>
          <w:szCs w:val="32"/>
          <w:highlight w:val="none"/>
          <w:lang w:eastAsia="zh"/>
        </w:rPr>
      </w:pPr>
    </w:p>
    <w:p w14:paraId="0E544664">
      <w:pPr>
        <w:pageBreakBefore w:val="0"/>
        <w:widowControl/>
        <w:numPr>
          <w:ilvl w:val="0"/>
          <w:numId w:val="0"/>
        </w:numPr>
        <w:kinsoku w:val="0"/>
        <w:wordWrap/>
        <w:topLinePunct w:val="0"/>
        <w:autoSpaceDE/>
        <w:autoSpaceDN/>
        <w:bidi w:val="0"/>
        <w:adjustRightInd w:val="0"/>
        <w:snapToGrid w:val="0"/>
        <w:spacing w:line="560" w:lineRule="exact"/>
        <w:ind w:firstLine="0" w:firstLineChars="0"/>
        <w:jc w:val="center"/>
        <w:textAlignment w:val="baseline"/>
        <w:outlineLvl w:val="0"/>
        <w:rPr>
          <w:rFonts w:hint="eastAsia" w:ascii="仿宋_GB2312" w:hAnsi="仿宋_GB2312" w:eastAsia="仿宋_GB2312" w:cs="仿宋_GB2312"/>
          <w:color w:val="auto"/>
          <w:sz w:val="32"/>
          <w:szCs w:val="32"/>
          <w:highlight w:val="none"/>
          <w:lang w:eastAsia="zh"/>
        </w:rPr>
      </w:pPr>
    </w:p>
    <w:p w14:paraId="0E12300D">
      <w:pPr>
        <w:pageBreakBefore w:val="0"/>
        <w:widowControl/>
        <w:numPr>
          <w:ilvl w:val="0"/>
          <w:numId w:val="0"/>
        </w:numPr>
        <w:kinsoku w:val="0"/>
        <w:wordWrap/>
        <w:topLinePunct w:val="0"/>
        <w:autoSpaceDE/>
        <w:autoSpaceDN/>
        <w:bidi w:val="0"/>
        <w:adjustRightInd w:val="0"/>
        <w:snapToGrid w:val="0"/>
        <w:spacing w:line="560" w:lineRule="exact"/>
        <w:ind w:firstLine="0" w:firstLineChars="0"/>
        <w:jc w:val="center"/>
        <w:textAlignment w:val="baseline"/>
        <w:outlineLvl w:val="0"/>
        <w:rPr>
          <w:rFonts w:hint="eastAsia" w:ascii="仿宋_GB2312" w:hAnsi="仿宋_GB2312" w:eastAsia="仿宋_GB2312" w:cs="仿宋_GB2312"/>
          <w:color w:val="auto"/>
          <w:sz w:val="32"/>
          <w:szCs w:val="32"/>
          <w:highlight w:val="none"/>
          <w:lang w:eastAsia="zh"/>
        </w:rPr>
      </w:pPr>
    </w:p>
    <w:p w14:paraId="18B4E9F9">
      <w:pPr>
        <w:pageBreakBefore w:val="0"/>
        <w:widowControl/>
        <w:numPr>
          <w:ilvl w:val="0"/>
          <w:numId w:val="0"/>
        </w:numPr>
        <w:kinsoku w:val="0"/>
        <w:wordWrap/>
        <w:topLinePunct w:val="0"/>
        <w:autoSpaceDE/>
        <w:autoSpaceDN/>
        <w:bidi w:val="0"/>
        <w:adjustRightInd w:val="0"/>
        <w:snapToGrid w:val="0"/>
        <w:spacing w:line="560" w:lineRule="exact"/>
        <w:ind w:firstLine="0" w:firstLineChars="0"/>
        <w:jc w:val="center"/>
        <w:textAlignment w:val="baseline"/>
        <w:outlineLvl w:val="0"/>
        <w:rPr>
          <w:rFonts w:hint="eastAsia" w:ascii="仿宋_GB2312" w:hAnsi="仿宋_GB2312" w:eastAsia="仿宋_GB2312" w:cs="仿宋_GB2312"/>
          <w:color w:val="auto"/>
          <w:sz w:val="32"/>
          <w:szCs w:val="32"/>
          <w:highlight w:val="none"/>
          <w:lang w:eastAsia="zh"/>
        </w:rPr>
      </w:pPr>
    </w:p>
    <w:p w14:paraId="4FBABF04">
      <w:pPr>
        <w:pageBreakBefore w:val="0"/>
        <w:widowControl/>
        <w:numPr>
          <w:ilvl w:val="0"/>
          <w:numId w:val="0"/>
        </w:numPr>
        <w:kinsoku w:val="0"/>
        <w:wordWrap/>
        <w:topLinePunct w:val="0"/>
        <w:autoSpaceDE/>
        <w:autoSpaceDN/>
        <w:bidi w:val="0"/>
        <w:adjustRightInd w:val="0"/>
        <w:snapToGrid w:val="0"/>
        <w:spacing w:line="560" w:lineRule="exact"/>
        <w:ind w:firstLine="0" w:firstLineChars="0"/>
        <w:jc w:val="center"/>
        <w:textAlignment w:val="baseline"/>
        <w:outlineLvl w:val="0"/>
        <w:rPr>
          <w:rFonts w:hint="eastAsia" w:ascii="仿宋_GB2312" w:hAnsi="仿宋_GB2312" w:eastAsia="仿宋_GB2312" w:cs="仿宋_GB2312"/>
          <w:color w:val="auto"/>
          <w:sz w:val="32"/>
          <w:szCs w:val="32"/>
          <w:highlight w:val="none"/>
          <w:lang w:eastAsia="zh"/>
        </w:rPr>
      </w:pPr>
    </w:p>
    <w:p w14:paraId="340A92D1">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5D15C815">
      <w:pPr>
        <w:keepNext w:val="0"/>
        <w:keepLines w:val="0"/>
        <w:pageBreakBefore w:val="0"/>
        <w:widowControl w:val="0"/>
        <w:kinsoku/>
        <w:wordWrap/>
        <w:overflowPunct/>
        <w:topLinePunct w:val="0"/>
        <w:autoSpaceDE/>
        <w:autoSpaceDN/>
        <w:bidi w:val="0"/>
        <w:adjustRightInd/>
        <w:snapToGrid/>
        <w:spacing w:beforeLines="0" w:afterLines="0" w:line="560" w:lineRule="exact"/>
        <w:ind w:firstLine="880" w:firstLineChars="200"/>
        <w:jc w:val="center"/>
        <w:textAlignment w:val="auto"/>
        <w:outlineLvl w:val="0"/>
        <w:rPr>
          <w:rStyle w:val="33"/>
          <w:rFonts w:hint="eastAsia" w:ascii="方正小标宋简体" w:hAnsi="黑体" w:eastAsia="方正小标宋简体" w:cs="宋体"/>
          <w:b w:val="0"/>
          <w:bCs w:val="0"/>
          <w:color w:val="auto"/>
          <w:kern w:val="0"/>
          <w:sz w:val="44"/>
          <w:highlight w:val="none"/>
          <w:lang w:val="en-US" w:eastAsia="zh-CN"/>
        </w:rPr>
      </w:pPr>
      <w:r>
        <w:rPr>
          <w:rStyle w:val="33"/>
          <w:rFonts w:hint="eastAsia" w:ascii="方正小标宋简体" w:hAnsi="黑体" w:eastAsia="方正小标宋简体" w:cs="宋体"/>
          <w:b w:val="0"/>
          <w:bCs w:val="0"/>
          <w:color w:val="auto"/>
          <w:kern w:val="0"/>
          <w:sz w:val="44"/>
          <w:highlight w:val="none"/>
          <w:lang w:val="en-US" w:eastAsia="zh"/>
        </w:rPr>
        <w:t xml:space="preserve">第三章 </w:t>
      </w:r>
      <w:bookmarkStart w:id="12" w:name="_Toc23453"/>
      <w:bookmarkStart w:id="13" w:name="_Toc71877518"/>
      <w:bookmarkStart w:id="14" w:name="_Toc29184"/>
      <w:r>
        <w:rPr>
          <w:rStyle w:val="33"/>
          <w:rFonts w:hint="eastAsia" w:ascii="方正小标宋简体" w:hAnsi="黑体" w:eastAsia="方正小标宋简体" w:cs="宋体"/>
          <w:b w:val="0"/>
          <w:bCs w:val="0"/>
          <w:color w:val="auto"/>
          <w:kern w:val="0"/>
          <w:sz w:val="44"/>
          <w:highlight w:val="none"/>
          <w:lang w:val="en-US" w:eastAsia="zh-CN"/>
        </w:rPr>
        <w:t>服务内容及</w:t>
      </w:r>
      <w:r>
        <w:rPr>
          <w:rStyle w:val="33"/>
          <w:rFonts w:hint="eastAsia" w:ascii="方正小标宋简体" w:hAnsi="黑体" w:eastAsia="方正小标宋简体" w:cs="宋体"/>
          <w:b w:val="0"/>
          <w:bCs w:val="0"/>
          <w:color w:val="auto"/>
          <w:kern w:val="0"/>
          <w:sz w:val="44"/>
          <w:highlight w:val="none"/>
          <w:lang w:val="en-US" w:eastAsia="zh"/>
        </w:rPr>
        <w:t>要求</w:t>
      </w:r>
    </w:p>
    <w:p w14:paraId="280C34BD">
      <w:pPr>
        <w:pStyle w:val="22"/>
        <w:keepNext w:val="0"/>
        <w:keepLines w:val="0"/>
        <w:pageBreakBefore w:val="0"/>
        <w:widowControl w:val="0"/>
        <w:numPr>
          <w:ilvl w:val="0"/>
          <w:numId w:val="11"/>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黑体" w:hAnsi="黑体" w:eastAsia="黑体" w:cs="黑体"/>
          <w:b w:val="0"/>
          <w:bCs w:val="0"/>
          <w:color w:val="auto"/>
          <w:sz w:val="32"/>
          <w:szCs w:val="32"/>
          <w:highlight w:val="none"/>
          <w:lang w:val="en-US" w:eastAsia="zh" w:bidi="ar"/>
        </w:rPr>
      </w:pPr>
      <w:r>
        <w:rPr>
          <w:rFonts w:hint="eastAsia" w:ascii="黑体" w:hAnsi="黑体" w:eastAsia="黑体" w:cs="黑体"/>
          <w:b w:val="0"/>
          <w:bCs w:val="0"/>
          <w:color w:val="auto"/>
          <w:sz w:val="32"/>
          <w:szCs w:val="32"/>
          <w:highlight w:val="none"/>
          <w:lang w:val="en-US" w:eastAsia="zh" w:bidi="ar"/>
        </w:rPr>
        <w:t>服务内容</w:t>
      </w:r>
    </w:p>
    <w:p w14:paraId="1B4455B8">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_GB2312" w:hAnsi="仿宋_GB2312" w:eastAsia="仿宋_GB2312" w:cs="仿宋_GB2312"/>
          <w:b/>
          <w:bCs/>
          <w:color w:val="auto"/>
          <w:sz w:val="32"/>
          <w:szCs w:val="28"/>
        </w:rPr>
      </w:pPr>
      <w:r>
        <w:rPr>
          <w:rFonts w:hint="eastAsia" w:ascii="楷体_GB2312" w:hAnsi="楷体_GB2312" w:eastAsia="楷体_GB2312" w:cs="楷体_GB2312"/>
          <w:b/>
          <w:bCs/>
          <w:color w:val="auto"/>
          <w:sz w:val="32"/>
          <w:szCs w:val="32"/>
          <w:highlight w:val="none"/>
          <w:lang w:val="en-US" w:eastAsia="zh-CN"/>
        </w:rPr>
        <w:t>两化融合</w:t>
      </w:r>
      <w:bookmarkStart w:id="15" w:name="_Hlk19541224"/>
    </w:p>
    <w:bookmarkEnd w:id="15"/>
    <w:p w14:paraId="6B11CA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color w:val="auto"/>
          <w:sz w:val="32"/>
          <w:szCs w:val="28"/>
          <w:lang w:eastAsia="zh-CN"/>
        </w:rPr>
      </w:pPr>
      <w:r>
        <w:rPr>
          <w:rFonts w:hint="eastAsia" w:ascii="仿宋_GB2312" w:hAnsi="仿宋_GB2312" w:eastAsia="仿宋_GB2312" w:cs="仿宋_GB2312"/>
          <w:color w:val="auto"/>
          <w:sz w:val="32"/>
          <w:szCs w:val="28"/>
        </w:rPr>
        <w:t>根据《信息化和工业化融合管理体系要求》，为四川九洲投资控股集团有限公司</w:t>
      </w:r>
      <w:r>
        <w:rPr>
          <w:rFonts w:hint="eastAsia" w:ascii="仿宋_GB2312" w:hAnsi="仿宋_GB2312" w:eastAsia="仿宋_GB2312" w:cs="仿宋_GB2312"/>
          <w:color w:val="auto"/>
          <w:sz w:val="32"/>
          <w:szCs w:val="28"/>
          <w:lang w:val="en-US" w:eastAsia="zh-CN"/>
        </w:rPr>
        <w:t>(下文简称“九洲集团”)</w:t>
      </w:r>
      <w:r>
        <w:rPr>
          <w:rFonts w:hint="eastAsia" w:ascii="仿宋_GB2312" w:hAnsi="仿宋_GB2312" w:eastAsia="仿宋_GB2312" w:cs="仿宋_GB2312"/>
          <w:color w:val="auto"/>
          <w:sz w:val="32"/>
          <w:szCs w:val="28"/>
          <w:lang w:eastAsia="zh-CN"/>
        </w:rPr>
        <w:t>、四川九州电子科技股份有限公司（</w:t>
      </w:r>
      <w:r>
        <w:rPr>
          <w:rFonts w:hint="eastAsia" w:ascii="仿宋_GB2312" w:hAnsi="仿宋_GB2312" w:eastAsia="仿宋_GB2312" w:cs="仿宋_GB2312"/>
          <w:color w:val="auto"/>
          <w:sz w:val="32"/>
          <w:szCs w:val="28"/>
          <w:lang w:val="en-US" w:eastAsia="zh-CN"/>
        </w:rPr>
        <w:t>下文简称“四川九州科技”</w:t>
      </w:r>
      <w:r>
        <w:rPr>
          <w:rFonts w:hint="eastAsia" w:ascii="仿宋_GB2312" w:hAnsi="仿宋_GB2312" w:eastAsia="仿宋_GB2312" w:cs="仿宋_GB2312"/>
          <w:color w:val="auto"/>
          <w:sz w:val="32"/>
          <w:szCs w:val="28"/>
          <w:lang w:eastAsia="zh-CN"/>
        </w:rPr>
        <w:t>）</w:t>
      </w:r>
      <w:r>
        <w:rPr>
          <w:rFonts w:hint="eastAsia" w:ascii="仿宋_GB2312" w:hAnsi="仿宋_GB2312" w:eastAsia="仿宋_GB2312" w:cs="仿宋_GB2312"/>
          <w:color w:val="auto"/>
          <w:sz w:val="32"/>
          <w:szCs w:val="28"/>
          <w:lang w:val="en-US" w:eastAsia="zh-CN"/>
        </w:rPr>
        <w:t>提供咨询和评估服务，</w:t>
      </w:r>
      <w:r>
        <w:rPr>
          <w:rFonts w:hint="eastAsia" w:ascii="仿宋_GB2312" w:hAnsi="仿宋_GB2312" w:eastAsia="仿宋_GB2312" w:cs="仿宋_GB2312"/>
          <w:color w:val="auto"/>
          <w:sz w:val="32"/>
          <w:szCs w:val="28"/>
        </w:rPr>
        <w:t>帮助建立两化融合管理体系（包括但不限于调研评估与诊断、策划体系文件编写及发布、帮助实施等），辅导</w:t>
      </w:r>
      <w:r>
        <w:rPr>
          <w:rFonts w:hint="eastAsia" w:ascii="仿宋_GB2312" w:hAnsi="仿宋_GB2312" w:eastAsia="仿宋_GB2312" w:cs="仿宋_GB2312"/>
          <w:color w:val="auto"/>
          <w:sz w:val="32"/>
          <w:szCs w:val="28"/>
          <w:lang w:val="en-US" w:eastAsia="zh-CN"/>
        </w:rPr>
        <w:t>并支撑九洲集团</w:t>
      </w:r>
      <w:r>
        <w:rPr>
          <w:rFonts w:hint="eastAsia" w:ascii="仿宋_GB2312" w:hAnsi="仿宋_GB2312" w:eastAsia="仿宋_GB2312" w:cs="仿宋_GB2312"/>
          <w:color w:val="auto"/>
          <w:sz w:val="32"/>
          <w:szCs w:val="28"/>
          <w:lang w:eastAsia="zh-CN"/>
        </w:rPr>
        <w:t>、四川九州科技</w:t>
      </w:r>
      <w:r>
        <w:rPr>
          <w:rFonts w:hint="eastAsia" w:ascii="仿宋_GB2312" w:hAnsi="仿宋_GB2312" w:eastAsia="仿宋_GB2312" w:cs="仿宋_GB2312"/>
          <w:color w:val="auto"/>
          <w:sz w:val="32"/>
          <w:szCs w:val="28"/>
          <w:lang w:val="en-US" w:eastAsia="zh-CN"/>
        </w:rPr>
        <w:t>在2025年12月31日前取得</w:t>
      </w:r>
      <w:r>
        <w:rPr>
          <w:rFonts w:hint="eastAsia" w:ascii="仿宋_GB2312" w:hAnsi="仿宋_GB2312" w:eastAsia="仿宋_GB2312" w:cs="仿宋_GB2312"/>
          <w:color w:val="auto"/>
          <w:sz w:val="32"/>
          <w:szCs w:val="28"/>
        </w:rPr>
        <w:t>两化融合管理体系评定证书</w:t>
      </w:r>
      <w:r>
        <w:rPr>
          <w:rFonts w:hint="eastAsia" w:ascii="仿宋_GB2312" w:hAnsi="仿宋_GB2312" w:eastAsia="仿宋_GB2312" w:cs="仿宋_GB2312"/>
          <w:color w:val="auto"/>
          <w:sz w:val="32"/>
          <w:szCs w:val="28"/>
          <w:lang w:eastAsia="zh-CN"/>
        </w:rPr>
        <w:t>（</w:t>
      </w:r>
      <w:r>
        <w:rPr>
          <w:rFonts w:hint="eastAsia" w:ascii="仿宋_GB2312" w:hAnsi="仿宋_GB2312" w:eastAsia="仿宋_GB2312" w:cs="仿宋_GB2312"/>
          <w:color w:val="auto"/>
          <w:sz w:val="32"/>
          <w:szCs w:val="28"/>
        </w:rPr>
        <w:t>AAA级</w:t>
      </w:r>
      <w:r>
        <w:rPr>
          <w:rFonts w:hint="eastAsia" w:ascii="仿宋_GB2312" w:hAnsi="仿宋_GB2312" w:eastAsia="仿宋_GB2312" w:cs="仿宋_GB2312"/>
          <w:color w:val="auto"/>
          <w:sz w:val="32"/>
          <w:szCs w:val="28"/>
          <w:lang w:eastAsia="zh-CN"/>
        </w:rPr>
        <w:t>）。</w:t>
      </w:r>
    </w:p>
    <w:tbl>
      <w:tblPr>
        <w:tblStyle w:val="28"/>
        <w:tblW w:w="90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3"/>
        <w:gridCol w:w="4270"/>
        <w:gridCol w:w="3389"/>
      </w:tblGrid>
      <w:tr w14:paraId="1D263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dxa"/>
          </w:tcPr>
          <w:p w14:paraId="6D0753E8">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color w:val="auto"/>
                <w:sz w:val="28"/>
                <w:szCs w:val="28"/>
                <w:vertAlign w:val="baseline"/>
                <w:lang w:val="en-US" w:eastAsia="zh-CN"/>
              </w:rPr>
              <w:t>项目阶段</w:t>
            </w:r>
          </w:p>
        </w:tc>
        <w:tc>
          <w:tcPr>
            <w:tcW w:w="4270" w:type="dxa"/>
          </w:tcPr>
          <w:p w14:paraId="260A59A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color w:val="auto"/>
                <w:sz w:val="28"/>
                <w:szCs w:val="28"/>
                <w:vertAlign w:val="baseline"/>
                <w:lang w:val="en-US" w:eastAsia="zh-CN"/>
              </w:rPr>
              <w:t>工作内容</w:t>
            </w:r>
          </w:p>
        </w:tc>
        <w:tc>
          <w:tcPr>
            <w:tcW w:w="3389" w:type="dxa"/>
          </w:tcPr>
          <w:p w14:paraId="22DB8A94">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color w:val="auto"/>
                <w:sz w:val="28"/>
                <w:szCs w:val="28"/>
                <w:vertAlign w:val="baseline"/>
                <w:lang w:val="en-US" w:eastAsia="zh-CN"/>
              </w:rPr>
              <w:t>交付物</w:t>
            </w:r>
          </w:p>
        </w:tc>
      </w:tr>
      <w:tr w14:paraId="476F4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dxa"/>
            <w:vAlign w:val="center"/>
          </w:tcPr>
          <w:p w14:paraId="5A60825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pacing w:val="0"/>
                <w:position w:val="0"/>
                <w:sz w:val="22"/>
                <w:szCs w:val="22"/>
                <w:lang w:val="en-US" w:eastAsia="zh-CN"/>
              </w:rPr>
              <w:t>项目启动</w:t>
            </w:r>
          </w:p>
        </w:tc>
        <w:tc>
          <w:tcPr>
            <w:tcW w:w="4270" w:type="dxa"/>
            <w:vAlign w:val="center"/>
          </w:tcPr>
          <w:p w14:paraId="69FE105A">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pacing w:val="0"/>
                <w:position w:val="0"/>
                <w:sz w:val="22"/>
                <w:szCs w:val="22"/>
              </w:rPr>
              <w:t>启动两化融合管理体系贯标咨询项目，组织相关部门召开企业两化融合管理体系贯标项目启动会议，制订两化融合贯标项目实施方案</w:t>
            </w:r>
            <w:r>
              <w:rPr>
                <w:rFonts w:hint="eastAsia" w:ascii="仿宋_GB2312" w:hAnsi="仿宋_GB2312" w:eastAsia="仿宋_GB2312" w:cs="仿宋_GB2312"/>
                <w:color w:val="auto"/>
                <w:spacing w:val="0"/>
                <w:position w:val="0"/>
                <w:sz w:val="22"/>
                <w:szCs w:val="22"/>
                <w:lang w:eastAsia="zh-CN"/>
              </w:rPr>
              <w:t>。</w:t>
            </w:r>
          </w:p>
        </w:tc>
        <w:tc>
          <w:tcPr>
            <w:tcW w:w="3389" w:type="dxa"/>
            <w:vAlign w:val="center"/>
          </w:tcPr>
          <w:p w14:paraId="52E2480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两化融合贯标工作实施方案</w:t>
            </w:r>
          </w:p>
        </w:tc>
      </w:tr>
      <w:tr w14:paraId="0C7E9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dxa"/>
            <w:vAlign w:val="center"/>
          </w:tcPr>
          <w:p w14:paraId="13B2E244">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pacing w:val="0"/>
                <w:position w:val="0"/>
                <w:sz w:val="22"/>
                <w:szCs w:val="22"/>
                <w:lang w:val="en-US" w:eastAsia="zh-CN"/>
              </w:rPr>
              <w:t>项目调研及诊断</w:t>
            </w:r>
          </w:p>
        </w:tc>
        <w:tc>
          <w:tcPr>
            <w:tcW w:w="4270" w:type="dxa"/>
            <w:vAlign w:val="center"/>
          </w:tcPr>
          <w:p w14:paraId="5A5B0789">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pacing w:val="0"/>
                <w:position w:val="0"/>
                <w:sz w:val="22"/>
                <w:szCs w:val="22"/>
                <w:lang w:val="en-US" w:eastAsia="zh-CN"/>
              </w:rPr>
              <w:t>开展</w:t>
            </w:r>
            <w:r>
              <w:rPr>
                <w:rFonts w:hint="eastAsia" w:ascii="仿宋_GB2312" w:hAnsi="仿宋_GB2312" w:eastAsia="仿宋_GB2312" w:cs="仿宋_GB2312"/>
                <w:color w:val="auto"/>
                <w:spacing w:val="0"/>
                <w:position w:val="0"/>
                <w:sz w:val="22"/>
                <w:szCs w:val="22"/>
              </w:rPr>
              <w:t>两化融合现状调研、开展数字化转型诊断为管理体系相关目标</w:t>
            </w:r>
            <w:r>
              <w:rPr>
                <w:rFonts w:hint="eastAsia" w:ascii="仿宋_GB2312" w:hAnsi="仿宋_GB2312" w:eastAsia="仿宋_GB2312" w:cs="仿宋_GB2312"/>
                <w:color w:val="auto"/>
                <w:spacing w:val="0"/>
                <w:position w:val="0"/>
                <w:sz w:val="22"/>
                <w:szCs w:val="22"/>
                <w:lang w:eastAsia="zh-CN"/>
              </w:rPr>
              <w:t>、</w:t>
            </w:r>
            <w:r>
              <w:rPr>
                <w:rFonts w:hint="eastAsia" w:ascii="仿宋_GB2312" w:hAnsi="仿宋_GB2312" w:eastAsia="仿宋_GB2312" w:cs="仿宋_GB2312"/>
                <w:color w:val="auto"/>
                <w:spacing w:val="0"/>
                <w:position w:val="0"/>
                <w:sz w:val="22"/>
                <w:szCs w:val="22"/>
              </w:rPr>
              <w:t>方针的确定与文件编写提供基础；</w:t>
            </w:r>
          </w:p>
        </w:tc>
        <w:tc>
          <w:tcPr>
            <w:tcW w:w="3389" w:type="dxa"/>
            <w:vAlign w:val="center"/>
          </w:tcPr>
          <w:p w14:paraId="247352F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两化融合访谈调研计划</w:t>
            </w:r>
          </w:p>
          <w:p w14:paraId="653E8BCA">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两化融合调研分析报告</w:t>
            </w:r>
          </w:p>
          <w:p w14:paraId="123B09D3">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kern w:val="0"/>
                <w:sz w:val="22"/>
                <w:szCs w:val="22"/>
                <w:lang w:val="en-US" w:eastAsia="zh-CN"/>
              </w:rPr>
              <w:t>数字化转型诊断报告</w:t>
            </w:r>
          </w:p>
        </w:tc>
      </w:tr>
      <w:tr w14:paraId="37D2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dxa"/>
            <w:vAlign w:val="center"/>
          </w:tcPr>
          <w:p w14:paraId="3AC266F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pacing w:val="0"/>
                <w:position w:val="0"/>
                <w:sz w:val="22"/>
                <w:szCs w:val="22"/>
              </w:rPr>
              <w:t>体系建立</w:t>
            </w:r>
          </w:p>
        </w:tc>
        <w:tc>
          <w:tcPr>
            <w:tcW w:w="4270" w:type="dxa"/>
            <w:vAlign w:val="center"/>
          </w:tcPr>
          <w:p w14:paraId="65E22CE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pacing w:val="0"/>
                <w:position w:val="0"/>
                <w:sz w:val="22"/>
                <w:szCs w:val="22"/>
              </w:rPr>
              <w:t>完成贯标标准培训</w:t>
            </w:r>
            <w:r>
              <w:rPr>
                <w:rFonts w:hint="eastAsia" w:ascii="仿宋_GB2312" w:hAnsi="仿宋_GB2312" w:eastAsia="仿宋_GB2312" w:cs="仿宋_GB2312"/>
                <w:color w:val="auto"/>
                <w:spacing w:val="0"/>
                <w:position w:val="0"/>
                <w:sz w:val="22"/>
                <w:szCs w:val="22"/>
                <w:lang w:eastAsia="zh-CN"/>
              </w:rPr>
              <w:t>；</w:t>
            </w:r>
            <w:r>
              <w:rPr>
                <w:rFonts w:hint="eastAsia" w:ascii="仿宋_GB2312" w:hAnsi="仿宋_GB2312" w:eastAsia="仿宋_GB2312" w:cs="仿宋_GB2312"/>
                <w:color w:val="auto"/>
                <w:spacing w:val="0"/>
                <w:position w:val="0"/>
                <w:sz w:val="22"/>
                <w:szCs w:val="22"/>
              </w:rPr>
              <w:t>成立文件编写小组，组织文件编写培训</w:t>
            </w:r>
            <w:r>
              <w:rPr>
                <w:rFonts w:hint="eastAsia" w:ascii="仿宋_GB2312" w:hAnsi="仿宋_GB2312" w:eastAsia="仿宋_GB2312" w:cs="仿宋_GB2312"/>
                <w:color w:val="auto"/>
                <w:spacing w:val="0"/>
                <w:position w:val="0"/>
                <w:sz w:val="22"/>
                <w:szCs w:val="22"/>
                <w:lang w:eastAsia="zh-CN"/>
              </w:rPr>
              <w:t>；</w:t>
            </w:r>
            <w:r>
              <w:rPr>
                <w:rFonts w:hint="eastAsia" w:ascii="仿宋_GB2312" w:hAnsi="仿宋_GB2312" w:eastAsia="仿宋_GB2312" w:cs="仿宋_GB2312"/>
                <w:color w:val="auto"/>
                <w:spacing w:val="0"/>
                <w:position w:val="0"/>
                <w:sz w:val="22"/>
                <w:szCs w:val="22"/>
              </w:rPr>
              <w:t>完成管理手册</w:t>
            </w:r>
            <w:r>
              <w:rPr>
                <w:rFonts w:hint="eastAsia" w:ascii="仿宋_GB2312" w:hAnsi="仿宋_GB2312" w:eastAsia="仿宋_GB2312" w:cs="仿宋_GB2312"/>
                <w:color w:val="auto"/>
                <w:spacing w:val="0"/>
                <w:position w:val="0"/>
                <w:sz w:val="22"/>
                <w:szCs w:val="22"/>
                <w:lang w:eastAsia="zh-CN"/>
              </w:rPr>
              <w:t>、</w:t>
            </w:r>
            <w:r>
              <w:rPr>
                <w:rFonts w:hint="eastAsia" w:ascii="仿宋_GB2312" w:hAnsi="仿宋_GB2312" w:eastAsia="仿宋_GB2312" w:cs="仿宋_GB2312"/>
                <w:color w:val="auto"/>
                <w:spacing w:val="0"/>
                <w:position w:val="0"/>
                <w:sz w:val="22"/>
                <w:szCs w:val="22"/>
              </w:rPr>
              <w:t>主要程序文件和体系文件的编写；并开展 体系文件评审和修订、审定和发布。</w:t>
            </w:r>
          </w:p>
        </w:tc>
        <w:tc>
          <w:tcPr>
            <w:tcW w:w="3389" w:type="dxa"/>
            <w:vAlign w:val="center"/>
          </w:tcPr>
          <w:p w14:paraId="49B4EC2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两化融合管理手册</w:t>
            </w:r>
          </w:p>
          <w:p w14:paraId="68785999">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两化融合程序文件</w:t>
            </w:r>
          </w:p>
          <w:p w14:paraId="156B3167">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两化融合方针</w:t>
            </w:r>
          </w:p>
        </w:tc>
      </w:tr>
      <w:tr w14:paraId="3B95E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dxa"/>
            <w:vAlign w:val="center"/>
          </w:tcPr>
          <w:p w14:paraId="7E2F8AB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pacing w:val="0"/>
                <w:position w:val="0"/>
                <w:sz w:val="22"/>
                <w:szCs w:val="22"/>
              </w:rPr>
              <w:t>体系运行</w:t>
            </w:r>
          </w:p>
        </w:tc>
        <w:tc>
          <w:tcPr>
            <w:tcW w:w="4270" w:type="dxa"/>
            <w:vAlign w:val="center"/>
          </w:tcPr>
          <w:p w14:paraId="346E7AED">
            <w:pPr>
              <w:keepNext w:val="0"/>
              <w:keepLines w:val="0"/>
              <w:pageBreakBefore w:val="0"/>
              <w:widowControl/>
              <w:numPr>
                <w:ilvl w:val="0"/>
                <w:numId w:val="13"/>
              </w:numPr>
              <w:suppressLineNumbers w:val="0"/>
              <w:kinsoku/>
              <w:wordWrap/>
              <w:overflowPunct/>
              <w:topLinePunct w:val="0"/>
              <w:autoSpaceDE w:val="0"/>
              <w:autoSpaceDN w:val="0"/>
              <w:bidi w:val="0"/>
              <w:adjustRightInd/>
              <w:snapToGrid/>
              <w:spacing w:before="0" w:beforeAutospacing="0" w:after="0" w:afterAutospacing="0" w:line="560" w:lineRule="exact"/>
              <w:ind w:left="19" w:right="13" w:firstLine="14"/>
              <w:jc w:val="left"/>
              <w:textAlignment w:val="auto"/>
              <w:rPr>
                <w:rFonts w:hint="eastAsia" w:ascii="仿宋_GB2312" w:hAnsi="仿宋_GB2312" w:eastAsia="仿宋_GB2312" w:cs="仿宋_GB2312"/>
                <w:color w:val="auto"/>
                <w:spacing w:val="-1"/>
                <w:sz w:val="22"/>
                <w:szCs w:val="22"/>
                <w:lang w:eastAsia="zh-CN"/>
              </w:rPr>
            </w:pPr>
            <w:r>
              <w:rPr>
                <w:rFonts w:hint="eastAsia" w:ascii="仿宋_GB2312" w:hAnsi="仿宋_GB2312" w:eastAsia="仿宋_GB2312" w:cs="仿宋_GB2312"/>
                <w:color w:val="auto"/>
                <w:spacing w:val="8"/>
                <w:sz w:val="22"/>
                <w:szCs w:val="22"/>
              </w:rPr>
              <w:t>选</w:t>
            </w:r>
            <w:r>
              <w:rPr>
                <w:rFonts w:hint="eastAsia" w:ascii="仿宋_GB2312" w:hAnsi="仿宋_GB2312" w:eastAsia="仿宋_GB2312" w:cs="仿宋_GB2312"/>
                <w:color w:val="auto"/>
                <w:spacing w:val="5"/>
                <w:sz w:val="22"/>
                <w:szCs w:val="22"/>
              </w:rPr>
              <w:t>定两化融合管理体系的试运行环</w:t>
            </w:r>
            <w:r>
              <w:rPr>
                <w:rFonts w:hint="eastAsia" w:ascii="仿宋_GB2312" w:hAnsi="仿宋_GB2312" w:eastAsia="仿宋_GB2312" w:cs="仿宋_GB2312"/>
                <w:color w:val="auto"/>
                <w:spacing w:val="2"/>
                <w:sz w:val="22"/>
                <w:szCs w:val="22"/>
              </w:rPr>
              <w:t>节，组织</w:t>
            </w:r>
            <w:r>
              <w:rPr>
                <w:rFonts w:hint="eastAsia" w:ascii="仿宋_GB2312" w:hAnsi="仿宋_GB2312" w:eastAsia="仿宋_GB2312" w:cs="仿宋_GB2312"/>
                <w:color w:val="auto"/>
                <w:spacing w:val="1"/>
                <w:sz w:val="22"/>
                <w:szCs w:val="22"/>
              </w:rPr>
              <w:t>实施培训</w:t>
            </w:r>
            <w:r>
              <w:rPr>
                <w:rFonts w:hint="eastAsia" w:ascii="仿宋_GB2312" w:hAnsi="仿宋_GB2312" w:eastAsia="仿宋_GB2312" w:cs="仿宋_GB2312"/>
                <w:color w:val="auto"/>
                <w:spacing w:val="1"/>
                <w:sz w:val="22"/>
                <w:szCs w:val="22"/>
                <w:lang w:eastAsia="zh-CN"/>
              </w:rPr>
              <w:t>；</w:t>
            </w:r>
            <w:r>
              <w:rPr>
                <w:rFonts w:hint="eastAsia" w:ascii="仿宋_GB2312" w:hAnsi="仿宋_GB2312" w:eastAsia="仿宋_GB2312" w:cs="仿宋_GB2312"/>
                <w:color w:val="auto"/>
                <w:spacing w:val="1"/>
                <w:sz w:val="22"/>
                <w:szCs w:val="22"/>
              </w:rPr>
              <w:t>策划和挖掘符合企</w:t>
            </w:r>
            <w:r>
              <w:rPr>
                <w:rFonts w:hint="eastAsia" w:ascii="仿宋_GB2312" w:hAnsi="仿宋_GB2312" w:eastAsia="仿宋_GB2312" w:cs="仿宋_GB2312"/>
                <w:color w:val="auto"/>
                <w:spacing w:val="-3"/>
                <w:sz w:val="22"/>
                <w:szCs w:val="22"/>
              </w:rPr>
              <w:t>业发展战略的信息化环境下新型能力</w:t>
            </w:r>
            <w:r>
              <w:rPr>
                <w:rFonts w:hint="eastAsia" w:ascii="仿宋_GB2312" w:hAnsi="仿宋_GB2312" w:eastAsia="仿宋_GB2312" w:cs="仿宋_GB2312"/>
                <w:color w:val="auto"/>
                <w:spacing w:val="-1"/>
                <w:sz w:val="22"/>
                <w:szCs w:val="22"/>
                <w:lang w:eastAsia="zh-CN"/>
              </w:rPr>
              <w:t>；</w:t>
            </w:r>
          </w:p>
          <w:p w14:paraId="04CD545A">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pacing w:val="-6"/>
                <w:sz w:val="22"/>
                <w:szCs w:val="22"/>
              </w:rPr>
              <w:t>围绕</w:t>
            </w:r>
            <w:r>
              <w:rPr>
                <w:rFonts w:hint="eastAsia" w:ascii="仿宋_GB2312" w:hAnsi="仿宋_GB2312" w:eastAsia="仿宋_GB2312" w:cs="仿宋_GB2312"/>
                <w:color w:val="auto"/>
                <w:spacing w:val="-5"/>
                <w:sz w:val="22"/>
                <w:szCs w:val="22"/>
              </w:rPr>
              <w:t>试</w:t>
            </w:r>
            <w:r>
              <w:rPr>
                <w:rFonts w:hint="eastAsia" w:ascii="仿宋_GB2312" w:hAnsi="仿宋_GB2312" w:eastAsia="仿宋_GB2312" w:cs="仿宋_GB2312"/>
                <w:color w:val="auto"/>
                <w:spacing w:val="-3"/>
                <w:sz w:val="22"/>
                <w:szCs w:val="22"/>
              </w:rPr>
              <w:t>运行环节打造信息化环境下新</w:t>
            </w:r>
            <w:r>
              <w:rPr>
                <w:rFonts w:hint="eastAsia" w:ascii="仿宋_GB2312" w:hAnsi="仿宋_GB2312" w:eastAsia="仿宋_GB2312" w:cs="仿宋_GB2312"/>
                <w:color w:val="auto"/>
                <w:spacing w:val="2"/>
                <w:sz w:val="22"/>
                <w:szCs w:val="22"/>
              </w:rPr>
              <w:t>型能力的</w:t>
            </w:r>
            <w:r>
              <w:rPr>
                <w:rFonts w:hint="eastAsia" w:ascii="仿宋_GB2312" w:hAnsi="仿宋_GB2312" w:eastAsia="仿宋_GB2312" w:cs="仿宋_GB2312"/>
                <w:color w:val="auto"/>
                <w:spacing w:val="1"/>
                <w:sz w:val="22"/>
                <w:szCs w:val="22"/>
              </w:rPr>
              <w:t>各项活动，按照两化融合管理</w:t>
            </w:r>
            <w:r>
              <w:rPr>
                <w:rFonts w:hint="eastAsia" w:ascii="仿宋_GB2312" w:hAnsi="仿宋_GB2312" w:eastAsia="仿宋_GB2312" w:cs="仿宋_GB2312"/>
                <w:color w:val="auto"/>
                <w:spacing w:val="2"/>
                <w:sz w:val="22"/>
                <w:szCs w:val="22"/>
              </w:rPr>
              <w:t>体系明确</w:t>
            </w:r>
            <w:r>
              <w:rPr>
                <w:rFonts w:hint="eastAsia" w:ascii="仿宋_GB2312" w:hAnsi="仿宋_GB2312" w:eastAsia="仿宋_GB2312" w:cs="仿宋_GB2312"/>
                <w:color w:val="auto"/>
                <w:spacing w:val="1"/>
                <w:sz w:val="22"/>
                <w:szCs w:val="22"/>
              </w:rPr>
              <w:t>的管理职责、基础保障</w:t>
            </w:r>
            <w:r>
              <w:rPr>
                <w:rFonts w:hint="eastAsia" w:ascii="仿宋_GB2312" w:hAnsi="仿宋_GB2312" w:eastAsia="仿宋_GB2312" w:cs="仿宋_GB2312"/>
                <w:color w:val="auto"/>
                <w:spacing w:val="1"/>
                <w:sz w:val="22"/>
                <w:szCs w:val="22"/>
                <w:lang w:eastAsia="zh-CN"/>
              </w:rPr>
              <w:t>、</w:t>
            </w:r>
            <w:r>
              <w:rPr>
                <w:rFonts w:hint="eastAsia" w:ascii="仿宋_GB2312" w:hAnsi="仿宋_GB2312" w:eastAsia="仿宋_GB2312" w:cs="仿宋_GB2312"/>
                <w:color w:val="auto"/>
                <w:spacing w:val="1"/>
                <w:sz w:val="22"/>
                <w:szCs w:val="22"/>
              </w:rPr>
              <w:t>实施</w:t>
            </w:r>
            <w:r>
              <w:rPr>
                <w:rFonts w:hint="eastAsia" w:ascii="仿宋_GB2312" w:hAnsi="仿宋_GB2312" w:eastAsia="仿宋_GB2312" w:cs="仿宋_GB2312"/>
                <w:color w:val="auto"/>
                <w:sz w:val="22"/>
                <w:szCs w:val="22"/>
              </w:rPr>
              <w:t xml:space="preserve"> </w:t>
            </w:r>
            <w:r>
              <w:rPr>
                <w:rFonts w:hint="eastAsia" w:ascii="仿宋_GB2312" w:hAnsi="仿宋_GB2312" w:eastAsia="仿宋_GB2312" w:cs="仿宋_GB2312"/>
                <w:color w:val="auto"/>
                <w:spacing w:val="-6"/>
                <w:sz w:val="22"/>
                <w:szCs w:val="22"/>
              </w:rPr>
              <w:t>过程及评测</w:t>
            </w:r>
            <w:r>
              <w:rPr>
                <w:rFonts w:hint="eastAsia" w:ascii="仿宋_GB2312" w:hAnsi="仿宋_GB2312" w:eastAsia="仿宋_GB2312" w:cs="仿宋_GB2312"/>
                <w:color w:val="auto"/>
                <w:spacing w:val="-3"/>
                <w:sz w:val="22"/>
                <w:szCs w:val="22"/>
              </w:rPr>
              <w:t>与改进过程</w:t>
            </w:r>
            <w:r>
              <w:rPr>
                <w:rFonts w:hint="eastAsia" w:ascii="仿宋_GB2312" w:hAnsi="仿宋_GB2312" w:eastAsia="仿宋_GB2312" w:cs="仿宋_GB2312"/>
                <w:color w:val="auto"/>
                <w:spacing w:val="-3"/>
                <w:sz w:val="22"/>
                <w:szCs w:val="22"/>
                <w:lang w:eastAsia="zh-CN"/>
              </w:rPr>
              <w:t>，</w:t>
            </w:r>
            <w:r>
              <w:rPr>
                <w:rFonts w:hint="eastAsia" w:ascii="仿宋_GB2312" w:hAnsi="仿宋_GB2312" w:eastAsia="仿宋_GB2312" w:cs="仿宋_GB2312"/>
                <w:color w:val="auto"/>
                <w:spacing w:val="-3"/>
                <w:sz w:val="22"/>
                <w:szCs w:val="22"/>
              </w:rPr>
              <w:t>组织相关部门</w:t>
            </w:r>
            <w:r>
              <w:rPr>
                <w:rFonts w:hint="eastAsia" w:ascii="仿宋_GB2312" w:hAnsi="仿宋_GB2312" w:eastAsia="仿宋_GB2312" w:cs="仿宋_GB2312"/>
                <w:color w:val="auto"/>
                <w:spacing w:val="2"/>
                <w:sz w:val="22"/>
                <w:szCs w:val="22"/>
              </w:rPr>
              <w:t>严格</w:t>
            </w:r>
            <w:r>
              <w:rPr>
                <w:rFonts w:hint="eastAsia" w:ascii="仿宋_GB2312" w:hAnsi="仿宋_GB2312" w:eastAsia="仿宋_GB2312" w:cs="仿宋_GB2312"/>
                <w:color w:val="auto"/>
                <w:spacing w:val="1"/>
                <w:sz w:val="22"/>
                <w:szCs w:val="22"/>
              </w:rPr>
              <w:t>执行管理手册和程序文件的要求</w:t>
            </w:r>
            <w:r>
              <w:rPr>
                <w:rFonts w:hint="eastAsia" w:ascii="仿宋_GB2312" w:hAnsi="仿宋_GB2312" w:eastAsia="仿宋_GB2312" w:cs="仿宋_GB2312"/>
                <w:color w:val="auto"/>
                <w:spacing w:val="1"/>
                <w:sz w:val="22"/>
                <w:szCs w:val="22"/>
                <w:lang w:eastAsia="zh-CN"/>
              </w:rPr>
              <w:t>，</w:t>
            </w:r>
            <w:r>
              <w:rPr>
                <w:rFonts w:hint="eastAsia" w:ascii="仿宋_GB2312" w:hAnsi="仿宋_GB2312" w:eastAsia="仿宋_GB2312" w:cs="仿宋_GB2312"/>
                <w:color w:val="auto"/>
                <w:spacing w:val="-3"/>
                <w:sz w:val="22"/>
                <w:szCs w:val="22"/>
              </w:rPr>
              <w:t>完成三个月试运行相关的贯标活动</w:t>
            </w:r>
            <w:r>
              <w:rPr>
                <w:rFonts w:hint="eastAsia" w:ascii="仿宋_GB2312" w:hAnsi="仿宋_GB2312" w:eastAsia="仿宋_GB2312" w:cs="仿宋_GB2312"/>
                <w:color w:val="auto"/>
                <w:spacing w:val="-3"/>
                <w:sz w:val="22"/>
                <w:szCs w:val="22"/>
                <w:lang w:eastAsia="zh-CN"/>
              </w:rPr>
              <w:t>。</w:t>
            </w:r>
          </w:p>
        </w:tc>
        <w:tc>
          <w:tcPr>
            <w:tcW w:w="3389" w:type="dxa"/>
            <w:vAlign w:val="center"/>
          </w:tcPr>
          <w:p w14:paraId="453FC1F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两化融合管理体系试运行方案</w:t>
            </w:r>
          </w:p>
          <w:p w14:paraId="4E266B33">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pacing w:val="0"/>
                <w:position w:val="0"/>
                <w:sz w:val="22"/>
                <w:szCs w:val="22"/>
                <w:lang w:val="en-US" w:eastAsia="zh-CN"/>
              </w:rPr>
              <w:t>新型能力及目标指标相关文档</w:t>
            </w:r>
          </w:p>
          <w:p w14:paraId="0D25BD9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业务流程与优化方案</w:t>
            </w:r>
          </w:p>
          <w:p w14:paraId="3983BD5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数据开发利用方案</w:t>
            </w:r>
          </w:p>
          <w:p w14:paraId="3BE4DB24">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体系运行指导策划方案</w:t>
            </w:r>
          </w:p>
        </w:tc>
      </w:tr>
      <w:tr w14:paraId="735B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dxa"/>
            <w:vAlign w:val="center"/>
          </w:tcPr>
          <w:p w14:paraId="1EC652F9">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pacing w:val="0"/>
                <w:position w:val="0"/>
                <w:sz w:val="22"/>
                <w:szCs w:val="22"/>
              </w:rPr>
              <w:t>体系测评和改进</w:t>
            </w:r>
          </w:p>
        </w:tc>
        <w:tc>
          <w:tcPr>
            <w:tcW w:w="4270" w:type="dxa"/>
            <w:vAlign w:val="center"/>
          </w:tcPr>
          <w:p w14:paraId="0BF1C1AF">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60" w:lineRule="exact"/>
              <w:ind w:left="21" w:right="13" w:firstLine="1"/>
              <w:jc w:val="left"/>
              <w:textAlignment w:val="auto"/>
              <w:rPr>
                <w:rFonts w:hint="eastAsia" w:ascii="仿宋_GB2312" w:hAnsi="仿宋_GB2312" w:eastAsia="仿宋_GB2312" w:cs="仿宋_GB2312"/>
                <w:color w:val="auto"/>
                <w:spacing w:val="0"/>
                <w:sz w:val="22"/>
                <w:szCs w:val="22"/>
              </w:rPr>
            </w:pPr>
            <w:r>
              <w:rPr>
                <w:rFonts w:hint="eastAsia" w:ascii="仿宋_GB2312" w:hAnsi="仿宋_GB2312" w:eastAsia="仿宋_GB2312" w:cs="仿宋_GB2312"/>
                <w:color w:val="auto"/>
                <w:spacing w:val="0"/>
                <w:sz w:val="22"/>
                <w:szCs w:val="22"/>
              </w:rPr>
              <w:t>1、制订企业内部评审计划</w:t>
            </w:r>
            <w:r>
              <w:rPr>
                <w:rFonts w:hint="eastAsia" w:ascii="仿宋_GB2312" w:hAnsi="仿宋_GB2312" w:eastAsia="仿宋_GB2312" w:cs="仿宋_GB2312"/>
                <w:color w:val="auto"/>
                <w:spacing w:val="0"/>
                <w:sz w:val="22"/>
                <w:szCs w:val="22"/>
                <w:lang w:eastAsia="zh-CN"/>
              </w:rPr>
              <w:t>，</w:t>
            </w:r>
            <w:r>
              <w:rPr>
                <w:rFonts w:hint="eastAsia" w:ascii="仿宋_GB2312" w:hAnsi="仿宋_GB2312" w:eastAsia="仿宋_GB2312" w:cs="仿宋_GB2312"/>
                <w:color w:val="auto"/>
                <w:spacing w:val="0"/>
                <w:sz w:val="22"/>
                <w:szCs w:val="22"/>
              </w:rPr>
              <w:t>选定内部审核员并经最高管理者审批后发文；组织进行内部评审并针对内审发现的不符合项制定纠正和预防措施；</w:t>
            </w:r>
          </w:p>
          <w:p w14:paraId="662B8879">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pacing w:val="0"/>
                <w:sz w:val="22"/>
                <w:szCs w:val="22"/>
              </w:rPr>
              <w:t>2、制订企业管理评审计划</w:t>
            </w:r>
            <w:r>
              <w:rPr>
                <w:rFonts w:hint="eastAsia" w:ascii="仿宋_GB2312" w:hAnsi="仿宋_GB2312" w:eastAsia="仿宋_GB2312" w:cs="仿宋_GB2312"/>
                <w:color w:val="auto"/>
                <w:spacing w:val="0"/>
                <w:sz w:val="22"/>
                <w:szCs w:val="22"/>
                <w:lang w:eastAsia="zh-CN"/>
              </w:rPr>
              <w:t>，</w:t>
            </w:r>
            <w:r>
              <w:rPr>
                <w:rFonts w:hint="eastAsia" w:ascii="仿宋_GB2312" w:hAnsi="仿宋_GB2312" w:eastAsia="仿宋_GB2312" w:cs="仿宋_GB2312"/>
                <w:color w:val="auto"/>
                <w:spacing w:val="0"/>
                <w:sz w:val="22"/>
                <w:szCs w:val="22"/>
              </w:rPr>
              <w:t>组织对企业两化融合管理体系进行管理评审</w:t>
            </w:r>
            <w:r>
              <w:rPr>
                <w:rFonts w:hint="eastAsia" w:ascii="仿宋_GB2312" w:hAnsi="仿宋_GB2312" w:eastAsia="仿宋_GB2312" w:cs="仿宋_GB2312"/>
                <w:color w:val="auto"/>
                <w:spacing w:val="0"/>
                <w:sz w:val="22"/>
                <w:szCs w:val="22"/>
                <w:lang w:eastAsia="zh-CN"/>
              </w:rPr>
              <w:t>。</w:t>
            </w:r>
          </w:p>
        </w:tc>
        <w:tc>
          <w:tcPr>
            <w:tcW w:w="3389" w:type="dxa"/>
            <w:vAlign w:val="center"/>
          </w:tcPr>
          <w:p w14:paraId="016FB156">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两化融合内部审核计划</w:t>
            </w:r>
          </w:p>
          <w:p w14:paraId="075D320C">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两化融合内部审核报告</w:t>
            </w:r>
          </w:p>
          <w:p w14:paraId="739A08AC">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两化融合管理评审计划</w:t>
            </w:r>
          </w:p>
          <w:p w14:paraId="6EEABCB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两化融合管理评审报告</w:t>
            </w:r>
          </w:p>
        </w:tc>
      </w:tr>
      <w:tr w14:paraId="2E94D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dxa"/>
            <w:vAlign w:val="center"/>
          </w:tcPr>
          <w:p w14:paraId="72099A7A">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rPr>
            </w:pPr>
            <w:r>
              <w:rPr>
                <w:rFonts w:hint="eastAsia" w:ascii="仿宋_GB2312" w:hAnsi="仿宋_GB2312" w:eastAsia="仿宋_GB2312" w:cs="仿宋_GB2312"/>
                <w:color w:val="auto"/>
                <w:spacing w:val="0"/>
                <w:position w:val="0"/>
                <w:sz w:val="22"/>
                <w:szCs w:val="22"/>
              </w:rPr>
              <w:t>第三方</w:t>
            </w:r>
          </w:p>
          <w:p w14:paraId="6E57CE05">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pacing w:val="0"/>
                <w:position w:val="0"/>
                <w:sz w:val="22"/>
                <w:szCs w:val="22"/>
              </w:rPr>
              <w:t>评定审核</w:t>
            </w:r>
          </w:p>
        </w:tc>
        <w:tc>
          <w:tcPr>
            <w:tcW w:w="4270" w:type="dxa"/>
            <w:vAlign w:val="center"/>
          </w:tcPr>
          <w:p w14:paraId="2D258AFE">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60" w:lineRule="exact"/>
              <w:ind w:left="21" w:right="13" w:firstLine="1"/>
              <w:jc w:val="left"/>
              <w:textAlignment w:val="auto"/>
              <w:rPr>
                <w:rFonts w:hint="eastAsia" w:ascii="仿宋_GB2312" w:hAnsi="仿宋_GB2312" w:eastAsia="仿宋_GB2312" w:cs="仿宋_GB2312"/>
                <w:color w:val="auto"/>
                <w:spacing w:val="0"/>
                <w:sz w:val="22"/>
                <w:szCs w:val="22"/>
                <w:lang w:eastAsia="zh-CN"/>
              </w:rPr>
            </w:pPr>
            <w:r>
              <w:rPr>
                <w:rFonts w:hint="eastAsia" w:ascii="仿宋_GB2312" w:hAnsi="仿宋_GB2312" w:eastAsia="仿宋_GB2312" w:cs="仿宋_GB2312"/>
                <w:color w:val="auto"/>
                <w:spacing w:val="0"/>
                <w:sz w:val="22"/>
                <w:szCs w:val="22"/>
              </w:rPr>
              <w:t>1、准备评审相关记录，积极支持外部专家的现场评审阶段的各项工作，配合外审机构的评审专家完成两个阶段的两化融合管理体系的外部审核</w:t>
            </w:r>
            <w:r>
              <w:rPr>
                <w:rFonts w:hint="eastAsia" w:ascii="仿宋_GB2312" w:hAnsi="仿宋_GB2312" w:eastAsia="仿宋_GB2312" w:cs="仿宋_GB2312"/>
                <w:color w:val="auto"/>
                <w:spacing w:val="0"/>
                <w:sz w:val="22"/>
                <w:szCs w:val="22"/>
                <w:lang w:eastAsia="zh-CN"/>
              </w:rPr>
              <w:t>；</w:t>
            </w:r>
          </w:p>
          <w:p w14:paraId="3B9B3BD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pacing w:val="0"/>
                <w:sz w:val="22"/>
                <w:szCs w:val="22"/>
              </w:rPr>
              <w:t>2、外审专家</w:t>
            </w:r>
            <w:r>
              <w:rPr>
                <w:rFonts w:hint="eastAsia" w:ascii="仿宋_GB2312" w:hAnsi="仿宋_GB2312" w:eastAsia="仿宋_GB2312" w:cs="仿宋_GB2312"/>
                <w:color w:val="auto"/>
                <w:spacing w:val="0"/>
                <w:sz w:val="22"/>
                <w:szCs w:val="22"/>
                <w:lang w:eastAsia="zh-CN"/>
              </w:rPr>
              <w:t>提出</w:t>
            </w:r>
            <w:r>
              <w:rPr>
                <w:rFonts w:hint="eastAsia" w:ascii="仿宋_GB2312" w:hAnsi="仿宋_GB2312" w:eastAsia="仿宋_GB2312" w:cs="仿宋_GB2312"/>
                <w:color w:val="auto"/>
                <w:spacing w:val="0"/>
                <w:sz w:val="22"/>
                <w:szCs w:val="22"/>
              </w:rPr>
              <w:t>要求和建议进行整改</w:t>
            </w:r>
            <w:r>
              <w:rPr>
                <w:rFonts w:hint="eastAsia" w:ascii="仿宋_GB2312" w:hAnsi="仿宋_GB2312" w:eastAsia="仿宋_GB2312" w:cs="仿宋_GB2312"/>
                <w:color w:val="auto"/>
                <w:spacing w:val="0"/>
                <w:sz w:val="22"/>
                <w:szCs w:val="22"/>
                <w:lang w:eastAsia="zh-CN"/>
              </w:rPr>
              <w:t>，</w:t>
            </w:r>
            <w:r>
              <w:rPr>
                <w:rFonts w:hint="eastAsia" w:ascii="仿宋_GB2312" w:hAnsi="仿宋_GB2312" w:eastAsia="仿宋_GB2312" w:cs="仿宋_GB2312"/>
                <w:color w:val="auto"/>
                <w:spacing w:val="0"/>
                <w:sz w:val="22"/>
                <w:szCs w:val="22"/>
              </w:rPr>
              <w:t>再次在“两化融合管理体系评定管理平台”上提交修订好的企业两化融合管理体系评定申请材料，确保通过两化融合管理体系的评定。</w:t>
            </w:r>
          </w:p>
        </w:tc>
        <w:tc>
          <w:tcPr>
            <w:tcW w:w="3389" w:type="dxa"/>
            <w:vAlign w:val="center"/>
          </w:tcPr>
          <w:p w14:paraId="369D5FFB">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评定申请表</w:t>
            </w:r>
          </w:p>
          <w:p w14:paraId="51C6905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评定PPT</w:t>
            </w:r>
          </w:p>
          <w:p w14:paraId="5DA29216">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两化融合系统性解决方案实施情况及效果说明材料要求</w:t>
            </w:r>
          </w:p>
          <w:p w14:paraId="7141ABA8">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vertAlign w:val="baseline"/>
                <w:lang w:val="en-US" w:eastAsia="zh-CN"/>
              </w:rPr>
              <w:t>不符合项整改报告</w:t>
            </w:r>
          </w:p>
          <w:p w14:paraId="33EA253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p>
        </w:tc>
      </w:tr>
      <w:tr w14:paraId="1D16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3" w:type="dxa"/>
            <w:vAlign w:val="center"/>
          </w:tcPr>
          <w:p w14:paraId="6A5BAFBC">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获取证书</w:t>
            </w:r>
          </w:p>
        </w:tc>
        <w:tc>
          <w:tcPr>
            <w:tcW w:w="4270" w:type="dxa"/>
            <w:vAlign w:val="center"/>
          </w:tcPr>
          <w:p w14:paraId="16241B72">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跟进评估结果，协助企业获取认证证书</w:t>
            </w:r>
          </w:p>
        </w:tc>
        <w:tc>
          <w:tcPr>
            <w:tcW w:w="3389" w:type="dxa"/>
            <w:vAlign w:val="center"/>
          </w:tcPr>
          <w:p w14:paraId="4F0DB8EE">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22"/>
                <w:szCs w:val="22"/>
                <w:vertAlign w:val="baseline"/>
                <w:lang w:val="en-US" w:eastAsia="zh-CN"/>
              </w:rPr>
            </w:pPr>
            <w:r>
              <w:rPr>
                <w:rFonts w:hint="eastAsia" w:ascii="仿宋_GB2312" w:hAnsi="仿宋_GB2312" w:eastAsia="仿宋_GB2312" w:cs="仿宋_GB2312"/>
                <w:color w:val="auto"/>
                <w:sz w:val="22"/>
                <w:szCs w:val="22"/>
              </w:rPr>
              <w:t>两化融合管理体系评定证书</w:t>
            </w: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rPr>
              <w:t>AAA级</w:t>
            </w:r>
            <w:r>
              <w:rPr>
                <w:rFonts w:hint="eastAsia" w:ascii="仿宋_GB2312" w:hAnsi="仿宋_GB2312" w:eastAsia="仿宋_GB2312" w:cs="仿宋_GB2312"/>
                <w:color w:val="auto"/>
                <w:sz w:val="22"/>
                <w:szCs w:val="22"/>
                <w:lang w:eastAsia="zh-CN"/>
              </w:rPr>
              <w:t>）</w:t>
            </w:r>
          </w:p>
        </w:tc>
      </w:tr>
    </w:tbl>
    <w:p w14:paraId="583C0BC4">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leftChars="0" w:firstLine="643" w:firstLineChars="200"/>
        <w:textAlignment w:val="auto"/>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DCMM</w:t>
      </w:r>
    </w:p>
    <w:p w14:paraId="5CA5BF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lang w:eastAsia="zh-CN"/>
        </w:rPr>
      </w:pPr>
      <w:r>
        <w:rPr>
          <w:rFonts w:hint="eastAsia" w:ascii="仿宋_GB2312" w:hAnsi="仿宋_GB2312" w:eastAsia="仿宋_GB2312" w:cs="仿宋_GB2312"/>
          <w:color w:val="auto"/>
          <w:sz w:val="32"/>
          <w:szCs w:val="28"/>
          <w:lang w:val="en-US" w:eastAsia="zh-CN"/>
        </w:rPr>
        <w:t>根据中国电子信息行业联合会发布的《数据管理能力成熟度评估工作管理办法》，依据GB/T 36073-2018 《数据管理能力成熟度评估模型》国家标准，为九洲集团开展全面系统的数据管理工作提供咨询及评估服务，提升数据管理能力，协助并支撑九洲集团在2025年12月31日前取得数据管理能力成熟度（DCMM）二级证书。</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0AEEA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2F4CAEB8">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color w:val="auto"/>
                <w:sz w:val="28"/>
                <w:szCs w:val="28"/>
                <w:vertAlign w:val="baseline"/>
                <w:lang w:val="en-US" w:eastAsia="zh-CN"/>
              </w:rPr>
              <w:t>项目阶段</w:t>
            </w:r>
          </w:p>
        </w:tc>
        <w:tc>
          <w:tcPr>
            <w:tcW w:w="2841" w:type="dxa"/>
            <w:vAlign w:val="center"/>
          </w:tcPr>
          <w:p w14:paraId="52EDF13B">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color w:val="auto"/>
                <w:sz w:val="28"/>
                <w:szCs w:val="28"/>
                <w:vertAlign w:val="baseline"/>
                <w:lang w:val="en-US" w:eastAsia="zh-CN"/>
              </w:rPr>
              <w:t>工作内容</w:t>
            </w:r>
          </w:p>
        </w:tc>
        <w:tc>
          <w:tcPr>
            <w:tcW w:w="2841" w:type="dxa"/>
            <w:vAlign w:val="center"/>
          </w:tcPr>
          <w:p w14:paraId="5A01F6F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color w:val="auto"/>
                <w:sz w:val="28"/>
                <w:szCs w:val="28"/>
                <w:vertAlign w:val="baseline"/>
                <w:lang w:val="en-US" w:eastAsia="zh-CN"/>
              </w:rPr>
              <w:t>交付物</w:t>
            </w:r>
          </w:p>
        </w:tc>
      </w:tr>
      <w:tr w14:paraId="64869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16831DD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诊断及DCMM整体策划</w:t>
            </w:r>
          </w:p>
        </w:tc>
        <w:tc>
          <w:tcPr>
            <w:tcW w:w="2841" w:type="dxa"/>
            <w:vAlign w:val="center"/>
          </w:tcPr>
          <w:p w14:paraId="6A804F8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项目启动会；</w:t>
            </w:r>
          </w:p>
          <w:p w14:paraId="5778BAE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确定专职人员；</w:t>
            </w:r>
          </w:p>
          <w:p w14:paraId="4DA5F75E">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现场调研；</w:t>
            </w:r>
          </w:p>
          <w:p w14:paraId="730FC2B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编写差距分析报告；</w:t>
            </w:r>
          </w:p>
          <w:p w14:paraId="0CD12AB8">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制定DCMM项目实施方案和计划。</w:t>
            </w:r>
          </w:p>
        </w:tc>
        <w:tc>
          <w:tcPr>
            <w:tcW w:w="2841" w:type="dxa"/>
            <w:vAlign w:val="center"/>
          </w:tcPr>
          <w:p w14:paraId="4F52B5E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p>
          <w:p w14:paraId="331A6AB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差距分析报告</w:t>
            </w:r>
          </w:p>
          <w:p w14:paraId="177BCC1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DCMM项目实施方案</w:t>
            </w:r>
          </w:p>
          <w:p w14:paraId="38F1B43E">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DCMM整体实施计划</w:t>
            </w:r>
          </w:p>
        </w:tc>
      </w:tr>
      <w:tr w14:paraId="1373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03C3C183">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全业务过程定义与管理体系完善</w:t>
            </w:r>
          </w:p>
        </w:tc>
        <w:tc>
          <w:tcPr>
            <w:tcW w:w="2841" w:type="dxa"/>
            <w:vAlign w:val="center"/>
          </w:tcPr>
          <w:p w14:paraId="1EA27B7C">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指导建立纵向贯穿项目全生命周期，横向覆盖公司各类业务管理体系；</w:t>
            </w:r>
          </w:p>
          <w:p w14:paraId="02D557CC">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过程定义阶段性总结。</w:t>
            </w:r>
          </w:p>
        </w:tc>
        <w:tc>
          <w:tcPr>
            <w:tcW w:w="2841" w:type="dxa"/>
            <w:vAlign w:val="center"/>
          </w:tcPr>
          <w:p w14:paraId="61DC7E1B">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过程规范文档、表单、模板</w:t>
            </w:r>
          </w:p>
          <w:p w14:paraId="62DEACF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管理体系文件发布报告</w:t>
            </w:r>
          </w:p>
          <w:p w14:paraId="5C6B0F07">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阶段性总结报告</w:t>
            </w:r>
          </w:p>
        </w:tc>
      </w:tr>
      <w:tr w14:paraId="3D192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368689F7">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DCMM体系建立</w:t>
            </w:r>
          </w:p>
        </w:tc>
        <w:tc>
          <w:tcPr>
            <w:tcW w:w="2841" w:type="dxa"/>
            <w:vAlign w:val="center"/>
          </w:tcPr>
          <w:p w14:paraId="0DAC3DD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根据公司目标体系，以及过程性能数据，建立适合的基线和模型；</w:t>
            </w:r>
          </w:p>
          <w:p w14:paraId="5B1AFAD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DCMM体系阶段总结。</w:t>
            </w:r>
          </w:p>
        </w:tc>
        <w:tc>
          <w:tcPr>
            <w:tcW w:w="2841" w:type="dxa"/>
            <w:vAlign w:val="center"/>
          </w:tcPr>
          <w:p w14:paraId="635C3AB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数据战略、数据治理、数据架构、数据应用、数据安全、数据质量、数据标准、数据周期制度文件等</w:t>
            </w:r>
          </w:p>
        </w:tc>
      </w:tr>
      <w:tr w14:paraId="25FD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7535D876">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DCMM 级正式评估</w:t>
            </w:r>
          </w:p>
        </w:tc>
        <w:tc>
          <w:tcPr>
            <w:tcW w:w="2841" w:type="dxa"/>
            <w:vAlign w:val="center"/>
          </w:tcPr>
          <w:p w14:paraId="4D0DA1DE">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 xml:space="preserve">文档检查和访谈； </w:t>
            </w:r>
          </w:p>
          <w:p w14:paraId="60A5A50B">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 xml:space="preserve">分析、整理、编制评估报告； </w:t>
            </w:r>
          </w:p>
          <w:p w14:paraId="2EA271C2">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 xml:space="preserve">发布评估报告； </w:t>
            </w:r>
          </w:p>
          <w:p w14:paraId="2C513798">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针对正式评估发现问题进行改善。</w:t>
            </w:r>
          </w:p>
        </w:tc>
        <w:tc>
          <w:tcPr>
            <w:tcW w:w="2841" w:type="dxa"/>
            <w:vAlign w:val="center"/>
          </w:tcPr>
          <w:p w14:paraId="0EE32793">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评估计划</w:t>
            </w:r>
          </w:p>
          <w:p w14:paraId="1D64F50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评估报告</w:t>
            </w:r>
          </w:p>
        </w:tc>
      </w:tr>
      <w:tr w14:paraId="6EE6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3B08CA0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DCMM 级评审及修订</w:t>
            </w:r>
          </w:p>
        </w:tc>
        <w:tc>
          <w:tcPr>
            <w:tcW w:w="2841" w:type="dxa"/>
            <w:vAlign w:val="center"/>
          </w:tcPr>
          <w:p w14:paraId="1A15E74B">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评审会专家审核；</w:t>
            </w:r>
          </w:p>
          <w:p w14:paraId="0605F729">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专家审核完成后进行资料修订。</w:t>
            </w:r>
          </w:p>
        </w:tc>
        <w:tc>
          <w:tcPr>
            <w:tcW w:w="2841" w:type="dxa"/>
            <w:vAlign w:val="center"/>
          </w:tcPr>
          <w:p w14:paraId="0E7C2BFC">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评估报告</w:t>
            </w:r>
          </w:p>
        </w:tc>
      </w:tr>
      <w:tr w14:paraId="69F1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3C07B942">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获取证书</w:t>
            </w:r>
          </w:p>
        </w:tc>
        <w:tc>
          <w:tcPr>
            <w:tcW w:w="2841" w:type="dxa"/>
            <w:vAlign w:val="center"/>
          </w:tcPr>
          <w:p w14:paraId="246A2F9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跟进评估结果，协助企业获取认证证书</w:t>
            </w:r>
          </w:p>
        </w:tc>
        <w:tc>
          <w:tcPr>
            <w:tcW w:w="2841" w:type="dxa"/>
            <w:vAlign w:val="center"/>
          </w:tcPr>
          <w:p w14:paraId="242D9F32">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DCMM二级证书</w:t>
            </w:r>
          </w:p>
        </w:tc>
      </w:tr>
    </w:tbl>
    <w:p w14:paraId="26ED4860">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leftChars="0" w:firstLine="643" w:firstLineChars="200"/>
        <w:textAlignment w:val="auto"/>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DTMM</w:t>
      </w:r>
    </w:p>
    <w:p w14:paraId="706A2B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b/>
          <w:bCs/>
          <w:lang w:eastAsia="zh-CN"/>
        </w:rPr>
      </w:pPr>
      <w:r>
        <w:rPr>
          <w:rFonts w:hint="eastAsia" w:ascii="仿宋_GB2312" w:hAnsi="仿宋_GB2312" w:eastAsia="仿宋_GB2312" w:cs="仿宋_GB2312"/>
          <w:color w:val="auto"/>
          <w:sz w:val="32"/>
          <w:szCs w:val="28"/>
        </w:rPr>
        <w:t>根据</w:t>
      </w:r>
      <w:r>
        <w:rPr>
          <w:rFonts w:hint="eastAsia" w:ascii="仿宋_GB2312" w:hAnsi="仿宋_GB2312" w:eastAsia="仿宋_GB2312" w:cs="仿宋_GB2312"/>
          <w:color w:val="auto"/>
          <w:sz w:val="32"/>
          <w:szCs w:val="28"/>
          <w:lang w:val="en-US" w:eastAsia="zh-CN"/>
        </w:rPr>
        <w:t>《信息技术服务 数字化转型成熟度模型与评估》GB/T 43439-2023，</w:t>
      </w:r>
      <w:r>
        <w:rPr>
          <w:rFonts w:hint="eastAsia" w:ascii="仿宋_GB2312" w:hAnsi="仿宋_GB2312" w:eastAsia="仿宋_GB2312" w:cs="仿宋_GB2312"/>
          <w:color w:val="auto"/>
          <w:sz w:val="32"/>
          <w:szCs w:val="28"/>
        </w:rPr>
        <w:t>对</w:t>
      </w:r>
      <w:r>
        <w:rPr>
          <w:rFonts w:hint="eastAsia" w:ascii="仿宋_GB2312" w:hAnsi="仿宋_GB2312" w:eastAsia="仿宋_GB2312" w:cs="仿宋_GB2312"/>
          <w:color w:val="auto"/>
          <w:sz w:val="32"/>
          <w:szCs w:val="28"/>
          <w:lang w:val="en-US" w:eastAsia="zh-CN"/>
        </w:rPr>
        <w:t>九洲集团数字化转型标准能力提供咨询及评</w:t>
      </w:r>
      <w:r>
        <w:rPr>
          <w:rFonts w:hint="eastAsia" w:ascii="仿宋_GB2312" w:hAnsi="仿宋_GB2312" w:eastAsia="仿宋_GB2312" w:cs="仿宋_GB2312"/>
          <w:color w:val="auto"/>
          <w:sz w:val="32"/>
          <w:szCs w:val="28"/>
        </w:rPr>
        <w:t>估服务工作</w:t>
      </w:r>
      <w:r>
        <w:rPr>
          <w:rFonts w:hint="eastAsia" w:ascii="仿宋_GB2312" w:hAnsi="仿宋_GB2312" w:eastAsia="仿宋_GB2312" w:cs="仿宋_GB2312"/>
          <w:color w:val="auto"/>
          <w:sz w:val="32"/>
          <w:szCs w:val="28"/>
          <w:lang w:eastAsia="zh-CN"/>
        </w:rPr>
        <w:t>，</w:t>
      </w:r>
      <w:r>
        <w:rPr>
          <w:rFonts w:hint="eastAsia" w:ascii="仿宋_GB2312" w:hAnsi="仿宋_GB2312" w:eastAsia="仿宋_GB2312" w:cs="仿宋_GB2312"/>
          <w:color w:val="auto"/>
          <w:sz w:val="32"/>
          <w:szCs w:val="28"/>
        </w:rPr>
        <w:t>协助</w:t>
      </w:r>
      <w:r>
        <w:rPr>
          <w:rFonts w:hint="eastAsia" w:ascii="仿宋_GB2312" w:hAnsi="仿宋_GB2312" w:eastAsia="仿宋_GB2312" w:cs="仿宋_GB2312"/>
          <w:color w:val="auto"/>
          <w:sz w:val="32"/>
          <w:szCs w:val="28"/>
          <w:lang w:val="en-US" w:eastAsia="zh-CN"/>
        </w:rPr>
        <w:t>并支撑九洲集团在2025年12月31日前</w:t>
      </w:r>
      <w:r>
        <w:rPr>
          <w:rFonts w:hint="eastAsia" w:ascii="仿宋_GB2312" w:hAnsi="仿宋_GB2312" w:eastAsia="仿宋_GB2312" w:cs="仿宋_GB2312"/>
          <w:color w:val="auto"/>
          <w:sz w:val="32"/>
          <w:szCs w:val="28"/>
        </w:rPr>
        <w:t>取得</w:t>
      </w:r>
      <w:r>
        <w:rPr>
          <w:rFonts w:hint="eastAsia" w:ascii="仿宋_GB2312" w:hAnsi="仿宋_GB2312" w:eastAsia="仿宋_GB2312" w:cs="仿宋_GB2312"/>
          <w:color w:val="auto"/>
          <w:sz w:val="32"/>
          <w:szCs w:val="28"/>
          <w:lang w:val="en-US" w:eastAsia="zh-CN"/>
        </w:rPr>
        <w:t>数字化转型成熟度（</w:t>
      </w:r>
      <w:r>
        <w:rPr>
          <w:rFonts w:hint="eastAsia" w:ascii="仿宋_GB2312" w:hAnsi="仿宋_GB2312" w:eastAsia="仿宋_GB2312" w:cs="仿宋_GB2312"/>
          <w:color w:val="auto"/>
          <w:sz w:val="32"/>
          <w:szCs w:val="28"/>
        </w:rPr>
        <w:t>D</w:t>
      </w:r>
      <w:r>
        <w:rPr>
          <w:rFonts w:hint="eastAsia" w:ascii="仿宋_GB2312" w:hAnsi="仿宋_GB2312" w:eastAsia="仿宋_GB2312" w:cs="仿宋_GB2312"/>
          <w:color w:val="auto"/>
          <w:sz w:val="32"/>
          <w:szCs w:val="28"/>
          <w:lang w:val="en-US" w:eastAsia="zh-CN"/>
        </w:rPr>
        <w:t>T</w:t>
      </w:r>
      <w:r>
        <w:rPr>
          <w:rFonts w:hint="eastAsia" w:ascii="仿宋_GB2312" w:hAnsi="仿宋_GB2312" w:eastAsia="仿宋_GB2312" w:cs="仿宋_GB2312"/>
          <w:color w:val="auto"/>
          <w:sz w:val="32"/>
          <w:szCs w:val="28"/>
        </w:rPr>
        <w:t>MM</w:t>
      </w:r>
      <w:r>
        <w:rPr>
          <w:rFonts w:hint="eastAsia" w:ascii="仿宋_GB2312" w:hAnsi="仿宋_GB2312" w:eastAsia="仿宋_GB2312" w:cs="仿宋_GB2312"/>
          <w:color w:val="auto"/>
          <w:sz w:val="32"/>
          <w:szCs w:val="28"/>
          <w:lang w:val="en-US" w:eastAsia="zh-CN"/>
        </w:rPr>
        <w:t>）三</w:t>
      </w:r>
      <w:r>
        <w:rPr>
          <w:rFonts w:hint="eastAsia" w:ascii="仿宋_GB2312" w:hAnsi="仿宋_GB2312" w:eastAsia="仿宋_GB2312" w:cs="仿宋_GB2312"/>
          <w:color w:val="auto"/>
          <w:sz w:val="32"/>
          <w:szCs w:val="28"/>
        </w:rPr>
        <w:t>级证书</w:t>
      </w:r>
      <w:r>
        <w:rPr>
          <w:rFonts w:hint="eastAsia" w:ascii="仿宋_GB2312" w:hAnsi="仿宋_GB2312" w:eastAsia="仿宋_GB2312" w:cs="仿宋_GB2312"/>
          <w:color w:val="auto"/>
          <w:sz w:val="32"/>
          <w:szCs w:val="28"/>
          <w:lang w:eastAsia="zh-CN"/>
        </w:rPr>
        <w:t>。</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4626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7812E75C">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color w:val="auto"/>
                <w:sz w:val="28"/>
                <w:szCs w:val="28"/>
                <w:vertAlign w:val="baseline"/>
                <w:lang w:val="en-US" w:eastAsia="zh-CN"/>
              </w:rPr>
              <w:t>项目阶段</w:t>
            </w:r>
          </w:p>
        </w:tc>
        <w:tc>
          <w:tcPr>
            <w:tcW w:w="2841" w:type="dxa"/>
            <w:vAlign w:val="center"/>
          </w:tcPr>
          <w:p w14:paraId="78625CD2">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color w:val="auto"/>
                <w:sz w:val="28"/>
                <w:szCs w:val="28"/>
                <w:vertAlign w:val="baseline"/>
                <w:lang w:val="en-US" w:eastAsia="zh-CN"/>
              </w:rPr>
              <w:t>工作内容</w:t>
            </w:r>
          </w:p>
        </w:tc>
        <w:tc>
          <w:tcPr>
            <w:tcW w:w="2841" w:type="dxa"/>
            <w:vAlign w:val="center"/>
          </w:tcPr>
          <w:p w14:paraId="158D4B7A">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color w:val="auto"/>
                <w:sz w:val="28"/>
                <w:szCs w:val="28"/>
                <w:vertAlign w:val="baseline"/>
                <w:lang w:val="en-US" w:eastAsia="zh-CN"/>
              </w:rPr>
              <w:t>交付物</w:t>
            </w:r>
          </w:p>
        </w:tc>
      </w:tr>
      <w:tr w14:paraId="33FE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37EFDAFE">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项目调研及诊断</w:t>
            </w:r>
          </w:p>
        </w:tc>
        <w:tc>
          <w:tcPr>
            <w:tcW w:w="2841" w:type="dxa"/>
            <w:vAlign w:val="center"/>
          </w:tcPr>
          <w:p w14:paraId="7EFB377C">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项目启动会；</w:t>
            </w:r>
          </w:p>
          <w:p w14:paraId="45A8FD06">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确定专职人员；</w:t>
            </w:r>
          </w:p>
          <w:p w14:paraId="0841D738">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现场调研；</w:t>
            </w:r>
          </w:p>
          <w:p w14:paraId="1C0684C9">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开展自诊断工作</w:t>
            </w:r>
          </w:p>
        </w:tc>
        <w:tc>
          <w:tcPr>
            <w:tcW w:w="2841" w:type="dxa"/>
            <w:vAlign w:val="center"/>
          </w:tcPr>
          <w:p w14:paraId="2A5A9DF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启动PPT</w:t>
            </w:r>
          </w:p>
          <w:p w14:paraId="2F91F86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DTMM调研计划</w:t>
            </w:r>
          </w:p>
          <w:p w14:paraId="36BAE30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自诊断报告</w:t>
            </w:r>
          </w:p>
        </w:tc>
      </w:tr>
      <w:tr w14:paraId="67F2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058E3848">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资料准备及线上预评估</w:t>
            </w:r>
          </w:p>
        </w:tc>
        <w:tc>
          <w:tcPr>
            <w:tcW w:w="2841" w:type="dxa"/>
            <w:vAlign w:val="center"/>
          </w:tcPr>
          <w:p w14:paraId="1B0FA71B">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开展预评估：</w:t>
            </w:r>
            <w:r>
              <w:rPr>
                <w:rFonts w:hint="eastAsia" w:ascii="仿宋_GB2312" w:hAnsi="仿宋_GB2312" w:eastAsia="仿宋_GB2312" w:cs="仿宋_GB2312"/>
                <w:color w:val="auto"/>
                <w:spacing w:val="0"/>
                <w:position w:val="0"/>
                <w:sz w:val="22"/>
                <w:szCs w:val="22"/>
                <w:lang w:val="en-US" w:eastAsia="zh-CN"/>
              </w:rPr>
              <w:br w:type="textWrapping"/>
            </w:r>
            <w:r>
              <w:rPr>
                <w:rFonts w:hint="eastAsia" w:ascii="仿宋_GB2312" w:hAnsi="仿宋_GB2312" w:eastAsia="仿宋_GB2312" w:cs="仿宋_GB2312"/>
                <w:color w:val="auto"/>
                <w:spacing w:val="0"/>
                <w:position w:val="0"/>
                <w:sz w:val="22"/>
                <w:szCs w:val="22"/>
                <w:lang w:val="en-US" w:eastAsia="zh-CN"/>
              </w:rPr>
              <w:t>确定评估范围与权重；重点环节识别；文件审查；信息系统查验；现场评估确认；给出预评估结论；</w:t>
            </w:r>
            <w:r>
              <w:rPr>
                <w:rFonts w:hint="eastAsia" w:ascii="仿宋_GB2312" w:hAnsi="仿宋_GB2312" w:eastAsia="仿宋_GB2312" w:cs="仿宋_GB2312"/>
                <w:color w:val="auto"/>
                <w:spacing w:val="0"/>
                <w:position w:val="0"/>
                <w:sz w:val="22"/>
                <w:szCs w:val="22"/>
                <w:lang w:val="en-US" w:eastAsia="zh-CN"/>
              </w:rPr>
              <w:br w:type="textWrapping"/>
            </w:r>
            <w:r>
              <w:rPr>
                <w:rFonts w:hint="eastAsia" w:ascii="仿宋_GB2312" w:hAnsi="仿宋_GB2312" w:eastAsia="仿宋_GB2312" w:cs="仿宋_GB2312"/>
                <w:color w:val="auto"/>
                <w:spacing w:val="0"/>
                <w:position w:val="0"/>
                <w:sz w:val="22"/>
                <w:szCs w:val="22"/>
                <w:lang w:val="en-US" w:eastAsia="zh-CN"/>
              </w:rPr>
              <w:t>预评估问题关闭验证</w:t>
            </w:r>
          </w:p>
        </w:tc>
        <w:tc>
          <w:tcPr>
            <w:tcW w:w="2841" w:type="dxa"/>
            <w:vAlign w:val="center"/>
          </w:tcPr>
          <w:p w14:paraId="361128A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数字化转型成熟度评估申请表</w:t>
            </w:r>
          </w:p>
          <w:p w14:paraId="0ECF05A7">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预评估计划</w:t>
            </w:r>
          </w:p>
          <w:p w14:paraId="19FF5514">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预评估报告</w:t>
            </w:r>
          </w:p>
        </w:tc>
      </w:tr>
      <w:tr w14:paraId="34FB2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6C7C46C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正式评估</w:t>
            </w:r>
          </w:p>
        </w:tc>
        <w:tc>
          <w:tcPr>
            <w:tcW w:w="2841" w:type="dxa"/>
            <w:vAlign w:val="center"/>
          </w:tcPr>
          <w:p w14:paraId="69A9785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正式评估：</w:t>
            </w:r>
            <w:r>
              <w:rPr>
                <w:rFonts w:hint="eastAsia" w:ascii="仿宋_GB2312" w:hAnsi="仿宋_GB2312" w:eastAsia="仿宋_GB2312" w:cs="仿宋_GB2312"/>
                <w:color w:val="auto"/>
                <w:spacing w:val="0"/>
                <w:position w:val="0"/>
                <w:sz w:val="22"/>
                <w:szCs w:val="22"/>
                <w:lang w:val="en-US" w:eastAsia="zh-CN"/>
              </w:rPr>
              <w:br w:type="textWrapping"/>
            </w:r>
            <w:r>
              <w:rPr>
                <w:rFonts w:hint="eastAsia" w:ascii="仿宋_GB2312" w:hAnsi="仿宋_GB2312" w:eastAsia="仿宋_GB2312" w:cs="仿宋_GB2312"/>
                <w:color w:val="auto"/>
                <w:spacing w:val="0"/>
                <w:position w:val="0"/>
                <w:sz w:val="22"/>
                <w:szCs w:val="22"/>
                <w:lang w:val="en-US" w:eastAsia="zh-CN"/>
              </w:rPr>
              <w:t>采集评估证据；形成评估发现；识别评估弱项；成熟度等级判定；形成评估报告</w:t>
            </w:r>
          </w:p>
        </w:tc>
        <w:tc>
          <w:tcPr>
            <w:tcW w:w="2841" w:type="dxa"/>
            <w:vAlign w:val="center"/>
          </w:tcPr>
          <w:p w14:paraId="73F20A4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评估计划</w:t>
            </w:r>
          </w:p>
          <w:p w14:paraId="303C156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评估报告</w:t>
            </w:r>
          </w:p>
        </w:tc>
      </w:tr>
      <w:tr w14:paraId="682FD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44A13234">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弱项整改</w:t>
            </w:r>
          </w:p>
        </w:tc>
        <w:tc>
          <w:tcPr>
            <w:tcW w:w="2841" w:type="dxa"/>
            <w:vAlign w:val="center"/>
          </w:tcPr>
          <w:p w14:paraId="782A167E">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企业提交弱项整改措施；</w:t>
            </w:r>
            <w:r>
              <w:rPr>
                <w:rFonts w:hint="eastAsia" w:ascii="仿宋_GB2312" w:hAnsi="仿宋_GB2312" w:eastAsia="仿宋_GB2312" w:cs="仿宋_GB2312"/>
                <w:color w:val="auto"/>
                <w:spacing w:val="0"/>
                <w:position w:val="0"/>
                <w:sz w:val="22"/>
                <w:szCs w:val="22"/>
                <w:lang w:val="en-US" w:eastAsia="zh-CN"/>
              </w:rPr>
              <w:br w:type="textWrapping"/>
            </w:r>
            <w:r>
              <w:rPr>
                <w:rFonts w:hint="eastAsia" w:ascii="仿宋_GB2312" w:hAnsi="仿宋_GB2312" w:eastAsia="仿宋_GB2312" w:cs="仿宋_GB2312"/>
                <w:color w:val="auto"/>
                <w:spacing w:val="0"/>
                <w:position w:val="0"/>
                <w:sz w:val="22"/>
                <w:szCs w:val="22"/>
                <w:lang w:val="en-US" w:eastAsia="zh-CN"/>
              </w:rPr>
              <w:t>评估组验证弱项整改措施</w:t>
            </w:r>
          </w:p>
        </w:tc>
        <w:tc>
          <w:tcPr>
            <w:tcW w:w="2841" w:type="dxa"/>
            <w:vAlign w:val="center"/>
          </w:tcPr>
          <w:p w14:paraId="03C107FC">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弱项整改报告</w:t>
            </w:r>
          </w:p>
        </w:tc>
      </w:tr>
      <w:tr w14:paraId="25C80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52AE9854">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专家复核</w:t>
            </w:r>
          </w:p>
        </w:tc>
        <w:tc>
          <w:tcPr>
            <w:tcW w:w="2841" w:type="dxa"/>
            <w:vAlign w:val="center"/>
          </w:tcPr>
          <w:p w14:paraId="79459BF2">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专家委员会对项目评估资料进行复核，作出专家结论</w:t>
            </w:r>
          </w:p>
        </w:tc>
        <w:tc>
          <w:tcPr>
            <w:tcW w:w="2841" w:type="dxa"/>
            <w:vAlign w:val="center"/>
          </w:tcPr>
          <w:p w14:paraId="0B1BD11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跟踪复核结果与公示</w:t>
            </w:r>
          </w:p>
        </w:tc>
      </w:tr>
      <w:tr w14:paraId="2CBD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5834180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获取证书</w:t>
            </w:r>
          </w:p>
        </w:tc>
        <w:tc>
          <w:tcPr>
            <w:tcW w:w="2841" w:type="dxa"/>
            <w:vAlign w:val="center"/>
          </w:tcPr>
          <w:p w14:paraId="4CAEA282">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跟进评估结果，协助企业获取认证证书</w:t>
            </w:r>
          </w:p>
        </w:tc>
        <w:tc>
          <w:tcPr>
            <w:tcW w:w="2841" w:type="dxa"/>
            <w:vAlign w:val="center"/>
          </w:tcPr>
          <w:p w14:paraId="5092531C">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DTMM三级证书</w:t>
            </w:r>
          </w:p>
        </w:tc>
      </w:tr>
    </w:tbl>
    <w:p w14:paraId="55948CF1">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leftChars="0" w:firstLine="643" w:firstLineChars="200"/>
        <w:textAlignment w:val="auto"/>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CMMM</w:t>
      </w:r>
    </w:p>
    <w:p w14:paraId="147455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lang w:eastAsia="zh-CN"/>
        </w:rPr>
      </w:pPr>
      <w:r>
        <w:rPr>
          <w:rFonts w:hint="eastAsia" w:ascii="仿宋_GB2312" w:hAnsi="仿宋_GB2312" w:eastAsia="仿宋_GB2312" w:cs="仿宋_GB2312"/>
          <w:color w:val="auto"/>
          <w:sz w:val="32"/>
          <w:szCs w:val="28"/>
          <w:lang w:val="en-US" w:eastAsia="zh-CN"/>
        </w:rPr>
        <w:t>依据《智能制造能力成熟度模型》(GB/T 39116-2020)和《智能制造能力成熟度评估方法》(GB/T 39117-2020)两项国家标准，为四川九州科技的智能制造能力成熟度评估提供咨询及评估服务，协助并支撑四川九州科技在2025年12月31日前取得智能制造能力成熟度模型（CMMM）三级证书。</w:t>
      </w:r>
    </w:p>
    <w:tbl>
      <w:tblPr>
        <w:tblStyle w:val="27"/>
        <w:tblW w:w="8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3"/>
        <w:gridCol w:w="3144"/>
        <w:gridCol w:w="3182"/>
      </w:tblGrid>
      <w:tr w14:paraId="7A0F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blHeader/>
          <w:jc w:val="center"/>
        </w:trPr>
        <w:tc>
          <w:tcPr>
            <w:tcW w:w="1813" w:type="dxa"/>
            <w:shd w:val="clear" w:color="auto" w:fill="FFFFFF"/>
            <w:noWrap w:val="0"/>
            <w:vAlign w:val="center"/>
          </w:tcPr>
          <w:p w14:paraId="5C6686DB">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color w:val="auto"/>
                <w:sz w:val="28"/>
                <w:szCs w:val="28"/>
                <w:vertAlign w:val="baseline"/>
                <w:lang w:val="en-US" w:eastAsia="zh-CN"/>
              </w:rPr>
              <w:t>项目阶段</w:t>
            </w:r>
          </w:p>
        </w:tc>
        <w:tc>
          <w:tcPr>
            <w:tcW w:w="3144" w:type="dxa"/>
            <w:shd w:val="clear" w:color="auto" w:fill="FFFFFF"/>
            <w:noWrap w:val="0"/>
            <w:vAlign w:val="center"/>
          </w:tcPr>
          <w:p w14:paraId="21CFAFF4">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color w:val="auto"/>
                <w:sz w:val="28"/>
                <w:szCs w:val="28"/>
                <w:vertAlign w:val="baseline"/>
                <w:lang w:val="en-US" w:eastAsia="zh-CN"/>
              </w:rPr>
              <w:t>工作内容</w:t>
            </w:r>
          </w:p>
        </w:tc>
        <w:tc>
          <w:tcPr>
            <w:tcW w:w="3182" w:type="dxa"/>
            <w:shd w:val="clear" w:color="auto" w:fill="FFFFFF"/>
            <w:noWrap w:val="0"/>
            <w:vAlign w:val="center"/>
          </w:tcPr>
          <w:p w14:paraId="58D7840B">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8"/>
                <w:szCs w:val="28"/>
                <w:vertAlign w:val="baseline"/>
                <w:lang w:val="en-US" w:eastAsia="zh-CN"/>
              </w:rPr>
            </w:pPr>
            <w:r>
              <w:rPr>
                <w:rFonts w:hint="eastAsia" w:ascii="仿宋_GB2312" w:hAnsi="仿宋_GB2312" w:eastAsia="仿宋_GB2312" w:cs="仿宋_GB2312"/>
                <w:b/>
                <w:bCs/>
                <w:color w:val="auto"/>
                <w:sz w:val="28"/>
                <w:szCs w:val="28"/>
                <w:vertAlign w:val="baseline"/>
                <w:lang w:val="en-US" w:eastAsia="zh-CN"/>
              </w:rPr>
              <w:t>交付物</w:t>
            </w:r>
          </w:p>
        </w:tc>
      </w:tr>
      <w:tr w14:paraId="797ED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1" w:hRule="atLeast"/>
          <w:jc w:val="center"/>
        </w:trPr>
        <w:tc>
          <w:tcPr>
            <w:tcW w:w="1813" w:type="dxa"/>
            <w:noWrap w:val="0"/>
            <w:vAlign w:val="center"/>
          </w:tcPr>
          <w:p w14:paraId="0031F4B2">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项目调研及诊断</w:t>
            </w:r>
          </w:p>
        </w:tc>
        <w:tc>
          <w:tcPr>
            <w:tcW w:w="3144" w:type="dxa"/>
            <w:noWrap w:val="0"/>
            <w:vAlign w:val="center"/>
          </w:tcPr>
          <w:p w14:paraId="539BE609">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项目启动会；</w:t>
            </w:r>
          </w:p>
          <w:p w14:paraId="68A45092">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确定专职人员；</w:t>
            </w:r>
          </w:p>
          <w:p w14:paraId="5A47E3EC">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现场调研；</w:t>
            </w:r>
          </w:p>
          <w:p w14:paraId="1036240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开展自诊断工作</w:t>
            </w:r>
          </w:p>
        </w:tc>
        <w:tc>
          <w:tcPr>
            <w:tcW w:w="3182" w:type="dxa"/>
            <w:noWrap w:val="0"/>
            <w:vAlign w:val="center"/>
          </w:tcPr>
          <w:p w14:paraId="2F8E3623">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启动PPT</w:t>
            </w:r>
          </w:p>
          <w:p w14:paraId="1FA486E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智能制造调研计划</w:t>
            </w:r>
          </w:p>
          <w:p w14:paraId="4F33AFBA">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自诊断报告</w:t>
            </w:r>
          </w:p>
        </w:tc>
      </w:tr>
      <w:tr w14:paraId="7ABE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813" w:type="dxa"/>
            <w:noWrap w:val="0"/>
            <w:vAlign w:val="center"/>
          </w:tcPr>
          <w:p w14:paraId="68AEC5C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资料准备及线上预评估</w:t>
            </w:r>
          </w:p>
        </w:tc>
        <w:tc>
          <w:tcPr>
            <w:tcW w:w="3144" w:type="dxa"/>
            <w:noWrap w:val="0"/>
            <w:vAlign w:val="center"/>
          </w:tcPr>
          <w:p w14:paraId="0C439D5A">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开展预评估：</w:t>
            </w:r>
            <w:r>
              <w:rPr>
                <w:rFonts w:hint="eastAsia" w:ascii="仿宋_GB2312" w:hAnsi="仿宋_GB2312" w:eastAsia="仿宋_GB2312" w:cs="仿宋_GB2312"/>
                <w:color w:val="auto"/>
                <w:spacing w:val="0"/>
                <w:position w:val="0"/>
                <w:sz w:val="22"/>
                <w:szCs w:val="22"/>
                <w:lang w:val="en-US" w:eastAsia="zh-CN"/>
              </w:rPr>
              <w:br w:type="textWrapping"/>
            </w:r>
            <w:r>
              <w:rPr>
                <w:rFonts w:hint="eastAsia" w:ascii="仿宋_GB2312" w:hAnsi="仿宋_GB2312" w:eastAsia="仿宋_GB2312" w:cs="仿宋_GB2312"/>
                <w:color w:val="auto"/>
                <w:spacing w:val="0"/>
                <w:position w:val="0"/>
                <w:sz w:val="22"/>
                <w:szCs w:val="22"/>
                <w:lang w:val="en-US" w:eastAsia="zh-CN"/>
              </w:rPr>
              <w:t>确定评估范围与权重；重点环节识别；文件审查；信息系统查验；现场评估确认；给出预评估结论；</w:t>
            </w:r>
            <w:r>
              <w:rPr>
                <w:rFonts w:hint="eastAsia" w:ascii="仿宋_GB2312" w:hAnsi="仿宋_GB2312" w:eastAsia="仿宋_GB2312" w:cs="仿宋_GB2312"/>
                <w:color w:val="auto"/>
                <w:spacing w:val="0"/>
                <w:position w:val="0"/>
                <w:sz w:val="22"/>
                <w:szCs w:val="22"/>
                <w:lang w:val="en-US" w:eastAsia="zh-CN"/>
              </w:rPr>
              <w:br w:type="textWrapping"/>
            </w:r>
            <w:r>
              <w:rPr>
                <w:rFonts w:hint="eastAsia" w:ascii="仿宋_GB2312" w:hAnsi="仿宋_GB2312" w:eastAsia="仿宋_GB2312" w:cs="仿宋_GB2312"/>
                <w:color w:val="auto"/>
                <w:spacing w:val="0"/>
                <w:position w:val="0"/>
                <w:sz w:val="22"/>
                <w:szCs w:val="22"/>
                <w:lang w:val="en-US" w:eastAsia="zh-CN"/>
              </w:rPr>
              <w:t>预评估问题关闭验证</w:t>
            </w:r>
          </w:p>
        </w:tc>
        <w:tc>
          <w:tcPr>
            <w:tcW w:w="3182" w:type="dxa"/>
            <w:noWrap w:val="0"/>
            <w:vAlign w:val="center"/>
          </w:tcPr>
          <w:p w14:paraId="1AFD8D48">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预评估计划</w:t>
            </w:r>
          </w:p>
          <w:p w14:paraId="673694F9">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预评估报告</w:t>
            </w:r>
          </w:p>
        </w:tc>
      </w:tr>
      <w:tr w14:paraId="08CB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813" w:type="dxa"/>
            <w:noWrap w:val="0"/>
            <w:vAlign w:val="center"/>
          </w:tcPr>
          <w:p w14:paraId="20E61FAA">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正式评估</w:t>
            </w:r>
          </w:p>
        </w:tc>
        <w:tc>
          <w:tcPr>
            <w:tcW w:w="3144" w:type="dxa"/>
            <w:noWrap w:val="0"/>
            <w:vAlign w:val="center"/>
          </w:tcPr>
          <w:p w14:paraId="7BB91578">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正式评估：</w:t>
            </w:r>
            <w:r>
              <w:rPr>
                <w:rFonts w:hint="eastAsia" w:ascii="仿宋_GB2312" w:hAnsi="仿宋_GB2312" w:eastAsia="仿宋_GB2312" w:cs="仿宋_GB2312"/>
                <w:color w:val="auto"/>
                <w:spacing w:val="0"/>
                <w:position w:val="0"/>
                <w:sz w:val="22"/>
                <w:szCs w:val="22"/>
                <w:lang w:val="en-US" w:eastAsia="zh-CN"/>
              </w:rPr>
              <w:br w:type="textWrapping"/>
            </w:r>
            <w:r>
              <w:rPr>
                <w:rFonts w:hint="eastAsia" w:ascii="仿宋_GB2312" w:hAnsi="仿宋_GB2312" w:eastAsia="仿宋_GB2312" w:cs="仿宋_GB2312"/>
                <w:color w:val="auto"/>
                <w:spacing w:val="0"/>
                <w:position w:val="0"/>
                <w:sz w:val="22"/>
                <w:szCs w:val="22"/>
                <w:lang w:val="en-US" w:eastAsia="zh-CN"/>
              </w:rPr>
              <w:t>采集评估证据；形成评估发现；识别评估弱项；成熟度等级判定；形成评估报告</w:t>
            </w:r>
          </w:p>
        </w:tc>
        <w:tc>
          <w:tcPr>
            <w:tcW w:w="3182" w:type="dxa"/>
            <w:noWrap w:val="0"/>
            <w:vAlign w:val="center"/>
          </w:tcPr>
          <w:p w14:paraId="7C964457">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正式评估计划</w:t>
            </w:r>
          </w:p>
          <w:p w14:paraId="3892668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正式评估报告</w:t>
            </w:r>
          </w:p>
        </w:tc>
      </w:tr>
      <w:tr w14:paraId="6E30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1813" w:type="dxa"/>
            <w:noWrap w:val="0"/>
            <w:vAlign w:val="center"/>
          </w:tcPr>
          <w:p w14:paraId="1B163262">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弱项整改</w:t>
            </w:r>
          </w:p>
        </w:tc>
        <w:tc>
          <w:tcPr>
            <w:tcW w:w="3144" w:type="dxa"/>
            <w:noWrap w:val="0"/>
            <w:vAlign w:val="center"/>
          </w:tcPr>
          <w:p w14:paraId="6A4DD18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企业提交弱项整改措施；</w:t>
            </w:r>
            <w:r>
              <w:rPr>
                <w:rFonts w:hint="eastAsia" w:ascii="仿宋_GB2312" w:hAnsi="仿宋_GB2312" w:eastAsia="仿宋_GB2312" w:cs="仿宋_GB2312"/>
                <w:color w:val="auto"/>
                <w:spacing w:val="0"/>
                <w:position w:val="0"/>
                <w:sz w:val="22"/>
                <w:szCs w:val="22"/>
                <w:lang w:val="en-US" w:eastAsia="zh-CN"/>
              </w:rPr>
              <w:br w:type="textWrapping"/>
            </w:r>
            <w:r>
              <w:rPr>
                <w:rFonts w:hint="eastAsia" w:ascii="仿宋_GB2312" w:hAnsi="仿宋_GB2312" w:eastAsia="仿宋_GB2312" w:cs="仿宋_GB2312"/>
                <w:color w:val="auto"/>
                <w:spacing w:val="0"/>
                <w:position w:val="0"/>
                <w:sz w:val="22"/>
                <w:szCs w:val="22"/>
                <w:lang w:val="en-US" w:eastAsia="zh-CN"/>
              </w:rPr>
              <w:t>评估组验证弱项整改措施</w:t>
            </w:r>
          </w:p>
        </w:tc>
        <w:tc>
          <w:tcPr>
            <w:tcW w:w="3182" w:type="dxa"/>
            <w:noWrap w:val="0"/>
            <w:vAlign w:val="center"/>
          </w:tcPr>
          <w:p w14:paraId="29619949">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弱项整改培训</w:t>
            </w:r>
          </w:p>
          <w:p w14:paraId="6DC3B4FE">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弱项整改报告</w:t>
            </w:r>
          </w:p>
        </w:tc>
      </w:tr>
      <w:tr w14:paraId="26B1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813" w:type="dxa"/>
            <w:noWrap w:val="0"/>
            <w:vAlign w:val="center"/>
          </w:tcPr>
          <w:p w14:paraId="4CC39DCA">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专家复核</w:t>
            </w:r>
          </w:p>
        </w:tc>
        <w:tc>
          <w:tcPr>
            <w:tcW w:w="3144" w:type="dxa"/>
            <w:noWrap w:val="0"/>
            <w:vAlign w:val="center"/>
          </w:tcPr>
          <w:p w14:paraId="39255F3C">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专家委员会对项目评估资料进行复核，作出专家结论</w:t>
            </w:r>
          </w:p>
        </w:tc>
        <w:tc>
          <w:tcPr>
            <w:tcW w:w="3182" w:type="dxa"/>
            <w:noWrap w:val="0"/>
            <w:vAlign w:val="center"/>
          </w:tcPr>
          <w:p w14:paraId="0110CB24">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跟踪复核结果与公示</w:t>
            </w:r>
          </w:p>
        </w:tc>
      </w:tr>
      <w:tr w14:paraId="1465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813" w:type="dxa"/>
            <w:noWrap w:val="0"/>
            <w:vAlign w:val="center"/>
          </w:tcPr>
          <w:p w14:paraId="05A1A8F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获取证书</w:t>
            </w:r>
          </w:p>
        </w:tc>
        <w:tc>
          <w:tcPr>
            <w:tcW w:w="3144" w:type="dxa"/>
            <w:noWrap w:val="0"/>
            <w:vAlign w:val="center"/>
          </w:tcPr>
          <w:p w14:paraId="35C06F3C">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跟进评估结果，协助企业获取认证证书</w:t>
            </w:r>
          </w:p>
        </w:tc>
        <w:tc>
          <w:tcPr>
            <w:tcW w:w="3182" w:type="dxa"/>
            <w:noWrap w:val="0"/>
            <w:vAlign w:val="center"/>
          </w:tcPr>
          <w:p w14:paraId="15505A3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pacing w:val="0"/>
                <w:position w:val="0"/>
                <w:sz w:val="22"/>
                <w:szCs w:val="22"/>
                <w:lang w:val="en-US" w:eastAsia="zh-CN"/>
              </w:rPr>
            </w:pPr>
            <w:r>
              <w:rPr>
                <w:rFonts w:hint="eastAsia" w:ascii="仿宋_GB2312" w:hAnsi="仿宋_GB2312" w:eastAsia="仿宋_GB2312" w:cs="仿宋_GB2312"/>
                <w:color w:val="auto"/>
                <w:spacing w:val="0"/>
                <w:position w:val="0"/>
                <w:sz w:val="22"/>
                <w:szCs w:val="22"/>
                <w:lang w:val="en-US" w:eastAsia="zh-CN"/>
              </w:rPr>
              <w:t>智能制造能力成熟度模型（CMMM）三级证书</w:t>
            </w:r>
          </w:p>
        </w:tc>
      </w:tr>
    </w:tbl>
    <w:p w14:paraId="5EBE1F0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rightChars="0"/>
        <w:jc w:val="left"/>
        <w:outlineLvl w:val="2"/>
        <w:rPr>
          <w:rFonts w:hint="eastAsia" w:ascii="仿宋_GB2312" w:hAnsi="仿宋_GB2312" w:eastAsia="仿宋_GB2312" w:cs="仿宋_GB2312"/>
          <w:i w:val="0"/>
          <w:iCs w:val="0"/>
          <w:caps w:val="0"/>
          <w:color w:val="auto"/>
          <w:spacing w:val="0"/>
          <w:kern w:val="32"/>
          <w:sz w:val="32"/>
          <w:szCs w:val="32"/>
          <w:highlight w:val="none"/>
          <w:lang w:val="en-US" w:eastAsia="zh"/>
        </w:rPr>
      </w:pPr>
    </w:p>
    <w:bookmarkEnd w:id="12"/>
    <w:bookmarkEnd w:id="13"/>
    <w:bookmarkEnd w:id="14"/>
    <w:p w14:paraId="4F71809E">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44BBF570">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50BC7348">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18B16F43">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5B08D34E">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35201490">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58F389D9">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1512D7FC">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6F1DA7AE">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09041B11">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4E6252A3">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673ACE6F">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3565EDE3">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21E232BC">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1841C490">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1969EFE0">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6D5C424F">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4538AD16">
      <w:pPr>
        <w:keepNext w:val="0"/>
        <w:keepLines w:val="0"/>
        <w:pageBreakBefore w:val="0"/>
        <w:widowControl/>
        <w:numPr>
          <w:ilvl w:val="0"/>
          <w:numId w:val="0"/>
        </w:numPr>
        <w:kinsoku w:val="0"/>
        <w:wordWrap/>
        <w:overflowPunct/>
        <w:topLinePunct w:val="0"/>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color w:val="auto"/>
          <w:sz w:val="44"/>
          <w:szCs w:val="44"/>
          <w:highlight w:val="none"/>
          <w:lang w:eastAsia="zh"/>
        </w:rPr>
      </w:pPr>
    </w:p>
    <w:p w14:paraId="2D458990">
      <w:pPr>
        <w:keepNext w:val="0"/>
        <w:keepLines w:val="0"/>
        <w:pageBreakBefore w:val="0"/>
        <w:widowControl w:val="0"/>
        <w:kinsoku/>
        <w:wordWrap/>
        <w:overflowPunct/>
        <w:topLinePunct w:val="0"/>
        <w:autoSpaceDE/>
        <w:autoSpaceDN/>
        <w:bidi w:val="0"/>
        <w:adjustRightInd/>
        <w:snapToGrid/>
        <w:spacing w:beforeLines="0" w:afterLines="0" w:line="560" w:lineRule="exact"/>
        <w:ind w:firstLine="880" w:firstLineChars="200"/>
        <w:jc w:val="center"/>
        <w:textAlignment w:val="auto"/>
        <w:outlineLvl w:val="0"/>
        <w:rPr>
          <w:rStyle w:val="33"/>
          <w:rFonts w:hint="eastAsia" w:ascii="方正小标宋简体" w:hAnsi="黑体" w:eastAsia="方正小标宋简体" w:cs="宋体"/>
          <w:b w:val="0"/>
          <w:bCs w:val="0"/>
          <w:color w:val="auto"/>
          <w:kern w:val="0"/>
          <w:sz w:val="44"/>
          <w:highlight w:val="none"/>
          <w:lang w:val="en-US" w:eastAsia="zh-CN"/>
        </w:rPr>
      </w:pPr>
      <w:r>
        <w:rPr>
          <w:rStyle w:val="33"/>
          <w:rFonts w:hint="eastAsia" w:ascii="方正小标宋简体" w:hAnsi="黑体" w:eastAsia="方正小标宋简体" w:cs="宋体"/>
          <w:b w:val="0"/>
          <w:bCs w:val="0"/>
          <w:color w:val="auto"/>
          <w:kern w:val="0"/>
          <w:sz w:val="44"/>
          <w:highlight w:val="none"/>
          <w:lang w:val="en-US" w:eastAsia="zh"/>
        </w:rPr>
        <w:t>第四章</w:t>
      </w:r>
      <w:r>
        <w:rPr>
          <w:rStyle w:val="33"/>
          <w:rFonts w:hint="eastAsia" w:ascii="方正小标宋简体" w:hAnsi="黑体" w:eastAsia="方正小标宋简体" w:cs="宋体"/>
          <w:b w:val="0"/>
          <w:bCs w:val="0"/>
          <w:color w:val="auto"/>
          <w:kern w:val="0"/>
          <w:sz w:val="44"/>
          <w:highlight w:val="none"/>
          <w:lang w:val="en-US" w:eastAsia="zh-CN"/>
        </w:rPr>
        <w:t xml:space="preserve"> </w:t>
      </w:r>
      <w:bookmarkStart w:id="16" w:name="_Toc440"/>
      <w:bookmarkStart w:id="17" w:name="_Toc423986217"/>
      <w:bookmarkStart w:id="18" w:name="_Toc10172"/>
      <w:r>
        <w:rPr>
          <w:rStyle w:val="33"/>
          <w:rFonts w:hint="eastAsia" w:ascii="方正小标宋简体" w:hAnsi="黑体" w:eastAsia="方正小标宋简体" w:cs="宋体"/>
          <w:b w:val="0"/>
          <w:bCs w:val="0"/>
          <w:color w:val="auto"/>
          <w:kern w:val="0"/>
          <w:sz w:val="44"/>
          <w:highlight w:val="none"/>
          <w:lang w:val="en-US" w:eastAsia="zh"/>
        </w:rPr>
        <w:t>评审</w:t>
      </w:r>
      <w:r>
        <w:rPr>
          <w:rStyle w:val="33"/>
          <w:rFonts w:hint="eastAsia" w:ascii="方正小标宋简体" w:hAnsi="黑体" w:eastAsia="方正小标宋简体" w:cs="宋体"/>
          <w:b w:val="0"/>
          <w:bCs w:val="0"/>
          <w:color w:val="auto"/>
          <w:kern w:val="0"/>
          <w:sz w:val="44"/>
          <w:highlight w:val="none"/>
          <w:lang w:val="en-US" w:eastAsia="zh-CN"/>
        </w:rPr>
        <w:t>方法与标准</w:t>
      </w:r>
      <w:bookmarkEnd w:id="11"/>
      <w:bookmarkEnd w:id="16"/>
      <w:bookmarkEnd w:id="17"/>
      <w:bookmarkEnd w:id="18"/>
    </w:p>
    <w:p w14:paraId="60B88EBC">
      <w:pPr>
        <w:pStyle w:val="10"/>
        <w:keepNext/>
        <w:keepLines/>
        <w:pageBreakBefore w:val="0"/>
        <w:widowControl w:val="0"/>
        <w:numPr>
          <w:ilvl w:val="0"/>
          <w:numId w:val="14"/>
        </w:numPr>
        <w:suppressLineNumbers w:val="0"/>
        <w:wordWrap/>
        <w:topLinePunct w:val="0"/>
        <w:autoSpaceDE/>
        <w:autoSpaceDN/>
        <w:bidi w:val="0"/>
        <w:spacing w:beforeLines="0" w:beforeAutospacing="0" w:afterLines="0" w:afterAutospacing="0" w:line="560" w:lineRule="exact"/>
        <w:ind w:left="0" w:leftChars="0" w:firstLine="640" w:firstLineChars="200"/>
        <w:jc w:val="left"/>
        <w:outlineLvl w:val="1"/>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评审方法</w:t>
      </w:r>
    </w:p>
    <w:p w14:paraId="1D654FED">
      <w:pPr>
        <w:pageBreakBefore w:val="0"/>
        <w:wordWrap/>
        <w:topLinePunct w:val="0"/>
        <w:bidi w:val="0"/>
        <w:spacing w:line="560" w:lineRule="exact"/>
        <w:ind w:firstLine="640" w:firstLineChars="200"/>
        <w:jc w:val="left"/>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本次评选采用</w:t>
      </w:r>
      <w:r>
        <w:rPr>
          <w:rFonts w:hint="eastAsia" w:ascii="仿宋_GB2312" w:hAnsi="仿宋_GB2312" w:eastAsia="仿宋_GB2312" w:cs="仿宋_GB2312"/>
          <w:b/>
          <w:bCs/>
          <w:color w:val="auto"/>
          <w:sz w:val="32"/>
          <w:szCs w:val="32"/>
          <w:highlight w:val="none"/>
        </w:rPr>
        <w:t>综合评分法</w:t>
      </w:r>
    </w:p>
    <w:p w14:paraId="1D031CF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综合评分法：评审小组按照</w:t>
      </w:r>
      <w:r>
        <w:rPr>
          <w:rFonts w:hint="eastAsia" w:ascii="仿宋_GB2312" w:hAnsi="仿宋_GB2312" w:eastAsia="仿宋_GB2312" w:cs="仿宋_GB2312"/>
          <w:color w:val="auto"/>
          <w:sz w:val="32"/>
          <w:szCs w:val="32"/>
          <w:highlight w:val="none"/>
          <w:lang w:val="en-US" w:eastAsia="zh-CN"/>
        </w:rPr>
        <w:t>询比采购</w:t>
      </w:r>
      <w:r>
        <w:rPr>
          <w:rFonts w:hint="eastAsia" w:ascii="仿宋_GB2312" w:hAnsi="仿宋_GB2312" w:eastAsia="仿宋_GB2312" w:cs="仿宋_GB2312"/>
          <w:color w:val="auto"/>
          <w:sz w:val="32"/>
          <w:highlight w:val="none"/>
        </w:rPr>
        <w:t>文件规定的评分标准进行评分，并按得分由高到低顺序推荐</w:t>
      </w:r>
      <w:r>
        <w:rPr>
          <w:rFonts w:hint="eastAsia" w:ascii="仿宋_GB2312" w:hAnsi="仿宋_GB2312" w:eastAsia="仿宋_GB2312" w:cs="仿宋_GB2312"/>
          <w:color w:val="auto"/>
          <w:sz w:val="32"/>
          <w:highlight w:val="none"/>
          <w:lang w:val="en-US" w:eastAsia="zh-CN"/>
        </w:rPr>
        <w:t>成交</w:t>
      </w:r>
      <w:r>
        <w:rPr>
          <w:rFonts w:hint="eastAsia" w:ascii="仿宋_GB2312" w:hAnsi="仿宋_GB2312" w:eastAsia="仿宋_GB2312" w:cs="仿宋_GB2312"/>
          <w:color w:val="auto"/>
          <w:sz w:val="32"/>
          <w:highlight w:val="none"/>
        </w:rPr>
        <w:t>候选人。综合评分相等时，以报价低的优先；报价也相等的，由采购人自行确定。</w:t>
      </w:r>
    </w:p>
    <w:p w14:paraId="42F93D06">
      <w:pPr>
        <w:pStyle w:val="10"/>
        <w:keepNext/>
        <w:keepLines/>
        <w:pageBreakBefore w:val="0"/>
        <w:widowControl w:val="0"/>
        <w:numPr>
          <w:ilvl w:val="0"/>
          <w:numId w:val="14"/>
        </w:numPr>
        <w:suppressLineNumbers w:val="0"/>
        <w:wordWrap/>
        <w:topLinePunct w:val="0"/>
        <w:autoSpaceDE/>
        <w:autoSpaceDN/>
        <w:bidi w:val="0"/>
        <w:spacing w:beforeLines="0" w:beforeAutospacing="0" w:afterLines="0" w:afterAutospacing="0" w:line="560" w:lineRule="exact"/>
        <w:ind w:left="0" w:leftChars="0" w:firstLine="640" w:firstLineChars="200"/>
        <w:jc w:val="left"/>
        <w:outlineLvl w:val="1"/>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评审程序</w:t>
      </w:r>
    </w:p>
    <w:p w14:paraId="3AFF1A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outlineLvl w:val="2"/>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（一）评审原则</w:t>
      </w:r>
    </w:p>
    <w:p w14:paraId="19A955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highlight w:val="none"/>
          <w:lang w:val="en-US" w:eastAsia="zh-CN"/>
        </w:rPr>
      </w:pPr>
      <w:r>
        <w:rPr>
          <w:rFonts w:hint="eastAsia" w:ascii="仿宋_GB2312" w:hAnsi="仿宋_GB2312" w:eastAsia="仿宋_GB2312" w:cs="仿宋_GB2312"/>
          <w:color w:val="auto"/>
          <w:sz w:val="32"/>
          <w:highlight w:val="none"/>
          <w:lang w:val="en-US" w:eastAsia="zh-CN"/>
        </w:rPr>
        <w:t>1.评审人员正式评审询比采购文件前，应当对询比采购文件进行熟悉和理解，内容主要包括询比采购文件中供应商资格条件要求，采购项目技术、服务及其他要求，评标方法和标准以及可能涉及签订采购合同的内容等。</w:t>
      </w:r>
    </w:p>
    <w:p w14:paraId="73332F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highlight w:val="none"/>
          <w:lang w:val="en-US" w:eastAsia="zh-CN"/>
        </w:rPr>
        <w:t>2.评审活动遵循公平、公正、科学和择优的原则。</w:t>
      </w:r>
    </w:p>
    <w:p w14:paraId="77943F9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highlight w:val="none"/>
          <w:lang w:val="en-US" w:eastAsia="zh-CN"/>
        </w:rPr>
      </w:pPr>
      <w:r>
        <w:rPr>
          <w:rFonts w:hint="eastAsia" w:ascii="仿宋_GB2312" w:hAnsi="仿宋_GB2312" w:eastAsia="仿宋_GB2312" w:cs="仿宋_GB2312"/>
          <w:color w:val="auto"/>
          <w:sz w:val="32"/>
          <w:highlight w:val="none"/>
          <w:lang w:val="en-US" w:eastAsia="zh-CN"/>
        </w:rPr>
        <w:t>3.严格依据询比采购文件规定的评审方法、程序和标准评审。不得以投票表决等形式修改询比采购文件规定的评审方法、程序和标准；询比采购文件没有规定的评审方法、程序和标准，不得作为评审依据。</w:t>
      </w:r>
    </w:p>
    <w:p w14:paraId="0E5F1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highlight w:val="none"/>
          <w:lang w:val="en-US" w:eastAsia="zh-CN"/>
        </w:rPr>
      </w:pPr>
      <w:r>
        <w:rPr>
          <w:rFonts w:hint="eastAsia" w:ascii="仿宋_GB2312" w:hAnsi="仿宋_GB2312" w:eastAsia="仿宋_GB2312" w:cs="仿宋_GB2312"/>
          <w:color w:val="auto"/>
          <w:sz w:val="32"/>
          <w:highlight w:val="none"/>
          <w:lang w:val="en-US" w:eastAsia="zh-CN"/>
        </w:rPr>
        <w:t>4.对所有响应文件的评审依据和评审尺度保持一致。</w:t>
      </w:r>
    </w:p>
    <w:p w14:paraId="0E3F6E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outlineLvl w:val="3"/>
        <w:rPr>
          <w:rFonts w:hint="eastAsia" w:ascii="仿宋_GB2312" w:hAnsi="仿宋_GB2312" w:eastAsia="仿宋_GB2312" w:cs="仿宋_GB2312"/>
          <w:color w:val="auto"/>
        </w:rPr>
      </w:pPr>
      <w:r>
        <w:rPr>
          <w:rFonts w:hint="eastAsia" w:ascii="仿宋_GB2312" w:hAnsi="仿宋_GB2312" w:eastAsia="仿宋_GB2312" w:cs="仿宋_GB2312"/>
          <w:color w:val="auto"/>
          <w:sz w:val="32"/>
          <w:szCs w:val="32"/>
          <w:highlight w:val="none"/>
          <w:lang w:val="en-US" w:eastAsia="zh-CN"/>
        </w:rPr>
        <w:t>（1）资格评审</w:t>
      </w:r>
    </w:p>
    <w:p w14:paraId="630A32FF">
      <w:pPr>
        <w:keepNext w:val="0"/>
        <w:keepLines w:val="0"/>
        <w:pageBreakBefore w:val="0"/>
        <w:numPr>
          <w:ilvl w:val="0"/>
          <w:numId w:val="0"/>
        </w:numPr>
        <w:wordWrap/>
        <w:topLinePunct w:val="0"/>
        <w:bidi w:val="0"/>
        <w:spacing w:line="560" w:lineRule="exact"/>
        <w:ind w:firstLine="640" w:firstLineChars="200"/>
        <w:jc w:val="left"/>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评审开始后，评审人员依据询比采购文件规定的资格审查标准，对供应商的资格进行审查。资格审查表如下：</w:t>
      </w:r>
    </w:p>
    <w:p w14:paraId="7919C70D">
      <w:pPr>
        <w:keepNext w:val="0"/>
        <w:keepLines w:val="0"/>
        <w:pageBreakBefore w:val="0"/>
        <w:numPr>
          <w:ilvl w:val="0"/>
          <w:numId w:val="0"/>
        </w:numPr>
        <w:wordWrap/>
        <w:topLinePunct w:val="0"/>
        <w:bidi w:val="0"/>
        <w:spacing w:line="560" w:lineRule="exact"/>
        <w:ind w:firstLine="640" w:firstLineChars="200"/>
        <w:jc w:val="left"/>
        <w:outlineLvl w:val="9"/>
        <w:rPr>
          <w:rFonts w:hint="eastAsia" w:ascii="仿宋_GB2312" w:hAnsi="仿宋_GB2312" w:eastAsia="仿宋_GB2312" w:cs="仿宋_GB2312"/>
          <w:color w:val="auto"/>
          <w:sz w:val="32"/>
          <w:szCs w:val="32"/>
          <w:highlight w:val="none"/>
          <w:lang w:val="en-US" w:eastAsia="zh-CN"/>
        </w:rPr>
      </w:pPr>
    </w:p>
    <w:tbl>
      <w:tblPr>
        <w:tblStyle w:val="27"/>
        <w:tblW w:w="4989" w:type="pct"/>
        <w:tblInd w:w="195"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3510"/>
        <w:gridCol w:w="5705"/>
      </w:tblGrid>
      <w:tr w14:paraId="45516A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tblHeader/>
        </w:trPr>
        <w:tc>
          <w:tcPr>
            <w:tcW w:w="1904" w:type="pct"/>
            <w:tcBorders>
              <w:tl2br w:val="nil"/>
              <w:tr2bl w:val="nil"/>
            </w:tcBorders>
            <w:noWrap w:val="0"/>
            <w:tcMar>
              <w:top w:w="90" w:type="dxa"/>
              <w:left w:w="195" w:type="dxa"/>
              <w:bottom w:w="90" w:type="dxa"/>
              <w:right w:w="195" w:type="dxa"/>
            </w:tcMar>
            <w:vAlign w:val="center"/>
          </w:tcPr>
          <w:p w14:paraId="08896308">
            <w:pPr>
              <w:keepNext w:val="0"/>
              <w:keepLines w:val="0"/>
              <w:pageBreakBefore w:val="0"/>
              <w:widowControl/>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b/>
                <w:bCs/>
                <w:i w:val="0"/>
                <w:iCs w:val="0"/>
                <w:caps w:val="0"/>
                <w:color w:val="auto"/>
                <w:spacing w:val="0"/>
                <w:sz w:val="24"/>
                <w:szCs w:val="24"/>
                <w:highlight w:val="none"/>
              </w:rPr>
            </w:pPr>
            <w:r>
              <w:rPr>
                <w:rStyle w:val="30"/>
                <w:rFonts w:hint="eastAsia" w:ascii="仿宋_GB2312" w:hAnsi="仿宋_GB2312" w:eastAsia="仿宋_GB2312" w:cs="仿宋_GB2312"/>
                <w:b/>
                <w:bCs/>
                <w:i w:val="0"/>
                <w:iCs w:val="0"/>
                <w:caps w:val="0"/>
                <w:color w:val="auto"/>
                <w:spacing w:val="0"/>
                <w:kern w:val="0"/>
                <w:sz w:val="24"/>
                <w:szCs w:val="24"/>
                <w:highlight w:val="none"/>
                <w:lang w:val="en-US" w:eastAsia="zh-CN" w:bidi="ar"/>
              </w:rPr>
              <w:t>资格要求条款</w:t>
            </w:r>
          </w:p>
        </w:tc>
        <w:tc>
          <w:tcPr>
            <w:tcW w:w="3095" w:type="pct"/>
            <w:tcBorders>
              <w:tl2br w:val="nil"/>
              <w:tr2bl w:val="nil"/>
            </w:tcBorders>
            <w:noWrap w:val="0"/>
            <w:tcMar>
              <w:top w:w="90" w:type="dxa"/>
              <w:left w:w="195" w:type="dxa"/>
              <w:bottom w:w="90" w:type="dxa"/>
              <w:right w:w="195" w:type="dxa"/>
            </w:tcMar>
            <w:vAlign w:val="center"/>
          </w:tcPr>
          <w:p w14:paraId="222D538F">
            <w:pPr>
              <w:keepNext w:val="0"/>
              <w:keepLines w:val="0"/>
              <w:pageBreakBefore w:val="0"/>
              <w:widowControl/>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b/>
                <w:bCs/>
                <w:i w:val="0"/>
                <w:iCs w:val="0"/>
                <w:caps w:val="0"/>
                <w:color w:val="auto"/>
                <w:spacing w:val="0"/>
                <w:sz w:val="24"/>
                <w:szCs w:val="24"/>
                <w:highlight w:val="none"/>
              </w:rPr>
            </w:pPr>
            <w:r>
              <w:rPr>
                <w:rStyle w:val="30"/>
                <w:rFonts w:hint="eastAsia" w:ascii="仿宋_GB2312" w:hAnsi="仿宋_GB2312" w:eastAsia="仿宋_GB2312" w:cs="仿宋_GB2312"/>
                <w:b/>
                <w:bCs/>
                <w:i w:val="0"/>
                <w:iCs w:val="0"/>
                <w:caps w:val="0"/>
                <w:color w:val="auto"/>
                <w:spacing w:val="0"/>
                <w:kern w:val="0"/>
                <w:sz w:val="24"/>
                <w:szCs w:val="24"/>
                <w:highlight w:val="none"/>
                <w:lang w:val="en-US" w:eastAsia="zh-CN" w:bidi="ar"/>
              </w:rPr>
              <w:t>需提供的证明材料</w:t>
            </w:r>
          </w:p>
        </w:tc>
      </w:tr>
      <w:tr w14:paraId="6C0F4A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04" w:type="pct"/>
            <w:tcBorders>
              <w:tl2br w:val="nil"/>
              <w:tr2bl w:val="nil"/>
            </w:tcBorders>
            <w:noWrap w:val="0"/>
            <w:tcMar>
              <w:top w:w="90" w:type="dxa"/>
              <w:left w:w="195" w:type="dxa"/>
              <w:bottom w:w="90" w:type="dxa"/>
              <w:right w:w="195" w:type="dxa"/>
            </w:tcMar>
            <w:vAlign w:val="center"/>
          </w:tcPr>
          <w:p w14:paraId="42273F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Style w:val="30"/>
                <w:rFonts w:hint="eastAsia" w:ascii="仿宋_GB2312" w:hAnsi="仿宋_GB2312" w:eastAsia="仿宋_GB2312" w:cs="仿宋_GB2312"/>
                <w:b w:val="0"/>
                <w:bCs/>
                <w:color w:val="auto"/>
                <w:sz w:val="24"/>
                <w:szCs w:val="24"/>
                <w:lang w:bidi="ar-SA"/>
              </w:rPr>
            </w:pPr>
            <w:r>
              <w:rPr>
                <w:rStyle w:val="30"/>
                <w:rFonts w:hint="eastAsia" w:ascii="仿宋_GB2312" w:hAnsi="仿宋_GB2312" w:eastAsia="仿宋_GB2312" w:cs="仿宋_GB2312"/>
                <w:b w:val="0"/>
                <w:bCs/>
                <w:color w:val="auto"/>
                <w:sz w:val="24"/>
                <w:szCs w:val="24"/>
                <w:lang w:val="en-US" w:eastAsia="zh-CN" w:bidi="ar-SA"/>
              </w:rPr>
              <w:t>在中华人民共和国境内注册，具有独立承担民事责任能力的企业法人或其他组织；</w:t>
            </w:r>
          </w:p>
        </w:tc>
        <w:tc>
          <w:tcPr>
            <w:tcW w:w="3095" w:type="pct"/>
            <w:tcBorders>
              <w:tl2br w:val="nil"/>
              <w:tr2bl w:val="nil"/>
            </w:tcBorders>
            <w:noWrap w:val="0"/>
            <w:tcMar>
              <w:top w:w="90" w:type="dxa"/>
              <w:left w:w="195" w:type="dxa"/>
              <w:bottom w:w="90" w:type="dxa"/>
              <w:right w:w="195" w:type="dxa"/>
            </w:tcMar>
            <w:vAlign w:val="center"/>
          </w:tcPr>
          <w:p w14:paraId="19B8EE6C">
            <w:pPr>
              <w:keepNext w:val="0"/>
              <w:keepLines w:val="0"/>
              <w:pageBreakBefore w:val="0"/>
              <w:widowControl/>
              <w:numPr>
                <w:ilvl w:val="0"/>
                <w:numId w:val="15"/>
              </w:numPr>
              <w:suppressLineNumbers w:val="0"/>
              <w:wordWrap/>
              <w:topLinePunct w:val="0"/>
              <w:bidi w:val="0"/>
              <w:spacing w:before="0" w:beforeAutospacing="0" w:after="0" w:afterAutospacing="0" w:line="560" w:lineRule="exact"/>
              <w:ind w:left="0" w:leftChars="0" w:right="0" w:firstLine="0" w:firstLineChars="0"/>
              <w:jc w:val="left"/>
              <w:rPr>
                <w:rFonts w:hint="eastAsia" w:ascii="仿宋_GB2312" w:hAnsi="仿宋_GB2312" w:eastAsia="仿宋_GB2312" w:cs="仿宋_GB2312"/>
                <w:color w:val="auto"/>
                <w:kern w:val="0"/>
                <w:sz w:val="24"/>
                <w:szCs w:val="24"/>
                <w:highlight w:val="none"/>
                <w:lang w:val="en-US" w:eastAsia="zh-CN" w:bidi="ar"/>
              </w:rPr>
            </w:pPr>
            <w:r>
              <w:rPr>
                <w:rStyle w:val="30"/>
                <w:rFonts w:hint="eastAsia" w:ascii="仿宋_GB2312" w:hAnsi="仿宋_GB2312" w:eastAsia="仿宋_GB2312" w:cs="仿宋_GB2312"/>
                <w:b w:val="0"/>
                <w:bCs/>
                <w:color w:val="auto"/>
                <w:sz w:val="24"/>
                <w:szCs w:val="24"/>
                <w:highlight w:val="none"/>
                <w:lang w:bidi="ar"/>
              </w:rPr>
              <w:t>营业执照副本复印件</w:t>
            </w:r>
            <w:r>
              <w:rPr>
                <w:rStyle w:val="30"/>
                <w:rFonts w:hint="eastAsia" w:ascii="仿宋_GB2312" w:hAnsi="仿宋_GB2312" w:eastAsia="仿宋_GB2312" w:cs="仿宋_GB2312"/>
                <w:b w:val="0"/>
                <w:bCs/>
                <w:color w:val="auto"/>
                <w:sz w:val="24"/>
                <w:szCs w:val="24"/>
                <w:highlight w:val="none"/>
                <w:lang w:eastAsia="zh" w:bidi="ar"/>
              </w:rPr>
              <w:t>；</w:t>
            </w:r>
          </w:p>
          <w:p w14:paraId="38EEC644">
            <w:pPr>
              <w:keepNext w:val="0"/>
              <w:keepLines w:val="0"/>
              <w:pageBreakBefore w:val="0"/>
              <w:widowControl/>
              <w:numPr>
                <w:ilvl w:val="0"/>
                <w:numId w:val="15"/>
              </w:numPr>
              <w:suppressLineNumbers w:val="0"/>
              <w:wordWrap/>
              <w:topLinePunct w:val="0"/>
              <w:bidi w:val="0"/>
              <w:spacing w:before="0" w:beforeAutospacing="0" w:after="0" w:afterAutospacing="0" w:line="560" w:lineRule="exact"/>
              <w:ind w:left="0" w:leftChars="0" w:right="0" w:firstLine="0" w:firstLineChars="0"/>
              <w:jc w:val="left"/>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i w:val="0"/>
                <w:iCs w:val="0"/>
                <w:caps w:val="0"/>
                <w:color w:val="auto"/>
                <w:spacing w:val="0"/>
                <w:kern w:val="0"/>
                <w:sz w:val="24"/>
                <w:szCs w:val="24"/>
                <w:highlight w:val="none"/>
                <w:lang w:val="en-US" w:eastAsia="zh-CN" w:bidi="ar"/>
              </w:rPr>
              <w:t>法定代表人身份证明或授权委托书</w:t>
            </w:r>
            <w:r>
              <w:rPr>
                <w:rFonts w:hint="eastAsia" w:ascii="仿宋_GB2312" w:hAnsi="仿宋_GB2312" w:eastAsia="仿宋_GB2312" w:cs="仿宋_GB2312"/>
                <w:i w:val="0"/>
                <w:iCs w:val="0"/>
                <w:caps w:val="0"/>
                <w:color w:val="auto"/>
                <w:spacing w:val="0"/>
                <w:kern w:val="0"/>
                <w:sz w:val="24"/>
                <w:szCs w:val="24"/>
                <w:highlight w:val="none"/>
                <w:lang w:val="en-US" w:eastAsia="zh" w:bidi="ar"/>
              </w:rPr>
              <w:t>。</w:t>
            </w:r>
          </w:p>
        </w:tc>
      </w:tr>
      <w:tr w14:paraId="1EAAD9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904" w:type="pct"/>
            <w:tcBorders>
              <w:tl2br w:val="nil"/>
              <w:tr2bl w:val="nil"/>
            </w:tcBorders>
            <w:noWrap w:val="0"/>
            <w:tcMar>
              <w:top w:w="90" w:type="dxa"/>
              <w:left w:w="195" w:type="dxa"/>
              <w:bottom w:w="90" w:type="dxa"/>
              <w:right w:w="195" w:type="dxa"/>
            </w:tcMar>
            <w:vAlign w:val="center"/>
          </w:tcPr>
          <w:p w14:paraId="46EE80E9">
            <w:pPr>
              <w:pStyle w:val="24"/>
              <w:keepNext w:val="0"/>
              <w:keepLines w:val="0"/>
              <w:pageBreakBefore w:val="0"/>
              <w:widowControl w:val="0"/>
              <w:numPr>
                <w:ilvl w:val="0"/>
                <w:numId w:val="0"/>
              </w:numPr>
              <w:suppressLineNumbers w:val="0"/>
              <w:wordWrap/>
              <w:topLinePunct w:val="0"/>
              <w:bidi w:val="0"/>
              <w:adjustRightInd w:val="0"/>
              <w:snapToGrid w:val="0"/>
              <w:spacing w:before="0" w:beforeLines="0" w:beforeAutospacing="0" w:after="0" w:afterLines="0" w:afterAutospacing="0" w:line="560" w:lineRule="exact"/>
              <w:ind w:left="0" w:right="0"/>
              <w:jc w:val="center"/>
              <w:rPr>
                <w:rStyle w:val="30"/>
                <w:rFonts w:hint="eastAsia" w:ascii="仿宋_GB2312" w:hAnsi="仿宋_GB2312" w:eastAsia="仿宋_GB2312" w:cs="仿宋_GB2312"/>
                <w:b w:val="0"/>
                <w:bCs/>
                <w:i w:val="0"/>
                <w:iCs w:val="0"/>
                <w:caps w:val="0"/>
                <w:color w:val="auto"/>
                <w:spacing w:val="0"/>
                <w:kern w:val="0"/>
                <w:sz w:val="24"/>
                <w:szCs w:val="24"/>
                <w:highlight w:val="none"/>
                <w:lang w:val="en-US" w:eastAsia="zh-CN" w:bidi="ar"/>
              </w:rPr>
            </w:pPr>
            <w:r>
              <w:rPr>
                <w:rStyle w:val="30"/>
                <w:rFonts w:hint="eastAsia" w:ascii="仿宋_GB2312" w:hAnsi="仿宋_GB2312" w:eastAsia="仿宋_GB2312" w:cs="仿宋_GB2312"/>
                <w:b w:val="0"/>
                <w:bCs/>
                <w:i w:val="0"/>
                <w:iCs w:val="0"/>
                <w:caps w:val="0"/>
                <w:color w:val="auto"/>
                <w:spacing w:val="0"/>
                <w:kern w:val="0"/>
                <w:sz w:val="24"/>
                <w:szCs w:val="24"/>
                <w:highlight w:val="none"/>
                <w:lang w:val="en-US" w:eastAsia="zh-CN" w:bidi="ar"/>
              </w:rPr>
              <w:t>具有良好的商业信誉和健全的财务制度；</w:t>
            </w:r>
          </w:p>
        </w:tc>
        <w:tc>
          <w:tcPr>
            <w:tcW w:w="3095" w:type="pct"/>
            <w:tcBorders>
              <w:tl2br w:val="nil"/>
              <w:tr2bl w:val="nil"/>
            </w:tcBorders>
            <w:noWrap w:val="0"/>
            <w:tcMar>
              <w:top w:w="90" w:type="dxa"/>
              <w:left w:w="195" w:type="dxa"/>
              <w:bottom w:w="90" w:type="dxa"/>
              <w:right w:w="195" w:type="dxa"/>
            </w:tcMar>
            <w:vAlign w:val="center"/>
          </w:tcPr>
          <w:p w14:paraId="4531E90E">
            <w:pPr>
              <w:keepNext w:val="0"/>
              <w:keepLines w:val="0"/>
              <w:pageBreakBefore w:val="0"/>
              <w:widowControl/>
              <w:numPr>
                <w:ilvl w:val="0"/>
                <w:numId w:val="16"/>
              </w:numPr>
              <w:suppressLineNumbers w:val="0"/>
              <w:wordWrap/>
              <w:topLinePunct w:val="0"/>
              <w:bidi w:val="0"/>
              <w:spacing w:before="0" w:beforeAutospacing="0" w:after="0" w:afterAutospacing="0" w:line="560" w:lineRule="exact"/>
              <w:ind w:left="0" w:right="0" w:firstLine="0"/>
              <w:jc w:val="left"/>
              <w:rPr>
                <w:rFonts w:hint="eastAsia" w:ascii="仿宋_GB2312" w:hAnsi="Times New Roman" w:eastAsia="仿宋_GB2312" w:cs="Times New Roman"/>
                <w:color w:val="auto"/>
                <w:sz w:val="24"/>
                <w:szCs w:val="24"/>
                <w:highlight w:val="none"/>
                <w:lang w:eastAsia="zh-CN"/>
              </w:rPr>
            </w:pPr>
            <w:r>
              <w:rPr>
                <w:rFonts w:hint="eastAsia" w:ascii="仿宋_GB2312" w:hAnsi="仿宋_GB2312" w:eastAsia="仿宋_GB2312" w:cs="仿宋_GB2312"/>
                <w:b w:val="0"/>
                <w:bCs w:val="0"/>
                <w:color w:val="auto"/>
                <w:sz w:val="24"/>
                <w:szCs w:val="24"/>
                <w:highlight w:val="none"/>
                <w:lang w:val="en-US" w:bidi="ar"/>
              </w:rPr>
              <w:t>提供相关部门颁发的商业信誉证明材料或具有良好的商业信誉的承诺函（投标人在参加采购活动前，被纳入法院、工商行政管理部门、税务部门、银行认定的失信名单且在有效期内，或者在前三年采购合同履约过程中及其他经营活动履约过程中未依法履约被有关部门处罚（处理）的，不能认定为具有良好的商业信誉）</w:t>
            </w:r>
            <w:r>
              <w:rPr>
                <w:rFonts w:hint="eastAsia" w:ascii="仿宋_GB2312" w:hAnsi="仿宋_GB2312" w:eastAsia="仿宋_GB2312" w:cs="仿宋_GB2312"/>
                <w:b w:val="0"/>
                <w:bCs w:val="0"/>
                <w:color w:val="auto"/>
                <w:sz w:val="24"/>
                <w:szCs w:val="24"/>
                <w:highlight w:val="none"/>
                <w:lang w:val="en-US" w:eastAsia="zh-CN" w:bidi="ar"/>
              </w:rPr>
              <w:t>，或可提供承诺函；</w:t>
            </w:r>
          </w:p>
        </w:tc>
      </w:tr>
      <w:tr w14:paraId="73C70E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904" w:type="pct"/>
            <w:tcBorders>
              <w:tl2br w:val="nil"/>
              <w:tr2bl w:val="nil"/>
            </w:tcBorders>
            <w:noWrap w:val="0"/>
            <w:tcMar>
              <w:top w:w="90" w:type="dxa"/>
              <w:left w:w="195" w:type="dxa"/>
              <w:bottom w:w="90" w:type="dxa"/>
              <w:right w:w="195" w:type="dxa"/>
            </w:tcMar>
            <w:vAlign w:val="center"/>
          </w:tcPr>
          <w:p w14:paraId="5D0B7832">
            <w:pPr>
              <w:pStyle w:val="24"/>
              <w:keepNext w:val="0"/>
              <w:keepLines w:val="0"/>
              <w:pageBreakBefore w:val="0"/>
              <w:widowControl w:val="0"/>
              <w:numPr>
                <w:ilvl w:val="0"/>
                <w:numId w:val="0"/>
              </w:numPr>
              <w:suppressLineNumbers w:val="0"/>
              <w:wordWrap/>
              <w:topLinePunct w:val="0"/>
              <w:bidi w:val="0"/>
              <w:adjustRightInd w:val="0"/>
              <w:snapToGrid w:val="0"/>
              <w:spacing w:before="0" w:beforeLines="0" w:beforeAutospacing="0" w:after="0" w:afterLines="0" w:afterAutospacing="0" w:line="560" w:lineRule="exact"/>
              <w:ind w:left="0" w:right="0"/>
              <w:jc w:val="center"/>
              <w:rPr>
                <w:rStyle w:val="30"/>
                <w:rFonts w:hint="eastAsia" w:ascii="仿宋_GB2312" w:hAnsi="仿宋_GB2312" w:eastAsia="仿宋_GB2312" w:cs="仿宋_GB2312"/>
                <w:b w:val="0"/>
                <w:bCs/>
                <w:i w:val="0"/>
                <w:iCs w:val="0"/>
                <w:caps w:val="0"/>
                <w:color w:val="auto"/>
                <w:spacing w:val="0"/>
                <w:kern w:val="0"/>
                <w:sz w:val="24"/>
                <w:szCs w:val="24"/>
                <w:highlight w:val="none"/>
                <w:lang w:val="en-US" w:eastAsia="zh-CN" w:bidi="ar"/>
              </w:rPr>
            </w:pPr>
            <w:r>
              <w:rPr>
                <w:rStyle w:val="30"/>
                <w:rFonts w:hint="eastAsia" w:ascii="仿宋_GB2312" w:hAnsi="仿宋_GB2312" w:eastAsia="仿宋_GB2312" w:cs="仿宋_GB2312"/>
                <w:b w:val="0"/>
                <w:bCs/>
                <w:i w:val="0"/>
                <w:iCs w:val="0"/>
                <w:caps w:val="0"/>
                <w:color w:val="auto"/>
                <w:spacing w:val="0"/>
                <w:kern w:val="0"/>
                <w:sz w:val="24"/>
                <w:szCs w:val="24"/>
                <w:highlight w:val="none"/>
                <w:lang w:val="en-US" w:eastAsia="zh-CN" w:bidi="ar"/>
              </w:rPr>
              <w:t>有依法缴纳税收和社会保障资金的良好记录；</w:t>
            </w:r>
          </w:p>
        </w:tc>
        <w:tc>
          <w:tcPr>
            <w:tcW w:w="3095" w:type="pct"/>
            <w:tcBorders>
              <w:tl2br w:val="nil"/>
              <w:tr2bl w:val="nil"/>
            </w:tcBorders>
            <w:noWrap w:val="0"/>
            <w:tcMar>
              <w:top w:w="90" w:type="dxa"/>
              <w:left w:w="195" w:type="dxa"/>
              <w:bottom w:w="90" w:type="dxa"/>
              <w:right w:w="195" w:type="dxa"/>
            </w:tcMar>
            <w:vAlign w:val="center"/>
          </w:tcPr>
          <w:p w14:paraId="2DA89B22">
            <w:pPr>
              <w:keepNext w:val="0"/>
              <w:keepLines w:val="0"/>
              <w:pageBreakBefore w:val="0"/>
              <w:widowControl/>
              <w:numPr>
                <w:ilvl w:val="0"/>
                <w:numId w:val="17"/>
              </w:numPr>
              <w:suppressLineNumbers w:val="0"/>
              <w:wordWrap/>
              <w:topLinePunct w:val="0"/>
              <w:bidi w:val="0"/>
              <w:spacing w:before="0" w:beforeAutospacing="0" w:after="0" w:afterAutospacing="0" w:line="560" w:lineRule="exact"/>
              <w:ind w:left="0" w:right="0" w:firstLine="0"/>
              <w:jc w:val="left"/>
              <w:rPr>
                <w:rFonts w:hint="eastAsia" w:ascii="仿宋_GB2312" w:hAnsi="仿宋_GB2312" w:eastAsia="仿宋_GB2312" w:cs="仿宋_GB2312"/>
                <w:b w:val="0"/>
                <w:bCs w:val="0"/>
                <w:color w:val="auto"/>
                <w:sz w:val="24"/>
                <w:szCs w:val="24"/>
                <w:highlight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提供近1年内任意6个月缴纳税收证明材料，根据税务部门出具的完税凭证或纳税的银行转账汇款单、对账单等判定，证明材料应当显示税种和缴纳所属时期；</w:t>
            </w:r>
          </w:p>
          <w:p w14:paraId="698F8F90">
            <w:pPr>
              <w:keepNext w:val="0"/>
              <w:keepLines w:val="0"/>
              <w:pageBreakBefore w:val="0"/>
              <w:widowControl/>
              <w:numPr>
                <w:ilvl w:val="0"/>
                <w:numId w:val="17"/>
              </w:numPr>
              <w:suppressLineNumbers w:val="0"/>
              <w:wordWrap/>
              <w:topLinePunct w:val="0"/>
              <w:bidi w:val="0"/>
              <w:spacing w:before="0" w:beforeAutospacing="0" w:after="0" w:afterAutospacing="0" w:line="560" w:lineRule="exact"/>
              <w:ind w:left="0" w:right="0" w:firstLine="0"/>
              <w:jc w:val="left"/>
              <w:rPr>
                <w:rFonts w:hint="eastAsia" w:ascii="仿宋_GB2312" w:hAnsi="仿宋_GB2312" w:eastAsia="仿宋_GB2312" w:cs="仿宋_GB2312"/>
                <w:b w:val="0"/>
                <w:bCs w:val="0"/>
                <w:color w:val="auto"/>
                <w:sz w:val="24"/>
                <w:szCs w:val="24"/>
                <w:highlight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提供近1年内任意6个月缴纳社会保障金证明材料，根据银行转账汇款单或社保（税务）部门出具的缴纳社会保障金的凭证判定，证明材料应当显示险种和缴纳所属时期；</w:t>
            </w:r>
          </w:p>
        </w:tc>
      </w:tr>
      <w:tr w14:paraId="094975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904" w:type="pct"/>
            <w:tcBorders>
              <w:tl2br w:val="nil"/>
              <w:tr2bl w:val="nil"/>
            </w:tcBorders>
            <w:noWrap w:val="0"/>
            <w:tcMar>
              <w:top w:w="90" w:type="dxa"/>
              <w:left w:w="195" w:type="dxa"/>
              <w:bottom w:w="90" w:type="dxa"/>
              <w:right w:w="195" w:type="dxa"/>
            </w:tcMar>
            <w:vAlign w:val="center"/>
          </w:tcPr>
          <w:p w14:paraId="14A0B3B8">
            <w:pPr>
              <w:pStyle w:val="24"/>
              <w:keepNext w:val="0"/>
              <w:keepLines w:val="0"/>
              <w:pageBreakBefore w:val="0"/>
              <w:widowControl w:val="0"/>
              <w:numPr>
                <w:ilvl w:val="0"/>
                <w:numId w:val="0"/>
              </w:numPr>
              <w:suppressLineNumbers w:val="0"/>
              <w:wordWrap/>
              <w:topLinePunct w:val="0"/>
              <w:bidi w:val="0"/>
              <w:adjustRightInd w:val="0"/>
              <w:snapToGrid w:val="0"/>
              <w:spacing w:before="0" w:beforeLines="0" w:beforeAutospacing="0" w:after="0" w:afterLines="0" w:afterAutospacing="0" w:line="560" w:lineRule="exact"/>
              <w:ind w:left="0" w:right="0"/>
              <w:jc w:val="center"/>
              <w:rPr>
                <w:rStyle w:val="30"/>
                <w:rFonts w:hint="default" w:ascii="仿宋_GB2312" w:hAnsi="仿宋_GB2312" w:eastAsia="仿宋_GB2312" w:cs="仿宋_GB2312"/>
                <w:b w:val="0"/>
                <w:bCs/>
                <w:i w:val="0"/>
                <w:iCs w:val="0"/>
                <w:caps w:val="0"/>
                <w:color w:val="auto"/>
                <w:spacing w:val="0"/>
                <w:kern w:val="0"/>
                <w:sz w:val="24"/>
                <w:szCs w:val="24"/>
                <w:highlight w:val="none"/>
                <w:lang w:val="en-US" w:eastAsia="zh-CN" w:bidi="ar"/>
              </w:rPr>
            </w:pPr>
            <w:r>
              <w:rPr>
                <w:rStyle w:val="30"/>
                <w:rFonts w:hint="eastAsia" w:ascii="仿宋_GB2312" w:hAnsi="仿宋_GB2312" w:eastAsia="仿宋_GB2312" w:cs="仿宋_GB2312"/>
                <w:b w:val="0"/>
                <w:bCs/>
                <w:i w:val="0"/>
                <w:iCs w:val="0"/>
                <w:caps w:val="0"/>
                <w:color w:val="auto"/>
                <w:spacing w:val="0"/>
                <w:kern w:val="0"/>
                <w:sz w:val="24"/>
                <w:szCs w:val="24"/>
                <w:highlight w:val="none"/>
                <w:lang w:val="en-US" w:eastAsia="zh-CN" w:bidi="ar"/>
              </w:rPr>
              <w:t>参加本次采购活动前三年内，在经营活动中没有重大违法记录，无市场禁入；</w:t>
            </w:r>
          </w:p>
        </w:tc>
        <w:tc>
          <w:tcPr>
            <w:tcW w:w="3095" w:type="pct"/>
            <w:tcBorders>
              <w:tl2br w:val="nil"/>
              <w:tr2bl w:val="nil"/>
            </w:tcBorders>
            <w:noWrap w:val="0"/>
            <w:tcMar>
              <w:top w:w="90" w:type="dxa"/>
              <w:left w:w="195" w:type="dxa"/>
              <w:bottom w:w="90" w:type="dxa"/>
              <w:right w:w="195" w:type="dxa"/>
            </w:tcMar>
            <w:vAlign w:val="center"/>
          </w:tcPr>
          <w:p w14:paraId="2500201B">
            <w:pPr>
              <w:keepNext w:val="0"/>
              <w:keepLines w:val="0"/>
              <w:pageBreakBefore w:val="0"/>
              <w:widowControl/>
              <w:numPr>
                <w:ilvl w:val="0"/>
                <w:numId w:val="18"/>
              </w:numPr>
              <w:suppressLineNumbers w:val="0"/>
              <w:wordWrap/>
              <w:topLinePunct w:val="0"/>
              <w:bidi w:val="0"/>
              <w:spacing w:before="0" w:beforeAutospacing="0" w:after="0" w:afterAutospacing="0" w:line="560" w:lineRule="exact"/>
              <w:ind w:left="0" w:leftChars="0" w:right="0" w:firstLine="0" w:firstLineChars="0"/>
              <w:jc w:val="left"/>
              <w:rPr>
                <w:rFonts w:hint="default" w:ascii="仿宋_GB2312" w:hAnsi="仿宋_GB2312" w:eastAsia="仿宋_GB2312" w:cs="仿宋_GB2312"/>
                <w:b w:val="0"/>
                <w:bCs w:val="0"/>
                <w:color w:val="auto"/>
                <w:sz w:val="24"/>
                <w:szCs w:val="24"/>
                <w:highlight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可提供承诺函；</w:t>
            </w:r>
          </w:p>
        </w:tc>
      </w:tr>
      <w:tr w14:paraId="104508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904" w:type="pct"/>
            <w:tcBorders>
              <w:tl2br w:val="nil"/>
              <w:tr2bl w:val="nil"/>
            </w:tcBorders>
            <w:noWrap w:val="0"/>
            <w:tcMar>
              <w:top w:w="90" w:type="dxa"/>
              <w:left w:w="195" w:type="dxa"/>
              <w:bottom w:w="90" w:type="dxa"/>
              <w:right w:w="195" w:type="dxa"/>
            </w:tcMar>
            <w:vAlign w:val="center"/>
          </w:tcPr>
          <w:p w14:paraId="0CC3E401">
            <w:pPr>
              <w:pStyle w:val="24"/>
              <w:keepNext w:val="0"/>
              <w:keepLines w:val="0"/>
              <w:pageBreakBefore w:val="0"/>
              <w:widowControl w:val="0"/>
              <w:numPr>
                <w:ilvl w:val="0"/>
                <w:numId w:val="0"/>
              </w:numPr>
              <w:suppressLineNumbers w:val="0"/>
              <w:wordWrap/>
              <w:topLinePunct w:val="0"/>
              <w:bidi w:val="0"/>
              <w:adjustRightInd w:val="0"/>
              <w:snapToGrid w:val="0"/>
              <w:spacing w:before="0" w:beforeLines="0" w:beforeAutospacing="0" w:after="0" w:afterLines="0" w:afterAutospacing="0" w:line="560" w:lineRule="exact"/>
              <w:ind w:left="0" w:right="0"/>
              <w:jc w:val="center"/>
              <w:rPr>
                <w:rStyle w:val="30"/>
                <w:rFonts w:hint="eastAsia" w:ascii="仿宋_GB2312" w:hAnsi="仿宋_GB2312" w:eastAsia="仿宋_GB2312" w:cs="仿宋_GB2312"/>
                <w:b w:val="0"/>
                <w:bCs/>
                <w:i w:val="0"/>
                <w:iCs w:val="0"/>
                <w:caps w:val="0"/>
                <w:color w:val="auto"/>
                <w:spacing w:val="0"/>
                <w:kern w:val="0"/>
                <w:sz w:val="24"/>
                <w:szCs w:val="24"/>
                <w:highlight w:val="none"/>
                <w:lang w:val="en-US" w:eastAsia="zh-CN" w:bidi="ar"/>
              </w:rPr>
            </w:pPr>
            <w:r>
              <w:rPr>
                <w:rStyle w:val="30"/>
                <w:rFonts w:hint="eastAsia" w:ascii="仿宋_GB2312" w:hAnsi="仿宋_GB2312" w:eastAsia="仿宋_GB2312" w:cs="仿宋_GB2312"/>
                <w:b w:val="0"/>
                <w:bCs/>
                <w:i w:val="0"/>
                <w:iCs w:val="0"/>
                <w:caps w:val="0"/>
                <w:color w:val="auto"/>
                <w:spacing w:val="0"/>
                <w:kern w:val="0"/>
                <w:sz w:val="24"/>
                <w:szCs w:val="24"/>
                <w:highlight w:val="none"/>
                <w:lang w:val="en-US" w:eastAsia="zh-CN" w:bidi="ar"/>
              </w:rPr>
              <w:t>未处于投标禁入期内；</w:t>
            </w:r>
          </w:p>
        </w:tc>
        <w:tc>
          <w:tcPr>
            <w:tcW w:w="3095" w:type="pct"/>
            <w:tcBorders>
              <w:tl2br w:val="nil"/>
              <w:tr2bl w:val="nil"/>
            </w:tcBorders>
            <w:noWrap w:val="0"/>
            <w:tcMar>
              <w:top w:w="90" w:type="dxa"/>
              <w:left w:w="195" w:type="dxa"/>
              <w:bottom w:w="90" w:type="dxa"/>
              <w:right w:w="195" w:type="dxa"/>
            </w:tcMar>
            <w:vAlign w:val="center"/>
          </w:tcPr>
          <w:p w14:paraId="3CD8BACE">
            <w:pPr>
              <w:keepNext w:val="0"/>
              <w:keepLines w:val="0"/>
              <w:pageBreakBefore w:val="0"/>
              <w:widowControl/>
              <w:numPr>
                <w:ilvl w:val="0"/>
                <w:numId w:val="19"/>
              </w:numPr>
              <w:suppressLineNumbers w:val="0"/>
              <w:wordWrap/>
              <w:topLinePunct w:val="0"/>
              <w:bidi w:val="0"/>
              <w:spacing w:before="0" w:beforeAutospacing="0" w:after="0" w:afterAutospacing="0" w:line="560" w:lineRule="exact"/>
              <w:ind w:left="0" w:leftChars="0" w:right="0" w:firstLine="0" w:firstLineChars="0"/>
              <w:jc w:val="left"/>
              <w:rPr>
                <w:rFonts w:hint="eastAsia" w:ascii="仿宋_GB2312" w:hAnsi="仿宋_GB2312" w:eastAsia="仿宋_GB2312" w:cs="仿宋_GB2312"/>
                <w:b w:val="0"/>
                <w:bCs w:val="0"/>
                <w:color w:val="auto"/>
                <w:sz w:val="24"/>
                <w:szCs w:val="24"/>
                <w:highlight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可提供承诺函；</w:t>
            </w:r>
          </w:p>
        </w:tc>
      </w:tr>
      <w:tr w14:paraId="71845E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904" w:type="pct"/>
            <w:tcBorders>
              <w:tl2br w:val="nil"/>
              <w:tr2bl w:val="nil"/>
            </w:tcBorders>
            <w:shd w:val="clear" w:color="auto" w:fill="auto"/>
            <w:noWrap w:val="0"/>
            <w:tcMar>
              <w:top w:w="90" w:type="dxa"/>
              <w:left w:w="195" w:type="dxa"/>
              <w:bottom w:w="90" w:type="dxa"/>
              <w:right w:w="195" w:type="dxa"/>
            </w:tcMar>
            <w:vAlign w:val="center"/>
          </w:tcPr>
          <w:p w14:paraId="1DB90F96">
            <w:pPr>
              <w:pStyle w:val="24"/>
              <w:keepNext w:val="0"/>
              <w:keepLines w:val="0"/>
              <w:pageBreakBefore w:val="0"/>
              <w:widowControl w:val="0"/>
              <w:numPr>
                <w:ilvl w:val="0"/>
                <w:numId w:val="0"/>
              </w:numPr>
              <w:suppressLineNumbers w:val="0"/>
              <w:wordWrap/>
              <w:topLinePunct w:val="0"/>
              <w:bidi w:val="0"/>
              <w:adjustRightInd w:val="0"/>
              <w:snapToGrid w:val="0"/>
              <w:spacing w:before="0" w:beforeLines="0" w:beforeAutospacing="0" w:after="0" w:afterLines="0" w:afterAutospacing="0" w:line="560" w:lineRule="exact"/>
              <w:ind w:left="0" w:leftChars="0" w:right="0" w:rightChars="0" w:firstLine="0" w:firstLineChars="0"/>
              <w:jc w:val="center"/>
              <w:rPr>
                <w:rFonts w:hint="eastAsia" w:ascii="仿宋_GB2312" w:hAnsi="仿宋_GB2312" w:eastAsia="仿宋_GB2312" w:cs="仿宋_GB2312"/>
                <w:b w:val="0"/>
                <w:bCs/>
                <w:i w:val="0"/>
                <w:iCs w:val="0"/>
                <w:caps w:val="0"/>
                <w:color w:val="auto"/>
                <w:spacing w:val="0"/>
                <w:kern w:val="0"/>
                <w:sz w:val="24"/>
                <w:szCs w:val="24"/>
                <w:highlight w:val="none"/>
                <w:lang w:val="en-US" w:eastAsia="zh-CN" w:bidi="ar"/>
              </w:rPr>
            </w:pPr>
            <w:r>
              <w:rPr>
                <w:rStyle w:val="30"/>
                <w:rFonts w:hint="eastAsia" w:ascii="仿宋_GB2312" w:hAnsi="仿宋_GB2312" w:eastAsia="仿宋_GB2312" w:cs="仿宋_GB2312"/>
                <w:b w:val="0"/>
                <w:bCs/>
                <w:i w:val="0"/>
                <w:iCs w:val="0"/>
                <w:caps w:val="0"/>
                <w:color w:val="auto"/>
                <w:spacing w:val="0"/>
                <w:kern w:val="0"/>
                <w:sz w:val="24"/>
                <w:szCs w:val="24"/>
                <w:highlight w:val="none"/>
                <w:lang w:val="en-US" w:eastAsia="zh-CN" w:bidi="ar"/>
              </w:rPr>
              <w:t>参加本项目的投标人、法定代表人(非法人负责人)前三年内不得有行贿犯罪记录；</w:t>
            </w:r>
          </w:p>
        </w:tc>
        <w:tc>
          <w:tcPr>
            <w:tcW w:w="3095" w:type="pct"/>
            <w:tcBorders>
              <w:tl2br w:val="nil"/>
              <w:tr2bl w:val="nil"/>
            </w:tcBorders>
            <w:shd w:val="clear" w:color="auto" w:fill="auto"/>
            <w:noWrap w:val="0"/>
            <w:tcMar>
              <w:top w:w="90" w:type="dxa"/>
              <w:left w:w="195" w:type="dxa"/>
              <w:bottom w:w="90" w:type="dxa"/>
              <w:right w:w="195" w:type="dxa"/>
            </w:tcMar>
            <w:vAlign w:val="center"/>
          </w:tcPr>
          <w:p w14:paraId="77BC68EA">
            <w:pPr>
              <w:keepNext w:val="0"/>
              <w:keepLines w:val="0"/>
              <w:pageBreakBefore w:val="0"/>
              <w:widowControl/>
              <w:numPr>
                <w:ilvl w:val="0"/>
                <w:numId w:val="20"/>
              </w:numPr>
              <w:suppressLineNumbers w:val="0"/>
              <w:wordWrap/>
              <w:topLinePunct w:val="0"/>
              <w:bidi w:val="0"/>
              <w:spacing w:before="0" w:beforeAutospacing="0" w:after="0" w:afterAutospacing="0" w:line="560" w:lineRule="exact"/>
              <w:ind w:left="0" w:leftChars="0" w:right="0" w:rightChars="0" w:firstLine="0" w:firstLineChars="0"/>
              <w:jc w:val="left"/>
              <w:rPr>
                <w:rFonts w:hint="eastAsia" w:ascii="仿宋_GB2312" w:hAnsi="仿宋_GB2312" w:eastAsia="仿宋_GB2312" w:cs="仿宋_GB2312"/>
                <w:b w:val="0"/>
                <w:bCs w:val="0"/>
                <w:color w:val="auto"/>
                <w:sz w:val="24"/>
                <w:szCs w:val="24"/>
                <w:highlight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可提供承诺函；</w:t>
            </w:r>
          </w:p>
        </w:tc>
      </w:tr>
      <w:tr w14:paraId="04CE94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904" w:type="pct"/>
            <w:tcBorders>
              <w:tl2br w:val="nil"/>
              <w:tr2bl w:val="nil"/>
            </w:tcBorders>
            <w:shd w:val="clear" w:color="auto" w:fill="auto"/>
            <w:noWrap w:val="0"/>
            <w:tcMar>
              <w:top w:w="90" w:type="dxa"/>
              <w:left w:w="195" w:type="dxa"/>
              <w:bottom w:w="90" w:type="dxa"/>
              <w:right w:w="195" w:type="dxa"/>
            </w:tcMar>
            <w:vAlign w:val="center"/>
          </w:tcPr>
          <w:p w14:paraId="50A686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Style w:val="30"/>
                <w:rFonts w:hint="eastAsia" w:ascii="仿宋_GB2312" w:hAnsi="仿宋_GB2312" w:eastAsia="仿宋_GB2312" w:cs="仿宋_GB2312"/>
                <w:b w:val="0"/>
                <w:bCs/>
                <w:i w:val="0"/>
                <w:iCs w:val="0"/>
                <w:caps w:val="0"/>
                <w:color w:val="auto"/>
                <w:spacing w:val="0"/>
                <w:kern w:val="0"/>
                <w:sz w:val="24"/>
                <w:szCs w:val="24"/>
                <w:highlight w:val="none"/>
                <w:lang w:val="en-US" w:eastAsia="zh-CN" w:bidi="ar"/>
              </w:rPr>
            </w:pPr>
            <w:r>
              <w:rPr>
                <w:rStyle w:val="30"/>
                <w:rFonts w:hint="eastAsia" w:ascii="仿宋_GB2312" w:hAnsi="仿宋_GB2312" w:eastAsia="仿宋_GB2312" w:cs="仿宋_GB2312"/>
                <w:b w:val="0"/>
                <w:bCs/>
                <w:i w:val="0"/>
                <w:iCs w:val="0"/>
                <w:caps w:val="0"/>
                <w:color w:val="auto"/>
                <w:spacing w:val="0"/>
                <w:kern w:val="0"/>
                <w:sz w:val="24"/>
                <w:szCs w:val="24"/>
                <w:highlight w:val="none"/>
                <w:lang w:val="en-US" w:eastAsia="zh-CN" w:bidi="ar"/>
              </w:rPr>
              <w:t>没有处于被有关部门责令停业、暂停或取消投标资格、财产被接管或冻结等状态的；</w:t>
            </w:r>
          </w:p>
        </w:tc>
        <w:tc>
          <w:tcPr>
            <w:tcW w:w="3095" w:type="pct"/>
            <w:tcBorders>
              <w:tl2br w:val="nil"/>
              <w:tr2bl w:val="nil"/>
            </w:tcBorders>
            <w:shd w:val="clear" w:color="auto" w:fill="auto"/>
            <w:noWrap w:val="0"/>
            <w:tcMar>
              <w:top w:w="90" w:type="dxa"/>
              <w:left w:w="195" w:type="dxa"/>
              <w:bottom w:w="90" w:type="dxa"/>
              <w:right w:w="195" w:type="dxa"/>
            </w:tcMar>
            <w:vAlign w:val="center"/>
          </w:tcPr>
          <w:p w14:paraId="2DBB6FAF">
            <w:pPr>
              <w:keepNext w:val="0"/>
              <w:keepLines w:val="0"/>
              <w:pageBreakBefore w:val="0"/>
              <w:widowControl/>
              <w:numPr>
                <w:ilvl w:val="0"/>
                <w:numId w:val="21"/>
              </w:numPr>
              <w:suppressLineNumbers w:val="0"/>
              <w:wordWrap/>
              <w:topLinePunct w:val="0"/>
              <w:bidi w:val="0"/>
              <w:spacing w:before="0" w:beforeAutospacing="0" w:after="0" w:afterAutospacing="0" w:line="560" w:lineRule="exact"/>
              <w:ind w:left="0" w:leftChars="0" w:right="0" w:rightChars="0" w:firstLine="0" w:firstLineChars="0"/>
              <w:jc w:val="left"/>
              <w:rPr>
                <w:rFonts w:hint="eastAsia" w:ascii="仿宋_GB2312" w:hAnsi="仿宋_GB2312" w:eastAsia="仿宋_GB2312" w:cs="仿宋_GB2312"/>
                <w:b w:val="0"/>
                <w:bCs w:val="0"/>
                <w:color w:val="auto"/>
                <w:sz w:val="24"/>
                <w:szCs w:val="24"/>
                <w:highlight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可提供承诺函；</w:t>
            </w:r>
          </w:p>
        </w:tc>
      </w:tr>
      <w:tr w14:paraId="313465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904" w:type="pct"/>
            <w:tcBorders>
              <w:tl2br w:val="nil"/>
              <w:tr2bl w:val="nil"/>
            </w:tcBorders>
            <w:shd w:val="clear" w:color="auto" w:fill="auto"/>
            <w:noWrap w:val="0"/>
            <w:tcMar>
              <w:top w:w="90" w:type="dxa"/>
              <w:left w:w="195" w:type="dxa"/>
              <w:bottom w:w="90" w:type="dxa"/>
              <w:right w:w="195" w:type="dxa"/>
            </w:tcMar>
            <w:vAlign w:val="center"/>
          </w:tcPr>
          <w:p w14:paraId="61A07D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Style w:val="30"/>
                <w:rFonts w:hint="eastAsia" w:ascii="仿宋_GB2312" w:hAnsi="仿宋_GB2312" w:eastAsia="仿宋_GB2312" w:cs="仿宋_GB2312"/>
                <w:b w:val="0"/>
                <w:bCs/>
                <w:i w:val="0"/>
                <w:iCs w:val="0"/>
                <w:caps w:val="0"/>
                <w:color w:val="auto"/>
                <w:spacing w:val="0"/>
                <w:kern w:val="0"/>
                <w:sz w:val="24"/>
                <w:szCs w:val="24"/>
                <w:highlight w:val="none"/>
                <w:lang w:val="en-US" w:eastAsia="zh-CN" w:bidi="ar"/>
              </w:rPr>
            </w:pPr>
            <w:r>
              <w:rPr>
                <w:rStyle w:val="30"/>
                <w:rFonts w:hint="eastAsia" w:ascii="仿宋_GB2312" w:hAnsi="仿宋_GB2312" w:eastAsia="仿宋_GB2312" w:cs="仿宋_GB2312"/>
                <w:b w:val="0"/>
                <w:bCs/>
                <w:i w:val="0"/>
                <w:iCs w:val="0"/>
                <w:caps w:val="0"/>
                <w:color w:val="auto"/>
                <w:spacing w:val="0"/>
                <w:kern w:val="0"/>
                <w:sz w:val="24"/>
                <w:szCs w:val="24"/>
                <w:highlight w:val="none"/>
                <w:lang w:val="en-US" w:eastAsia="zh-CN" w:bidi="ar"/>
              </w:rPr>
              <w:t>单位负责人为同一人或者存在控股、管理关系的不同单位，不得参加同一标段、包或者未划分标段、包的同一招标项目的投标；</w:t>
            </w:r>
          </w:p>
        </w:tc>
        <w:tc>
          <w:tcPr>
            <w:tcW w:w="3095" w:type="pct"/>
            <w:tcBorders>
              <w:tl2br w:val="nil"/>
              <w:tr2bl w:val="nil"/>
            </w:tcBorders>
            <w:shd w:val="clear" w:color="auto" w:fill="auto"/>
            <w:noWrap w:val="0"/>
            <w:tcMar>
              <w:top w:w="90" w:type="dxa"/>
              <w:left w:w="195" w:type="dxa"/>
              <w:bottom w:w="90" w:type="dxa"/>
              <w:right w:w="195" w:type="dxa"/>
            </w:tcMar>
            <w:vAlign w:val="center"/>
          </w:tcPr>
          <w:p w14:paraId="5BEB3681">
            <w:pPr>
              <w:keepNext w:val="0"/>
              <w:keepLines w:val="0"/>
              <w:pageBreakBefore w:val="0"/>
              <w:widowControl/>
              <w:numPr>
                <w:ilvl w:val="0"/>
                <w:numId w:val="22"/>
              </w:numPr>
              <w:suppressLineNumbers w:val="0"/>
              <w:wordWrap/>
              <w:topLinePunct w:val="0"/>
              <w:bidi w:val="0"/>
              <w:spacing w:before="0" w:beforeAutospacing="0" w:after="0" w:afterAutospacing="0" w:line="560" w:lineRule="exact"/>
              <w:ind w:left="0" w:leftChars="0" w:right="0" w:rightChars="0" w:firstLine="0" w:firstLineChars="0"/>
              <w:jc w:val="left"/>
              <w:rPr>
                <w:rFonts w:hint="eastAsia" w:ascii="仿宋_GB2312" w:hAnsi="仿宋_GB2312" w:eastAsia="仿宋_GB2312" w:cs="仿宋_GB2312"/>
                <w:b w:val="0"/>
                <w:bCs w:val="0"/>
                <w:color w:val="auto"/>
                <w:sz w:val="24"/>
                <w:szCs w:val="24"/>
                <w:highlight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可提供承诺函；</w:t>
            </w:r>
          </w:p>
        </w:tc>
      </w:tr>
      <w:tr w14:paraId="7EBA4E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904" w:type="pct"/>
            <w:tcBorders>
              <w:tl2br w:val="nil"/>
              <w:tr2bl w:val="nil"/>
            </w:tcBorders>
            <w:noWrap w:val="0"/>
            <w:tcMar>
              <w:top w:w="90" w:type="dxa"/>
              <w:left w:w="195" w:type="dxa"/>
              <w:bottom w:w="90" w:type="dxa"/>
              <w:right w:w="195" w:type="dxa"/>
            </w:tcMar>
            <w:vAlign w:val="center"/>
          </w:tcPr>
          <w:p w14:paraId="3195E005">
            <w:pPr>
              <w:pStyle w:val="24"/>
              <w:keepNext w:val="0"/>
              <w:keepLines w:val="0"/>
              <w:pageBreakBefore w:val="0"/>
              <w:widowControl w:val="0"/>
              <w:numPr>
                <w:ilvl w:val="0"/>
                <w:numId w:val="0"/>
              </w:numPr>
              <w:suppressLineNumbers w:val="0"/>
              <w:wordWrap/>
              <w:topLinePunct w:val="0"/>
              <w:bidi w:val="0"/>
              <w:adjustRightInd w:val="0"/>
              <w:snapToGrid w:val="0"/>
              <w:spacing w:before="0" w:beforeLines="0" w:beforeAutospacing="0" w:after="0" w:afterLines="0" w:afterAutospacing="0" w:line="560" w:lineRule="exact"/>
              <w:ind w:left="0" w:right="0"/>
              <w:jc w:val="left"/>
              <w:rPr>
                <w:rStyle w:val="30"/>
                <w:rFonts w:hint="eastAsia" w:ascii="仿宋_GB2312" w:hAnsi="仿宋_GB2312" w:eastAsia="仿宋_GB2312" w:cs="仿宋_GB2312"/>
                <w:b w:val="0"/>
                <w:bCs w:val="0"/>
                <w:color w:val="auto"/>
                <w:szCs w:val="24"/>
                <w:highlight w:val="none"/>
                <w:lang w:val="en-US" w:eastAsia="zh-CN" w:bidi="ar"/>
              </w:rPr>
            </w:pPr>
            <w:r>
              <w:rPr>
                <w:rStyle w:val="30"/>
                <w:rFonts w:hint="eastAsia" w:ascii="仿宋_GB2312" w:hAnsi="仿宋_GB2312" w:eastAsia="仿宋_GB2312" w:cs="仿宋_GB2312"/>
                <w:b w:val="0"/>
                <w:bCs w:val="0"/>
                <w:color w:val="auto"/>
                <w:szCs w:val="24"/>
                <w:highlight w:val="none"/>
                <w:lang w:val="en-US" w:eastAsia="zh-CN" w:bidi="ar"/>
              </w:rPr>
              <w:t>投标人在投标截止时间前被“信用中国”网站（www.creditchina.gov.cn）列入失信被执行人名单的、经营异常名录的,“中国政府采购网”网站（www.ccgp.gov.cn）政府采购严重违法失信行为记录名单的，拒绝参加本项目的采购活动。信用信息有效时间点为截止递交投标文件前三天；</w:t>
            </w:r>
          </w:p>
        </w:tc>
        <w:tc>
          <w:tcPr>
            <w:tcW w:w="3095" w:type="pct"/>
            <w:tcBorders>
              <w:tl2br w:val="nil"/>
              <w:tr2bl w:val="nil"/>
            </w:tcBorders>
            <w:noWrap w:val="0"/>
            <w:tcMar>
              <w:top w:w="90" w:type="dxa"/>
              <w:left w:w="195" w:type="dxa"/>
              <w:bottom w:w="90" w:type="dxa"/>
              <w:right w:w="195" w:type="dxa"/>
            </w:tcMar>
            <w:vAlign w:val="center"/>
          </w:tcPr>
          <w:p w14:paraId="161562ED">
            <w:pPr>
              <w:keepNext w:val="0"/>
              <w:keepLines w:val="0"/>
              <w:pageBreakBefore w:val="0"/>
              <w:widowControl/>
              <w:numPr>
                <w:ilvl w:val="0"/>
                <w:numId w:val="23"/>
              </w:numPr>
              <w:suppressLineNumbers w:val="0"/>
              <w:wordWrap/>
              <w:topLinePunct w:val="0"/>
              <w:bidi w:val="0"/>
              <w:spacing w:before="0" w:beforeAutospacing="0" w:after="0" w:afterAutospacing="0" w:line="560" w:lineRule="exact"/>
              <w:ind w:left="0" w:leftChars="0" w:right="0" w:firstLine="0" w:firstLineChars="0"/>
              <w:jc w:val="left"/>
              <w:rPr>
                <w:rFonts w:hint="eastAsia" w:ascii="仿宋_GB2312" w:hAnsi="仿宋_GB2312" w:eastAsia="仿宋_GB2312" w:cs="仿宋_GB2312"/>
                <w:b w:val="0"/>
                <w:bCs w:val="0"/>
                <w:color w:val="auto"/>
                <w:sz w:val="24"/>
                <w:szCs w:val="24"/>
                <w:highlight w:val="none"/>
                <w:lang w:val="en-US" w:eastAsia="zh-CN" w:bidi="ar"/>
              </w:rPr>
            </w:pPr>
            <w:r>
              <w:rPr>
                <w:rStyle w:val="30"/>
                <w:rFonts w:hint="eastAsia" w:ascii="仿宋_GB2312" w:hAnsi="仿宋_GB2312" w:eastAsia="仿宋_GB2312" w:cs="仿宋_GB2312"/>
                <w:b w:val="0"/>
                <w:bCs w:val="0"/>
                <w:color w:val="auto"/>
                <w:sz w:val="24"/>
                <w:szCs w:val="24"/>
                <w:highlight w:val="none"/>
                <w:lang w:bidi="ar"/>
              </w:rPr>
              <w:t>投标人在投标截止时间前</w:t>
            </w:r>
            <w:r>
              <w:rPr>
                <w:rStyle w:val="30"/>
                <w:rFonts w:hint="eastAsia" w:ascii="仿宋_GB2312" w:hAnsi="仿宋_GB2312" w:eastAsia="仿宋_GB2312" w:cs="仿宋_GB2312"/>
                <w:b w:val="0"/>
                <w:bCs w:val="0"/>
                <w:color w:val="auto"/>
                <w:sz w:val="24"/>
                <w:szCs w:val="24"/>
                <w:highlight w:val="none"/>
                <w:lang w:val="en-US" w:eastAsia="zh-CN" w:bidi="ar"/>
              </w:rPr>
              <w:t>在</w:t>
            </w:r>
            <w:r>
              <w:rPr>
                <w:rStyle w:val="30"/>
                <w:rFonts w:hint="eastAsia" w:ascii="仿宋_GB2312" w:hAnsi="仿宋_GB2312" w:eastAsia="仿宋_GB2312" w:cs="仿宋_GB2312"/>
                <w:b w:val="0"/>
                <w:bCs w:val="0"/>
                <w:color w:val="auto"/>
                <w:sz w:val="24"/>
                <w:szCs w:val="24"/>
                <w:highlight w:val="none"/>
                <w:lang w:bidi="ar"/>
              </w:rPr>
              <w:t>“信用中国”网站（www.creditchina.gov.cn）未列入失信被执行人名单、列入经营异常名录的查询截图</w:t>
            </w:r>
            <w:r>
              <w:rPr>
                <w:rFonts w:hint="eastAsia" w:ascii="仿宋_GB2312" w:hAnsi="仿宋_GB2312" w:eastAsia="仿宋_GB2312" w:cs="仿宋_GB2312"/>
                <w:b w:val="0"/>
                <w:bCs w:val="0"/>
                <w:color w:val="auto"/>
                <w:sz w:val="24"/>
                <w:szCs w:val="24"/>
                <w:highlight w:val="none"/>
                <w:lang w:eastAsia="zh-CN" w:bidi="ar"/>
              </w:rPr>
              <w:t>；</w:t>
            </w:r>
          </w:p>
          <w:p w14:paraId="2E14ACC6">
            <w:pPr>
              <w:keepNext w:val="0"/>
              <w:keepLines w:val="0"/>
              <w:pageBreakBefore w:val="0"/>
              <w:widowControl/>
              <w:numPr>
                <w:ilvl w:val="0"/>
                <w:numId w:val="23"/>
              </w:numPr>
              <w:suppressLineNumbers w:val="0"/>
              <w:wordWrap/>
              <w:topLinePunct w:val="0"/>
              <w:bidi w:val="0"/>
              <w:spacing w:before="0" w:beforeAutospacing="0" w:after="0" w:afterAutospacing="0" w:line="560" w:lineRule="exact"/>
              <w:ind w:left="0" w:leftChars="0" w:right="0" w:firstLine="0" w:firstLineChars="0"/>
              <w:jc w:val="left"/>
              <w:rPr>
                <w:rFonts w:hint="eastAsia" w:ascii="仿宋_GB2312" w:hAnsi="仿宋_GB2312" w:eastAsia="仿宋_GB2312" w:cs="仿宋_GB2312"/>
                <w:b w:val="0"/>
                <w:bCs w:val="0"/>
                <w:color w:val="auto"/>
                <w:sz w:val="24"/>
                <w:szCs w:val="24"/>
                <w:highlight w:val="none"/>
                <w:lang w:val="en-US" w:eastAsia="zh-CN" w:bidi="ar"/>
              </w:rPr>
            </w:pPr>
            <w:r>
              <w:rPr>
                <w:rFonts w:hint="eastAsia" w:ascii="仿宋_GB2312" w:hAnsi="仿宋_GB2312" w:eastAsia="仿宋_GB2312" w:cs="仿宋_GB2312"/>
                <w:b w:val="0"/>
                <w:bCs w:val="0"/>
                <w:color w:val="auto"/>
                <w:sz w:val="24"/>
                <w:szCs w:val="24"/>
                <w:highlight w:val="none"/>
                <w:lang w:bidi="ar"/>
              </w:rPr>
              <w:t>投标人在投标截止时间前</w:t>
            </w:r>
            <w:r>
              <w:rPr>
                <w:rFonts w:hint="eastAsia" w:ascii="仿宋_GB2312" w:hAnsi="仿宋_GB2312" w:eastAsia="仿宋_GB2312" w:cs="仿宋_GB2312"/>
                <w:b w:val="0"/>
                <w:bCs w:val="0"/>
                <w:color w:val="auto"/>
                <w:sz w:val="24"/>
                <w:szCs w:val="24"/>
                <w:highlight w:val="none"/>
                <w:lang w:val="en-US" w:eastAsia="zh-CN" w:bidi="ar"/>
              </w:rPr>
              <w:t>在</w:t>
            </w:r>
            <w:r>
              <w:rPr>
                <w:rStyle w:val="30"/>
                <w:rFonts w:hint="eastAsia" w:ascii="仿宋_GB2312" w:hAnsi="仿宋_GB2312" w:eastAsia="仿宋_GB2312" w:cs="仿宋_GB2312"/>
                <w:b w:val="0"/>
                <w:bCs w:val="0"/>
                <w:color w:val="auto"/>
                <w:sz w:val="24"/>
                <w:szCs w:val="24"/>
                <w:highlight w:val="none"/>
                <w:lang w:bidi="ar"/>
              </w:rPr>
              <w:t>“中国政府采购网”网站（www.ccgp.gov.cn）政府采购严重违法失信行为记录名单的查询截图</w:t>
            </w:r>
            <w:r>
              <w:rPr>
                <w:rFonts w:hint="eastAsia" w:ascii="仿宋_GB2312" w:hAnsi="仿宋_GB2312" w:eastAsia="仿宋_GB2312" w:cs="仿宋_GB2312"/>
                <w:b w:val="0"/>
                <w:bCs w:val="0"/>
                <w:color w:val="auto"/>
                <w:sz w:val="24"/>
                <w:szCs w:val="24"/>
                <w:highlight w:val="none"/>
                <w:lang w:eastAsia="zh-CN" w:bidi="ar"/>
              </w:rPr>
              <w:t>；</w:t>
            </w:r>
          </w:p>
          <w:p w14:paraId="58F4ED6F">
            <w:pPr>
              <w:keepNext w:val="0"/>
              <w:keepLines w:val="0"/>
              <w:pageBreakBefore w:val="0"/>
              <w:widowControl/>
              <w:numPr>
                <w:ilvl w:val="0"/>
                <w:numId w:val="23"/>
              </w:numPr>
              <w:suppressLineNumbers w:val="0"/>
              <w:wordWrap/>
              <w:topLinePunct w:val="0"/>
              <w:bidi w:val="0"/>
              <w:spacing w:before="0" w:beforeAutospacing="0" w:after="0" w:afterAutospacing="0" w:line="560" w:lineRule="exact"/>
              <w:ind w:left="0" w:leftChars="0" w:right="0" w:firstLine="0" w:firstLineChars="0"/>
              <w:jc w:val="left"/>
              <w:rPr>
                <w:rFonts w:hint="eastAsia" w:ascii="仿宋_GB2312" w:hAnsi="仿宋_GB2312" w:eastAsia="仿宋_GB2312" w:cs="仿宋_GB2312"/>
                <w:b w:val="0"/>
                <w:bCs w:val="0"/>
                <w:color w:val="auto"/>
                <w:sz w:val="24"/>
                <w:szCs w:val="24"/>
                <w:highlight w:val="none"/>
                <w:lang w:val="en-US" w:eastAsia="zh-CN" w:bidi="ar"/>
              </w:rPr>
            </w:pPr>
            <w:r>
              <w:rPr>
                <w:rStyle w:val="30"/>
                <w:rFonts w:hint="eastAsia" w:ascii="仿宋_GB2312" w:hAnsi="仿宋_GB2312" w:eastAsia="仿宋_GB2312" w:cs="仿宋_GB2312"/>
                <w:b w:val="0"/>
                <w:bCs w:val="0"/>
                <w:color w:val="auto"/>
                <w:sz w:val="24"/>
                <w:szCs w:val="24"/>
                <w:highlight w:val="none"/>
                <w:lang w:bidi="ar"/>
              </w:rPr>
              <w:t>信用信息有效时间点为截止递交投标文件前三天</w:t>
            </w:r>
            <w:r>
              <w:rPr>
                <w:rStyle w:val="30"/>
                <w:rFonts w:hint="eastAsia" w:ascii="仿宋_GB2312" w:hAnsi="仿宋_GB2312" w:eastAsia="仿宋_GB2312" w:cs="仿宋_GB2312"/>
                <w:b w:val="0"/>
                <w:bCs w:val="0"/>
                <w:color w:val="auto"/>
                <w:sz w:val="24"/>
                <w:szCs w:val="24"/>
                <w:highlight w:val="none"/>
                <w:lang w:eastAsia="zh-CN" w:bidi="ar"/>
              </w:rPr>
              <w:t>；</w:t>
            </w:r>
          </w:p>
        </w:tc>
      </w:tr>
    </w:tbl>
    <w:p w14:paraId="494E6EAB">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lang w:val="en-US" w:eastAsia="zh-CN"/>
        </w:rPr>
      </w:pPr>
      <w:r>
        <w:rPr>
          <w:rFonts w:hint="eastAsia" w:ascii="仿宋_GB2312" w:hAnsi="仿宋_GB2312" w:eastAsia="仿宋_GB2312" w:cs="仿宋_GB2312"/>
          <w:color w:val="auto"/>
          <w:sz w:val="32"/>
          <w:highlight w:val="none"/>
          <w:lang w:val="en-US" w:eastAsia="zh-CN"/>
        </w:rPr>
        <w:t>①通过资格审查的供应商进入后续评审，未通过资格审查的供应商不得进入后续评审。</w:t>
      </w:r>
    </w:p>
    <w:p w14:paraId="7ACAC45B">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lang w:val="en-US" w:eastAsia="zh-CN"/>
        </w:rPr>
      </w:pPr>
      <w:r>
        <w:rPr>
          <w:rFonts w:hint="eastAsia" w:ascii="仿宋_GB2312" w:hAnsi="仿宋_GB2312" w:eastAsia="仿宋_GB2312" w:cs="仿宋_GB2312"/>
          <w:color w:val="auto"/>
          <w:sz w:val="32"/>
          <w:highlight w:val="none"/>
          <w:lang w:val="en-US" w:eastAsia="zh-CN"/>
        </w:rPr>
        <w:t>②通过资格评审的供应商不足3家，不得进行后续评审。</w:t>
      </w:r>
    </w:p>
    <w:p w14:paraId="7194581E">
      <w:pPr>
        <w:keepNext w:val="0"/>
        <w:keepLines w:val="0"/>
        <w:pageBreakBefore w:val="0"/>
        <w:numPr>
          <w:ilvl w:val="0"/>
          <w:numId w:val="0"/>
        </w:numPr>
        <w:wordWrap/>
        <w:topLinePunct w:val="0"/>
        <w:bidi w:val="0"/>
        <w:spacing w:line="560" w:lineRule="exact"/>
        <w:ind w:left="0" w:leftChars="0" w:firstLine="640" w:firstLineChars="200"/>
        <w:jc w:val="left"/>
        <w:outlineLvl w:val="9"/>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lang w:eastAsia="zh-CN"/>
        </w:rPr>
        <w:t>（</w:t>
      </w:r>
      <w:r>
        <w:rPr>
          <w:rFonts w:hint="eastAsia" w:ascii="仿宋_GB2312" w:hAnsi="仿宋_GB2312" w:eastAsia="仿宋_GB2312" w:cs="仿宋_GB2312"/>
          <w:color w:val="auto"/>
          <w:sz w:val="32"/>
          <w:highlight w:val="none"/>
          <w:lang w:val="en-US" w:eastAsia="zh-CN"/>
        </w:rPr>
        <w:t>2</w:t>
      </w:r>
      <w:r>
        <w:rPr>
          <w:rFonts w:hint="eastAsia" w:ascii="仿宋_GB2312" w:hAnsi="仿宋_GB2312" w:eastAsia="仿宋_GB2312" w:cs="仿宋_GB2312"/>
          <w:color w:val="auto"/>
          <w:sz w:val="32"/>
          <w:highlight w:val="none"/>
          <w:lang w:eastAsia="zh-CN"/>
        </w:rPr>
        <w:t>）</w:t>
      </w:r>
      <w:r>
        <w:rPr>
          <w:rFonts w:hint="eastAsia" w:ascii="仿宋_GB2312" w:hAnsi="仿宋_GB2312" w:eastAsia="仿宋_GB2312" w:cs="仿宋_GB2312"/>
          <w:color w:val="auto"/>
          <w:sz w:val="32"/>
          <w:highlight w:val="none"/>
        </w:rPr>
        <w:t>符合性</w:t>
      </w:r>
      <w:r>
        <w:rPr>
          <w:rFonts w:hint="eastAsia" w:ascii="仿宋_GB2312" w:hAnsi="仿宋_GB2312" w:eastAsia="仿宋_GB2312" w:cs="仿宋_GB2312"/>
          <w:color w:val="auto"/>
          <w:sz w:val="32"/>
          <w:highlight w:val="none"/>
          <w:lang w:val="en-US"/>
        </w:rPr>
        <w:t>审查</w:t>
      </w:r>
    </w:p>
    <w:p w14:paraId="3AE9ED9A">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lang w:val="en-US" w:eastAsia="zh-CN"/>
        </w:rPr>
      </w:pPr>
      <w:r>
        <w:rPr>
          <w:rFonts w:hint="eastAsia" w:ascii="仿宋_GB2312" w:hAnsi="仿宋_GB2312" w:eastAsia="仿宋_GB2312" w:cs="仿宋_GB2312"/>
          <w:color w:val="auto"/>
          <w:sz w:val="32"/>
          <w:highlight w:val="none"/>
          <w:lang w:val="en-US" w:eastAsia="zh-CN"/>
        </w:rPr>
        <w:t>①评审小组资格审查结束后，对资格审查合格的供应商的响应文件进行符合性审查，确定其是否满足询比采购文件的要求。</w:t>
      </w:r>
    </w:p>
    <w:p w14:paraId="7FD62B78">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lang w:val="en-US" w:eastAsia="zh-CN"/>
        </w:rPr>
        <w:t>②响应文件（包括单独递交的报价一览表）有下列情形的，不作为符合性审查事项，不得作为无效响应处理：</w:t>
      </w:r>
    </w:p>
    <w:p w14:paraId="22E8C37E">
      <w:pPr>
        <w:pStyle w:val="37"/>
        <w:pageBreakBefore w:val="0"/>
        <w:wordWrap/>
        <w:topLinePunct w:val="0"/>
        <w:bidi w:val="0"/>
        <w:spacing w:line="560" w:lineRule="exact"/>
        <w:ind w:firstLine="640" w:firstLineChars="200"/>
        <w:jc w:val="left"/>
        <w:rPr>
          <w:rFonts w:hint="eastAsia" w:ascii="仿宋_GB2312" w:hAnsi="仿宋_GB2312" w:eastAsia="仿宋_GB2312" w:cs="仿宋_GB2312"/>
          <w:color w:val="auto"/>
          <w:kern w:val="32"/>
          <w:sz w:val="32"/>
          <w:szCs w:val="32"/>
          <w:highlight w:val="none"/>
          <w:lang w:eastAsia="zh-CN"/>
        </w:rPr>
      </w:pPr>
      <w:r>
        <w:rPr>
          <w:rFonts w:ascii="仿宋_GB2312" w:hAnsi="仿宋_GB2312" w:eastAsia="仿宋_GB2312" w:cs="仿宋_GB2312"/>
          <w:color w:val="auto"/>
          <w:kern w:val="32"/>
          <w:sz w:val="32"/>
          <w:szCs w:val="32"/>
          <w:highlight w:val="none"/>
          <w:lang w:eastAsia="zh-CN"/>
        </w:rPr>
        <w:t>1）正副本数量齐全、按照</w:t>
      </w:r>
      <w:r>
        <w:rPr>
          <w:rFonts w:hint="eastAsia" w:ascii="仿宋_GB2312" w:hAnsi="仿宋_GB2312" w:eastAsia="仿宋_GB2312" w:cs="仿宋_GB2312"/>
          <w:color w:val="auto"/>
          <w:sz w:val="32"/>
          <w:szCs w:val="32"/>
          <w:highlight w:val="none"/>
          <w:lang w:val="en-US" w:eastAsia="zh-CN"/>
        </w:rPr>
        <w:t>询比采购</w:t>
      </w:r>
      <w:r>
        <w:rPr>
          <w:rFonts w:ascii="仿宋_GB2312" w:hAnsi="仿宋_GB2312" w:eastAsia="仿宋_GB2312" w:cs="仿宋_GB2312"/>
          <w:color w:val="auto"/>
          <w:kern w:val="32"/>
          <w:sz w:val="32"/>
          <w:szCs w:val="32"/>
          <w:highlight w:val="none"/>
          <w:lang w:eastAsia="zh-CN"/>
        </w:rPr>
        <w:t>文件要求密封且完好，只是未按照</w:t>
      </w:r>
      <w:r>
        <w:rPr>
          <w:rFonts w:hint="eastAsia" w:ascii="仿宋_GB2312" w:hAnsi="仿宋_GB2312" w:eastAsia="仿宋_GB2312" w:cs="仿宋_GB2312"/>
          <w:color w:val="auto"/>
          <w:sz w:val="32"/>
          <w:szCs w:val="32"/>
          <w:highlight w:val="none"/>
          <w:lang w:val="en-US" w:eastAsia="zh-CN"/>
        </w:rPr>
        <w:t>询比采购</w:t>
      </w:r>
      <w:r>
        <w:rPr>
          <w:rFonts w:ascii="仿宋_GB2312" w:hAnsi="仿宋_GB2312" w:eastAsia="仿宋_GB2312" w:cs="仿宋_GB2312"/>
          <w:color w:val="auto"/>
          <w:kern w:val="32"/>
          <w:sz w:val="32"/>
          <w:szCs w:val="32"/>
          <w:highlight w:val="none"/>
          <w:lang w:eastAsia="zh-CN"/>
        </w:rPr>
        <w:t>文件要求进行分装或者统装的。</w:t>
      </w:r>
    </w:p>
    <w:p w14:paraId="2436287A">
      <w:pPr>
        <w:pStyle w:val="37"/>
        <w:pageBreakBefore w:val="0"/>
        <w:wordWrap/>
        <w:topLinePunct w:val="0"/>
        <w:bidi w:val="0"/>
        <w:spacing w:line="560" w:lineRule="exact"/>
        <w:ind w:firstLine="640" w:firstLineChars="200"/>
        <w:jc w:val="left"/>
        <w:rPr>
          <w:rFonts w:hint="eastAsia" w:ascii="仿宋_GB2312" w:hAnsi="仿宋_GB2312" w:eastAsia="仿宋_GB2312" w:cs="仿宋_GB2312"/>
          <w:color w:val="auto"/>
          <w:kern w:val="32"/>
          <w:sz w:val="32"/>
          <w:szCs w:val="32"/>
          <w:highlight w:val="none"/>
          <w:lang w:eastAsia="zh-CN"/>
        </w:rPr>
      </w:pPr>
      <w:r>
        <w:rPr>
          <w:rFonts w:ascii="仿宋_GB2312" w:hAnsi="仿宋_GB2312" w:eastAsia="仿宋_GB2312" w:cs="仿宋_GB2312"/>
          <w:color w:val="auto"/>
          <w:kern w:val="32"/>
          <w:sz w:val="32"/>
          <w:szCs w:val="32"/>
          <w:highlight w:val="none"/>
          <w:lang w:eastAsia="zh-CN"/>
        </w:rPr>
        <w:t>2）除</w:t>
      </w:r>
      <w:r>
        <w:rPr>
          <w:rFonts w:hint="eastAsia" w:ascii="仿宋_GB2312" w:hAnsi="仿宋_GB2312" w:eastAsia="仿宋_GB2312" w:cs="仿宋_GB2312"/>
          <w:color w:val="auto"/>
          <w:kern w:val="32"/>
          <w:sz w:val="32"/>
          <w:szCs w:val="32"/>
          <w:highlight w:val="none"/>
          <w:lang w:val="en-US" w:eastAsia="zh-CN"/>
        </w:rPr>
        <w:t>询比采购</w:t>
      </w:r>
      <w:r>
        <w:rPr>
          <w:rFonts w:ascii="仿宋_GB2312" w:hAnsi="仿宋_GB2312" w:eastAsia="仿宋_GB2312" w:cs="仿宋_GB2312"/>
          <w:color w:val="auto"/>
          <w:kern w:val="32"/>
          <w:sz w:val="32"/>
          <w:szCs w:val="32"/>
          <w:highlight w:val="none"/>
          <w:lang w:eastAsia="zh-CN"/>
        </w:rPr>
        <w:t>文件明确要求加盖单位(法人)公章的以外，其他地方以相关专用章加盖的。</w:t>
      </w:r>
    </w:p>
    <w:p w14:paraId="0AE9AAB1">
      <w:pPr>
        <w:pageBreakBefore w:val="0"/>
        <w:numPr>
          <w:ilvl w:val="0"/>
          <w:numId w:val="0"/>
        </w:numPr>
        <w:wordWrap/>
        <w:topLinePunct w:val="0"/>
        <w:bidi w:val="0"/>
        <w:spacing w:line="560" w:lineRule="exact"/>
        <w:ind w:left="0" w:firstLine="640" w:firstLineChars="200"/>
        <w:jc w:val="left"/>
        <w:outlineLvl w:val="3"/>
        <w:rPr>
          <w:rFonts w:hint="eastAsia" w:ascii="仿宋_GB2312" w:hAnsi="仿宋_GB2312" w:eastAsia="仿宋_GB2312" w:cs="仿宋_GB2312"/>
          <w:color w:val="auto"/>
          <w:sz w:val="32"/>
          <w:highlight w:val="none"/>
          <w:lang w:eastAsia="zh-CN"/>
        </w:rPr>
      </w:pPr>
      <w:r>
        <w:rPr>
          <w:rFonts w:hint="eastAsia" w:ascii="仿宋_GB2312" w:hAnsi="仿宋_GB2312" w:eastAsia="仿宋_GB2312" w:cs="仿宋_GB2312"/>
          <w:color w:val="auto"/>
          <w:sz w:val="32"/>
          <w:highlight w:val="none"/>
          <w:lang w:eastAsia="zh-CN"/>
        </w:rPr>
        <w:t>（3）除采购法律制度规定的情形外，本项目</w:t>
      </w:r>
      <w:r>
        <w:rPr>
          <w:rFonts w:hint="eastAsia" w:ascii="仿宋_GB2312" w:hAnsi="仿宋_GB2312" w:eastAsia="仿宋_GB2312" w:cs="仿宋_GB2312"/>
          <w:color w:val="auto"/>
          <w:sz w:val="32"/>
          <w:szCs w:val="22"/>
          <w:highlight w:val="none"/>
          <w:lang w:val="en-US" w:eastAsia="zh-CN"/>
        </w:rPr>
        <w:t>供应商</w:t>
      </w:r>
      <w:r>
        <w:rPr>
          <w:rFonts w:hint="eastAsia" w:ascii="仿宋_GB2312" w:hAnsi="仿宋_GB2312" w:eastAsia="仿宋_GB2312" w:cs="仿宋_GB2312"/>
          <w:color w:val="auto"/>
          <w:sz w:val="32"/>
          <w:highlight w:val="none"/>
          <w:lang w:eastAsia="zh-CN"/>
        </w:rPr>
        <w:t>或者其</w:t>
      </w:r>
      <w:r>
        <w:rPr>
          <w:rFonts w:hint="eastAsia" w:ascii="仿宋_GB2312" w:hAnsi="仿宋_GB2312" w:eastAsia="仿宋_GB2312" w:cs="仿宋_GB2312"/>
          <w:color w:val="auto"/>
          <w:sz w:val="32"/>
          <w:highlight w:val="none"/>
          <w:lang w:val="en-US" w:eastAsia="zh-CN"/>
        </w:rPr>
        <w:t>响应</w:t>
      </w:r>
      <w:r>
        <w:rPr>
          <w:rFonts w:hint="eastAsia" w:ascii="仿宋_GB2312" w:hAnsi="仿宋_GB2312" w:eastAsia="仿宋_GB2312" w:cs="仿宋_GB2312"/>
          <w:color w:val="auto"/>
          <w:sz w:val="32"/>
          <w:highlight w:val="none"/>
          <w:lang w:eastAsia="zh-CN"/>
        </w:rPr>
        <w:t>文件有下列情形之一的，作为无效</w:t>
      </w:r>
      <w:r>
        <w:rPr>
          <w:rFonts w:hint="eastAsia" w:ascii="仿宋_GB2312" w:hAnsi="仿宋_GB2312" w:eastAsia="仿宋_GB2312" w:cs="仿宋_GB2312"/>
          <w:color w:val="auto"/>
          <w:sz w:val="32"/>
          <w:highlight w:val="none"/>
          <w:lang w:val="en-US" w:eastAsia="zh-CN"/>
        </w:rPr>
        <w:t>响应</w:t>
      </w:r>
      <w:r>
        <w:rPr>
          <w:rFonts w:hint="eastAsia" w:ascii="仿宋_GB2312" w:hAnsi="仿宋_GB2312" w:eastAsia="仿宋_GB2312" w:cs="仿宋_GB2312"/>
          <w:color w:val="auto"/>
          <w:sz w:val="32"/>
          <w:highlight w:val="none"/>
          <w:lang w:eastAsia="zh-CN"/>
        </w:rPr>
        <w:t>处理：</w:t>
      </w:r>
    </w:p>
    <w:p w14:paraId="02D4E552">
      <w:pPr>
        <w:pStyle w:val="37"/>
        <w:pageBreakBefore w:val="0"/>
        <w:wordWrap/>
        <w:topLinePunct w:val="0"/>
        <w:bidi w:val="0"/>
        <w:spacing w:line="560" w:lineRule="exact"/>
        <w:ind w:firstLine="640" w:firstLineChars="200"/>
        <w:jc w:val="left"/>
        <w:rPr>
          <w:rFonts w:hint="eastAsia" w:ascii="仿宋_GB2312" w:hAnsi="仿宋_GB2312" w:eastAsia="仿宋_GB2312" w:cs="仿宋_GB2312"/>
          <w:color w:val="auto"/>
          <w:kern w:val="32"/>
          <w:sz w:val="32"/>
          <w:szCs w:val="32"/>
          <w:highlight w:val="none"/>
          <w:lang w:eastAsia="zh-CN"/>
        </w:rPr>
      </w:pPr>
      <w:r>
        <w:rPr>
          <w:rFonts w:hint="eastAsia" w:ascii="仿宋_GB2312" w:hAnsi="仿宋_GB2312" w:eastAsia="仿宋_GB2312" w:cs="仿宋_GB2312"/>
          <w:color w:val="auto"/>
          <w:sz w:val="32"/>
          <w:highlight w:val="none"/>
          <w:lang w:val="en-US" w:eastAsia="zh-CN"/>
        </w:rPr>
        <w:t>①</w:t>
      </w:r>
      <w:r>
        <w:rPr>
          <w:rFonts w:hint="eastAsia" w:ascii="仿宋_GB2312" w:hAnsi="仿宋_GB2312" w:eastAsia="仿宋_GB2312" w:cs="仿宋_GB2312"/>
          <w:color w:val="auto"/>
          <w:kern w:val="32"/>
          <w:sz w:val="32"/>
          <w:szCs w:val="32"/>
          <w:highlight w:val="none"/>
          <w:lang w:val="en-US" w:eastAsia="zh-CN"/>
        </w:rPr>
        <w:t>响应</w:t>
      </w:r>
      <w:r>
        <w:rPr>
          <w:rFonts w:ascii="仿宋_GB2312" w:hAnsi="仿宋_GB2312" w:eastAsia="仿宋_GB2312" w:cs="仿宋_GB2312"/>
          <w:color w:val="auto"/>
          <w:kern w:val="32"/>
          <w:sz w:val="32"/>
          <w:szCs w:val="32"/>
          <w:highlight w:val="none"/>
          <w:lang w:eastAsia="zh-CN"/>
        </w:rPr>
        <w:t>文件正副本、电子文档数量不足的。</w:t>
      </w:r>
    </w:p>
    <w:p w14:paraId="4372AFC2">
      <w:pPr>
        <w:pStyle w:val="37"/>
        <w:pageBreakBefore w:val="0"/>
        <w:wordWrap/>
        <w:topLinePunct w:val="0"/>
        <w:bidi w:val="0"/>
        <w:spacing w:line="560" w:lineRule="exact"/>
        <w:ind w:firstLine="640" w:firstLineChars="200"/>
        <w:jc w:val="left"/>
        <w:rPr>
          <w:rFonts w:hint="eastAsia" w:ascii="仿宋_GB2312" w:hAnsi="仿宋_GB2312" w:eastAsia="仿宋_GB2312" w:cs="仿宋_GB2312"/>
          <w:color w:val="auto"/>
          <w:kern w:val="32"/>
          <w:sz w:val="32"/>
          <w:szCs w:val="32"/>
          <w:highlight w:val="none"/>
          <w:lang w:eastAsia="zh-CN"/>
        </w:rPr>
      </w:pPr>
      <w:r>
        <w:rPr>
          <w:rFonts w:hint="eastAsia" w:ascii="仿宋_GB2312" w:hAnsi="仿宋_GB2312" w:eastAsia="仿宋_GB2312" w:cs="仿宋_GB2312"/>
          <w:color w:val="auto"/>
          <w:sz w:val="32"/>
          <w:highlight w:val="none"/>
          <w:lang w:val="en-US" w:eastAsia="zh-CN"/>
        </w:rPr>
        <w:t>②</w:t>
      </w:r>
      <w:r>
        <w:rPr>
          <w:rFonts w:hint="eastAsia" w:ascii="仿宋_GB2312" w:hAnsi="仿宋_GB2312" w:eastAsia="仿宋_GB2312" w:cs="仿宋_GB2312"/>
          <w:color w:val="auto"/>
          <w:kern w:val="32"/>
          <w:sz w:val="32"/>
          <w:szCs w:val="32"/>
          <w:highlight w:val="none"/>
          <w:lang w:val="en-US" w:eastAsia="zh-CN"/>
        </w:rPr>
        <w:t>响应</w:t>
      </w:r>
      <w:r>
        <w:rPr>
          <w:rFonts w:ascii="仿宋_GB2312" w:hAnsi="仿宋_GB2312" w:eastAsia="仿宋_GB2312" w:cs="仿宋_GB2312"/>
          <w:color w:val="auto"/>
          <w:kern w:val="32"/>
          <w:sz w:val="32"/>
          <w:szCs w:val="32"/>
          <w:highlight w:val="none"/>
          <w:lang w:eastAsia="zh-CN"/>
        </w:rPr>
        <w:t>文件组成明显不符合</w:t>
      </w:r>
      <w:r>
        <w:rPr>
          <w:rFonts w:hint="eastAsia" w:ascii="仿宋_GB2312" w:hAnsi="仿宋_GB2312" w:eastAsia="仿宋_GB2312" w:cs="仿宋_GB2312"/>
          <w:color w:val="auto"/>
          <w:sz w:val="32"/>
          <w:szCs w:val="32"/>
          <w:highlight w:val="none"/>
          <w:lang w:val="en-US" w:eastAsia="zh-CN"/>
        </w:rPr>
        <w:t>询比采购</w:t>
      </w:r>
      <w:r>
        <w:rPr>
          <w:rFonts w:ascii="仿宋_GB2312" w:hAnsi="仿宋_GB2312" w:eastAsia="仿宋_GB2312" w:cs="仿宋_GB2312"/>
          <w:color w:val="auto"/>
          <w:kern w:val="32"/>
          <w:sz w:val="32"/>
          <w:szCs w:val="32"/>
          <w:highlight w:val="none"/>
          <w:lang w:eastAsia="zh-CN"/>
        </w:rPr>
        <w:t>文件的规定要求，影响</w:t>
      </w:r>
      <w:r>
        <w:rPr>
          <w:rFonts w:hint="eastAsia" w:ascii="仿宋_GB2312" w:hAnsi="仿宋_GB2312" w:eastAsia="仿宋_GB2312" w:cs="仿宋_GB2312"/>
          <w:color w:val="auto"/>
          <w:kern w:val="32"/>
          <w:sz w:val="32"/>
          <w:szCs w:val="32"/>
          <w:highlight w:val="none"/>
          <w:lang w:val="en-US" w:eastAsia="zh-CN"/>
        </w:rPr>
        <w:t>评审小组</w:t>
      </w:r>
      <w:r>
        <w:rPr>
          <w:rFonts w:ascii="仿宋_GB2312" w:hAnsi="仿宋_GB2312" w:eastAsia="仿宋_GB2312" w:cs="仿宋_GB2312"/>
          <w:color w:val="auto"/>
          <w:kern w:val="32"/>
          <w:sz w:val="32"/>
          <w:szCs w:val="32"/>
          <w:highlight w:val="none"/>
          <w:lang w:eastAsia="zh-CN"/>
        </w:rPr>
        <w:t>评判的。</w:t>
      </w:r>
    </w:p>
    <w:p w14:paraId="542C65FF">
      <w:pPr>
        <w:pStyle w:val="37"/>
        <w:pageBreakBefore w:val="0"/>
        <w:wordWrap/>
        <w:topLinePunct w:val="0"/>
        <w:bidi w:val="0"/>
        <w:spacing w:line="560" w:lineRule="exact"/>
        <w:ind w:firstLine="640" w:firstLineChars="200"/>
        <w:jc w:val="left"/>
        <w:rPr>
          <w:rFonts w:hint="eastAsia" w:ascii="仿宋_GB2312" w:hAnsi="仿宋_GB2312" w:eastAsia="仿宋_GB2312" w:cs="仿宋_GB2312"/>
          <w:color w:val="auto"/>
          <w:kern w:val="32"/>
          <w:sz w:val="32"/>
          <w:szCs w:val="32"/>
          <w:highlight w:val="none"/>
          <w:lang w:eastAsia="zh-CN"/>
        </w:rPr>
      </w:pPr>
      <w:r>
        <w:rPr>
          <w:rFonts w:hint="eastAsia" w:ascii="仿宋_GB2312" w:hAnsi="仿宋_GB2312" w:eastAsia="仿宋_GB2312" w:cs="仿宋_GB2312"/>
          <w:color w:val="auto"/>
          <w:kern w:val="32"/>
          <w:sz w:val="32"/>
          <w:szCs w:val="32"/>
          <w:highlight w:val="none"/>
          <w:lang w:val="en-US" w:eastAsia="zh-CN"/>
        </w:rPr>
        <w:t>③响应</w:t>
      </w:r>
      <w:r>
        <w:rPr>
          <w:rFonts w:ascii="仿宋_GB2312" w:hAnsi="仿宋_GB2312" w:eastAsia="仿宋_GB2312" w:cs="仿宋_GB2312"/>
          <w:color w:val="auto"/>
          <w:kern w:val="32"/>
          <w:sz w:val="32"/>
          <w:szCs w:val="32"/>
          <w:highlight w:val="none"/>
          <w:lang w:eastAsia="zh-CN"/>
        </w:rPr>
        <w:t>有效期不符合</w:t>
      </w:r>
      <w:r>
        <w:rPr>
          <w:rFonts w:hint="eastAsia" w:ascii="仿宋_GB2312" w:hAnsi="仿宋_GB2312" w:eastAsia="仿宋_GB2312" w:cs="仿宋_GB2312"/>
          <w:color w:val="auto"/>
          <w:sz w:val="32"/>
          <w:szCs w:val="32"/>
          <w:highlight w:val="none"/>
          <w:lang w:val="en-US" w:eastAsia="zh-CN"/>
        </w:rPr>
        <w:t>询比采购</w:t>
      </w:r>
      <w:r>
        <w:rPr>
          <w:rFonts w:ascii="仿宋_GB2312" w:hAnsi="仿宋_GB2312" w:eastAsia="仿宋_GB2312" w:cs="仿宋_GB2312"/>
          <w:color w:val="auto"/>
          <w:kern w:val="32"/>
          <w:sz w:val="32"/>
          <w:szCs w:val="32"/>
          <w:highlight w:val="none"/>
          <w:lang w:eastAsia="zh-CN"/>
        </w:rPr>
        <w:t>文件的规定。</w:t>
      </w:r>
    </w:p>
    <w:p w14:paraId="17181AB8">
      <w:pPr>
        <w:pStyle w:val="37"/>
        <w:pageBreakBefore w:val="0"/>
        <w:wordWrap/>
        <w:topLinePunct w:val="0"/>
        <w:bidi w:val="0"/>
        <w:spacing w:line="560" w:lineRule="exact"/>
        <w:ind w:firstLine="640" w:firstLineChars="200"/>
        <w:jc w:val="left"/>
        <w:rPr>
          <w:rFonts w:hint="eastAsia" w:ascii="仿宋_GB2312" w:hAnsi="仿宋_GB2312" w:eastAsia="仿宋_GB2312" w:cs="仿宋_GB2312"/>
          <w:color w:val="auto"/>
          <w:kern w:val="32"/>
          <w:sz w:val="32"/>
          <w:szCs w:val="32"/>
          <w:highlight w:val="none"/>
          <w:lang w:eastAsia="zh-CN"/>
        </w:rPr>
      </w:pPr>
      <w:r>
        <w:rPr>
          <w:rFonts w:hint="eastAsia" w:ascii="仿宋_GB2312" w:hAnsi="仿宋_GB2312" w:eastAsia="仿宋_GB2312" w:cs="仿宋_GB2312"/>
          <w:color w:val="auto"/>
          <w:kern w:val="32"/>
          <w:sz w:val="32"/>
          <w:szCs w:val="32"/>
          <w:highlight w:val="none"/>
          <w:lang w:val="en-US" w:eastAsia="zh-CN"/>
        </w:rPr>
        <w:t>④</w:t>
      </w:r>
      <w:r>
        <w:rPr>
          <w:rFonts w:ascii="仿宋_GB2312" w:hAnsi="仿宋_GB2312" w:eastAsia="仿宋_GB2312" w:cs="仿宋_GB2312"/>
          <w:color w:val="auto"/>
          <w:kern w:val="32"/>
          <w:sz w:val="32"/>
          <w:szCs w:val="32"/>
          <w:highlight w:val="none"/>
          <w:lang w:eastAsia="zh-CN"/>
        </w:rPr>
        <w:t>报价不符合</w:t>
      </w:r>
      <w:r>
        <w:rPr>
          <w:rFonts w:hint="eastAsia" w:ascii="仿宋_GB2312" w:hAnsi="仿宋_GB2312" w:eastAsia="仿宋_GB2312" w:cs="仿宋_GB2312"/>
          <w:color w:val="auto"/>
          <w:sz w:val="32"/>
          <w:szCs w:val="32"/>
          <w:highlight w:val="none"/>
          <w:lang w:val="en-US" w:eastAsia="zh-CN"/>
        </w:rPr>
        <w:t>询比采购</w:t>
      </w:r>
      <w:r>
        <w:rPr>
          <w:rFonts w:ascii="仿宋_GB2312" w:hAnsi="仿宋_GB2312" w:eastAsia="仿宋_GB2312" w:cs="仿宋_GB2312"/>
          <w:color w:val="auto"/>
          <w:kern w:val="32"/>
          <w:sz w:val="32"/>
          <w:szCs w:val="32"/>
          <w:highlight w:val="none"/>
          <w:lang w:eastAsia="zh-CN"/>
        </w:rPr>
        <w:t>文件报价规定的。</w:t>
      </w:r>
    </w:p>
    <w:p w14:paraId="0DE4EACE">
      <w:pPr>
        <w:pStyle w:val="37"/>
        <w:pageBreakBefore w:val="0"/>
        <w:wordWrap/>
        <w:topLinePunct w:val="0"/>
        <w:bidi w:val="0"/>
        <w:spacing w:line="560" w:lineRule="exact"/>
        <w:ind w:firstLine="640" w:firstLineChars="200"/>
        <w:jc w:val="left"/>
        <w:rPr>
          <w:rFonts w:hint="eastAsia" w:ascii="仿宋_GB2312" w:hAnsi="仿宋_GB2312" w:eastAsia="仿宋_GB2312" w:cs="仿宋_GB2312"/>
          <w:color w:val="auto"/>
          <w:kern w:val="32"/>
          <w:sz w:val="32"/>
          <w:szCs w:val="32"/>
          <w:highlight w:val="none"/>
          <w:lang w:eastAsia="zh-CN"/>
        </w:rPr>
      </w:pPr>
      <w:r>
        <w:rPr>
          <w:rFonts w:hint="eastAsia" w:ascii="仿宋_GB2312" w:hAnsi="仿宋_GB2312" w:eastAsia="仿宋_GB2312" w:cs="仿宋_GB2312"/>
          <w:color w:val="auto"/>
          <w:kern w:val="32"/>
          <w:sz w:val="32"/>
          <w:szCs w:val="32"/>
          <w:highlight w:val="none"/>
          <w:lang w:val="en-US" w:eastAsia="zh-CN"/>
        </w:rPr>
        <w:t>⑤</w:t>
      </w:r>
      <w:r>
        <w:rPr>
          <w:rFonts w:ascii="仿宋_GB2312" w:hAnsi="仿宋_GB2312" w:eastAsia="仿宋_GB2312" w:cs="仿宋_GB2312"/>
          <w:color w:val="auto"/>
          <w:kern w:val="32"/>
          <w:sz w:val="32"/>
          <w:szCs w:val="32"/>
          <w:highlight w:val="none"/>
          <w:lang w:eastAsia="zh-CN"/>
        </w:rPr>
        <w:t>商务、服务应答内容没有完全响应</w:t>
      </w:r>
      <w:r>
        <w:rPr>
          <w:rFonts w:hint="eastAsia" w:ascii="仿宋_GB2312" w:hAnsi="仿宋_GB2312" w:eastAsia="仿宋_GB2312" w:cs="仿宋_GB2312"/>
          <w:color w:val="auto"/>
          <w:sz w:val="32"/>
          <w:szCs w:val="32"/>
          <w:highlight w:val="none"/>
          <w:lang w:val="en-US" w:eastAsia="zh-CN"/>
        </w:rPr>
        <w:t>询比采购</w:t>
      </w:r>
      <w:r>
        <w:rPr>
          <w:rFonts w:ascii="仿宋_GB2312" w:hAnsi="仿宋_GB2312" w:eastAsia="仿宋_GB2312" w:cs="仿宋_GB2312"/>
          <w:color w:val="auto"/>
          <w:kern w:val="32"/>
          <w:sz w:val="32"/>
          <w:szCs w:val="32"/>
          <w:highlight w:val="none"/>
          <w:lang w:eastAsia="zh-CN"/>
        </w:rPr>
        <w:t>文件要求的。</w:t>
      </w:r>
    </w:p>
    <w:p w14:paraId="1AB864EE">
      <w:pPr>
        <w:pStyle w:val="37"/>
        <w:pageBreakBefore w:val="0"/>
        <w:wordWrap/>
        <w:topLinePunct w:val="0"/>
        <w:bidi w:val="0"/>
        <w:spacing w:line="560" w:lineRule="exact"/>
        <w:ind w:firstLine="640" w:firstLineChars="200"/>
        <w:jc w:val="left"/>
        <w:rPr>
          <w:rFonts w:hint="eastAsia" w:ascii="仿宋_GB2312" w:hAnsi="仿宋_GB2312" w:eastAsia="仿宋_GB2312" w:cs="仿宋_GB2312"/>
          <w:color w:val="auto"/>
          <w:kern w:val="32"/>
          <w:sz w:val="32"/>
          <w:szCs w:val="32"/>
          <w:highlight w:val="none"/>
          <w:lang w:eastAsia="zh-CN"/>
        </w:rPr>
      </w:pPr>
      <w:r>
        <w:rPr>
          <w:rFonts w:hint="eastAsia" w:ascii="仿宋_GB2312" w:hAnsi="仿宋_GB2312" w:eastAsia="仿宋_GB2312" w:cs="仿宋_GB2312"/>
          <w:color w:val="auto"/>
          <w:kern w:val="32"/>
          <w:sz w:val="32"/>
          <w:szCs w:val="32"/>
          <w:highlight w:val="none"/>
          <w:lang w:val="en-US" w:eastAsia="zh-CN"/>
        </w:rPr>
        <w:t>⑥</w:t>
      </w:r>
      <w:r>
        <w:rPr>
          <w:rFonts w:ascii="仿宋_GB2312" w:hAnsi="仿宋_GB2312" w:eastAsia="仿宋_GB2312" w:cs="仿宋_GB2312"/>
          <w:color w:val="auto"/>
          <w:kern w:val="32"/>
          <w:sz w:val="32"/>
          <w:szCs w:val="32"/>
          <w:highlight w:val="none"/>
          <w:lang w:eastAsia="zh-CN"/>
        </w:rPr>
        <w:t>未按</w:t>
      </w:r>
      <w:r>
        <w:rPr>
          <w:rFonts w:hint="eastAsia" w:ascii="仿宋_GB2312" w:hAnsi="仿宋_GB2312" w:eastAsia="仿宋_GB2312" w:cs="仿宋_GB2312"/>
          <w:color w:val="auto"/>
          <w:sz w:val="32"/>
          <w:szCs w:val="32"/>
          <w:highlight w:val="none"/>
          <w:lang w:val="en-US" w:eastAsia="zh-CN"/>
        </w:rPr>
        <w:t>询比采购</w:t>
      </w:r>
      <w:r>
        <w:rPr>
          <w:rFonts w:ascii="仿宋_GB2312" w:hAnsi="仿宋_GB2312" w:eastAsia="仿宋_GB2312" w:cs="仿宋_GB2312"/>
          <w:color w:val="auto"/>
          <w:kern w:val="32"/>
          <w:sz w:val="32"/>
          <w:szCs w:val="32"/>
          <w:highlight w:val="none"/>
          <w:lang w:eastAsia="zh-CN"/>
        </w:rPr>
        <w:t>文件格式要求填写、密封、签署、盖章的，如：法定代表人授权书未按要求完整签署、盖章，未提供或错误提供相关身份证明文件的。</w:t>
      </w:r>
    </w:p>
    <w:p w14:paraId="4A3ACDF6">
      <w:pPr>
        <w:pStyle w:val="39"/>
        <w:pageBreakBefore w:val="0"/>
        <w:wordWrap/>
        <w:topLinePunct w:val="0"/>
        <w:bidi w:val="0"/>
        <w:spacing w:line="560" w:lineRule="exact"/>
        <w:ind w:firstLine="640"/>
        <w:jc w:val="left"/>
        <w:outlineLvl w:val="3"/>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（4）符合性审查不合格的，不得进入后续评审。</w:t>
      </w:r>
    </w:p>
    <w:p w14:paraId="0CD55B92">
      <w:pPr>
        <w:pStyle w:val="39"/>
        <w:pageBreakBefore w:val="0"/>
        <w:wordWrap/>
        <w:topLinePunct w:val="0"/>
        <w:bidi w:val="0"/>
        <w:spacing w:line="560" w:lineRule="exact"/>
        <w:ind w:firstLine="640"/>
        <w:jc w:val="left"/>
        <w:outlineLvl w:val="3"/>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（5）通过符合性审查的投标人不足3家的，不得进行后续评审。</w:t>
      </w:r>
    </w:p>
    <w:p w14:paraId="49B994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jc w:val="left"/>
        <w:textAlignment w:val="auto"/>
        <w:outlineLvl w:val="2"/>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（二）详细评审</w:t>
      </w:r>
    </w:p>
    <w:p w14:paraId="219AA868">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评审人员按照询比采购文件中明确的评审方法和标准，对资格审查合格的供应商提交的响应文件进行详细评审。</w:t>
      </w:r>
    </w:p>
    <w:p w14:paraId="2C485A61">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审人员应当按照询比采购文件规定的量化因素和分值进行评审，详细记录评分情况，并计算出综合评估得分排序情况，由评审全体成员签字确认。评审人员不得集体商议、沟通，商务、技术评审方面存有歧义的除外。</w:t>
      </w:r>
    </w:p>
    <w:p w14:paraId="28C0AD6A">
      <w:pPr>
        <w:pageBreakBefore w:val="0"/>
        <w:wordWrap/>
        <w:topLinePunct w:val="0"/>
        <w:bidi w:val="0"/>
        <w:spacing w:line="560" w:lineRule="exact"/>
        <w:ind w:leftChars="0" w:firstLine="643" w:firstLineChars="200"/>
        <w:jc w:val="left"/>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（三）响应文件的澄清</w:t>
      </w:r>
    </w:p>
    <w:p w14:paraId="547EBE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在询比过程中，评审人员可以书面形式要求供应商对响应文件中含义不明确、对同类问题表述不一致或者有明显文字和计算错误的内容作必要的澄清、说明或补正。澄清、说明或补正应以书面方式进行。评审人员不接受供应商主动提出的澄清、说明或补正。</w:t>
      </w:r>
    </w:p>
    <w:p w14:paraId="4AE308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澄清、说明或补正不得超出响应文件的范围且不得改变响应文件的实质性内容，供应商的澄清、说明或补正应当采用书面形式，并由法定代表人或授权代表签字。未签字的，澄清、说明或补正内容无效。书面澄清材料是</w:t>
      </w:r>
      <w:r>
        <w:rPr>
          <w:rFonts w:hint="default" w:ascii="仿宋_GB2312" w:hAnsi="仿宋_GB2312" w:eastAsia="仿宋_GB2312" w:cs="仿宋_GB2312"/>
          <w:color w:val="auto"/>
          <w:sz w:val="32"/>
          <w:szCs w:val="32"/>
          <w:highlight w:val="none"/>
          <w:lang w:eastAsia="zh-CN"/>
        </w:rPr>
        <w:t>响应</w:t>
      </w:r>
      <w:r>
        <w:rPr>
          <w:rFonts w:hint="eastAsia" w:ascii="仿宋_GB2312" w:hAnsi="仿宋_GB2312" w:eastAsia="仿宋_GB2312" w:cs="仿宋_GB2312"/>
          <w:color w:val="auto"/>
          <w:sz w:val="32"/>
          <w:szCs w:val="32"/>
          <w:highlight w:val="none"/>
          <w:lang w:val="en-US" w:eastAsia="zh-CN"/>
        </w:rPr>
        <w:t>文件的补充材料，成为响应文件的组成部分。</w:t>
      </w:r>
    </w:p>
    <w:p w14:paraId="42F75B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3.评审人员对供应商提交的澄清、说明或补正有疑问的，可以要求供应商进一步澄清、说明或补正，直至满足评审人员要求。</w:t>
      </w:r>
    </w:p>
    <w:p w14:paraId="18AC94F2">
      <w:pPr>
        <w:pageBreakBefore w:val="0"/>
        <w:wordWrap/>
        <w:topLinePunct w:val="0"/>
        <w:bidi w:val="0"/>
        <w:spacing w:line="560" w:lineRule="exact"/>
        <w:ind w:leftChars="0" w:firstLine="643" w:firstLineChars="200"/>
        <w:jc w:val="left"/>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（四）出具评审报告</w:t>
      </w:r>
    </w:p>
    <w:p w14:paraId="4938DAC0">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审小组根据全体成员签字的原始评标记录和评标结果编写评审报告。评审报告主要内容由评审全体成员逐页签字或签章确认。评审人员对需要共同认定的事项存在争议的，按照少数服从多数的原则作出结论。持不同意见的评审人员应当在评审报告上签署不同意见并说明理由；只签字未写明不同意见或只写明不同意见未说明理由的，视为无意见；不签字的，不影响评审报告的有效性。</w:t>
      </w:r>
    </w:p>
    <w:p w14:paraId="27794F27">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3" w:firstLineChars="200"/>
        <w:jc w:val="left"/>
        <w:textAlignment w:val="auto"/>
        <w:outlineLvl w:val="9"/>
        <w:rPr>
          <w:rFonts w:hint="eastAsia"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（五）评审人员应当遵守的工作纪律</w:t>
      </w:r>
    </w:p>
    <w:p w14:paraId="037128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评审前，应当将通讯工具或者相关电子设备交由监督人员统一保管。</w:t>
      </w:r>
    </w:p>
    <w:p w14:paraId="5F8B38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评审过程中，不得与外界联系，因发生不可预见情况，确实需要与外界联系的，应当在监督人员监督之下办理。</w:t>
      </w:r>
    </w:p>
    <w:p w14:paraId="628991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审过程中，不得干预或者影响正常评标工作，不得发表倾向性、引导性意见，不得修改或细化询比采购文件确定的评审程序、评审方法、评审因素和评审标准，不得接受供应商主动提出的澄清和解释，不得征询供应商代表的意见，不得协商评分，不得违反规定的评审格式评分和撰写评审意见，不得拒绝对自己的评审意见签字确认。</w:t>
      </w:r>
    </w:p>
    <w:p w14:paraId="736A31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在评审过程中和评审结束后，不得记录、复制或带走任何评审资料，除因规定的义务外，不得向外界透露评审内容。</w:t>
      </w:r>
    </w:p>
    <w:p w14:paraId="659AB9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服从评审现场采购人的现场秩序管理，遵守有关廉洁自律规定，不得私下接触供应商，不得收受供应商及有关业务单位和个人的财物或好处。</w:t>
      </w:r>
    </w:p>
    <w:p w14:paraId="7535B7E5">
      <w:pPr>
        <w:pStyle w:val="10"/>
        <w:keepNext/>
        <w:keepLines/>
        <w:pageBreakBefore w:val="0"/>
        <w:widowControl w:val="0"/>
        <w:numPr>
          <w:ilvl w:val="0"/>
          <w:numId w:val="14"/>
        </w:numPr>
        <w:suppressLineNumbers w:val="0"/>
        <w:wordWrap/>
        <w:topLinePunct w:val="0"/>
        <w:autoSpaceDE/>
        <w:autoSpaceDN/>
        <w:bidi w:val="0"/>
        <w:spacing w:beforeLines="0" w:beforeAutospacing="0" w:afterLines="0" w:afterAutospacing="0" w:line="560" w:lineRule="exact"/>
        <w:ind w:left="0" w:leftChars="0" w:firstLine="640" w:firstLineChars="200"/>
        <w:jc w:val="left"/>
        <w:outlineLvl w:val="1"/>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评分标准</w:t>
      </w:r>
    </w:p>
    <w:p w14:paraId="250637B7">
      <w:pPr>
        <w:keepNext w:val="0"/>
        <w:keepLines w:val="0"/>
        <w:pageBreakBefore w:val="0"/>
        <w:widowControl w:val="0"/>
        <w:numPr>
          <w:ilvl w:val="0"/>
          <w:numId w:val="24"/>
        </w:numPr>
        <w:kinsoku/>
        <w:wordWrap/>
        <w:overflowPunct/>
        <w:topLinePunct w:val="0"/>
        <w:autoSpaceDE/>
        <w:autoSpaceDN/>
        <w:bidi w:val="0"/>
        <w:adjustRightInd/>
        <w:snapToGrid/>
        <w:spacing w:line="560" w:lineRule="exact"/>
        <w:ind w:left="0" w:leftChars="0" w:firstLine="643" w:firstLineChars="200"/>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highlight w:val="none"/>
          <w:lang w:val="en-US" w:eastAsia="zh-CN"/>
        </w:rPr>
        <w:t>两化融合</w:t>
      </w:r>
    </w:p>
    <w:tbl>
      <w:tblPr>
        <w:tblStyle w:val="27"/>
        <w:tblW w:w="9078" w:type="dxa"/>
        <w:tblInd w:w="103"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98"/>
        <w:gridCol w:w="2721"/>
        <w:gridCol w:w="701"/>
        <w:gridCol w:w="4358"/>
      </w:tblGrid>
      <w:tr w14:paraId="17E272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298" w:type="dxa"/>
            <w:tcBorders>
              <w:top w:val="single" w:color="auto" w:sz="8" w:space="0"/>
            </w:tcBorders>
            <w:shd w:val="clear" w:color="auto" w:fill="F1F1F1"/>
            <w:noWrap w:val="0"/>
            <w:vAlign w:val="center"/>
          </w:tcPr>
          <w:p w14:paraId="607B86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类 别</w:t>
            </w:r>
          </w:p>
        </w:tc>
        <w:tc>
          <w:tcPr>
            <w:tcW w:w="2721" w:type="dxa"/>
            <w:tcBorders>
              <w:top w:val="single" w:color="auto" w:sz="8" w:space="0"/>
            </w:tcBorders>
            <w:shd w:val="clear" w:color="auto" w:fill="F1F1F1"/>
            <w:noWrap w:val="0"/>
            <w:vAlign w:val="center"/>
          </w:tcPr>
          <w:p w14:paraId="4DF9D0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事 项</w:t>
            </w:r>
          </w:p>
        </w:tc>
        <w:tc>
          <w:tcPr>
            <w:tcW w:w="701" w:type="dxa"/>
            <w:tcBorders>
              <w:top w:val="single" w:color="auto" w:sz="8" w:space="0"/>
            </w:tcBorders>
            <w:shd w:val="clear" w:color="auto" w:fill="F1F1F1"/>
            <w:noWrap w:val="0"/>
            <w:vAlign w:val="center"/>
          </w:tcPr>
          <w:p w14:paraId="03945E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分值</w:t>
            </w:r>
          </w:p>
        </w:tc>
        <w:tc>
          <w:tcPr>
            <w:tcW w:w="4358" w:type="dxa"/>
            <w:tcBorders>
              <w:top w:val="single" w:color="auto" w:sz="8" w:space="0"/>
            </w:tcBorders>
            <w:shd w:val="clear" w:color="auto" w:fill="F1F1F1"/>
            <w:noWrap w:val="0"/>
            <w:vAlign w:val="center"/>
          </w:tcPr>
          <w:p w14:paraId="0BCD88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评分原则</w:t>
            </w:r>
          </w:p>
        </w:tc>
      </w:tr>
      <w:tr w14:paraId="0656F0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restart"/>
            <w:noWrap w:val="0"/>
            <w:vAlign w:val="center"/>
          </w:tcPr>
          <w:p w14:paraId="6B6616EC">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企业情况</w:t>
            </w:r>
          </w:p>
          <w:p w14:paraId="798B48FE">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（17分）</w:t>
            </w:r>
          </w:p>
        </w:tc>
        <w:tc>
          <w:tcPr>
            <w:tcW w:w="2721" w:type="dxa"/>
            <w:noWrap w:val="0"/>
            <w:vAlign w:val="center"/>
          </w:tcPr>
          <w:p w14:paraId="701134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资质等级</w:t>
            </w:r>
          </w:p>
        </w:tc>
        <w:tc>
          <w:tcPr>
            <w:tcW w:w="701" w:type="dxa"/>
            <w:noWrap w:val="0"/>
            <w:vAlign w:val="center"/>
          </w:tcPr>
          <w:p w14:paraId="5CEF18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5分</w:t>
            </w:r>
          </w:p>
        </w:tc>
        <w:tc>
          <w:tcPr>
            <w:tcW w:w="4358" w:type="dxa"/>
            <w:noWrap w:val="0"/>
            <w:vAlign w:val="center"/>
          </w:tcPr>
          <w:p w14:paraId="2F7962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两化融合管理体系评定管理平台授权竞选人3A级及以上社会服务组织得5分，没有不得分，需提供有效的证明材料，包括但不限于证书或公示等。</w:t>
            </w:r>
          </w:p>
        </w:tc>
      </w:tr>
      <w:tr w14:paraId="44D417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continue"/>
            <w:noWrap w:val="0"/>
            <w:vAlign w:val="center"/>
          </w:tcPr>
          <w:p w14:paraId="5F489FC9">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4"/>
                <w:szCs w:val="24"/>
                <w:lang w:val="en-US" w:eastAsia="zh-CN"/>
              </w:rPr>
            </w:pPr>
          </w:p>
        </w:tc>
        <w:tc>
          <w:tcPr>
            <w:tcW w:w="2721" w:type="dxa"/>
            <w:shd w:val="clear" w:color="auto" w:fill="auto"/>
            <w:noWrap w:val="0"/>
            <w:vAlign w:val="center"/>
          </w:tcPr>
          <w:p w14:paraId="0F5BD5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自</w:t>
            </w:r>
            <w:r>
              <w:rPr>
                <w:rFonts w:hint="eastAsia" w:ascii="仿宋_GB2312" w:hAnsi="仿宋_GB2312" w:eastAsia="仿宋_GB2312" w:cs="仿宋_GB2312"/>
                <w:color w:val="auto"/>
                <w:kern w:val="44"/>
                <w:sz w:val="24"/>
                <w:szCs w:val="24"/>
              </w:rPr>
              <w:t>202</w:t>
            </w:r>
            <w:r>
              <w:rPr>
                <w:rFonts w:hint="eastAsia" w:ascii="仿宋_GB2312" w:hAnsi="仿宋_GB2312" w:eastAsia="仿宋_GB2312" w:cs="仿宋_GB2312"/>
                <w:color w:val="auto"/>
                <w:kern w:val="44"/>
                <w:sz w:val="24"/>
                <w:szCs w:val="24"/>
                <w:lang w:val="en-US" w:eastAsia="zh-CN"/>
              </w:rPr>
              <w:t>1</w:t>
            </w:r>
            <w:r>
              <w:rPr>
                <w:rFonts w:hint="eastAsia" w:ascii="仿宋_GB2312" w:hAnsi="仿宋_GB2312" w:eastAsia="仿宋_GB2312" w:cs="仿宋_GB2312"/>
                <w:color w:val="auto"/>
                <w:kern w:val="44"/>
                <w:sz w:val="24"/>
                <w:szCs w:val="24"/>
              </w:rPr>
              <w:t>年以来</w:t>
            </w:r>
          </w:p>
          <w:p w14:paraId="636AB7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center"/>
              <w:textAlignment w:val="auto"/>
              <w:rPr>
                <w:rFonts w:hint="eastAsia" w:ascii="仿宋_GB2312" w:hAnsi="仿宋_GB2312" w:eastAsia="仿宋_GB2312" w:cs="仿宋_GB2312"/>
                <w:color w:val="auto"/>
                <w:kern w:val="44"/>
                <w:sz w:val="24"/>
                <w:szCs w:val="24"/>
                <w:lang w:val="en-US" w:eastAsia="zh-CN" w:bidi="ar-SA"/>
              </w:rPr>
            </w:pPr>
            <w:r>
              <w:rPr>
                <w:rFonts w:hint="eastAsia" w:ascii="仿宋_GB2312" w:hAnsi="仿宋_GB2312" w:eastAsia="仿宋_GB2312" w:cs="仿宋_GB2312"/>
                <w:color w:val="auto"/>
                <w:kern w:val="44"/>
                <w:sz w:val="24"/>
                <w:szCs w:val="24"/>
                <w:lang w:val="en-US" w:eastAsia="zh-CN"/>
              </w:rPr>
              <w:t>同类项目</w:t>
            </w:r>
            <w:r>
              <w:rPr>
                <w:rFonts w:hint="eastAsia" w:ascii="仿宋_GB2312" w:hAnsi="仿宋_GB2312" w:eastAsia="仿宋_GB2312" w:cs="仿宋_GB2312"/>
                <w:color w:val="auto"/>
                <w:kern w:val="44"/>
                <w:sz w:val="24"/>
                <w:szCs w:val="24"/>
              </w:rPr>
              <w:t>业绩</w:t>
            </w:r>
          </w:p>
        </w:tc>
        <w:tc>
          <w:tcPr>
            <w:tcW w:w="701" w:type="dxa"/>
            <w:shd w:val="clear" w:color="auto" w:fill="auto"/>
            <w:noWrap w:val="0"/>
            <w:vAlign w:val="center"/>
          </w:tcPr>
          <w:p w14:paraId="30B87C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center"/>
              <w:textAlignment w:val="auto"/>
              <w:rPr>
                <w:rFonts w:hint="eastAsia" w:ascii="仿宋_GB2312" w:hAnsi="仿宋_GB2312" w:eastAsia="仿宋_GB2312" w:cs="仿宋_GB2312"/>
                <w:color w:val="auto"/>
                <w:kern w:val="44"/>
                <w:sz w:val="24"/>
                <w:szCs w:val="24"/>
                <w:lang w:val="en-US" w:eastAsia="zh-CN" w:bidi="ar-SA"/>
              </w:rPr>
            </w:pPr>
            <w:r>
              <w:rPr>
                <w:rFonts w:hint="eastAsia" w:ascii="仿宋_GB2312" w:hAnsi="仿宋_GB2312" w:eastAsia="仿宋_GB2312" w:cs="仿宋_GB2312"/>
                <w:color w:val="auto"/>
                <w:kern w:val="44"/>
                <w:sz w:val="24"/>
                <w:szCs w:val="24"/>
                <w:lang w:val="en-US" w:eastAsia="zh-CN"/>
              </w:rPr>
              <w:t>12分</w:t>
            </w:r>
          </w:p>
        </w:tc>
        <w:tc>
          <w:tcPr>
            <w:tcW w:w="4358" w:type="dxa"/>
            <w:shd w:val="clear" w:color="auto" w:fill="auto"/>
            <w:noWrap w:val="0"/>
            <w:vAlign w:val="center"/>
          </w:tcPr>
          <w:p w14:paraId="76C3E2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提供自2021年1月1日后签订或仍在服务的两化融合认证服务类合同和对应的客户证书/公示公告，每提供1个3A级及以上案例得3分，1个2A级案例得1分，其余不得分，满分12分；</w:t>
            </w:r>
          </w:p>
          <w:p w14:paraId="0C3006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left"/>
              <w:textAlignment w:val="auto"/>
              <w:rPr>
                <w:rFonts w:hint="eastAsia" w:ascii="仿宋_GB2312" w:hAnsi="仿宋_GB2312" w:eastAsia="仿宋_GB2312" w:cs="仿宋_GB2312"/>
                <w:color w:val="auto"/>
                <w:kern w:val="44"/>
                <w:sz w:val="24"/>
                <w:szCs w:val="24"/>
                <w:lang w:val="en-US" w:eastAsia="zh-CN" w:bidi="ar-SA"/>
              </w:rPr>
            </w:pPr>
            <w:r>
              <w:rPr>
                <w:rFonts w:hint="eastAsia" w:ascii="仿宋_GB2312" w:hAnsi="仿宋_GB2312" w:eastAsia="仿宋_GB2312" w:cs="仿宋_GB2312"/>
                <w:color w:val="auto"/>
                <w:kern w:val="44"/>
                <w:sz w:val="24"/>
                <w:szCs w:val="24"/>
                <w:lang w:val="en-US" w:eastAsia="zh-CN"/>
              </w:rPr>
              <w:t>需提供合同关键页（能清晰看出合同主体、签订时间、合同标的物、双章等信息），满足上述要求的合同有效，否则无效。</w:t>
            </w:r>
          </w:p>
        </w:tc>
      </w:tr>
      <w:tr w14:paraId="549C3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restart"/>
            <w:noWrap w:val="0"/>
            <w:vAlign w:val="center"/>
          </w:tcPr>
          <w:p w14:paraId="68169E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kern w:val="44"/>
                <w:sz w:val="24"/>
                <w:szCs w:val="24"/>
              </w:rPr>
            </w:pPr>
            <w:r>
              <w:rPr>
                <w:rFonts w:hint="eastAsia" w:ascii="仿宋_GB2312" w:hAnsi="仿宋_GB2312" w:eastAsia="仿宋_GB2312" w:cs="仿宋_GB2312"/>
                <w:b/>
                <w:color w:val="auto"/>
                <w:kern w:val="44"/>
                <w:sz w:val="24"/>
                <w:szCs w:val="24"/>
                <w:lang w:val="en-US" w:eastAsia="zh-CN"/>
              </w:rPr>
              <w:t>团队</w:t>
            </w:r>
            <w:r>
              <w:rPr>
                <w:rFonts w:hint="eastAsia" w:ascii="仿宋_GB2312" w:hAnsi="仿宋_GB2312" w:eastAsia="仿宋_GB2312" w:cs="仿宋_GB2312"/>
                <w:b/>
                <w:color w:val="auto"/>
                <w:kern w:val="44"/>
                <w:sz w:val="24"/>
                <w:szCs w:val="24"/>
              </w:rPr>
              <w:t>情况</w:t>
            </w:r>
          </w:p>
          <w:p w14:paraId="0F3847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kern w:val="44"/>
                <w:sz w:val="24"/>
                <w:szCs w:val="24"/>
              </w:rPr>
              <w:t>（</w:t>
            </w:r>
            <w:r>
              <w:rPr>
                <w:rFonts w:hint="eastAsia" w:ascii="仿宋_GB2312" w:hAnsi="仿宋_GB2312" w:eastAsia="仿宋_GB2312" w:cs="仿宋_GB2312"/>
                <w:b/>
                <w:color w:val="auto"/>
                <w:kern w:val="44"/>
                <w:sz w:val="24"/>
                <w:szCs w:val="24"/>
                <w:lang w:val="en-US" w:eastAsia="zh-CN"/>
              </w:rPr>
              <w:t>15</w:t>
            </w:r>
            <w:r>
              <w:rPr>
                <w:rFonts w:hint="eastAsia" w:ascii="仿宋_GB2312" w:hAnsi="仿宋_GB2312" w:eastAsia="仿宋_GB2312" w:cs="仿宋_GB2312"/>
                <w:b/>
                <w:color w:val="auto"/>
                <w:kern w:val="44"/>
                <w:sz w:val="24"/>
                <w:szCs w:val="24"/>
              </w:rPr>
              <w:t>分）</w:t>
            </w:r>
          </w:p>
        </w:tc>
        <w:tc>
          <w:tcPr>
            <w:tcW w:w="2721" w:type="dxa"/>
            <w:noWrap w:val="0"/>
            <w:vAlign w:val="center"/>
          </w:tcPr>
          <w:p w14:paraId="79809D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spacing w:val="-6"/>
                <w:kern w:val="44"/>
                <w:sz w:val="24"/>
                <w:szCs w:val="24"/>
                <w:lang w:val="en-US" w:eastAsia="zh-CN"/>
              </w:rPr>
            </w:pPr>
            <w:r>
              <w:rPr>
                <w:rFonts w:hint="eastAsia" w:ascii="仿宋_GB2312" w:hAnsi="仿宋_GB2312" w:eastAsia="仿宋_GB2312" w:cs="仿宋_GB2312"/>
                <w:color w:val="auto"/>
                <w:spacing w:val="-6"/>
                <w:kern w:val="44"/>
                <w:sz w:val="24"/>
                <w:szCs w:val="24"/>
                <w:lang w:val="en-US" w:eastAsia="zh-CN"/>
              </w:rPr>
              <w:t>项目负责人资质</w:t>
            </w:r>
          </w:p>
        </w:tc>
        <w:tc>
          <w:tcPr>
            <w:tcW w:w="701" w:type="dxa"/>
            <w:noWrap w:val="0"/>
            <w:vAlign w:val="center"/>
          </w:tcPr>
          <w:p w14:paraId="49FE25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kern w:val="44"/>
                <w:sz w:val="24"/>
                <w:szCs w:val="24"/>
                <w:lang w:val="en-US" w:eastAsia="zh-CN"/>
              </w:rPr>
              <w:t>8分</w:t>
            </w:r>
          </w:p>
        </w:tc>
        <w:tc>
          <w:tcPr>
            <w:tcW w:w="4358" w:type="dxa"/>
            <w:noWrap w:val="0"/>
            <w:vAlign w:val="center"/>
          </w:tcPr>
          <w:p w14:paraId="7414160B">
            <w:pPr>
              <w:keepNext w:val="0"/>
              <w:keepLines w:val="0"/>
              <w:pageBreakBefore w:val="0"/>
              <w:widowControl w:val="0"/>
              <w:numPr>
                <w:ilvl w:val="0"/>
                <w:numId w:val="25"/>
              </w:numPr>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left"/>
              <w:textAlignment w:val="auto"/>
              <w:rPr>
                <w:rFonts w:hint="default" w:ascii="仿宋_GB2312" w:hAnsi="仿宋_GB2312" w:eastAsia="仿宋_GB2312" w:cs="仿宋_GB2312"/>
                <w:color w:val="auto"/>
                <w:kern w:val="44"/>
                <w:sz w:val="24"/>
                <w:szCs w:val="24"/>
                <w:lang w:val="en-US" w:eastAsia="zh-CN" w:bidi="ar"/>
              </w:rPr>
            </w:pPr>
            <w:r>
              <w:rPr>
                <w:rFonts w:hint="eastAsia" w:ascii="仿宋_GB2312" w:hAnsi="仿宋_GB2312" w:eastAsia="仿宋_GB2312" w:cs="仿宋_GB2312"/>
                <w:color w:val="auto"/>
                <w:kern w:val="44"/>
                <w:sz w:val="24"/>
                <w:szCs w:val="24"/>
                <w:lang w:val="en-US" w:eastAsia="zh-CN" w:bidi="ar"/>
              </w:rPr>
              <w:t>项目负责人是两化融合管理体系评定管理平台认定的3A级评估师得3分，其余不得分；</w:t>
            </w:r>
          </w:p>
          <w:p w14:paraId="71895A48">
            <w:pPr>
              <w:keepNext w:val="0"/>
              <w:keepLines w:val="0"/>
              <w:pageBreakBefore w:val="0"/>
              <w:widowControl w:val="0"/>
              <w:numPr>
                <w:ilvl w:val="0"/>
                <w:numId w:val="25"/>
              </w:numPr>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left"/>
              <w:textAlignment w:val="auto"/>
              <w:rPr>
                <w:rFonts w:hint="default" w:ascii="仿宋_GB2312" w:hAnsi="仿宋_GB2312" w:eastAsia="仿宋_GB2312" w:cs="仿宋_GB2312"/>
                <w:color w:val="auto"/>
                <w:kern w:val="44"/>
                <w:sz w:val="24"/>
                <w:szCs w:val="24"/>
                <w:lang w:val="en-US" w:eastAsia="zh-CN" w:bidi="ar"/>
              </w:rPr>
            </w:pPr>
            <w:r>
              <w:rPr>
                <w:rFonts w:hint="default" w:ascii="仿宋_GB2312" w:hAnsi="仿宋_GB2312" w:eastAsia="仿宋_GB2312" w:cs="仿宋_GB2312"/>
                <w:color w:val="auto"/>
                <w:kern w:val="44"/>
                <w:sz w:val="24"/>
                <w:szCs w:val="24"/>
                <w:lang w:val="en-US" w:eastAsia="zh-CN" w:bidi="ar"/>
              </w:rPr>
              <w:t>项目负责人近三年具有</w:t>
            </w:r>
            <w:r>
              <w:rPr>
                <w:rFonts w:hint="eastAsia" w:ascii="仿宋_GB2312" w:hAnsi="仿宋_GB2312" w:eastAsia="仿宋_GB2312" w:cs="仿宋_GB2312"/>
                <w:color w:val="auto"/>
                <w:kern w:val="44"/>
                <w:sz w:val="24"/>
                <w:szCs w:val="24"/>
                <w:lang w:val="en-US" w:eastAsia="zh-CN" w:bidi="ar"/>
              </w:rPr>
              <w:t>2个及以上</w:t>
            </w:r>
            <w:r>
              <w:rPr>
                <w:rFonts w:hint="default" w:ascii="仿宋_GB2312" w:hAnsi="仿宋_GB2312" w:eastAsia="仿宋_GB2312" w:cs="仿宋_GB2312"/>
                <w:color w:val="auto"/>
                <w:kern w:val="44"/>
                <w:sz w:val="24"/>
                <w:szCs w:val="24"/>
                <w:lang w:val="en-US" w:eastAsia="zh-CN" w:bidi="ar"/>
              </w:rPr>
              <w:t>3A级</w:t>
            </w:r>
            <w:r>
              <w:rPr>
                <w:rFonts w:hint="eastAsia" w:ascii="仿宋_GB2312" w:hAnsi="仿宋_GB2312" w:eastAsia="仿宋_GB2312" w:cs="仿宋_GB2312"/>
                <w:color w:val="auto"/>
                <w:kern w:val="44"/>
                <w:sz w:val="24"/>
                <w:szCs w:val="24"/>
                <w:lang w:val="en-US" w:eastAsia="zh-CN" w:bidi="ar"/>
              </w:rPr>
              <w:t>及以上</w:t>
            </w:r>
            <w:r>
              <w:rPr>
                <w:rFonts w:hint="default" w:ascii="仿宋_GB2312" w:hAnsi="仿宋_GB2312" w:eastAsia="仿宋_GB2312" w:cs="仿宋_GB2312"/>
                <w:color w:val="auto"/>
                <w:kern w:val="44"/>
                <w:sz w:val="24"/>
                <w:szCs w:val="24"/>
                <w:lang w:val="en-US" w:eastAsia="zh-CN" w:bidi="ar"/>
              </w:rPr>
              <w:t>咨询案例</w:t>
            </w:r>
            <w:r>
              <w:rPr>
                <w:rFonts w:hint="eastAsia" w:ascii="仿宋_GB2312" w:hAnsi="仿宋_GB2312" w:eastAsia="仿宋_GB2312" w:cs="仿宋_GB2312"/>
                <w:color w:val="auto"/>
                <w:kern w:val="44"/>
                <w:sz w:val="24"/>
                <w:szCs w:val="24"/>
                <w:lang w:val="en-US" w:eastAsia="zh-CN" w:bidi="ar"/>
              </w:rPr>
              <w:t>得5分，1个3A级及以上咨询案例得3分，其余不得分；</w:t>
            </w:r>
          </w:p>
          <w:p w14:paraId="0779CC72">
            <w:pPr>
              <w:keepNext w:val="0"/>
              <w:keepLines w:val="0"/>
              <w:pageBreakBefore w:val="0"/>
              <w:widowControl w:val="0"/>
              <w:numPr>
                <w:ilvl w:val="0"/>
                <w:numId w:val="25"/>
              </w:numPr>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left"/>
              <w:textAlignment w:val="auto"/>
              <w:rPr>
                <w:rFonts w:hint="default"/>
                <w:lang w:val="en-US" w:eastAsia="zh-CN"/>
              </w:rPr>
            </w:pPr>
            <w:r>
              <w:rPr>
                <w:rFonts w:hint="eastAsia" w:ascii="仿宋_GB2312" w:hAnsi="仿宋_GB2312" w:eastAsia="仿宋_GB2312" w:cs="仿宋_GB2312"/>
                <w:color w:val="auto"/>
                <w:kern w:val="44"/>
                <w:sz w:val="24"/>
                <w:szCs w:val="24"/>
                <w:lang w:val="en-US" w:eastAsia="zh-CN" w:bidi="ar"/>
              </w:rPr>
              <w:t>需提供相关证明材料，包括但不限于合同和客户证书等，能清晰看出项目负责人、标的物、</w:t>
            </w:r>
            <w:r>
              <w:rPr>
                <w:rFonts w:hint="eastAsia" w:ascii="仿宋_GB2312" w:hAnsi="仿宋_GB2312" w:eastAsia="仿宋_GB2312" w:cs="仿宋_GB2312"/>
                <w:color w:val="auto"/>
                <w:kern w:val="44"/>
                <w:sz w:val="24"/>
                <w:szCs w:val="24"/>
                <w:lang w:val="en-US" w:eastAsia="zh-CN"/>
              </w:rPr>
              <w:t>双章、签订时间或服务时间</w:t>
            </w:r>
            <w:r>
              <w:rPr>
                <w:rFonts w:hint="eastAsia" w:ascii="仿宋_GB2312" w:hAnsi="仿宋_GB2312" w:eastAsia="仿宋_GB2312" w:cs="仿宋_GB2312"/>
                <w:color w:val="auto"/>
                <w:kern w:val="44"/>
                <w:sz w:val="24"/>
                <w:szCs w:val="24"/>
                <w:lang w:val="en-US" w:eastAsia="zh-CN" w:bidi="ar"/>
              </w:rPr>
              <w:t>等信息，满足上述要求的证明材料有效，否则无效。</w:t>
            </w:r>
          </w:p>
        </w:tc>
      </w:tr>
      <w:tr w14:paraId="502F5C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continue"/>
            <w:noWrap w:val="0"/>
            <w:vAlign w:val="center"/>
          </w:tcPr>
          <w:p w14:paraId="707510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kern w:val="44"/>
                <w:sz w:val="24"/>
                <w:szCs w:val="24"/>
              </w:rPr>
            </w:pPr>
          </w:p>
        </w:tc>
        <w:tc>
          <w:tcPr>
            <w:tcW w:w="2721" w:type="dxa"/>
            <w:noWrap w:val="0"/>
            <w:vAlign w:val="center"/>
          </w:tcPr>
          <w:p w14:paraId="2A0347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spacing w:val="-6"/>
                <w:kern w:val="44"/>
                <w:sz w:val="24"/>
                <w:szCs w:val="24"/>
                <w:lang w:val="en-US" w:eastAsia="zh-CN"/>
              </w:rPr>
            </w:pPr>
            <w:r>
              <w:rPr>
                <w:rFonts w:hint="eastAsia" w:ascii="仿宋_GB2312" w:hAnsi="仿宋_GB2312" w:eastAsia="仿宋_GB2312" w:cs="仿宋_GB2312"/>
                <w:color w:val="auto"/>
                <w:spacing w:val="-6"/>
                <w:kern w:val="44"/>
                <w:sz w:val="24"/>
                <w:szCs w:val="24"/>
                <w:lang w:val="en-US" w:eastAsia="zh-CN"/>
              </w:rPr>
              <w:t>团队配置</w:t>
            </w:r>
          </w:p>
        </w:tc>
        <w:tc>
          <w:tcPr>
            <w:tcW w:w="701" w:type="dxa"/>
            <w:noWrap w:val="0"/>
            <w:vAlign w:val="center"/>
          </w:tcPr>
          <w:p w14:paraId="59E827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7分</w:t>
            </w:r>
          </w:p>
        </w:tc>
        <w:tc>
          <w:tcPr>
            <w:tcW w:w="4358" w:type="dxa"/>
            <w:noWrap w:val="0"/>
            <w:vAlign w:val="center"/>
          </w:tcPr>
          <w:p w14:paraId="339C055D">
            <w:pPr>
              <w:keepNext w:val="0"/>
              <w:keepLines w:val="0"/>
              <w:pageBreakBefore w:val="0"/>
              <w:numPr>
                <w:ilvl w:val="0"/>
                <w:numId w:val="26"/>
              </w:numPr>
              <w:suppressLineNumbers w:val="0"/>
              <w:wordWrap/>
              <w:topLinePunct w:val="0"/>
              <w:bidi w:val="0"/>
              <w:adjustRightInd w:val="0"/>
              <w:snapToGrid w:val="0"/>
              <w:spacing w:before="0" w:beforeAutospacing="0" w:after="0" w:afterAutospacing="0" w:line="560" w:lineRule="exact"/>
              <w:ind w:left="0" w:right="0" w:rightChars="0"/>
              <w:jc w:val="left"/>
              <w:rPr>
                <w:rFonts w:hint="eastAsia" w:ascii="仿宋_GB2312" w:hAnsi="仿宋_GB2312" w:eastAsia="仿宋_GB2312" w:cs="仿宋_GB2312"/>
                <w:color w:val="auto"/>
                <w:kern w:val="44"/>
                <w:sz w:val="24"/>
                <w:szCs w:val="24"/>
                <w:lang w:val="en-US" w:eastAsia="zh-CN" w:bidi="ar"/>
              </w:rPr>
            </w:pPr>
            <w:r>
              <w:rPr>
                <w:rFonts w:hint="eastAsia" w:ascii="仿宋_GB2312" w:hAnsi="仿宋_GB2312" w:eastAsia="仿宋_GB2312" w:cs="仿宋_GB2312"/>
                <w:color w:val="auto"/>
                <w:kern w:val="44"/>
                <w:sz w:val="24"/>
                <w:szCs w:val="24"/>
                <w:lang w:val="en-US" w:eastAsia="zh-CN" w:bidi="ar"/>
              </w:rPr>
              <w:t>项目团队成员（含项目负责人）3人及以上得4分，2人得2分，其余不得分；</w:t>
            </w:r>
          </w:p>
          <w:p w14:paraId="6AFD4D16">
            <w:pPr>
              <w:keepNext w:val="0"/>
              <w:keepLines w:val="0"/>
              <w:pageBreakBefore w:val="0"/>
              <w:numPr>
                <w:ilvl w:val="0"/>
                <w:numId w:val="26"/>
              </w:numPr>
              <w:suppressLineNumbers w:val="0"/>
              <w:wordWrap/>
              <w:topLinePunct w:val="0"/>
              <w:bidi w:val="0"/>
              <w:adjustRightInd w:val="0"/>
              <w:snapToGrid w:val="0"/>
              <w:spacing w:before="0" w:beforeAutospacing="0" w:after="0" w:afterAutospacing="0" w:line="560" w:lineRule="exact"/>
              <w:ind w:left="0" w:right="0" w:rightChars="0"/>
              <w:jc w:val="left"/>
              <w:rPr>
                <w:rFonts w:hint="default"/>
                <w:lang w:val="en-US" w:eastAsia="zh-CN"/>
              </w:rPr>
            </w:pPr>
            <w:r>
              <w:rPr>
                <w:rFonts w:hint="eastAsia" w:ascii="仿宋_GB2312" w:hAnsi="仿宋_GB2312" w:eastAsia="仿宋_GB2312" w:cs="仿宋_GB2312"/>
                <w:color w:val="auto"/>
                <w:kern w:val="44"/>
                <w:sz w:val="24"/>
                <w:szCs w:val="24"/>
                <w:lang w:val="en-US" w:eastAsia="zh-CN" w:bidi="ar"/>
              </w:rPr>
              <w:t>项目团队成员（不含项目负责人）具有评估师资质得1分，满分3分；</w:t>
            </w:r>
          </w:p>
          <w:p w14:paraId="087C0C10">
            <w:pPr>
              <w:keepNext w:val="0"/>
              <w:keepLines w:val="0"/>
              <w:pageBreakBefore w:val="0"/>
              <w:numPr>
                <w:ilvl w:val="0"/>
                <w:numId w:val="26"/>
              </w:numPr>
              <w:suppressLineNumbers w:val="0"/>
              <w:wordWrap/>
              <w:topLinePunct w:val="0"/>
              <w:bidi w:val="0"/>
              <w:adjustRightInd w:val="0"/>
              <w:snapToGrid w:val="0"/>
              <w:spacing w:before="0" w:beforeAutospacing="0" w:after="0" w:afterAutospacing="0" w:line="560" w:lineRule="exact"/>
              <w:ind w:left="0" w:right="0" w:rightChars="0"/>
              <w:jc w:val="left"/>
              <w:rPr>
                <w:rFonts w:hint="default"/>
                <w:lang w:val="en-US" w:eastAsia="zh-CN"/>
              </w:rPr>
            </w:pPr>
            <w:r>
              <w:rPr>
                <w:rFonts w:hint="eastAsia" w:ascii="仿宋_GB2312" w:hAnsi="仿宋_GB2312" w:eastAsia="仿宋_GB2312" w:cs="仿宋_GB2312"/>
                <w:color w:val="auto"/>
                <w:kern w:val="44"/>
                <w:sz w:val="24"/>
                <w:szCs w:val="24"/>
                <w:lang w:val="en-US" w:eastAsia="zh-CN" w:bidi="ar"/>
              </w:rPr>
              <w:t>需提供相关证明材料。</w:t>
            </w:r>
          </w:p>
        </w:tc>
      </w:tr>
      <w:tr w14:paraId="0954AB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1298" w:type="dxa"/>
            <w:vMerge w:val="restart"/>
            <w:noWrap w:val="0"/>
            <w:vAlign w:val="center"/>
          </w:tcPr>
          <w:p w14:paraId="5234C8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sz w:val="24"/>
                <w:szCs w:val="24"/>
              </w:rPr>
              <w:t>服务方案</w:t>
            </w:r>
          </w:p>
          <w:p w14:paraId="088AD1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sz w:val="24"/>
                <w:szCs w:val="24"/>
              </w:rPr>
              <w:t>（</w:t>
            </w:r>
            <w:r>
              <w:rPr>
                <w:rFonts w:hint="eastAsia" w:ascii="仿宋_GB2312" w:hAnsi="仿宋_GB2312" w:eastAsia="仿宋_GB2312" w:cs="仿宋_GB2312"/>
                <w:b/>
                <w:color w:val="auto"/>
                <w:sz w:val="24"/>
                <w:szCs w:val="24"/>
                <w:lang w:val="en-US" w:eastAsia="zh-CN"/>
              </w:rPr>
              <w:t>38</w:t>
            </w:r>
            <w:r>
              <w:rPr>
                <w:rFonts w:hint="eastAsia" w:ascii="仿宋_GB2312" w:hAnsi="仿宋_GB2312" w:eastAsia="仿宋_GB2312" w:cs="仿宋_GB2312"/>
                <w:b/>
                <w:color w:val="auto"/>
                <w:sz w:val="24"/>
                <w:szCs w:val="24"/>
              </w:rPr>
              <w:t>分）</w:t>
            </w:r>
          </w:p>
        </w:tc>
        <w:tc>
          <w:tcPr>
            <w:tcW w:w="2721" w:type="dxa"/>
            <w:noWrap w:val="0"/>
            <w:vAlign w:val="center"/>
          </w:tcPr>
          <w:p w14:paraId="24CFF3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项目实施方案</w:t>
            </w:r>
          </w:p>
        </w:tc>
        <w:tc>
          <w:tcPr>
            <w:tcW w:w="701" w:type="dxa"/>
            <w:noWrap w:val="0"/>
            <w:vAlign w:val="center"/>
          </w:tcPr>
          <w:p w14:paraId="4358F0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20</w:t>
            </w:r>
            <w:r>
              <w:rPr>
                <w:rFonts w:hint="eastAsia" w:ascii="仿宋_GB2312" w:hAnsi="仿宋_GB2312" w:eastAsia="仿宋_GB2312" w:cs="仿宋_GB2312"/>
                <w:color w:val="auto"/>
                <w:kern w:val="44"/>
                <w:sz w:val="24"/>
                <w:szCs w:val="24"/>
              </w:rPr>
              <w:t>分</w:t>
            </w:r>
          </w:p>
        </w:tc>
        <w:tc>
          <w:tcPr>
            <w:tcW w:w="4358" w:type="dxa"/>
            <w:noWrap w:val="0"/>
            <w:vAlign w:val="center"/>
          </w:tcPr>
          <w:p w14:paraId="3B1801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根据技术规范的要求，准确理解项目的需求，服务方案充分考虑制度流程运营的问题与现状，理解运营的特点和管理要求，针对竞选人提供的服务方案进行评分：</w:t>
            </w:r>
          </w:p>
          <w:p w14:paraId="352C98EE">
            <w:pPr>
              <w:keepNext w:val="0"/>
              <w:keepLines w:val="0"/>
              <w:pageBreakBefore w:val="0"/>
              <w:widowControl w:val="0"/>
              <w:numPr>
                <w:ilvl w:val="0"/>
                <w:numId w:val="27"/>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方案内容完整、思路清晰、可操作性强、针对性强，得12-20分；</w:t>
            </w:r>
          </w:p>
          <w:p w14:paraId="287C8230">
            <w:pPr>
              <w:keepNext w:val="0"/>
              <w:keepLines w:val="0"/>
              <w:pageBreakBefore w:val="0"/>
              <w:widowControl w:val="0"/>
              <w:numPr>
                <w:ilvl w:val="0"/>
                <w:numId w:val="27"/>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方案内容一般、思路一般清晰、可操作性一般、针对性一般，得6-12分；</w:t>
            </w:r>
          </w:p>
          <w:p w14:paraId="01F58CCC">
            <w:pPr>
              <w:keepNext w:val="0"/>
              <w:keepLines w:val="0"/>
              <w:pageBreakBefore w:val="0"/>
              <w:widowControl w:val="0"/>
              <w:numPr>
                <w:ilvl w:val="0"/>
                <w:numId w:val="27"/>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方案内容不清晰、思路不够清晰、可操控性差、针对性差，得0-6分；</w:t>
            </w:r>
          </w:p>
          <w:p w14:paraId="70F0A676">
            <w:pPr>
              <w:keepNext w:val="0"/>
              <w:keepLines w:val="0"/>
              <w:pageBreakBefore w:val="0"/>
              <w:widowControl w:val="0"/>
              <w:numPr>
                <w:ilvl w:val="0"/>
                <w:numId w:val="27"/>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未提供不得分。</w:t>
            </w:r>
          </w:p>
        </w:tc>
      </w:tr>
      <w:tr w14:paraId="0BE596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1298" w:type="dxa"/>
            <w:vMerge w:val="continue"/>
            <w:noWrap w:val="0"/>
            <w:vAlign w:val="center"/>
          </w:tcPr>
          <w:p w14:paraId="09992AF6">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color w:val="auto"/>
                <w:sz w:val="24"/>
                <w:szCs w:val="24"/>
              </w:rPr>
            </w:pPr>
          </w:p>
        </w:tc>
        <w:tc>
          <w:tcPr>
            <w:tcW w:w="2721" w:type="dxa"/>
            <w:noWrap w:val="0"/>
            <w:vAlign w:val="center"/>
          </w:tcPr>
          <w:p w14:paraId="54282F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highlight w:val="none"/>
              </w:rPr>
              <w:t>对</w:t>
            </w:r>
            <w:r>
              <w:rPr>
                <w:rFonts w:hint="eastAsia" w:ascii="仿宋_GB2312" w:hAnsi="仿宋_GB2312" w:eastAsia="仿宋_GB2312" w:cs="仿宋_GB2312"/>
                <w:color w:val="auto"/>
                <w:kern w:val="44"/>
                <w:sz w:val="24"/>
                <w:szCs w:val="24"/>
                <w:highlight w:val="none"/>
                <w:lang w:eastAsia="zh-CN"/>
              </w:rPr>
              <w:t>评委提问</w:t>
            </w:r>
            <w:r>
              <w:rPr>
                <w:rFonts w:hint="eastAsia" w:ascii="仿宋_GB2312" w:hAnsi="仿宋_GB2312" w:eastAsia="仿宋_GB2312" w:cs="仿宋_GB2312"/>
                <w:color w:val="auto"/>
                <w:kern w:val="44"/>
                <w:sz w:val="24"/>
                <w:szCs w:val="24"/>
                <w:highlight w:val="none"/>
              </w:rPr>
              <w:t>的剖析</w:t>
            </w:r>
          </w:p>
        </w:tc>
        <w:tc>
          <w:tcPr>
            <w:tcW w:w="701" w:type="dxa"/>
            <w:noWrap w:val="0"/>
            <w:vAlign w:val="center"/>
          </w:tcPr>
          <w:p w14:paraId="27470B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5</w:t>
            </w:r>
            <w:r>
              <w:rPr>
                <w:rFonts w:hint="eastAsia" w:ascii="仿宋_GB2312" w:hAnsi="仿宋_GB2312" w:eastAsia="仿宋_GB2312" w:cs="仿宋_GB2312"/>
                <w:color w:val="auto"/>
                <w:kern w:val="44"/>
                <w:sz w:val="24"/>
                <w:szCs w:val="24"/>
              </w:rPr>
              <w:t>分</w:t>
            </w:r>
          </w:p>
        </w:tc>
        <w:tc>
          <w:tcPr>
            <w:tcW w:w="4358" w:type="dxa"/>
            <w:noWrap w:val="0"/>
            <w:vAlign w:val="center"/>
          </w:tcPr>
          <w:p w14:paraId="680886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highlight w:val="none"/>
                <w:lang w:val="en-US" w:eastAsia="zh-CN"/>
              </w:rPr>
              <w:t>向竞选人提问，就其对本次项目</w:t>
            </w:r>
            <w:r>
              <w:rPr>
                <w:rFonts w:hint="eastAsia" w:ascii="仿宋_GB2312" w:hAnsi="仿宋_GB2312" w:eastAsia="仿宋_GB2312" w:cs="仿宋_GB2312"/>
                <w:color w:val="auto"/>
                <w:kern w:val="44"/>
                <w:sz w:val="24"/>
                <w:szCs w:val="24"/>
                <w:highlight w:val="none"/>
              </w:rPr>
              <w:t>理解和思路是否全面、深刻，</w:t>
            </w:r>
            <w:r>
              <w:rPr>
                <w:rFonts w:hint="eastAsia" w:ascii="仿宋_GB2312" w:hAnsi="仿宋_GB2312" w:eastAsia="仿宋_GB2312" w:cs="仿宋_GB2312"/>
                <w:color w:val="auto"/>
                <w:kern w:val="44"/>
                <w:sz w:val="24"/>
                <w:szCs w:val="24"/>
                <w:highlight w:val="none"/>
                <w:lang w:val="en-US" w:eastAsia="zh-CN"/>
              </w:rPr>
              <w:t>是否</w:t>
            </w:r>
            <w:r>
              <w:rPr>
                <w:rFonts w:hint="eastAsia" w:ascii="仿宋_GB2312" w:hAnsi="仿宋_GB2312" w:eastAsia="仿宋_GB2312" w:cs="仿宋_GB2312"/>
                <w:color w:val="auto"/>
                <w:kern w:val="44"/>
                <w:sz w:val="24"/>
                <w:szCs w:val="24"/>
                <w:highlight w:val="none"/>
              </w:rPr>
              <w:t>有针对性</w:t>
            </w:r>
            <w:r>
              <w:rPr>
                <w:rFonts w:hint="eastAsia" w:ascii="仿宋_GB2312" w:hAnsi="仿宋_GB2312" w:eastAsia="仿宋_GB2312" w:cs="仿宋_GB2312"/>
                <w:color w:val="auto"/>
                <w:kern w:val="44"/>
                <w:sz w:val="24"/>
                <w:szCs w:val="24"/>
                <w:highlight w:val="none"/>
                <w:lang w:val="en-US" w:eastAsia="zh-CN"/>
              </w:rPr>
              <w:t>建议等情况进行</w:t>
            </w:r>
            <w:r>
              <w:rPr>
                <w:rFonts w:hint="eastAsia" w:ascii="仿宋_GB2312" w:hAnsi="仿宋_GB2312" w:eastAsia="仿宋_GB2312" w:cs="仿宋_GB2312"/>
                <w:color w:val="auto"/>
                <w:kern w:val="44"/>
                <w:sz w:val="24"/>
                <w:szCs w:val="24"/>
                <w:lang w:eastAsia="zh-CN"/>
              </w:rPr>
              <w:t>综合评价，评价为优得</w:t>
            </w:r>
            <w:r>
              <w:rPr>
                <w:rFonts w:hint="eastAsia" w:ascii="仿宋_GB2312" w:hAnsi="仿宋_GB2312" w:eastAsia="仿宋_GB2312" w:cs="仿宋_GB2312"/>
                <w:color w:val="auto"/>
                <w:kern w:val="44"/>
                <w:sz w:val="24"/>
                <w:szCs w:val="24"/>
                <w:lang w:val="en-US" w:eastAsia="zh-CN"/>
              </w:rPr>
              <w:t>3-5分，良得1-3分，差得0-1分</w:t>
            </w:r>
            <w:r>
              <w:rPr>
                <w:rFonts w:hint="eastAsia" w:ascii="仿宋_GB2312" w:hAnsi="仿宋_GB2312" w:eastAsia="仿宋_GB2312" w:cs="仿宋_GB2312"/>
                <w:b/>
                <w:bCs/>
                <w:color w:val="auto"/>
                <w:kern w:val="44"/>
                <w:sz w:val="24"/>
                <w:szCs w:val="24"/>
                <w:lang w:eastAsia="zh-CN"/>
              </w:rPr>
              <w:t>。</w:t>
            </w:r>
          </w:p>
        </w:tc>
      </w:tr>
      <w:tr w14:paraId="30D591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continue"/>
            <w:noWrap w:val="0"/>
            <w:vAlign w:val="center"/>
          </w:tcPr>
          <w:p w14:paraId="60C78BC3">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color w:val="auto"/>
                <w:sz w:val="24"/>
                <w:szCs w:val="24"/>
              </w:rPr>
            </w:pPr>
          </w:p>
        </w:tc>
        <w:tc>
          <w:tcPr>
            <w:tcW w:w="2721" w:type="dxa"/>
            <w:noWrap w:val="0"/>
            <w:vAlign w:val="center"/>
          </w:tcPr>
          <w:p w14:paraId="458326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rPr>
              <w:t>服务保障措施</w:t>
            </w:r>
          </w:p>
        </w:tc>
        <w:tc>
          <w:tcPr>
            <w:tcW w:w="701" w:type="dxa"/>
            <w:noWrap w:val="0"/>
            <w:vAlign w:val="center"/>
          </w:tcPr>
          <w:p w14:paraId="1AC1F4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5</w:t>
            </w:r>
            <w:r>
              <w:rPr>
                <w:rFonts w:hint="eastAsia" w:ascii="仿宋_GB2312" w:hAnsi="仿宋_GB2312" w:eastAsia="仿宋_GB2312" w:cs="仿宋_GB2312"/>
                <w:color w:val="auto"/>
                <w:kern w:val="44"/>
                <w:sz w:val="24"/>
                <w:szCs w:val="24"/>
              </w:rPr>
              <w:t>分</w:t>
            </w:r>
          </w:p>
        </w:tc>
        <w:tc>
          <w:tcPr>
            <w:tcW w:w="4358" w:type="dxa"/>
            <w:noWrap w:val="0"/>
            <w:vAlign w:val="center"/>
          </w:tcPr>
          <w:p w14:paraId="0C5277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竞选人须提供本项目服务过程的质量控制措施方案，方案包含但不限于质量管控措施、现场人员考核措施、服务中可能出现的问题及应对办法，针对竞选人提供的方案进行评分：</w:t>
            </w:r>
          </w:p>
          <w:p w14:paraId="06780DCC">
            <w:pPr>
              <w:keepNext w:val="0"/>
              <w:keepLines w:val="0"/>
              <w:pageBreakBefore w:val="0"/>
              <w:widowControl w:val="0"/>
              <w:numPr>
                <w:ilvl w:val="0"/>
                <w:numId w:val="28"/>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方案描述过程详细、思路清晰、可执行性强，得3-5分；</w:t>
            </w:r>
          </w:p>
          <w:p w14:paraId="00D639D3">
            <w:pPr>
              <w:keepNext w:val="0"/>
              <w:keepLines w:val="0"/>
              <w:pageBreakBefore w:val="0"/>
              <w:widowControl w:val="0"/>
              <w:numPr>
                <w:ilvl w:val="0"/>
                <w:numId w:val="28"/>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方案描述过程较详细、思路较清晰、可执行性一般，得1-3分；</w:t>
            </w:r>
          </w:p>
          <w:p w14:paraId="53B63D84">
            <w:pPr>
              <w:keepNext w:val="0"/>
              <w:keepLines w:val="0"/>
              <w:pageBreakBefore w:val="0"/>
              <w:widowControl w:val="0"/>
              <w:numPr>
                <w:ilvl w:val="0"/>
                <w:numId w:val="28"/>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方案描述过程不详细、思路不清晰、可执行性差，得0-1分；</w:t>
            </w:r>
          </w:p>
          <w:p w14:paraId="646A59D0">
            <w:pPr>
              <w:keepNext w:val="0"/>
              <w:keepLines w:val="0"/>
              <w:pageBreakBefore w:val="0"/>
              <w:widowControl w:val="0"/>
              <w:numPr>
                <w:ilvl w:val="0"/>
                <w:numId w:val="28"/>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未提供得0分。</w:t>
            </w:r>
          </w:p>
        </w:tc>
      </w:tr>
      <w:tr w14:paraId="466779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continue"/>
            <w:noWrap w:val="0"/>
            <w:vAlign w:val="center"/>
          </w:tcPr>
          <w:p w14:paraId="3A31A4B5">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color w:val="auto"/>
                <w:sz w:val="24"/>
                <w:szCs w:val="24"/>
              </w:rPr>
            </w:pPr>
          </w:p>
        </w:tc>
        <w:tc>
          <w:tcPr>
            <w:tcW w:w="2721" w:type="dxa"/>
            <w:noWrap w:val="0"/>
            <w:vAlign w:val="center"/>
          </w:tcPr>
          <w:p w14:paraId="03DD99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服务质量承诺</w:t>
            </w:r>
          </w:p>
        </w:tc>
        <w:tc>
          <w:tcPr>
            <w:tcW w:w="701" w:type="dxa"/>
            <w:noWrap w:val="0"/>
            <w:vAlign w:val="center"/>
          </w:tcPr>
          <w:p w14:paraId="1BCA8C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8分</w:t>
            </w:r>
          </w:p>
        </w:tc>
        <w:tc>
          <w:tcPr>
            <w:tcW w:w="4358" w:type="dxa"/>
            <w:noWrap w:val="0"/>
            <w:vAlign w:val="center"/>
          </w:tcPr>
          <w:p w14:paraId="5AF802BC">
            <w:pPr>
              <w:keepNext w:val="0"/>
              <w:keepLines w:val="0"/>
              <w:pageBreakBefore w:val="0"/>
              <w:widowControl w:val="0"/>
              <w:numPr>
                <w:ilvl w:val="0"/>
                <w:numId w:val="29"/>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竞选人保证指导质量，承诺采购单位材料梳理质量符合要求，可达到一次性通过认证的得8分；保证通过但不保证一次性通过认证的得4分，未提供不得分。</w:t>
            </w:r>
          </w:p>
          <w:p w14:paraId="4430DB86">
            <w:pPr>
              <w:keepNext w:val="0"/>
              <w:keepLines w:val="0"/>
              <w:pageBreakBefore w:val="0"/>
              <w:widowControl w:val="0"/>
              <w:numPr>
                <w:ilvl w:val="0"/>
                <w:numId w:val="29"/>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该项承诺需在服务质量承诺函模板中填写，并加盖公章。</w:t>
            </w:r>
          </w:p>
        </w:tc>
      </w:tr>
      <w:tr w14:paraId="4D5229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298" w:type="dxa"/>
            <w:noWrap w:val="0"/>
            <w:vAlign w:val="center"/>
          </w:tcPr>
          <w:p w14:paraId="3D737D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kern w:val="44"/>
                <w:sz w:val="24"/>
                <w:szCs w:val="24"/>
              </w:rPr>
            </w:pPr>
            <w:r>
              <w:rPr>
                <w:rFonts w:hint="eastAsia" w:ascii="仿宋_GB2312" w:hAnsi="仿宋_GB2312" w:eastAsia="仿宋_GB2312" w:cs="仿宋_GB2312"/>
                <w:b/>
                <w:color w:val="auto"/>
                <w:kern w:val="44"/>
                <w:sz w:val="24"/>
                <w:szCs w:val="24"/>
              </w:rPr>
              <w:t>报价</w:t>
            </w:r>
          </w:p>
          <w:p w14:paraId="336D05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kern w:val="44"/>
                <w:sz w:val="24"/>
                <w:szCs w:val="24"/>
              </w:rPr>
              <w:t>（</w:t>
            </w:r>
            <w:r>
              <w:rPr>
                <w:rFonts w:hint="eastAsia" w:ascii="仿宋_GB2312" w:hAnsi="仿宋_GB2312" w:eastAsia="仿宋_GB2312" w:cs="仿宋_GB2312"/>
                <w:b/>
                <w:color w:val="auto"/>
                <w:kern w:val="44"/>
                <w:sz w:val="24"/>
                <w:szCs w:val="24"/>
                <w:lang w:val="en-US" w:eastAsia="zh-CN"/>
              </w:rPr>
              <w:t>3</w:t>
            </w:r>
            <w:r>
              <w:rPr>
                <w:rFonts w:hint="eastAsia" w:ascii="仿宋_GB2312" w:hAnsi="仿宋_GB2312" w:eastAsia="仿宋_GB2312" w:cs="仿宋_GB2312"/>
                <w:b/>
                <w:color w:val="auto"/>
                <w:kern w:val="44"/>
                <w:sz w:val="24"/>
                <w:szCs w:val="24"/>
              </w:rPr>
              <w:t>0分）</w:t>
            </w:r>
          </w:p>
        </w:tc>
        <w:tc>
          <w:tcPr>
            <w:tcW w:w="2721" w:type="dxa"/>
            <w:noWrap w:val="0"/>
            <w:vAlign w:val="center"/>
          </w:tcPr>
          <w:p w14:paraId="5F39B6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rPr>
              <w:t>服务价格（含税）</w:t>
            </w:r>
          </w:p>
        </w:tc>
        <w:tc>
          <w:tcPr>
            <w:tcW w:w="701" w:type="dxa"/>
            <w:noWrap w:val="0"/>
            <w:vAlign w:val="center"/>
          </w:tcPr>
          <w:p w14:paraId="257F75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3</w:t>
            </w:r>
            <w:r>
              <w:rPr>
                <w:rFonts w:hint="eastAsia" w:ascii="仿宋_GB2312" w:hAnsi="仿宋_GB2312" w:eastAsia="仿宋_GB2312" w:cs="仿宋_GB2312"/>
                <w:color w:val="auto"/>
                <w:kern w:val="44"/>
                <w:sz w:val="24"/>
                <w:szCs w:val="24"/>
              </w:rPr>
              <w:t>0分</w:t>
            </w:r>
          </w:p>
        </w:tc>
        <w:tc>
          <w:tcPr>
            <w:tcW w:w="4358" w:type="dxa"/>
            <w:noWrap w:val="0"/>
            <w:vAlign w:val="center"/>
          </w:tcPr>
          <w:p w14:paraId="4291E2C0">
            <w:pPr>
              <w:pStyle w:val="5"/>
              <w:keepNext w:val="0"/>
              <w:keepLines w:val="0"/>
              <w:pageBreakBefore w:val="0"/>
              <w:widowControl w:val="0"/>
              <w:numPr>
                <w:ilvl w:val="0"/>
                <w:numId w:val="30"/>
              </w:numPr>
              <w:suppressLineNumbers w:val="0"/>
              <w:kinsoku/>
              <w:wordWrap/>
              <w:overflowPunct/>
              <w:topLinePunct w:val="0"/>
              <w:autoSpaceDE/>
              <w:autoSpaceDN/>
              <w:bidi w:val="0"/>
              <w:adjustRightInd/>
              <w:snapToGrid/>
              <w:spacing w:before="0" w:beforeAutospacing="0" w:after="0" w:afterAutospacing="0" w:line="560" w:lineRule="exact"/>
              <w:ind w:left="0" w:leftChars="0" w:right="0"/>
              <w:textAlignment w:val="auto"/>
              <w:rPr>
                <w:rFonts w:hint="eastAsia" w:ascii="仿宋_GB2312" w:hAnsi="仿宋_GB2312" w:eastAsia="仿宋_GB2312" w:cs="仿宋_GB2312"/>
                <w:color w:val="auto"/>
                <w:kern w:val="44"/>
                <w:sz w:val="24"/>
                <w:szCs w:val="24"/>
                <w:highlight w:val="none"/>
                <w:lang w:val="en-US" w:eastAsia="zh-CN" w:bidi="ar-SA"/>
              </w:rPr>
            </w:pPr>
            <w:r>
              <w:rPr>
                <w:rFonts w:hint="eastAsia" w:ascii="仿宋_GB2312" w:hAnsi="仿宋_GB2312" w:eastAsia="仿宋_GB2312" w:cs="仿宋_GB2312"/>
                <w:color w:val="auto"/>
                <w:kern w:val="44"/>
                <w:sz w:val="24"/>
                <w:szCs w:val="24"/>
                <w:highlight w:val="none"/>
                <w:lang w:val="en-US" w:eastAsia="zh-CN" w:bidi="ar-SA"/>
              </w:rPr>
              <w:t>以各有效竞选人对应报价(Y</w:t>
            </w:r>
            <w:r>
              <w:rPr>
                <w:rFonts w:hint="eastAsia" w:ascii="仿宋_GB2312" w:hAnsi="仿宋_GB2312" w:eastAsia="仿宋_GB2312" w:cs="仿宋_GB2312"/>
                <w:color w:val="auto"/>
                <w:kern w:val="44"/>
                <w:sz w:val="24"/>
                <w:szCs w:val="24"/>
                <w:highlight w:val="none"/>
                <w:vertAlign w:val="subscript"/>
                <w:lang w:val="en-US" w:eastAsia="zh-CN" w:bidi="ar-SA"/>
              </w:rPr>
              <w:t>1</w:t>
            </w:r>
            <w:r>
              <w:rPr>
                <w:rFonts w:hint="eastAsia" w:ascii="仿宋_GB2312" w:hAnsi="仿宋_GB2312" w:eastAsia="仿宋_GB2312" w:cs="仿宋_GB2312"/>
                <w:color w:val="auto"/>
                <w:kern w:val="44"/>
                <w:sz w:val="24"/>
                <w:szCs w:val="24"/>
                <w:highlight w:val="none"/>
                <w:lang w:val="en-US" w:eastAsia="zh-CN" w:bidi="ar-SA"/>
              </w:rPr>
              <w:t>,Y</w:t>
            </w:r>
            <w:r>
              <w:rPr>
                <w:rFonts w:hint="eastAsia" w:ascii="仿宋_GB2312" w:hAnsi="仿宋_GB2312" w:eastAsia="仿宋_GB2312" w:cs="仿宋_GB2312"/>
                <w:color w:val="auto"/>
                <w:kern w:val="44"/>
                <w:sz w:val="24"/>
                <w:szCs w:val="24"/>
                <w:highlight w:val="none"/>
                <w:vertAlign w:val="subscript"/>
                <w:lang w:val="en-US" w:eastAsia="zh-CN" w:bidi="ar-SA"/>
              </w:rPr>
              <w:t>2</w:t>
            </w:r>
            <w:r>
              <w:rPr>
                <w:rFonts w:hint="eastAsia" w:ascii="仿宋_GB2312" w:hAnsi="仿宋_GB2312" w:eastAsia="仿宋_GB2312" w:cs="仿宋_GB2312"/>
                <w:color w:val="auto"/>
                <w:kern w:val="44"/>
                <w:sz w:val="24"/>
                <w:szCs w:val="24"/>
                <w:highlight w:val="none"/>
                <w:lang w:val="en-US" w:eastAsia="zh-CN" w:bidi="ar-SA"/>
              </w:rPr>
              <w:t>...)的平均值（X)作为基准价格，基准价分值20分；</w:t>
            </w:r>
          </w:p>
          <w:p w14:paraId="11D05004">
            <w:pPr>
              <w:pStyle w:val="5"/>
              <w:keepNext w:val="0"/>
              <w:keepLines w:val="0"/>
              <w:pageBreakBefore w:val="0"/>
              <w:widowControl w:val="0"/>
              <w:numPr>
                <w:ilvl w:val="0"/>
                <w:numId w:val="30"/>
              </w:numPr>
              <w:suppressLineNumbers w:val="0"/>
              <w:kinsoku/>
              <w:wordWrap/>
              <w:overflowPunct/>
              <w:topLinePunct w:val="0"/>
              <w:autoSpaceDE/>
              <w:autoSpaceDN/>
              <w:bidi w:val="0"/>
              <w:adjustRightInd/>
              <w:snapToGrid/>
              <w:spacing w:before="0" w:beforeAutospacing="0" w:after="0" w:afterAutospacing="0" w:line="560" w:lineRule="exact"/>
              <w:ind w:left="0" w:leftChars="0" w:right="0"/>
              <w:textAlignment w:val="auto"/>
              <w:rPr>
                <w:rFonts w:hint="default"/>
                <w:lang w:val="en-US" w:eastAsia="zh-CN"/>
              </w:rPr>
            </w:pPr>
            <w:r>
              <w:rPr>
                <w:rFonts w:hint="eastAsia" w:ascii="仿宋_GB2312" w:hAnsi="仿宋_GB2312" w:eastAsia="仿宋_GB2312" w:cs="仿宋_GB2312"/>
                <w:color w:val="auto"/>
                <w:kern w:val="44"/>
                <w:sz w:val="24"/>
                <w:szCs w:val="24"/>
                <w:highlight w:val="none"/>
                <w:lang w:val="en-US" w:eastAsia="zh-CN" w:bidi="ar-SA"/>
              </w:rPr>
              <w:t>若竞选人报价超过基准价格5%，则在基准分值基础上按照比例扣分，直至0分；竞选人报价低于基准价格5%，则在基准分值基础上按照比例加分，直至满分；</w:t>
            </w:r>
          </w:p>
          <w:p w14:paraId="7A0BCD48">
            <w:pPr>
              <w:pStyle w:val="5"/>
              <w:keepNext w:val="0"/>
              <w:keepLines w:val="0"/>
              <w:pageBreakBefore w:val="0"/>
              <w:widowControl w:val="0"/>
              <w:numPr>
                <w:ilvl w:val="0"/>
                <w:numId w:val="30"/>
              </w:numPr>
              <w:suppressLineNumbers w:val="0"/>
              <w:kinsoku/>
              <w:wordWrap/>
              <w:overflowPunct/>
              <w:topLinePunct w:val="0"/>
              <w:autoSpaceDE/>
              <w:autoSpaceDN/>
              <w:bidi w:val="0"/>
              <w:adjustRightInd/>
              <w:snapToGrid/>
              <w:spacing w:before="0" w:beforeAutospacing="0" w:after="0" w:afterAutospacing="0" w:line="560" w:lineRule="exact"/>
              <w:ind w:left="0" w:leftChars="0" w:right="0"/>
              <w:textAlignment w:val="auto"/>
              <w:rPr>
                <w:rFonts w:hint="default"/>
                <w:lang w:val="en-US" w:eastAsia="zh-CN"/>
              </w:rPr>
            </w:pPr>
            <w:r>
              <w:rPr>
                <w:rFonts w:hint="eastAsia" w:ascii="仿宋_GB2312" w:hAnsi="仿宋_GB2312" w:eastAsia="仿宋_GB2312" w:cs="仿宋_GB2312"/>
                <w:color w:val="auto"/>
                <w:kern w:val="44"/>
                <w:sz w:val="24"/>
                <w:szCs w:val="24"/>
                <w:highlight w:val="none"/>
                <w:lang w:val="en-US" w:eastAsia="zh-CN" w:bidi="ar-SA"/>
              </w:rPr>
              <w:t>具体得分计算公式如下：=20+(1-Y</w:t>
            </w:r>
            <w:r>
              <w:rPr>
                <w:rFonts w:hint="eastAsia" w:ascii="仿宋_GB2312" w:hAnsi="仿宋_GB2312" w:eastAsia="仿宋_GB2312" w:cs="仿宋_GB2312"/>
                <w:color w:val="auto"/>
                <w:kern w:val="44"/>
                <w:sz w:val="24"/>
                <w:szCs w:val="24"/>
                <w:highlight w:val="none"/>
                <w:vertAlign w:val="subscript"/>
                <w:lang w:val="en-US" w:eastAsia="zh-CN" w:bidi="ar-SA"/>
              </w:rPr>
              <w:t>1</w:t>
            </w:r>
            <w:r>
              <w:rPr>
                <w:rFonts w:hint="eastAsia" w:ascii="仿宋_GB2312" w:hAnsi="仿宋_GB2312" w:eastAsia="仿宋_GB2312" w:cs="仿宋_GB2312"/>
                <w:color w:val="auto"/>
                <w:kern w:val="44"/>
                <w:sz w:val="24"/>
                <w:szCs w:val="24"/>
                <w:highlight w:val="none"/>
                <w:vertAlign w:val="baseline"/>
                <w:lang w:val="en-US" w:eastAsia="zh-CN" w:bidi="ar-SA"/>
              </w:rPr>
              <w:t>/X)/5%，结果保留两位小数。</w:t>
            </w:r>
          </w:p>
        </w:tc>
      </w:tr>
    </w:tbl>
    <w:p w14:paraId="7D91CBC6">
      <w:pPr>
        <w:keepNext w:val="0"/>
        <w:keepLines w:val="0"/>
        <w:pageBreakBefore w:val="0"/>
        <w:widowControl w:val="0"/>
        <w:numPr>
          <w:ilvl w:val="0"/>
          <w:numId w:val="24"/>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楷体_GB2312" w:hAnsi="楷体_GB2312" w:eastAsia="楷体_GB2312" w:cs="楷体_GB2312"/>
          <w:b/>
          <w:bCs/>
          <w:color w:val="auto"/>
          <w:sz w:val="32"/>
          <w:szCs w:val="32"/>
          <w:lang w:val="en-US" w:eastAsia="zh-CN"/>
        </w:rPr>
        <w:t>DCMM</w:t>
      </w:r>
    </w:p>
    <w:tbl>
      <w:tblPr>
        <w:tblStyle w:val="27"/>
        <w:tblW w:w="9078" w:type="dxa"/>
        <w:tblInd w:w="103"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98"/>
        <w:gridCol w:w="2721"/>
        <w:gridCol w:w="701"/>
        <w:gridCol w:w="4358"/>
      </w:tblGrid>
      <w:tr w14:paraId="49AF01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298" w:type="dxa"/>
            <w:tcBorders>
              <w:top w:val="single" w:color="auto" w:sz="8" w:space="0"/>
            </w:tcBorders>
            <w:shd w:val="clear" w:color="auto" w:fill="F1F1F1"/>
            <w:noWrap w:val="0"/>
            <w:vAlign w:val="center"/>
          </w:tcPr>
          <w:p w14:paraId="350A22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类 别</w:t>
            </w:r>
          </w:p>
        </w:tc>
        <w:tc>
          <w:tcPr>
            <w:tcW w:w="2721" w:type="dxa"/>
            <w:tcBorders>
              <w:top w:val="single" w:color="auto" w:sz="8" w:space="0"/>
            </w:tcBorders>
            <w:shd w:val="clear" w:color="auto" w:fill="F1F1F1"/>
            <w:noWrap w:val="0"/>
            <w:vAlign w:val="center"/>
          </w:tcPr>
          <w:p w14:paraId="629801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事 项</w:t>
            </w:r>
          </w:p>
        </w:tc>
        <w:tc>
          <w:tcPr>
            <w:tcW w:w="701" w:type="dxa"/>
            <w:tcBorders>
              <w:top w:val="single" w:color="auto" w:sz="8" w:space="0"/>
            </w:tcBorders>
            <w:shd w:val="clear" w:color="auto" w:fill="F1F1F1"/>
            <w:noWrap w:val="0"/>
            <w:vAlign w:val="center"/>
          </w:tcPr>
          <w:p w14:paraId="04F980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分值</w:t>
            </w:r>
          </w:p>
        </w:tc>
        <w:tc>
          <w:tcPr>
            <w:tcW w:w="4358" w:type="dxa"/>
            <w:tcBorders>
              <w:top w:val="single" w:color="auto" w:sz="8" w:space="0"/>
            </w:tcBorders>
            <w:shd w:val="clear" w:color="auto" w:fill="F1F1F1"/>
            <w:noWrap w:val="0"/>
            <w:vAlign w:val="center"/>
          </w:tcPr>
          <w:p w14:paraId="52646D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评分原则</w:t>
            </w:r>
          </w:p>
        </w:tc>
      </w:tr>
      <w:tr w14:paraId="412177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noWrap w:val="0"/>
            <w:vAlign w:val="center"/>
          </w:tcPr>
          <w:p w14:paraId="0BB5F6FC">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企业情况（10分）</w:t>
            </w:r>
          </w:p>
        </w:tc>
        <w:tc>
          <w:tcPr>
            <w:tcW w:w="2721" w:type="dxa"/>
            <w:shd w:val="clear" w:color="auto" w:fill="auto"/>
            <w:noWrap w:val="0"/>
            <w:vAlign w:val="center"/>
          </w:tcPr>
          <w:p w14:paraId="76C264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自</w:t>
            </w:r>
            <w:r>
              <w:rPr>
                <w:rFonts w:hint="eastAsia" w:ascii="仿宋_GB2312" w:hAnsi="仿宋_GB2312" w:eastAsia="仿宋_GB2312" w:cs="仿宋_GB2312"/>
                <w:color w:val="auto"/>
                <w:kern w:val="44"/>
                <w:sz w:val="24"/>
                <w:szCs w:val="24"/>
              </w:rPr>
              <w:t>202</w:t>
            </w:r>
            <w:r>
              <w:rPr>
                <w:rFonts w:hint="eastAsia" w:ascii="仿宋_GB2312" w:hAnsi="仿宋_GB2312" w:eastAsia="仿宋_GB2312" w:cs="仿宋_GB2312"/>
                <w:color w:val="auto"/>
                <w:kern w:val="44"/>
                <w:sz w:val="24"/>
                <w:szCs w:val="24"/>
                <w:lang w:val="en-US" w:eastAsia="zh-CN"/>
              </w:rPr>
              <w:t>1</w:t>
            </w:r>
            <w:r>
              <w:rPr>
                <w:rFonts w:hint="eastAsia" w:ascii="仿宋_GB2312" w:hAnsi="仿宋_GB2312" w:eastAsia="仿宋_GB2312" w:cs="仿宋_GB2312"/>
                <w:color w:val="auto"/>
                <w:kern w:val="44"/>
                <w:sz w:val="24"/>
                <w:szCs w:val="24"/>
              </w:rPr>
              <w:t>年以来</w:t>
            </w:r>
          </w:p>
          <w:p w14:paraId="42C6B5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center"/>
              <w:textAlignment w:val="auto"/>
              <w:rPr>
                <w:rFonts w:hint="eastAsia" w:ascii="仿宋_GB2312" w:hAnsi="仿宋_GB2312" w:eastAsia="仿宋_GB2312" w:cs="仿宋_GB2312"/>
                <w:color w:val="auto"/>
                <w:kern w:val="44"/>
                <w:sz w:val="24"/>
                <w:szCs w:val="24"/>
                <w:lang w:val="en-US" w:eastAsia="zh-CN" w:bidi="ar-SA"/>
              </w:rPr>
            </w:pPr>
            <w:r>
              <w:rPr>
                <w:rFonts w:hint="eastAsia" w:ascii="仿宋_GB2312" w:hAnsi="仿宋_GB2312" w:eastAsia="仿宋_GB2312" w:cs="仿宋_GB2312"/>
                <w:color w:val="auto"/>
                <w:kern w:val="44"/>
                <w:sz w:val="24"/>
                <w:szCs w:val="24"/>
                <w:lang w:val="en-US" w:eastAsia="zh-CN"/>
              </w:rPr>
              <w:t>同类项目</w:t>
            </w:r>
            <w:r>
              <w:rPr>
                <w:rFonts w:hint="eastAsia" w:ascii="仿宋_GB2312" w:hAnsi="仿宋_GB2312" w:eastAsia="仿宋_GB2312" w:cs="仿宋_GB2312"/>
                <w:color w:val="auto"/>
                <w:kern w:val="44"/>
                <w:sz w:val="24"/>
                <w:szCs w:val="24"/>
              </w:rPr>
              <w:t>业绩</w:t>
            </w:r>
          </w:p>
        </w:tc>
        <w:tc>
          <w:tcPr>
            <w:tcW w:w="701" w:type="dxa"/>
            <w:shd w:val="clear" w:color="auto" w:fill="auto"/>
            <w:noWrap w:val="0"/>
            <w:vAlign w:val="center"/>
          </w:tcPr>
          <w:p w14:paraId="317AE5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center"/>
              <w:textAlignment w:val="auto"/>
              <w:rPr>
                <w:rFonts w:hint="eastAsia" w:ascii="仿宋_GB2312" w:hAnsi="仿宋_GB2312" w:eastAsia="仿宋_GB2312" w:cs="仿宋_GB2312"/>
                <w:color w:val="auto"/>
                <w:kern w:val="44"/>
                <w:sz w:val="24"/>
                <w:szCs w:val="24"/>
                <w:lang w:val="en-US" w:eastAsia="zh-CN" w:bidi="ar-SA"/>
              </w:rPr>
            </w:pPr>
            <w:r>
              <w:rPr>
                <w:rFonts w:hint="eastAsia" w:ascii="仿宋_GB2312" w:hAnsi="仿宋_GB2312" w:eastAsia="仿宋_GB2312" w:cs="仿宋_GB2312"/>
                <w:color w:val="auto"/>
                <w:kern w:val="44"/>
                <w:sz w:val="24"/>
                <w:szCs w:val="24"/>
                <w:lang w:val="en-US" w:eastAsia="zh-CN"/>
              </w:rPr>
              <w:t>10分</w:t>
            </w:r>
          </w:p>
        </w:tc>
        <w:tc>
          <w:tcPr>
            <w:tcW w:w="4358" w:type="dxa"/>
            <w:shd w:val="clear" w:color="auto" w:fill="auto"/>
            <w:noWrap w:val="0"/>
            <w:vAlign w:val="center"/>
          </w:tcPr>
          <w:p w14:paraId="260CB6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提供自2021年1月1日后签订或仍在服务的DCMM服务类合同和对应的客户证书，每提供1个3级及以上案例得2分，1个2级案例得1分，其余不得分，满分10分；</w:t>
            </w:r>
          </w:p>
          <w:p w14:paraId="0652F3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left"/>
              <w:textAlignment w:val="auto"/>
              <w:rPr>
                <w:rFonts w:hint="eastAsia" w:ascii="仿宋_GB2312" w:hAnsi="仿宋_GB2312" w:eastAsia="仿宋_GB2312" w:cs="仿宋_GB2312"/>
                <w:color w:val="auto"/>
                <w:kern w:val="44"/>
                <w:sz w:val="24"/>
                <w:szCs w:val="24"/>
                <w:lang w:val="en-US" w:eastAsia="zh-CN" w:bidi="ar-SA"/>
              </w:rPr>
            </w:pPr>
            <w:r>
              <w:rPr>
                <w:rFonts w:hint="eastAsia" w:ascii="仿宋_GB2312" w:hAnsi="仿宋_GB2312" w:eastAsia="仿宋_GB2312" w:cs="仿宋_GB2312"/>
                <w:color w:val="auto"/>
                <w:kern w:val="44"/>
                <w:sz w:val="24"/>
                <w:szCs w:val="24"/>
                <w:lang w:val="en-US" w:eastAsia="zh-CN"/>
              </w:rPr>
              <w:t>需要提供合同关键页（能清晰看出合同主体、签订时间或服务时间、合同标的物、双章等信息），满足上述要求的合同有效，否则无效。</w:t>
            </w:r>
          </w:p>
        </w:tc>
      </w:tr>
      <w:tr w14:paraId="274515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restart"/>
            <w:noWrap w:val="0"/>
            <w:vAlign w:val="center"/>
          </w:tcPr>
          <w:p w14:paraId="2ABECC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kern w:val="44"/>
                <w:sz w:val="24"/>
                <w:szCs w:val="24"/>
              </w:rPr>
            </w:pPr>
            <w:r>
              <w:rPr>
                <w:rFonts w:hint="eastAsia" w:ascii="仿宋_GB2312" w:hAnsi="仿宋_GB2312" w:eastAsia="仿宋_GB2312" w:cs="仿宋_GB2312"/>
                <w:b/>
                <w:color w:val="auto"/>
                <w:kern w:val="44"/>
                <w:sz w:val="24"/>
                <w:szCs w:val="24"/>
                <w:lang w:val="en-US" w:eastAsia="zh-CN"/>
              </w:rPr>
              <w:t>团队</w:t>
            </w:r>
            <w:r>
              <w:rPr>
                <w:rFonts w:hint="eastAsia" w:ascii="仿宋_GB2312" w:hAnsi="仿宋_GB2312" w:eastAsia="仿宋_GB2312" w:cs="仿宋_GB2312"/>
                <w:b/>
                <w:color w:val="auto"/>
                <w:kern w:val="44"/>
                <w:sz w:val="24"/>
                <w:szCs w:val="24"/>
              </w:rPr>
              <w:t>情况</w:t>
            </w:r>
          </w:p>
          <w:p w14:paraId="49B016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kern w:val="44"/>
                <w:sz w:val="24"/>
                <w:szCs w:val="24"/>
              </w:rPr>
              <w:t>（</w:t>
            </w:r>
            <w:r>
              <w:rPr>
                <w:rFonts w:hint="eastAsia" w:ascii="仿宋_GB2312" w:hAnsi="仿宋_GB2312" w:eastAsia="仿宋_GB2312" w:cs="仿宋_GB2312"/>
                <w:b/>
                <w:color w:val="auto"/>
                <w:kern w:val="44"/>
                <w:sz w:val="24"/>
                <w:szCs w:val="24"/>
                <w:lang w:val="en-US" w:eastAsia="zh-CN"/>
              </w:rPr>
              <w:t>15</w:t>
            </w:r>
            <w:r>
              <w:rPr>
                <w:rFonts w:hint="eastAsia" w:ascii="仿宋_GB2312" w:hAnsi="仿宋_GB2312" w:eastAsia="仿宋_GB2312" w:cs="仿宋_GB2312"/>
                <w:b/>
                <w:color w:val="auto"/>
                <w:kern w:val="44"/>
                <w:sz w:val="24"/>
                <w:szCs w:val="24"/>
              </w:rPr>
              <w:t>分）</w:t>
            </w:r>
          </w:p>
        </w:tc>
        <w:tc>
          <w:tcPr>
            <w:tcW w:w="2721" w:type="dxa"/>
            <w:noWrap w:val="0"/>
            <w:vAlign w:val="center"/>
          </w:tcPr>
          <w:p w14:paraId="71F187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spacing w:val="-6"/>
                <w:kern w:val="44"/>
                <w:sz w:val="24"/>
                <w:szCs w:val="24"/>
                <w:lang w:val="en-US" w:eastAsia="zh-CN"/>
              </w:rPr>
            </w:pPr>
            <w:r>
              <w:rPr>
                <w:rFonts w:hint="eastAsia" w:ascii="仿宋_GB2312" w:hAnsi="仿宋_GB2312" w:eastAsia="仿宋_GB2312" w:cs="仿宋_GB2312"/>
                <w:color w:val="auto"/>
                <w:spacing w:val="-6"/>
                <w:kern w:val="44"/>
                <w:sz w:val="24"/>
                <w:szCs w:val="24"/>
                <w:lang w:val="en-US" w:eastAsia="zh-CN"/>
              </w:rPr>
              <w:t>项目负责人资质</w:t>
            </w:r>
          </w:p>
        </w:tc>
        <w:tc>
          <w:tcPr>
            <w:tcW w:w="701" w:type="dxa"/>
            <w:noWrap w:val="0"/>
            <w:vAlign w:val="center"/>
          </w:tcPr>
          <w:p w14:paraId="25FADE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kern w:val="44"/>
                <w:sz w:val="24"/>
                <w:szCs w:val="24"/>
                <w:lang w:val="en-US" w:eastAsia="zh-CN"/>
              </w:rPr>
              <w:t>9分</w:t>
            </w:r>
          </w:p>
        </w:tc>
        <w:tc>
          <w:tcPr>
            <w:tcW w:w="4358" w:type="dxa"/>
            <w:noWrap w:val="0"/>
            <w:vAlign w:val="center"/>
          </w:tcPr>
          <w:p w14:paraId="18649D02">
            <w:pPr>
              <w:keepNext w:val="0"/>
              <w:keepLines w:val="0"/>
              <w:pageBreakBefore w:val="0"/>
              <w:numPr>
                <w:ilvl w:val="0"/>
                <w:numId w:val="31"/>
              </w:numPr>
              <w:suppressLineNumbers w:val="0"/>
              <w:wordWrap/>
              <w:topLinePunct w:val="0"/>
              <w:bidi w:val="0"/>
              <w:adjustRightInd w:val="0"/>
              <w:snapToGrid w:val="0"/>
              <w:spacing w:before="0" w:beforeAutospacing="0" w:after="0" w:afterAutospacing="0" w:line="560" w:lineRule="exact"/>
              <w:ind w:left="0" w:leftChars="0" w:right="0" w:rightChars="0"/>
              <w:jc w:val="left"/>
              <w:rPr>
                <w:rFonts w:hint="default" w:ascii="仿宋_GB2312" w:hAnsi="仿宋_GB2312" w:eastAsia="仿宋_GB2312" w:cs="仿宋_GB2312"/>
                <w:color w:val="auto"/>
                <w:kern w:val="44"/>
                <w:sz w:val="24"/>
                <w:szCs w:val="24"/>
                <w:lang w:val="en-US" w:eastAsia="zh-CN" w:bidi="ar"/>
              </w:rPr>
            </w:pPr>
            <w:r>
              <w:rPr>
                <w:rFonts w:hint="eastAsia" w:ascii="仿宋_GB2312" w:hAnsi="仿宋_GB2312" w:eastAsia="仿宋_GB2312" w:cs="仿宋_GB2312"/>
                <w:color w:val="auto"/>
                <w:kern w:val="44"/>
                <w:sz w:val="24"/>
                <w:szCs w:val="24"/>
                <w:lang w:val="en-US" w:eastAsia="zh-CN" w:bidi="ar"/>
              </w:rPr>
              <w:t>项目负责人是数据管理能力成熟度评估服务平台认定的中级评估师得6分，初级评估师得2分，其余不得分；</w:t>
            </w:r>
          </w:p>
          <w:p w14:paraId="3B086748">
            <w:pPr>
              <w:keepNext w:val="0"/>
              <w:keepLines w:val="0"/>
              <w:pageBreakBefore w:val="0"/>
              <w:widowControl w:val="0"/>
              <w:numPr>
                <w:ilvl w:val="0"/>
                <w:numId w:val="31"/>
              </w:numPr>
              <w:suppressLineNumbers w:val="0"/>
              <w:kinsoku/>
              <w:wordWrap/>
              <w:topLinePunct w:val="0"/>
              <w:bidi w:val="0"/>
              <w:adjustRightInd w:val="0"/>
              <w:snapToGrid w:val="0"/>
              <w:spacing w:before="0" w:beforeAutospacing="0" w:after="0" w:afterAutospacing="0" w:line="560" w:lineRule="exact"/>
              <w:ind w:left="0" w:leftChars="0" w:right="0" w:rightChars="0"/>
              <w:jc w:val="left"/>
              <w:rPr>
                <w:rFonts w:hint="default"/>
                <w:lang w:val="en-US" w:eastAsia="zh-CN"/>
              </w:rPr>
            </w:pPr>
            <w:r>
              <w:rPr>
                <w:rFonts w:hint="default" w:ascii="仿宋_GB2312" w:hAnsi="仿宋_GB2312" w:eastAsia="仿宋_GB2312" w:cs="仿宋_GB2312"/>
                <w:color w:val="auto"/>
                <w:kern w:val="44"/>
                <w:sz w:val="24"/>
                <w:szCs w:val="24"/>
                <w:lang w:val="en-US" w:eastAsia="zh-CN" w:bidi="ar"/>
              </w:rPr>
              <w:t>项目负责人近三年具有</w:t>
            </w:r>
            <w:r>
              <w:rPr>
                <w:rFonts w:hint="eastAsia" w:ascii="仿宋_GB2312" w:hAnsi="仿宋_GB2312" w:eastAsia="仿宋_GB2312" w:cs="仿宋_GB2312"/>
                <w:color w:val="auto"/>
                <w:kern w:val="44"/>
                <w:sz w:val="24"/>
                <w:szCs w:val="24"/>
                <w:lang w:val="en-US" w:eastAsia="zh-CN" w:bidi="ar"/>
              </w:rPr>
              <w:t>3个及以上</w:t>
            </w:r>
            <w:r>
              <w:rPr>
                <w:rFonts w:hint="default" w:ascii="仿宋_GB2312" w:hAnsi="仿宋_GB2312" w:eastAsia="仿宋_GB2312" w:cs="仿宋_GB2312"/>
                <w:color w:val="auto"/>
                <w:kern w:val="44"/>
                <w:sz w:val="24"/>
                <w:szCs w:val="24"/>
                <w:lang w:val="en-US" w:eastAsia="zh-CN" w:bidi="ar"/>
              </w:rPr>
              <w:t>3级</w:t>
            </w:r>
            <w:r>
              <w:rPr>
                <w:rFonts w:hint="eastAsia" w:ascii="仿宋_GB2312" w:hAnsi="仿宋_GB2312" w:eastAsia="仿宋_GB2312" w:cs="仿宋_GB2312"/>
                <w:color w:val="auto"/>
                <w:kern w:val="44"/>
                <w:sz w:val="24"/>
                <w:szCs w:val="24"/>
                <w:lang w:val="en-US" w:eastAsia="zh-CN" w:bidi="ar"/>
              </w:rPr>
              <w:t>及以上</w:t>
            </w:r>
            <w:r>
              <w:rPr>
                <w:rFonts w:hint="default" w:ascii="仿宋_GB2312" w:hAnsi="仿宋_GB2312" w:eastAsia="仿宋_GB2312" w:cs="仿宋_GB2312"/>
                <w:color w:val="auto"/>
                <w:kern w:val="44"/>
                <w:sz w:val="24"/>
                <w:szCs w:val="24"/>
                <w:lang w:val="en-US" w:eastAsia="zh-CN" w:bidi="ar"/>
              </w:rPr>
              <w:t>咨询案例</w:t>
            </w:r>
            <w:r>
              <w:rPr>
                <w:rFonts w:hint="eastAsia" w:ascii="仿宋_GB2312" w:hAnsi="仿宋_GB2312" w:eastAsia="仿宋_GB2312" w:cs="仿宋_GB2312"/>
                <w:color w:val="auto"/>
                <w:kern w:val="44"/>
                <w:sz w:val="24"/>
                <w:szCs w:val="24"/>
                <w:lang w:val="en-US" w:eastAsia="zh-CN" w:bidi="ar"/>
              </w:rPr>
              <w:t>得3分，2个3级及以上咨询案例得2分，1个3级及以上或3个2级咨询案例得1分，其余不得分；</w:t>
            </w:r>
          </w:p>
          <w:p w14:paraId="7577740C">
            <w:pPr>
              <w:keepNext w:val="0"/>
              <w:keepLines w:val="0"/>
              <w:pageBreakBefore w:val="0"/>
              <w:widowControl w:val="0"/>
              <w:numPr>
                <w:ilvl w:val="0"/>
                <w:numId w:val="31"/>
              </w:numPr>
              <w:suppressLineNumbers w:val="0"/>
              <w:kinsoku/>
              <w:wordWrap/>
              <w:topLinePunct w:val="0"/>
              <w:bidi w:val="0"/>
              <w:adjustRightInd w:val="0"/>
              <w:snapToGrid w:val="0"/>
              <w:spacing w:before="0" w:beforeAutospacing="0" w:after="0" w:afterAutospacing="0" w:line="560" w:lineRule="exact"/>
              <w:ind w:left="0" w:leftChars="0" w:right="0" w:rightChars="0"/>
              <w:jc w:val="left"/>
              <w:rPr>
                <w:rFonts w:hint="default"/>
                <w:lang w:val="en-US" w:eastAsia="zh-CN"/>
              </w:rPr>
            </w:pPr>
            <w:r>
              <w:rPr>
                <w:rFonts w:hint="eastAsia" w:ascii="仿宋_GB2312" w:hAnsi="仿宋_GB2312" w:eastAsia="仿宋_GB2312" w:cs="仿宋_GB2312"/>
                <w:color w:val="auto"/>
                <w:kern w:val="44"/>
                <w:sz w:val="24"/>
                <w:szCs w:val="24"/>
                <w:lang w:val="en-US" w:eastAsia="zh-CN" w:bidi="ar"/>
              </w:rPr>
              <w:t>需提供相关证明材料，包括但不限于合同和对应的客户证书等，能清晰看出负责人、签订时间或服务时间、标的物等信息，满足上述要求的证明材料有效，否则无效。</w:t>
            </w:r>
          </w:p>
        </w:tc>
      </w:tr>
      <w:tr w14:paraId="6C7167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continue"/>
            <w:noWrap w:val="0"/>
            <w:vAlign w:val="center"/>
          </w:tcPr>
          <w:p w14:paraId="1DADD8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kern w:val="44"/>
                <w:sz w:val="24"/>
                <w:szCs w:val="24"/>
              </w:rPr>
            </w:pPr>
          </w:p>
        </w:tc>
        <w:tc>
          <w:tcPr>
            <w:tcW w:w="2721" w:type="dxa"/>
            <w:noWrap w:val="0"/>
            <w:vAlign w:val="center"/>
          </w:tcPr>
          <w:p w14:paraId="4A6787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spacing w:val="-6"/>
                <w:kern w:val="44"/>
                <w:sz w:val="24"/>
                <w:szCs w:val="24"/>
                <w:lang w:val="en-US" w:eastAsia="zh-CN"/>
              </w:rPr>
            </w:pPr>
            <w:r>
              <w:rPr>
                <w:rFonts w:hint="eastAsia" w:ascii="仿宋_GB2312" w:hAnsi="仿宋_GB2312" w:eastAsia="仿宋_GB2312" w:cs="仿宋_GB2312"/>
                <w:color w:val="auto"/>
                <w:spacing w:val="-6"/>
                <w:kern w:val="44"/>
                <w:sz w:val="24"/>
                <w:szCs w:val="24"/>
                <w:lang w:val="en-US" w:eastAsia="zh-CN"/>
              </w:rPr>
              <w:t>团队配置</w:t>
            </w:r>
          </w:p>
        </w:tc>
        <w:tc>
          <w:tcPr>
            <w:tcW w:w="701" w:type="dxa"/>
            <w:noWrap w:val="0"/>
            <w:vAlign w:val="center"/>
          </w:tcPr>
          <w:p w14:paraId="04F230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6分</w:t>
            </w:r>
          </w:p>
        </w:tc>
        <w:tc>
          <w:tcPr>
            <w:tcW w:w="4358" w:type="dxa"/>
            <w:noWrap w:val="0"/>
            <w:vAlign w:val="center"/>
          </w:tcPr>
          <w:p w14:paraId="50054CC9">
            <w:pPr>
              <w:keepNext w:val="0"/>
              <w:keepLines w:val="0"/>
              <w:pageBreakBefore w:val="0"/>
              <w:numPr>
                <w:ilvl w:val="0"/>
                <w:numId w:val="0"/>
              </w:numPr>
              <w:suppressLineNumbers w:val="0"/>
              <w:wordWrap/>
              <w:topLinePunct w:val="0"/>
              <w:bidi w:val="0"/>
              <w:adjustRightInd w:val="0"/>
              <w:snapToGrid w:val="0"/>
              <w:spacing w:before="0" w:beforeAutospacing="0" w:after="0" w:afterAutospacing="0" w:line="560" w:lineRule="exact"/>
              <w:ind w:left="0" w:right="0" w:rightChars="0"/>
              <w:jc w:val="left"/>
              <w:rPr>
                <w:rFonts w:hint="default" w:ascii="仿宋_GB2312" w:hAnsi="仿宋_GB2312" w:eastAsia="仿宋_GB2312" w:cs="仿宋_GB2312"/>
                <w:color w:val="auto"/>
                <w:kern w:val="44"/>
                <w:sz w:val="24"/>
                <w:szCs w:val="24"/>
                <w:lang w:val="en-US" w:eastAsia="zh-CN" w:bidi="ar"/>
              </w:rPr>
            </w:pPr>
            <w:r>
              <w:rPr>
                <w:rFonts w:hint="eastAsia" w:ascii="仿宋_GB2312" w:hAnsi="仿宋_GB2312" w:eastAsia="仿宋_GB2312" w:cs="仿宋_GB2312"/>
                <w:color w:val="auto"/>
                <w:kern w:val="44"/>
                <w:sz w:val="24"/>
                <w:szCs w:val="24"/>
                <w:lang w:val="en-US" w:eastAsia="zh-CN" w:bidi="ar"/>
              </w:rPr>
              <w:t>项目团队成员（含项目负责人）3人及以上得6分，2人得4分，其余不得分。</w:t>
            </w:r>
          </w:p>
        </w:tc>
      </w:tr>
      <w:tr w14:paraId="7F4F0A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1298" w:type="dxa"/>
            <w:vMerge w:val="restart"/>
            <w:noWrap w:val="0"/>
            <w:vAlign w:val="center"/>
          </w:tcPr>
          <w:p w14:paraId="4D0091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sz w:val="24"/>
                <w:szCs w:val="24"/>
              </w:rPr>
              <w:t>服务方案</w:t>
            </w:r>
          </w:p>
          <w:p w14:paraId="1229C2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sz w:val="24"/>
                <w:szCs w:val="24"/>
              </w:rPr>
              <w:t>（</w:t>
            </w:r>
            <w:r>
              <w:rPr>
                <w:rFonts w:hint="eastAsia" w:ascii="仿宋_GB2312" w:hAnsi="仿宋_GB2312" w:eastAsia="仿宋_GB2312" w:cs="仿宋_GB2312"/>
                <w:b/>
                <w:color w:val="auto"/>
                <w:sz w:val="24"/>
                <w:szCs w:val="24"/>
                <w:lang w:val="en-US" w:eastAsia="zh-CN"/>
              </w:rPr>
              <w:t>35</w:t>
            </w:r>
            <w:r>
              <w:rPr>
                <w:rFonts w:hint="eastAsia" w:ascii="仿宋_GB2312" w:hAnsi="仿宋_GB2312" w:eastAsia="仿宋_GB2312" w:cs="仿宋_GB2312"/>
                <w:b/>
                <w:color w:val="auto"/>
                <w:sz w:val="24"/>
                <w:szCs w:val="24"/>
              </w:rPr>
              <w:t>分）</w:t>
            </w:r>
          </w:p>
        </w:tc>
        <w:tc>
          <w:tcPr>
            <w:tcW w:w="2721" w:type="dxa"/>
            <w:noWrap w:val="0"/>
            <w:vAlign w:val="center"/>
          </w:tcPr>
          <w:p w14:paraId="3280B1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项目实施方案</w:t>
            </w:r>
          </w:p>
        </w:tc>
        <w:tc>
          <w:tcPr>
            <w:tcW w:w="701" w:type="dxa"/>
            <w:noWrap w:val="0"/>
            <w:vAlign w:val="center"/>
          </w:tcPr>
          <w:p w14:paraId="6D85A7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20</w:t>
            </w:r>
            <w:r>
              <w:rPr>
                <w:rFonts w:hint="eastAsia" w:ascii="仿宋_GB2312" w:hAnsi="仿宋_GB2312" w:eastAsia="仿宋_GB2312" w:cs="仿宋_GB2312"/>
                <w:color w:val="auto"/>
                <w:kern w:val="44"/>
                <w:sz w:val="24"/>
                <w:szCs w:val="24"/>
              </w:rPr>
              <w:t>分</w:t>
            </w:r>
          </w:p>
        </w:tc>
        <w:tc>
          <w:tcPr>
            <w:tcW w:w="4358" w:type="dxa"/>
            <w:noWrap w:val="0"/>
            <w:vAlign w:val="center"/>
          </w:tcPr>
          <w:p w14:paraId="6E8D89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根据技术规范的要求，准确理解项目的需求，服务方案充分考虑制度流程运营的问题与现状，理解运营的特点和管理要求，针对竞选人提供的服务方案进行评分：</w:t>
            </w:r>
          </w:p>
          <w:p w14:paraId="0E131C3E">
            <w:pPr>
              <w:keepNext w:val="0"/>
              <w:keepLines w:val="0"/>
              <w:pageBreakBefore w:val="0"/>
              <w:widowControl w:val="0"/>
              <w:numPr>
                <w:ilvl w:val="0"/>
                <w:numId w:val="32"/>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方案内容完整、思路清晰、可操作性强、针对性强，得12-20分；</w:t>
            </w:r>
          </w:p>
          <w:p w14:paraId="300DA3DA">
            <w:pPr>
              <w:keepNext w:val="0"/>
              <w:keepLines w:val="0"/>
              <w:pageBreakBefore w:val="0"/>
              <w:widowControl w:val="0"/>
              <w:numPr>
                <w:ilvl w:val="0"/>
                <w:numId w:val="32"/>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方案内容一般、思路一般清晰、可操作性一般、针对性一般，得6-12分；</w:t>
            </w:r>
          </w:p>
          <w:p w14:paraId="2CB07E77">
            <w:pPr>
              <w:keepNext w:val="0"/>
              <w:keepLines w:val="0"/>
              <w:pageBreakBefore w:val="0"/>
              <w:widowControl w:val="0"/>
              <w:numPr>
                <w:ilvl w:val="0"/>
                <w:numId w:val="32"/>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方案内容不清晰、思路不够清晰、可操控性差、针对性差，得0-6分；</w:t>
            </w:r>
          </w:p>
          <w:p w14:paraId="2CC98ED3">
            <w:pPr>
              <w:keepNext w:val="0"/>
              <w:keepLines w:val="0"/>
              <w:pageBreakBefore w:val="0"/>
              <w:widowControl w:val="0"/>
              <w:numPr>
                <w:ilvl w:val="0"/>
                <w:numId w:val="32"/>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未提供得0分。</w:t>
            </w:r>
          </w:p>
        </w:tc>
      </w:tr>
      <w:tr w14:paraId="70A92E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1298" w:type="dxa"/>
            <w:vMerge w:val="continue"/>
            <w:noWrap w:val="0"/>
            <w:vAlign w:val="center"/>
          </w:tcPr>
          <w:p w14:paraId="39B39728">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color w:val="auto"/>
                <w:sz w:val="24"/>
                <w:szCs w:val="24"/>
              </w:rPr>
            </w:pPr>
          </w:p>
        </w:tc>
        <w:tc>
          <w:tcPr>
            <w:tcW w:w="2721" w:type="dxa"/>
            <w:noWrap w:val="0"/>
            <w:vAlign w:val="center"/>
          </w:tcPr>
          <w:p w14:paraId="73ED68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highlight w:val="none"/>
              </w:rPr>
              <w:t>对</w:t>
            </w:r>
            <w:r>
              <w:rPr>
                <w:rFonts w:hint="eastAsia" w:ascii="仿宋_GB2312" w:hAnsi="仿宋_GB2312" w:eastAsia="仿宋_GB2312" w:cs="仿宋_GB2312"/>
                <w:color w:val="auto"/>
                <w:kern w:val="44"/>
                <w:sz w:val="24"/>
                <w:szCs w:val="24"/>
                <w:highlight w:val="none"/>
                <w:lang w:eastAsia="zh-CN"/>
              </w:rPr>
              <w:t>评委提问</w:t>
            </w:r>
            <w:r>
              <w:rPr>
                <w:rFonts w:hint="eastAsia" w:ascii="仿宋_GB2312" w:hAnsi="仿宋_GB2312" w:eastAsia="仿宋_GB2312" w:cs="仿宋_GB2312"/>
                <w:color w:val="auto"/>
                <w:kern w:val="44"/>
                <w:sz w:val="24"/>
                <w:szCs w:val="24"/>
                <w:highlight w:val="none"/>
              </w:rPr>
              <w:t>的剖析</w:t>
            </w:r>
          </w:p>
        </w:tc>
        <w:tc>
          <w:tcPr>
            <w:tcW w:w="701" w:type="dxa"/>
            <w:noWrap w:val="0"/>
            <w:vAlign w:val="center"/>
          </w:tcPr>
          <w:p w14:paraId="2495E5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5</w:t>
            </w:r>
            <w:r>
              <w:rPr>
                <w:rFonts w:hint="eastAsia" w:ascii="仿宋_GB2312" w:hAnsi="仿宋_GB2312" w:eastAsia="仿宋_GB2312" w:cs="仿宋_GB2312"/>
                <w:color w:val="auto"/>
                <w:kern w:val="44"/>
                <w:sz w:val="24"/>
                <w:szCs w:val="24"/>
              </w:rPr>
              <w:t>分</w:t>
            </w:r>
          </w:p>
        </w:tc>
        <w:tc>
          <w:tcPr>
            <w:tcW w:w="4358" w:type="dxa"/>
            <w:noWrap w:val="0"/>
            <w:vAlign w:val="center"/>
          </w:tcPr>
          <w:p w14:paraId="402F8F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highlight w:val="none"/>
                <w:lang w:val="en-US" w:eastAsia="zh-CN"/>
              </w:rPr>
              <w:t>向竞选人提问，就其对本次项目</w:t>
            </w:r>
            <w:r>
              <w:rPr>
                <w:rFonts w:hint="eastAsia" w:ascii="仿宋_GB2312" w:hAnsi="仿宋_GB2312" w:eastAsia="仿宋_GB2312" w:cs="仿宋_GB2312"/>
                <w:color w:val="auto"/>
                <w:kern w:val="44"/>
                <w:sz w:val="24"/>
                <w:szCs w:val="24"/>
                <w:highlight w:val="none"/>
              </w:rPr>
              <w:t>理解和思路是否全面、深刻，</w:t>
            </w:r>
            <w:r>
              <w:rPr>
                <w:rFonts w:hint="eastAsia" w:ascii="仿宋_GB2312" w:hAnsi="仿宋_GB2312" w:eastAsia="仿宋_GB2312" w:cs="仿宋_GB2312"/>
                <w:color w:val="auto"/>
                <w:kern w:val="44"/>
                <w:sz w:val="24"/>
                <w:szCs w:val="24"/>
                <w:highlight w:val="none"/>
                <w:lang w:val="en-US" w:eastAsia="zh-CN"/>
              </w:rPr>
              <w:t>是否</w:t>
            </w:r>
            <w:r>
              <w:rPr>
                <w:rFonts w:hint="eastAsia" w:ascii="仿宋_GB2312" w:hAnsi="仿宋_GB2312" w:eastAsia="仿宋_GB2312" w:cs="仿宋_GB2312"/>
                <w:color w:val="auto"/>
                <w:kern w:val="44"/>
                <w:sz w:val="24"/>
                <w:szCs w:val="24"/>
                <w:highlight w:val="none"/>
              </w:rPr>
              <w:t>有针对性</w:t>
            </w:r>
            <w:r>
              <w:rPr>
                <w:rFonts w:hint="eastAsia" w:ascii="仿宋_GB2312" w:hAnsi="仿宋_GB2312" w:eastAsia="仿宋_GB2312" w:cs="仿宋_GB2312"/>
                <w:color w:val="auto"/>
                <w:kern w:val="44"/>
                <w:sz w:val="24"/>
                <w:szCs w:val="24"/>
                <w:highlight w:val="none"/>
                <w:lang w:val="en-US" w:eastAsia="zh-CN"/>
              </w:rPr>
              <w:t>建议等情况进行</w:t>
            </w:r>
            <w:r>
              <w:rPr>
                <w:rFonts w:hint="eastAsia" w:ascii="仿宋_GB2312" w:hAnsi="仿宋_GB2312" w:eastAsia="仿宋_GB2312" w:cs="仿宋_GB2312"/>
                <w:color w:val="auto"/>
                <w:kern w:val="44"/>
                <w:sz w:val="24"/>
                <w:szCs w:val="24"/>
                <w:lang w:eastAsia="zh-CN"/>
              </w:rPr>
              <w:t>综合评价，评价为优得</w:t>
            </w:r>
            <w:r>
              <w:rPr>
                <w:rFonts w:hint="eastAsia" w:ascii="仿宋_GB2312" w:hAnsi="仿宋_GB2312" w:eastAsia="仿宋_GB2312" w:cs="仿宋_GB2312"/>
                <w:color w:val="auto"/>
                <w:kern w:val="44"/>
                <w:sz w:val="24"/>
                <w:szCs w:val="24"/>
                <w:lang w:val="en-US" w:eastAsia="zh-CN"/>
              </w:rPr>
              <w:t>3-5分，良得1-3分，差得0-1分</w:t>
            </w:r>
            <w:r>
              <w:rPr>
                <w:rFonts w:hint="eastAsia" w:ascii="仿宋_GB2312" w:hAnsi="仿宋_GB2312" w:eastAsia="仿宋_GB2312" w:cs="仿宋_GB2312"/>
                <w:b/>
                <w:bCs/>
                <w:color w:val="auto"/>
                <w:kern w:val="44"/>
                <w:sz w:val="24"/>
                <w:szCs w:val="24"/>
                <w:lang w:eastAsia="zh-CN"/>
              </w:rPr>
              <w:t>。</w:t>
            </w:r>
          </w:p>
        </w:tc>
      </w:tr>
      <w:tr w14:paraId="00055A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continue"/>
            <w:noWrap w:val="0"/>
            <w:vAlign w:val="center"/>
          </w:tcPr>
          <w:p w14:paraId="15070265">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color w:val="auto"/>
                <w:sz w:val="24"/>
                <w:szCs w:val="24"/>
              </w:rPr>
            </w:pPr>
          </w:p>
        </w:tc>
        <w:tc>
          <w:tcPr>
            <w:tcW w:w="2721" w:type="dxa"/>
            <w:noWrap w:val="0"/>
            <w:vAlign w:val="center"/>
          </w:tcPr>
          <w:p w14:paraId="21862A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rPr>
              <w:t>服务保障措施</w:t>
            </w:r>
          </w:p>
        </w:tc>
        <w:tc>
          <w:tcPr>
            <w:tcW w:w="701" w:type="dxa"/>
            <w:noWrap w:val="0"/>
            <w:vAlign w:val="center"/>
          </w:tcPr>
          <w:p w14:paraId="32BA8B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5</w:t>
            </w:r>
            <w:r>
              <w:rPr>
                <w:rFonts w:hint="eastAsia" w:ascii="仿宋_GB2312" w:hAnsi="仿宋_GB2312" w:eastAsia="仿宋_GB2312" w:cs="仿宋_GB2312"/>
                <w:color w:val="auto"/>
                <w:kern w:val="44"/>
                <w:sz w:val="24"/>
                <w:szCs w:val="24"/>
              </w:rPr>
              <w:t>分</w:t>
            </w:r>
          </w:p>
        </w:tc>
        <w:tc>
          <w:tcPr>
            <w:tcW w:w="4358" w:type="dxa"/>
            <w:noWrap w:val="0"/>
            <w:vAlign w:val="center"/>
          </w:tcPr>
          <w:p w14:paraId="393B44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竞选人须提供本项目服务过程的质量控制措施方案，方案包含但不限于质量管控措施、现场人员考核措施、服务中可能出现的问题及应对办法，针对竞选人提供的方案进行评分：</w:t>
            </w:r>
          </w:p>
          <w:p w14:paraId="4F24961B">
            <w:pPr>
              <w:keepNext w:val="0"/>
              <w:keepLines w:val="0"/>
              <w:pageBreakBefore w:val="0"/>
              <w:widowControl w:val="0"/>
              <w:numPr>
                <w:ilvl w:val="0"/>
                <w:numId w:val="33"/>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方案描述过程详细、思路清晰、可执行性强，得3-5分；</w:t>
            </w:r>
          </w:p>
          <w:p w14:paraId="0563FC41">
            <w:pPr>
              <w:keepNext w:val="0"/>
              <w:keepLines w:val="0"/>
              <w:pageBreakBefore w:val="0"/>
              <w:widowControl w:val="0"/>
              <w:numPr>
                <w:ilvl w:val="0"/>
                <w:numId w:val="33"/>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方案描述过程较详细、思路较清晰、可执行性一般，得1-3分；</w:t>
            </w:r>
          </w:p>
          <w:p w14:paraId="0AADF341">
            <w:pPr>
              <w:keepNext w:val="0"/>
              <w:keepLines w:val="0"/>
              <w:pageBreakBefore w:val="0"/>
              <w:widowControl w:val="0"/>
              <w:numPr>
                <w:ilvl w:val="0"/>
                <w:numId w:val="33"/>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方案描述过程不详细、思路不清晰、可执行性差，得0-1分；</w:t>
            </w:r>
          </w:p>
          <w:p w14:paraId="23B11CA4">
            <w:pPr>
              <w:keepNext w:val="0"/>
              <w:keepLines w:val="0"/>
              <w:pageBreakBefore w:val="0"/>
              <w:widowControl w:val="0"/>
              <w:numPr>
                <w:ilvl w:val="0"/>
                <w:numId w:val="33"/>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未提供得0分。</w:t>
            </w:r>
          </w:p>
        </w:tc>
      </w:tr>
      <w:tr w14:paraId="2EDF50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continue"/>
            <w:noWrap w:val="0"/>
            <w:vAlign w:val="center"/>
          </w:tcPr>
          <w:p w14:paraId="1284BDDE">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color w:val="auto"/>
                <w:sz w:val="24"/>
                <w:szCs w:val="24"/>
              </w:rPr>
            </w:pPr>
          </w:p>
        </w:tc>
        <w:tc>
          <w:tcPr>
            <w:tcW w:w="2721" w:type="dxa"/>
            <w:noWrap w:val="0"/>
            <w:vAlign w:val="center"/>
          </w:tcPr>
          <w:p w14:paraId="4382FD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服务质量承诺</w:t>
            </w:r>
          </w:p>
        </w:tc>
        <w:tc>
          <w:tcPr>
            <w:tcW w:w="701" w:type="dxa"/>
            <w:noWrap w:val="0"/>
            <w:vAlign w:val="center"/>
          </w:tcPr>
          <w:p w14:paraId="4AAD2C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5分</w:t>
            </w:r>
          </w:p>
        </w:tc>
        <w:tc>
          <w:tcPr>
            <w:tcW w:w="4358" w:type="dxa"/>
            <w:noWrap w:val="0"/>
            <w:vAlign w:val="center"/>
          </w:tcPr>
          <w:p w14:paraId="48DDB543">
            <w:pPr>
              <w:keepNext w:val="0"/>
              <w:keepLines w:val="0"/>
              <w:pageBreakBefore w:val="0"/>
              <w:widowControl w:val="0"/>
              <w:numPr>
                <w:ilvl w:val="0"/>
                <w:numId w:val="34"/>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竞选人保证指导质量，承诺采购单位材料梳理质量符合要求，可达到一次性通过认证的得5分；保证通过但不保证一次性通过认证的得3分，未提供不得分。</w:t>
            </w:r>
          </w:p>
          <w:p w14:paraId="7A4599A8">
            <w:pPr>
              <w:keepNext w:val="0"/>
              <w:keepLines w:val="0"/>
              <w:pageBreakBefore w:val="0"/>
              <w:widowControl w:val="0"/>
              <w:numPr>
                <w:ilvl w:val="0"/>
                <w:numId w:val="34"/>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该项承诺需在服务质量承诺函模板中填写，并加盖公章。</w:t>
            </w:r>
          </w:p>
        </w:tc>
      </w:tr>
      <w:tr w14:paraId="3A88D3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298" w:type="dxa"/>
            <w:noWrap w:val="0"/>
            <w:vAlign w:val="center"/>
          </w:tcPr>
          <w:p w14:paraId="601923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kern w:val="44"/>
                <w:sz w:val="24"/>
                <w:szCs w:val="24"/>
              </w:rPr>
            </w:pPr>
            <w:r>
              <w:rPr>
                <w:rFonts w:hint="eastAsia" w:ascii="仿宋_GB2312" w:hAnsi="仿宋_GB2312" w:eastAsia="仿宋_GB2312" w:cs="仿宋_GB2312"/>
                <w:b/>
                <w:color w:val="auto"/>
                <w:kern w:val="44"/>
                <w:sz w:val="24"/>
                <w:szCs w:val="24"/>
              </w:rPr>
              <w:t>报价</w:t>
            </w:r>
          </w:p>
          <w:p w14:paraId="5BBA5E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kern w:val="44"/>
                <w:sz w:val="24"/>
                <w:szCs w:val="24"/>
              </w:rPr>
              <w:t>（</w:t>
            </w:r>
            <w:r>
              <w:rPr>
                <w:rFonts w:hint="eastAsia" w:ascii="仿宋_GB2312" w:hAnsi="仿宋_GB2312" w:eastAsia="仿宋_GB2312" w:cs="仿宋_GB2312"/>
                <w:b/>
                <w:color w:val="auto"/>
                <w:kern w:val="44"/>
                <w:sz w:val="24"/>
                <w:szCs w:val="24"/>
                <w:lang w:val="en-US" w:eastAsia="zh-CN"/>
              </w:rPr>
              <w:t>4</w:t>
            </w:r>
            <w:r>
              <w:rPr>
                <w:rFonts w:hint="eastAsia" w:ascii="仿宋_GB2312" w:hAnsi="仿宋_GB2312" w:eastAsia="仿宋_GB2312" w:cs="仿宋_GB2312"/>
                <w:b/>
                <w:color w:val="auto"/>
                <w:kern w:val="44"/>
                <w:sz w:val="24"/>
                <w:szCs w:val="24"/>
              </w:rPr>
              <w:t>0分）</w:t>
            </w:r>
          </w:p>
        </w:tc>
        <w:tc>
          <w:tcPr>
            <w:tcW w:w="2721" w:type="dxa"/>
            <w:noWrap w:val="0"/>
            <w:vAlign w:val="center"/>
          </w:tcPr>
          <w:p w14:paraId="38FF7C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rPr>
              <w:t>服务价格（含税）</w:t>
            </w:r>
          </w:p>
        </w:tc>
        <w:tc>
          <w:tcPr>
            <w:tcW w:w="701" w:type="dxa"/>
            <w:noWrap w:val="0"/>
            <w:vAlign w:val="center"/>
          </w:tcPr>
          <w:p w14:paraId="6014D4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4</w:t>
            </w:r>
            <w:r>
              <w:rPr>
                <w:rFonts w:hint="eastAsia" w:ascii="仿宋_GB2312" w:hAnsi="仿宋_GB2312" w:eastAsia="仿宋_GB2312" w:cs="仿宋_GB2312"/>
                <w:color w:val="auto"/>
                <w:kern w:val="44"/>
                <w:sz w:val="24"/>
                <w:szCs w:val="24"/>
              </w:rPr>
              <w:t>0分</w:t>
            </w:r>
          </w:p>
        </w:tc>
        <w:tc>
          <w:tcPr>
            <w:tcW w:w="4358" w:type="dxa"/>
            <w:noWrap w:val="0"/>
            <w:vAlign w:val="center"/>
          </w:tcPr>
          <w:p w14:paraId="6DE0ACA6">
            <w:pPr>
              <w:pStyle w:val="5"/>
              <w:keepNext w:val="0"/>
              <w:keepLines w:val="0"/>
              <w:pageBreakBefore w:val="0"/>
              <w:widowControl w:val="0"/>
              <w:numPr>
                <w:ilvl w:val="0"/>
                <w:numId w:val="35"/>
              </w:numPr>
              <w:suppressLineNumbers w:val="0"/>
              <w:kinsoku/>
              <w:wordWrap/>
              <w:overflowPunct/>
              <w:topLinePunct w:val="0"/>
              <w:autoSpaceDE/>
              <w:autoSpaceDN/>
              <w:bidi w:val="0"/>
              <w:adjustRightInd/>
              <w:snapToGrid/>
              <w:spacing w:before="0" w:beforeAutospacing="0" w:after="0" w:afterAutospacing="0" w:line="560" w:lineRule="exact"/>
              <w:ind w:left="0" w:leftChars="0" w:right="0"/>
              <w:textAlignment w:val="auto"/>
              <w:rPr>
                <w:rFonts w:hint="eastAsia" w:ascii="仿宋_GB2312" w:hAnsi="仿宋_GB2312" w:eastAsia="仿宋_GB2312" w:cs="仿宋_GB2312"/>
                <w:color w:val="auto"/>
                <w:kern w:val="44"/>
                <w:sz w:val="24"/>
                <w:szCs w:val="24"/>
                <w:highlight w:val="none"/>
                <w:lang w:val="en-US" w:eastAsia="zh-CN" w:bidi="ar-SA"/>
              </w:rPr>
            </w:pPr>
            <w:r>
              <w:rPr>
                <w:rFonts w:hint="eastAsia" w:ascii="仿宋_GB2312" w:hAnsi="仿宋_GB2312" w:eastAsia="仿宋_GB2312" w:cs="仿宋_GB2312"/>
                <w:color w:val="auto"/>
                <w:kern w:val="44"/>
                <w:sz w:val="24"/>
                <w:szCs w:val="24"/>
                <w:highlight w:val="none"/>
                <w:lang w:val="en-US" w:eastAsia="zh-CN" w:bidi="ar-SA"/>
              </w:rPr>
              <w:t>以各有效竞选人对应报价(Y</w:t>
            </w:r>
            <w:r>
              <w:rPr>
                <w:rFonts w:hint="eastAsia" w:ascii="仿宋_GB2312" w:hAnsi="仿宋_GB2312" w:eastAsia="仿宋_GB2312" w:cs="仿宋_GB2312"/>
                <w:color w:val="auto"/>
                <w:kern w:val="44"/>
                <w:sz w:val="24"/>
                <w:szCs w:val="24"/>
                <w:highlight w:val="none"/>
                <w:vertAlign w:val="subscript"/>
                <w:lang w:val="en-US" w:eastAsia="zh-CN" w:bidi="ar-SA"/>
              </w:rPr>
              <w:t>1</w:t>
            </w:r>
            <w:r>
              <w:rPr>
                <w:rFonts w:hint="eastAsia" w:ascii="仿宋_GB2312" w:hAnsi="仿宋_GB2312" w:eastAsia="仿宋_GB2312" w:cs="仿宋_GB2312"/>
                <w:color w:val="auto"/>
                <w:kern w:val="44"/>
                <w:sz w:val="24"/>
                <w:szCs w:val="24"/>
                <w:highlight w:val="none"/>
                <w:lang w:val="en-US" w:eastAsia="zh-CN" w:bidi="ar-SA"/>
              </w:rPr>
              <w:t>,Y</w:t>
            </w:r>
            <w:r>
              <w:rPr>
                <w:rFonts w:hint="eastAsia" w:ascii="仿宋_GB2312" w:hAnsi="仿宋_GB2312" w:eastAsia="仿宋_GB2312" w:cs="仿宋_GB2312"/>
                <w:color w:val="auto"/>
                <w:kern w:val="44"/>
                <w:sz w:val="24"/>
                <w:szCs w:val="24"/>
                <w:highlight w:val="none"/>
                <w:vertAlign w:val="subscript"/>
                <w:lang w:val="en-US" w:eastAsia="zh-CN" w:bidi="ar-SA"/>
              </w:rPr>
              <w:t>2</w:t>
            </w:r>
            <w:r>
              <w:rPr>
                <w:rFonts w:hint="eastAsia" w:ascii="仿宋_GB2312" w:hAnsi="仿宋_GB2312" w:eastAsia="仿宋_GB2312" w:cs="仿宋_GB2312"/>
                <w:color w:val="auto"/>
                <w:kern w:val="44"/>
                <w:sz w:val="24"/>
                <w:szCs w:val="24"/>
                <w:highlight w:val="none"/>
                <w:lang w:val="en-US" w:eastAsia="zh-CN" w:bidi="ar-SA"/>
              </w:rPr>
              <w:t>...)的平均值（X)作为基准价格，基准价分值20分；</w:t>
            </w:r>
          </w:p>
          <w:p w14:paraId="5B802051">
            <w:pPr>
              <w:pStyle w:val="5"/>
              <w:keepNext w:val="0"/>
              <w:keepLines w:val="0"/>
              <w:pageBreakBefore w:val="0"/>
              <w:widowControl w:val="0"/>
              <w:numPr>
                <w:ilvl w:val="0"/>
                <w:numId w:val="35"/>
              </w:numPr>
              <w:suppressLineNumbers w:val="0"/>
              <w:kinsoku/>
              <w:wordWrap/>
              <w:overflowPunct/>
              <w:topLinePunct w:val="0"/>
              <w:autoSpaceDE/>
              <w:autoSpaceDN/>
              <w:bidi w:val="0"/>
              <w:adjustRightInd/>
              <w:snapToGrid/>
              <w:spacing w:before="0" w:beforeAutospacing="0" w:after="0" w:afterAutospacing="0" w:line="560" w:lineRule="exact"/>
              <w:ind w:left="0" w:leftChars="0" w:right="0"/>
              <w:textAlignment w:val="auto"/>
              <w:rPr>
                <w:rFonts w:hint="eastAsia" w:ascii="仿宋_GB2312" w:hAnsi="仿宋_GB2312" w:eastAsia="仿宋_GB2312" w:cs="仿宋_GB2312"/>
                <w:color w:val="auto"/>
                <w:kern w:val="44"/>
                <w:sz w:val="24"/>
                <w:szCs w:val="24"/>
                <w:highlight w:val="none"/>
                <w:lang w:val="en-US" w:eastAsia="zh-CN"/>
              </w:rPr>
            </w:pPr>
            <w:r>
              <w:rPr>
                <w:rFonts w:hint="eastAsia" w:ascii="仿宋_GB2312" w:hAnsi="仿宋_GB2312" w:eastAsia="仿宋_GB2312" w:cs="仿宋_GB2312"/>
                <w:color w:val="auto"/>
                <w:kern w:val="44"/>
                <w:sz w:val="24"/>
                <w:szCs w:val="24"/>
                <w:highlight w:val="none"/>
                <w:lang w:val="en-US" w:eastAsia="zh-CN" w:bidi="ar-SA"/>
              </w:rPr>
              <w:t>若竞选人报价超过基准价格5%，则在基准分值基础上按照比例扣分，直至0分；竞选人报价低于基准价格5%，则在基准分值基础上按照比例加分，直至满分；</w:t>
            </w:r>
          </w:p>
          <w:p w14:paraId="1164002D">
            <w:pPr>
              <w:pStyle w:val="5"/>
              <w:keepNext w:val="0"/>
              <w:keepLines w:val="0"/>
              <w:pageBreakBefore w:val="0"/>
              <w:widowControl w:val="0"/>
              <w:numPr>
                <w:ilvl w:val="0"/>
                <w:numId w:val="35"/>
              </w:numPr>
              <w:suppressLineNumbers w:val="0"/>
              <w:kinsoku/>
              <w:wordWrap/>
              <w:overflowPunct/>
              <w:topLinePunct w:val="0"/>
              <w:autoSpaceDE/>
              <w:autoSpaceDN/>
              <w:bidi w:val="0"/>
              <w:adjustRightInd/>
              <w:snapToGrid/>
              <w:spacing w:before="0" w:beforeAutospacing="0" w:after="0" w:afterAutospacing="0" w:line="560" w:lineRule="exact"/>
              <w:ind w:left="0" w:leftChars="0" w:right="0"/>
              <w:textAlignment w:val="auto"/>
              <w:rPr>
                <w:rFonts w:hint="eastAsia" w:ascii="仿宋_GB2312" w:hAnsi="仿宋_GB2312" w:eastAsia="仿宋_GB2312" w:cs="仿宋_GB2312"/>
                <w:color w:val="auto"/>
                <w:kern w:val="44"/>
                <w:sz w:val="24"/>
                <w:szCs w:val="24"/>
                <w:highlight w:val="none"/>
                <w:lang w:val="en-US" w:eastAsia="zh-CN"/>
              </w:rPr>
            </w:pPr>
            <w:r>
              <w:rPr>
                <w:rFonts w:hint="eastAsia" w:ascii="仿宋_GB2312" w:hAnsi="仿宋_GB2312" w:eastAsia="仿宋_GB2312" w:cs="仿宋_GB2312"/>
                <w:color w:val="auto"/>
                <w:kern w:val="44"/>
                <w:sz w:val="24"/>
                <w:szCs w:val="24"/>
                <w:highlight w:val="none"/>
                <w:lang w:val="en-US" w:eastAsia="zh-CN" w:bidi="ar-SA"/>
              </w:rPr>
              <w:t>具体得分计算公式如下：=20+(1-Y</w:t>
            </w:r>
            <w:r>
              <w:rPr>
                <w:rFonts w:hint="eastAsia" w:ascii="仿宋_GB2312" w:hAnsi="仿宋_GB2312" w:eastAsia="仿宋_GB2312" w:cs="仿宋_GB2312"/>
                <w:color w:val="auto"/>
                <w:kern w:val="44"/>
                <w:sz w:val="24"/>
                <w:szCs w:val="24"/>
                <w:highlight w:val="none"/>
                <w:vertAlign w:val="subscript"/>
                <w:lang w:val="en-US" w:eastAsia="zh-CN" w:bidi="ar-SA"/>
              </w:rPr>
              <w:t>1</w:t>
            </w:r>
            <w:r>
              <w:rPr>
                <w:rFonts w:hint="eastAsia" w:ascii="仿宋_GB2312" w:hAnsi="仿宋_GB2312" w:eastAsia="仿宋_GB2312" w:cs="仿宋_GB2312"/>
                <w:color w:val="auto"/>
                <w:kern w:val="44"/>
                <w:sz w:val="24"/>
                <w:szCs w:val="24"/>
                <w:highlight w:val="none"/>
                <w:vertAlign w:val="baseline"/>
                <w:lang w:val="en-US" w:eastAsia="zh-CN" w:bidi="ar-SA"/>
              </w:rPr>
              <w:t>/X)/5%，结果保留两位小数。</w:t>
            </w:r>
          </w:p>
        </w:tc>
      </w:tr>
    </w:tbl>
    <w:p w14:paraId="5765D590">
      <w:pPr>
        <w:keepNext w:val="0"/>
        <w:keepLines w:val="0"/>
        <w:pageBreakBefore w:val="0"/>
        <w:widowControl w:val="0"/>
        <w:numPr>
          <w:ilvl w:val="0"/>
          <w:numId w:val="24"/>
        </w:numPr>
        <w:kinsoku/>
        <w:wordWrap/>
        <w:overflowPunct/>
        <w:topLinePunct w:val="0"/>
        <w:autoSpaceDE/>
        <w:autoSpaceDN/>
        <w:bidi w:val="0"/>
        <w:adjustRightInd/>
        <w:snapToGrid/>
        <w:spacing w:line="560" w:lineRule="exact"/>
        <w:ind w:left="0" w:leftChars="0" w:firstLine="643" w:firstLineChars="200"/>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DTMM</w:t>
      </w:r>
    </w:p>
    <w:tbl>
      <w:tblPr>
        <w:tblStyle w:val="27"/>
        <w:tblW w:w="9078" w:type="dxa"/>
        <w:tblInd w:w="103"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98"/>
        <w:gridCol w:w="2721"/>
        <w:gridCol w:w="783"/>
        <w:gridCol w:w="4276"/>
      </w:tblGrid>
      <w:tr w14:paraId="67C32F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298" w:type="dxa"/>
            <w:tcBorders>
              <w:top w:val="single" w:color="auto" w:sz="8" w:space="0"/>
            </w:tcBorders>
            <w:shd w:val="clear" w:color="auto" w:fill="F1F1F1"/>
            <w:noWrap w:val="0"/>
            <w:vAlign w:val="center"/>
          </w:tcPr>
          <w:p w14:paraId="6DA2F0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类 别</w:t>
            </w:r>
          </w:p>
        </w:tc>
        <w:tc>
          <w:tcPr>
            <w:tcW w:w="2721" w:type="dxa"/>
            <w:tcBorders>
              <w:top w:val="single" w:color="auto" w:sz="8" w:space="0"/>
            </w:tcBorders>
            <w:shd w:val="clear" w:color="auto" w:fill="F1F1F1"/>
            <w:noWrap w:val="0"/>
            <w:vAlign w:val="center"/>
          </w:tcPr>
          <w:p w14:paraId="7097FA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事 项</w:t>
            </w:r>
          </w:p>
        </w:tc>
        <w:tc>
          <w:tcPr>
            <w:tcW w:w="783" w:type="dxa"/>
            <w:tcBorders>
              <w:top w:val="single" w:color="auto" w:sz="8" w:space="0"/>
            </w:tcBorders>
            <w:shd w:val="clear" w:color="auto" w:fill="F1F1F1"/>
            <w:noWrap w:val="0"/>
            <w:vAlign w:val="center"/>
          </w:tcPr>
          <w:p w14:paraId="090B25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分值</w:t>
            </w:r>
          </w:p>
        </w:tc>
        <w:tc>
          <w:tcPr>
            <w:tcW w:w="4276" w:type="dxa"/>
            <w:tcBorders>
              <w:top w:val="single" w:color="auto" w:sz="8" w:space="0"/>
            </w:tcBorders>
            <w:shd w:val="clear" w:color="auto" w:fill="F1F1F1"/>
            <w:noWrap w:val="0"/>
            <w:vAlign w:val="center"/>
          </w:tcPr>
          <w:p w14:paraId="19353D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评分原则</w:t>
            </w:r>
          </w:p>
        </w:tc>
      </w:tr>
      <w:tr w14:paraId="24A7AF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noWrap w:val="0"/>
            <w:vAlign w:val="center"/>
          </w:tcPr>
          <w:p w14:paraId="3A8FCA64">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企业情况</w:t>
            </w:r>
          </w:p>
          <w:p w14:paraId="223B71BF">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（12分）</w:t>
            </w:r>
          </w:p>
        </w:tc>
        <w:tc>
          <w:tcPr>
            <w:tcW w:w="2721" w:type="dxa"/>
            <w:shd w:val="clear" w:color="auto" w:fill="auto"/>
            <w:noWrap w:val="0"/>
            <w:vAlign w:val="center"/>
          </w:tcPr>
          <w:p w14:paraId="70ED1B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自</w:t>
            </w:r>
            <w:r>
              <w:rPr>
                <w:rFonts w:hint="eastAsia" w:ascii="仿宋_GB2312" w:hAnsi="仿宋_GB2312" w:eastAsia="仿宋_GB2312" w:cs="仿宋_GB2312"/>
                <w:color w:val="auto"/>
                <w:kern w:val="44"/>
                <w:sz w:val="24"/>
                <w:szCs w:val="24"/>
              </w:rPr>
              <w:t>202</w:t>
            </w:r>
            <w:r>
              <w:rPr>
                <w:rFonts w:hint="eastAsia" w:ascii="仿宋_GB2312" w:hAnsi="仿宋_GB2312" w:eastAsia="仿宋_GB2312" w:cs="仿宋_GB2312"/>
                <w:color w:val="auto"/>
                <w:kern w:val="44"/>
                <w:sz w:val="24"/>
                <w:szCs w:val="24"/>
                <w:lang w:val="en-US" w:eastAsia="zh-CN"/>
              </w:rPr>
              <w:t>4</w:t>
            </w:r>
            <w:r>
              <w:rPr>
                <w:rFonts w:hint="eastAsia" w:ascii="仿宋_GB2312" w:hAnsi="仿宋_GB2312" w:eastAsia="仿宋_GB2312" w:cs="仿宋_GB2312"/>
                <w:color w:val="auto"/>
                <w:kern w:val="44"/>
                <w:sz w:val="24"/>
                <w:szCs w:val="24"/>
              </w:rPr>
              <w:t>年以来</w:t>
            </w:r>
          </w:p>
          <w:p w14:paraId="49D7C6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center"/>
              <w:textAlignment w:val="auto"/>
              <w:rPr>
                <w:rFonts w:hint="eastAsia" w:ascii="仿宋_GB2312" w:hAnsi="仿宋_GB2312" w:eastAsia="仿宋_GB2312" w:cs="仿宋_GB2312"/>
                <w:color w:val="auto"/>
                <w:kern w:val="44"/>
                <w:sz w:val="24"/>
                <w:szCs w:val="24"/>
                <w:lang w:val="en-US" w:eastAsia="zh-CN" w:bidi="ar-SA"/>
              </w:rPr>
            </w:pPr>
            <w:r>
              <w:rPr>
                <w:rFonts w:hint="eastAsia" w:ascii="仿宋_GB2312" w:hAnsi="仿宋_GB2312" w:eastAsia="仿宋_GB2312" w:cs="仿宋_GB2312"/>
                <w:color w:val="auto"/>
                <w:kern w:val="44"/>
                <w:sz w:val="24"/>
                <w:szCs w:val="24"/>
                <w:lang w:val="en-US" w:eastAsia="zh-CN"/>
              </w:rPr>
              <w:t>同类项目</w:t>
            </w:r>
            <w:r>
              <w:rPr>
                <w:rFonts w:hint="eastAsia" w:ascii="仿宋_GB2312" w:hAnsi="仿宋_GB2312" w:eastAsia="仿宋_GB2312" w:cs="仿宋_GB2312"/>
                <w:color w:val="auto"/>
                <w:kern w:val="44"/>
                <w:sz w:val="24"/>
                <w:szCs w:val="24"/>
              </w:rPr>
              <w:t>业绩</w:t>
            </w:r>
          </w:p>
        </w:tc>
        <w:tc>
          <w:tcPr>
            <w:tcW w:w="783" w:type="dxa"/>
            <w:shd w:val="clear" w:color="auto" w:fill="auto"/>
            <w:noWrap w:val="0"/>
            <w:vAlign w:val="center"/>
          </w:tcPr>
          <w:p w14:paraId="334B52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center"/>
              <w:textAlignment w:val="auto"/>
              <w:rPr>
                <w:rFonts w:hint="eastAsia" w:ascii="仿宋_GB2312" w:hAnsi="仿宋_GB2312" w:eastAsia="仿宋_GB2312" w:cs="仿宋_GB2312"/>
                <w:color w:val="auto"/>
                <w:kern w:val="44"/>
                <w:sz w:val="24"/>
                <w:szCs w:val="24"/>
                <w:lang w:val="en-US" w:eastAsia="zh-CN" w:bidi="ar-SA"/>
              </w:rPr>
            </w:pPr>
            <w:r>
              <w:rPr>
                <w:rFonts w:hint="eastAsia" w:ascii="仿宋_GB2312" w:hAnsi="仿宋_GB2312" w:eastAsia="仿宋_GB2312" w:cs="仿宋_GB2312"/>
                <w:color w:val="auto"/>
                <w:kern w:val="44"/>
                <w:sz w:val="24"/>
                <w:szCs w:val="24"/>
                <w:lang w:val="en-US" w:eastAsia="zh-CN"/>
              </w:rPr>
              <w:t>12分</w:t>
            </w:r>
          </w:p>
        </w:tc>
        <w:tc>
          <w:tcPr>
            <w:tcW w:w="4276" w:type="dxa"/>
            <w:shd w:val="clear" w:color="auto" w:fill="auto"/>
            <w:noWrap w:val="0"/>
            <w:vAlign w:val="center"/>
          </w:tcPr>
          <w:p w14:paraId="3C5517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提供自2024年1月1日后签订或仍在服务的DTMM服务类合同和对应的客户证书，每提供1个3级及以上案例得3分，1个2级案例得1分，其余不得分，满分12分；</w:t>
            </w:r>
          </w:p>
          <w:p w14:paraId="0D69A6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left"/>
              <w:textAlignment w:val="auto"/>
              <w:rPr>
                <w:rFonts w:hint="eastAsia" w:ascii="仿宋_GB2312" w:hAnsi="仿宋_GB2312" w:eastAsia="仿宋_GB2312" w:cs="仿宋_GB2312"/>
                <w:color w:val="auto"/>
                <w:kern w:val="44"/>
                <w:sz w:val="24"/>
                <w:szCs w:val="24"/>
                <w:lang w:val="en-US" w:eastAsia="zh-CN" w:bidi="ar-SA"/>
              </w:rPr>
            </w:pPr>
            <w:r>
              <w:rPr>
                <w:rFonts w:hint="eastAsia" w:ascii="仿宋_GB2312" w:hAnsi="仿宋_GB2312" w:eastAsia="仿宋_GB2312" w:cs="仿宋_GB2312"/>
                <w:color w:val="auto"/>
                <w:kern w:val="44"/>
                <w:sz w:val="24"/>
                <w:szCs w:val="24"/>
                <w:lang w:val="en-US" w:eastAsia="zh-CN"/>
              </w:rPr>
              <w:t>需要提供合同关键页（能清晰看出合同主体、签订时间或服务时间、合同标的物、双章等信息），满足上述要求的合同有效，否则无效。</w:t>
            </w:r>
          </w:p>
        </w:tc>
      </w:tr>
      <w:tr w14:paraId="13E989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restart"/>
            <w:noWrap w:val="0"/>
            <w:vAlign w:val="center"/>
          </w:tcPr>
          <w:p w14:paraId="1C4210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kern w:val="44"/>
                <w:sz w:val="24"/>
                <w:szCs w:val="24"/>
              </w:rPr>
            </w:pPr>
            <w:r>
              <w:rPr>
                <w:rFonts w:hint="eastAsia" w:ascii="仿宋_GB2312" w:hAnsi="仿宋_GB2312" w:eastAsia="仿宋_GB2312" w:cs="仿宋_GB2312"/>
                <w:b/>
                <w:color w:val="auto"/>
                <w:kern w:val="44"/>
                <w:sz w:val="24"/>
                <w:szCs w:val="24"/>
                <w:lang w:val="en-US" w:eastAsia="zh-CN"/>
              </w:rPr>
              <w:t>团队</w:t>
            </w:r>
            <w:r>
              <w:rPr>
                <w:rFonts w:hint="eastAsia" w:ascii="仿宋_GB2312" w:hAnsi="仿宋_GB2312" w:eastAsia="仿宋_GB2312" w:cs="仿宋_GB2312"/>
                <w:b/>
                <w:color w:val="auto"/>
                <w:kern w:val="44"/>
                <w:sz w:val="24"/>
                <w:szCs w:val="24"/>
              </w:rPr>
              <w:t>情况</w:t>
            </w:r>
          </w:p>
          <w:p w14:paraId="08A17A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kern w:val="44"/>
                <w:sz w:val="24"/>
                <w:szCs w:val="24"/>
              </w:rPr>
              <w:t>（</w:t>
            </w:r>
            <w:r>
              <w:rPr>
                <w:rFonts w:hint="eastAsia" w:ascii="仿宋_GB2312" w:hAnsi="仿宋_GB2312" w:eastAsia="仿宋_GB2312" w:cs="仿宋_GB2312"/>
                <w:b/>
                <w:color w:val="auto"/>
                <w:kern w:val="44"/>
                <w:sz w:val="24"/>
                <w:szCs w:val="24"/>
                <w:lang w:val="en-US" w:eastAsia="zh-CN"/>
              </w:rPr>
              <w:t>18</w:t>
            </w:r>
            <w:r>
              <w:rPr>
                <w:rFonts w:hint="eastAsia" w:ascii="仿宋_GB2312" w:hAnsi="仿宋_GB2312" w:eastAsia="仿宋_GB2312" w:cs="仿宋_GB2312"/>
                <w:b/>
                <w:color w:val="auto"/>
                <w:kern w:val="44"/>
                <w:sz w:val="24"/>
                <w:szCs w:val="24"/>
              </w:rPr>
              <w:t>分）</w:t>
            </w:r>
          </w:p>
        </w:tc>
        <w:tc>
          <w:tcPr>
            <w:tcW w:w="2721" w:type="dxa"/>
            <w:noWrap w:val="0"/>
            <w:vAlign w:val="center"/>
          </w:tcPr>
          <w:p w14:paraId="77CC1C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spacing w:val="-6"/>
                <w:kern w:val="44"/>
                <w:sz w:val="24"/>
                <w:szCs w:val="24"/>
                <w:lang w:val="en-US" w:eastAsia="zh-CN"/>
              </w:rPr>
            </w:pPr>
            <w:r>
              <w:rPr>
                <w:rFonts w:hint="eastAsia" w:ascii="仿宋_GB2312" w:hAnsi="仿宋_GB2312" w:eastAsia="仿宋_GB2312" w:cs="仿宋_GB2312"/>
                <w:color w:val="auto"/>
                <w:spacing w:val="-6"/>
                <w:kern w:val="44"/>
                <w:sz w:val="24"/>
                <w:szCs w:val="24"/>
                <w:lang w:val="en-US" w:eastAsia="zh-CN"/>
              </w:rPr>
              <w:t>项目负责人资质</w:t>
            </w:r>
          </w:p>
        </w:tc>
        <w:tc>
          <w:tcPr>
            <w:tcW w:w="783" w:type="dxa"/>
            <w:noWrap w:val="0"/>
            <w:vAlign w:val="center"/>
          </w:tcPr>
          <w:p w14:paraId="6FC7A6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kern w:val="44"/>
                <w:sz w:val="24"/>
                <w:szCs w:val="24"/>
                <w:lang w:val="en-US" w:eastAsia="zh-CN"/>
              </w:rPr>
              <w:t>10分</w:t>
            </w:r>
          </w:p>
        </w:tc>
        <w:tc>
          <w:tcPr>
            <w:tcW w:w="4276" w:type="dxa"/>
            <w:noWrap w:val="0"/>
            <w:vAlign w:val="center"/>
          </w:tcPr>
          <w:p w14:paraId="2437A131">
            <w:pPr>
              <w:keepNext w:val="0"/>
              <w:keepLines w:val="0"/>
              <w:pageBreakBefore w:val="0"/>
              <w:numPr>
                <w:ilvl w:val="0"/>
                <w:numId w:val="36"/>
              </w:numPr>
              <w:suppressLineNumbers w:val="0"/>
              <w:wordWrap/>
              <w:topLinePunct w:val="0"/>
              <w:bidi w:val="0"/>
              <w:adjustRightInd w:val="0"/>
              <w:snapToGrid w:val="0"/>
              <w:spacing w:before="0" w:beforeAutospacing="0" w:after="0" w:afterAutospacing="0" w:line="560" w:lineRule="exact"/>
              <w:ind w:left="0" w:leftChars="0" w:right="0" w:rightChars="0"/>
              <w:jc w:val="left"/>
              <w:rPr>
                <w:rFonts w:hint="default" w:ascii="仿宋_GB2312" w:hAnsi="仿宋_GB2312" w:eastAsia="仿宋_GB2312" w:cs="仿宋_GB2312"/>
                <w:color w:val="auto"/>
                <w:kern w:val="44"/>
                <w:sz w:val="24"/>
                <w:szCs w:val="24"/>
                <w:lang w:val="en-US" w:eastAsia="zh-CN" w:bidi="ar"/>
              </w:rPr>
            </w:pPr>
            <w:r>
              <w:rPr>
                <w:rFonts w:hint="eastAsia" w:ascii="仿宋_GB2312" w:hAnsi="仿宋_GB2312" w:eastAsia="仿宋_GB2312" w:cs="仿宋_GB2312"/>
                <w:color w:val="auto"/>
                <w:kern w:val="44"/>
                <w:sz w:val="24"/>
                <w:szCs w:val="24"/>
                <w:lang w:val="en-US" w:eastAsia="zh-CN" w:bidi="ar"/>
              </w:rPr>
              <w:t>项目负责人是数字化转型标准服务平台认定的评估师得4分，其余不得分；</w:t>
            </w:r>
          </w:p>
          <w:p w14:paraId="64A95B7D">
            <w:pPr>
              <w:keepNext w:val="0"/>
              <w:keepLines w:val="0"/>
              <w:pageBreakBefore w:val="0"/>
              <w:widowControl w:val="0"/>
              <w:numPr>
                <w:ilvl w:val="0"/>
                <w:numId w:val="36"/>
              </w:numPr>
              <w:suppressLineNumbers w:val="0"/>
              <w:kinsoku/>
              <w:wordWrap/>
              <w:topLinePunct w:val="0"/>
              <w:bidi w:val="0"/>
              <w:adjustRightInd w:val="0"/>
              <w:snapToGrid w:val="0"/>
              <w:spacing w:before="0" w:beforeAutospacing="0" w:after="0" w:afterAutospacing="0" w:line="560" w:lineRule="exact"/>
              <w:ind w:left="0" w:leftChars="0" w:right="0" w:rightChars="0"/>
              <w:jc w:val="left"/>
              <w:rPr>
                <w:rFonts w:hint="default"/>
                <w:lang w:val="en-US" w:eastAsia="zh-CN"/>
              </w:rPr>
            </w:pPr>
            <w:r>
              <w:rPr>
                <w:rFonts w:hint="default" w:ascii="仿宋_GB2312" w:hAnsi="仿宋_GB2312" w:eastAsia="仿宋_GB2312" w:cs="仿宋_GB2312"/>
                <w:color w:val="auto"/>
                <w:kern w:val="44"/>
                <w:sz w:val="24"/>
                <w:szCs w:val="24"/>
                <w:lang w:val="en-US" w:eastAsia="zh-CN" w:bidi="ar"/>
              </w:rPr>
              <w:t>项目负责人近</w:t>
            </w:r>
            <w:r>
              <w:rPr>
                <w:rFonts w:hint="eastAsia" w:ascii="仿宋_GB2312" w:hAnsi="仿宋_GB2312" w:eastAsia="仿宋_GB2312" w:cs="仿宋_GB2312"/>
                <w:color w:val="auto"/>
                <w:kern w:val="44"/>
                <w:sz w:val="24"/>
                <w:szCs w:val="24"/>
                <w:lang w:val="en-US" w:eastAsia="zh-CN" w:bidi="ar"/>
              </w:rPr>
              <w:t>2</w:t>
            </w:r>
            <w:r>
              <w:rPr>
                <w:rFonts w:hint="default" w:ascii="仿宋_GB2312" w:hAnsi="仿宋_GB2312" w:eastAsia="仿宋_GB2312" w:cs="仿宋_GB2312"/>
                <w:color w:val="auto"/>
                <w:kern w:val="44"/>
                <w:sz w:val="24"/>
                <w:szCs w:val="24"/>
                <w:lang w:val="en-US" w:eastAsia="zh-CN" w:bidi="ar"/>
              </w:rPr>
              <w:t>年具有</w:t>
            </w:r>
            <w:r>
              <w:rPr>
                <w:rFonts w:hint="eastAsia" w:ascii="仿宋_GB2312" w:hAnsi="仿宋_GB2312" w:eastAsia="仿宋_GB2312" w:cs="仿宋_GB2312"/>
                <w:color w:val="auto"/>
                <w:kern w:val="44"/>
                <w:sz w:val="24"/>
                <w:szCs w:val="24"/>
                <w:lang w:val="en-US" w:eastAsia="zh-CN" w:bidi="ar"/>
              </w:rPr>
              <w:t>1个3级及以上</w:t>
            </w:r>
            <w:r>
              <w:rPr>
                <w:rFonts w:hint="default" w:ascii="仿宋_GB2312" w:hAnsi="仿宋_GB2312" w:eastAsia="仿宋_GB2312" w:cs="仿宋_GB2312"/>
                <w:color w:val="auto"/>
                <w:kern w:val="44"/>
                <w:sz w:val="24"/>
                <w:szCs w:val="24"/>
                <w:lang w:val="en-US" w:eastAsia="zh-CN" w:bidi="ar"/>
              </w:rPr>
              <w:t>咨询案例</w:t>
            </w:r>
            <w:r>
              <w:rPr>
                <w:rFonts w:hint="eastAsia" w:ascii="仿宋_GB2312" w:hAnsi="仿宋_GB2312" w:eastAsia="仿宋_GB2312" w:cs="仿宋_GB2312"/>
                <w:color w:val="auto"/>
                <w:kern w:val="44"/>
                <w:sz w:val="24"/>
                <w:szCs w:val="24"/>
                <w:lang w:val="en-US" w:eastAsia="zh-CN" w:bidi="ar"/>
              </w:rPr>
              <w:t>得6分，1个2级咨询案例得2分，其余不得分；</w:t>
            </w:r>
          </w:p>
          <w:p w14:paraId="561454B2">
            <w:pPr>
              <w:keepNext w:val="0"/>
              <w:keepLines w:val="0"/>
              <w:pageBreakBefore w:val="0"/>
              <w:widowControl w:val="0"/>
              <w:numPr>
                <w:ilvl w:val="0"/>
                <w:numId w:val="36"/>
              </w:numPr>
              <w:suppressLineNumbers w:val="0"/>
              <w:kinsoku/>
              <w:wordWrap/>
              <w:topLinePunct w:val="0"/>
              <w:bidi w:val="0"/>
              <w:adjustRightInd w:val="0"/>
              <w:snapToGrid w:val="0"/>
              <w:spacing w:before="0" w:beforeAutospacing="0" w:after="0" w:afterAutospacing="0" w:line="560" w:lineRule="exact"/>
              <w:ind w:left="0" w:leftChars="0" w:right="0" w:rightChars="0"/>
              <w:jc w:val="left"/>
              <w:rPr>
                <w:rFonts w:hint="default"/>
                <w:lang w:val="en-US" w:eastAsia="zh-CN"/>
              </w:rPr>
            </w:pPr>
            <w:r>
              <w:rPr>
                <w:rFonts w:hint="eastAsia" w:ascii="仿宋_GB2312" w:hAnsi="仿宋_GB2312" w:eastAsia="仿宋_GB2312" w:cs="仿宋_GB2312"/>
                <w:color w:val="auto"/>
                <w:kern w:val="44"/>
                <w:sz w:val="24"/>
                <w:szCs w:val="24"/>
                <w:lang w:val="en-US" w:eastAsia="zh-CN" w:bidi="ar"/>
              </w:rPr>
              <w:t>需提供相关证明材料，包括但不限于合同和对应的客户证书等，能清晰看出负责人、签订时间或服务时间、标的物等信息，满足上述要求的证明材料有效，否则无效。</w:t>
            </w:r>
          </w:p>
        </w:tc>
      </w:tr>
      <w:tr w14:paraId="5DAF98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continue"/>
            <w:noWrap w:val="0"/>
            <w:vAlign w:val="center"/>
          </w:tcPr>
          <w:p w14:paraId="38B20E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kern w:val="44"/>
                <w:sz w:val="24"/>
                <w:szCs w:val="24"/>
              </w:rPr>
            </w:pPr>
          </w:p>
        </w:tc>
        <w:tc>
          <w:tcPr>
            <w:tcW w:w="2721" w:type="dxa"/>
            <w:noWrap w:val="0"/>
            <w:vAlign w:val="center"/>
          </w:tcPr>
          <w:p w14:paraId="3F5FBA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spacing w:val="-6"/>
                <w:kern w:val="44"/>
                <w:sz w:val="24"/>
                <w:szCs w:val="24"/>
                <w:lang w:val="en-US" w:eastAsia="zh-CN"/>
              </w:rPr>
            </w:pPr>
            <w:r>
              <w:rPr>
                <w:rFonts w:hint="eastAsia" w:ascii="仿宋_GB2312" w:hAnsi="仿宋_GB2312" w:eastAsia="仿宋_GB2312" w:cs="仿宋_GB2312"/>
                <w:color w:val="auto"/>
                <w:spacing w:val="-6"/>
                <w:kern w:val="44"/>
                <w:sz w:val="24"/>
                <w:szCs w:val="24"/>
                <w:lang w:val="en-US" w:eastAsia="zh-CN"/>
              </w:rPr>
              <w:t>团队配置</w:t>
            </w:r>
          </w:p>
        </w:tc>
        <w:tc>
          <w:tcPr>
            <w:tcW w:w="783" w:type="dxa"/>
            <w:noWrap w:val="0"/>
            <w:vAlign w:val="center"/>
          </w:tcPr>
          <w:p w14:paraId="0A41D3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8分</w:t>
            </w:r>
          </w:p>
        </w:tc>
        <w:tc>
          <w:tcPr>
            <w:tcW w:w="4276" w:type="dxa"/>
            <w:noWrap w:val="0"/>
            <w:vAlign w:val="center"/>
          </w:tcPr>
          <w:p w14:paraId="03685D21">
            <w:pPr>
              <w:keepNext w:val="0"/>
              <w:keepLines w:val="0"/>
              <w:pageBreakBefore w:val="0"/>
              <w:numPr>
                <w:ilvl w:val="0"/>
                <w:numId w:val="37"/>
              </w:numPr>
              <w:suppressLineNumbers w:val="0"/>
              <w:wordWrap/>
              <w:topLinePunct w:val="0"/>
              <w:bidi w:val="0"/>
              <w:adjustRightInd w:val="0"/>
              <w:snapToGrid w:val="0"/>
              <w:spacing w:before="0" w:beforeAutospacing="0" w:after="0" w:afterAutospacing="0" w:line="560" w:lineRule="exact"/>
              <w:ind w:left="0" w:right="0" w:rightChars="0"/>
              <w:jc w:val="left"/>
              <w:rPr>
                <w:rFonts w:hint="eastAsia" w:ascii="仿宋_GB2312" w:hAnsi="仿宋_GB2312" w:eastAsia="仿宋_GB2312" w:cs="仿宋_GB2312"/>
                <w:color w:val="auto"/>
                <w:kern w:val="44"/>
                <w:sz w:val="24"/>
                <w:szCs w:val="24"/>
                <w:lang w:val="en-US" w:eastAsia="zh-CN" w:bidi="ar"/>
              </w:rPr>
            </w:pPr>
            <w:r>
              <w:rPr>
                <w:rFonts w:hint="eastAsia" w:ascii="仿宋_GB2312" w:hAnsi="仿宋_GB2312" w:eastAsia="仿宋_GB2312" w:cs="仿宋_GB2312"/>
                <w:color w:val="auto"/>
                <w:kern w:val="44"/>
                <w:sz w:val="24"/>
                <w:szCs w:val="24"/>
                <w:lang w:val="en-US" w:eastAsia="zh-CN" w:bidi="ar"/>
              </w:rPr>
              <w:t>项目团队成员（含项目负责人）3人及以上得5分，2人得2分，其余不得分；</w:t>
            </w:r>
          </w:p>
          <w:p w14:paraId="617C5583">
            <w:pPr>
              <w:keepNext w:val="0"/>
              <w:keepLines w:val="0"/>
              <w:pageBreakBefore w:val="0"/>
              <w:numPr>
                <w:ilvl w:val="0"/>
                <w:numId w:val="37"/>
              </w:numPr>
              <w:suppressLineNumbers w:val="0"/>
              <w:wordWrap/>
              <w:topLinePunct w:val="0"/>
              <w:bidi w:val="0"/>
              <w:adjustRightInd w:val="0"/>
              <w:snapToGrid w:val="0"/>
              <w:spacing w:before="0" w:beforeAutospacing="0" w:after="0" w:afterAutospacing="0" w:line="560" w:lineRule="exact"/>
              <w:ind w:left="0" w:right="0" w:rightChars="0"/>
              <w:jc w:val="left"/>
              <w:rPr>
                <w:rFonts w:hint="default"/>
                <w:lang w:val="en-US" w:eastAsia="zh-CN"/>
              </w:rPr>
            </w:pPr>
            <w:r>
              <w:rPr>
                <w:rFonts w:hint="eastAsia" w:ascii="仿宋_GB2312" w:hAnsi="仿宋_GB2312" w:eastAsia="仿宋_GB2312" w:cs="仿宋_GB2312"/>
                <w:color w:val="auto"/>
                <w:kern w:val="44"/>
                <w:sz w:val="24"/>
                <w:szCs w:val="24"/>
                <w:lang w:val="en-US" w:eastAsia="zh-CN" w:bidi="ar"/>
              </w:rPr>
              <w:t>项目团队成员（不含项目负责人）具有评估师资质得1分，满分3分；</w:t>
            </w:r>
          </w:p>
          <w:p w14:paraId="320D2951">
            <w:pPr>
              <w:keepNext w:val="0"/>
              <w:keepLines w:val="0"/>
              <w:pageBreakBefore w:val="0"/>
              <w:numPr>
                <w:ilvl w:val="0"/>
                <w:numId w:val="37"/>
              </w:numPr>
              <w:suppressLineNumbers w:val="0"/>
              <w:wordWrap/>
              <w:topLinePunct w:val="0"/>
              <w:bidi w:val="0"/>
              <w:adjustRightInd w:val="0"/>
              <w:snapToGrid w:val="0"/>
              <w:spacing w:before="0" w:beforeAutospacing="0" w:after="0" w:afterAutospacing="0" w:line="560" w:lineRule="exact"/>
              <w:ind w:left="0" w:right="0" w:rightChars="0"/>
              <w:jc w:val="left"/>
              <w:rPr>
                <w:rFonts w:hint="default"/>
                <w:lang w:val="en-US" w:eastAsia="zh-CN"/>
              </w:rPr>
            </w:pPr>
            <w:r>
              <w:rPr>
                <w:rFonts w:hint="eastAsia" w:ascii="仿宋_GB2312" w:hAnsi="仿宋_GB2312" w:eastAsia="仿宋_GB2312" w:cs="仿宋_GB2312"/>
                <w:color w:val="auto"/>
                <w:kern w:val="44"/>
                <w:sz w:val="24"/>
                <w:szCs w:val="24"/>
                <w:lang w:val="en-US" w:eastAsia="zh-CN" w:bidi="ar"/>
              </w:rPr>
              <w:t>需提供相关证书材料。</w:t>
            </w:r>
          </w:p>
        </w:tc>
      </w:tr>
      <w:tr w14:paraId="1A4430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1298" w:type="dxa"/>
            <w:vMerge w:val="restart"/>
            <w:noWrap w:val="0"/>
            <w:vAlign w:val="center"/>
          </w:tcPr>
          <w:p w14:paraId="4FE154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sz w:val="24"/>
                <w:szCs w:val="24"/>
              </w:rPr>
              <w:t>服务方案</w:t>
            </w:r>
          </w:p>
          <w:p w14:paraId="0622F2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sz w:val="24"/>
                <w:szCs w:val="24"/>
              </w:rPr>
              <w:t>（</w:t>
            </w:r>
            <w:r>
              <w:rPr>
                <w:rFonts w:hint="eastAsia" w:ascii="仿宋_GB2312" w:hAnsi="仿宋_GB2312" w:eastAsia="仿宋_GB2312" w:cs="仿宋_GB2312"/>
                <w:b/>
                <w:color w:val="auto"/>
                <w:sz w:val="24"/>
                <w:szCs w:val="24"/>
                <w:lang w:val="en-US" w:eastAsia="zh-CN"/>
              </w:rPr>
              <w:t>40</w:t>
            </w:r>
            <w:r>
              <w:rPr>
                <w:rFonts w:hint="eastAsia" w:ascii="仿宋_GB2312" w:hAnsi="仿宋_GB2312" w:eastAsia="仿宋_GB2312" w:cs="仿宋_GB2312"/>
                <w:b/>
                <w:color w:val="auto"/>
                <w:sz w:val="24"/>
                <w:szCs w:val="24"/>
              </w:rPr>
              <w:t>分）</w:t>
            </w:r>
          </w:p>
        </w:tc>
        <w:tc>
          <w:tcPr>
            <w:tcW w:w="2721" w:type="dxa"/>
            <w:noWrap w:val="0"/>
            <w:vAlign w:val="center"/>
          </w:tcPr>
          <w:p w14:paraId="2DE874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项目实施方案</w:t>
            </w:r>
          </w:p>
        </w:tc>
        <w:tc>
          <w:tcPr>
            <w:tcW w:w="783" w:type="dxa"/>
            <w:noWrap w:val="0"/>
            <w:vAlign w:val="center"/>
          </w:tcPr>
          <w:p w14:paraId="3EEAFF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20</w:t>
            </w:r>
            <w:r>
              <w:rPr>
                <w:rFonts w:hint="eastAsia" w:ascii="仿宋_GB2312" w:hAnsi="仿宋_GB2312" w:eastAsia="仿宋_GB2312" w:cs="仿宋_GB2312"/>
                <w:color w:val="auto"/>
                <w:kern w:val="44"/>
                <w:sz w:val="24"/>
                <w:szCs w:val="24"/>
              </w:rPr>
              <w:t>分</w:t>
            </w:r>
          </w:p>
        </w:tc>
        <w:tc>
          <w:tcPr>
            <w:tcW w:w="4276" w:type="dxa"/>
            <w:noWrap w:val="0"/>
            <w:vAlign w:val="center"/>
          </w:tcPr>
          <w:p w14:paraId="029286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根据技术规范的要求，准确理解项目的需求，服务方案充分考虑制度流程运营的问题与现状，理解运营的特点和管理要求，针对竞选人提供的服务方案进行评分：</w:t>
            </w:r>
          </w:p>
          <w:p w14:paraId="3BAC1D44">
            <w:pPr>
              <w:keepNext w:val="0"/>
              <w:keepLines w:val="0"/>
              <w:pageBreakBefore w:val="0"/>
              <w:widowControl w:val="0"/>
              <w:numPr>
                <w:ilvl w:val="0"/>
                <w:numId w:val="38"/>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方案内容完整、思路清晰、可操作性强、针对性强，得12-20分；</w:t>
            </w:r>
          </w:p>
          <w:p w14:paraId="119B7EE2">
            <w:pPr>
              <w:keepNext w:val="0"/>
              <w:keepLines w:val="0"/>
              <w:pageBreakBefore w:val="0"/>
              <w:widowControl w:val="0"/>
              <w:numPr>
                <w:ilvl w:val="0"/>
                <w:numId w:val="38"/>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方案内容一般、思路一般清晰、可操作性一般、针对性一般，得6-12分；</w:t>
            </w:r>
          </w:p>
          <w:p w14:paraId="46EFC183">
            <w:pPr>
              <w:keepNext w:val="0"/>
              <w:keepLines w:val="0"/>
              <w:pageBreakBefore w:val="0"/>
              <w:widowControl w:val="0"/>
              <w:numPr>
                <w:ilvl w:val="0"/>
                <w:numId w:val="38"/>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方案内容不清晰、思路不够清晰、可操控性差、针对性差，得0-6分；</w:t>
            </w:r>
          </w:p>
          <w:p w14:paraId="4626455E">
            <w:pPr>
              <w:keepNext w:val="0"/>
              <w:keepLines w:val="0"/>
              <w:pageBreakBefore w:val="0"/>
              <w:widowControl w:val="0"/>
              <w:numPr>
                <w:ilvl w:val="0"/>
                <w:numId w:val="38"/>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未提供得0分。</w:t>
            </w:r>
          </w:p>
        </w:tc>
      </w:tr>
      <w:tr w14:paraId="189044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1298" w:type="dxa"/>
            <w:vMerge w:val="continue"/>
            <w:noWrap w:val="0"/>
            <w:vAlign w:val="center"/>
          </w:tcPr>
          <w:p w14:paraId="3D07EC23">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color w:val="auto"/>
                <w:sz w:val="24"/>
                <w:szCs w:val="24"/>
              </w:rPr>
            </w:pPr>
          </w:p>
        </w:tc>
        <w:tc>
          <w:tcPr>
            <w:tcW w:w="2721" w:type="dxa"/>
            <w:noWrap w:val="0"/>
            <w:vAlign w:val="center"/>
          </w:tcPr>
          <w:p w14:paraId="2612D1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highlight w:val="none"/>
              </w:rPr>
              <w:t>对</w:t>
            </w:r>
            <w:r>
              <w:rPr>
                <w:rFonts w:hint="eastAsia" w:ascii="仿宋_GB2312" w:hAnsi="仿宋_GB2312" w:eastAsia="仿宋_GB2312" w:cs="仿宋_GB2312"/>
                <w:color w:val="auto"/>
                <w:kern w:val="44"/>
                <w:sz w:val="24"/>
                <w:szCs w:val="24"/>
                <w:highlight w:val="none"/>
                <w:lang w:eastAsia="zh-CN"/>
              </w:rPr>
              <w:t>评委提问</w:t>
            </w:r>
            <w:r>
              <w:rPr>
                <w:rFonts w:hint="eastAsia" w:ascii="仿宋_GB2312" w:hAnsi="仿宋_GB2312" w:eastAsia="仿宋_GB2312" w:cs="仿宋_GB2312"/>
                <w:color w:val="auto"/>
                <w:kern w:val="44"/>
                <w:sz w:val="24"/>
                <w:szCs w:val="24"/>
                <w:highlight w:val="none"/>
              </w:rPr>
              <w:t>的剖析</w:t>
            </w:r>
          </w:p>
        </w:tc>
        <w:tc>
          <w:tcPr>
            <w:tcW w:w="783" w:type="dxa"/>
            <w:noWrap w:val="0"/>
            <w:vAlign w:val="center"/>
          </w:tcPr>
          <w:p w14:paraId="1B4CCC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5</w:t>
            </w:r>
            <w:r>
              <w:rPr>
                <w:rFonts w:hint="eastAsia" w:ascii="仿宋_GB2312" w:hAnsi="仿宋_GB2312" w:eastAsia="仿宋_GB2312" w:cs="仿宋_GB2312"/>
                <w:color w:val="auto"/>
                <w:kern w:val="44"/>
                <w:sz w:val="24"/>
                <w:szCs w:val="24"/>
              </w:rPr>
              <w:t>分</w:t>
            </w:r>
          </w:p>
        </w:tc>
        <w:tc>
          <w:tcPr>
            <w:tcW w:w="4276" w:type="dxa"/>
            <w:noWrap w:val="0"/>
            <w:vAlign w:val="center"/>
          </w:tcPr>
          <w:p w14:paraId="1582E6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highlight w:val="none"/>
                <w:lang w:val="en-US" w:eastAsia="zh-CN"/>
              </w:rPr>
              <w:t>向竞选人提问，就其对本次项目</w:t>
            </w:r>
            <w:r>
              <w:rPr>
                <w:rFonts w:hint="eastAsia" w:ascii="仿宋_GB2312" w:hAnsi="仿宋_GB2312" w:eastAsia="仿宋_GB2312" w:cs="仿宋_GB2312"/>
                <w:color w:val="auto"/>
                <w:kern w:val="44"/>
                <w:sz w:val="24"/>
                <w:szCs w:val="24"/>
                <w:highlight w:val="none"/>
              </w:rPr>
              <w:t>理解和思路是否全面、深刻，</w:t>
            </w:r>
            <w:r>
              <w:rPr>
                <w:rFonts w:hint="eastAsia" w:ascii="仿宋_GB2312" w:hAnsi="仿宋_GB2312" w:eastAsia="仿宋_GB2312" w:cs="仿宋_GB2312"/>
                <w:color w:val="auto"/>
                <w:kern w:val="44"/>
                <w:sz w:val="24"/>
                <w:szCs w:val="24"/>
                <w:highlight w:val="none"/>
                <w:lang w:val="en-US" w:eastAsia="zh-CN"/>
              </w:rPr>
              <w:t>是否</w:t>
            </w:r>
            <w:r>
              <w:rPr>
                <w:rFonts w:hint="eastAsia" w:ascii="仿宋_GB2312" w:hAnsi="仿宋_GB2312" w:eastAsia="仿宋_GB2312" w:cs="仿宋_GB2312"/>
                <w:color w:val="auto"/>
                <w:kern w:val="44"/>
                <w:sz w:val="24"/>
                <w:szCs w:val="24"/>
                <w:highlight w:val="none"/>
              </w:rPr>
              <w:t>有针对性</w:t>
            </w:r>
            <w:r>
              <w:rPr>
                <w:rFonts w:hint="eastAsia" w:ascii="仿宋_GB2312" w:hAnsi="仿宋_GB2312" w:eastAsia="仿宋_GB2312" w:cs="仿宋_GB2312"/>
                <w:color w:val="auto"/>
                <w:kern w:val="44"/>
                <w:sz w:val="24"/>
                <w:szCs w:val="24"/>
                <w:highlight w:val="none"/>
                <w:lang w:val="en-US" w:eastAsia="zh-CN"/>
              </w:rPr>
              <w:t>建议等情况进行</w:t>
            </w:r>
            <w:r>
              <w:rPr>
                <w:rFonts w:hint="eastAsia" w:ascii="仿宋_GB2312" w:hAnsi="仿宋_GB2312" w:eastAsia="仿宋_GB2312" w:cs="仿宋_GB2312"/>
                <w:color w:val="auto"/>
                <w:kern w:val="44"/>
                <w:sz w:val="24"/>
                <w:szCs w:val="24"/>
                <w:lang w:eastAsia="zh-CN"/>
              </w:rPr>
              <w:t>综合评价，评价为优得</w:t>
            </w:r>
            <w:r>
              <w:rPr>
                <w:rFonts w:hint="eastAsia" w:ascii="仿宋_GB2312" w:hAnsi="仿宋_GB2312" w:eastAsia="仿宋_GB2312" w:cs="仿宋_GB2312"/>
                <w:color w:val="auto"/>
                <w:kern w:val="44"/>
                <w:sz w:val="24"/>
                <w:szCs w:val="24"/>
                <w:lang w:val="en-US" w:eastAsia="zh-CN"/>
              </w:rPr>
              <w:t>3-5分，良得1-3分，差得0-1分</w:t>
            </w:r>
            <w:r>
              <w:rPr>
                <w:rFonts w:hint="eastAsia" w:ascii="仿宋_GB2312" w:hAnsi="仿宋_GB2312" w:eastAsia="仿宋_GB2312" w:cs="仿宋_GB2312"/>
                <w:b/>
                <w:bCs/>
                <w:color w:val="auto"/>
                <w:kern w:val="44"/>
                <w:sz w:val="24"/>
                <w:szCs w:val="24"/>
                <w:lang w:eastAsia="zh-CN"/>
              </w:rPr>
              <w:t>。</w:t>
            </w:r>
          </w:p>
        </w:tc>
      </w:tr>
      <w:tr w14:paraId="4C4F5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continue"/>
            <w:noWrap w:val="0"/>
            <w:vAlign w:val="center"/>
          </w:tcPr>
          <w:p w14:paraId="2EBA21FE">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color w:val="auto"/>
                <w:sz w:val="24"/>
                <w:szCs w:val="24"/>
              </w:rPr>
            </w:pPr>
          </w:p>
        </w:tc>
        <w:tc>
          <w:tcPr>
            <w:tcW w:w="2721" w:type="dxa"/>
            <w:noWrap w:val="0"/>
            <w:vAlign w:val="center"/>
          </w:tcPr>
          <w:p w14:paraId="7C847C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rPr>
              <w:t>服务保障措施</w:t>
            </w:r>
          </w:p>
        </w:tc>
        <w:tc>
          <w:tcPr>
            <w:tcW w:w="783" w:type="dxa"/>
            <w:noWrap w:val="0"/>
            <w:vAlign w:val="center"/>
          </w:tcPr>
          <w:p w14:paraId="752105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5</w:t>
            </w:r>
            <w:r>
              <w:rPr>
                <w:rFonts w:hint="eastAsia" w:ascii="仿宋_GB2312" w:hAnsi="仿宋_GB2312" w:eastAsia="仿宋_GB2312" w:cs="仿宋_GB2312"/>
                <w:color w:val="auto"/>
                <w:kern w:val="44"/>
                <w:sz w:val="24"/>
                <w:szCs w:val="24"/>
              </w:rPr>
              <w:t>分</w:t>
            </w:r>
          </w:p>
        </w:tc>
        <w:tc>
          <w:tcPr>
            <w:tcW w:w="4276" w:type="dxa"/>
            <w:noWrap w:val="0"/>
            <w:vAlign w:val="center"/>
          </w:tcPr>
          <w:p w14:paraId="0B705A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竞选人须提供本项目服务过程的质量控制措施方案，方案包含但不限于质量管控措施、现场人员考核措施、服务中可能出现的问题及应对办法，针对竞选人提供的方案进行评分：</w:t>
            </w:r>
          </w:p>
          <w:p w14:paraId="654C5B83">
            <w:pPr>
              <w:keepNext w:val="0"/>
              <w:keepLines w:val="0"/>
              <w:pageBreakBefore w:val="0"/>
              <w:widowControl w:val="0"/>
              <w:numPr>
                <w:ilvl w:val="0"/>
                <w:numId w:val="39"/>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方案描述过程详细、思路清晰、可执行性强，得3-5分；</w:t>
            </w:r>
          </w:p>
          <w:p w14:paraId="44E47A37">
            <w:pPr>
              <w:keepNext w:val="0"/>
              <w:keepLines w:val="0"/>
              <w:pageBreakBefore w:val="0"/>
              <w:widowControl w:val="0"/>
              <w:numPr>
                <w:ilvl w:val="0"/>
                <w:numId w:val="39"/>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方案描述过程较详细、思路较清晰、可执行性一般，得1-3分；</w:t>
            </w:r>
          </w:p>
          <w:p w14:paraId="766BAD7E">
            <w:pPr>
              <w:keepNext w:val="0"/>
              <w:keepLines w:val="0"/>
              <w:pageBreakBefore w:val="0"/>
              <w:widowControl w:val="0"/>
              <w:numPr>
                <w:ilvl w:val="0"/>
                <w:numId w:val="39"/>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方案描述过程不详细、思路不清晰、可执行性差，得0-1分；</w:t>
            </w:r>
          </w:p>
          <w:p w14:paraId="16C9689A">
            <w:pPr>
              <w:keepNext w:val="0"/>
              <w:keepLines w:val="0"/>
              <w:pageBreakBefore w:val="0"/>
              <w:widowControl w:val="0"/>
              <w:numPr>
                <w:ilvl w:val="0"/>
                <w:numId w:val="39"/>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未提供得0分。</w:t>
            </w:r>
          </w:p>
        </w:tc>
      </w:tr>
      <w:tr w14:paraId="554174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continue"/>
            <w:noWrap w:val="0"/>
            <w:vAlign w:val="center"/>
          </w:tcPr>
          <w:p w14:paraId="4C462D11">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color w:val="auto"/>
                <w:sz w:val="24"/>
                <w:szCs w:val="24"/>
              </w:rPr>
            </w:pPr>
          </w:p>
        </w:tc>
        <w:tc>
          <w:tcPr>
            <w:tcW w:w="2721" w:type="dxa"/>
            <w:noWrap w:val="0"/>
            <w:vAlign w:val="center"/>
          </w:tcPr>
          <w:p w14:paraId="25E407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服务质量承诺</w:t>
            </w:r>
          </w:p>
        </w:tc>
        <w:tc>
          <w:tcPr>
            <w:tcW w:w="783" w:type="dxa"/>
            <w:noWrap w:val="0"/>
            <w:vAlign w:val="center"/>
          </w:tcPr>
          <w:p w14:paraId="3F9F59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10分</w:t>
            </w:r>
          </w:p>
        </w:tc>
        <w:tc>
          <w:tcPr>
            <w:tcW w:w="4276" w:type="dxa"/>
            <w:noWrap w:val="0"/>
            <w:vAlign w:val="center"/>
          </w:tcPr>
          <w:p w14:paraId="2A9A614D">
            <w:pPr>
              <w:keepNext w:val="0"/>
              <w:keepLines w:val="0"/>
              <w:pageBreakBefore w:val="0"/>
              <w:widowControl w:val="0"/>
              <w:numPr>
                <w:ilvl w:val="0"/>
                <w:numId w:val="40"/>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竞选人保证指导质量，承诺采购单位材料梳理质量符合要求，可达到一次性通过认证的得10分；保证通过但不保证一次性通过认证的得5分，未提供不得分。</w:t>
            </w:r>
          </w:p>
          <w:p w14:paraId="7A50C43A">
            <w:pPr>
              <w:keepNext w:val="0"/>
              <w:keepLines w:val="0"/>
              <w:pageBreakBefore w:val="0"/>
              <w:widowControl w:val="0"/>
              <w:numPr>
                <w:ilvl w:val="0"/>
                <w:numId w:val="40"/>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该项承诺需在服务质量承诺函模板中填写，并加盖公章。</w:t>
            </w:r>
          </w:p>
        </w:tc>
      </w:tr>
      <w:tr w14:paraId="19C264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298" w:type="dxa"/>
            <w:noWrap w:val="0"/>
            <w:vAlign w:val="center"/>
          </w:tcPr>
          <w:p w14:paraId="445DF3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kern w:val="44"/>
                <w:sz w:val="24"/>
                <w:szCs w:val="24"/>
              </w:rPr>
            </w:pPr>
            <w:r>
              <w:rPr>
                <w:rFonts w:hint="eastAsia" w:ascii="仿宋_GB2312" w:hAnsi="仿宋_GB2312" w:eastAsia="仿宋_GB2312" w:cs="仿宋_GB2312"/>
                <w:b/>
                <w:color w:val="auto"/>
                <w:kern w:val="44"/>
                <w:sz w:val="24"/>
                <w:szCs w:val="24"/>
              </w:rPr>
              <w:t>报价</w:t>
            </w:r>
          </w:p>
          <w:p w14:paraId="68FE30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kern w:val="44"/>
                <w:sz w:val="24"/>
                <w:szCs w:val="24"/>
              </w:rPr>
              <w:t>（</w:t>
            </w:r>
            <w:r>
              <w:rPr>
                <w:rFonts w:hint="eastAsia" w:ascii="仿宋_GB2312" w:hAnsi="仿宋_GB2312" w:eastAsia="仿宋_GB2312" w:cs="仿宋_GB2312"/>
                <w:b/>
                <w:color w:val="auto"/>
                <w:kern w:val="44"/>
                <w:sz w:val="24"/>
                <w:szCs w:val="24"/>
                <w:lang w:val="en-US" w:eastAsia="zh-CN"/>
              </w:rPr>
              <w:t>30</w:t>
            </w:r>
            <w:r>
              <w:rPr>
                <w:rFonts w:hint="eastAsia" w:ascii="仿宋_GB2312" w:hAnsi="仿宋_GB2312" w:eastAsia="仿宋_GB2312" w:cs="仿宋_GB2312"/>
                <w:b/>
                <w:color w:val="auto"/>
                <w:kern w:val="44"/>
                <w:sz w:val="24"/>
                <w:szCs w:val="24"/>
              </w:rPr>
              <w:t>分）</w:t>
            </w:r>
          </w:p>
        </w:tc>
        <w:tc>
          <w:tcPr>
            <w:tcW w:w="2721" w:type="dxa"/>
            <w:noWrap w:val="0"/>
            <w:vAlign w:val="center"/>
          </w:tcPr>
          <w:p w14:paraId="0A1F73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rPr>
              <w:t>服务价格（含税）</w:t>
            </w:r>
          </w:p>
        </w:tc>
        <w:tc>
          <w:tcPr>
            <w:tcW w:w="783" w:type="dxa"/>
            <w:noWrap w:val="0"/>
            <w:vAlign w:val="center"/>
          </w:tcPr>
          <w:p w14:paraId="3F4DEE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30</w:t>
            </w:r>
            <w:r>
              <w:rPr>
                <w:rFonts w:hint="eastAsia" w:ascii="仿宋_GB2312" w:hAnsi="仿宋_GB2312" w:eastAsia="仿宋_GB2312" w:cs="仿宋_GB2312"/>
                <w:color w:val="auto"/>
                <w:kern w:val="44"/>
                <w:sz w:val="24"/>
                <w:szCs w:val="24"/>
              </w:rPr>
              <w:t>分</w:t>
            </w:r>
          </w:p>
        </w:tc>
        <w:tc>
          <w:tcPr>
            <w:tcW w:w="4276" w:type="dxa"/>
            <w:noWrap w:val="0"/>
            <w:vAlign w:val="center"/>
          </w:tcPr>
          <w:p w14:paraId="2F09358B">
            <w:pPr>
              <w:pStyle w:val="5"/>
              <w:keepNext w:val="0"/>
              <w:keepLines w:val="0"/>
              <w:pageBreakBefore w:val="0"/>
              <w:widowControl w:val="0"/>
              <w:numPr>
                <w:ilvl w:val="0"/>
                <w:numId w:val="41"/>
              </w:numPr>
              <w:suppressLineNumbers w:val="0"/>
              <w:kinsoku/>
              <w:wordWrap/>
              <w:overflowPunct/>
              <w:topLinePunct w:val="0"/>
              <w:autoSpaceDE/>
              <w:autoSpaceDN/>
              <w:bidi w:val="0"/>
              <w:adjustRightInd/>
              <w:snapToGrid/>
              <w:spacing w:before="0" w:beforeAutospacing="0" w:after="0" w:afterAutospacing="0" w:line="560" w:lineRule="exact"/>
              <w:ind w:left="0" w:leftChars="0" w:right="0"/>
              <w:textAlignment w:val="auto"/>
              <w:rPr>
                <w:rFonts w:hint="eastAsia" w:ascii="仿宋_GB2312" w:hAnsi="仿宋_GB2312" w:eastAsia="仿宋_GB2312" w:cs="仿宋_GB2312"/>
                <w:color w:val="auto"/>
                <w:kern w:val="44"/>
                <w:sz w:val="24"/>
                <w:szCs w:val="24"/>
                <w:highlight w:val="none"/>
                <w:lang w:val="en-US" w:eastAsia="zh-CN" w:bidi="ar-SA"/>
              </w:rPr>
            </w:pPr>
            <w:r>
              <w:rPr>
                <w:rFonts w:hint="eastAsia" w:ascii="仿宋_GB2312" w:hAnsi="仿宋_GB2312" w:eastAsia="仿宋_GB2312" w:cs="仿宋_GB2312"/>
                <w:color w:val="auto"/>
                <w:kern w:val="44"/>
                <w:sz w:val="24"/>
                <w:szCs w:val="24"/>
                <w:highlight w:val="none"/>
                <w:lang w:val="en-US" w:eastAsia="zh-CN" w:bidi="ar-SA"/>
              </w:rPr>
              <w:t>以各有效竞选人对应报价(Y</w:t>
            </w:r>
            <w:r>
              <w:rPr>
                <w:rFonts w:hint="eastAsia" w:ascii="仿宋_GB2312" w:hAnsi="仿宋_GB2312" w:eastAsia="仿宋_GB2312" w:cs="仿宋_GB2312"/>
                <w:color w:val="auto"/>
                <w:kern w:val="44"/>
                <w:sz w:val="24"/>
                <w:szCs w:val="24"/>
                <w:highlight w:val="none"/>
                <w:vertAlign w:val="subscript"/>
                <w:lang w:val="en-US" w:eastAsia="zh-CN" w:bidi="ar-SA"/>
              </w:rPr>
              <w:t>1</w:t>
            </w:r>
            <w:r>
              <w:rPr>
                <w:rFonts w:hint="eastAsia" w:ascii="仿宋_GB2312" w:hAnsi="仿宋_GB2312" w:eastAsia="仿宋_GB2312" w:cs="仿宋_GB2312"/>
                <w:color w:val="auto"/>
                <w:kern w:val="44"/>
                <w:sz w:val="24"/>
                <w:szCs w:val="24"/>
                <w:highlight w:val="none"/>
                <w:lang w:val="en-US" w:eastAsia="zh-CN" w:bidi="ar-SA"/>
              </w:rPr>
              <w:t>,Y</w:t>
            </w:r>
            <w:r>
              <w:rPr>
                <w:rFonts w:hint="eastAsia" w:ascii="仿宋_GB2312" w:hAnsi="仿宋_GB2312" w:eastAsia="仿宋_GB2312" w:cs="仿宋_GB2312"/>
                <w:color w:val="auto"/>
                <w:kern w:val="44"/>
                <w:sz w:val="24"/>
                <w:szCs w:val="24"/>
                <w:highlight w:val="none"/>
                <w:vertAlign w:val="subscript"/>
                <w:lang w:val="en-US" w:eastAsia="zh-CN" w:bidi="ar-SA"/>
              </w:rPr>
              <w:t>2</w:t>
            </w:r>
            <w:r>
              <w:rPr>
                <w:rFonts w:hint="eastAsia" w:ascii="仿宋_GB2312" w:hAnsi="仿宋_GB2312" w:eastAsia="仿宋_GB2312" w:cs="仿宋_GB2312"/>
                <w:color w:val="auto"/>
                <w:kern w:val="44"/>
                <w:sz w:val="24"/>
                <w:szCs w:val="24"/>
                <w:highlight w:val="none"/>
                <w:lang w:val="en-US" w:eastAsia="zh-CN" w:bidi="ar-SA"/>
              </w:rPr>
              <w:t>...)的平均值（X)作为基准价格，基准价分值20分；</w:t>
            </w:r>
          </w:p>
          <w:p w14:paraId="652D2328">
            <w:pPr>
              <w:pStyle w:val="5"/>
              <w:keepNext w:val="0"/>
              <w:keepLines w:val="0"/>
              <w:pageBreakBefore w:val="0"/>
              <w:widowControl w:val="0"/>
              <w:numPr>
                <w:ilvl w:val="0"/>
                <w:numId w:val="41"/>
              </w:numPr>
              <w:suppressLineNumbers w:val="0"/>
              <w:kinsoku/>
              <w:wordWrap/>
              <w:overflowPunct/>
              <w:topLinePunct w:val="0"/>
              <w:autoSpaceDE/>
              <w:autoSpaceDN/>
              <w:bidi w:val="0"/>
              <w:adjustRightInd/>
              <w:snapToGrid/>
              <w:spacing w:before="0" w:beforeAutospacing="0" w:after="0" w:afterAutospacing="0" w:line="560" w:lineRule="exact"/>
              <w:ind w:left="0" w:leftChars="0" w:right="0"/>
              <w:textAlignment w:val="auto"/>
              <w:rPr>
                <w:rFonts w:hint="eastAsia" w:ascii="仿宋_GB2312" w:hAnsi="仿宋_GB2312" w:eastAsia="仿宋_GB2312" w:cs="仿宋_GB2312"/>
                <w:color w:val="auto"/>
                <w:kern w:val="44"/>
                <w:sz w:val="24"/>
                <w:szCs w:val="24"/>
                <w:highlight w:val="none"/>
                <w:lang w:val="en-US" w:eastAsia="zh-CN"/>
              </w:rPr>
            </w:pPr>
            <w:r>
              <w:rPr>
                <w:rFonts w:hint="eastAsia" w:ascii="仿宋_GB2312" w:hAnsi="仿宋_GB2312" w:eastAsia="仿宋_GB2312" w:cs="仿宋_GB2312"/>
                <w:color w:val="auto"/>
                <w:kern w:val="44"/>
                <w:sz w:val="24"/>
                <w:szCs w:val="24"/>
                <w:highlight w:val="none"/>
                <w:lang w:val="en-US" w:eastAsia="zh-CN" w:bidi="ar-SA"/>
              </w:rPr>
              <w:t>若竞选人报价超过基准价格5%，则在基准分值基础上按照比例扣分，直至0分；竞选人报价低于基准价格5%，则在基准分值基础上按照比例加分，直至满分；</w:t>
            </w:r>
          </w:p>
          <w:p w14:paraId="61835CEF">
            <w:pPr>
              <w:pStyle w:val="5"/>
              <w:keepNext w:val="0"/>
              <w:keepLines w:val="0"/>
              <w:pageBreakBefore w:val="0"/>
              <w:widowControl w:val="0"/>
              <w:numPr>
                <w:ilvl w:val="0"/>
                <w:numId w:val="41"/>
              </w:numPr>
              <w:suppressLineNumbers w:val="0"/>
              <w:kinsoku/>
              <w:wordWrap/>
              <w:overflowPunct/>
              <w:topLinePunct w:val="0"/>
              <w:autoSpaceDE/>
              <w:autoSpaceDN/>
              <w:bidi w:val="0"/>
              <w:adjustRightInd/>
              <w:snapToGrid/>
              <w:spacing w:before="0" w:beforeAutospacing="0" w:after="0" w:afterAutospacing="0" w:line="560" w:lineRule="exact"/>
              <w:ind w:left="0" w:leftChars="0" w:right="0"/>
              <w:textAlignment w:val="auto"/>
              <w:rPr>
                <w:rFonts w:hint="eastAsia" w:ascii="仿宋_GB2312" w:hAnsi="仿宋_GB2312" w:eastAsia="仿宋_GB2312" w:cs="仿宋_GB2312"/>
                <w:color w:val="auto"/>
                <w:kern w:val="44"/>
                <w:sz w:val="24"/>
                <w:szCs w:val="24"/>
                <w:highlight w:val="none"/>
                <w:lang w:val="en-US" w:eastAsia="zh-CN"/>
              </w:rPr>
            </w:pPr>
            <w:r>
              <w:rPr>
                <w:rFonts w:hint="eastAsia" w:ascii="仿宋_GB2312" w:hAnsi="仿宋_GB2312" w:eastAsia="仿宋_GB2312" w:cs="仿宋_GB2312"/>
                <w:color w:val="auto"/>
                <w:kern w:val="44"/>
                <w:sz w:val="24"/>
                <w:szCs w:val="24"/>
                <w:highlight w:val="none"/>
                <w:lang w:val="en-US" w:eastAsia="zh-CN" w:bidi="ar-SA"/>
              </w:rPr>
              <w:t>具体得分计算公式如下：=20+(1-Y</w:t>
            </w:r>
            <w:r>
              <w:rPr>
                <w:rFonts w:hint="eastAsia" w:ascii="仿宋_GB2312" w:hAnsi="仿宋_GB2312" w:eastAsia="仿宋_GB2312" w:cs="仿宋_GB2312"/>
                <w:color w:val="auto"/>
                <w:kern w:val="44"/>
                <w:sz w:val="24"/>
                <w:szCs w:val="24"/>
                <w:highlight w:val="none"/>
                <w:vertAlign w:val="subscript"/>
                <w:lang w:val="en-US" w:eastAsia="zh-CN" w:bidi="ar-SA"/>
              </w:rPr>
              <w:t>1</w:t>
            </w:r>
            <w:r>
              <w:rPr>
                <w:rFonts w:hint="eastAsia" w:ascii="仿宋_GB2312" w:hAnsi="仿宋_GB2312" w:eastAsia="仿宋_GB2312" w:cs="仿宋_GB2312"/>
                <w:color w:val="auto"/>
                <w:kern w:val="44"/>
                <w:sz w:val="24"/>
                <w:szCs w:val="24"/>
                <w:highlight w:val="none"/>
                <w:vertAlign w:val="baseline"/>
                <w:lang w:val="en-US" w:eastAsia="zh-CN" w:bidi="ar-SA"/>
              </w:rPr>
              <w:t>/X)/5%，结果取两位小数。</w:t>
            </w:r>
          </w:p>
        </w:tc>
      </w:tr>
    </w:tbl>
    <w:p w14:paraId="330F32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（四）CMMM</w:t>
      </w:r>
    </w:p>
    <w:tbl>
      <w:tblPr>
        <w:tblStyle w:val="27"/>
        <w:tblW w:w="9078" w:type="dxa"/>
        <w:tblInd w:w="103"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98"/>
        <w:gridCol w:w="2721"/>
        <w:gridCol w:w="701"/>
        <w:gridCol w:w="4358"/>
      </w:tblGrid>
      <w:tr w14:paraId="2D8C3E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298" w:type="dxa"/>
            <w:tcBorders>
              <w:top w:val="single" w:color="auto" w:sz="8" w:space="0"/>
            </w:tcBorders>
            <w:shd w:val="clear" w:color="auto" w:fill="F1F1F1"/>
            <w:noWrap w:val="0"/>
            <w:vAlign w:val="center"/>
          </w:tcPr>
          <w:p w14:paraId="5C939C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类 别</w:t>
            </w:r>
          </w:p>
        </w:tc>
        <w:tc>
          <w:tcPr>
            <w:tcW w:w="2721" w:type="dxa"/>
            <w:tcBorders>
              <w:top w:val="single" w:color="auto" w:sz="8" w:space="0"/>
            </w:tcBorders>
            <w:shd w:val="clear" w:color="auto" w:fill="F1F1F1"/>
            <w:noWrap w:val="0"/>
            <w:vAlign w:val="center"/>
          </w:tcPr>
          <w:p w14:paraId="00DB75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事 项</w:t>
            </w:r>
          </w:p>
        </w:tc>
        <w:tc>
          <w:tcPr>
            <w:tcW w:w="701" w:type="dxa"/>
            <w:tcBorders>
              <w:top w:val="single" w:color="auto" w:sz="8" w:space="0"/>
            </w:tcBorders>
            <w:shd w:val="clear" w:color="auto" w:fill="F1F1F1"/>
            <w:noWrap w:val="0"/>
            <w:vAlign w:val="center"/>
          </w:tcPr>
          <w:p w14:paraId="28D324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分值</w:t>
            </w:r>
          </w:p>
        </w:tc>
        <w:tc>
          <w:tcPr>
            <w:tcW w:w="4358" w:type="dxa"/>
            <w:tcBorders>
              <w:top w:val="single" w:color="auto" w:sz="8" w:space="0"/>
            </w:tcBorders>
            <w:shd w:val="clear" w:color="auto" w:fill="F1F1F1"/>
            <w:noWrap w:val="0"/>
            <w:vAlign w:val="center"/>
          </w:tcPr>
          <w:p w14:paraId="7C5F9D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评分原则</w:t>
            </w:r>
          </w:p>
        </w:tc>
      </w:tr>
      <w:tr w14:paraId="40E22C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restart"/>
            <w:noWrap w:val="0"/>
            <w:vAlign w:val="center"/>
          </w:tcPr>
          <w:p w14:paraId="51E05C2B">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企业情况</w:t>
            </w:r>
          </w:p>
          <w:p w14:paraId="5A325A73">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（17分）</w:t>
            </w:r>
          </w:p>
        </w:tc>
        <w:tc>
          <w:tcPr>
            <w:tcW w:w="2721" w:type="dxa"/>
            <w:noWrap w:val="0"/>
            <w:vAlign w:val="center"/>
          </w:tcPr>
          <w:p w14:paraId="785B09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资质等级</w:t>
            </w:r>
          </w:p>
        </w:tc>
        <w:tc>
          <w:tcPr>
            <w:tcW w:w="701" w:type="dxa"/>
            <w:noWrap w:val="0"/>
            <w:vAlign w:val="center"/>
          </w:tcPr>
          <w:p w14:paraId="0762F4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5分</w:t>
            </w:r>
          </w:p>
        </w:tc>
        <w:tc>
          <w:tcPr>
            <w:tcW w:w="4358" w:type="dxa"/>
            <w:noWrap w:val="0"/>
            <w:vAlign w:val="center"/>
          </w:tcPr>
          <w:p w14:paraId="24CED6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智能制造评估评价公共服务平台授权竞选人3级及以上社会服务组织得5分，其余得分。需要提供相应证书。</w:t>
            </w:r>
          </w:p>
        </w:tc>
      </w:tr>
      <w:tr w14:paraId="5D5B2E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continue"/>
            <w:noWrap w:val="0"/>
            <w:vAlign w:val="center"/>
          </w:tcPr>
          <w:p w14:paraId="7AE141FA">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b/>
                <w:bCs/>
                <w:color w:val="auto"/>
                <w:sz w:val="24"/>
                <w:szCs w:val="24"/>
                <w:lang w:val="en-US" w:eastAsia="zh-CN"/>
              </w:rPr>
            </w:pPr>
          </w:p>
        </w:tc>
        <w:tc>
          <w:tcPr>
            <w:tcW w:w="2721" w:type="dxa"/>
            <w:shd w:val="clear" w:color="auto" w:fill="auto"/>
            <w:noWrap w:val="0"/>
            <w:vAlign w:val="center"/>
          </w:tcPr>
          <w:p w14:paraId="320BE1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自</w:t>
            </w:r>
            <w:r>
              <w:rPr>
                <w:rFonts w:hint="eastAsia" w:ascii="仿宋_GB2312" w:hAnsi="仿宋_GB2312" w:eastAsia="仿宋_GB2312" w:cs="仿宋_GB2312"/>
                <w:color w:val="auto"/>
                <w:kern w:val="44"/>
                <w:sz w:val="24"/>
                <w:szCs w:val="24"/>
              </w:rPr>
              <w:t>202</w:t>
            </w:r>
            <w:r>
              <w:rPr>
                <w:rFonts w:hint="eastAsia" w:ascii="仿宋_GB2312" w:hAnsi="仿宋_GB2312" w:eastAsia="仿宋_GB2312" w:cs="仿宋_GB2312"/>
                <w:color w:val="auto"/>
                <w:kern w:val="44"/>
                <w:sz w:val="24"/>
                <w:szCs w:val="24"/>
                <w:lang w:val="en-US" w:eastAsia="zh-CN"/>
              </w:rPr>
              <w:t>1</w:t>
            </w:r>
            <w:r>
              <w:rPr>
                <w:rFonts w:hint="eastAsia" w:ascii="仿宋_GB2312" w:hAnsi="仿宋_GB2312" w:eastAsia="仿宋_GB2312" w:cs="仿宋_GB2312"/>
                <w:color w:val="auto"/>
                <w:kern w:val="44"/>
                <w:sz w:val="24"/>
                <w:szCs w:val="24"/>
              </w:rPr>
              <w:t>年以来</w:t>
            </w:r>
          </w:p>
          <w:p w14:paraId="21BF60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center"/>
              <w:textAlignment w:val="auto"/>
              <w:rPr>
                <w:rFonts w:hint="eastAsia" w:ascii="仿宋_GB2312" w:hAnsi="仿宋_GB2312" w:eastAsia="仿宋_GB2312" w:cs="仿宋_GB2312"/>
                <w:color w:val="auto"/>
                <w:kern w:val="44"/>
                <w:sz w:val="24"/>
                <w:szCs w:val="24"/>
                <w:lang w:val="en-US" w:eastAsia="zh-CN" w:bidi="ar-SA"/>
              </w:rPr>
            </w:pPr>
            <w:r>
              <w:rPr>
                <w:rFonts w:hint="eastAsia" w:ascii="仿宋_GB2312" w:hAnsi="仿宋_GB2312" w:eastAsia="仿宋_GB2312" w:cs="仿宋_GB2312"/>
                <w:color w:val="auto"/>
                <w:kern w:val="44"/>
                <w:sz w:val="24"/>
                <w:szCs w:val="24"/>
                <w:lang w:val="en-US" w:eastAsia="zh-CN"/>
              </w:rPr>
              <w:t>同类项目</w:t>
            </w:r>
            <w:r>
              <w:rPr>
                <w:rFonts w:hint="eastAsia" w:ascii="仿宋_GB2312" w:hAnsi="仿宋_GB2312" w:eastAsia="仿宋_GB2312" w:cs="仿宋_GB2312"/>
                <w:color w:val="auto"/>
                <w:kern w:val="44"/>
                <w:sz w:val="24"/>
                <w:szCs w:val="24"/>
              </w:rPr>
              <w:t>业绩</w:t>
            </w:r>
          </w:p>
        </w:tc>
        <w:tc>
          <w:tcPr>
            <w:tcW w:w="701" w:type="dxa"/>
            <w:shd w:val="clear" w:color="auto" w:fill="auto"/>
            <w:noWrap w:val="0"/>
            <w:vAlign w:val="center"/>
          </w:tcPr>
          <w:p w14:paraId="7B5463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center"/>
              <w:textAlignment w:val="auto"/>
              <w:rPr>
                <w:rFonts w:hint="eastAsia" w:ascii="仿宋_GB2312" w:hAnsi="仿宋_GB2312" w:eastAsia="仿宋_GB2312" w:cs="仿宋_GB2312"/>
                <w:color w:val="auto"/>
                <w:kern w:val="44"/>
                <w:sz w:val="24"/>
                <w:szCs w:val="24"/>
                <w:lang w:val="en-US" w:eastAsia="zh-CN" w:bidi="ar-SA"/>
              </w:rPr>
            </w:pPr>
            <w:r>
              <w:rPr>
                <w:rFonts w:hint="eastAsia" w:ascii="仿宋_GB2312" w:hAnsi="仿宋_GB2312" w:eastAsia="仿宋_GB2312" w:cs="仿宋_GB2312"/>
                <w:color w:val="auto"/>
                <w:kern w:val="44"/>
                <w:sz w:val="24"/>
                <w:szCs w:val="24"/>
                <w:lang w:val="en-US" w:eastAsia="zh-CN"/>
              </w:rPr>
              <w:t>12分</w:t>
            </w:r>
          </w:p>
        </w:tc>
        <w:tc>
          <w:tcPr>
            <w:tcW w:w="4358" w:type="dxa"/>
            <w:shd w:val="clear" w:color="auto" w:fill="auto"/>
            <w:noWrap w:val="0"/>
            <w:vAlign w:val="center"/>
          </w:tcPr>
          <w:p w14:paraId="30DBD5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提供自2021年1月1日后签订或仍在服务的CMMM服务类合同和对应的客户证书，每提供1个3级及以上案例得3分，1个2级案例得1分，满分12分；</w:t>
            </w:r>
          </w:p>
          <w:p w14:paraId="310032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0" w:firstLineChars="0"/>
              <w:jc w:val="left"/>
              <w:textAlignment w:val="auto"/>
              <w:rPr>
                <w:rFonts w:hint="eastAsia" w:ascii="仿宋_GB2312" w:hAnsi="仿宋_GB2312" w:eastAsia="仿宋_GB2312" w:cs="仿宋_GB2312"/>
                <w:color w:val="auto"/>
                <w:kern w:val="44"/>
                <w:sz w:val="24"/>
                <w:szCs w:val="24"/>
                <w:lang w:val="en-US" w:eastAsia="zh-CN" w:bidi="ar-SA"/>
              </w:rPr>
            </w:pPr>
            <w:r>
              <w:rPr>
                <w:rFonts w:hint="eastAsia" w:ascii="仿宋_GB2312" w:hAnsi="仿宋_GB2312" w:eastAsia="仿宋_GB2312" w:cs="仿宋_GB2312"/>
                <w:color w:val="auto"/>
                <w:kern w:val="44"/>
                <w:sz w:val="24"/>
                <w:szCs w:val="24"/>
                <w:lang w:val="en-US" w:eastAsia="zh-CN"/>
              </w:rPr>
              <w:t>需要提供合同关键页（能清晰看出合同主体、签订时间或服务时间、合同标的物、双章等信息)，满足上述要求的合同有效，否则无效。</w:t>
            </w:r>
          </w:p>
        </w:tc>
      </w:tr>
      <w:tr w14:paraId="0FF11A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restart"/>
            <w:noWrap w:val="0"/>
            <w:vAlign w:val="center"/>
          </w:tcPr>
          <w:p w14:paraId="1B5378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kern w:val="44"/>
                <w:sz w:val="24"/>
                <w:szCs w:val="24"/>
              </w:rPr>
            </w:pPr>
            <w:r>
              <w:rPr>
                <w:rFonts w:hint="eastAsia" w:ascii="仿宋_GB2312" w:hAnsi="仿宋_GB2312" w:eastAsia="仿宋_GB2312" w:cs="仿宋_GB2312"/>
                <w:b/>
                <w:color w:val="auto"/>
                <w:kern w:val="44"/>
                <w:sz w:val="24"/>
                <w:szCs w:val="24"/>
                <w:lang w:val="en-US" w:eastAsia="zh-CN"/>
              </w:rPr>
              <w:t>团队</w:t>
            </w:r>
            <w:r>
              <w:rPr>
                <w:rFonts w:hint="eastAsia" w:ascii="仿宋_GB2312" w:hAnsi="仿宋_GB2312" w:eastAsia="仿宋_GB2312" w:cs="仿宋_GB2312"/>
                <w:b/>
                <w:color w:val="auto"/>
                <w:kern w:val="44"/>
                <w:sz w:val="24"/>
                <w:szCs w:val="24"/>
              </w:rPr>
              <w:t>情况</w:t>
            </w:r>
          </w:p>
          <w:p w14:paraId="4377CC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kern w:val="44"/>
                <w:sz w:val="24"/>
                <w:szCs w:val="24"/>
              </w:rPr>
              <w:t>（</w:t>
            </w:r>
            <w:r>
              <w:rPr>
                <w:rFonts w:hint="eastAsia" w:ascii="仿宋_GB2312" w:hAnsi="仿宋_GB2312" w:eastAsia="仿宋_GB2312" w:cs="仿宋_GB2312"/>
                <w:b/>
                <w:color w:val="auto"/>
                <w:kern w:val="44"/>
                <w:sz w:val="24"/>
                <w:szCs w:val="24"/>
                <w:lang w:val="en-US" w:eastAsia="zh-CN"/>
              </w:rPr>
              <w:t>15</w:t>
            </w:r>
            <w:r>
              <w:rPr>
                <w:rFonts w:hint="eastAsia" w:ascii="仿宋_GB2312" w:hAnsi="仿宋_GB2312" w:eastAsia="仿宋_GB2312" w:cs="仿宋_GB2312"/>
                <w:b/>
                <w:color w:val="auto"/>
                <w:kern w:val="44"/>
                <w:sz w:val="24"/>
                <w:szCs w:val="24"/>
              </w:rPr>
              <w:t>分）</w:t>
            </w:r>
          </w:p>
        </w:tc>
        <w:tc>
          <w:tcPr>
            <w:tcW w:w="2721" w:type="dxa"/>
            <w:noWrap w:val="0"/>
            <w:vAlign w:val="center"/>
          </w:tcPr>
          <w:p w14:paraId="5DCE4F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spacing w:val="-6"/>
                <w:kern w:val="44"/>
                <w:sz w:val="24"/>
                <w:szCs w:val="24"/>
                <w:lang w:val="en-US" w:eastAsia="zh-CN"/>
              </w:rPr>
            </w:pPr>
            <w:r>
              <w:rPr>
                <w:rFonts w:hint="eastAsia" w:ascii="仿宋_GB2312" w:hAnsi="仿宋_GB2312" w:eastAsia="仿宋_GB2312" w:cs="仿宋_GB2312"/>
                <w:color w:val="auto"/>
                <w:spacing w:val="-6"/>
                <w:kern w:val="44"/>
                <w:sz w:val="24"/>
                <w:szCs w:val="24"/>
                <w:lang w:val="en-US" w:eastAsia="zh-CN"/>
              </w:rPr>
              <w:t>项目负责人资质</w:t>
            </w:r>
          </w:p>
        </w:tc>
        <w:tc>
          <w:tcPr>
            <w:tcW w:w="701" w:type="dxa"/>
            <w:noWrap w:val="0"/>
            <w:vAlign w:val="center"/>
          </w:tcPr>
          <w:p w14:paraId="098FCB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kern w:val="44"/>
                <w:sz w:val="24"/>
                <w:szCs w:val="24"/>
                <w:lang w:val="en-US" w:eastAsia="zh-CN"/>
              </w:rPr>
              <w:t>8分</w:t>
            </w:r>
          </w:p>
        </w:tc>
        <w:tc>
          <w:tcPr>
            <w:tcW w:w="4358" w:type="dxa"/>
            <w:noWrap w:val="0"/>
            <w:vAlign w:val="center"/>
          </w:tcPr>
          <w:p w14:paraId="124746A6">
            <w:pPr>
              <w:keepNext w:val="0"/>
              <w:keepLines w:val="0"/>
              <w:pageBreakBefore w:val="0"/>
              <w:numPr>
                <w:ilvl w:val="0"/>
                <w:numId w:val="42"/>
              </w:numPr>
              <w:suppressLineNumbers w:val="0"/>
              <w:wordWrap/>
              <w:topLinePunct w:val="0"/>
              <w:bidi w:val="0"/>
              <w:adjustRightInd w:val="0"/>
              <w:snapToGrid w:val="0"/>
              <w:spacing w:before="0" w:beforeAutospacing="0" w:after="0" w:afterAutospacing="0" w:line="560" w:lineRule="exact"/>
              <w:ind w:left="0" w:leftChars="0" w:right="0" w:rightChars="0"/>
              <w:jc w:val="left"/>
              <w:rPr>
                <w:rFonts w:hint="default" w:ascii="仿宋_GB2312" w:hAnsi="仿宋_GB2312" w:eastAsia="仿宋_GB2312" w:cs="仿宋_GB2312"/>
                <w:color w:val="auto"/>
                <w:kern w:val="44"/>
                <w:sz w:val="24"/>
                <w:szCs w:val="24"/>
                <w:lang w:val="en-US" w:eastAsia="zh-CN" w:bidi="ar"/>
              </w:rPr>
            </w:pPr>
            <w:r>
              <w:rPr>
                <w:rFonts w:hint="eastAsia" w:ascii="仿宋_GB2312" w:hAnsi="仿宋_GB2312" w:eastAsia="仿宋_GB2312" w:cs="仿宋_GB2312"/>
                <w:color w:val="auto"/>
                <w:kern w:val="44"/>
                <w:sz w:val="24"/>
                <w:szCs w:val="24"/>
                <w:lang w:val="en-US" w:eastAsia="zh-CN" w:bidi="ar"/>
              </w:rPr>
              <w:t>项目负责人是智能制造评估评价公共服务平台认定的主任评估师得3分，其余不得分；</w:t>
            </w:r>
          </w:p>
          <w:p w14:paraId="3FF48757">
            <w:pPr>
              <w:keepNext w:val="0"/>
              <w:keepLines w:val="0"/>
              <w:pageBreakBefore w:val="0"/>
              <w:numPr>
                <w:ilvl w:val="0"/>
                <w:numId w:val="42"/>
              </w:numPr>
              <w:suppressLineNumbers w:val="0"/>
              <w:wordWrap/>
              <w:topLinePunct w:val="0"/>
              <w:bidi w:val="0"/>
              <w:adjustRightInd w:val="0"/>
              <w:snapToGrid w:val="0"/>
              <w:spacing w:before="0" w:beforeAutospacing="0" w:after="0" w:afterAutospacing="0" w:line="560" w:lineRule="exact"/>
              <w:ind w:left="0" w:leftChars="0" w:right="0" w:rightChars="0"/>
              <w:jc w:val="left"/>
              <w:rPr>
                <w:rFonts w:hint="default"/>
                <w:lang w:val="en-US" w:eastAsia="zh-CN"/>
              </w:rPr>
            </w:pPr>
            <w:r>
              <w:rPr>
                <w:rFonts w:hint="default" w:ascii="仿宋_GB2312" w:hAnsi="仿宋_GB2312" w:eastAsia="仿宋_GB2312" w:cs="仿宋_GB2312"/>
                <w:color w:val="auto"/>
                <w:kern w:val="44"/>
                <w:sz w:val="24"/>
                <w:szCs w:val="24"/>
                <w:lang w:val="en-US" w:eastAsia="zh-CN" w:bidi="ar"/>
              </w:rPr>
              <w:t>项目负责人近三年具有</w:t>
            </w:r>
            <w:r>
              <w:rPr>
                <w:rFonts w:hint="eastAsia" w:ascii="仿宋_GB2312" w:hAnsi="仿宋_GB2312" w:eastAsia="仿宋_GB2312" w:cs="仿宋_GB2312"/>
                <w:color w:val="auto"/>
                <w:kern w:val="44"/>
                <w:sz w:val="24"/>
                <w:szCs w:val="24"/>
                <w:lang w:val="en-US" w:eastAsia="zh-CN" w:bidi="ar"/>
              </w:rPr>
              <w:t>3个及以上</w:t>
            </w:r>
            <w:r>
              <w:rPr>
                <w:rFonts w:hint="default" w:ascii="仿宋_GB2312" w:hAnsi="仿宋_GB2312" w:eastAsia="仿宋_GB2312" w:cs="仿宋_GB2312"/>
                <w:color w:val="auto"/>
                <w:kern w:val="44"/>
                <w:sz w:val="24"/>
                <w:szCs w:val="24"/>
                <w:lang w:val="en-US" w:eastAsia="zh-CN" w:bidi="ar"/>
              </w:rPr>
              <w:t>3级</w:t>
            </w:r>
            <w:r>
              <w:rPr>
                <w:rFonts w:hint="eastAsia" w:ascii="仿宋_GB2312" w:hAnsi="仿宋_GB2312" w:eastAsia="仿宋_GB2312" w:cs="仿宋_GB2312"/>
                <w:color w:val="auto"/>
                <w:kern w:val="44"/>
                <w:sz w:val="24"/>
                <w:szCs w:val="24"/>
                <w:lang w:val="en-US" w:eastAsia="zh-CN" w:bidi="ar"/>
              </w:rPr>
              <w:t>及以上</w:t>
            </w:r>
            <w:r>
              <w:rPr>
                <w:rFonts w:hint="default" w:ascii="仿宋_GB2312" w:hAnsi="仿宋_GB2312" w:eastAsia="仿宋_GB2312" w:cs="仿宋_GB2312"/>
                <w:color w:val="auto"/>
                <w:kern w:val="44"/>
                <w:sz w:val="24"/>
                <w:szCs w:val="24"/>
                <w:lang w:val="en-US" w:eastAsia="zh-CN" w:bidi="ar"/>
              </w:rPr>
              <w:t>咨询案例</w:t>
            </w:r>
            <w:r>
              <w:rPr>
                <w:rFonts w:hint="eastAsia" w:ascii="仿宋_GB2312" w:hAnsi="仿宋_GB2312" w:eastAsia="仿宋_GB2312" w:cs="仿宋_GB2312"/>
                <w:color w:val="auto"/>
                <w:kern w:val="44"/>
                <w:sz w:val="24"/>
                <w:szCs w:val="24"/>
                <w:lang w:val="en-US" w:eastAsia="zh-CN" w:bidi="ar"/>
              </w:rPr>
              <w:t>得5分，2个3级及以上咨询案例得3分，1个3级及以上咨询案例得1分，其余不得分；</w:t>
            </w:r>
          </w:p>
          <w:p w14:paraId="2177DBF1">
            <w:pPr>
              <w:keepNext w:val="0"/>
              <w:keepLines w:val="0"/>
              <w:pageBreakBefore w:val="0"/>
              <w:numPr>
                <w:ilvl w:val="0"/>
                <w:numId w:val="42"/>
              </w:numPr>
              <w:suppressLineNumbers w:val="0"/>
              <w:wordWrap/>
              <w:topLinePunct w:val="0"/>
              <w:bidi w:val="0"/>
              <w:adjustRightInd w:val="0"/>
              <w:snapToGrid w:val="0"/>
              <w:spacing w:before="0" w:beforeAutospacing="0" w:after="0" w:afterAutospacing="0" w:line="560" w:lineRule="exact"/>
              <w:ind w:left="0" w:leftChars="0" w:right="0" w:rightChars="0"/>
              <w:jc w:val="left"/>
              <w:rPr>
                <w:rFonts w:hint="default"/>
                <w:lang w:val="en-US" w:eastAsia="zh-CN"/>
              </w:rPr>
            </w:pPr>
            <w:r>
              <w:rPr>
                <w:rFonts w:hint="eastAsia" w:ascii="仿宋_GB2312" w:hAnsi="仿宋_GB2312" w:eastAsia="仿宋_GB2312" w:cs="仿宋_GB2312"/>
                <w:color w:val="auto"/>
                <w:kern w:val="44"/>
                <w:sz w:val="24"/>
                <w:szCs w:val="24"/>
                <w:lang w:val="en-US" w:eastAsia="zh-CN" w:bidi="ar"/>
              </w:rPr>
              <w:t>需提供相关证明材料，包括但不限于合同和对应的客户证书等，能清晰看出负责人、签订时间或服务时间、标的物、双章等信息，满足上述要求的证明材料有效，否则无效。</w:t>
            </w:r>
          </w:p>
        </w:tc>
      </w:tr>
      <w:tr w14:paraId="4BA9BE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continue"/>
            <w:noWrap w:val="0"/>
            <w:vAlign w:val="center"/>
          </w:tcPr>
          <w:p w14:paraId="583AA9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kern w:val="44"/>
                <w:sz w:val="24"/>
                <w:szCs w:val="24"/>
              </w:rPr>
            </w:pPr>
          </w:p>
        </w:tc>
        <w:tc>
          <w:tcPr>
            <w:tcW w:w="2721" w:type="dxa"/>
            <w:noWrap w:val="0"/>
            <w:vAlign w:val="center"/>
          </w:tcPr>
          <w:p w14:paraId="781D45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spacing w:val="-6"/>
                <w:kern w:val="44"/>
                <w:sz w:val="24"/>
                <w:szCs w:val="24"/>
                <w:lang w:val="en-US" w:eastAsia="zh-CN"/>
              </w:rPr>
            </w:pPr>
            <w:r>
              <w:rPr>
                <w:rFonts w:hint="eastAsia" w:ascii="仿宋_GB2312" w:hAnsi="仿宋_GB2312" w:eastAsia="仿宋_GB2312" w:cs="仿宋_GB2312"/>
                <w:color w:val="auto"/>
                <w:spacing w:val="-6"/>
                <w:kern w:val="44"/>
                <w:sz w:val="24"/>
                <w:szCs w:val="24"/>
                <w:lang w:val="en-US" w:eastAsia="zh-CN"/>
              </w:rPr>
              <w:t>团队配置</w:t>
            </w:r>
          </w:p>
        </w:tc>
        <w:tc>
          <w:tcPr>
            <w:tcW w:w="701" w:type="dxa"/>
            <w:noWrap w:val="0"/>
            <w:vAlign w:val="center"/>
          </w:tcPr>
          <w:p w14:paraId="607B3B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7分</w:t>
            </w:r>
          </w:p>
        </w:tc>
        <w:tc>
          <w:tcPr>
            <w:tcW w:w="4358" w:type="dxa"/>
            <w:noWrap w:val="0"/>
            <w:vAlign w:val="center"/>
          </w:tcPr>
          <w:p w14:paraId="58FE9EDB">
            <w:pPr>
              <w:keepNext w:val="0"/>
              <w:keepLines w:val="0"/>
              <w:pageBreakBefore w:val="0"/>
              <w:numPr>
                <w:ilvl w:val="0"/>
                <w:numId w:val="43"/>
              </w:numPr>
              <w:suppressLineNumbers w:val="0"/>
              <w:wordWrap/>
              <w:topLinePunct w:val="0"/>
              <w:bidi w:val="0"/>
              <w:adjustRightInd w:val="0"/>
              <w:snapToGrid w:val="0"/>
              <w:spacing w:before="0" w:beforeAutospacing="0" w:after="0" w:afterAutospacing="0" w:line="560" w:lineRule="exact"/>
              <w:ind w:left="0" w:right="0" w:rightChars="0"/>
              <w:jc w:val="left"/>
              <w:rPr>
                <w:rFonts w:hint="eastAsia" w:ascii="仿宋_GB2312" w:hAnsi="仿宋_GB2312" w:eastAsia="仿宋_GB2312" w:cs="仿宋_GB2312"/>
                <w:color w:val="auto"/>
                <w:kern w:val="44"/>
                <w:sz w:val="24"/>
                <w:szCs w:val="24"/>
                <w:lang w:val="en-US" w:eastAsia="zh-CN" w:bidi="ar"/>
              </w:rPr>
            </w:pPr>
            <w:r>
              <w:rPr>
                <w:rFonts w:hint="eastAsia" w:ascii="仿宋_GB2312" w:hAnsi="仿宋_GB2312" w:eastAsia="仿宋_GB2312" w:cs="仿宋_GB2312"/>
                <w:color w:val="auto"/>
                <w:kern w:val="44"/>
                <w:sz w:val="24"/>
                <w:szCs w:val="24"/>
                <w:lang w:val="en-US" w:eastAsia="zh-CN" w:bidi="ar"/>
              </w:rPr>
              <w:t>项目团队成员（含项目负责人）3人及以上得4分，2人得2分，其余不得分；</w:t>
            </w:r>
          </w:p>
          <w:p w14:paraId="59F7A5EA">
            <w:pPr>
              <w:keepNext w:val="0"/>
              <w:keepLines w:val="0"/>
              <w:pageBreakBefore w:val="0"/>
              <w:numPr>
                <w:ilvl w:val="0"/>
                <w:numId w:val="43"/>
              </w:numPr>
              <w:suppressLineNumbers w:val="0"/>
              <w:wordWrap/>
              <w:topLinePunct w:val="0"/>
              <w:bidi w:val="0"/>
              <w:adjustRightInd w:val="0"/>
              <w:snapToGrid w:val="0"/>
              <w:spacing w:before="0" w:beforeAutospacing="0" w:after="0" w:afterAutospacing="0" w:line="560" w:lineRule="exact"/>
              <w:ind w:left="0" w:right="0" w:rightChars="0"/>
              <w:jc w:val="left"/>
              <w:rPr>
                <w:rFonts w:hint="default"/>
                <w:lang w:val="en-US" w:eastAsia="zh-CN"/>
              </w:rPr>
            </w:pPr>
            <w:r>
              <w:rPr>
                <w:rFonts w:hint="eastAsia" w:ascii="仿宋_GB2312" w:hAnsi="仿宋_GB2312" w:eastAsia="仿宋_GB2312" w:cs="仿宋_GB2312"/>
                <w:color w:val="auto"/>
                <w:kern w:val="44"/>
                <w:sz w:val="24"/>
                <w:szCs w:val="24"/>
                <w:lang w:val="en-US" w:eastAsia="zh-CN" w:bidi="ar"/>
              </w:rPr>
              <w:t>项目团队成员（不含项目负责人）具有主任评估师资质得3分，具有评估师资质得1分，满分3分；</w:t>
            </w:r>
          </w:p>
          <w:p w14:paraId="576C6085">
            <w:pPr>
              <w:keepNext w:val="0"/>
              <w:keepLines w:val="0"/>
              <w:pageBreakBefore w:val="0"/>
              <w:numPr>
                <w:ilvl w:val="0"/>
                <w:numId w:val="43"/>
              </w:numPr>
              <w:suppressLineNumbers w:val="0"/>
              <w:wordWrap/>
              <w:topLinePunct w:val="0"/>
              <w:bidi w:val="0"/>
              <w:adjustRightInd w:val="0"/>
              <w:snapToGrid w:val="0"/>
              <w:spacing w:before="0" w:beforeAutospacing="0" w:after="0" w:afterAutospacing="0" w:line="560" w:lineRule="exact"/>
              <w:ind w:left="0" w:right="0" w:rightChars="0"/>
              <w:jc w:val="left"/>
              <w:rPr>
                <w:rFonts w:hint="default"/>
                <w:lang w:val="en-US" w:eastAsia="zh-CN"/>
              </w:rPr>
            </w:pPr>
            <w:r>
              <w:rPr>
                <w:rFonts w:hint="eastAsia" w:ascii="仿宋_GB2312" w:hAnsi="仿宋_GB2312" w:eastAsia="仿宋_GB2312" w:cs="仿宋_GB2312"/>
                <w:color w:val="auto"/>
                <w:kern w:val="44"/>
                <w:sz w:val="24"/>
                <w:szCs w:val="24"/>
                <w:lang w:val="en-US" w:eastAsia="zh-CN" w:bidi="ar"/>
              </w:rPr>
              <w:t>需提供相关证书材料。</w:t>
            </w:r>
          </w:p>
        </w:tc>
      </w:tr>
      <w:tr w14:paraId="4A8929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298" w:type="dxa"/>
            <w:vMerge w:val="restart"/>
            <w:noWrap w:val="0"/>
            <w:vAlign w:val="center"/>
          </w:tcPr>
          <w:p w14:paraId="0D05E2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sz w:val="24"/>
                <w:szCs w:val="24"/>
              </w:rPr>
              <w:t>服务方案</w:t>
            </w:r>
          </w:p>
          <w:p w14:paraId="474E8E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sz w:val="24"/>
                <w:szCs w:val="24"/>
              </w:rPr>
              <w:t>（</w:t>
            </w:r>
            <w:r>
              <w:rPr>
                <w:rFonts w:hint="eastAsia" w:ascii="仿宋_GB2312" w:hAnsi="仿宋_GB2312" w:eastAsia="仿宋_GB2312" w:cs="仿宋_GB2312"/>
                <w:b/>
                <w:color w:val="auto"/>
                <w:sz w:val="24"/>
                <w:szCs w:val="24"/>
                <w:lang w:val="en-US" w:eastAsia="zh-CN"/>
              </w:rPr>
              <w:t>38</w:t>
            </w:r>
            <w:r>
              <w:rPr>
                <w:rFonts w:hint="eastAsia" w:ascii="仿宋_GB2312" w:hAnsi="仿宋_GB2312" w:eastAsia="仿宋_GB2312" w:cs="仿宋_GB2312"/>
                <w:b/>
                <w:color w:val="auto"/>
                <w:sz w:val="24"/>
                <w:szCs w:val="24"/>
              </w:rPr>
              <w:t>分）</w:t>
            </w:r>
          </w:p>
        </w:tc>
        <w:tc>
          <w:tcPr>
            <w:tcW w:w="2721" w:type="dxa"/>
            <w:noWrap w:val="0"/>
            <w:vAlign w:val="center"/>
          </w:tcPr>
          <w:p w14:paraId="4B44FC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项目实施方案</w:t>
            </w:r>
          </w:p>
        </w:tc>
        <w:tc>
          <w:tcPr>
            <w:tcW w:w="701" w:type="dxa"/>
            <w:noWrap w:val="0"/>
            <w:vAlign w:val="center"/>
          </w:tcPr>
          <w:p w14:paraId="20AEBC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20</w:t>
            </w:r>
            <w:r>
              <w:rPr>
                <w:rFonts w:hint="eastAsia" w:ascii="仿宋_GB2312" w:hAnsi="仿宋_GB2312" w:eastAsia="仿宋_GB2312" w:cs="仿宋_GB2312"/>
                <w:color w:val="auto"/>
                <w:kern w:val="44"/>
                <w:sz w:val="24"/>
                <w:szCs w:val="24"/>
              </w:rPr>
              <w:t>分</w:t>
            </w:r>
          </w:p>
        </w:tc>
        <w:tc>
          <w:tcPr>
            <w:tcW w:w="4358" w:type="dxa"/>
            <w:noWrap w:val="0"/>
            <w:vAlign w:val="center"/>
          </w:tcPr>
          <w:p w14:paraId="74B626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根据技术规范的要求，准确理解项目的需求，服务方案充分考虑制度流程运营的问题与现状，理解运营的特点和管理要求，针对竞选人提供的服务方案进行评分：</w:t>
            </w:r>
          </w:p>
          <w:p w14:paraId="715CECF0">
            <w:pPr>
              <w:keepNext w:val="0"/>
              <w:keepLines w:val="0"/>
              <w:pageBreakBefore w:val="0"/>
              <w:widowControl w:val="0"/>
              <w:numPr>
                <w:ilvl w:val="0"/>
                <w:numId w:val="44"/>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方案内容完整、思路清晰、可操作性强、针对性强，得12-20分；</w:t>
            </w:r>
          </w:p>
          <w:p w14:paraId="190D36B5">
            <w:pPr>
              <w:keepNext w:val="0"/>
              <w:keepLines w:val="0"/>
              <w:pageBreakBefore w:val="0"/>
              <w:widowControl w:val="0"/>
              <w:numPr>
                <w:ilvl w:val="0"/>
                <w:numId w:val="44"/>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方案内容一般、思路一般清晰、可操作性一般、针对性一般，得6-12分；</w:t>
            </w:r>
          </w:p>
          <w:p w14:paraId="467F8000">
            <w:pPr>
              <w:keepNext w:val="0"/>
              <w:keepLines w:val="0"/>
              <w:pageBreakBefore w:val="0"/>
              <w:widowControl w:val="0"/>
              <w:numPr>
                <w:ilvl w:val="0"/>
                <w:numId w:val="44"/>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lang w:val="en-US" w:eastAsia="zh-CN"/>
              </w:rPr>
            </w:pPr>
            <w:r>
              <w:rPr>
                <w:rFonts w:hint="eastAsia" w:ascii="仿宋_GB2312" w:hAnsi="仿宋_GB2312" w:eastAsia="仿宋_GB2312" w:cs="仿宋_GB2312"/>
                <w:color w:val="auto"/>
                <w:kern w:val="44"/>
                <w:sz w:val="24"/>
                <w:szCs w:val="24"/>
                <w:lang w:val="en-US" w:eastAsia="zh-CN"/>
              </w:rPr>
              <w:t>方案内容不清晰、思路不够清晰、可操控性差、针对性差，得0-6分；</w:t>
            </w:r>
          </w:p>
          <w:p w14:paraId="11AAAF0A">
            <w:pPr>
              <w:keepNext w:val="0"/>
              <w:keepLines w:val="0"/>
              <w:pageBreakBefore w:val="0"/>
              <w:widowControl w:val="0"/>
              <w:numPr>
                <w:ilvl w:val="0"/>
                <w:numId w:val="44"/>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lang w:val="en-US" w:eastAsia="zh-CN"/>
              </w:rPr>
            </w:pPr>
            <w:r>
              <w:rPr>
                <w:rFonts w:hint="eastAsia" w:ascii="仿宋_GB2312" w:hAnsi="仿宋_GB2312" w:eastAsia="仿宋_GB2312" w:cs="仿宋_GB2312"/>
                <w:color w:val="auto"/>
                <w:kern w:val="44"/>
                <w:sz w:val="24"/>
                <w:szCs w:val="24"/>
                <w:lang w:val="en-US" w:eastAsia="zh-CN"/>
              </w:rPr>
              <w:t>未提供得0分。</w:t>
            </w:r>
          </w:p>
        </w:tc>
      </w:tr>
      <w:tr w14:paraId="7F03DB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1298" w:type="dxa"/>
            <w:vMerge w:val="continue"/>
            <w:noWrap w:val="0"/>
            <w:vAlign w:val="center"/>
          </w:tcPr>
          <w:p w14:paraId="77F41FC2">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color w:val="auto"/>
                <w:sz w:val="24"/>
                <w:szCs w:val="24"/>
              </w:rPr>
            </w:pPr>
          </w:p>
        </w:tc>
        <w:tc>
          <w:tcPr>
            <w:tcW w:w="2721" w:type="dxa"/>
            <w:noWrap w:val="0"/>
            <w:vAlign w:val="center"/>
          </w:tcPr>
          <w:p w14:paraId="4462FA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highlight w:val="none"/>
              </w:rPr>
              <w:t>对</w:t>
            </w:r>
            <w:r>
              <w:rPr>
                <w:rFonts w:hint="eastAsia" w:ascii="仿宋_GB2312" w:hAnsi="仿宋_GB2312" w:eastAsia="仿宋_GB2312" w:cs="仿宋_GB2312"/>
                <w:color w:val="auto"/>
                <w:kern w:val="44"/>
                <w:sz w:val="24"/>
                <w:szCs w:val="24"/>
                <w:highlight w:val="none"/>
                <w:lang w:eastAsia="zh-CN"/>
              </w:rPr>
              <w:t>评委提问</w:t>
            </w:r>
            <w:r>
              <w:rPr>
                <w:rFonts w:hint="eastAsia" w:ascii="仿宋_GB2312" w:hAnsi="仿宋_GB2312" w:eastAsia="仿宋_GB2312" w:cs="仿宋_GB2312"/>
                <w:color w:val="auto"/>
                <w:kern w:val="44"/>
                <w:sz w:val="24"/>
                <w:szCs w:val="24"/>
                <w:highlight w:val="none"/>
              </w:rPr>
              <w:t>的剖析</w:t>
            </w:r>
          </w:p>
        </w:tc>
        <w:tc>
          <w:tcPr>
            <w:tcW w:w="701" w:type="dxa"/>
            <w:noWrap w:val="0"/>
            <w:vAlign w:val="center"/>
          </w:tcPr>
          <w:p w14:paraId="03CC2C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5</w:t>
            </w:r>
            <w:r>
              <w:rPr>
                <w:rFonts w:hint="eastAsia" w:ascii="仿宋_GB2312" w:hAnsi="仿宋_GB2312" w:eastAsia="仿宋_GB2312" w:cs="仿宋_GB2312"/>
                <w:color w:val="auto"/>
                <w:kern w:val="44"/>
                <w:sz w:val="24"/>
                <w:szCs w:val="24"/>
              </w:rPr>
              <w:t>分</w:t>
            </w:r>
          </w:p>
        </w:tc>
        <w:tc>
          <w:tcPr>
            <w:tcW w:w="4358" w:type="dxa"/>
            <w:noWrap w:val="0"/>
            <w:vAlign w:val="center"/>
          </w:tcPr>
          <w:p w14:paraId="3B1AB4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highlight w:val="none"/>
                <w:lang w:val="en-US" w:eastAsia="zh-CN"/>
              </w:rPr>
              <w:t>向竞选人提问，就其对本次项目</w:t>
            </w:r>
            <w:r>
              <w:rPr>
                <w:rFonts w:hint="eastAsia" w:ascii="仿宋_GB2312" w:hAnsi="仿宋_GB2312" w:eastAsia="仿宋_GB2312" w:cs="仿宋_GB2312"/>
                <w:color w:val="auto"/>
                <w:kern w:val="44"/>
                <w:sz w:val="24"/>
                <w:szCs w:val="24"/>
                <w:highlight w:val="none"/>
              </w:rPr>
              <w:t>理解和思路是否全面、深刻，</w:t>
            </w:r>
            <w:r>
              <w:rPr>
                <w:rFonts w:hint="eastAsia" w:ascii="仿宋_GB2312" w:hAnsi="仿宋_GB2312" w:eastAsia="仿宋_GB2312" w:cs="仿宋_GB2312"/>
                <w:color w:val="auto"/>
                <w:kern w:val="44"/>
                <w:sz w:val="24"/>
                <w:szCs w:val="24"/>
                <w:highlight w:val="none"/>
                <w:lang w:val="en-US" w:eastAsia="zh-CN"/>
              </w:rPr>
              <w:t>是否</w:t>
            </w:r>
            <w:r>
              <w:rPr>
                <w:rFonts w:hint="eastAsia" w:ascii="仿宋_GB2312" w:hAnsi="仿宋_GB2312" w:eastAsia="仿宋_GB2312" w:cs="仿宋_GB2312"/>
                <w:color w:val="auto"/>
                <w:kern w:val="44"/>
                <w:sz w:val="24"/>
                <w:szCs w:val="24"/>
                <w:highlight w:val="none"/>
              </w:rPr>
              <w:t>有针对性</w:t>
            </w:r>
            <w:r>
              <w:rPr>
                <w:rFonts w:hint="eastAsia" w:ascii="仿宋_GB2312" w:hAnsi="仿宋_GB2312" w:eastAsia="仿宋_GB2312" w:cs="仿宋_GB2312"/>
                <w:color w:val="auto"/>
                <w:kern w:val="44"/>
                <w:sz w:val="24"/>
                <w:szCs w:val="24"/>
                <w:highlight w:val="none"/>
                <w:lang w:val="en-US" w:eastAsia="zh-CN"/>
              </w:rPr>
              <w:t>建议等情况进行</w:t>
            </w:r>
            <w:r>
              <w:rPr>
                <w:rFonts w:hint="eastAsia" w:ascii="仿宋_GB2312" w:hAnsi="仿宋_GB2312" w:eastAsia="仿宋_GB2312" w:cs="仿宋_GB2312"/>
                <w:color w:val="auto"/>
                <w:kern w:val="44"/>
                <w:sz w:val="24"/>
                <w:szCs w:val="24"/>
                <w:lang w:eastAsia="zh-CN"/>
              </w:rPr>
              <w:t>综合评价，评价为优得</w:t>
            </w:r>
            <w:r>
              <w:rPr>
                <w:rFonts w:hint="eastAsia" w:ascii="仿宋_GB2312" w:hAnsi="仿宋_GB2312" w:eastAsia="仿宋_GB2312" w:cs="仿宋_GB2312"/>
                <w:color w:val="auto"/>
                <w:kern w:val="44"/>
                <w:sz w:val="24"/>
                <w:szCs w:val="24"/>
                <w:lang w:val="en-US" w:eastAsia="zh-CN"/>
              </w:rPr>
              <w:t>3-5分，良得1-3分，差得0-1分</w:t>
            </w:r>
            <w:r>
              <w:rPr>
                <w:rFonts w:hint="eastAsia" w:ascii="仿宋_GB2312" w:hAnsi="仿宋_GB2312" w:eastAsia="仿宋_GB2312" w:cs="仿宋_GB2312"/>
                <w:b/>
                <w:bCs/>
                <w:color w:val="auto"/>
                <w:kern w:val="44"/>
                <w:sz w:val="24"/>
                <w:szCs w:val="24"/>
                <w:lang w:eastAsia="zh-CN"/>
              </w:rPr>
              <w:t>。</w:t>
            </w:r>
          </w:p>
        </w:tc>
      </w:tr>
      <w:tr w14:paraId="2CE9DF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continue"/>
            <w:noWrap w:val="0"/>
            <w:vAlign w:val="center"/>
          </w:tcPr>
          <w:p w14:paraId="52EC9B36">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color w:val="auto"/>
                <w:sz w:val="24"/>
                <w:szCs w:val="24"/>
              </w:rPr>
            </w:pPr>
          </w:p>
        </w:tc>
        <w:tc>
          <w:tcPr>
            <w:tcW w:w="2721" w:type="dxa"/>
            <w:noWrap w:val="0"/>
            <w:vAlign w:val="center"/>
          </w:tcPr>
          <w:p w14:paraId="1722C7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rPr>
              <w:t>服务保障措施</w:t>
            </w:r>
          </w:p>
        </w:tc>
        <w:tc>
          <w:tcPr>
            <w:tcW w:w="701" w:type="dxa"/>
            <w:noWrap w:val="0"/>
            <w:vAlign w:val="center"/>
          </w:tcPr>
          <w:p w14:paraId="052B4F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5</w:t>
            </w:r>
            <w:r>
              <w:rPr>
                <w:rFonts w:hint="eastAsia" w:ascii="仿宋_GB2312" w:hAnsi="仿宋_GB2312" w:eastAsia="仿宋_GB2312" w:cs="仿宋_GB2312"/>
                <w:color w:val="auto"/>
                <w:kern w:val="44"/>
                <w:sz w:val="24"/>
                <w:szCs w:val="24"/>
              </w:rPr>
              <w:t>分</w:t>
            </w:r>
          </w:p>
        </w:tc>
        <w:tc>
          <w:tcPr>
            <w:tcW w:w="4358" w:type="dxa"/>
            <w:noWrap w:val="0"/>
            <w:vAlign w:val="center"/>
          </w:tcPr>
          <w:p w14:paraId="7EDF05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竞选人须提供本项目服务过程的质量控制措施方案，方案包含但不限于质量管控措施、现场人员考核措施、服务中可能出现的问题及应对办法，针对竞选人提供的方案进行评分：</w:t>
            </w:r>
          </w:p>
          <w:p w14:paraId="09B51EE4">
            <w:pPr>
              <w:keepNext w:val="0"/>
              <w:keepLines w:val="0"/>
              <w:pageBreakBefore w:val="0"/>
              <w:widowControl w:val="0"/>
              <w:numPr>
                <w:ilvl w:val="0"/>
                <w:numId w:val="45"/>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方案描述过程详细、思路清晰、可执行性强，得3-5分；</w:t>
            </w:r>
          </w:p>
          <w:p w14:paraId="6DD0B789">
            <w:pPr>
              <w:keepNext w:val="0"/>
              <w:keepLines w:val="0"/>
              <w:pageBreakBefore w:val="0"/>
              <w:widowControl w:val="0"/>
              <w:numPr>
                <w:ilvl w:val="0"/>
                <w:numId w:val="45"/>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方案描述过程较详细、思路较清晰、可执行性一般，得1-3分；</w:t>
            </w:r>
          </w:p>
          <w:p w14:paraId="75D55F53">
            <w:pPr>
              <w:keepNext w:val="0"/>
              <w:keepLines w:val="0"/>
              <w:pageBreakBefore w:val="0"/>
              <w:widowControl w:val="0"/>
              <w:numPr>
                <w:ilvl w:val="0"/>
                <w:numId w:val="45"/>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方案描述过程不详细、思路不清晰、可执行性差，得0-1分；</w:t>
            </w:r>
          </w:p>
          <w:p w14:paraId="0FEC16AF">
            <w:pPr>
              <w:keepNext w:val="0"/>
              <w:keepLines w:val="0"/>
              <w:pageBreakBefore w:val="0"/>
              <w:widowControl w:val="0"/>
              <w:numPr>
                <w:ilvl w:val="0"/>
                <w:numId w:val="45"/>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未提供得0分。</w:t>
            </w:r>
          </w:p>
        </w:tc>
      </w:tr>
      <w:tr w14:paraId="6DF5A0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98" w:type="dxa"/>
            <w:vMerge w:val="continue"/>
            <w:noWrap w:val="0"/>
            <w:vAlign w:val="center"/>
          </w:tcPr>
          <w:p w14:paraId="310B53E7">
            <w:pPr>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jc w:val="center"/>
              <w:textAlignment w:val="auto"/>
              <w:rPr>
                <w:rFonts w:hint="eastAsia" w:ascii="仿宋_GB2312" w:hAnsi="仿宋_GB2312" w:eastAsia="仿宋_GB2312" w:cs="仿宋_GB2312"/>
                <w:color w:val="auto"/>
                <w:sz w:val="24"/>
                <w:szCs w:val="24"/>
              </w:rPr>
            </w:pPr>
          </w:p>
        </w:tc>
        <w:tc>
          <w:tcPr>
            <w:tcW w:w="2721" w:type="dxa"/>
            <w:noWrap w:val="0"/>
            <w:vAlign w:val="center"/>
          </w:tcPr>
          <w:p w14:paraId="1CE47C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服务质量承诺</w:t>
            </w:r>
          </w:p>
        </w:tc>
        <w:tc>
          <w:tcPr>
            <w:tcW w:w="701" w:type="dxa"/>
            <w:noWrap w:val="0"/>
            <w:vAlign w:val="center"/>
          </w:tcPr>
          <w:p w14:paraId="2F30F3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default"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8分</w:t>
            </w:r>
          </w:p>
        </w:tc>
        <w:tc>
          <w:tcPr>
            <w:tcW w:w="4358" w:type="dxa"/>
            <w:noWrap w:val="0"/>
            <w:vAlign w:val="center"/>
          </w:tcPr>
          <w:p w14:paraId="1FA6D8E0">
            <w:pPr>
              <w:keepNext w:val="0"/>
              <w:keepLines w:val="0"/>
              <w:pageBreakBefore w:val="0"/>
              <w:widowControl w:val="0"/>
              <w:numPr>
                <w:ilvl w:val="0"/>
                <w:numId w:val="40"/>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竞选人保证指导质量，承诺采购单位材料梳理质量符合要求，可达到一次性通过认证的得8分；保证通过但不保证一次性通过认证的得4分，未提供不得分。</w:t>
            </w:r>
          </w:p>
          <w:p w14:paraId="5D209E26">
            <w:pPr>
              <w:keepNext w:val="0"/>
              <w:keepLines w:val="0"/>
              <w:pageBreakBefore w:val="0"/>
              <w:widowControl w:val="0"/>
              <w:numPr>
                <w:ilvl w:val="0"/>
                <w:numId w:val="40"/>
              </w:numPr>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lang w:val="en-US" w:eastAsia="zh-CN"/>
              </w:rPr>
              <w:t>该项承诺需在服务质量承诺函模板中填写，并加盖公章。</w:t>
            </w:r>
          </w:p>
        </w:tc>
      </w:tr>
      <w:tr w14:paraId="5F5A1A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298" w:type="dxa"/>
            <w:noWrap w:val="0"/>
            <w:vAlign w:val="center"/>
          </w:tcPr>
          <w:p w14:paraId="0A5DB1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kern w:val="44"/>
                <w:sz w:val="24"/>
                <w:szCs w:val="24"/>
              </w:rPr>
            </w:pPr>
            <w:r>
              <w:rPr>
                <w:rFonts w:hint="eastAsia" w:ascii="仿宋_GB2312" w:hAnsi="仿宋_GB2312" w:eastAsia="仿宋_GB2312" w:cs="仿宋_GB2312"/>
                <w:b/>
                <w:color w:val="auto"/>
                <w:kern w:val="44"/>
                <w:sz w:val="24"/>
                <w:szCs w:val="24"/>
              </w:rPr>
              <w:t>报价</w:t>
            </w:r>
          </w:p>
          <w:p w14:paraId="0C562E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b/>
                <w:color w:val="auto"/>
                <w:sz w:val="24"/>
                <w:szCs w:val="24"/>
              </w:rPr>
            </w:pPr>
            <w:r>
              <w:rPr>
                <w:rFonts w:hint="eastAsia" w:ascii="仿宋_GB2312" w:hAnsi="仿宋_GB2312" w:eastAsia="仿宋_GB2312" w:cs="仿宋_GB2312"/>
                <w:b/>
                <w:color w:val="auto"/>
                <w:kern w:val="44"/>
                <w:sz w:val="24"/>
                <w:szCs w:val="24"/>
              </w:rPr>
              <w:t>（</w:t>
            </w:r>
            <w:r>
              <w:rPr>
                <w:rFonts w:hint="eastAsia" w:ascii="仿宋_GB2312" w:hAnsi="仿宋_GB2312" w:eastAsia="仿宋_GB2312" w:cs="仿宋_GB2312"/>
                <w:b/>
                <w:color w:val="auto"/>
                <w:kern w:val="44"/>
                <w:sz w:val="24"/>
                <w:szCs w:val="24"/>
                <w:lang w:val="en-US" w:eastAsia="zh-CN"/>
              </w:rPr>
              <w:t>3</w:t>
            </w:r>
            <w:r>
              <w:rPr>
                <w:rFonts w:hint="eastAsia" w:ascii="仿宋_GB2312" w:hAnsi="仿宋_GB2312" w:eastAsia="仿宋_GB2312" w:cs="仿宋_GB2312"/>
                <w:b/>
                <w:color w:val="auto"/>
                <w:kern w:val="44"/>
                <w:sz w:val="24"/>
                <w:szCs w:val="24"/>
              </w:rPr>
              <w:t>0分）</w:t>
            </w:r>
          </w:p>
        </w:tc>
        <w:tc>
          <w:tcPr>
            <w:tcW w:w="2721" w:type="dxa"/>
            <w:noWrap w:val="0"/>
            <w:vAlign w:val="center"/>
          </w:tcPr>
          <w:p w14:paraId="5DF2D7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0" w:firstLineChars="0"/>
              <w:jc w:val="center"/>
              <w:textAlignment w:val="auto"/>
              <w:rPr>
                <w:rFonts w:hint="eastAsia" w:ascii="仿宋_GB2312" w:hAnsi="仿宋_GB2312" w:eastAsia="仿宋_GB2312" w:cs="仿宋_GB2312"/>
                <w:color w:val="auto"/>
                <w:kern w:val="44"/>
                <w:sz w:val="24"/>
                <w:szCs w:val="24"/>
                <w:lang w:val="en-US" w:eastAsia="zh-CN"/>
              </w:rPr>
            </w:pPr>
            <w:r>
              <w:rPr>
                <w:rFonts w:hint="eastAsia" w:ascii="仿宋_GB2312" w:hAnsi="仿宋_GB2312" w:eastAsia="仿宋_GB2312" w:cs="仿宋_GB2312"/>
                <w:color w:val="auto"/>
                <w:kern w:val="44"/>
                <w:sz w:val="24"/>
                <w:szCs w:val="24"/>
              </w:rPr>
              <w:t>服务价格（含税）</w:t>
            </w:r>
          </w:p>
        </w:tc>
        <w:tc>
          <w:tcPr>
            <w:tcW w:w="701" w:type="dxa"/>
            <w:noWrap w:val="0"/>
            <w:vAlign w:val="center"/>
          </w:tcPr>
          <w:p w14:paraId="6898E0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105" w:leftChars="-50" w:right="-105" w:rightChars="-50" w:firstLine="0" w:firstLineChars="0"/>
              <w:jc w:val="center"/>
              <w:textAlignment w:val="auto"/>
              <w:rPr>
                <w:rFonts w:hint="eastAsia" w:ascii="仿宋_GB2312" w:hAnsi="仿宋_GB2312" w:eastAsia="仿宋_GB2312" w:cs="仿宋_GB2312"/>
                <w:color w:val="auto"/>
                <w:kern w:val="44"/>
                <w:sz w:val="24"/>
                <w:szCs w:val="24"/>
              </w:rPr>
            </w:pPr>
            <w:r>
              <w:rPr>
                <w:rFonts w:hint="eastAsia" w:ascii="仿宋_GB2312" w:hAnsi="仿宋_GB2312" w:eastAsia="仿宋_GB2312" w:cs="仿宋_GB2312"/>
                <w:color w:val="auto"/>
                <w:kern w:val="44"/>
                <w:sz w:val="24"/>
                <w:szCs w:val="24"/>
                <w:lang w:val="en-US" w:eastAsia="zh-CN"/>
              </w:rPr>
              <w:t>3</w:t>
            </w:r>
            <w:r>
              <w:rPr>
                <w:rFonts w:hint="eastAsia" w:ascii="仿宋_GB2312" w:hAnsi="仿宋_GB2312" w:eastAsia="仿宋_GB2312" w:cs="仿宋_GB2312"/>
                <w:color w:val="auto"/>
                <w:kern w:val="44"/>
                <w:sz w:val="24"/>
                <w:szCs w:val="24"/>
              </w:rPr>
              <w:t>0分</w:t>
            </w:r>
          </w:p>
        </w:tc>
        <w:tc>
          <w:tcPr>
            <w:tcW w:w="4358" w:type="dxa"/>
            <w:noWrap w:val="0"/>
            <w:vAlign w:val="center"/>
          </w:tcPr>
          <w:p w14:paraId="6A9D8DD2">
            <w:pPr>
              <w:pStyle w:val="5"/>
              <w:keepNext w:val="0"/>
              <w:keepLines w:val="0"/>
              <w:pageBreakBefore w:val="0"/>
              <w:widowControl w:val="0"/>
              <w:numPr>
                <w:ilvl w:val="0"/>
                <w:numId w:val="46"/>
              </w:numPr>
              <w:suppressLineNumbers w:val="0"/>
              <w:kinsoku/>
              <w:wordWrap/>
              <w:overflowPunct/>
              <w:topLinePunct w:val="0"/>
              <w:autoSpaceDE/>
              <w:autoSpaceDN/>
              <w:bidi w:val="0"/>
              <w:adjustRightInd/>
              <w:snapToGrid/>
              <w:spacing w:before="0" w:beforeAutospacing="0" w:after="0" w:afterAutospacing="0" w:line="560" w:lineRule="exact"/>
              <w:ind w:left="0" w:leftChars="0" w:right="0"/>
              <w:textAlignment w:val="auto"/>
              <w:rPr>
                <w:rFonts w:hint="eastAsia" w:ascii="仿宋_GB2312" w:hAnsi="仿宋_GB2312" w:eastAsia="仿宋_GB2312" w:cs="仿宋_GB2312"/>
                <w:color w:val="auto"/>
                <w:kern w:val="44"/>
                <w:sz w:val="24"/>
                <w:szCs w:val="24"/>
                <w:highlight w:val="none"/>
                <w:lang w:val="en-US" w:eastAsia="zh-CN" w:bidi="ar-SA"/>
              </w:rPr>
            </w:pPr>
            <w:r>
              <w:rPr>
                <w:rFonts w:hint="eastAsia" w:ascii="仿宋_GB2312" w:hAnsi="仿宋_GB2312" w:eastAsia="仿宋_GB2312" w:cs="仿宋_GB2312"/>
                <w:color w:val="auto"/>
                <w:kern w:val="44"/>
                <w:sz w:val="24"/>
                <w:szCs w:val="24"/>
                <w:highlight w:val="none"/>
                <w:lang w:val="en-US" w:eastAsia="zh-CN" w:bidi="ar-SA"/>
              </w:rPr>
              <w:t>以各有效竞选人对应报价(Y</w:t>
            </w:r>
            <w:r>
              <w:rPr>
                <w:rFonts w:hint="eastAsia" w:ascii="仿宋_GB2312" w:hAnsi="仿宋_GB2312" w:eastAsia="仿宋_GB2312" w:cs="仿宋_GB2312"/>
                <w:color w:val="auto"/>
                <w:kern w:val="44"/>
                <w:sz w:val="24"/>
                <w:szCs w:val="24"/>
                <w:highlight w:val="none"/>
                <w:vertAlign w:val="subscript"/>
                <w:lang w:val="en-US" w:eastAsia="zh-CN" w:bidi="ar-SA"/>
              </w:rPr>
              <w:t>1</w:t>
            </w:r>
            <w:r>
              <w:rPr>
                <w:rFonts w:hint="eastAsia" w:ascii="仿宋_GB2312" w:hAnsi="仿宋_GB2312" w:eastAsia="仿宋_GB2312" w:cs="仿宋_GB2312"/>
                <w:color w:val="auto"/>
                <w:kern w:val="44"/>
                <w:sz w:val="24"/>
                <w:szCs w:val="24"/>
                <w:highlight w:val="none"/>
                <w:lang w:val="en-US" w:eastAsia="zh-CN" w:bidi="ar-SA"/>
              </w:rPr>
              <w:t>,Y</w:t>
            </w:r>
            <w:r>
              <w:rPr>
                <w:rFonts w:hint="eastAsia" w:ascii="仿宋_GB2312" w:hAnsi="仿宋_GB2312" w:eastAsia="仿宋_GB2312" w:cs="仿宋_GB2312"/>
                <w:color w:val="auto"/>
                <w:kern w:val="44"/>
                <w:sz w:val="24"/>
                <w:szCs w:val="24"/>
                <w:highlight w:val="none"/>
                <w:vertAlign w:val="subscript"/>
                <w:lang w:val="en-US" w:eastAsia="zh-CN" w:bidi="ar-SA"/>
              </w:rPr>
              <w:t>2</w:t>
            </w:r>
            <w:r>
              <w:rPr>
                <w:rFonts w:hint="eastAsia" w:ascii="仿宋_GB2312" w:hAnsi="仿宋_GB2312" w:eastAsia="仿宋_GB2312" w:cs="仿宋_GB2312"/>
                <w:color w:val="auto"/>
                <w:kern w:val="44"/>
                <w:sz w:val="24"/>
                <w:szCs w:val="24"/>
                <w:highlight w:val="none"/>
                <w:lang w:val="en-US" w:eastAsia="zh-CN" w:bidi="ar-SA"/>
              </w:rPr>
              <w:t>...)的平均值（X)作为基准价格，基准价分值20分；</w:t>
            </w:r>
          </w:p>
          <w:p w14:paraId="28C92400">
            <w:pPr>
              <w:pStyle w:val="5"/>
              <w:keepNext w:val="0"/>
              <w:keepLines w:val="0"/>
              <w:pageBreakBefore w:val="0"/>
              <w:widowControl w:val="0"/>
              <w:numPr>
                <w:ilvl w:val="0"/>
                <w:numId w:val="46"/>
              </w:numPr>
              <w:suppressLineNumbers w:val="0"/>
              <w:kinsoku/>
              <w:wordWrap/>
              <w:overflowPunct/>
              <w:topLinePunct w:val="0"/>
              <w:autoSpaceDE/>
              <w:autoSpaceDN/>
              <w:bidi w:val="0"/>
              <w:adjustRightInd/>
              <w:snapToGrid/>
              <w:spacing w:before="0" w:beforeAutospacing="0" w:after="0" w:afterAutospacing="0" w:line="560" w:lineRule="exact"/>
              <w:ind w:left="0" w:leftChars="0" w:right="0"/>
              <w:textAlignment w:val="auto"/>
              <w:rPr>
                <w:rFonts w:hint="eastAsia"/>
                <w:lang w:val="en-US" w:eastAsia="zh-CN"/>
              </w:rPr>
            </w:pPr>
            <w:r>
              <w:rPr>
                <w:rFonts w:hint="eastAsia" w:ascii="仿宋_GB2312" w:hAnsi="仿宋_GB2312" w:eastAsia="仿宋_GB2312" w:cs="仿宋_GB2312"/>
                <w:color w:val="auto"/>
                <w:kern w:val="44"/>
                <w:sz w:val="24"/>
                <w:szCs w:val="24"/>
                <w:highlight w:val="none"/>
                <w:lang w:val="en-US" w:eastAsia="zh-CN" w:bidi="ar-SA"/>
              </w:rPr>
              <w:t>若竞选人报价超过基准价格5%，则在基准分值基础上按照比例扣分，直至0分；竞选人报价低于基准价格5%，则在基准分值基础上按照比例加分，直至满分；</w:t>
            </w:r>
          </w:p>
          <w:p w14:paraId="154D3BE9">
            <w:pPr>
              <w:pStyle w:val="5"/>
              <w:keepNext w:val="0"/>
              <w:keepLines w:val="0"/>
              <w:pageBreakBefore w:val="0"/>
              <w:widowControl w:val="0"/>
              <w:numPr>
                <w:ilvl w:val="0"/>
                <w:numId w:val="46"/>
              </w:numPr>
              <w:suppressLineNumbers w:val="0"/>
              <w:kinsoku/>
              <w:wordWrap/>
              <w:overflowPunct/>
              <w:topLinePunct w:val="0"/>
              <w:autoSpaceDE/>
              <w:autoSpaceDN/>
              <w:bidi w:val="0"/>
              <w:adjustRightInd/>
              <w:snapToGrid/>
              <w:spacing w:before="0" w:beforeAutospacing="0" w:after="0" w:afterAutospacing="0" w:line="560" w:lineRule="exact"/>
              <w:ind w:left="0" w:leftChars="0" w:right="0"/>
              <w:textAlignment w:val="auto"/>
              <w:rPr>
                <w:rFonts w:hint="eastAsia"/>
                <w:lang w:val="en-US" w:eastAsia="zh-CN"/>
              </w:rPr>
            </w:pPr>
            <w:r>
              <w:rPr>
                <w:rFonts w:hint="eastAsia" w:ascii="仿宋_GB2312" w:hAnsi="仿宋_GB2312" w:eastAsia="仿宋_GB2312" w:cs="仿宋_GB2312"/>
                <w:color w:val="auto"/>
                <w:kern w:val="44"/>
                <w:sz w:val="24"/>
                <w:szCs w:val="24"/>
                <w:highlight w:val="none"/>
                <w:lang w:val="en-US" w:eastAsia="zh-CN" w:bidi="ar-SA"/>
              </w:rPr>
              <w:t>具体得分计算公式如下：=20+(1-Y</w:t>
            </w:r>
            <w:r>
              <w:rPr>
                <w:rFonts w:hint="eastAsia" w:ascii="仿宋_GB2312" w:hAnsi="仿宋_GB2312" w:eastAsia="仿宋_GB2312" w:cs="仿宋_GB2312"/>
                <w:color w:val="auto"/>
                <w:kern w:val="44"/>
                <w:sz w:val="24"/>
                <w:szCs w:val="24"/>
                <w:highlight w:val="none"/>
                <w:vertAlign w:val="subscript"/>
                <w:lang w:val="en-US" w:eastAsia="zh-CN" w:bidi="ar-SA"/>
              </w:rPr>
              <w:t>1</w:t>
            </w:r>
            <w:r>
              <w:rPr>
                <w:rFonts w:hint="eastAsia" w:ascii="仿宋_GB2312" w:hAnsi="仿宋_GB2312" w:eastAsia="仿宋_GB2312" w:cs="仿宋_GB2312"/>
                <w:color w:val="auto"/>
                <w:kern w:val="44"/>
                <w:sz w:val="24"/>
                <w:szCs w:val="24"/>
                <w:highlight w:val="none"/>
                <w:vertAlign w:val="baseline"/>
                <w:lang w:val="en-US" w:eastAsia="zh-CN" w:bidi="ar-SA"/>
              </w:rPr>
              <w:t>/X)/5%，结果保留两位小数。</w:t>
            </w:r>
          </w:p>
        </w:tc>
      </w:tr>
    </w:tbl>
    <w:p w14:paraId="78A82FFD">
      <w:pPr>
        <w:pageBreakBefore w:val="0"/>
        <w:wordWrap/>
        <w:topLinePunct w:val="0"/>
        <w:bidi w:val="0"/>
        <w:spacing w:line="560" w:lineRule="exact"/>
        <w:jc w:val="left"/>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特别说明：</w:t>
      </w:r>
    </w:p>
    <w:p w14:paraId="40551D20">
      <w:pPr>
        <w:keepNext w:val="0"/>
        <w:keepLines w:val="0"/>
        <w:pageBreakBefore w:val="0"/>
        <w:widowControl w:val="0"/>
        <w:numPr>
          <w:ilvl w:val="0"/>
          <w:numId w:val="47"/>
        </w:numPr>
        <w:kinsoku/>
        <w:wordWrap/>
        <w:overflowPunct/>
        <w:topLinePunct w:val="0"/>
        <w:autoSpaceDE/>
        <w:autoSpaceDN/>
        <w:bidi w:val="0"/>
        <w:adjustRightInd/>
        <w:snapToGrid/>
        <w:spacing w:line="560" w:lineRule="exact"/>
        <w:ind w:firstLine="560" w:firstLineChars="200"/>
        <w:jc w:val="left"/>
        <w:textAlignment w:val="auto"/>
        <w:rPr>
          <w:rFonts w:hint="default"/>
          <w:b w:val="0"/>
          <w:bCs w:val="0"/>
          <w:sz w:val="28"/>
          <w:szCs w:val="28"/>
          <w:lang w:val="en-US" w:eastAsia="zh-CN"/>
        </w:rPr>
      </w:pPr>
      <w:r>
        <w:rPr>
          <w:rFonts w:hint="eastAsia" w:ascii="仿宋_GB2312" w:hAnsi="仿宋_GB2312" w:eastAsia="仿宋_GB2312" w:cs="仿宋_GB2312"/>
          <w:b w:val="0"/>
          <w:bCs w:val="0"/>
          <w:color w:val="auto"/>
          <w:sz w:val="28"/>
          <w:szCs w:val="28"/>
          <w:lang w:val="en-US" w:eastAsia="zh-CN"/>
        </w:rPr>
        <w:t>若同一竞选人同时申请多个项目，应保证至少有2N个（N指申请项目的数量，不同公司主体的项目分别计算）团队成员不复用，否则询比申请无效；</w:t>
      </w:r>
    </w:p>
    <w:p w14:paraId="462CC686">
      <w:pPr>
        <w:keepNext w:val="0"/>
        <w:keepLines w:val="0"/>
        <w:pageBreakBefore w:val="0"/>
        <w:widowControl w:val="0"/>
        <w:numPr>
          <w:ilvl w:val="0"/>
          <w:numId w:val="47"/>
        </w:numPr>
        <w:kinsoku/>
        <w:wordWrap/>
        <w:overflowPunct/>
        <w:topLinePunct w:val="0"/>
        <w:autoSpaceDE/>
        <w:autoSpaceDN/>
        <w:bidi w:val="0"/>
        <w:adjustRightInd/>
        <w:snapToGrid/>
        <w:spacing w:line="560" w:lineRule="exact"/>
        <w:ind w:firstLine="560" w:firstLineChars="200"/>
        <w:jc w:val="left"/>
        <w:textAlignment w:val="auto"/>
        <w:rPr>
          <w:rFonts w:hint="default"/>
          <w:b w:val="0"/>
          <w:bCs w:val="0"/>
          <w:sz w:val="28"/>
          <w:szCs w:val="28"/>
          <w:lang w:val="en-US" w:eastAsia="zh-CN"/>
        </w:rPr>
      </w:pPr>
      <w:r>
        <w:rPr>
          <w:rFonts w:hint="eastAsia" w:ascii="仿宋_GB2312" w:hAnsi="仿宋_GB2312" w:eastAsia="仿宋_GB2312" w:cs="仿宋_GB2312"/>
          <w:b w:val="0"/>
          <w:bCs w:val="0"/>
          <w:color w:val="auto"/>
          <w:sz w:val="28"/>
          <w:szCs w:val="28"/>
          <w:lang w:val="en-US" w:eastAsia="zh-CN"/>
        </w:rPr>
        <w:t>竞选人应按询比文件目录制作对应的证明材料目录，并明确标注页码；</w:t>
      </w:r>
    </w:p>
    <w:p w14:paraId="674FF46B">
      <w:pPr>
        <w:keepNext w:val="0"/>
        <w:keepLines w:val="0"/>
        <w:pageBreakBefore w:val="0"/>
        <w:widowControl w:val="0"/>
        <w:numPr>
          <w:ilvl w:val="0"/>
          <w:numId w:val="47"/>
        </w:numPr>
        <w:kinsoku/>
        <w:wordWrap/>
        <w:overflowPunct/>
        <w:topLinePunct w:val="0"/>
        <w:autoSpaceDE/>
        <w:autoSpaceDN/>
        <w:bidi w:val="0"/>
        <w:adjustRightInd/>
        <w:snapToGrid/>
        <w:spacing w:line="560" w:lineRule="exact"/>
        <w:ind w:firstLine="560" w:firstLineChars="200"/>
        <w:jc w:val="left"/>
        <w:textAlignment w:val="auto"/>
        <w:rPr>
          <w:rFonts w:hint="default"/>
          <w:b w:val="0"/>
          <w:bCs w:val="0"/>
          <w:sz w:val="28"/>
          <w:szCs w:val="28"/>
          <w:lang w:val="en-US" w:eastAsia="zh-CN"/>
        </w:rPr>
      </w:pPr>
      <w:r>
        <w:rPr>
          <w:rFonts w:hint="eastAsia" w:ascii="仿宋_GB2312" w:hAnsi="仿宋_GB2312" w:eastAsia="仿宋_GB2312" w:cs="仿宋_GB2312"/>
          <w:b w:val="0"/>
          <w:bCs w:val="0"/>
          <w:color w:val="auto"/>
          <w:sz w:val="28"/>
          <w:szCs w:val="28"/>
          <w:lang w:val="en-US" w:eastAsia="zh-CN"/>
        </w:rPr>
        <w:t>在评分标准表格中列举的证明材料的基础上，竞选人应尽可能多地为评分提供翔实、连贯、完整、清晰、真实的支撑证明材料，保证评审小组能清晰地辨别是否可得分；</w:t>
      </w:r>
    </w:p>
    <w:p w14:paraId="38B8F6B2">
      <w:pPr>
        <w:keepNext w:val="0"/>
        <w:keepLines w:val="0"/>
        <w:pageBreakBefore w:val="0"/>
        <w:widowControl w:val="0"/>
        <w:numPr>
          <w:ilvl w:val="0"/>
          <w:numId w:val="47"/>
        </w:numPr>
        <w:kinsoku/>
        <w:wordWrap/>
        <w:overflowPunct/>
        <w:topLinePunct w:val="0"/>
        <w:autoSpaceDE/>
        <w:autoSpaceDN/>
        <w:bidi w:val="0"/>
        <w:adjustRightInd/>
        <w:snapToGrid/>
        <w:spacing w:line="560" w:lineRule="exact"/>
        <w:ind w:firstLine="560" w:firstLineChars="200"/>
        <w:jc w:val="left"/>
        <w:textAlignment w:val="auto"/>
        <w:rPr>
          <w:rFonts w:hint="default"/>
          <w:b w:val="0"/>
          <w:bCs w:val="0"/>
          <w:sz w:val="28"/>
          <w:szCs w:val="28"/>
          <w:lang w:val="en-US" w:eastAsia="zh-CN"/>
        </w:rPr>
      </w:pPr>
      <w:r>
        <w:rPr>
          <w:rFonts w:hint="eastAsia" w:ascii="仿宋_GB2312" w:hAnsi="仿宋_GB2312" w:eastAsia="仿宋_GB2312" w:cs="仿宋_GB2312"/>
          <w:b w:val="0"/>
          <w:bCs w:val="0"/>
          <w:color w:val="auto"/>
          <w:sz w:val="28"/>
          <w:szCs w:val="28"/>
          <w:lang w:val="en-US" w:eastAsia="zh-CN"/>
        </w:rPr>
        <w:t>关于评分证明材料部分，竞选人在文件内容中，应保证具体的证明材料与评分标准的要求一一对应，并建议竞选人提供自评结果，以便评审小组核查。</w:t>
      </w:r>
    </w:p>
    <w:p w14:paraId="2751C847">
      <w:pPr>
        <w:pStyle w:val="10"/>
        <w:keepNext/>
        <w:keepLines/>
        <w:pageBreakBefore w:val="0"/>
        <w:widowControl w:val="0"/>
        <w:numPr>
          <w:ilvl w:val="0"/>
          <w:numId w:val="14"/>
        </w:numPr>
        <w:suppressLineNumbers w:val="0"/>
        <w:wordWrap/>
        <w:topLinePunct w:val="0"/>
        <w:autoSpaceDE/>
        <w:autoSpaceDN/>
        <w:bidi w:val="0"/>
        <w:spacing w:beforeLines="0" w:beforeAutospacing="0" w:afterLines="0" w:afterAutospacing="0" w:line="560" w:lineRule="exact"/>
        <w:ind w:left="0" w:leftChars="0" w:firstLine="640" w:firstLineChars="200"/>
        <w:jc w:val="left"/>
        <w:outlineLvl w:val="1"/>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评审流程</w:t>
      </w:r>
    </w:p>
    <w:p w14:paraId="28948E15">
      <w:pPr>
        <w:pageBreakBefore w:val="0"/>
        <w:wordWrap/>
        <w:topLinePunct w:val="0"/>
        <w:bidi w:val="0"/>
        <w:adjustRightInd w:val="0"/>
        <w:snapToGrid w:val="0"/>
        <w:spacing w:line="560" w:lineRule="exact"/>
        <w:ind w:firstLine="640" w:firstLineChars="200"/>
        <w:jc w:val="left"/>
        <w:outlineLvl w:val="2"/>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一</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按本公告第五条确定的</w:t>
      </w:r>
      <w:r>
        <w:rPr>
          <w:rFonts w:hint="eastAsia" w:ascii="仿宋_GB2312" w:hAnsi="仿宋_GB2312" w:eastAsia="仿宋_GB2312" w:cs="仿宋_GB2312"/>
          <w:bCs/>
          <w:color w:val="auto"/>
          <w:sz w:val="32"/>
          <w:szCs w:val="32"/>
          <w:highlight w:val="none"/>
          <w:lang w:val="en-US" w:eastAsia="zh-CN"/>
        </w:rPr>
        <w:t>询比</w:t>
      </w:r>
      <w:r>
        <w:rPr>
          <w:rFonts w:hint="eastAsia" w:ascii="仿宋_GB2312" w:hAnsi="仿宋_GB2312" w:eastAsia="仿宋_GB2312" w:cs="仿宋_GB2312"/>
          <w:bCs/>
          <w:color w:val="auto"/>
          <w:sz w:val="32"/>
          <w:szCs w:val="32"/>
          <w:highlight w:val="none"/>
        </w:rPr>
        <w:t>时间和地点，</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bCs/>
          <w:color w:val="auto"/>
          <w:sz w:val="32"/>
          <w:szCs w:val="32"/>
          <w:highlight w:val="none"/>
        </w:rPr>
        <w:t>、评审</w:t>
      </w:r>
      <w:r>
        <w:rPr>
          <w:rFonts w:hint="eastAsia" w:ascii="仿宋_GB2312" w:hAnsi="仿宋_GB2312" w:eastAsia="仿宋_GB2312" w:cs="仿宋_GB2312"/>
          <w:bCs/>
          <w:color w:val="auto"/>
          <w:sz w:val="32"/>
          <w:szCs w:val="32"/>
          <w:highlight w:val="none"/>
          <w:lang w:val="en-US" w:eastAsia="zh-CN"/>
        </w:rPr>
        <w:t>小</w:t>
      </w:r>
      <w:r>
        <w:rPr>
          <w:rFonts w:hint="eastAsia" w:ascii="仿宋_GB2312" w:hAnsi="仿宋_GB2312" w:eastAsia="仿宋_GB2312" w:cs="仿宋_GB2312"/>
          <w:bCs/>
          <w:color w:val="auto"/>
          <w:sz w:val="32"/>
          <w:szCs w:val="32"/>
          <w:highlight w:val="none"/>
        </w:rPr>
        <w:t>组签到。</w:t>
      </w:r>
    </w:p>
    <w:p w14:paraId="4C0EC90A">
      <w:pPr>
        <w:pageBreakBefore w:val="0"/>
        <w:wordWrap/>
        <w:topLinePunct w:val="0"/>
        <w:bidi w:val="0"/>
        <w:adjustRightInd w:val="0"/>
        <w:snapToGrid w:val="0"/>
        <w:spacing w:line="560" w:lineRule="exact"/>
        <w:ind w:firstLine="640" w:firstLineChars="200"/>
        <w:jc w:val="left"/>
        <w:outlineLvl w:val="2"/>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color w:val="auto"/>
          <w:sz w:val="32"/>
          <w:szCs w:val="32"/>
          <w:highlight w:val="none"/>
          <w:lang w:val="en-US" w:eastAsia="zh-CN"/>
        </w:rPr>
        <w:t>（二）供应商</w:t>
      </w:r>
      <w:r>
        <w:rPr>
          <w:rFonts w:hint="eastAsia" w:ascii="仿宋_GB2312" w:hAnsi="仿宋_GB2312" w:eastAsia="仿宋_GB2312" w:cs="仿宋_GB2312"/>
          <w:bCs/>
          <w:color w:val="auto"/>
          <w:sz w:val="32"/>
          <w:szCs w:val="32"/>
          <w:highlight w:val="none"/>
        </w:rPr>
        <w:t>提交密封好的响应文件，评审</w:t>
      </w:r>
      <w:r>
        <w:rPr>
          <w:rFonts w:hint="eastAsia" w:ascii="仿宋_GB2312" w:hAnsi="仿宋_GB2312" w:eastAsia="仿宋_GB2312" w:cs="仿宋_GB2312"/>
          <w:bCs/>
          <w:color w:val="auto"/>
          <w:sz w:val="32"/>
          <w:szCs w:val="32"/>
          <w:highlight w:val="none"/>
          <w:lang w:val="en-US" w:eastAsia="zh-CN"/>
        </w:rPr>
        <w:t>小</w:t>
      </w:r>
      <w:r>
        <w:rPr>
          <w:rFonts w:hint="eastAsia" w:ascii="仿宋_GB2312" w:hAnsi="仿宋_GB2312" w:eastAsia="仿宋_GB2312" w:cs="仿宋_GB2312"/>
          <w:bCs/>
          <w:color w:val="auto"/>
          <w:sz w:val="32"/>
          <w:szCs w:val="32"/>
          <w:highlight w:val="none"/>
        </w:rPr>
        <w:t>组根据资料对</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bCs/>
          <w:color w:val="auto"/>
          <w:sz w:val="32"/>
          <w:szCs w:val="32"/>
          <w:highlight w:val="none"/>
        </w:rPr>
        <w:t>进行资格审查</w:t>
      </w:r>
      <w:r>
        <w:rPr>
          <w:rFonts w:hint="eastAsia" w:ascii="仿宋_GB2312" w:hAnsi="仿宋_GB2312" w:eastAsia="仿宋_GB2312" w:cs="仿宋_GB2312"/>
          <w:bCs/>
          <w:color w:val="auto"/>
          <w:sz w:val="32"/>
          <w:szCs w:val="32"/>
          <w:highlight w:val="none"/>
          <w:lang w:val="en-US" w:eastAsia="zh-CN"/>
        </w:rPr>
        <w:t>和符合性审查</w:t>
      </w:r>
      <w:r>
        <w:rPr>
          <w:rFonts w:hint="eastAsia" w:ascii="仿宋_GB2312" w:hAnsi="仿宋_GB2312" w:eastAsia="仿宋_GB2312" w:cs="仿宋_GB2312"/>
          <w:bCs/>
          <w:color w:val="auto"/>
          <w:sz w:val="32"/>
          <w:szCs w:val="32"/>
          <w:highlight w:val="none"/>
        </w:rPr>
        <w:t>。通过审查的</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bCs/>
          <w:color w:val="auto"/>
          <w:sz w:val="32"/>
          <w:szCs w:val="32"/>
          <w:highlight w:val="none"/>
        </w:rPr>
        <w:t>未达到3个则中止本次</w:t>
      </w:r>
      <w:r>
        <w:rPr>
          <w:rFonts w:hint="eastAsia" w:ascii="仿宋_GB2312" w:hAnsi="仿宋_GB2312" w:eastAsia="仿宋_GB2312" w:cs="仿宋_GB2312"/>
          <w:bCs/>
          <w:color w:val="auto"/>
          <w:sz w:val="32"/>
          <w:szCs w:val="32"/>
          <w:highlight w:val="none"/>
          <w:lang w:val="en-US" w:eastAsia="zh-CN"/>
        </w:rPr>
        <w:t>询比</w:t>
      </w:r>
      <w:r>
        <w:rPr>
          <w:rFonts w:hint="eastAsia" w:ascii="仿宋_GB2312" w:hAnsi="仿宋_GB2312" w:eastAsia="仿宋_GB2312" w:cs="仿宋_GB2312"/>
          <w:bCs/>
          <w:color w:val="auto"/>
          <w:sz w:val="32"/>
          <w:szCs w:val="32"/>
          <w:highlight w:val="none"/>
        </w:rPr>
        <w:t>。</w:t>
      </w:r>
    </w:p>
    <w:p w14:paraId="30D48A4F">
      <w:pPr>
        <w:pageBreakBefore w:val="0"/>
        <w:wordWrap/>
        <w:topLinePunct w:val="0"/>
        <w:bidi w:val="0"/>
        <w:adjustRightInd w:val="0"/>
        <w:snapToGrid w:val="0"/>
        <w:spacing w:line="560" w:lineRule="exact"/>
        <w:ind w:firstLine="640" w:firstLineChars="200"/>
        <w:jc w:val="left"/>
        <w:outlineLvl w:val="2"/>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三</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评审现场由通过资格</w:t>
      </w:r>
      <w:r>
        <w:rPr>
          <w:rFonts w:hint="eastAsia" w:ascii="仿宋_GB2312" w:hAnsi="仿宋_GB2312" w:eastAsia="仿宋_GB2312" w:cs="仿宋_GB2312"/>
          <w:bCs/>
          <w:color w:val="auto"/>
          <w:sz w:val="32"/>
          <w:szCs w:val="32"/>
          <w:highlight w:val="none"/>
          <w:lang w:val="en-US" w:eastAsia="zh-CN"/>
        </w:rPr>
        <w:t>和符合性</w:t>
      </w:r>
      <w:r>
        <w:rPr>
          <w:rFonts w:hint="eastAsia" w:ascii="仿宋_GB2312" w:hAnsi="仿宋_GB2312" w:eastAsia="仿宋_GB2312" w:cs="仿宋_GB2312"/>
          <w:bCs/>
          <w:color w:val="auto"/>
          <w:sz w:val="32"/>
          <w:szCs w:val="32"/>
          <w:highlight w:val="none"/>
        </w:rPr>
        <w:t>审查的</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bCs/>
          <w:color w:val="auto"/>
          <w:sz w:val="32"/>
          <w:szCs w:val="32"/>
          <w:highlight w:val="none"/>
        </w:rPr>
        <w:t>进行陈述，并回答评委提问。陈述时间不超过15分钟，陈述内容应包括本</w:t>
      </w:r>
      <w:r>
        <w:rPr>
          <w:rFonts w:hint="eastAsia" w:ascii="仿宋_GB2312" w:hAnsi="仿宋_GB2312" w:eastAsia="仿宋_GB2312" w:cs="仿宋_GB2312"/>
          <w:bCs/>
          <w:color w:val="auto"/>
          <w:sz w:val="32"/>
          <w:szCs w:val="32"/>
          <w:highlight w:val="none"/>
          <w:lang w:val="en-US" w:eastAsia="zh-CN"/>
        </w:rPr>
        <w:t>单位</w:t>
      </w:r>
      <w:r>
        <w:rPr>
          <w:rFonts w:hint="eastAsia" w:ascii="仿宋_GB2312" w:hAnsi="仿宋_GB2312" w:eastAsia="仿宋_GB2312" w:cs="仿宋_GB2312"/>
          <w:bCs/>
          <w:color w:val="auto"/>
          <w:sz w:val="32"/>
          <w:szCs w:val="32"/>
          <w:highlight w:val="none"/>
        </w:rPr>
        <w:t>基本情况、项目组成员情况、</w:t>
      </w:r>
      <w:r>
        <w:rPr>
          <w:rFonts w:hint="eastAsia" w:ascii="仿宋_GB2312" w:hAnsi="仿宋_GB2312" w:eastAsia="仿宋_GB2312" w:cs="仿宋_GB2312"/>
          <w:bCs/>
          <w:color w:val="auto"/>
          <w:sz w:val="32"/>
          <w:szCs w:val="32"/>
          <w:highlight w:val="none"/>
          <w:lang w:val="en-US" w:eastAsia="zh-CN"/>
        </w:rPr>
        <w:t>响应</w:t>
      </w:r>
      <w:r>
        <w:rPr>
          <w:rFonts w:hint="eastAsia" w:ascii="仿宋_GB2312" w:hAnsi="仿宋_GB2312" w:eastAsia="仿宋_GB2312" w:cs="仿宋_GB2312"/>
          <w:bCs/>
          <w:color w:val="auto"/>
          <w:sz w:val="32"/>
          <w:szCs w:val="32"/>
          <w:highlight w:val="none"/>
        </w:rPr>
        <w:t>方案和报价等。评</w:t>
      </w:r>
      <w:r>
        <w:rPr>
          <w:rFonts w:hint="eastAsia" w:ascii="仿宋_GB2312" w:hAnsi="仿宋_GB2312" w:eastAsia="仿宋_GB2312" w:cs="仿宋_GB2312"/>
          <w:bCs/>
          <w:color w:val="auto"/>
          <w:sz w:val="32"/>
          <w:szCs w:val="32"/>
          <w:highlight w:val="none"/>
          <w:lang w:val="en-US" w:eastAsia="zh-CN"/>
        </w:rPr>
        <w:t>审人员</w:t>
      </w:r>
      <w:r>
        <w:rPr>
          <w:rFonts w:hint="eastAsia" w:ascii="仿宋_GB2312" w:hAnsi="仿宋_GB2312" w:eastAsia="仿宋_GB2312" w:cs="仿宋_GB2312"/>
          <w:bCs/>
          <w:color w:val="auto"/>
          <w:sz w:val="32"/>
          <w:szCs w:val="32"/>
          <w:highlight w:val="none"/>
        </w:rPr>
        <w:t>提问时间不超过10分钟。</w:t>
      </w:r>
    </w:p>
    <w:p w14:paraId="7E6A8701">
      <w:pPr>
        <w:pageBreakBefore w:val="0"/>
        <w:wordWrap/>
        <w:topLinePunct w:val="0"/>
        <w:bidi w:val="0"/>
        <w:adjustRightInd w:val="0"/>
        <w:snapToGrid w:val="0"/>
        <w:spacing w:line="560" w:lineRule="exact"/>
        <w:ind w:firstLine="640" w:firstLineChars="200"/>
        <w:jc w:val="left"/>
        <w:outlineLvl w:val="2"/>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（四）评审小组按照</w:t>
      </w:r>
      <w:r>
        <w:rPr>
          <w:rFonts w:hint="eastAsia" w:ascii="仿宋_GB2312" w:hAnsi="仿宋_GB2312" w:eastAsia="仿宋_GB2312" w:cs="仿宋_GB2312"/>
          <w:color w:val="auto"/>
          <w:sz w:val="32"/>
          <w:szCs w:val="32"/>
          <w:highlight w:val="none"/>
          <w:lang w:val="en-US" w:eastAsia="zh-CN"/>
        </w:rPr>
        <w:t>询比采购</w:t>
      </w:r>
      <w:r>
        <w:rPr>
          <w:rFonts w:hint="eastAsia" w:ascii="仿宋_GB2312" w:hAnsi="仿宋_GB2312" w:eastAsia="仿宋_GB2312" w:cs="仿宋_GB2312"/>
          <w:bCs/>
          <w:color w:val="auto"/>
          <w:sz w:val="32"/>
          <w:szCs w:val="32"/>
          <w:highlight w:val="none"/>
          <w:lang w:val="en-US" w:eastAsia="zh-CN"/>
        </w:rPr>
        <w:t>文件中规定的评审方式</w:t>
      </w:r>
      <w:r>
        <w:rPr>
          <w:rFonts w:hint="eastAsia" w:ascii="仿宋_GB2312" w:hAnsi="仿宋_GB2312" w:eastAsia="仿宋_GB2312" w:cs="仿宋_GB2312"/>
          <w:bCs/>
          <w:color w:val="auto"/>
          <w:sz w:val="32"/>
          <w:szCs w:val="32"/>
          <w:highlight w:val="none"/>
        </w:rPr>
        <w:t>进行</w:t>
      </w:r>
      <w:r>
        <w:rPr>
          <w:rFonts w:hint="eastAsia" w:ascii="仿宋_GB2312" w:hAnsi="仿宋_GB2312" w:eastAsia="仿宋_GB2312" w:cs="仿宋_GB2312"/>
          <w:color w:val="auto"/>
          <w:sz w:val="32"/>
          <w:highlight w:val="none"/>
        </w:rPr>
        <w:t>客观、公正评审</w:t>
      </w: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color w:val="auto"/>
          <w:sz w:val="32"/>
          <w:highlight w:val="none"/>
        </w:rPr>
        <w:t>按评审总得分高低排序，推荐</w:t>
      </w:r>
      <w:r>
        <w:rPr>
          <w:rFonts w:hint="eastAsia" w:ascii="仿宋_GB2312" w:hAnsi="仿宋_GB2312" w:eastAsia="仿宋_GB2312" w:cs="仿宋_GB2312"/>
          <w:color w:val="auto"/>
          <w:sz w:val="32"/>
          <w:highlight w:val="none"/>
          <w:lang w:val="en-US" w:eastAsia="zh-CN"/>
        </w:rPr>
        <w:t>排名前三的成交</w:t>
      </w:r>
      <w:r>
        <w:rPr>
          <w:rFonts w:hint="eastAsia" w:ascii="仿宋_GB2312" w:hAnsi="仿宋_GB2312" w:eastAsia="仿宋_GB2312" w:cs="仿宋_GB2312"/>
          <w:color w:val="auto"/>
          <w:sz w:val="32"/>
          <w:highlight w:val="none"/>
        </w:rPr>
        <w:t>候选人</w:t>
      </w:r>
      <w:r>
        <w:rPr>
          <w:rFonts w:hint="eastAsia" w:ascii="仿宋_GB2312" w:hAnsi="仿宋_GB2312" w:eastAsia="仿宋_GB2312" w:cs="仿宋_GB2312"/>
          <w:bCs/>
          <w:color w:val="auto"/>
          <w:sz w:val="32"/>
          <w:szCs w:val="32"/>
          <w:highlight w:val="none"/>
        </w:rPr>
        <w:t>。</w:t>
      </w:r>
      <w:bookmarkStart w:id="19" w:name="_Toc1238430640"/>
      <w:bookmarkStart w:id="20" w:name="_Toc21315"/>
      <w:bookmarkStart w:id="21" w:name="_Toc20481"/>
      <w:bookmarkStart w:id="22" w:name="_Toc18420"/>
    </w:p>
    <w:p w14:paraId="3881DF18">
      <w:pPr>
        <w:pStyle w:val="22"/>
        <w:pageBreakBefore w:val="0"/>
        <w:wordWrap/>
        <w:topLinePunct w:val="0"/>
        <w:bidi w:val="0"/>
        <w:spacing w:line="560" w:lineRule="exact"/>
        <w:jc w:val="left"/>
        <w:rPr>
          <w:rFonts w:hint="eastAsia" w:ascii="仿宋_GB2312" w:hAnsi="仿宋_GB2312" w:eastAsia="仿宋_GB2312" w:cs="仿宋_GB2312"/>
          <w:bCs/>
          <w:color w:val="auto"/>
          <w:sz w:val="32"/>
          <w:szCs w:val="32"/>
          <w:highlight w:val="none"/>
        </w:rPr>
      </w:pPr>
    </w:p>
    <w:p w14:paraId="05C27AC6">
      <w:pPr>
        <w:pStyle w:val="22"/>
        <w:pageBreakBefore w:val="0"/>
        <w:wordWrap/>
        <w:topLinePunct w:val="0"/>
        <w:bidi w:val="0"/>
        <w:spacing w:line="560" w:lineRule="exact"/>
        <w:jc w:val="left"/>
        <w:rPr>
          <w:rFonts w:hint="eastAsia" w:ascii="仿宋_GB2312" w:hAnsi="仿宋_GB2312" w:eastAsia="仿宋_GB2312" w:cs="仿宋_GB2312"/>
          <w:bCs/>
          <w:color w:val="auto"/>
          <w:sz w:val="32"/>
          <w:szCs w:val="32"/>
          <w:highlight w:val="none"/>
        </w:rPr>
      </w:pPr>
    </w:p>
    <w:p w14:paraId="42114409">
      <w:pPr>
        <w:pStyle w:val="22"/>
        <w:pageBreakBefore w:val="0"/>
        <w:wordWrap/>
        <w:topLinePunct w:val="0"/>
        <w:bidi w:val="0"/>
        <w:spacing w:line="560" w:lineRule="exact"/>
        <w:jc w:val="left"/>
        <w:rPr>
          <w:rFonts w:hint="eastAsia" w:ascii="仿宋_GB2312" w:hAnsi="仿宋_GB2312" w:eastAsia="仿宋_GB2312" w:cs="仿宋_GB2312"/>
          <w:bCs/>
          <w:color w:val="auto"/>
          <w:sz w:val="32"/>
          <w:szCs w:val="32"/>
          <w:highlight w:val="none"/>
        </w:rPr>
      </w:pPr>
    </w:p>
    <w:p w14:paraId="74FBD8AD">
      <w:pPr>
        <w:pStyle w:val="22"/>
        <w:pageBreakBefore w:val="0"/>
        <w:wordWrap/>
        <w:topLinePunct w:val="0"/>
        <w:bidi w:val="0"/>
        <w:spacing w:line="560" w:lineRule="exact"/>
        <w:jc w:val="left"/>
        <w:rPr>
          <w:rFonts w:hint="eastAsia" w:ascii="仿宋_GB2312" w:hAnsi="仿宋_GB2312" w:eastAsia="仿宋_GB2312" w:cs="仿宋_GB2312"/>
          <w:bCs/>
          <w:color w:val="auto"/>
          <w:sz w:val="32"/>
          <w:szCs w:val="32"/>
          <w:highlight w:val="none"/>
        </w:rPr>
      </w:pPr>
    </w:p>
    <w:p w14:paraId="60AFC4F9">
      <w:pPr>
        <w:pStyle w:val="22"/>
        <w:pageBreakBefore w:val="0"/>
        <w:wordWrap/>
        <w:topLinePunct w:val="0"/>
        <w:bidi w:val="0"/>
        <w:spacing w:line="560" w:lineRule="exact"/>
        <w:jc w:val="left"/>
        <w:rPr>
          <w:rFonts w:hint="eastAsia" w:ascii="仿宋_GB2312" w:hAnsi="仿宋_GB2312" w:eastAsia="仿宋_GB2312" w:cs="仿宋_GB2312"/>
          <w:bCs/>
          <w:color w:val="auto"/>
          <w:sz w:val="32"/>
          <w:szCs w:val="32"/>
          <w:highlight w:val="none"/>
        </w:rPr>
      </w:pPr>
    </w:p>
    <w:p w14:paraId="0B72A1D7">
      <w:pPr>
        <w:pStyle w:val="22"/>
        <w:pageBreakBefore w:val="0"/>
        <w:wordWrap/>
        <w:topLinePunct w:val="0"/>
        <w:bidi w:val="0"/>
        <w:spacing w:line="560" w:lineRule="exact"/>
        <w:jc w:val="left"/>
        <w:rPr>
          <w:rFonts w:hint="eastAsia" w:ascii="仿宋_GB2312" w:hAnsi="仿宋_GB2312" w:eastAsia="仿宋_GB2312" w:cs="仿宋_GB2312"/>
          <w:bCs/>
          <w:color w:val="auto"/>
          <w:sz w:val="32"/>
          <w:szCs w:val="32"/>
          <w:highlight w:val="none"/>
        </w:rPr>
      </w:pPr>
    </w:p>
    <w:p w14:paraId="416E5DAD">
      <w:pPr>
        <w:pStyle w:val="9"/>
        <w:pageBreakBefore w:val="0"/>
        <w:wordWrap/>
        <w:topLinePunct w:val="0"/>
        <w:bidi w:val="0"/>
        <w:spacing w:before="0" w:after="0" w:line="560" w:lineRule="exact"/>
        <w:jc w:val="center"/>
        <w:rPr>
          <w:rFonts w:hint="eastAsia" w:ascii="方正小标宋简体" w:hAnsi="方正小标宋简体" w:eastAsia="方正小标宋简体" w:cs="方正小标宋简体"/>
          <w:b w:val="0"/>
          <w:bCs w:val="0"/>
          <w:color w:val="auto"/>
          <w:kern w:val="0"/>
          <w:sz w:val="44"/>
          <w:szCs w:val="44"/>
          <w:highlight w:val="none"/>
          <w:lang w:val="en-US" w:eastAsia="zh" w:bidi="ar-SA"/>
        </w:rPr>
      </w:pPr>
    </w:p>
    <w:p w14:paraId="63EE4299">
      <w:pPr>
        <w:keepNext w:val="0"/>
        <w:keepLines w:val="0"/>
        <w:pageBreakBefore w:val="0"/>
        <w:widowControl w:val="0"/>
        <w:kinsoku/>
        <w:wordWrap/>
        <w:overflowPunct/>
        <w:topLinePunct w:val="0"/>
        <w:autoSpaceDE/>
        <w:autoSpaceDN/>
        <w:bidi w:val="0"/>
        <w:adjustRightInd/>
        <w:snapToGrid/>
        <w:spacing w:beforeLines="0" w:afterLines="0" w:line="560" w:lineRule="exact"/>
        <w:ind w:firstLine="880" w:firstLineChars="200"/>
        <w:jc w:val="center"/>
        <w:textAlignment w:val="auto"/>
        <w:outlineLvl w:val="0"/>
        <w:rPr>
          <w:rStyle w:val="33"/>
          <w:rFonts w:hint="eastAsia" w:ascii="方正小标宋简体" w:hAnsi="黑体" w:eastAsia="方正小标宋简体" w:cs="宋体"/>
          <w:b w:val="0"/>
          <w:bCs w:val="0"/>
          <w:color w:val="auto"/>
          <w:kern w:val="0"/>
          <w:sz w:val="44"/>
          <w:highlight w:val="none"/>
          <w:lang w:val="en-US" w:eastAsia="zh"/>
        </w:rPr>
      </w:pPr>
    </w:p>
    <w:p w14:paraId="03923376">
      <w:pPr>
        <w:keepNext w:val="0"/>
        <w:keepLines w:val="0"/>
        <w:pageBreakBefore w:val="0"/>
        <w:widowControl w:val="0"/>
        <w:kinsoku/>
        <w:wordWrap/>
        <w:overflowPunct/>
        <w:topLinePunct w:val="0"/>
        <w:autoSpaceDE/>
        <w:autoSpaceDN/>
        <w:bidi w:val="0"/>
        <w:adjustRightInd/>
        <w:snapToGrid/>
        <w:spacing w:beforeLines="0" w:afterLines="0" w:line="560" w:lineRule="exact"/>
        <w:ind w:firstLine="880" w:firstLineChars="200"/>
        <w:jc w:val="center"/>
        <w:textAlignment w:val="auto"/>
        <w:outlineLvl w:val="0"/>
        <w:rPr>
          <w:rStyle w:val="33"/>
          <w:rFonts w:hint="eastAsia" w:ascii="方正小标宋简体" w:hAnsi="黑体" w:eastAsia="方正小标宋简体" w:cs="宋体"/>
          <w:b w:val="0"/>
          <w:bCs w:val="0"/>
          <w:color w:val="auto"/>
          <w:kern w:val="0"/>
          <w:sz w:val="44"/>
          <w:highlight w:val="none"/>
          <w:lang w:val="en-US" w:eastAsia="zh"/>
        </w:rPr>
      </w:pPr>
    </w:p>
    <w:p w14:paraId="0C306945">
      <w:pPr>
        <w:keepNext w:val="0"/>
        <w:keepLines w:val="0"/>
        <w:pageBreakBefore w:val="0"/>
        <w:widowControl w:val="0"/>
        <w:kinsoku/>
        <w:wordWrap/>
        <w:overflowPunct/>
        <w:topLinePunct w:val="0"/>
        <w:autoSpaceDE/>
        <w:autoSpaceDN/>
        <w:bidi w:val="0"/>
        <w:adjustRightInd/>
        <w:snapToGrid/>
        <w:spacing w:beforeLines="0" w:afterLines="0" w:line="560" w:lineRule="exact"/>
        <w:ind w:firstLine="880" w:firstLineChars="200"/>
        <w:jc w:val="center"/>
        <w:textAlignment w:val="auto"/>
        <w:outlineLvl w:val="0"/>
        <w:rPr>
          <w:rStyle w:val="33"/>
          <w:rFonts w:hint="eastAsia" w:ascii="方正小标宋简体" w:hAnsi="黑体" w:eastAsia="方正小标宋简体" w:cs="宋体"/>
          <w:b w:val="0"/>
          <w:bCs w:val="0"/>
          <w:color w:val="auto"/>
          <w:kern w:val="0"/>
          <w:sz w:val="44"/>
          <w:highlight w:val="none"/>
          <w:lang w:val="en-US" w:eastAsia="zh"/>
        </w:rPr>
      </w:pPr>
    </w:p>
    <w:p w14:paraId="0A3BA638">
      <w:pPr>
        <w:keepNext w:val="0"/>
        <w:keepLines w:val="0"/>
        <w:pageBreakBefore w:val="0"/>
        <w:widowControl w:val="0"/>
        <w:kinsoku/>
        <w:wordWrap/>
        <w:overflowPunct/>
        <w:topLinePunct w:val="0"/>
        <w:autoSpaceDE/>
        <w:autoSpaceDN/>
        <w:bidi w:val="0"/>
        <w:adjustRightInd/>
        <w:snapToGrid/>
        <w:spacing w:beforeLines="0" w:afterLines="0" w:line="560" w:lineRule="exact"/>
        <w:ind w:firstLine="880" w:firstLineChars="200"/>
        <w:jc w:val="center"/>
        <w:textAlignment w:val="auto"/>
        <w:outlineLvl w:val="0"/>
        <w:rPr>
          <w:rStyle w:val="33"/>
          <w:rFonts w:hint="eastAsia" w:ascii="方正小标宋简体" w:hAnsi="黑体" w:eastAsia="方正小标宋简体" w:cs="宋体"/>
          <w:b w:val="0"/>
          <w:bCs w:val="0"/>
          <w:color w:val="auto"/>
          <w:kern w:val="0"/>
          <w:sz w:val="44"/>
          <w:highlight w:val="none"/>
          <w:lang w:val="en-US" w:eastAsia="zh"/>
        </w:rPr>
      </w:pPr>
    </w:p>
    <w:p w14:paraId="71922EE3">
      <w:pPr>
        <w:keepNext w:val="0"/>
        <w:keepLines w:val="0"/>
        <w:pageBreakBefore w:val="0"/>
        <w:widowControl w:val="0"/>
        <w:kinsoku/>
        <w:wordWrap/>
        <w:overflowPunct/>
        <w:topLinePunct w:val="0"/>
        <w:autoSpaceDE/>
        <w:autoSpaceDN/>
        <w:bidi w:val="0"/>
        <w:adjustRightInd/>
        <w:snapToGrid/>
        <w:spacing w:beforeLines="0" w:afterLines="0" w:line="560" w:lineRule="exact"/>
        <w:ind w:firstLine="880" w:firstLineChars="200"/>
        <w:jc w:val="center"/>
        <w:textAlignment w:val="auto"/>
        <w:outlineLvl w:val="0"/>
        <w:rPr>
          <w:rStyle w:val="33"/>
          <w:rFonts w:hint="eastAsia" w:ascii="方正小标宋简体" w:hAnsi="黑体" w:eastAsia="方正小标宋简体" w:cs="宋体"/>
          <w:b w:val="0"/>
          <w:bCs w:val="0"/>
          <w:color w:val="auto"/>
          <w:kern w:val="0"/>
          <w:sz w:val="44"/>
          <w:highlight w:val="none"/>
          <w:lang w:val="en-US" w:eastAsia="zh"/>
        </w:rPr>
      </w:pPr>
    </w:p>
    <w:p w14:paraId="61A91C36">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outlineLvl w:val="0"/>
        <w:rPr>
          <w:rStyle w:val="33"/>
          <w:rFonts w:hint="eastAsia" w:ascii="方正小标宋简体" w:hAnsi="黑体" w:eastAsia="方正小标宋简体" w:cs="宋体"/>
          <w:b w:val="0"/>
          <w:bCs w:val="0"/>
          <w:color w:val="auto"/>
          <w:kern w:val="0"/>
          <w:sz w:val="44"/>
          <w:highlight w:val="none"/>
          <w:lang w:val="en-US" w:eastAsia="zh"/>
        </w:rPr>
      </w:pPr>
    </w:p>
    <w:p w14:paraId="33B67AF0">
      <w:pPr>
        <w:keepNext w:val="0"/>
        <w:keepLines w:val="0"/>
        <w:pageBreakBefore w:val="0"/>
        <w:widowControl w:val="0"/>
        <w:kinsoku/>
        <w:wordWrap/>
        <w:overflowPunct/>
        <w:topLinePunct w:val="0"/>
        <w:autoSpaceDE/>
        <w:autoSpaceDN/>
        <w:bidi w:val="0"/>
        <w:adjustRightInd/>
        <w:snapToGrid/>
        <w:spacing w:beforeLines="0" w:afterLines="0" w:line="560" w:lineRule="exact"/>
        <w:ind w:firstLine="880" w:firstLineChars="200"/>
        <w:jc w:val="center"/>
        <w:textAlignment w:val="auto"/>
        <w:outlineLvl w:val="0"/>
        <w:rPr>
          <w:rStyle w:val="33"/>
          <w:rFonts w:hint="eastAsia" w:ascii="方正小标宋简体" w:hAnsi="黑体" w:eastAsia="方正小标宋简体" w:cs="宋体"/>
          <w:b w:val="0"/>
          <w:bCs w:val="0"/>
          <w:color w:val="auto"/>
          <w:kern w:val="0"/>
          <w:sz w:val="44"/>
          <w:highlight w:val="none"/>
          <w:lang w:val="en-US" w:eastAsia="zh"/>
        </w:rPr>
      </w:pPr>
      <w:r>
        <w:rPr>
          <w:rStyle w:val="33"/>
          <w:rFonts w:hint="eastAsia" w:ascii="方正小标宋简体" w:hAnsi="黑体" w:eastAsia="方正小标宋简体" w:cs="宋体"/>
          <w:b w:val="0"/>
          <w:bCs w:val="0"/>
          <w:color w:val="auto"/>
          <w:kern w:val="0"/>
          <w:sz w:val="44"/>
          <w:highlight w:val="none"/>
          <w:lang w:val="en-US" w:eastAsia="zh"/>
        </w:rPr>
        <w:t>第</w:t>
      </w:r>
      <w:r>
        <w:rPr>
          <w:rStyle w:val="33"/>
          <w:rFonts w:hint="eastAsia" w:ascii="方正小标宋简体" w:hAnsi="黑体" w:eastAsia="方正小标宋简体" w:cs="宋体"/>
          <w:b w:val="0"/>
          <w:bCs w:val="0"/>
          <w:color w:val="auto"/>
          <w:kern w:val="0"/>
          <w:sz w:val="44"/>
          <w:highlight w:val="none"/>
          <w:lang w:val="en-US" w:eastAsia="zh-CN"/>
        </w:rPr>
        <w:t>五</w:t>
      </w:r>
      <w:r>
        <w:rPr>
          <w:rStyle w:val="33"/>
          <w:rFonts w:hint="eastAsia" w:ascii="方正小标宋简体" w:hAnsi="黑体" w:eastAsia="方正小标宋简体" w:cs="宋体"/>
          <w:b w:val="0"/>
          <w:bCs w:val="0"/>
          <w:color w:val="auto"/>
          <w:kern w:val="0"/>
          <w:sz w:val="44"/>
          <w:highlight w:val="none"/>
          <w:lang w:val="en-US" w:eastAsia="zh"/>
        </w:rPr>
        <w:t>章 响应文件格式</w:t>
      </w:r>
      <w:bookmarkEnd w:id="19"/>
      <w:bookmarkEnd w:id="20"/>
      <w:bookmarkEnd w:id="21"/>
      <w:bookmarkEnd w:id="22"/>
    </w:p>
    <w:p w14:paraId="133156A3">
      <w:pPr>
        <w:pStyle w:val="2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left"/>
        <w:textAlignment w:val="auto"/>
        <w:outlineLvl w:val="9"/>
        <w:rPr>
          <w:rFonts w:hint="eastAsia" w:ascii="仿宋_GB2312" w:hAnsi="仿宋_GB2312" w:eastAsia="仿宋_GB2312" w:cs="仿宋_GB2312"/>
          <w:b w:val="0"/>
          <w:bCs w:val="0"/>
          <w:color w:val="auto"/>
          <w:sz w:val="32"/>
          <w:highlight w:val="none"/>
        </w:rPr>
      </w:pPr>
    </w:p>
    <w:p w14:paraId="4CA0FC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封面（从本页开始，按顺序标注页码、制作目录、打印、装订）</w:t>
      </w:r>
    </w:p>
    <w:p w14:paraId="2F231D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color w:val="auto"/>
          <w:sz w:val="32"/>
          <w:szCs w:val="32"/>
          <w:highlight w:val="none"/>
        </w:rPr>
        <w:t>注</w:t>
      </w:r>
      <w:r>
        <w:rPr>
          <w:rFonts w:hint="eastAsia" w:ascii="仿宋_GB2312" w:hAnsi="仿宋_GB2312" w:eastAsia="仿宋_GB2312" w:cs="仿宋_GB2312"/>
          <w:color w:val="auto"/>
          <w:sz w:val="32"/>
          <w:szCs w:val="32"/>
          <w:highlight w:val="none"/>
        </w:rPr>
        <w:t>：申请材料用A4纸张，左侧装订，装订完毕后密封，</w:t>
      </w:r>
      <w:r>
        <w:rPr>
          <w:rFonts w:hint="eastAsia" w:ascii="仿宋_GB2312" w:hAnsi="仿宋_GB2312" w:eastAsia="仿宋_GB2312" w:cs="仿宋_GB2312"/>
          <w:color w:val="auto"/>
          <w:sz w:val="32"/>
          <w:szCs w:val="32"/>
          <w:highlight w:val="none"/>
          <w:lang w:val="en-US" w:eastAsia="zh-CN"/>
        </w:rPr>
        <w:t>1正4副</w:t>
      </w:r>
      <w:r>
        <w:rPr>
          <w:rFonts w:hint="eastAsia" w:ascii="仿宋_GB2312" w:hAnsi="仿宋_GB2312" w:eastAsia="仿宋_GB2312" w:cs="仿宋_GB2312"/>
          <w:color w:val="auto"/>
          <w:sz w:val="32"/>
          <w:szCs w:val="32"/>
          <w:highlight w:val="none"/>
        </w:rPr>
        <w:t>）</w:t>
      </w:r>
    </w:p>
    <w:p w14:paraId="00A70FED">
      <w:pPr>
        <w:pageBreakBefore w:val="0"/>
        <w:widowControl/>
        <w:wordWrap/>
        <w:topLinePunct w:val="0"/>
        <w:bidi w:val="0"/>
        <w:adjustRightInd w:val="0"/>
        <w:snapToGrid w:val="0"/>
        <w:spacing w:line="560" w:lineRule="exact"/>
        <w:jc w:val="center"/>
        <w:rPr>
          <w:rFonts w:hint="eastAsia" w:ascii="方正小标宋简体" w:hAnsi="方正小标宋简体" w:eastAsia="方正小标宋简体" w:cs="方正小标宋简体"/>
          <w:b w:val="0"/>
          <w:bCs w:val="0"/>
          <w:color w:val="auto"/>
          <w:sz w:val="44"/>
          <w:szCs w:val="44"/>
          <w:highlight w:val="none"/>
          <w:lang w:val="en-US"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XX项目</w:t>
      </w:r>
    </w:p>
    <w:p w14:paraId="53564B92">
      <w:pPr>
        <w:pageBreakBefore w:val="0"/>
        <w:widowControl/>
        <w:wordWrap/>
        <w:topLinePunct w:val="0"/>
        <w:bidi w:val="0"/>
        <w:adjustRightInd w:val="0"/>
        <w:snapToGrid w:val="0"/>
        <w:spacing w:line="560" w:lineRule="exact"/>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响应文件</w:t>
      </w:r>
    </w:p>
    <w:p w14:paraId="009F457B">
      <w:pPr>
        <w:pageBreakBefore w:val="0"/>
        <w:wordWrap/>
        <w:topLinePunct w:val="0"/>
        <w:bidi w:val="0"/>
        <w:spacing w:line="560" w:lineRule="exact"/>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（加盖公章）</w:t>
      </w:r>
    </w:p>
    <w:p w14:paraId="33BC671D">
      <w:pPr>
        <w:pageBreakBefore w:val="0"/>
        <w:wordWrap/>
        <w:topLinePunct w:val="0"/>
        <w:bidi w:val="0"/>
        <w:spacing w:line="560" w:lineRule="exact"/>
        <w:jc w:val="left"/>
        <w:rPr>
          <w:rFonts w:hint="eastAsia" w:ascii="仿宋_GB2312" w:hAnsi="仿宋_GB2312" w:eastAsia="仿宋_GB2312" w:cs="仿宋_GB2312"/>
          <w:color w:val="auto"/>
          <w:sz w:val="32"/>
          <w:szCs w:val="32"/>
          <w:highlight w:val="none"/>
        </w:rPr>
      </w:pPr>
    </w:p>
    <w:p w14:paraId="3B1D7AE3">
      <w:pPr>
        <w:pageBreakBefore w:val="0"/>
        <w:wordWrap/>
        <w:topLinePunct w:val="0"/>
        <w:bidi w:val="0"/>
        <w:spacing w:line="560" w:lineRule="exact"/>
        <w:jc w:val="left"/>
        <w:rPr>
          <w:rFonts w:hint="eastAsia" w:ascii="仿宋_GB2312" w:hAnsi="仿宋_GB2312" w:eastAsia="仿宋_GB2312" w:cs="仿宋_GB2312"/>
          <w:color w:val="auto"/>
          <w:sz w:val="32"/>
          <w:szCs w:val="32"/>
          <w:highlight w:val="none"/>
        </w:rPr>
      </w:pPr>
    </w:p>
    <w:p w14:paraId="1ABCD914">
      <w:pPr>
        <w:pStyle w:val="22"/>
        <w:pageBreakBefore w:val="0"/>
        <w:wordWrap/>
        <w:topLinePunct w:val="0"/>
        <w:bidi w:val="0"/>
        <w:spacing w:line="560" w:lineRule="exact"/>
        <w:ind w:firstLine="0" w:firstLineChars="0"/>
        <w:jc w:val="center"/>
        <w:rPr>
          <w:rFonts w:hint="eastAsia" w:ascii="仿宋_GB2312" w:hAnsi="仿宋_GB2312" w:eastAsia="仿宋_GB2312" w:cs="仿宋_GB2312"/>
          <w:color w:val="auto"/>
          <w:sz w:val="32"/>
          <w:szCs w:val="32"/>
          <w:highlight w:val="none"/>
        </w:rPr>
      </w:pPr>
    </w:p>
    <w:p w14:paraId="61182788">
      <w:pPr>
        <w:pageBreakBefore w:val="0"/>
        <w:wordWrap/>
        <w:topLinePunct w:val="0"/>
        <w:bidi w:val="0"/>
        <w:spacing w:line="560" w:lineRule="exact"/>
        <w:ind w:firstLine="1600" w:firstLineChars="500"/>
        <w:rPr>
          <w:rFonts w:hint="eastAsia" w:ascii="仿宋_GB2312" w:hAnsi="仿宋_GB2312" w:eastAsia="仿宋_GB2312" w:cs="仿宋_GB2312"/>
          <w:b w:val="0"/>
          <w:bCs w:val="0"/>
          <w:color w:val="auto"/>
          <w:sz w:val="32"/>
          <w:szCs w:val="32"/>
          <w:highlight w:val="none"/>
          <w:u w:val="single"/>
          <w:lang w:val="en-US" w:eastAsia="zh-CN"/>
        </w:rPr>
      </w:pPr>
      <w:r>
        <w:rPr>
          <w:rFonts w:hint="eastAsia" w:ascii="仿宋_GB2312" w:hAnsi="仿宋_GB2312" w:eastAsia="仿宋_GB2312" w:cs="仿宋_GB2312"/>
          <w:b w:val="0"/>
          <w:bCs w:val="0"/>
          <w:color w:val="auto"/>
          <w:sz w:val="32"/>
          <w:szCs w:val="32"/>
          <w:highlight w:val="none"/>
          <w:lang w:val="en-US" w:eastAsia="zh-CN"/>
        </w:rPr>
        <w:t>供应商</w:t>
      </w:r>
      <w:r>
        <w:rPr>
          <w:rFonts w:hint="eastAsia" w:ascii="仿宋_GB2312" w:hAnsi="仿宋_GB2312" w:eastAsia="仿宋_GB2312" w:cs="仿宋_GB2312"/>
          <w:b w:val="0"/>
          <w:bCs w:val="0"/>
          <w:color w:val="auto"/>
          <w:sz w:val="32"/>
          <w:szCs w:val="32"/>
          <w:highlight w:val="none"/>
        </w:rPr>
        <w:t>：</w:t>
      </w:r>
      <w:r>
        <w:rPr>
          <w:rFonts w:hint="eastAsia" w:ascii="仿宋_GB2312" w:hAnsi="仿宋_GB2312" w:eastAsia="仿宋_GB2312" w:cs="仿宋_GB2312"/>
          <w:b w:val="0"/>
          <w:bCs w:val="0"/>
          <w:color w:val="auto"/>
          <w:sz w:val="32"/>
          <w:szCs w:val="32"/>
          <w:highlight w:val="none"/>
          <w:u w:val="none"/>
          <w:lang w:val="en-US" w:eastAsia="zh-CN"/>
        </w:rPr>
        <w:t xml:space="preserve">  </w:t>
      </w:r>
      <w:r>
        <w:rPr>
          <w:rFonts w:hint="eastAsia" w:ascii="仿宋_GB2312" w:hAnsi="仿宋_GB2312" w:eastAsia="仿宋_GB2312" w:cs="仿宋_GB2312"/>
          <w:b w:val="0"/>
          <w:bCs w:val="0"/>
          <w:color w:val="auto"/>
          <w:sz w:val="32"/>
          <w:szCs w:val="32"/>
          <w:highlight w:val="none"/>
          <w:u w:val="single"/>
          <w:lang w:val="en-US" w:eastAsia="zh-CN"/>
        </w:rPr>
        <w:t xml:space="preserve">                    </w:t>
      </w:r>
    </w:p>
    <w:p w14:paraId="06A631BB">
      <w:pPr>
        <w:pageBreakBefore w:val="0"/>
        <w:wordWrap/>
        <w:topLinePunct w:val="0"/>
        <w:bidi w:val="0"/>
        <w:spacing w:line="560" w:lineRule="exact"/>
        <w:ind w:firstLine="1600" w:firstLineChars="500"/>
        <w:rPr>
          <w:rFonts w:hint="eastAsia" w:ascii="仿宋_GB2312" w:hAnsi="仿宋_GB2312" w:eastAsia="仿宋_GB2312" w:cs="仿宋_GB2312"/>
          <w:b w:val="0"/>
          <w:bCs w:val="0"/>
          <w:color w:val="auto"/>
          <w:sz w:val="32"/>
          <w:szCs w:val="32"/>
          <w:highlight w:val="none"/>
          <w:u w:val="single"/>
          <w:lang w:val="en-US" w:eastAsia="zh-CN"/>
        </w:rPr>
      </w:pPr>
    </w:p>
    <w:p w14:paraId="6C86A780">
      <w:pPr>
        <w:pStyle w:val="22"/>
        <w:pageBreakBefore w:val="0"/>
        <w:wordWrap/>
        <w:topLinePunct w:val="0"/>
        <w:bidi w:val="0"/>
        <w:spacing w:line="560" w:lineRule="exact"/>
        <w:ind w:left="0" w:leftChars="0" w:firstLine="0" w:firstLineChars="0"/>
        <w:jc w:val="center"/>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bCs w:val="0"/>
          <w:color w:val="auto"/>
          <w:sz w:val="32"/>
          <w:szCs w:val="32"/>
          <w:highlight w:val="none"/>
          <w:u w:val="single"/>
          <w:lang w:val="en-US" w:eastAsia="zh-CN"/>
        </w:rPr>
        <w:t xml:space="preserve">     </w:t>
      </w:r>
      <w:r>
        <w:rPr>
          <w:rFonts w:hint="eastAsia" w:ascii="仿宋_GB2312" w:hAnsi="仿宋_GB2312" w:eastAsia="仿宋_GB2312" w:cs="仿宋_GB2312"/>
          <w:b w:val="0"/>
          <w:bCs w:val="0"/>
          <w:color w:val="auto"/>
          <w:sz w:val="32"/>
          <w:szCs w:val="32"/>
          <w:highlight w:val="none"/>
        </w:rPr>
        <w:t>年</w:t>
      </w:r>
      <w:r>
        <w:rPr>
          <w:rFonts w:hint="eastAsia" w:ascii="仿宋_GB2312" w:hAnsi="仿宋_GB2312" w:eastAsia="仿宋_GB2312" w:cs="仿宋_GB2312"/>
          <w:b w:val="0"/>
          <w:bCs w:val="0"/>
          <w:color w:val="auto"/>
          <w:sz w:val="32"/>
          <w:szCs w:val="32"/>
          <w:highlight w:val="none"/>
          <w:u w:val="single"/>
        </w:rPr>
        <w:t xml:space="preserve">    </w:t>
      </w:r>
      <w:r>
        <w:rPr>
          <w:rFonts w:hint="eastAsia" w:ascii="仿宋_GB2312" w:hAnsi="仿宋_GB2312" w:eastAsia="仿宋_GB2312" w:cs="仿宋_GB2312"/>
          <w:b w:val="0"/>
          <w:bCs w:val="0"/>
          <w:color w:val="auto"/>
          <w:sz w:val="32"/>
          <w:szCs w:val="32"/>
          <w:highlight w:val="none"/>
        </w:rPr>
        <w:t>月</w:t>
      </w:r>
      <w:r>
        <w:rPr>
          <w:rFonts w:hint="eastAsia" w:ascii="仿宋_GB2312" w:hAnsi="仿宋_GB2312" w:eastAsia="仿宋_GB2312" w:cs="仿宋_GB2312"/>
          <w:b w:val="0"/>
          <w:bCs w:val="0"/>
          <w:color w:val="auto"/>
          <w:sz w:val="32"/>
          <w:szCs w:val="32"/>
          <w:highlight w:val="none"/>
          <w:u w:val="single"/>
        </w:rPr>
        <w:t xml:space="preserve">    </w:t>
      </w:r>
      <w:r>
        <w:rPr>
          <w:rFonts w:hint="eastAsia" w:ascii="仿宋_GB2312" w:hAnsi="仿宋_GB2312" w:eastAsia="仿宋_GB2312" w:cs="仿宋_GB2312"/>
          <w:b w:val="0"/>
          <w:bCs w:val="0"/>
          <w:color w:val="auto"/>
          <w:sz w:val="32"/>
          <w:szCs w:val="32"/>
          <w:highlight w:val="none"/>
        </w:rPr>
        <w:t>日</w:t>
      </w:r>
      <w:r>
        <w:rPr>
          <w:rFonts w:hint="eastAsia" w:ascii="仿宋_GB2312" w:hAnsi="仿宋_GB2312" w:eastAsia="仿宋_GB2312" w:cs="仿宋_GB2312"/>
          <w:color w:val="auto"/>
          <w:sz w:val="32"/>
          <w:szCs w:val="32"/>
          <w:highlight w:val="none"/>
        </w:rPr>
        <w:br w:type="page"/>
      </w:r>
      <w:r>
        <w:rPr>
          <w:rFonts w:hint="eastAsia" w:ascii="仿宋_GB2312" w:hAnsi="仿宋_GB2312" w:eastAsia="仿宋_GB2312" w:cs="仿宋_GB2312"/>
          <w:bCs/>
          <w:color w:val="auto"/>
          <w:kern w:val="36"/>
          <w:sz w:val="32"/>
          <w:szCs w:val="32"/>
          <w:highlight w:val="none"/>
        </w:rPr>
        <w:t>目录索引</w:t>
      </w:r>
    </w:p>
    <w:p w14:paraId="1B125D48">
      <w:pPr>
        <w:pStyle w:val="22"/>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rPr>
      </w:pPr>
    </w:p>
    <w:p w14:paraId="0C6445E1">
      <w:pPr>
        <w:pStyle w:val="22"/>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rPr>
      </w:pPr>
    </w:p>
    <w:p w14:paraId="7C8C4CAC">
      <w:pPr>
        <w:pStyle w:val="22"/>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rPr>
      </w:pPr>
    </w:p>
    <w:p w14:paraId="7AF23BEE">
      <w:pPr>
        <w:pStyle w:val="22"/>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rPr>
      </w:pPr>
    </w:p>
    <w:p w14:paraId="687D1616">
      <w:pPr>
        <w:pStyle w:val="22"/>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rPr>
      </w:pPr>
    </w:p>
    <w:p w14:paraId="45130789">
      <w:pPr>
        <w:pStyle w:val="22"/>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rPr>
      </w:pPr>
    </w:p>
    <w:p w14:paraId="7C0242D8">
      <w:pPr>
        <w:pStyle w:val="22"/>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rPr>
      </w:pPr>
    </w:p>
    <w:p w14:paraId="004A3163">
      <w:pPr>
        <w:pStyle w:val="22"/>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rPr>
      </w:pPr>
    </w:p>
    <w:p w14:paraId="72E65A85">
      <w:pPr>
        <w:pStyle w:val="22"/>
        <w:pageBreakBefore w:val="0"/>
        <w:wordWrap/>
        <w:topLinePunct w:val="0"/>
        <w:bidi w:val="0"/>
        <w:spacing w:line="560" w:lineRule="exact"/>
        <w:ind w:firstLine="0" w:firstLineChars="0"/>
        <w:jc w:val="center"/>
        <w:rPr>
          <w:rFonts w:hint="eastAsia" w:ascii="仿宋_GB2312" w:hAnsi="仿宋_GB2312" w:eastAsia="仿宋_GB2312" w:cs="仿宋_GB2312"/>
          <w:bCs/>
          <w:color w:val="auto"/>
          <w:kern w:val="36"/>
          <w:sz w:val="32"/>
          <w:szCs w:val="32"/>
          <w:highlight w:val="none"/>
        </w:rPr>
      </w:pPr>
    </w:p>
    <w:p w14:paraId="156F9742">
      <w:pPr>
        <w:pStyle w:val="22"/>
        <w:pageBreakBefore w:val="0"/>
        <w:wordWrap/>
        <w:topLinePunct w:val="0"/>
        <w:bidi w:val="0"/>
        <w:spacing w:line="560" w:lineRule="exact"/>
        <w:jc w:val="center"/>
        <w:rPr>
          <w:rFonts w:hint="eastAsia" w:ascii="仿宋_GB2312" w:hAnsi="仿宋_GB2312" w:eastAsia="仿宋_GB2312" w:cs="仿宋_GB2312"/>
          <w:bCs/>
          <w:color w:val="auto"/>
          <w:kern w:val="36"/>
          <w:sz w:val="32"/>
          <w:szCs w:val="32"/>
          <w:highlight w:val="none"/>
        </w:rPr>
      </w:pPr>
    </w:p>
    <w:p w14:paraId="7051A10A">
      <w:pPr>
        <w:pStyle w:val="22"/>
        <w:keepNext w:val="0"/>
        <w:keepLines w:val="0"/>
        <w:pageBreakBefore w:val="0"/>
        <w:widowControl w:val="0"/>
        <w:numPr>
          <w:ilvl w:val="0"/>
          <w:numId w:val="48"/>
        </w:numPr>
        <w:kinsoku/>
        <w:wordWrap/>
        <w:overflowPunct/>
        <w:topLinePunct w:val="0"/>
        <w:autoSpaceDE/>
        <w:autoSpaceDN/>
        <w:bidi w:val="0"/>
        <w:adjustRightInd/>
        <w:snapToGrid/>
        <w:spacing w:line="560" w:lineRule="exact"/>
        <w:ind w:left="210" w:firstLine="640" w:firstLineChars="200"/>
        <w:jc w:val="left"/>
        <w:textAlignment w:val="auto"/>
        <w:outlineLvl w:val="1"/>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rPr>
        <w:br w:type="page"/>
      </w:r>
      <w:r>
        <w:rPr>
          <w:rFonts w:hint="eastAsia" w:ascii="黑体" w:hAnsi="黑体" w:eastAsia="黑体" w:cs="黑体"/>
          <w:color w:val="auto"/>
          <w:sz w:val="32"/>
          <w:szCs w:val="32"/>
          <w:highlight w:val="none"/>
          <w:lang w:val="en-US" w:eastAsia="zh-CN"/>
        </w:rPr>
        <w:t>询比申请书</w:t>
      </w:r>
    </w:p>
    <w:p w14:paraId="303A319D">
      <w:pPr>
        <w:pageBreakBefore w:val="0"/>
        <w:wordWrap/>
        <w:topLinePunct w:val="0"/>
        <w:bidi w:val="0"/>
        <w:adjustRightInd w:val="0"/>
        <w:snapToGrid w:val="0"/>
        <w:spacing w:line="560" w:lineRule="exact"/>
        <w:jc w:val="center"/>
        <w:rPr>
          <w:rFonts w:hint="eastAsia" w:ascii="仿宋_GB2312" w:hAnsi="仿宋_GB2312" w:eastAsia="仿宋_GB2312" w:cs="仿宋_GB2312"/>
          <w:bCs/>
          <w:color w:val="auto"/>
          <w:kern w:val="36"/>
          <w:sz w:val="32"/>
          <w:szCs w:val="32"/>
          <w:highlight w:val="none"/>
        </w:rPr>
      </w:pPr>
    </w:p>
    <w:p w14:paraId="2F1A474D">
      <w:pPr>
        <w:pageBreakBefore w:val="0"/>
        <w:wordWrap/>
        <w:topLinePunct w:val="0"/>
        <w:bidi w:val="0"/>
        <w:adjustRightInd w:val="0"/>
        <w:snapToGrid w:val="0"/>
        <w:spacing w:line="560" w:lineRule="exact"/>
        <w:jc w:val="center"/>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询比申请书</w:t>
      </w:r>
    </w:p>
    <w:p w14:paraId="08BFB345">
      <w:pPr>
        <w:pStyle w:val="22"/>
        <w:pageBreakBefore w:val="0"/>
        <w:wordWrap/>
        <w:topLinePunct w:val="0"/>
        <w:bidi w:val="0"/>
        <w:spacing w:line="560" w:lineRule="exact"/>
        <w:ind w:left="840" w:hanging="840"/>
        <w:jc w:val="center"/>
        <w:rPr>
          <w:rFonts w:hint="eastAsia" w:ascii="仿宋_GB2312" w:hAnsi="仿宋_GB2312" w:eastAsia="仿宋_GB2312" w:cs="仿宋_GB2312"/>
          <w:color w:val="auto"/>
          <w:highlight w:val="none"/>
        </w:rPr>
      </w:pPr>
    </w:p>
    <w:p w14:paraId="026D9143">
      <w:pPr>
        <w:pageBreakBefore w:val="0"/>
        <w:wordWrap/>
        <w:topLinePunct w:val="0"/>
        <w:bidi w:val="0"/>
        <w:adjustRightInd w:val="0"/>
        <w:snapToGrid w:val="0"/>
        <w:spacing w:line="560" w:lineRule="exact"/>
        <w:ind w:left="640" w:hanging="640" w:hanging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XXX公司</w:t>
      </w:r>
      <w:r>
        <w:rPr>
          <w:rFonts w:hint="eastAsia" w:ascii="仿宋_GB2312" w:hAnsi="仿宋_GB2312" w:eastAsia="仿宋_GB2312" w:cs="仿宋_GB2312"/>
          <w:color w:val="auto"/>
          <w:sz w:val="32"/>
          <w:szCs w:val="32"/>
          <w:highlight w:val="none"/>
        </w:rPr>
        <w:t>：</w:t>
      </w:r>
    </w:p>
    <w:p w14:paraId="544F5EFA">
      <w:pPr>
        <w:pageBreakBefore w:val="0"/>
        <w:wordWrap/>
        <w:topLinePunct w:val="0"/>
        <w:bidi w:val="0"/>
        <w:adjustRightInd w:val="0"/>
        <w:snapToGrid w:val="0"/>
        <w:spacing w:line="560" w:lineRule="exact"/>
        <w:ind w:firstLine="64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u w:val="single"/>
          <w:lang w:val="en-US" w:eastAsia="zh-CN"/>
        </w:rPr>
        <w:t>供应商</w:t>
      </w:r>
      <w:r>
        <w:rPr>
          <w:rFonts w:hint="eastAsia" w:ascii="仿宋_GB2312" w:hAnsi="仿宋_GB2312" w:eastAsia="仿宋_GB2312" w:cs="仿宋_GB2312"/>
          <w:color w:val="auto"/>
          <w:sz w:val="32"/>
          <w:szCs w:val="32"/>
          <w:highlight w:val="none"/>
          <w:u w:val="single"/>
        </w:rPr>
        <w:t>名称</w:t>
      </w:r>
      <w:r>
        <w:rPr>
          <w:rFonts w:hint="eastAsia" w:ascii="仿宋_GB2312" w:hAnsi="仿宋_GB2312" w:eastAsia="仿宋_GB2312" w:cs="仿宋_GB2312"/>
          <w:color w:val="auto"/>
          <w:sz w:val="32"/>
          <w:szCs w:val="32"/>
          <w:highlight w:val="none"/>
        </w:rPr>
        <w:t>）已知悉</w:t>
      </w:r>
      <w:r>
        <w:rPr>
          <w:rFonts w:hint="eastAsia" w:ascii="仿宋_GB2312" w:hAnsi="仿宋_GB2312" w:eastAsia="仿宋_GB2312" w:cs="仿宋_GB2312"/>
          <w:color w:val="auto"/>
          <w:sz w:val="32"/>
          <w:szCs w:val="32"/>
          <w:highlight w:val="none"/>
          <w:lang w:val="en-US" w:eastAsia="zh-CN"/>
        </w:rPr>
        <w:t>XXX项目</w:t>
      </w:r>
      <w:r>
        <w:rPr>
          <w:rFonts w:hint="eastAsia" w:ascii="仿宋_GB2312" w:hAnsi="仿宋_GB2312" w:eastAsia="仿宋_GB2312" w:cs="仿宋_GB2312"/>
          <w:color w:val="auto"/>
          <w:sz w:val="32"/>
          <w:szCs w:val="32"/>
          <w:highlight w:val="none"/>
        </w:rPr>
        <w:t>的</w:t>
      </w:r>
      <w:r>
        <w:rPr>
          <w:rFonts w:hint="eastAsia" w:ascii="仿宋_GB2312" w:hAnsi="仿宋_GB2312" w:eastAsia="仿宋_GB2312" w:cs="仿宋_GB2312"/>
          <w:color w:val="auto"/>
          <w:sz w:val="32"/>
          <w:szCs w:val="32"/>
          <w:highlight w:val="none"/>
          <w:lang w:val="en-US" w:eastAsia="zh-CN"/>
        </w:rPr>
        <w:t>询比采购</w:t>
      </w:r>
      <w:r>
        <w:rPr>
          <w:rFonts w:hint="eastAsia" w:ascii="仿宋_GB2312" w:hAnsi="仿宋_GB2312" w:eastAsia="仿宋_GB2312" w:cs="仿宋_GB2312"/>
          <w:color w:val="auto"/>
          <w:sz w:val="32"/>
          <w:szCs w:val="32"/>
          <w:highlight w:val="none"/>
        </w:rPr>
        <w:t>公告，并充分了解贵单位发布的</w:t>
      </w:r>
      <w:r>
        <w:rPr>
          <w:rFonts w:hint="eastAsia" w:ascii="仿宋_GB2312" w:hAnsi="仿宋_GB2312" w:eastAsia="仿宋_GB2312" w:cs="仿宋_GB2312"/>
          <w:color w:val="auto"/>
          <w:sz w:val="32"/>
          <w:szCs w:val="32"/>
          <w:highlight w:val="none"/>
          <w:lang w:val="en-US" w:eastAsia="zh-CN"/>
        </w:rPr>
        <w:t>采购</w:t>
      </w:r>
      <w:r>
        <w:rPr>
          <w:rFonts w:hint="eastAsia" w:ascii="仿宋_GB2312" w:hAnsi="仿宋_GB2312" w:eastAsia="仿宋_GB2312" w:cs="仿宋_GB2312"/>
          <w:color w:val="auto"/>
          <w:sz w:val="32"/>
          <w:szCs w:val="32"/>
          <w:highlight w:val="none"/>
        </w:rPr>
        <w:t>内容及要求，现确认参加贵单位该项目的</w:t>
      </w:r>
      <w:r>
        <w:rPr>
          <w:rFonts w:hint="eastAsia" w:ascii="仿宋_GB2312" w:hAnsi="仿宋_GB2312" w:eastAsia="仿宋_GB2312" w:cs="仿宋_GB2312"/>
          <w:color w:val="auto"/>
          <w:sz w:val="32"/>
          <w:szCs w:val="32"/>
          <w:highlight w:val="none"/>
          <w:lang w:val="en-US" w:eastAsia="zh-CN"/>
        </w:rPr>
        <w:t>询比采购活动</w:t>
      </w:r>
      <w:r>
        <w:rPr>
          <w:rFonts w:hint="eastAsia" w:ascii="仿宋_GB2312" w:hAnsi="仿宋_GB2312" w:eastAsia="仿宋_GB2312" w:cs="仿宋_GB2312"/>
          <w:color w:val="auto"/>
          <w:sz w:val="32"/>
          <w:szCs w:val="32"/>
          <w:highlight w:val="none"/>
        </w:rPr>
        <w:t>。</w:t>
      </w:r>
    </w:p>
    <w:p w14:paraId="7E11C997">
      <w:pPr>
        <w:pageBreakBefore w:val="0"/>
        <w:wordWrap/>
        <w:topLinePunct w:val="0"/>
        <w:bidi w:val="0"/>
        <w:adjustRightInd w:val="0"/>
        <w:snapToGrid w:val="0"/>
        <w:spacing w:line="560" w:lineRule="exact"/>
        <w:ind w:firstLine="640"/>
        <w:jc w:val="left"/>
        <w:rPr>
          <w:rFonts w:hint="eastAsia" w:ascii="仿宋_GB2312" w:hAnsi="仿宋_GB2312" w:eastAsia="仿宋_GB2312" w:cs="仿宋_GB2312"/>
          <w:color w:val="auto"/>
          <w:sz w:val="32"/>
          <w:szCs w:val="32"/>
          <w:highlight w:val="none"/>
        </w:rPr>
      </w:pPr>
    </w:p>
    <w:p w14:paraId="57AFB93D">
      <w:pPr>
        <w:pageBreakBefore w:val="0"/>
        <w:wordWrap/>
        <w:topLinePunct w:val="0"/>
        <w:bidi w:val="0"/>
        <w:adjustRightInd w:val="0"/>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我单位负责本项目</w:t>
      </w:r>
      <w:r>
        <w:rPr>
          <w:rFonts w:hint="eastAsia" w:ascii="仿宋_GB2312" w:hAnsi="仿宋_GB2312" w:eastAsia="仿宋_GB2312" w:cs="仿宋_GB2312"/>
          <w:color w:val="auto"/>
          <w:sz w:val="32"/>
          <w:szCs w:val="32"/>
          <w:highlight w:val="none"/>
          <w:lang w:val="en-US" w:eastAsia="zh-CN"/>
        </w:rPr>
        <w:t>询比</w:t>
      </w:r>
      <w:r>
        <w:rPr>
          <w:rFonts w:hint="eastAsia" w:ascii="仿宋_GB2312" w:hAnsi="仿宋_GB2312" w:eastAsia="仿宋_GB2312" w:cs="仿宋_GB2312"/>
          <w:color w:val="auto"/>
          <w:sz w:val="32"/>
          <w:szCs w:val="32"/>
          <w:highlight w:val="none"/>
        </w:rPr>
        <w:t>的具体联系人：</w:t>
      </w:r>
    </w:p>
    <w:p w14:paraId="7BCEC925">
      <w:pPr>
        <w:pageBreakBefore w:val="0"/>
        <w:wordWrap/>
        <w:topLinePunct w:val="0"/>
        <w:bidi w:val="0"/>
        <w:adjustRightInd w:val="0"/>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联系电话：</w:t>
      </w:r>
    </w:p>
    <w:p w14:paraId="4A3135F1">
      <w:pPr>
        <w:pageBreakBefore w:val="0"/>
        <w:wordWrap/>
        <w:topLinePunct w:val="0"/>
        <w:bidi w:val="0"/>
        <w:adjustRightInd w:val="0"/>
        <w:snapToGrid w:val="0"/>
        <w:spacing w:line="560" w:lineRule="exact"/>
        <w:ind w:firstLine="560"/>
        <w:jc w:val="both"/>
        <w:rPr>
          <w:rFonts w:hint="eastAsia" w:ascii="仿宋_GB2312" w:hAnsi="仿宋_GB2312" w:eastAsia="仿宋_GB2312" w:cs="仿宋_GB2312"/>
          <w:color w:val="auto"/>
          <w:sz w:val="32"/>
          <w:szCs w:val="32"/>
          <w:highlight w:val="none"/>
        </w:rPr>
      </w:pPr>
    </w:p>
    <w:p w14:paraId="55A31D1C">
      <w:pPr>
        <w:pageBreakBefore w:val="0"/>
        <w:wordWrap/>
        <w:topLinePunct w:val="0"/>
        <w:bidi w:val="0"/>
        <w:adjustRightInd w:val="0"/>
        <w:snapToGrid w:val="0"/>
        <w:spacing w:line="560" w:lineRule="exact"/>
        <w:ind w:firstLine="560"/>
        <w:jc w:val="both"/>
        <w:rPr>
          <w:rFonts w:hint="eastAsia" w:ascii="仿宋_GB2312" w:hAnsi="仿宋_GB2312" w:eastAsia="仿宋_GB2312" w:cs="仿宋_GB2312"/>
          <w:color w:val="auto"/>
          <w:sz w:val="32"/>
          <w:szCs w:val="32"/>
          <w:highlight w:val="none"/>
        </w:rPr>
      </w:pPr>
    </w:p>
    <w:p w14:paraId="2DD1E7F5">
      <w:pPr>
        <w:pageBreakBefore w:val="0"/>
        <w:wordWrap/>
        <w:topLinePunct w:val="0"/>
        <w:bidi w:val="0"/>
        <w:adjustRightInd w:val="0"/>
        <w:snapToGrid w:val="0"/>
        <w:spacing w:line="560" w:lineRule="exact"/>
        <w:ind w:firstLine="560"/>
        <w:jc w:val="both"/>
        <w:rPr>
          <w:rFonts w:hint="eastAsia" w:ascii="仿宋_GB2312" w:hAnsi="仿宋_GB2312" w:eastAsia="仿宋_GB2312" w:cs="仿宋_GB2312"/>
          <w:color w:val="auto"/>
          <w:sz w:val="32"/>
          <w:szCs w:val="32"/>
          <w:highlight w:val="none"/>
        </w:rPr>
      </w:pPr>
    </w:p>
    <w:p w14:paraId="1BE5DCED">
      <w:pPr>
        <w:pageBreakBefore w:val="0"/>
        <w:wordWrap/>
        <w:topLinePunct w:val="0"/>
        <w:bidi w:val="0"/>
        <w:adjustRightInd w:val="0"/>
        <w:snapToGrid w:val="0"/>
        <w:spacing w:line="560" w:lineRule="exact"/>
        <w:ind w:left="0" w:leftChars="0" w:firstLine="3200" w:firstLineChars="10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：（全称、盖章）</w:t>
      </w:r>
    </w:p>
    <w:p w14:paraId="5F019E6D">
      <w:pPr>
        <w:pageBreakBefore w:val="0"/>
        <w:wordWrap/>
        <w:topLinePunct w:val="0"/>
        <w:bidi w:val="0"/>
        <w:adjustRightInd w:val="0"/>
        <w:snapToGrid w:val="0"/>
        <w:spacing w:line="560" w:lineRule="exact"/>
        <w:ind w:firstLine="3200" w:firstLineChars="10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法定代表人或委托代理人：（</w:t>
      </w:r>
      <w:r>
        <w:rPr>
          <w:rFonts w:hint="eastAsia" w:ascii="仿宋_GB2312" w:hAnsi="仿宋_GB2312" w:eastAsia="仿宋_GB2312" w:cs="仿宋_GB2312"/>
          <w:color w:val="auto"/>
          <w:sz w:val="32"/>
          <w:szCs w:val="32"/>
          <w:highlight w:val="none"/>
          <w:lang w:val="en-US" w:eastAsia="zh-CN"/>
        </w:rPr>
        <w:t>签字</w:t>
      </w:r>
      <w:r>
        <w:rPr>
          <w:rFonts w:hint="eastAsia" w:ascii="仿宋_GB2312" w:hAnsi="仿宋_GB2312" w:eastAsia="仿宋_GB2312" w:cs="仿宋_GB2312"/>
          <w:color w:val="auto"/>
          <w:sz w:val="32"/>
          <w:szCs w:val="32"/>
          <w:highlight w:val="none"/>
        </w:rPr>
        <w:t>）</w:t>
      </w:r>
    </w:p>
    <w:p w14:paraId="0B7DC427">
      <w:pPr>
        <w:pageBreakBefore w:val="0"/>
        <w:wordWrap/>
        <w:topLinePunct w:val="0"/>
        <w:bidi w:val="0"/>
        <w:spacing w:after="120" w:line="560" w:lineRule="exact"/>
        <w:ind w:firstLine="3200" w:firstLineChars="10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日  期：</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w:t>
      </w:r>
    </w:p>
    <w:p w14:paraId="3AB4B2BD">
      <w:pPr>
        <w:pStyle w:val="22"/>
        <w:pageBreakBefore w:val="0"/>
        <w:numPr>
          <w:ilvl w:val="0"/>
          <w:numId w:val="48"/>
        </w:numPr>
        <w:wordWrap/>
        <w:topLinePunct w:val="0"/>
        <w:bidi w:val="0"/>
        <w:adjustRightInd/>
        <w:snapToGrid/>
        <w:spacing w:line="560" w:lineRule="exact"/>
        <w:ind w:left="210" w:firstLine="643" w:firstLineChars="200"/>
        <w:jc w:val="left"/>
        <w:outlineLvl w:val="1"/>
        <w:rPr>
          <w:rFonts w:hint="default" w:ascii="仿宋_GB2312" w:hAnsi="仿宋_GB2312" w:eastAsia="仿宋_GB2312" w:cs="仿宋_GB2312"/>
          <w:color w:val="auto"/>
          <w:sz w:val="32"/>
          <w:highlight w:val="none"/>
          <w:lang w:val="en-US" w:eastAsia="zh-CN"/>
        </w:rPr>
      </w:pPr>
      <w:r>
        <w:rPr>
          <w:rFonts w:hint="eastAsia" w:ascii="仿宋_GB2312" w:hAnsi="仿宋_GB2312" w:eastAsia="仿宋_GB2312" w:cs="仿宋_GB2312"/>
          <w:b/>
          <w:bCs/>
          <w:color w:val="auto"/>
          <w:sz w:val="32"/>
          <w:highlight w:val="none"/>
        </w:rPr>
        <w:br w:type="page"/>
      </w:r>
      <w:bookmarkStart w:id="23" w:name="_Toc744688919"/>
      <w:r>
        <w:rPr>
          <w:rFonts w:hint="eastAsia" w:ascii="黑体" w:hAnsi="黑体" w:eastAsia="黑体" w:cs="黑体"/>
          <w:b w:val="0"/>
          <w:bCs w:val="0"/>
          <w:color w:val="auto"/>
          <w:sz w:val="32"/>
          <w:szCs w:val="32"/>
          <w:highlight w:val="none"/>
          <w:lang w:val="en-US" w:eastAsia="zh-CN"/>
        </w:rPr>
        <w:t>报价一览表</w:t>
      </w:r>
      <w:bookmarkEnd w:id="23"/>
    </w:p>
    <w:p w14:paraId="1702B72B">
      <w:pPr>
        <w:pageBreakBefore w:val="0"/>
        <w:wordWrap/>
        <w:topLinePunct w:val="0"/>
        <w:bidi w:val="0"/>
        <w:adjustRightInd w:val="0"/>
        <w:snapToGrid w:val="0"/>
        <w:spacing w:line="560" w:lineRule="exact"/>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报价一览表</w:t>
      </w:r>
    </w:p>
    <w:p w14:paraId="73E22CDB">
      <w:pPr>
        <w:pStyle w:val="4"/>
        <w:pageBreakBefore w:val="0"/>
        <w:wordWrap/>
        <w:topLinePunct w:val="0"/>
        <w:bidi w:val="0"/>
        <w:adjustRightInd w:val="0"/>
        <w:snapToGrid w:val="0"/>
        <w:spacing w:line="560" w:lineRule="exact"/>
        <w:ind w:firstLine="0"/>
        <w:jc w:val="lef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项目名称：</w:t>
      </w:r>
    </w:p>
    <w:tbl>
      <w:tblPr>
        <w:tblStyle w:val="28"/>
        <w:tblW w:w="981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1260"/>
        <w:gridCol w:w="2889"/>
        <w:gridCol w:w="1066"/>
        <w:gridCol w:w="2941"/>
      </w:tblGrid>
      <w:tr w14:paraId="5776D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661" w:type="dxa"/>
            <w:noWrap w:val="0"/>
            <w:vAlign w:val="center"/>
          </w:tcPr>
          <w:p w14:paraId="4609F9F6">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b/>
                <w:bCs/>
                <w:color w:val="auto"/>
                <w:sz w:val="32"/>
                <w:szCs w:val="32"/>
                <w:highlight w:val="none"/>
                <w:vertAlign w:val="baseline"/>
                <w:lang w:val="en-US"/>
              </w:rPr>
            </w:pPr>
            <w:r>
              <w:rPr>
                <w:rFonts w:hint="eastAsia" w:ascii="仿宋_GB2312" w:hAnsi="仿宋_GB2312" w:eastAsia="仿宋_GB2312" w:cs="仿宋_GB2312"/>
                <w:b/>
                <w:color w:val="auto"/>
                <w:kern w:val="0"/>
                <w:sz w:val="32"/>
                <w:szCs w:val="32"/>
                <w:highlight w:val="none"/>
                <w:lang w:val="en-US" w:eastAsia="zh-CN"/>
              </w:rPr>
              <w:t>服务类别</w:t>
            </w:r>
          </w:p>
        </w:tc>
        <w:tc>
          <w:tcPr>
            <w:tcW w:w="1260" w:type="dxa"/>
            <w:noWrap w:val="0"/>
            <w:vAlign w:val="center"/>
          </w:tcPr>
          <w:p w14:paraId="7C25060F">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default" w:ascii="仿宋_GB2312" w:hAnsi="仿宋_GB2312" w:eastAsia="仿宋_GB2312" w:cs="仿宋_GB2312"/>
                <w:b/>
                <w:color w:val="auto"/>
                <w:kern w:val="0"/>
                <w:sz w:val="32"/>
                <w:szCs w:val="32"/>
                <w:highlight w:val="none"/>
                <w:lang w:val="en-US" w:eastAsia="zh-CN"/>
              </w:rPr>
            </w:pPr>
            <w:r>
              <w:rPr>
                <w:rFonts w:hint="eastAsia" w:ascii="仿宋_GB2312" w:hAnsi="仿宋_GB2312" w:eastAsia="仿宋_GB2312" w:cs="仿宋_GB2312"/>
                <w:b/>
                <w:color w:val="auto"/>
                <w:kern w:val="0"/>
                <w:sz w:val="32"/>
                <w:szCs w:val="32"/>
                <w:highlight w:val="none"/>
                <w:lang w:val="en-US" w:eastAsia="zh-CN"/>
              </w:rPr>
              <w:t>等级</w:t>
            </w:r>
          </w:p>
        </w:tc>
        <w:tc>
          <w:tcPr>
            <w:tcW w:w="2889" w:type="dxa"/>
            <w:noWrap w:val="0"/>
            <w:vAlign w:val="center"/>
          </w:tcPr>
          <w:p w14:paraId="64E72302">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b/>
                <w:bCs/>
                <w:color w:val="auto"/>
                <w:sz w:val="32"/>
                <w:szCs w:val="32"/>
                <w:highlight w:val="none"/>
                <w:vertAlign w:val="baseline"/>
              </w:rPr>
            </w:pPr>
            <w:r>
              <w:rPr>
                <w:rFonts w:hint="eastAsia" w:ascii="仿宋_GB2312" w:hAnsi="仿宋_GB2312" w:eastAsia="仿宋_GB2312" w:cs="仿宋_GB2312"/>
                <w:b/>
                <w:color w:val="auto"/>
                <w:kern w:val="0"/>
                <w:sz w:val="32"/>
                <w:szCs w:val="32"/>
                <w:highlight w:val="none"/>
                <w:lang w:val="en-US" w:eastAsia="zh-CN"/>
              </w:rPr>
              <w:t>金额</w:t>
            </w:r>
            <w:r>
              <w:rPr>
                <w:rFonts w:hint="eastAsia" w:ascii="仿宋_GB2312" w:hAnsi="仿宋_GB2312" w:eastAsia="仿宋_GB2312" w:cs="仿宋_GB2312"/>
                <w:b/>
                <w:color w:val="auto"/>
                <w:kern w:val="0"/>
                <w:sz w:val="32"/>
                <w:szCs w:val="32"/>
                <w:highlight w:val="none"/>
              </w:rPr>
              <w:t>（元）</w:t>
            </w:r>
            <w:r>
              <w:rPr>
                <w:rFonts w:hint="eastAsia" w:ascii="仿宋_GB2312" w:hAnsi="仿宋_GB2312" w:eastAsia="仿宋_GB2312" w:cs="仿宋_GB2312"/>
                <w:b/>
                <w:color w:val="auto"/>
                <w:kern w:val="0"/>
                <w:sz w:val="32"/>
                <w:szCs w:val="32"/>
                <w:highlight w:val="none"/>
                <w:lang w:val="en-US" w:eastAsia="zh-CN"/>
              </w:rPr>
              <w:t>（未税）</w:t>
            </w:r>
          </w:p>
        </w:tc>
        <w:tc>
          <w:tcPr>
            <w:tcW w:w="1066" w:type="dxa"/>
            <w:noWrap w:val="0"/>
            <w:vAlign w:val="center"/>
          </w:tcPr>
          <w:p w14:paraId="798C51BB">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b/>
                <w:bCs/>
                <w:color w:val="auto"/>
                <w:sz w:val="32"/>
                <w:szCs w:val="32"/>
                <w:highlight w:val="none"/>
                <w:vertAlign w:val="baseline"/>
              </w:rPr>
            </w:pPr>
            <w:r>
              <w:rPr>
                <w:rFonts w:hint="eastAsia" w:ascii="仿宋_GB2312" w:hAnsi="仿宋_GB2312" w:eastAsia="仿宋_GB2312" w:cs="仿宋_GB2312"/>
                <w:b/>
                <w:color w:val="auto"/>
                <w:kern w:val="0"/>
                <w:sz w:val="32"/>
                <w:szCs w:val="32"/>
                <w:highlight w:val="none"/>
                <w:lang w:val="en-US" w:eastAsia="zh-CN"/>
              </w:rPr>
              <w:t>税率</w:t>
            </w:r>
          </w:p>
        </w:tc>
        <w:tc>
          <w:tcPr>
            <w:tcW w:w="2941" w:type="dxa"/>
            <w:noWrap w:val="0"/>
            <w:vAlign w:val="center"/>
          </w:tcPr>
          <w:p w14:paraId="346DC9A5">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b/>
                <w:color w:val="auto"/>
                <w:kern w:val="0"/>
                <w:sz w:val="32"/>
                <w:szCs w:val="32"/>
                <w:highlight w:val="none"/>
                <w:lang w:val="en-US" w:eastAsia="zh-CN"/>
              </w:rPr>
            </w:pPr>
            <w:r>
              <w:rPr>
                <w:rFonts w:hint="eastAsia" w:ascii="仿宋_GB2312" w:hAnsi="仿宋_GB2312" w:eastAsia="仿宋_GB2312" w:cs="仿宋_GB2312"/>
                <w:b/>
                <w:color w:val="auto"/>
                <w:kern w:val="0"/>
                <w:sz w:val="32"/>
                <w:szCs w:val="32"/>
                <w:highlight w:val="none"/>
                <w:lang w:val="en-US" w:eastAsia="zh-CN"/>
              </w:rPr>
              <w:t>金额</w:t>
            </w:r>
            <w:r>
              <w:rPr>
                <w:rFonts w:hint="eastAsia" w:ascii="仿宋_GB2312" w:hAnsi="仿宋_GB2312" w:eastAsia="仿宋_GB2312" w:cs="仿宋_GB2312"/>
                <w:b/>
                <w:color w:val="auto"/>
                <w:kern w:val="0"/>
                <w:sz w:val="32"/>
                <w:szCs w:val="32"/>
                <w:highlight w:val="none"/>
              </w:rPr>
              <w:t>（元）</w:t>
            </w:r>
            <w:r>
              <w:rPr>
                <w:rFonts w:hint="eastAsia" w:ascii="仿宋_GB2312" w:hAnsi="仿宋_GB2312" w:eastAsia="仿宋_GB2312" w:cs="仿宋_GB2312"/>
                <w:b/>
                <w:color w:val="auto"/>
                <w:kern w:val="0"/>
                <w:sz w:val="32"/>
                <w:szCs w:val="32"/>
                <w:highlight w:val="none"/>
                <w:lang w:val="en-US" w:eastAsia="zh-CN"/>
              </w:rPr>
              <w:t>（含税）</w:t>
            </w:r>
          </w:p>
        </w:tc>
      </w:tr>
      <w:tr w14:paraId="06B0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661" w:type="dxa"/>
            <w:noWrap w:val="0"/>
            <w:vAlign w:val="center"/>
          </w:tcPr>
          <w:p w14:paraId="03D53842">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default"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vertAlign w:val="baseline"/>
                <w:lang w:val="en-US" w:eastAsia="zh-CN"/>
              </w:rPr>
              <w:t>两化融合</w:t>
            </w:r>
          </w:p>
        </w:tc>
        <w:tc>
          <w:tcPr>
            <w:tcW w:w="1260" w:type="dxa"/>
            <w:noWrap w:val="0"/>
            <w:vAlign w:val="top"/>
          </w:tcPr>
          <w:p w14:paraId="76F9AD1C">
            <w:pPr>
              <w:keepNext w:val="0"/>
              <w:keepLines w:val="0"/>
              <w:pageBreakBefore w:val="0"/>
              <w:suppressLineNumbers w:val="0"/>
              <w:wordWrap/>
              <w:topLinePunct w:val="0"/>
              <w:bidi w:val="0"/>
              <w:spacing w:before="0" w:beforeAutospacing="0" w:after="0" w:afterAutospacing="0" w:line="560" w:lineRule="exact"/>
              <w:ind w:left="0" w:right="0"/>
              <w:jc w:val="center"/>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3A级</w:t>
            </w:r>
          </w:p>
        </w:tc>
        <w:tc>
          <w:tcPr>
            <w:tcW w:w="2889" w:type="dxa"/>
            <w:noWrap w:val="0"/>
            <w:vAlign w:val="top"/>
          </w:tcPr>
          <w:p w14:paraId="1DA46425">
            <w:pPr>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32"/>
                <w:szCs w:val="32"/>
                <w:highlight w:val="none"/>
                <w:lang w:val="en-US" w:eastAsia="zh-CN"/>
              </w:rPr>
            </w:pPr>
          </w:p>
        </w:tc>
        <w:tc>
          <w:tcPr>
            <w:tcW w:w="1066" w:type="dxa"/>
            <w:noWrap w:val="0"/>
            <w:vAlign w:val="top"/>
          </w:tcPr>
          <w:p w14:paraId="6401C951">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rPr>
            </w:pPr>
          </w:p>
        </w:tc>
        <w:tc>
          <w:tcPr>
            <w:tcW w:w="2941" w:type="dxa"/>
            <w:noWrap w:val="0"/>
            <w:vAlign w:val="top"/>
          </w:tcPr>
          <w:p w14:paraId="167FC238">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rPr>
            </w:pPr>
          </w:p>
        </w:tc>
      </w:tr>
      <w:tr w14:paraId="4369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661" w:type="dxa"/>
            <w:shd w:val="clear" w:color="auto" w:fill="auto"/>
            <w:noWrap w:val="0"/>
            <w:vAlign w:val="center"/>
          </w:tcPr>
          <w:p w14:paraId="3DD6D43B">
            <w:pPr>
              <w:pStyle w:val="4"/>
              <w:keepNext w:val="0"/>
              <w:keepLines w:val="0"/>
              <w:pageBreakBefore w:val="0"/>
              <w:suppressLineNumbers w:val="0"/>
              <w:wordWrap/>
              <w:topLinePunct w:val="0"/>
              <w:bidi w:val="0"/>
              <w:spacing w:before="0" w:beforeAutospacing="0" w:after="0" w:afterAutospacing="0" w:line="560" w:lineRule="exact"/>
              <w:ind w:left="0" w:leftChars="0" w:right="0" w:rightChars="0"/>
              <w:jc w:val="center"/>
              <w:rPr>
                <w:rFonts w:hint="eastAsia" w:ascii="仿宋_GB2312" w:hAnsi="仿宋_GB2312" w:eastAsia="仿宋_GB2312" w:cs="仿宋_GB2312"/>
                <w:color w:val="auto"/>
                <w:sz w:val="32"/>
                <w:szCs w:val="32"/>
                <w:highlight w:val="none"/>
                <w:vertAlign w:val="baseline"/>
                <w:lang w:val="en-US" w:eastAsia="zh" w:bidi="ar-SA"/>
              </w:rPr>
            </w:pPr>
            <w:r>
              <w:rPr>
                <w:rFonts w:hint="eastAsia" w:ascii="仿宋_GB2312" w:hAnsi="仿宋_GB2312" w:eastAsia="仿宋_GB2312" w:cs="仿宋_GB2312"/>
                <w:color w:val="auto"/>
                <w:sz w:val="32"/>
                <w:szCs w:val="32"/>
                <w:highlight w:val="none"/>
                <w:vertAlign w:val="baseline"/>
                <w:lang w:val="en-US" w:eastAsia="zh-CN"/>
              </w:rPr>
              <w:t>两化融合</w:t>
            </w:r>
          </w:p>
        </w:tc>
        <w:tc>
          <w:tcPr>
            <w:tcW w:w="1260" w:type="dxa"/>
            <w:shd w:val="clear" w:color="auto" w:fill="auto"/>
            <w:noWrap w:val="0"/>
            <w:vAlign w:val="top"/>
          </w:tcPr>
          <w:p w14:paraId="547D26B8">
            <w:pPr>
              <w:keepNext w:val="0"/>
              <w:keepLines w:val="0"/>
              <w:pageBreakBefore w:val="0"/>
              <w:suppressLineNumbers w:val="0"/>
              <w:wordWrap/>
              <w:topLinePunct w:val="0"/>
              <w:bidi w:val="0"/>
              <w:spacing w:before="0" w:beforeAutospacing="0" w:after="0" w:afterAutospacing="0" w:line="560" w:lineRule="exact"/>
              <w:ind w:left="0" w:leftChars="0" w:right="0" w:rightChars="0"/>
              <w:jc w:val="center"/>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2A级</w:t>
            </w:r>
          </w:p>
        </w:tc>
        <w:tc>
          <w:tcPr>
            <w:tcW w:w="2889" w:type="dxa"/>
            <w:noWrap w:val="0"/>
            <w:vAlign w:val="top"/>
          </w:tcPr>
          <w:p w14:paraId="63E22EBC">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32"/>
                <w:szCs w:val="32"/>
                <w:highlight w:val="none"/>
                <w:vertAlign w:val="baseline"/>
              </w:rPr>
            </w:pPr>
          </w:p>
        </w:tc>
        <w:tc>
          <w:tcPr>
            <w:tcW w:w="1066" w:type="dxa"/>
            <w:noWrap w:val="0"/>
            <w:vAlign w:val="top"/>
          </w:tcPr>
          <w:p w14:paraId="2C3CA2DA">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rPr>
            </w:pPr>
          </w:p>
        </w:tc>
        <w:tc>
          <w:tcPr>
            <w:tcW w:w="2941" w:type="dxa"/>
            <w:noWrap w:val="0"/>
            <w:vAlign w:val="top"/>
          </w:tcPr>
          <w:p w14:paraId="7BB7EE5B">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rPr>
            </w:pPr>
          </w:p>
        </w:tc>
      </w:tr>
      <w:tr w14:paraId="5DBDF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661" w:type="dxa"/>
            <w:noWrap w:val="0"/>
            <w:vAlign w:val="center"/>
          </w:tcPr>
          <w:p w14:paraId="3DCC55C9">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32"/>
                <w:szCs w:val="32"/>
                <w:highlight w:val="none"/>
                <w:vertAlign w:val="baseline"/>
                <w:lang w:eastAsia="zh"/>
              </w:rPr>
            </w:pPr>
          </w:p>
        </w:tc>
        <w:tc>
          <w:tcPr>
            <w:tcW w:w="1260" w:type="dxa"/>
            <w:noWrap w:val="0"/>
            <w:vAlign w:val="top"/>
          </w:tcPr>
          <w:p w14:paraId="302FE379">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32"/>
                <w:szCs w:val="32"/>
                <w:highlight w:val="none"/>
                <w:vertAlign w:val="baseline"/>
              </w:rPr>
            </w:pPr>
          </w:p>
        </w:tc>
        <w:tc>
          <w:tcPr>
            <w:tcW w:w="2889" w:type="dxa"/>
            <w:noWrap w:val="0"/>
            <w:vAlign w:val="top"/>
          </w:tcPr>
          <w:p w14:paraId="6894459D">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32"/>
                <w:szCs w:val="32"/>
                <w:highlight w:val="none"/>
                <w:vertAlign w:val="baseline"/>
              </w:rPr>
            </w:pPr>
          </w:p>
        </w:tc>
        <w:tc>
          <w:tcPr>
            <w:tcW w:w="1066" w:type="dxa"/>
            <w:noWrap w:val="0"/>
            <w:vAlign w:val="top"/>
          </w:tcPr>
          <w:p w14:paraId="50758F54">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rPr>
            </w:pPr>
          </w:p>
        </w:tc>
        <w:tc>
          <w:tcPr>
            <w:tcW w:w="2941" w:type="dxa"/>
            <w:noWrap w:val="0"/>
            <w:vAlign w:val="top"/>
          </w:tcPr>
          <w:p w14:paraId="0397D824">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rPr>
            </w:pPr>
          </w:p>
        </w:tc>
      </w:tr>
      <w:tr w14:paraId="3AE8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661" w:type="dxa"/>
            <w:noWrap w:val="0"/>
            <w:vAlign w:val="center"/>
          </w:tcPr>
          <w:p w14:paraId="5389D1C2">
            <w:pPr>
              <w:pStyle w:val="4"/>
              <w:keepNext w:val="0"/>
              <w:keepLines w:val="0"/>
              <w:pageBreakBefore w:val="0"/>
              <w:suppressLineNumbers w:val="0"/>
              <w:wordWrap/>
              <w:topLinePunct w:val="0"/>
              <w:bidi w:val="0"/>
              <w:spacing w:before="0" w:beforeAutospacing="0" w:after="0" w:afterAutospacing="0" w:line="560" w:lineRule="exact"/>
              <w:ind w:left="0" w:leftChars="0" w:right="0" w:firstLine="0" w:firstLineChars="0"/>
              <w:jc w:val="center"/>
              <w:rPr>
                <w:rFonts w:hint="eastAsia" w:ascii="仿宋_GB2312" w:hAnsi="仿宋_GB2312" w:eastAsia="仿宋_GB2312" w:cs="仿宋_GB2312"/>
                <w:color w:val="auto"/>
                <w:sz w:val="24"/>
                <w:szCs w:val="24"/>
                <w:highlight w:val="none"/>
                <w:vertAlign w:val="baseline"/>
                <w:lang w:eastAsia="zh"/>
              </w:rPr>
            </w:pPr>
          </w:p>
        </w:tc>
        <w:tc>
          <w:tcPr>
            <w:tcW w:w="1260" w:type="dxa"/>
            <w:noWrap w:val="0"/>
            <w:vAlign w:val="top"/>
          </w:tcPr>
          <w:p w14:paraId="671AEE60">
            <w:pPr>
              <w:pStyle w:val="4"/>
              <w:keepNext w:val="0"/>
              <w:keepLines w:val="0"/>
              <w:pageBreakBefore w:val="0"/>
              <w:suppressLineNumbers w:val="0"/>
              <w:wordWrap/>
              <w:topLinePunct w:val="0"/>
              <w:bidi w:val="0"/>
              <w:spacing w:before="0" w:beforeAutospacing="0" w:after="0" w:afterAutospacing="0" w:line="560" w:lineRule="exact"/>
              <w:ind w:left="0" w:leftChars="0" w:right="0" w:firstLine="0" w:firstLineChars="0"/>
              <w:jc w:val="center"/>
              <w:rPr>
                <w:rFonts w:hint="eastAsia" w:ascii="仿宋_GB2312" w:hAnsi="仿宋_GB2312" w:eastAsia="仿宋_GB2312" w:cs="仿宋_GB2312"/>
                <w:color w:val="auto"/>
                <w:sz w:val="24"/>
                <w:szCs w:val="24"/>
                <w:highlight w:val="none"/>
                <w:vertAlign w:val="baseline"/>
              </w:rPr>
            </w:pPr>
          </w:p>
        </w:tc>
        <w:tc>
          <w:tcPr>
            <w:tcW w:w="2889" w:type="dxa"/>
            <w:noWrap w:val="0"/>
            <w:vAlign w:val="top"/>
          </w:tcPr>
          <w:p w14:paraId="2A1BF057">
            <w:pPr>
              <w:pStyle w:val="4"/>
              <w:keepNext w:val="0"/>
              <w:keepLines w:val="0"/>
              <w:pageBreakBefore w:val="0"/>
              <w:suppressLineNumbers w:val="0"/>
              <w:wordWrap/>
              <w:topLinePunct w:val="0"/>
              <w:bidi w:val="0"/>
              <w:spacing w:before="0" w:beforeAutospacing="0" w:after="0" w:afterAutospacing="0" w:line="560" w:lineRule="exact"/>
              <w:ind w:left="0" w:leftChars="0" w:right="0" w:firstLine="0" w:firstLineChars="0"/>
              <w:jc w:val="center"/>
              <w:rPr>
                <w:rFonts w:hint="eastAsia" w:ascii="仿宋_GB2312" w:hAnsi="仿宋_GB2312" w:eastAsia="仿宋_GB2312" w:cs="仿宋_GB2312"/>
                <w:color w:val="auto"/>
                <w:sz w:val="24"/>
                <w:szCs w:val="24"/>
                <w:highlight w:val="none"/>
                <w:vertAlign w:val="baseline"/>
              </w:rPr>
            </w:pPr>
          </w:p>
        </w:tc>
        <w:tc>
          <w:tcPr>
            <w:tcW w:w="1066" w:type="dxa"/>
            <w:noWrap w:val="0"/>
            <w:vAlign w:val="top"/>
          </w:tcPr>
          <w:p w14:paraId="7331E370">
            <w:pPr>
              <w:pStyle w:val="4"/>
              <w:keepNext w:val="0"/>
              <w:keepLines w:val="0"/>
              <w:pageBreakBefore w:val="0"/>
              <w:suppressLineNumbers w:val="0"/>
              <w:wordWrap/>
              <w:topLinePunct w:val="0"/>
              <w:bidi w:val="0"/>
              <w:spacing w:before="0" w:beforeAutospacing="0" w:after="0" w:afterAutospacing="0" w:line="560" w:lineRule="exact"/>
              <w:ind w:left="0" w:leftChars="0" w:right="0" w:firstLine="0" w:firstLineChars="0"/>
              <w:jc w:val="center"/>
              <w:rPr>
                <w:rFonts w:hint="eastAsia" w:ascii="仿宋_GB2312" w:hAnsi="仿宋_GB2312" w:eastAsia="仿宋_GB2312" w:cs="仿宋_GB2312"/>
                <w:color w:val="auto"/>
                <w:sz w:val="24"/>
                <w:szCs w:val="24"/>
                <w:highlight w:val="none"/>
                <w:vertAlign w:val="baseline"/>
              </w:rPr>
            </w:pPr>
          </w:p>
        </w:tc>
        <w:tc>
          <w:tcPr>
            <w:tcW w:w="2941" w:type="dxa"/>
            <w:noWrap w:val="0"/>
            <w:vAlign w:val="top"/>
          </w:tcPr>
          <w:p w14:paraId="626152D8">
            <w:pPr>
              <w:pStyle w:val="4"/>
              <w:keepNext w:val="0"/>
              <w:keepLines w:val="0"/>
              <w:pageBreakBefore w:val="0"/>
              <w:suppressLineNumbers w:val="0"/>
              <w:wordWrap/>
              <w:topLinePunct w:val="0"/>
              <w:bidi w:val="0"/>
              <w:spacing w:before="0" w:beforeAutospacing="0" w:after="0" w:afterAutospacing="0" w:line="560" w:lineRule="exact"/>
              <w:ind w:left="0" w:leftChars="0" w:right="0" w:firstLine="0" w:firstLineChars="0"/>
              <w:jc w:val="center"/>
              <w:rPr>
                <w:rFonts w:hint="eastAsia" w:ascii="仿宋_GB2312" w:hAnsi="仿宋_GB2312" w:eastAsia="仿宋_GB2312" w:cs="仿宋_GB2312"/>
                <w:color w:val="auto"/>
                <w:sz w:val="24"/>
                <w:szCs w:val="24"/>
                <w:highlight w:val="none"/>
                <w:vertAlign w:val="baseline"/>
              </w:rPr>
            </w:pPr>
          </w:p>
        </w:tc>
      </w:tr>
      <w:tr w14:paraId="5C5C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661" w:type="dxa"/>
            <w:noWrap w:val="0"/>
            <w:vAlign w:val="center"/>
          </w:tcPr>
          <w:p w14:paraId="36FC39F3">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lang w:eastAsia="zh"/>
              </w:rPr>
            </w:pPr>
          </w:p>
        </w:tc>
        <w:tc>
          <w:tcPr>
            <w:tcW w:w="1260" w:type="dxa"/>
            <w:noWrap w:val="0"/>
            <w:vAlign w:val="top"/>
          </w:tcPr>
          <w:p w14:paraId="4DD881DC">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rPr>
            </w:pPr>
          </w:p>
        </w:tc>
        <w:tc>
          <w:tcPr>
            <w:tcW w:w="2889" w:type="dxa"/>
            <w:noWrap w:val="0"/>
            <w:vAlign w:val="top"/>
          </w:tcPr>
          <w:p w14:paraId="76D80AF0">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rPr>
            </w:pPr>
          </w:p>
        </w:tc>
        <w:tc>
          <w:tcPr>
            <w:tcW w:w="1066" w:type="dxa"/>
            <w:noWrap w:val="0"/>
            <w:vAlign w:val="top"/>
          </w:tcPr>
          <w:p w14:paraId="03A65705">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rPr>
            </w:pPr>
          </w:p>
        </w:tc>
        <w:tc>
          <w:tcPr>
            <w:tcW w:w="2941" w:type="dxa"/>
            <w:noWrap w:val="0"/>
            <w:vAlign w:val="top"/>
          </w:tcPr>
          <w:p w14:paraId="5D91D0C5">
            <w:pPr>
              <w:pStyle w:val="4"/>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vertAlign w:val="baseline"/>
              </w:rPr>
            </w:pPr>
          </w:p>
        </w:tc>
      </w:tr>
    </w:tbl>
    <w:p w14:paraId="52A4356D">
      <w:pPr>
        <w:pStyle w:val="4"/>
        <w:pageBreakBefore w:val="0"/>
        <w:wordWrap/>
        <w:topLinePunct w:val="0"/>
        <w:bidi w:val="0"/>
        <w:spacing w:line="560" w:lineRule="exact"/>
        <w:ind w:left="0" w:leftChars="0" w:firstLine="640" w:firstLineChars="200"/>
        <w:jc w:val="left"/>
        <w:rPr>
          <w:rFonts w:hint="default"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备注：</w:t>
      </w:r>
      <w:r>
        <w:rPr>
          <w:rFonts w:hint="default" w:ascii="仿宋_GB2312" w:hAnsi="仿宋_GB2312" w:eastAsia="仿宋_GB2312" w:cs="仿宋_GB2312"/>
          <w:color w:val="auto"/>
          <w:sz w:val="32"/>
          <w:szCs w:val="32"/>
          <w:highlight w:val="none"/>
        </w:rPr>
        <w:t>以上报价为含税价，</w:t>
      </w:r>
      <w:r>
        <w:rPr>
          <w:rFonts w:hint="eastAsia" w:ascii="仿宋_GB2312" w:hAnsi="仿宋_GB2312" w:eastAsia="仿宋_GB2312" w:cs="仿宋_GB2312"/>
          <w:color w:val="auto"/>
          <w:sz w:val="32"/>
          <w:szCs w:val="32"/>
          <w:highlight w:val="none"/>
        </w:rPr>
        <w:t>含完成</w:t>
      </w:r>
      <w:r>
        <w:rPr>
          <w:rFonts w:hint="eastAsia" w:ascii="仿宋_GB2312" w:hAnsi="仿宋_GB2312" w:eastAsia="仿宋_GB2312" w:cs="仿宋_GB2312"/>
          <w:color w:val="auto"/>
          <w:sz w:val="32"/>
          <w:szCs w:val="32"/>
          <w:highlight w:val="none"/>
          <w:lang w:val="en-US" w:eastAsia="zh-CN"/>
        </w:rPr>
        <w:t>服务内容要求</w:t>
      </w:r>
      <w:r>
        <w:rPr>
          <w:rFonts w:hint="eastAsia" w:ascii="仿宋_GB2312" w:hAnsi="仿宋_GB2312" w:eastAsia="仿宋_GB2312" w:cs="仿宋_GB2312"/>
          <w:color w:val="auto"/>
          <w:sz w:val="32"/>
          <w:szCs w:val="32"/>
          <w:highlight w:val="none"/>
        </w:rPr>
        <w:t>内所有工作涉及的全部费用</w:t>
      </w:r>
      <w:r>
        <w:rPr>
          <w:rFonts w:hint="default" w:ascii="仿宋_GB2312" w:hAnsi="仿宋_GB2312" w:eastAsia="仿宋_GB2312" w:cs="仿宋_GB2312"/>
          <w:color w:val="auto"/>
          <w:sz w:val="32"/>
          <w:szCs w:val="32"/>
          <w:highlight w:val="none"/>
        </w:rPr>
        <w:t>。</w:t>
      </w:r>
    </w:p>
    <w:p w14:paraId="3A141EA8">
      <w:pPr>
        <w:pStyle w:val="4"/>
        <w:pageBreakBefore w:val="0"/>
        <w:wordWrap/>
        <w:topLinePunct w:val="0"/>
        <w:bidi w:val="0"/>
        <w:spacing w:line="560" w:lineRule="exact"/>
        <w:ind w:left="0" w:leftChars="0" w:firstLine="640" w:firstLineChars="200"/>
        <w:jc w:val="center"/>
        <w:rPr>
          <w:rFonts w:hint="eastAsia" w:ascii="仿宋_GB2312" w:hAnsi="仿宋_GB2312" w:eastAsia="仿宋_GB2312" w:cs="仿宋_GB2312"/>
          <w:color w:val="auto"/>
          <w:sz w:val="32"/>
          <w:szCs w:val="32"/>
          <w:highlight w:val="none"/>
        </w:rPr>
      </w:pPr>
    </w:p>
    <w:p w14:paraId="07234A92">
      <w:pPr>
        <w:pStyle w:val="4"/>
        <w:pageBreakBefore w:val="0"/>
        <w:wordWrap/>
        <w:topLinePunct w:val="0"/>
        <w:bidi w:val="0"/>
        <w:spacing w:line="560" w:lineRule="exact"/>
        <w:ind w:left="0" w:leftChars="0" w:firstLine="3200" w:firstLineChars="10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：（全称、盖公章）</w:t>
      </w:r>
    </w:p>
    <w:p w14:paraId="111FF8C9">
      <w:pPr>
        <w:pStyle w:val="4"/>
        <w:pageBreakBefore w:val="0"/>
        <w:wordWrap/>
        <w:topLinePunct w:val="0"/>
        <w:bidi w:val="0"/>
        <w:spacing w:line="560" w:lineRule="exact"/>
        <w:ind w:left="0" w:leftChars="0" w:firstLine="3200" w:firstLineChars="10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法定代表人或委托代理人：（签字）</w:t>
      </w:r>
    </w:p>
    <w:p w14:paraId="1F6B654F">
      <w:pPr>
        <w:pStyle w:val="4"/>
        <w:pageBreakBefore w:val="0"/>
        <w:wordWrap/>
        <w:topLinePunct w:val="0"/>
        <w:bidi w:val="0"/>
        <w:spacing w:line="560" w:lineRule="exact"/>
        <w:ind w:left="0" w:leftChars="0" w:firstLine="3200" w:firstLineChars="1000"/>
        <w:jc w:val="both"/>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联系电话：</w:t>
      </w:r>
    </w:p>
    <w:p w14:paraId="3361E172">
      <w:pPr>
        <w:pageBreakBefore w:val="0"/>
        <w:wordWrap/>
        <w:topLinePunct w:val="0"/>
        <w:bidi w:val="0"/>
        <w:adjustRightInd w:val="0"/>
        <w:snapToGrid w:val="0"/>
        <w:spacing w:line="560" w:lineRule="exact"/>
        <w:ind w:firstLine="3200" w:firstLineChars="1000"/>
        <w:jc w:val="both"/>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日期：</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月</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日</w:t>
      </w:r>
    </w:p>
    <w:p w14:paraId="6F304CA2">
      <w:pPr>
        <w:pStyle w:val="22"/>
        <w:pageBreakBefore w:val="0"/>
        <w:numPr>
          <w:ilvl w:val="0"/>
          <w:numId w:val="48"/>
        </w:numPr>
        <w:wordWrap/>
        <w:topLinePunct w:val="0"/>
        <w:bidi w:val="0"/>
        <w:adjustRightInd/>
        <w:snapToGrid/>
        <w:spacing w:line="560" w:lineRule="exact"/>
        <w:ind w:left="210" w:firstLine="640" w:firstLineChars="200"/>
        <w:jc w:val="left"/>
        <w:outlineLvl w:val="1"/>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highlight w:val="none"/>
        </w:rPr>
        <w:br w:type="page"/>
      </w:r>
      <w:bookmarkStart w:id="24" w:name="_Toc189992092"/>
      <w:r>
        <w:rPr>
          <w:rFonts w:hint="eastAsia" w:ascii="黑体" w:hAnsi="黑体" w:eastAsia="黑体" w:cs="黑体"/>
          <w:b w:val="0"/>
          <w:bCs w:val="0"/>
          <w:color w:val="auto"/>
          <w:sz w:val="32"/>
          <w:szCs w:val="32"/>
          <w:highlight w:val="none"/>
          <w:lang w:val="en-US" w:eastAsia="zh-CN"/>
        </w:rPr>
        <w:t>公司资格文件</w:t>
      </w:r>
      <w:bookmarkEnd w:id="24"/>
    </w:p>
    <w:p w14:paraId="08FCF2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公司资格文件</w:t>
      </w:r>
      <w:r>
        <w:rPr>
          <w:rFonts w:hint="eastAsia" w:ascii="仿宋_GB2312" w:hAnsi="仿宋_GB2312" w:eastAsia="仿宋_GB2312" w:cs="仿宋_GB2312"/>
          <w:color w:val="auto"/>
          <w:sz w:val="32"/>
          <w:szCs w:val="32"/>
          <w:highlight w:val="none"/>
          <w:lang w:val="en-US" w:eastAsia="zh-CN"/>
        </w:rPr>
        <w:t>包括以下内容：</w:t>
      </w:r>
    </w:p>
    <w:p w14:paraId="57454B69">
      <w:pPr>
        <w:pStyle w:val="4"/>
        <w:keepNext w:val="0"/>
        <w:keepLines w:val="0"/>
        <w:pageBreakBefore w:val="0"/>
        <w:numPr>
          <w:ilvl w:val="0"/>
          <w:numId w:val="49"/>
        </w:numPr>
        <w:wordWrap/>
        <w:topLinePunct w:val="0"/>
        <w:bidi w:val="0"/>
        <w:spacing w:line="560" w:lineRule="exact"/>
        <w:ind w:left="0" w:leftChars="0" w:firstLine="640" w:firstLineChars="200"/>
        <w:jc w:val="left"/>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承诺函</w:t>
      </w:r>
    </w:p>
    <w:p w14:paraId="4BD7229A">
      <w:pPr>
        <w:pStyle w:val="24"/>
        <w:pageBreakBefore w:val="0"/>
        <w:widowControl w:val="0"/>
        <w:numPr>
          <w:ilvl w:val="0"/>
          <w:numId w:val="50"/>
        </w:numPr>
        <w:wordWrap/>
        <w:topLinePunct w:val="0"/>
        <w:bidi w:val="0"/>
        <w:adjustRightInd w:val="0"/>
        <w:snapToGrid w:val="0"/>
        <w:spacing w:beforeLines="0" w:afterLines="0" w:line="560" w:lineRule="exact"/>
        <w:ind w:firstLine="640" w:firstLineChars="200"/>
        <w:jc w:val="left"/>
        <w:rPr>
          <w:rFonts w:hint="eastAsia" w:ascii="仿宋_GB2312" w:hAnsi="仿宋_GB2312" w:eastAsia="仿宋_GB2312" w:cs="仿宋_GB2312"/>
          <w:color w:val="auto"/>
          <w:kern w:val="32"/>
          <w:sz w:val="32"/>
          <w:szCs w:val="32"/>
          <w:highlight w:val="none"/>
          <w:shd w:val="clear" w:color="auto" w:fill="auto"/>
          <w:lang w:val="en-US" w:eastAsia="zh-CN"/>
        </w:rPr>
      </w:pPr>
      <w:r>
        <w:rPr>
          <w:rFonts w:hint="eastAsia" w:ascii="仿宋_GB2312" w:hAnsi="仿宋_GB2312" w:eastAsia="仿宋_GB2312" w:cs="仿宋_GB2312"/>
          <w:color w:val="auto"/>
          <w:kern w:val="0"/>
          <w:sz w:val="32"/>
          <w:szCs w:val="32"/>
          <w:highlight w:val="none"/>
          <w:shd w:val="clear" w:color="auto" w:fill="auto"/>
          <w:lang w:val="en-US" w:eastAsia="zh-CN" w:bidi="ar"/>
        </w:rPr>
        <w:t>司法机关核发的律所执业许可证，并按规定通过有关部门的年度检验/备案等；</w:t>
      </w:r>
    </w:p>
    <w:p w14:paraId="0D281283">
      <w:pPr>
        <w:pStyle w:val="24"/>
        <w:pageBreakBefore w:val="0"/>
        <w:widowControl w:val="0"/>
        <w:numPr>
          <w:ilvl w:val="0"/>
          <w:numId w:val="50"/>
        </w:numPr>
        <w:wordWrap/>
        <w:topLinePunct w:val="0"/>
        <w:bidi w:val="0"/>
        <w:adjustRightInd w:val="0"/>
        <w:snapToGrid w:val="0"/>
        <w:spacing w:beforeLines="0" w:afterLines="0" w:line="560" w:lineRule="exact"/>
        <w:ind w:firstLine="640" w:firstLineChars="200"/>
        <w:jc w:val="left"/>
        <w:rPr>
          <w:rFonts w:hint="eastAsia" w:ascii="仿宋_GB2312" w:hAnsi="仿宋_GB2312" w:eastAsia="仿宋_GB2312" w:cs="仿宋_GB2312"/>
          <w:color w:val="auto"/>
          <w:kern w:val="32"/>
          <w:sz w:val="32"/>
          <w:szCs w:val="32"/>
          <w:highlight w:val="none"/>
          <w:shd w:val="clear" w:color="auto" w:fill="auto"/>
          <w:lang w:val="en-US" w:eastAsia="zh-CN"/>
        </w:rPr>
      </w:pPr>
      <w:r>
        <w:rPr>
          <w:rFonts w:hint="eastAsia" w:ascii="仿宋_GB2312" w:hAnsi="仿宋_GB2312" w:eastAsia="仿宋_GB2312" w:cs="仿宋_GB2312"/>
          <w:color w:val="auto"/>
          <w:kern w:val="32"/>
          <w:sz w:val="32"/>
          <w:szCs w:val="32"/>
          <w:highlight w:val="none"/>
          <w:shd w:val="clear" w:color="auto" w:fill="auto"/>
          <w:lang w:val="en-US" w:eastAsia="zh-CN"/>
        </w:rPr>
        <w:t>有固定的工作场所、完善的质量控制体系和风险管理制度；</w:t>
      </w:r>
    </w:p>
    <w:p w14:paraId="5C0D65B1">
      <w:pPr>
        <w:pStyle w:val="24"/>
        <w:pageBreakBefore w:val="0"/>
        <w:numPr>
          <w:ilvl w:val="0"/>
          <w:numId w:val="50"/>
        </w:numPr>
        <w:wordWrap/>
        <w:topLinePunct w:val="0"/>
        <w:bidi w:val="0"/>
        <w:adjustRightInd w:val="0"/>
        <w:snapToGrid w:val="0"/>
        <w:spacing w:beforeLines="0" w:afterLines="0" w:line="560" w:lineRule="exact"/>
        <w:ind w:firstLine="640" w:firstLineChars="200"/>
        <w:jc w:val="left"/>
        <w:rPr>
          <w:rFonts w:hint="eastAsia" w:ascii="仿宋_GB2312" w:hAnsi="仿宋_GB2312" w:eastAsia="仿宋_GB2312" w:cs="仿宋_GB2312"/>
          <w:color w:val="auto"/>
          <w:sz w:val="32"/>
        </w:rPr>
      </w:pPr>
      <w:r>
        <w:rPr>
          <w:rFonts w:hint="eastAsia" w:ascii="仿宋_GB2312" w:hAnsi="仿宋_GB2312" w:eastAsia="仿宋_GB2312" w:cs="仿宋_GB2312"/>
          <w:color w:val="auto"/>
          <w:kern w:val="32"/>
          <w:sz w:val="32"/>
          <w:szCs w:val="32"/>
          <w:highlight w:val="none"/>
          <w:shd w:val="clear" w:color="auto" w:fill="auto"/>
          <w:lang w:val="en-US" w:eastAsia="zh-CN"/>
        </w:rPr>
        <w:t>具有良好的商业信誉和健全的财务制度，有依法缴纳税收和社会保障资金的良好记录；</w:t>
      </w:r>
    </w:p>
    <w:p w14:paraId="44B680EE">
      <w:pPr>
        <w:pStyle w:val="24"/>
        <w:pageBreakBefore w:val="0"/>
        <w:numPr>
          <w:ilvl w:val="0"/>
          <w:numId w:val="50"/>
        </w:numPr>
        <w:wordWrap/>
        <w:topLinePunct w:val="0"/>
        <w:bidi w:val="0"/>
        <w:adjustRightInd w:val="0"/>
        <w:snapToGrid w:val="0"/>
        <w:spacing w:beforeLines="0" w:afterLines="0" w:line="560" w:lineRule="exact"/>
        <w:ind w:leftChars="0" w:firstLine="640" w:firstLineChars="200"/>
        <w:jc w:val="left"/>
        <w:outlineLvl w:val="2"/>
        <w:rPr>
          <w:rFonts w:hint="eastAsia" w:ascii="仿宋_GB2312" w:hAnsi="仿宋_GB2312" w:eastAsia="仿宋_GB2312" w:cs="仿宋_GB2312"/>
          <w:color w:val="auto"/>
          <w:sz w:val="32"/>
        </w:rPr>
      </w:pPr>
      <w:r>
        <w:rPr>
          <w:rFonts w:hint="eastAsia" w:ascii="仿宋_GB2312" w:hAnsi="仿宋_GB2312" w:eastAsia="仿宋_GB2312" w:cs="仿宋_GB2312"/>
          <w:color w:val="auto"/>
          <w:kern w:val="0"/>
          <w:sz w:val="32"/>
          <w:szCs w:val="32"/>
          <w:highlight w:val="none"/>
          <w:lang w:val="en-US" w:eastAsia="zh-CN" w:bidi="ar"/>
        </w:rPr>
        <w:t>具备从事证券服务业务的经验，且在证监会备案；</w:t>
      </w:r>
    </w:p>
    <w:p w14:paraId="31DB40B5">
      <w:pPr>
        <w:pStyle w:val="24"/>
        <w:pageBreakBefore w:val="0"/>
        <w:numPr>
          <w:ilvl w:val="0"/>
          <w:numId w:val="50"/>
        </w:numPr>
        <w:wordWrap/>
        <w:topLinePunct w:val="0"/>
        <w:bidi w:val="0"/>
        <w:adjustRightInd w:val="0"/>
        <w:snapToGrid w:val="0"/>
        <w:spacing w:beforeLines="0" w:afterLines="0" w:line="560" w:lineRule="exact"/>
        <w:ind w:firstLine="640" w:firstLineChars="200"/>
        <w:jc w:val="left"/>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参加本次采购活动前三年内，在经营活动中没有重大违法记录</w:t>
      </w:r>
      <w:r>
        <w:rPr>
          <w:rFonts w:hint="eastAsia" w:ascii="仿宋_GB2312" w:hAnsi="仿宋_GB2312" w:eastAsia="仿宋_GB2312" w:cs="仿宋_GB2312"/>
          <w:color w:val="auto"/>
          <w:sz w:val="32"/>
          <w:szCs w:val="32"/>
          <w:lang w:bidi="ar"/>
        </w:rPr>
        <w:t>,无市场禁入。重大违法记录，是指投标人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r>
        <w:rPr>
          <w:rFonts w:hint="eastAsia" w:ascii="仿宋_GB2312" w:hAnsi="仿宋_GB2312" w:eastAsia="仿宋_GB2312" w:cs="仿宋_GB2312"/>
          <w:color w:val="auto"/>
          <w:sz w:val="32"/>
        </w:rPr>
        <w:t>；</w:t>
      </w:r>
    </w:p>
    <w:p w14:paraId="45970534">
      <w:pPr>
        <w:pStyle w:val="24"/>
        <w:pageBreakBefore w:val="0"/>
        <w:numPr>
          <w:ilvl w:val="0"/>
          <w:numId w:val="50"/>
        </w:numPr>
        <w:wordWrap/>
        <w:topLinePunct w:val="0"/>
        <w:bidi w:val="0"/>
        <w:adjustRightInd w:val="0"/>
        <w:snapToGrid w:val="0"/>
        <w:spacing w:beforeLines="0" w:afterLines="0" w:line="560" w:lineRule="exact"/>
        <w:ind w:firstLine="640" w:firstLineChars="200"/>
        <w:jc w:val="left"/>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参加</w:t>
      </w:r>
      <w:r>
        <w:rPr>
          <w:rFonts w:hint="eastAsia" w:ascii="仿宋_GB2312" w:hAnsi="仿宋_GB2312" w:eastAsia="仿宋_GB2312" w:cs="仿宋_GB2312"/>
          <w:color w:val="auto"/>
          <w:sz w:val="32"/>
          <w:lang w:val="en-US" w:eastAsia="zh-CN"/>
        </w:rPr>
        <w:t>本项目</w:t>
      </w:r>
      <w:r>
        <w:rPr>
          <w:rFonts w:hint="eastAsia" w:ascii="仿宋_GB2312" w:hAnsi="仿宋_GB2312" w:eastAsia="仿宋_GB2312" w:cs="仿宋_GB2312"/>
          <w:color w:val="auto"/>
          <w:sz w:val="32"/>
        </w:rPr>
        <w:t>的投标人、法定代表人(非法人负责人)前</w:t>
      </w:r>
      <w:r>
        <w:rPr>
          <w:rFonts w:hint="eastAsia" w:ascii="仿宋_GB2312" w:hAnsi="仿宋_GB2312" w:eastAsia="仿宋_GB2312" w:cs="仿宋_GB2312"/>
          <w:color w:val="auto"/>
          <w:sz w:val="32"/>
          <w:lang w:val="en-US" w:eastAsia="zh-CN"/>
        </w:rPr>
        <w:t>三</w:t>
      </w:r>
      <w:r>
        <w:rPr>
          <w:rFonts w:hint="eastAsia" w:ascii="仿宋_GB2312" w:hAnsi="仿宋_GB2312" w:eastAsia="仿宋_GB2312" w:cs="仿宋_GB2312"/>
          <w:color w:val="auto"/>
          <w:sz w:val="32"/>
        </w:rPr>
        <w:t>年内不得有行贿犯罪记录</w:t>
      </w:r>
      <w:r>
        <w:rPr>
          <w:rFonts w:hint="eastAsia" w:ascii="仿宋_GB2312" w:hAnsi="仿宋_GB2312" w:eastAsia="仿宋_GB2312" w:cs="仿宋_GB2312"/>
          <w:color w:val="auto"/>
          <w:sz w:val="32"/>
          <w:lang w:eastAsia="zh-CN"/>
        </w:rPr>
        <w:t>；</w:t>
      </w:r>
    </w:p>
    <w:p w14:paraId="33F04FF9">
      <w:pPr>
        <w:pStyle w:val="24"/>
        <w:pageBreakBefore w:val="0"/>
        <w:numPr>
          <w:ilvl w:val="0"/>
          <w:numId w:val="50"/>
        </w:numPr>
        <w:wordWrap/>
        <w:topLinePunct w:val="0"/>
        <w:bidi w:val="0"/>
        <w:adjustRightInd w:val="0"/>
        <w:snapToGrid w:val="0"/>
        <w:spacing w:beforeLines="0" w:afterLines="0" w:line="560" w:lineRule="exact"/>
        <w:ind w:firstLine="640" w:firstLineChars="200"/>
        <w:jc w:val="left"/>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szCs w:val="32"/>
          <w:lang w:eastAsia="zh-CN" w:bidi="ar"/>
        </w:rPr>
        <w:t>未处于投标禁入期内；</w:t>
      </w:r>
    </w:p>
    <w:p w14:paraId="3492C500">
      <w:pPr>
        <w:pStyle w:val="24"/>
        <w:keepNext w:val="0"/>
        <w:keepLines w:val="0"/>
        <w:pageBreakBefore w:val="0"/>
        <w:widowControl/>
        <w:numPr>
          <w:ilvl w:val="0"/>
          <w:numId w:val="50"/>
        </w:numPr>
        <w:suppressLineNumbers w:val="0"/>
        <w:wordWrap/>
        <w:topLinePunct w:val="0"/>
        <w:bidi w:val="0"/>
        <w:adjustRightInd w:val="0"/>
        <w:snapToGrid w:val="0"/>
        <w:spacing w:before="0" w:beforeLines="0" w:beforeAutospacing="0" w:after="0" w:afterLines="0" w:afterAutospacing="0" w:line="560" w:lineRule="exact"/>
        <w:ind w:left="0" w:leftChars="0" w:right="0" w:firstLine="640" w:firstLineChars="200"/>
        <w:jc w:val="left"/>
        <w:outlineLvl w:val="9"/>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sz w:val="32"/>
          <w:szCs w:val="32"/>
          <w:lang w:bidi="ar"/>
        </w:rPr>
        <w:t>投标人在投标截止时间前被“信用中国”网站（www.creditchina.gov.cn）列入失信被执行人名单的、经营异常名录的,“中国政府采购网”网站（www.ccgp.gov.cn）政府采购严重违法失信行为记录名单的，拒绝参加本项目的采购活动。</w:t>
      </w:r>
      <w:r>
        <w:rPr>
          <w:rFonts w:hint="eastAsia" w:ascii="仿宋_GB2312" w:hAnsi="仿宋_GB2312" w:eastAsia="仿宋_GB2312" w:cs="仿宋_GB2312"/>
          <w:color w:val="auto"/>
          <w:sz w:val="32"/>
          <w:szCs w:val="32"/>
          <w:lang w:eastAsia="zh-CN" w:bidi="ar"/>
        </w:rPr>
        <w:t>信用信息</w:t>
      </w:r>
      <w:r>
        <w:rPr>
          <w:rFonts w:hint="eastAsia" w:ascii="仿宋_GB2312" w:hAnsi="仿宋_GB2312" w:eastAsia="仿宋_GB2312" w:cs="仿宋_GB2312"/>
          <w:color w:val="auto"/>
          <w:sz w:val="32"/>
          <w:szCs w:val="32"/>
          <w:lang w:val="en-US" w:eastAsia="zh-CN" w:bidi="ar"/>
        </w:rPr>
        <w:t>有效</w:t>
      </w:r>
      <w:r>
        <w:rPr>
          <w:rFonts w:hint="eastAsia" w:ascii="仿宋_GB2312" w:hAnsi="仿宋_GB2312" w:eastAsia="仿宋_GB2312" w:cs="仿宋_GB2312"/>
          <w:color w:val="auto"/>
          <w:sz w:val="32"/>
          <w:szCs w:val="32"/>
          <w:lang w:eastAsia="zh-CN" w:bidi="ar"/>
        </w:rPr>
        <w:t>时</w:t>
      </w:r>
      <w:r>
        <w:rPr>
          <w:rFonts w:hint="eastAsia" w:ascii="仿宋_GB2312" w:hAnsi="仿宋_GB2312" w:eastAsia="仿宋_GB2312" w:cs="仿宋_GB2312"/>
          <w:color w:val="auto"/>
          <w:sz w:val="32"/>
          <w:szCs w:val="32"/>
          <w:lang w:val="en-US" w:eastAsia="zh-CN" w:bidi="ar"/>
        </w:rPr>
        <w:t>间</w:t>
      </w:r>
      <w:r>
        <w:rPr>
          <w:rFonts w:hint="eastAsia" w:ascii="仿宋_GB2312" w:hAnsi="仿宋_GB2312" w:eastAsia="仿宋_GB2312" w:cs="仿宋_GB2312"/>
          <w:color w:val="auto"/>
          <w:sz w:val="32"/>
          <w:szCs w:val="32"/>
          <w:lang w:eastAsia="zh-CN" w:bidi="ar"/>
        </w:rPr>
        <w:t>点为</w:t>
      </w:r>
      <w:r>
        <w:rPr>
          <w:rFonts w:hint="eastAsia" w:ascii="仿宋_GB2312" w:hAnsi="仿宋_GB2312" w:eastAsia="仿宋_GB2312" w:cs="仿宋_GB2312"/>
          <w:color w:val="auto"/>
          <w:sz w:val="32"/>
          <w:szCs w:val="32"/>
          <w:lang w:val="en-US" w:eastAsia="zh-CN" w:bidi="ar"/>
        </w:rPr>
        <w:t>截止递交投标文件前三天；</w:t>
      </w:r>
    </w:p>
    <w:p w14:paraId="438EECAD">
      <w:pPr>
        <w:pStyle w:val="24"/>
        <w:keepNext w:val="0"/>
        <w:keepLines w:val="0"/>
        <w:pageBreakBefore w:val="0"/>
        <w:widowControl w:val="0"/>
        <w:numPr>
          <w:ilvl w:val="0"/>
          <w:numId w:val="50"/>
        </w:numPr>
        <w:suppressLineNumbers w:val="0"/>
        <w:wordWrap/>
        <w:topLinePunct w:val="0"/>
        <w:bidi w:val="0"/>
        <w:adjustRightInd w:val="0"/>
        <w:snapToGrid w:val="0"/>
        <w:spacing w:before="0" w:beforeLines="0" w:beforeAutospacing="0" w:after="0" w:afterLines="0" w:afterAutospacing="0" w:line="560" w:lineRule="exact"/>
        <w:ind w:left="0" w:leftChars="0" w:right="0" w:firstLine="640" w:firstLineChars="200"/>
        <w:jc w:val="left"/>
        <w:outlineLvl w:val="2"/>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32"/>
          <w:sz w:val="32"/>
          <w:szCs w:val="32"/>
          <w:highlight w:val="none"/>
          <w:shd w:val="clear" w:color="auto" w:fill="auto"/>
          <w:lang w:val="en-US" w:eastAsia="zh-CN"/>
        </w:rPr>
        <w:t>近三年未受到司法行政部门行政处罚或律师协会行业处分,也不存在重大监管处罚或正在被调查可能被监管重大处罚情况；</w:t>
      </w:r>
    </w:p>
    <w:p w14:paraId="3D25AF63">
      <w:pPr>
        <w:pStyle w:val="24"/>
        <w:pageBreakBefore w:val="0"/>
        <w:numPr>
          <w:ilvl w:val="0"/>
          <w:numId w:val="50"/>
        </w:numPr>
        <w:wordWrap/>
        <w:topLinePunct w:val="0"/>
        <w:bidi w:val="0"/>
        <w:adjustRightInd w:val="0"/>
        <w:snapToGrid w:val="0"/>
        <w:spacing w:beforeLines="0" w:afterLines="0" w:line="560" w:lineRule="exact"/>
        <w:ind w:leftChars="0" w:firstLine="640" w:firstLineChars="200"/>
        <w:jc w:val="left"/>
        <w:outlineLvl w:val="2"/>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
        </w:rPr>
        <w:t>本项目提出的其他要求及法律、行政法规规定的其他情形。</w:t>
      </w:r>
    </w:p>
    <w:p w14:paraId="7B7906A3">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供应商按以上顺序及要求逐条编制，有格式的按格式要求编写，无格式的供应商自拟格式编写。</w:t>
      </w:r>
    </w:p>
    <w:p w14:paraId="5E004D44">
      <w:pPr>
        <w:pStyle w:val="25"/>
        <w:keepNext w:val="0"/>
        <w:keepLines w:val="0"/>
        <w:pageBreakBefore w:val="0"/>
        <w:widowControl w:val="0"/>
        <w:numPr>
          <w:ilvl w:val="0"/>
          <w:numId w:val="48"/>
        </w:numPr>
        <w:kinsoku/>
        <w:wordWrap/>
        <w:overflowPunct/>
        <w:topLinePunct w:val="0"/>
        <w:autoSpaceDE/>
        <w:autoSpaceDN/>
        <w:bidi w:val="0"/>
        <w:adjustRightInd w:val="0"/>
        <w:snapToGrid w:val="0"/>
        <w:spacing w:before="0" w:after="0" w:line="560" w:lineRule="exact"/>
        <w:ind w:left="0" w:firstLine="643" w:firstLineChars="200"/>
        <w:jc w:val="left"/>
        <w:textAlignment w:val="auto"/>
        <w:outlineLvl w:val="1"/>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br w:type="page"/>
      </w:r>
      <w:r>
        <w:rPr>
          <w:rFonts w:hint="eastAsia" w:ascii="黑体" w:hAnsi="黑体" w:eastAsia="黑体" w:cs="黑体"/>
          <w:b w:val="0"/>
          <w:bCs w:val="0"/>
          <w:color w:val="auto"/>
          <w:sz w:val="32"/>
          <w:szCs w:val="32"/>
          <w:highlight w:val="none"/>
          <w:lang w:val="en-US" w:eastAsia="zh-CN"/>
        </w:rPr>
        <w:t>承诺函</w:t>
      </w:r>
    </w:p>
    <w:p w14:paraId="063BADAA">
      <w:pPr>
        <w:pStyle w:val="25"/>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left="0" w:firstLine="640" w:firstLineChars="200"/>
        <w:jc w:val="center"/>
        <w:textAlignment w:val="auto"/>
        <w:outlineLvl w:val="9"/>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承诺函</w:t>
      </w:r>
    </w:p>
    <w:p w14:paraId="53B3F376">
      <w:pPr>
        <w:pageBreakBefore w:val="0"/>
        <w:wordWrap/>
        <w:topLinePunct w:val="0"/>
        <w:bidi w:val="0"/>
        <w:spacing w:line="560" w:lineRule="exact"/>
        <w:ind w:firstLine="0" w:firstLineChars="0"/>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rPr>
        <w:t>致：</w:t>
      </w:r>
      <w:r>
        <w:rPr>
          <w:rFonts w:hint="eastAsia" w:ascii="仿宋_GB2312" w:hAnsi="仿宋_GB2312" w:eastAsia="仿宋_GB2312" w:cs="仿宋_GB2312"/>
          <w:bCs/>
          <w:color w:val="auto"/>
          <w:sz w:val="32"/>
          <w:szCs w:val="32"/>
          <w:highlight w:val="none"/>
          <w:lang w:val="en-US" w:eastAsia="zh-CN"/>
        </w:rPr>
        <w:t>XXX</w:t>
      </w:r>
    </w:p>
    <w:p w14:paraId="5B3774FB">
      <w:pPr>
        <w:pageBreakBefore w:val="0"/>
        <w:widowControl/>
        <w:wordWrap/>
        <w:topLinePunct w:val="0"/>
        <w:bidi w:val="0"/>
        <w:spacing w:line="560" w:lineRule="exact"/>
        <w:ind w:firstLine="640" w:firstLineChars="200"/>
        <w:jc w:val="left"/>
        <w:outlineLvl w:val="9"/>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我公司作为</w:t>
      </w:r>
      <w:r>
        <w:rPr>
          <w:rFonts w:hint="eastAsia" w:ascii="仿宋_GB2312" w:hAnsi="仿宋_GB2312" w:eastAsia="仿宋_GB2312" w:cs="仿宋_GB2312"/>
          <w:bCs/>
          <w:color w:val="auto"/>
          <w:sz w:val="32"/>
          <w:szCs w:val="32"/>
          <w:highlight w:val="none"/>
          <w:lang w:val="en-US" w:eastAsia="zh-CN"/>
        </w:rPr>
        <w:t>参加</w:t>
      </w:r>
      <w:r>
        <w:rPr>
          <w:rFonts w:hint="eastAsia" w:ascii="仿宋_GB2312" w:hAnsi="仿宋_GB2312" w:eastAsia="仿宋_GB2312" w:cs="仿宋_GB2312"/>
          <w:bCs/>
          <w:color w:val="auto"/>
          <w:sz w:val="32"/>
          <w:szCs w:val="32"/>
          <w:highlight w:val="none"/>
        </w:rPr>
        <w:t>本项目</w:t>
      </w:r>
      <w:r>
        <w:rPr>
          <w:rFonts w:hint="eastAsia" w:ascii="仿宋_GB2312" w:hAnsi="仿宋_GB2312" w:eastAsia="仿宋_GB2312" w:cs="仿宋_GB2312"/>
          <w:bCs/>
          <w:color w:val="auto"/>
          <w:sz w:val="32"/>
          <w:szCs w:val="32"/>
          <w:highlight w:val="none"/>
          <w:lang w:val="en-US" w:eastAsia="zh-CN"/>
        </w:rPr>
        <w:t>询比</w:t>
      </w:r>
      <w:r>
        <w:rPr>
          <w:rFonts w:hint="eastAsia" w:ascii="仿宋_GB2312" w:hAnsi="仿宋_GB2312" w:eastAsia="仿宋_GB2312" w:cs="仿宋_GB2312"/>
          <w:bCs/>
          <w:color w:val="auto"/>
          <w:sz w:val="32"/>
          <w:szCs w:val="32"/>
          <w:highlight w:val="none"/>
        </w:rPr>
        <w:t>的</w:t>
      </w:r>
      <w:r>
        <w:rPr>
          <w:rFonts w:hint="eastAsia" w:ascii="仿宋_GB2312" w:hAnsi="仿宋_GB2312" w:eastAsia="仿宋_GB2312" w:cs="仿宋_GB2312"/>
          <w:bCs/>
          <w:color w:val="auto"/>
          <w:sz w:val="32"/>
          <w:szCs w:val="32"/>
          <w:highlight w:val="none"/>
          <w:lang w:val="en-US" w:eastAsia="zh-CN"/>
        </w:rPr>
        <w:t>供应商</w:t>
      </w:r>
      <w:r>
        <w:rPr>
          <w:rFonts w:hint="eastAsia" w:ascii="仿宋_GB2312" w:hAnsi="仿宋_GB2312" w:eastAsia="仿宋_GB2312" w:cs="仿宋_GB2312"/>
          <w:bCs/>
          <w:color w:val="auto"/>
          <w:sz w:val="32"/>
          <w:szCs w:val="32"/>
          <w:highlight w:val="none"/>
        </w:rPr>
        <w:t>，根据</w:t>
      </w:r>
      <w:r>
        <w:rPr>
          <w:rFonts w:hint="eastAsia" w:ascii="仿宋_GB2312" w:hAnsi="仿宋_GB2312" w:eastAsia="仿宋_GB2312" w:cs="仿宋_GB2312"/>
          <w:bCs/>
          <w:color w:val="auto"/>
          <w:sz w:val="32"/>
          <w:szCs w:val="32"/>
          <w:highlight w:val="none"/>
          <w:lang w:val="en-US" w:eastAsia="zh-CN"/>
        </w:rPr>
        <w:t>询比采购</w:t>
      </w:r>
      <w:r>
        <w:rPr>
          <w:rFonts w:hint="eastAsia" w:ascii="仿宋_GB2312" w:hAnsi="仿宋_GB2312" w:eastAsia="仿宋_GB2312" w:cs="仿宋_GB2312"/>
          <w:bCs/>
          <w:color w:val="auto"/>
          <w:sz w:val="32"/>
          <w:szCs w:val="32"/>
          <w:highlight w:val="none"/>
        </w:rPr>
        <w:t>文件要求，现郑重承诺如下：</w:t>
      </w:r>
    </w:p>
    <w:p w14:paraId="5DFC73D3">
      <w:pPr>
        <w:pageBreakBefore w:val="0"/>
        <w:widowControl/>
        <w:numPr>
          <w:ilvl w:val="0"/>
          <w:numId w:val="51"/>
        </w:numPr>
        <w:wordWrap/>
        <w:topLinePunct w:val="0"/>
        <w:bidi w:val="0"/>
        <w:spacing w:line="560" w:lineRule="exact"/>
        <w:ind w:firstLine="640" w:firstLineChars="200"/>
        <w:jc w:val="left"/>
        <w:outlineLvl w:val="9"/>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具备</w:t>
      </w:r>
      <w:r>
        <w:rPr>
          <w:rFonts w:hint="eastAsia" w:ascii="仿宋_GB2312" w:hAnsi="仿宋_GB2312" w:eastAsia="仿宋_GB2312" w:cs="仿宋_GB2312"/>
          <w:bCs/>
          <w:color w:val="auto"/>
          <w:sz w:val="32"/>
          <w:szCs w:val="32"/>
          <w:highlight w:val="none"/>
          <w:lang w:val="en-US" w:eastAsia="zh-CN"/>
        </w:rPr>
        <w:t>下列供应商应具备的</w:t>
      </w:r>
      <w:r>
        <w:rPr>
          <w:rFonts w:hint="eastAsia" w:ascii="仿宋_GB2312" w:hAnsi="仿宋_GB2312" w:eastAsia="仿宋_GB2312" w:cs="仿宋_GB2312"/>
          <w:bCs/>
          <w:color w:val="auto"/>
          <w:sz w:val="32"/>
          <w:szCs w:val="32"/>
          <w:highlight w:val="none"/>
        </w:rPr>
        <w:t>条件：</w:t>
      </w:r>
    </w:p>
    <w:p w14:paraId="286C696C">
      <w:pPr>
        <w:pStyle w:val="24"/>
        <w:pageBreakBefore w:val="0"/>
        <w:widowControl w:val="0"/>
        <w:numPr>
          <w:ilvl w:val="0"/>
          <w:numId w:val="52"/>
        </w:numPr>
        <w:wordWrap/>
        <w:topLinePunct w:val="0"/>
        <w:bidi w:val="0"/>
        <w:adjustRightInd w:val="0"/>
        <w:snapToGrid w:val="0"/>
        <w:spacing w:beforeLines="0" w:afterLines="0" w:line="560" w:lineRule="exact"/>
        <w:ind w:firstLine="640" w:firstLineChars="200"/>
        <w:jc w:val="left"/>
        <w:rPr>
          <w:rFonts w:hint="eastAsia" w:ascii="仿宋_GB2312" w:hAnsi="仿宋_GB2312" w:eastAsia="仿宋_GB2312" w:cs="仿宋_GB2312"/>
          <w:bCs w:val="0"/>
          <w:color w:val="auto"/>
          <w:sz w:val="32"/>
          <w:szCs w:val="32"/>
          <w:highlight w:val="none"/>
          <w:lang w:bidi="ar"/>
        </w:rPr>
      </w:pPr>
      <w:r>
        <w:rPr>
          <w:rFonts w:hint="eastAsia" w:ascii="仿宋_GB2312" w:hAnsi="仿宋_GB2312" w:eastAsia="仿宋_GB2312" w:cs="仿宋_GB2312"/>
          <w:bCs w:val="0"/>
          <w:color w:val="auto"/>
          <w:sz w:val="32"/>
          <w:szCs w:val="32"/>
          <w:highlight w:val="none"/>
          <w:lang w:bidi="ar"/>
        </w:rPr>
        <w:t xml:space="preserve">具有独立承担民事责任的能力； </w:t>
      </w:r>
    </w:p>
    <w:p w14:paraId="73319238">
      <w:pPr>
        <w:pStyle w:val="24"/>
        <w:pageBreakBefore w:val="0"/>
        <w:widowControl w:val="0"/>
        <w:numPr>
          <w:ilvl w:val="0"/>
          <w:numId w:val="52"/>
        </w:numPr>
        <w:wordWrap/>
        <w:topLinePunct w:val="0"/>
        <w:bidi w:val="0"/>
        <w:adjustRightInd w:val="0"/>
        <w:snapToGrid w:val="0"/>
        <w:spacing w:beforeLines="0" w:afterLines="0" w:line="560" w:lineRule="exact"/>
        <w:ind w:firstLine="640" w:firstLineChars="200"/>
        <w:jc w:val="left"/>
        <w:rPr>
          <w:rFonts w:hint="eastAsia" w:ascii="仿宋_GB2312" w:hAnsi="仿宋_GB2312" w:eastAsia="仿宋_GB2312" w:cs="仿宋_GB2312"/>
          <w:color w:val="auto"/>
          <w:kern w:val="32"/>
          <w:sz w:val="32"/>
          <w:szCs w:val="32"/>
          <w:highlight w:val="none"/>
          <w:shd w:val="clear" w:color="auto" w:fill="auto"/>
          <w:lang w:val="en-US" w:eastAsia="zh-CN"/>
        </w:rPr>
      </w:pPr>
      <w:r>
        <w:rPr>
          <w:rFonts w:hint="eastAsia" w:ascii="仿宋_GB2312" w:hAnsi="仿宋_GB2312" w:eastAsia="仿宋_GB2312" w:cs="仿宋_GB2312"/>
          <w:color w:val="auto"/>
          <w:kern w:val="0"/>
          <w:sz w:val="32"/>
          <w:szCs w:val="32"/>
          <w:highlight w:val="none"/>
          <w:shd w:val="clear" w:color="auto" w:fill="auto"/>
          <w:lang w:val="en-US" w:eastAsia="zh-CN" w:bidi="ar"/>
        </w:rPr>
        <w:t>具有司法机关核发的律所执业许可证，连续正常执业3年以上，并按规定通过有关部门的年度检验/备案等；</w:t>
      </w:r>
    </w:p>
    <w:p w14:paraId="61108A89">
      <w:pPr>
        <w:pStyle w:val="24"/>
        <w:pageBreakBefore w:val="0"/>
        <w:widowControl w:val="0"/>
        <w:numPr>
          <w:ilvl w:val="0"/>
          <w:numId w:val="52"/>
        </w:numPr>
        <w:wordWrap/>
        <w:topLinePunct w:val="0"/>
        <w:bidi w:val="0"/>
        <w:adjustRightInd w:val="0"/>
        <w:snapToGrid w:val="0"/>
        <w:spacing w:beforeLines="0" w:afterLines="0" w:line="560" w:lineRule="exact"/>
        <w:ind w:firstLine="640" w:firstLineChars="200"/>
        <w:jc w:val="left"/>
        <w:rPr>
          <w:rFonts w:hint="eastAsia" w:ascii="仿宋_GB2312" w:hAnsi="仿宋_GB2312" w:eastAsia="仿宋_GB2312" w:cs="仿宋_GB2312"/>
          <w:color w:val="auto"/>
          <w:kern w:val="32"/>
          <w:sz w:val="32"/>
          <w:szCs w:val="32"/>
          <w:highlight w:val="none"/>
          <w:shd w:val="clear" w:color="auto" w:fill="auto"/>
          <w:lang w:val="en-US" w:eastAsia="zh-CN"/>
        </w:rPr>
      </w:pPr>
      <w:r>
        <w:rPr>
          <w:rFonts w:hint="eastAsia" w:ascii="仿宋_GB2312" w:hAnsi="仿宋_GB2312" w:eastAsia="仿宋_GB2312" w:cs="仿宋_GB2312"/>
          <w:color w:val="auto"/>
          <w:kern w:val="32"/>
          <w:sz w:val="32"/>
          <w:szCs w:val="32"/>
          <w:highlight w:val="none"/>
          <w:shd w:val="clear" w:color="auto" w:fill="auto"/>
          <w:lang w:val="en-US" w:eastAsia="zh-CN"/>
        </w:rPr>
        <w:t>有固定的工作场所、完善的质量控制体系和风险管理制度；</w:t>
      </w:r>
    </w:p>
    <w:p w14:paraId="2FB11BA2">
      <w:pPr>
        <w:pStyle w:val="24"/>
        <w:pageBreakBefore w:val="0"/>
        <w:numPr>
          <w:ilvl w:val="0"/>
          <w:numId w:val="52"/>
        </w:numPr>
        <w:wordWrap/>
        <w:topLinePunct w:val="0"/>
        <w:bidi w:val="0"/>
        <w:adjustRightInd w:val="0"/>
        <w:snapToGrid w:val="0"/>
        <w:spacing w:beforeLines="0" w:afterLines="0" w:line="560" w:lineRule="exact"/>
        <w:ind w:firstLine="640" w:firstLineChars="200"/>
        <w:jc w:val="left"/>
        <w:rPr>
          <w:rFonts w:hint="eastAsia" w:ascii="仿宋_GB2312" w:hAnsi="仿宋_GB2312" w:eastAsia="仿宋_GB2312" w:cs="仿宋_GB2312"/>
          <w:color w:val="auto"/>
          <w:sz w:val="32"/>
        </w:rPr>
      </w:pPr>
      <w:r>
        <w:rPr>
          <w:rFonts w:hint="eastAsia" w:ascii="仿宋_GB2312" w:hAnsi="仿宋_GB2312" w:eastAsia="仿宋_GB2312" w:cs="仿宋_GB2312"/>
          <w:color w:val="auto"/>
          <w:kern w:val="32"/>
          <w:sz w:val="32"/>
          <w:szCs w:val="32"/>
          <w:highlight w:val="none"/>
          <w:shd w:val="clear" w:color="auto" w:fill="auto"/>
          <w:lang w:val="en-US" w:eastAsia="zh-CN"/>
        </w:rPr>
        <w:t>具有良好的商业信誉和健全的财务制度，有依法缴纳税收和社会保障资金的良好记录；</w:t>
      </w:r>
    </w:p>
    <w:p w14:paraId="15FE875B">
      <w:pPr>
        <w:pStyle w:val="24"/>
        <w:pageBreakBefore w:val="0"/>
        <w:numPr>
          <w:ilvl w:val="0"/>
          <w:numId w:val="52"/>
        </w:numPr>
        <w:wordWrap/>
        <w:topLinePunct w:val="0"/>
        <w:bidi w:val="0"/>
        <w:adjustRightInd w:val="0"/>
        <w:snapToGrid w:val="0"/>
        <w:spacing w:beforeLines="0" w:afterLines="0" w:line="560" w:lineRule="exact"/>
        <w:ind w:leftChars="0" w:firstLine="640" w:firstLineChars="200"/>
        <w:jc w:val="left"/>
        <w:outlineLvl w:val="2"/>
        <w:rPr>
          <w:rFonts w:hint="eastAsia" w:ascii="仿宋_GB2312" w:hAnsi="仿宋_GB2312" w:eastAsia="仿宋_GB2312" w:cs="仿宋_GB2312"/>
          <w:color w:val="auto"/>
          <w:sz w:val="32"/>
        </w:rPr>
      </w:pPr>
      <w:r>
        <w:rPr>
          <w:rFonts w:hint="eastAsia" w:ascii="仿宋_GB2312" w:hAnsi="仿宋_GB2312" w:eastAsia="仿宋_GB2312" w:cs="仿宋_GB2312"/>
          <w:color w:val="auto"/>
          <w:kern w:val="0"/>
          <w:sz w:val="32"/>
          <w:szCs w:val="32"/>
          <w:highlight w:val="none"/>
          <w:lang w:val="en-US" w:eastAsia="zh-CN" w:bidi="ar"/>
        </w:rPr>
        <w:t>具备从事证券服务业务的经验，且在证监会备案；</w:t>
      </w:r>
    </w:p>
    <w:p w14:paraId="20DDF8AB">
      <w:pPr>
        <w:pStyle w:val="24"/>
        <w:pageBreakBefore w:val="0"/>
        <w:numPr>
          <w:ilvl w:val="0"/>
          <w:numId w:val="52"/>
        </w:numPr>
        <w:wordWrap/>
        <w:topLinePunct w:val="0"/>
        <w:bidi w:val="0"/>
        <w:adjustRightInd w:val="0"/>
        <w:snapToGrid w:val="0"/>
        <w:spacing w:beforeLines="0" w:afterLines="0" w:line="560" w:lineRule="exact"/>
        <w:ind w:firstLine="640" w:firstLineChars="200"/>
        <w:jc w:val="left"/>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参加本次采购活动前三年内，在经营活动中没有重大违法记录</w:t>
      </w:r>
      <w:r>
        <w:rPr>
          <w:rFonts w:hint="eastAsia" w:ascii="仿宋_GB2312" w:hAnsi="仿宋_GB2312" w:eastAsia="仿宋_GB2312" w:cs="仿宋_GB2312"/>
          <w:color w:val="auto"/>
          <w:sz w:val="32"/>
          <w:szCs w:val="32"/>
          <w:lang w:bidi="ar"/>
        </w:rPr>
        <w:t>,无市场禁入。重大违法记录，是指投标人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r>
        <w:rPr>
          <w:rFonts w:hint="eastAsia" w:ascii="仿宋_GB2312" w:hAnsi="仿宋_GB2312" w:eastAsia="仿宋_GB2312" w:cs="仿宋_GB2312"/>
          <w:color w:val="auto"/>
          <w:sz w:val="32"/>
        </w:rPr>
        <w:t>；</w:t>
      </w:r>
    </w:p>
    <w:p w14:paraId="73A41AFA">
      <w:pPr>
        <w:pStyle w:val="24"/>
        <w:pageBreakBefore w:val="0"/>
        <w:numPr>
          <w:ilvl w:val="0"/>
          <w:numId w:val="52"/>
        </w:numPr>
        <w:wordWrap/>
        <w:topLinePunct w:val="0"/>
        <w:bidi w:val="0"/>
        <w:adjustRightInd w:val="0"/>
        <w:snapToGrid w:val="0"/>
        <w:spacing w:beforeLines="0" w:afterLines="0" w:line="560" w:lineRule="exact"/>
        <w:ind w:firstLine="640" w:firstLineChars="200"/>
        <w:jc w:val="left"/>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参加</w:t>
      </w:r>
      <w:r>
        <w:rPr>
          <w:rFonts w:hint="eastAsia" w:ascii="仿宋_GB2312" w:hAnsi="仿宋_GB2312" w:eastAsia="仿宋_GB2312" w:cs="仿宋_GB2312"/>
          <w:color w:val="auto"/>
          <w:sz w:val="32"/>
          <w:lang w:val="en-US" w:eastAsia="zh-CN"/>
        </w:rPr>
        <w:t>本项目</w:t>
      </w:r>
      <w:r>
        <w:rPr>
          <w:rFonts w:hint="eastAsia" w:ascii="仿宋_GB2312" w:hAnsi="仿宋_GB2312" w:eastAsia="仿宋_GB2312" w:cs="仿宋_GB2312"/>
          <w:color w:val="auto"/>
          <w:sz w:val="32"/>
        </w:rPr>
        <w:t>的投标人、法定代表人(非法人负责人)前</w:t>
      </w:r>
      <w:r>
        <w:rPr>
          <w:rFonts w:hint="eastAsia" w:ascii="仿宋_GB2312" w:hAnsi="仿宋_GB2312" w:eastAsia="仿宋_GB2312" w:cs="仿宋_GB2312"/>
          <w:color w:val="auto"/>
          <w:sz w:val="32"/>
          <w:lang w:val="en-US" w:eastAsia="zh-CN"/>
        </w:rPr>
        <w:t>三</w:t>
      </w:r>
      <w:r>
        <w:rPr>
          <w:rFonts w:hint="eastAsia" w:ascii="仿宋_GB2312" w:hAnsi="仿宋_GB2312" w:eastAsia="仿宋_GB2312" w:cs="仿宋_GB2312"/>
          <w:color w:val="auto"/>
          <w:sz w:val="32"/>
        </w:rPr>
        <w:t>年内不得有行贿犯罪记录</w:t>
      </w:r>
      <w:r>
        <w:rPr>
          <w:rFonts w:hint="eastAsia" w:ascii="仿宋_GB2312" w:hAnsi="仿宋_GB2312" w:eastAsia="仿宋_GB2312" w:cs="仿宋_GB2312"/>
          <w:color w:val="auto"/>
          <w:sz w:val="32"/>
          <w:lang w:eastAsia="zh-CN"/>
        </w:rPr>
        <w:t>；</w:t>
      </w:r>
    </w:p>
    <w:p w14:paraId="7CE7E22F">
      <w:pPr>
        <w:pStyle w:val="24"/>
        <w:pageBreakBefore w:val="0"/>
        <w:numPr>
          <w:ilvl w:val="0"/>
          <w:numId w:val="52"/>
        </w:numPr>
        <w:wordWrap/>
        <w:topLinePunct w:val="0"/>
        <w:bidi w:val="0"/>
        <w:adjustRightInd w:val="0"/>
        <w:snapToGrid w:val="0"/>
        <w:spacing w:beforeLines="0" w:afterLines="0" w:line="560" w:lineRule="exact"/>
        <w:ind w:firstLine="640" w:firstLineChars="200"/>
        <w:jc w:val="left"/>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szCs w:val="32"/>
          <w:lang w:eastAsia="zh-CN" w:bidi="ar"/>
        </w:rPr>
        <w:t>未处于投标禁入期内；</w:t>
      </w:r>
    </w:p>
    <w:p w14:paraId="0D08284D">
      <w:pPr>
        <w:pStyle w:val="24"/>
        <w:keepNext w:val="0"/>
        <w:keepLines w:val="0"/>
        <w:pageBreakBefore w:val="0"/>
        <w:widowControl/>
        <w:numPr>
          <w:ilvl w:val="0"/>
          <w:numId w:val="52"/>
        </w:numPr>
        <w:suppressLineNumbers w:val="0"/>
        <w:wordWrap/>
        <w:topLinePunct w:val="0"/>
        <w:bidi w:val="0"/>
        <w:adjustRightInd w:val="0"/>
        <w:snapToGrid w:val="0"/>
        <w:spacing w:before="0" w:beforeLines="0" w:beforeAutospacing="0" w:after="0" w:afterLines="0" w:afterAutospacing="0" w:line="560" w:lineRule="exact"/>
        <w:ind w:left="0" w:leftChars="0" w:right="0" w:firstLine="640" w:firstLineChars="200"/>
        <w:jc w:val="left"/>
        <w:outlineLvl w:val="9"/>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sz w:val="32"/>
          <w:szCs w:val="32"/>
          <w:lang w:bidi="ar"/>
        </w:rPr>
        <w:t>投标人在投标截止时间前被“信用中国”网站（www.creditchina.gov.cn）列入失信被执行人名单的、经营异常名录的,“中国政府采购网”网站（www.ccgp.gov.cn）政府采购严重违法失信行为记录名单的，拒绝参加本项目的采购活动。</w:t>
      </w:r>
      <w:r>
        <w:rPr>
          <w:rFonts w:hint="eastAsia" w:ascii="仿宋_GB2312" w:hAnsi="仿宋_GB2312" w:eastAsia="仿宋_GB2312" w:cs="仿宋_GB2312"/>
          <w:color w:val="auto"/>
          <w:sz w:val="32"/>
          <w:szCs w:val="32"/>
          <w:lang w:eastAsia="zh-CN" w:bidi="ar"/>
        </w:rPr>
        <w:t>信用信息</w:t>
      </w:r>
      <w:r>
        <w:rPr>
          <w:rFonts w:hint="eastAsia" w:ascii="仿宋_GB2312" w:hAnsi="仿宋_GB2312" w:eastAsia="仿宋_GB2312" w:cs="仿宋_GB2312"/>
          <w:color w:val="auto"/>
          <w:sz w:val="32"/>
          <w:szCs w:val="32"/>
          <w:lang w:val="en-US" w:eastAsia="zh-CN" w:bidi="ar"/>
        </w:rPr>
        <w:t>有效</w:t>
      </w:r>
      <w:r>
        <w:rPr>
          <w:rFonts w:hint="eastAsia" w:ascii="仿宋_GB2312" w:hAnsi="仿宋_GB2312" w:eastAsia="仿宋_GB2312" w:cs="仿宋_GB2312"/>
          <w:color w:val="auto"/>
          <w:sz w:val="32"/>
          <w:szCs w:val="32"/>
          <w:lang w:eastAsia="zh-CN" w:bidi="ar"/>
        </w:rPr>
        <w:t>时</w:t>
      </w:r>
      <w:r>
        <w:rPr>
          <w:rFonts w:hint="eastAsia" w:ascii="仿宋_GB2312" w:hAnsi="仿宋_GB2312" w:eastAsia="仿宋_GB2312" w:cs="仿宋_GB2312"/>
          <w:color w:val="auto"/>
          <w:sz w:val="32"/>
          <w:szCs w:val="32"/>
          <w:lang w:val="en-US" w:eastAsia="zh-CN" w:bidi="ar"/>
        </w:rPr>
        <w:t>间</w:t>
      </w:r>
      <w:r>
        <w:rPr>
          <w:rFonts w:hint="eastAsia" w:ascii="仿宋_GB2312" w:hAnsi="仿宋_GB2312" w:eastAsia="仿宋_GB2312" w:cs="仿宋_GB2312"/>
          <w:color w:val="auto"/>
          <w:sz w:val="32"/>
          <w:szCs w:val="32"/>
          <w:lang w:eastAsia="zh-CN" w:bidi="ar"/>
        </w:rPr>
        <w:t>点为</w:t>
      </w:r>
      <w:r>
        <w:rPr>
          <w:rFonts w:hint="eastAsia" w:ascii="仿宋_GB2312" w:hAnsi="仿宋_GB2312" w:eastAsia="仿宋_GB2312" w:cs="仿宋_GB2312"/>
          <w:color w:val="auto"/>
          <w:sz w:val="32"/>
          <w:szCs w:val="32"/>
          <w:lang w:val="en-US" w:eastAsia="zh-CN" w:bidi="ar"/>
        </w:rPr>
        <w:t>截止递交投标文件前三天；</w:t>
      </w:r>
    </w:p>
    <w:p w14:paraId="43880980">
      <w:pPr>
        <w:pStyle w:val="24"/>
        <w:keepNext w:val="0"/>
        <w:keepLines w:val="0"/>
        <w:pageBreakBefore w:val="0"/>
        <w:widowControl w:val="0"/>
        <w:numPr>
          <w:ilvl w:val="0"/>
          <w:numId w:val="52"/>
        </w:numPr>
        <w:suppressLineNumbers w:val="0"/>
        <w:wordWrap/>
        <w:topLinePunct w:val="0"/>
        <w:bidi w:val="0"/>
        <w:adjustRightInd w:val="0"/>
        <w:snapToGrid w:val="0"/>
        <w:spacing w:before="0" w:beforeLines="0" w:beforeAutospacing="0" w:after="0" w:afterLines="0" w:afterAutospacing="0" w:line="560" w:lineRule="exact"/>
        <w:ind w:left="0" w:leftChars="0" w:right="0" w:firstLine="640" w:firstLineChars="200"/>
        <w:jc w:val="left"/>
        <w:outlineLvl w:val="2"/>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32"/>
          <w:sz w:val="32"/>
          <w:szCs w:val="32"/>
          <w:highlight w:val="none"/>
          <w:shd w:val="clear" w:color="auto" w:fill="auto"/>
          <w:lang w:val="en-US" w:eastAsia="zh-CN"/>
        </w:rPr>
        <w:t>近三年未受到司法行政部门行政处罚或律师协会行业处分,也不存在重大监管处罚或正在被调查可能被监管重大处罚情况；</w:t>
      </w:r>
    </w:p>
    <w:p w14:paraId="6DEE4912">
      <w:pPr>
        <w:pStyle w:val="24"/>
        <w:keepNext w:val="0"/>
        <w:keepLines w:val="0"/>
        <w:pageBreakBefore w:val="0"/>
        <w:widowControl w:val="0"/>
        <w:numPr>
          <w:ilvl w:val="0"/>
          <w:numId w:val="52"/>
        </w:numPr>
        <w:suppressLineNumbers w:val="0"/>
        <w:wordWrap/>
        <w:topLinePunct w:val="0"/>
        <w:bidi w:val="0"/>
        <w:adjustRightInd w:val="0"/>
        <w:snapToGrid w:val="0"/>
        <w:spacing w:before="0" w:beforeLines="0" w:beforeAutospacing="0" w:after="0" w:afterLines="0" w:afterAutospacing="0" w:line="560" w:lineRule="exact"/>
        <w:ind w:left="0" w:leftChars="0" w:right="0" w:firstLine="640" w:firstLineChars="200"/>
        <w:jc w:val="left"/>
        <w:outlineLvl w:val="2"/>
        <w:rPr>
          <w:rFonts w:hint="eastAsia" w:ascii="仿宋_GB2312" w:hAnsi="仿宋_GB2312" w:eastAsia="仿宋_GB2312" w:cs="仿宋_GB2312"/>
          <w:color w:val="auto"/>
          <w:kern w:val="0"/>
          <w:sz w:val="32"/>
          <w:szCs w:val="32"/>
          <w:highlight w:val="none"/>
          <w:lang w:val="en-US" w:eastAsia="zh" w:bidi="ar"/>
        </w:rPr>
      </w:pPr>
      <w:r>
        <w:rPr>
          <w:rFonts w:hint="eastAsia" w:ascii="仿宋_GB2312" w:hAnsi="仿宋_GB2312" w:eastAsia="仿宋_GB2312" w:cs="仿宋_GB2312"/>
          <w:color w:val="auto"/>
          <w:kern w:val="0"/>
          <w:sz w:val="32"/>
          <w:szCs w:val="32"/>
          <w:highlight w:val="none"/>
          <w:lang w:val="en-US" w:eastAsia="zh-CN" w:bidi="ar"/>
        </w:rPr>
        <w:t>本项目提出的其他要求及法律、行政法规规定的其他情形。</w:t>
      </w:r>
    </w:p>
    <w:p w14:paraId="47EE7AC2">
      <w:pPr>
        <w:pageBreakBefore w:val="0"/>
        <w:wordWrap/>
        <w:topLinePunct w:val="0"/>
        <w:bidi w:val="0"/>
        <w:spacing w:line="560" w:lineRule="exact"/>
        <w:ind w:firstLine="640" w:firstLineChars="200"/>
        <w:jc w:val="left"/>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二</w:t>
      </w:r>
      <w:r>
        <w:rPr>
          <w:rFonts w:hint="eastAsia" w:ascii="仿宋_GB2312" w:hAnsi="仿宋_GB2312" w:eastAsia="仿宋_GB2312" w:cs="仿宋_GB2312"/>
          <w:bCs/>
          <w:color w:val="auto"/>
          <w:sz w:val="32"/>
          <w:szCs w:val="32"/>
          <w:highlight w:val="none"/>
        </w:rPr>
        <w:t>、我方已详细、全面认真阅读</w:t>
      </w:r>
      <w:r>
        <w:rPr>
          <w:rFonts w:hint="eastAsia" w:ascii="仿宋_GB2312" w:hAnsi="仿宋_GB2312" w:eastAsia="仿宋_GB2312" w:cs="仿宋_GB2312"/>
          <w:bCs/>
          <w:color w:val="auto"/>
          <w:sz w:val="32"/>
          <w:szCs w:val="32"/>
          <w:highlight w:val="none"/>
          <w:lang w:val="en-US" w:eastAsia="zh-CN"/>
        </w:rPr>
        <w:t>询比采购文件</w:t>
      </w:r>
      <w:r>
        <w:rPr>
          <w:rFonts w:hint="eastAsia" w:ascii="仿宋_GB2312" w:hAnsi="仿宋_GB2312" w:eastAsia="仿宋_GB2312" w:cs="仿宋_GB2312"/>
          <w:bCs/>
          <w:color w:val="auto"/>
          <w:sz w:val="32"/>
          <w:szCs w:val="32"/>
          <w:highlight w:val="none"/>
        </w:rPr>
        <w:t>，已知悉</w:t>
      </w:r>
      <w:r>
        <w:rPr>
          <w:rFonts w:hint="eastAsia" w:ascii="仿宋_GB2312" w:hAnsi="仿宋_GB2312" w:eastAsia="仿宋_GB2312" w:cs="仿宋_GB2312"/>
          <w:bCs/>
          <w:color w:val="auto"/>
          <w:sz w:val="32"/>
          <w:szCs w:val="32"/>
          <w:highlight w:val="none"/>
          <w:lang w:val="en-US" w:eastAsia="zh-CN"/>
        </w:rPr>
        <w:t>询比采购文件</w:t>
      </w:r>
      <w:r>
        <w:rPr>
          <w:rFonts w:hint="eastAsia" w:ascii="仿宋_GB2312" w:hAnsi="仿宋_GB2312" w:eastAsia="仿宋_GB2312" w:cs="仿宋_GB2312"/>
          <w:bCs/>
          <w:color w:val="auto"/>
          <w:sz w:val="32"/>
          <w:szCs w:val="32"/>
          <w:highlight w:val="none"/>
        </w:rPr>
        <w:t>的全部内容，自愿参与本次</w:t>
      </w:r>
      <w:r>
        <w:rPr>
          <w:rFonts w:hint="eastAsia" w:ascii="仿宋_GB2312" w:hAnsi="仿宋_GB2312" w:eastAsia="仿宋_GB2312" w:cs="仿宋_GB2312"/>
          <w:bCs/>
          <w:color w:val="auto"/>
          <w:sz w:val="32"/>
          <w:szCs w:val="32"/>
          <w:highlight w:val="none"/>
          <w:lang w:val="en-US" w:eastAsia="zh-CN"/>
        </w:rPr>
        <w:t>响应</w:t>
      </w:r>
      <w:r>
        <w:rPr>
          <w:rFonts w:hint="eastAsia" w:ascii="仿宋_GB2312" w:hAnsi="仿宋_GB2312" w:eastAsia="仿宋_GB2312" w:cs="仿宋_GB2312"/>
          <w:bCs/>
          <w:color w:val="auto"/>
          <w:sz w:val="32"/>
          <w:szCs w:val="32"/>
          <w:highlight w:val="none"/>
        </w:rPr>
        <w:t>，并进行报价。</w:t>
      </w:r>
    </w:p>
    <w:p w14:paraId="579BB8BA">
      <w:pPr>
        <w:pageBreakBefore w:val="0"/>
        <w:wordWrap/>
        <w:topLinePunct w:val="0"/>
        <w:bidi w:val="0"/>
        <w:spacing w:line="56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三</w:t>
      </w: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val="en-US" w:eastAsia="zh-CN"/>
        </w:rPr>
        <w:t>供应商</w:t>
      </w:r>
      <w:r>
        <w:rPr>
          <w:rFonts w:hint="eastAsia" w:ascii="仿宋_GB2312" w:hAnsi="仿宋_GB2312" w:eastAsia="仿宋_GB2312" w:cs="仿宋_GB2312"/>
          <w:bCs/>
          <w:color w:val="auto"/>
          <w:sz w:val="32"/>
          <w:szCs w:val="32"/>
          <w:highlight w:val="none"/>
        </w:rPr>
        <w:t>承诺：已阅读</w:t>
      </w:r>
      <w:r>
        <w:rPr>
          <w:rFonts w:hint="eastAsia" w:ascii="仿宋_GB2312" w:hAnsi="仿宋_GB2312" w:eastAsia="仿宋_GB2312" w:cs="仿宋_GB2312"/>
          <w:bCs/>
          <w:color w:val="auto"/>
          <w:sz w:val="32"/>
          <w:szCs w:val="32"/>
          <w:highlight w:val="none"/>
          <w:lang w:val="en-US" w:eastAsia="zh-CN"/>
        </w:rPr>
        <w:t>询比采购文件</w:t>
      </w:r>
      <w:r>
        <w:rPr>
          <w:rFonts w:hint="eastAsia" w:ascii="仿宋_GB2312" w:hAnsi="仿宋_GB2312" w:eastAsia="仿宋_GB2312" w:cs="仿宋_GB2312"/>
          <w:bCs/>
          <w:color w:val="auto"/>
          <w:sz w:val="32"/>
          <w:szCs w:val="32"/>
          <w:highlight w:val="none"/>
        </w:rPr>
        <w:t>中</w:t>
      </w:r>
      <w:r>
        <w:rPr>
          <w:rFonts w:hint="eastAsia" w:ascii="仿宋_GB2312" w:hAnsi="仿宋_GB2312" w:eastAsia="仿宋_GB2312" w:cs="仿宋_GB2312"/>
          <w:bCs/>
          <w:color w:val="auto"/>
          <w:sz w:val="32"/>
          <w:szCs w:val="32"/>
          <w:highlight w:val="none"/>
          <w:lang w:val="en-US" w:eastAsia="zh-CN"/>
        </w:rPr>
        <w:t>第六章</w:t>
      </w:r>
      <w:r>
        <w:rPr>
          <w:rFonts w:hint="eastAsia" w:ascii="仿宋_GB2312" w:hAnsi="仿宋_GB2312" w:eastAsia="仿宋_GB2312" w:cs="仿宋_GB2312"/>
          <w:bCs/>
          <w:color w:val="auto"/>
          <w:sz w:val="32"/>
          <w:szCs w:val="32"/>
          <w:highlight w:val="none"/>
        </w:rPr>
        <w:t>合同</w:t>
      </w:r>
      <w:r>
        <w:rPr>
          <w:rFonts w:hint="eastAsia" w:ascii="仿宋_GB2312" w:hAnsi="仿宋_GB2312" w:eastAsia="仿宋_GB2312" w:cs="仿宋_GB2312"/>
          <w:bCs/>
          <w:color w:val="auto"/>
          <w:sz w:val="32"/>
          <w:szCs w:val="32"/>
          <w:highlight w:val="none"/>
          <w:lang w:val="en-US" w:eastAsia="zh-CN"/>
        </w:rPr>
        <w:t>主要内容</w:t>
      </w:r>
      <w:r>
        <w:rPr>
          <w:rFonts w:hint="eastAsia" w:ascii="仿宋_GB2312" w:hAnsi="仿宋_GB2312" w:eastAsia="仿宋_GB2312" w:cs="仿宋_GB2312"/>
          <w:bCs/>
          <w:color w:val="auto"/>
          <w:sz w:val="32"/>
          <w:szCs w:val="32"/>
          <w:highlight w:val="none"/>
        </w:rPr>
        <w:t>并充分理解其中的含义。若我方</w:t>
      </w:r>
      <w:r>
        <w:rPr>
          <w:rFonts w:hint="eastAsia" w:ascii="仿宋_GB2312" w:hAnsi="仿宋_GB2312" w:eastAsia="仿宋_GB2312" w:cs="仿宋_GB2312"/>
          <w:bCs/>
          <w:color w:val="auto"/>
          <w:sz w:val="32"/>
          <w:szCs w:val="32"/>
          <w:highlight w:val="none"/>
          <w:lang w:eastAsia="zh-CN"/>
        </w:rPr>
        <w:t>成交</w:t>
      </w:r>
      <w:r>
        <w:rPr>
          <w:rFonts w:hint="eastAsia" w:ascii="仿宋_GB2312" w:hAnsi="仿宋_GB2312" w:eastAsia="仿宋_GB2312" w:cs="仿宋_GB2312"/>
          <w:bCs/>
          <w:color w:val="auto"/>
          <w:sz w:val="32"/>
          <w:szCs w:val="32"/>
          <w:highlight w:val="none"/>
        </w:rPr>
        <w:t>，将完全接受该合同</w:t>
      </w:r>
      <w:r>
        <w:rPr>
          <w:rFonts w:hint="eastAsia" w:ascii="仿宋_GB2312" w:hAnsi="仿宋_GB2312" w:eastAsia="仿宋_GB2312" w:cs="仿宋_GB2312"/>
          <w:bCs/>
          <w:color w:val="auto"/>
          <w:sz w:val="32"/>
          <w:szCs w:val="32"/>
          <w:highlight w:val="none"/>
          <w:lang w:val="en-US" w:eastAsia="zh-CN"/>
        </w:rPr>
        <w:t>主要内容并</w:t>
      </w:r>
      <w:r>
        <w:rPr>
          <w:rFonts w:hint="eastAsia" w:ascii="仿宋_GB2312" w:hAnsi="仿宋_GB2312" w:eastAsia="仿宋_GB2312" w:cs="仿宋_GB2312"/>
          <w:bCs/>
          <w:color w:val="auto"/>
          <w:sz w:val="32"/>
          <w:szCs w:val="32"/>
          <w:highlight w:val="none"/>
        </w:rPr>
        <w:t>签订相关</w:t>
      </w:r>
      <w:r>
        <w:rPr>
          <w:rFonts w:hint="eastAsia" w:ascii="仿宋_GB2312" w:hAnsi="仿宋_GB2312" w:eastAsia="仿宋_GB2312" w:cs="仿宋_GB2312"/>
          <w:bCs/>
          <w:color w:val="auto"/>
          <w:sz w:val="32"/>
          <w:szCs w:val="32"/>
          <w:highlight w:val="none"/>
          <w:lang w:val="en-US" w:eastAsia="zh-CN"/>
        </w:rPr>
        <w:t>正式</w:t>
      </w:r>
      <w:r>
        <w:rPr>
          <w:rFonts w:hint="eastAsia" w:ascii="仿宋_GB2312" w:hAnsi="仿宋_GB2312" w:eastAsia="仿宋_GB2312" w:cs="仿宋_GB2312"/>
          <w:bCs/>
          <w:color w:val="auto"/>
          <w:sz w:val="32"/>
          <w:szCs w:val="32"/>
          <w:highlight w:val="none"/>
        </w:rPr>
        <w:t>合同。</w:t>
      </w:r>
    </w:p>
    <w:p w14:paraId="36B36717">
      <w:pPr>
        <w:pageBreakBefore w:val="0"/>
        <w:wordWrap/>
        <w:topLinePunct w:val="0"/>
        <w:bidi w:val="0"/>
        <w:spacing w:line="560" w:lineRule="exact"/>
        <w:ind w:firstLine="640" w:firstLineChars="200"/>
        <w:jc w:val="left"/>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四</w:t>
      </w:r>
      <w:r>
        <w:rPr>
          <w:rFonts w:hint="eastAsia" w:ascii="仿宋_GB2312" w:hAnsi="仿宋_GB2312" w:eastAsia="仿宋_GB2312" w:cs="仿宋_GB2312"/>
          <w:bCs/>
          <w:color w:val="auto"/>
          <w:sz w:val="32"/>
          <w:szCs w:val="32"/>
          <w:highlight w:val="none"/>
        </w:rPr>
        <w:t>、我方承诺完全响应</w:t>
      </w:r>
      <w:r>
        <w:rPr>
          <w:rFonts w:hint="eastAsia" w:ascii="仿宋_GB2312" w:hAnsi="仿宋_GB2312" w:eastAsia="仿宋_GB2312" w:cs="仿宋_GB2312"/>
          <w:bCs/>
          <w:color w:val="auto"/>
          <w:sz w:val="32"/>
          <w:szCs w:val="32"/>
          <w:highlight w:val="none"/>
          <w:lang w:val="en-US" w:eastAsia="zh-CN"/>
        </w:rPr>
        <w:t>询比采购文件</w:t>
      </w:r>
      <w:r>
        <w:rPr>
          <w:rFonts w:hint="eastAsia" w:ascii="仿宋_GB2312" w:hAnsi="仿宋_GB2312" w:eastAsia="仿宋_GB2312" w:cs="仿宋_GB2312"/>
          <w:bCs/>
          <w:color w:val="auto"/>
          <w:sz w:val="32"/>
          <w:szCs w:val="32"/>
          <w:highlight w:val="none"/>
        </w:rPr>
        <w:t>的要求。</w:t>
      </w:r>
    </w:p>
    <w:p w14:paraId="227EEF6A">
      <w:pPr>
        <w:pageBreakBefore w:val="0"/>
        <w:wordWrap/>
        <w:topLinePunct w:val="0"/>
        <w:bidi w:val="0"/>
        <w:spacing w:line="560" w:lineRule="exact"/>
        <w:ind w:firstLine="640" w:firstLineChars="200"/>
        <w:jc w:val="left"/>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上述行为中，我公司出具或提交的各类文件，其内容、相关签名或盖章，均具有真实性，我公司均予认可。若有任何争议纠纷，依贵公司的解释与主张执行，我公司放弃任何抗辩权，并自愿承担一切不利法律后果。</w:t>
      </w:r>
    </w:p>
    <w:p w14:paraId="74D9C211">
      <w:pPr>
        <w:pageBreakBefore w:val="0"/>
        <w:wordWrap/>
        <w:topLinePunct w:val="0"/>
        <w:bidi w:val="0"/>
        <w:spacing w:line="560" w:lineRule="exact"/>
        <w:ind w:firstLine="640" w:firstLineChars="200"/>
        <w:jc w:val="left"/>
        <w:rPr>
          <w:rFonts w:hint="eastAsia" w:ascii="仿宋_GB2312" w:hAnsi="仿宋_GB2312" w:eastAsia="仿宋_GB2312" w:cs="仿宋_GB2312"/>
          <w:bCs/>
          <w:color w:val="auto"/>
          <w:sz w:val="32"/>
          <w:szCs w:val="32"/>
          <w:highlight w:val="none"/>
        </w:rPr>
      </w:pPr>
    </w:p>
    <w:p w14:paraId="125D7119">
      <w:pPr>
        <w:pageBreakBefore w:val="0"/>
        <w:wordWrap/>
        <w:topLinePunct w:val="0"/>
        <w:bidi w:val="0"/>
        <w:spacing w:line="560" w:lineRule="exact"/>
        <w:ind w:firstLine="640" w:firstLineChars="200"/>
        <w:jc w:val="left"/>
        <w:rPr>
          <w:rFonts w:hint="eastAsia" w:ascii="仿宋_GB2312" w:hAnsi="仿宋_GB2312" w:eastAsia="仿宋_GB2312" w:cs="仿宋_GB2312"/>
          <w:bCs/>
          <w:color w:val="auto"/>
          <w:sz w:val="32"/>
          <w:szCs w:val="32"/>
          <w:highlight w:val="none"/>
        </w:rPr>
      </w:pPr>
    </w:p>
    <w:p w14:paraId="5E8182D6">
      <w:pPr>
        <w:pageBreakBefore w:val="0"/>
        <w:wordWrap/>
        <w:topLinePunct w:val="0"/>
        <w:bidi w:val="0"/>
        <w:spacing w:line="560" w:lineRule="exact"/>
        <w:ind w:firstLine="2240" w:firstLineChars="700"/>
        <w:jc w:val="both"/>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供应商</w:t>
      </w:r>
      <w:r>
        <w:rPr>
          <w:rFonts w:hint="eastAsia" w:ascii="仿宋_GB2312" w:hAnsi="仿宋_GB2312" w:eastAsia="仿宋_GB2312" w:cs="仿宋_GB2312"/>
          <w:bCs/>
          <w:color w:val="auto"/>
          <w:sz w:val="32"/>
          <w:szCs w:val="32"/>
          <w:highlight w:val="none"/>
        </w:rPr>
        <w:t>（盖章）：</w:t>
      </w:r>
    </w:p>
    <w:p w14:paraId="2BBAC547">
      <w:pPr>
        <w:pageBreakBefore w:val="0"/>
        <w:wordWrap/>
        <w:topLinePunct w:val="0"/>
        <w:bidi w:val="0"/>
        <w:spacing w:line="560" w:lineRule="exact"/>
        <w:ind w:firstLine="2240" w:firstLineChars="700"/>
        <w:jc w:val="both"/>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法定代表人</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color w:val="auto"/>
          <w:sz w:val="32"/>
          <w:szCs w:val="32"/>
          <w:highlight w:val="none"/>
        </w:rPr>
        <w:t>委托代理人（签字或盖章）：</w:t>
      </w:r>
    </w:p>
    <w:p w14:paraId="0EEEE0EC">
      <w:pPr>
        <w:pageBreakBefore w:val="0"/>
        <w:wordWrap/>
        <w:topLinePunct w:val="0"/>
        <w:bidi w:val="0"/>
        <w:spacing w:line="560" w:lineRule="exact"/>
        <w:ind w:firstLine="2240" w:firstLineChars="700"/>
        <w:jc w:val="both"/>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联系方式</w:t>
      </w:r>
      <w:r>
        <w:rPr>
          <w:rFonts w:hint="eastAsia" w:ascii="仿宋_GB2312" w:hAnsi="仿宋_GB2312" w:eastAsia="仿宋_GB2312" w:cs="仿宋_GB2312"/>
          <w:bCs/>
          <w:color w:val="auto"/>
          <w:sz w:val="32"/>
          <w:szCs w:val="32"/>
          <w:highlight w:val="none"/>
        </w:rPr>
        <w:t>：</w:t>
      </w:r>
    </w:p>
    <w:p w14:paraId="6270C5C6">
      <w:pPr>
        <w:pageBreakBefore w:val="0"/>
        <w:wordWrap/>
        <w:topLinePunct w:val="0"/>
        <w:bidi w:val="0"/>
        <w:spacing w:line="560" w:lineRule="exact"/>
        <w:ind w:firstLine="640" w:firstLineChars="200"/>
        <w:jc w:val="center"/>
        <w:rPr>
          <w:rFonts w:hint="eastAsia" w:ascii="仿宋_GB2312" w:hAnsi="仿宋_GB2312" w:eastAsia="仿宋_GB2312" w:cs="仿宋_GB2312"/>
          <w:bCs/>
          <w:color w:val="auto"/>
          <w:sz w:val="32"/>
          <w:szCs w:val="32"/>
          <w:highlight w:val="none"/>
        </w:rPr>
      </w:pPr>
    </w:p>
    <w:p w14:paraId="2AF7C3AC">
      <w:pPr>
        <w:pageBreakBefore w:val="0"/>
        <w:wordWrap/>
        <w:topLinePunct w:val="0"/>
        <w:bidi w:val="0"/>
        <w:spacing w:line="560" w:lineRule="exact"/>
        <w:ind w:right="0" w:firstLine="640" w:firstLineChars="200"/>
        <w:jc w:val="center"/>
        <w:rPr>
          <w:rFonts w:hint="eastAsia" w:ascii="仿宋_GB2312" w:hAnsi="仿宋_GB2312" w:eastAsia="仿宋_GB2312" w:cs="仿宋_GB2312"/>
          <w:bCs/>
          <w:color w:val="auto"/>
          <w:sz w:val="32"/>
          <w:szCs w:val="32"/>
          <w:highlight w:val="none"/>
        </w:rPr>
      </w:pPr>
    </w:p>
    <w:p w14:paraId="173EF778">
      <w:pPr>
        <w:pageBreakBefore w:val="0"/>
        <w:wordWrap/>
        <w:topLinePunct w:val="0"/>
        <w:bidi w:val="0"/>
        <w:spacing w:line="560" w:lineRule="exact"/>
        <w:ind w:firstLine="640" w:firstLineChars="200"/>
        <w:jc w:val="right"/>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日期：</w:t>
      </w:r>
      <w:r>
        <w:rPr>
          <w:rFonts w:hint="eastAsia" w:ascii="仿宋_GB2312" w:hAnsi="仿宋_GB2312" w:eastAsia="仿宋_GB2312" w:cs="仿宋_GB2312"/>
          <w:bCs/>
          <w:color w:val="auto"/>
          <w:sz w:val="32"/>
          <w:szCs w:val="32"/>
          <w:highlight w:val="none"/>
          <w:lang w:val="en-US" w:eastAsia="zh-CN"/>
        </w:rPr>
        <w:t xml:space="preserve">    </w:t>
      </w:r>
      <w:r>
        <w:rPr>
          <w:rFonts w:hint="eastAsia" w:ascii="仿宋_GB2312" w:hAnsi="仿宋_GB2312" w:eastAsia="仿宋_GB2312" w:cs="仿宋_GB2312"/>
          <w:bCs/>
          <w:color w:val="auto"/>
          <w:sz w:val="32"/>
          <w:szCs w:val="32"/>
          <w:highlight w:val="none"/>
        </w:rPr>
        <w:t>年    月    日</w:t>
      </w:r>
    </w:p>
    <w:p w14:paraId="0CDE23CF">
      <w:pPr>
        <w:pageBreakBefore w:val="0"/>
        <w:wordWrap/>
        <w:topLinePunct w:val="0"/>
        <w:bidi w:val="0"/>
        <w:spacing w:line="560" w:lineRule="exact"/>
        <w:ind w:left="0" w:leftChars="0" w:firstLine="640" w:firstLineChars="200"/>
        <w:jc w:val="both"/>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备注：如有委托代理人，附法定代表人（负责人、经营者）授权委托书及委托人身份证正反面复印件。</w:t>
      </w:r>
    </w:p>
    <w:p w14:paraId="4844EB65">
      <w:pPr>
        <w:pageBreakBefore w:val="0"/>
        <w:wordWrap/>
        <w:topLinePunct w:val="0"/>
        <w:bidi w:val="0"/>
        <w:adjustRightInd w:val="0"/>
        <w:snapToGrid w:val="0"/>
        <w:spacing w:line="560" w:lineRule="exact"/>
        <w:ind w:firstLine="560"/>
        <w:jc w:val="center"/>
        <w:rPr>
          <w:rFonts w:hint="eastAsia" w:ascii="仿宋_GB2312" w:hAnsi="仿宋_GB2312" w:eastAsia="仿宋_GB2312" w:cs="仿宋_GB2312"/>
          <w:bCs/>
          <w:color w:val="auto"/>
          <w:sz w:val="32"/>
          <w:szCs w:val="32"/>
          <w:highlight w:val="none"/>
        </w:rPr>
      </w:pPr>
    </w:p>
    <w:p w14:paraId="446A0686">
      <w:pPr>
        <w:pStyle w:val="25"/>
        <w:keepNext w:val="0"/>
        <w:keepLines w:val="0"/>
        <w:pageBreakBefore w:val="0"/>
        <w:widowControl w:val="0"/>
        <w:numPr>
          <w:ilvl w:val="0"/>
          <w:numId w:val="48"/>
        </w:numPr>
        <w:kinsoku/>
        <w:wordWrap/>
        <w:overflowPunct/>
        <w:topLinePunct w:val="0"/>
        <w:autoSpaceDE/>
        <w:autoSpaceDN/>
        <w:bidi w:val="0"/>
        <w:adjustRightInd w:val="0"/>
        <w:snapToGrid w:val="0"/>
        <w:spacing w:before="0" w:after="0" w:line="560" w:lineRule="exact"/>
        <w:ind w:left="0" w:firstLine="643" w:firstLineChars="200"/>
        <w:jc w:val="left"/>
        <w:textAlignment w:val="auto"/>
        <w:outlineLvl w:val="1"/>
        <w:rPr>
          <w:rFonts w:hint="eastAsia" w:ascii="仿宋_GB2312" w:hAnsi="仿宋_GB2312" w:eastAsia="仿宋_GB2312" w:cs="仿宋_GB2312"/>
          <w:b w:val="0"/>
          <w:color w:val="auto"/>
          <w:sz w:val="32"/>
          <w:highlight w:val="none"/>
          <w:lang w:eastAsia="zh-CN"/>
        </w:rPr>
      </w:pPr>
      <w:r>
        <w:rPr>
          <w:rFonts w:hint="eastAsia" w:ascii="仿宋_GB2312" w:hAnsi="仿宋_GB2312" w:eastAsia="仿宋_GB2312" w:cs="仿宋_GB2312"/>
          <w:color w:val="auto"/>
          <w:sz w:val="32"/>
          <w:highlight w:val="none"/>
        </w:rPr>
        <w:br w:type="page"/>
      </w:r>
      <w:r>
        <w:rPr>
          <w:rFonts w:hint="eastAsia" w:ascii="黑体" w:hAnsi="黑体" w:eastAsia="黑体" w:cs="黑体"/>
          <w:b w:val="0"/>
          <w:bCs w:val="0"/>
          <w:color w:val="auto"/>
          <w:sz w:val="32"/>
          <w:szCs w:val="32"/>
          <w:highlight w:val="none"/>
        </w:rPr>
        <w:t>法定代表人身份证明</w:t>
      </w:r>
    </w:p>
    <w:p w14:paraId="4762B75C">
      <w:pPr>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法定代表人身份证明</w:t>
      </w:r>
      <w:r>
        <w:rPr>
          <w:rFonts w:hint="eastAsia" w:ascii="仿宋_GB2312" w:hAnsi="仿宋_GB2312" w:eastAsia="仿宋_GB2312" w:cs="仿宋_GB2312"/>
          <w:color w:val="auto"/>
          <w:sz w:val="32"/>
          <w:szCs w:val="32"/>
          <w:highlight w:val="none"/>
          <w:lang w:val="en-US" w:eastAsia="zh-CN"/>
        </w:rPr>
        <w:t>书</w:t>
      </w:r>
    </w:p>
    <w:p w14:paraId="60AB6989">
      <w:pPr>
        <w:pageBreakBefore w:val="0"/>
        <w:tabs>
          <w:tab w:val="left" w:pos="1813"/>
        </w:tabs>
        <w:wordWrap/>
        <w:topLinePunct w:val="0"/>
        <w:autoSpaceDE/>
        <w:autoSpaceDN/>
        <w:bidi w:val="0"/>
        <w:adjustRightInd w:val="0"/>
        <w:spacing w:line="560" w:lineRule="exact"/>
        <w:ind w:firstLine="640"/>
        <w:jc w:val="center"/>
        <w:rPr>
          <w:rFonts w:hint="eastAsia" w:ascii="仿宋_GB2312" w:hAnsi="仿宋_GB2312" w:eastAsia="仿宋_GB2312" w:cs="仿宋_GB2312"/>
          <w:color w:val="auto"/>
          <w:sz w:val="32"/>
          <w:szCs w:val="32"/>
          <w:highlight w:val="none"/>
        </w:rPr>
      </w:pPr>
    </w:p>
    <w:p w14:paraId="4057CA8A">
      <w:pPr>
        <w:pageBreakBefore w:val="0"/>
        <w:tabs>
          <w:tab w:val="left" w:pos="1813"/>
        </w:tabs>
        <w:wordWrap/>
        <w:topLinePunct w:val="0"/>
        <w:autoSpaceDE/>
        <w:autoSpaceDN/>
        <w:bidi w:val="0"/>
        <w:snapToGrid w:val="0"/>
        <w:spacing w:line="560" w:lineRule="exact"/>
        <w:ind w:firstLine="560"/>
        <w:jc w:val="center"/>
        <w:rPr>
          <w:rFonts w:hint="eastAsia" w:ascii="仿宋_GB2312" w:hAnsi="仿宋_GB2312" w:eastAsia="仿宋_GB2312" w:cs="仿宋_GB2312"/>
          <w:color w:val="auto"/>
          <w:sz w:val="32"/>
          <w:szCs w:val="32"/>
          <w:highlight w:val="none"/>
        </w:rPr>
      </w:pPr>
    </w:p>
    <w:p w14:paraId="11408F83">
      <w:pPr>
        <w:pageBreakBefore w:val="0"/>
        <w:tabs>
          <w:tab w:val="left" w:pos="1813"/>
        </w:tabs>
        <w:wordWrap/>
        <w:topLinePunct w:val="0"/>
        <w:autoSpaceDE/>
        <w:autoSpaceDN/>
        <w:bidi w:val="0"/>
        <w:adjustRightInd w:val="0"/>
        <w:snapToGrid w:val="0"/>
        <w:spacing w:line="560" w:lineRule="exact"/>
        <w:ind w:firstLine="64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名称：</w:t>
      </w:r>
    </w:p>
    <w:p w14:paraId="08586787">
      <w:pPr>
        <w:pageBreakBefore w:val="0"/>
        <w:tabs>
          <w:tab w:val="left" w:pos="1813"/>
        </w:tabs>
        <w:wordWrap/>
        <w:topLinePunct w:val="0"/>
        <w:autoSpaceDE/>
        <w:autoSpaceDN/>
        <w:bidi w:val="0"/>
        <w:adjustRightInd w:val="0"/>
        <w:snapToGrid w:val="0"/>
        <w:spacing w:line="560" w:lineRule="exact"/>
        <w:ind w:firstLine="64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    址：</w:t>
      </w:r>
    </w:p>
    <w:p w14:paraId="04753706">
      <w:pPr>
        <w:pageBreakBefore w:val="0"/>
        <w:wordWrap/>
        <w:topLinePunct w:val="0"/>
        <w:bidi w:val="0"/>
        <w:adjustRightInd w:val="0"/>
        <w:snapToGrid w:val="0"/>
        <w:spacing w:line="560" w:lineRule="exact"/>
        <w:ind w:firstLine="64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成立时间：</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月</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日</w:t>
      </w:r>
    </w:p>
    <w:p w14:paraId="64EDBD4B">
      <w:pPr>
        <w:pageBreakBefore w:val="0"/>
        <w:tabs>
          <w:tab w:val="left" w:pos="1813"/>
        </w:tabs>
        <w:wordWrap/>
        <w:topLinePunct w:val="0"/>
        <w:autoSpaceDE/>
        <w:autoSpaceDN/>
        <w:bidi w:val="0"/>
        <w:adjustRightInd w:val="0"/>
        <w:snapToGrid w:val="0"/>
        <w:spacing w:line="560" w:lineRule="exact"/>
        <w:ind w:firstLine="640"/>
        <w:jc w:val="left"/>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经营期限：</w:t>
      </w:r>
    </w:p>
    <w:p w14:paraId="606AC9FA">
      <w:pPr>
        <w:pageBreakBefore w:val="0"/>
        <w:tabs>
          <w:tab w:val="left" w:pos="1813"/>
        </w:tabs>
        <w:wordWrap/>
        <w:topLinePunct w:val="0"/>
        <w:autoSpaceDE/>
        <w:autoSpaceDN/>
        <w:bidi w:val="0"/>
        <w:adjustRightInd w:val="0"/>
        <w:snapToGrid w:val="0"/>
        <w:spacing w:line="560" w:lineRule="exact"/>
        <w:ind w:firstLine="640"/>
        <w:jc w:val="left"/>
        <w:rPr>
          <w:rFonts w:hint="eastAsia" w:ascii="仿宋_GB2312" w:hAnsi="仿宋_GB2312" w:eastAsia="仿宋_GB2312" w:cs="仿宋_GB2312"/>
          <w:color w:val="auto"/>
          <w:sz w:val="32"/>
          <w:szCs w:val="32"/>
          <w:highlight w:val="none"/>
          <w:u w:val="single"/>
        </w:rPr>
      </w:pPr>
    </w:p>
    <w:p w14:paraId="730436F2">
      <w:pPr>
        <w:pageBreakBefore w:val="0"/>
        <w:tabs>
          <w:tab w:val="left" w:pos="1813"/>
        </w:tabs>
        <w:wordWrap/>
        <w:topLinePunct w:val="0"/>
        <w:autoSpaceDE/>
        <w:autoSpaceDN/>
        <w:bidi w:val="0"/>
        <w:adjustRightInd w:val="0"/>
        <w:snapToGrid w:val="0"/>
        <w:spacing w:line="560" w:lineRule="exact"/>
        <w:ind w:firstLine="64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姓名：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系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名称）的法定代表人（职务：</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电话：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w:t>
      </w:r>
    </w:p>
    <w:p w14:paraId="7E27E670">
      <w:pPr>
        <w:pageBreakBefore w:val="0"/>
        <w:tabs>
          <w:tab w:val="left" w:pos="1813"/>
        </w:tabs>
        <w:wordWrap/>
        <w:topLinePunct w:val="0"/>
        <w:autoSpaceDE/>
        <w:autoSpaceDN/>
        <w:bidi w:val="0"/>
        <w:adjustRightInd w:val="0"/>
        <w:snapToGrid w:val="0"/>
        <w:spacing w:line="560" w:lineRule="exact"/>
        <w:ind w:firstLine="640"/>
        <w:jc w:val="left"/>
        <w:rPr>
          <w:rFonts w:hint="eastAsia" w:ascii="仿宋_GB2312" w:hAnsi="仿宋_GB2312" w:eastAsia="仿宋_GB2312" w:cs="仿宋_GB2312"/>
          <w:color w:val="auto"/>
          <w:sz w:val="32"/>
          <w:szCs w:val="32"/>
          <w:highlight w:val="none"/>
        </w:rPr>
      </w:pPr>
    </w:p>
    <w:p w14:paraId="5884CD8E">
      <w:pPr>
        <w:pageBreakBefore w:val="0"/>
        <w:tabs>
          <w:tab w:val="left" w:pos="1813"/>
        </w:tabs>
        <w:wordWrap/>
        <w:topLinePunct w:val="0"/>
        <w:autoSpaceDE/>
        <w:autoSpaceDN/>
        <w:bidi w:val="0"/>
        <w:adjustRightInd w:val="0"/>
        <w:snapToGrid w:val="0"/>
        <w:spacing w:line="560" w:lineRule="exact"/>
        <w:ind w:firstLine="64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特此证明。</w:t>
      </w:r>
    </w:p>
    <w:p w14:paraId="65F778FA">
      <w:pPr>
        <w:pStyle w:val="4"/>
        <w:pageBreakBefore w:val="0"/>
        <w:wordWrap/>
        <w:topLinePunct w:val="0"/>
        <w:bidi w:val="0"/>
        <w:spacing w:line="560" w:lineRule="exact"/>
        <w:jc w:val="left"/>
        <w:rPr>
          <w:rFonts w:hint="eastAsia" w:ascii="仿宋_GB2312" w:hAnsi="仿宋_GB2312" w:eastAsia="仿宋_GB2312" w:cs="仿宋_GB2312"/>
          <w:color w:val="auto"/>
          <w:sz w:val="32"/>
          <w:szCs w:val="32"/>
          <w:highlight w:val="none"/>
        </w:rPr>
      </w:pPr>
    </w:p>
    <w:p w14:paraId="71597BE5">
      <w:pPr>
        <w:pStyle w:val="43"/>
        <w:pageBreakBefore w:val="0"/>
        <w:wordWrap/>
        <w:topLinePunct w:val="0"/>
        <w:bidi w:val="0"/>
        <w:spacing w:line="560" w:lineRule="exact"/>
        <w:ind w:firstLine="64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附：法定代表人身份证复印件</w:t>
      </w:r>
    </w:p>
    <w:p w14:paraId="18AE052F">
      <w:pPr>
        <w:pageBreakBefore w:val="0"/>
        <w:wordWrap/>
        <w:topLinePunct w:val="0"/>
        <w:bidi w:val="0"/>
        <w:spacing w:line="560" w:lineRule="exact"/>
        <w:jc w:val="center"/>
        <w:rPr>
          <w:rFonts w:hint="eastAsia" w:ascii="仿宋_GB2312" w:hAnsi="仿宋_GB2312" w:eastAsia="仿宋_GB2312" w:cs="仿宋_GB2312"/>
          <w:color w:val="auto"/>
          <w:highlight w:val="none"/>
        </w:rPr>
      </w:pPr>
    </w:p>
    <w:p w14:paraId="3594B03D">
      <w:pPr>
        <w:pageBreakBefore w:val="0"/>
        <w:tabs>
          <w:tab w:val="left" w:pos="1813"/>
        </w:tabs>
        <w:wordWrap/>
        <w:topLinePunct w:val="0"/>
        <w:autoSpaceDE/>
        <w:autoSpaceDN/>
        <w:bidi w:val="0"/>
        <w:snapToGrid w:val="0"/>
        <w:spacing w:line="560" w:lineRule="exact"/>
        <w:ind w:firstLine="640"/>
        <w:jc w:val="center"/>
        <w:rPr>
          <w:rFonts w:hint="eastAsia" w:ascii="仿宋_GB2312" w:hAnsi="仿宋_GB2312" w:eastAsia="仿宋_GB2312" w:cs="仿宋_GB2312"/>
          <w:color w:val="auto"/>
          <w:sz w:val="32"/>
          <w:szCs w:val="32"/>
          <w:highlight w:val="none"/>
        </w:rPr>
      </w:pPr>
    </w:p>
    <w:p w14:paraId="4F46FFB6">
      <w:pPr>
        <w:pageBreakBefore w:val="0"/>
        <w:wordWrap/>
        <w:topLinePunct w:val="0"/>
        <w:bidi w:val="0"/>
        <w:adjustRightInd w:val="0"/>
        <w:snapToGrid w:val="0"/>
        <w:spacing w:line="560" w:lineRule="exact"/>
        <w:jc w:val="right"/>
        <w:rPr>
          <w:rFonts w:hint="eastAsia" w:ascii="仿宋_GB2312" w:hAnsi="仿宋_GB2312" w:eastAsia="仿宋_GB2312" w:cs="仿宋_GB2312"/>
          <w:color w:val="auto"/>
          <w:sz w:val="32"/>
          <w:szCs w:val="32"/>
          <w:highlight w:val="none"/>
        </w:rPr>
      </w:pPr>
    </w:p>
    <w:p w14:paraId="63907C28">
      <w:pPr>
        <w:pageBreakBefore w:val="0"/>
        <w:wordWrap/>
        <w:topLinePunct w:val="0"/>
        <w:bidi w:val="0"/>
        <w:adjustRightInd w:val="0"/>
        <w:snapToGrid w:val="0"/>
        <w:spacing w:line="560" w:lineRule="exact"/>
        <w:jc w:val="righ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：（全称、盖公章）</w:t>
      </w:r>
    </w:p>
    <w:p w14:paraId="2FE2354A">
      <w:pPr>
        <w:pageBreakBefore w:val="0"/>
        <w:wordWrap/>
        <w:topLinePunct w:val="0"/>
        <w:bidi w:val="0"/>
        <w:adjustRightInd w:val="0"/>
        <w:snapToGrid w:val="0"/>
        <w:spacing w:line="560" w:lineRule="exact"/>
        <w:jc w:val="righ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Cs/>
          <w:color w:val="auto"/>
          <w:sz w:val="32"/>
          <w:szCs w:val="32"/>
          <w:highlight w:val="none"/>
        </w:rPr>
        <w:t>日期：</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月</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日</w:t>
      </w:r>
    </w:p>
    <w:p w14:paraId="19974EB7">
      <w:pPr>
        <w:pStyle w:val="25"/>
        <w:pageBreakBefore w:val="0"/>
        <w:numPr>
          <w:ilvl w:val="0"/>
          <w:numId w:val="48"/>
        </w:numPr>
        <w:wordWrap/>
        <w:topLinePunct w:val="0"/>
        <w:bidi w:val="0"/>
        <w:adjustRightInd w:val="0"/>
        <w:snapToGrid w:val="0"/>
        <w:spacing w:before="0" w:after="0" w:line="560" w:lineRule="exact"/>
        <w:ind w:left="0" w:leftChars="0" w:firstLine="643" w:firstLineChars="200"/>
        <w:jc w:val="left"/>
        <w:outlineLvl w:val="1"/>
        <w:rPr>
          <w:rFonts w:hint="eastAsia" w:ascii="仿宋_GB2312" w:hAnsi="仿宋_GB2312" w:eastAsia="仿宋_GB2312" w:cs="仿宋_GB2312"/>
          <w:b/>
          <w:bCs/>
          <w:color w:val="auto"/>
          <w:sz w:val="32"/>
          <w:highlight w:val="none"/>
          <w:lang w:eastAsia="zh-CN"/>
        </w:rPr>
      </w:pPr>
      <w:r>
        <w:rPr>
          <w:rFonts w:hint="eastAsia" w:ascii="仿宋_GB2312" w:hAnsi="仿宋_GB2312" w:eastAsia="仿宋_GB2312" w:cs="仿宋_GB2312"/>
          <w:color w:val="auto"/>
          <w:sz w:val="32"/>
          <w:highlight w:val="none"/>
        </w:rPr>
        <w:br w:type="page"/>
      </w:r>
      <w:r>
        <w:rPr>
          <w:rFonts w:hint="eastAsia" w:ascii="黑体" w:hAnsi="黑体" w:eastAsia="黑体" w:cs="黑体"/>
          <w:b w:val="0"/>
          <w:bCs w:val="0"/>
          <w:color w:val="auto"/>
          <w:sz w:val="32"/>
          <w:szCs w:val="32"/>
          <w:highlight w:val="none"/>
        </w:rPr>
        <w:t>法定代表人授权书</w:t>
      </w:r>
    </w:p>
    <w:p w14:paraId="645445B0">
      <w:pPr>
        <w:pageBreakBefore w:val="0"/>
        <w:wordWrap/>
        <w:topLinePunct w:val="0"/>
        <w:bidi w:val="0"/>
        <w:spacing w:line="560" w:lineRule="exact"/>
        <w:ind w:left="0" w:leftChars="0"/>
        <w:jc w:val="center"/>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color w:val="auto"/>
          <w:sz w:val="32"/>
          <w:szCs w:val="32"/>
          <w:highlight w:val="none"/>
        </w:rPr>
        <w:t>法定代表人授权书</w:t>
      </w:r>
    </w:p>
    <w:p w14:paraId="2EE15705">
      <w:pPr>
        <w:pageBreakBefore w:val="0"/>
        <w:wordWrap/>
        <w:topLinePunct w:val="0"/>
        <w:bidi w:val="0"/>
        <w:adjustRightInd w:val="0"/>
        <w:snapToGrid w:val="0"/>
        <w:spacing w:line="560" w:lineRule="exact"/>
        <w:ind w:firstLine="562"/>
        <w:jc w:val="center"/>
        <w:rPr>
          <w:rFonts w:hint="eastAsia" w:ascii="仿宋_GB2312" w:hAnsi="仿宋_GB2312" w:eastAsia="仿宋_GB2312" w:cs="仿宋_GB2312"/>
          <w:b/>
          <w:color w:val="auto"/>
          <w:sz w:val="32"/>
          <w:szCs w:val="32"/>
          <w:highlight w:val="none"/>
        </w:rPr>
      </w:pPr>
    </w:p>
    <w:p w14:paraId="7451D6A4">
      <w:pPr>
        <w:pageBreakBefore w:val="0"/>
        <w:tabs>
          <w:tab w:val="left" w:pos="1813"/>
        </w:tabs>
        <w:wordWrap/>
        <w:topLinePunct w:val="0"/>
        <w:autoSpaceDE/>
        <w:autoSpaceDN/>
        <w:bidi w:val="0"/>
        <w:adjustRightInd w:val="0"/>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本人</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（姓名）系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 xml:space="preserve">名称）的法定代表人，现委托本单位人员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 （姓名）（职务）为我方代理人。代理人根据授权，以我方名义签署、澄清、说明、补正、递交、撤回、修改</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项目响应文件、签订合同和处理有关事宜，其法律后果由我方承担。</w:t>
      </w:r>
    </w:p>
    <w:p w14:paraId="7E4AA9E8">
      <w:pPr>
        <w:pageBreakBefore w:val="0"/>
        <w:tabs>
          <w:tab w:val="left" w:pos="1813"/>
        </w:tabs>
        <w:wordWrap/>
        <w:topLinePunct w:val="0"/>
        <w:autoSpaceDE/>
        <w:autoSpaceDN/>
        <w:bidi w:val="0"/>
        <w:adjustRightInd w:val="0"/>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委托期限：</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 。</w:t>
      </w:r>
    </w:p>
    <w:p w14:paraId="212E4CD8">
      <w:pPr>
        <w:pageBreakBefore w:val="0"/>
        <w:tabs>
          <w:tab w:val="left" w:pos="1813"/>
        </w:tabs>
        <w:wordWrap/>
        <w:topLinePunct w:val="0"/>
        <w:autoSpaceDE/>
        <w:autoSpaceDN/>
        <w:bidi w:val="0"/>
        <w:adjustRightInd w:val="0"/>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代理人无转委托权。</w:t>
      </w:r>
    </w:p>
    <w:p w14:paraId="0776A1B0">
      <w:pPr>
        <w:pageBreakBefore w:val="0"/>
        <w:tabs>
          <w:tab w:val="left" w:pos="1813"/>
        </w:tabs>
        <w:wordWrap/>
        <w:topLinePunct w:val="0"/>
        <w:autoSpaceDE/>
        <w:autoSpaceDN/>
        <w:bidi w:val="0"/>
        <w:adjustRightInd w:val="0"/>
        <w:snapToGrid w:val="0"/>
        <w:spacing w:line="560" w:lineRule="exact"/>
        <w:ind w:firstLine="640"/>
        <w:jc w:val="left"/>
        <w:rPr>
          <w:rFonts w:hint="eastAsia" w:ascii="仿宋_GB2312" w:hAnsi="仿宋_GB2312" w:eastAsia="仿宋_GB2312" w:cs="仿宋_GB2312"/>
          <w:color w:val="auto"/>
          <w:sz w:val="32"/>
          <w:szCs w:val="32"/>
          <w:highlight w:val="none"/>
        </w:rPr>
      </w:pPr>
    </w:p>
    <w:p w14:paraId="7BFAFA2C">
      <w:pPr>
        <w:pageBreakBefore w:val="0"/>
        <w:tabs>
          <w:tab w:val="left" w:pos="1813"/>
        </w:tabs>
        <w:wordWrap/>
        <w:topLinePunct w:val="0"/>
        <w:autoSpaceDE/>
        <w:autoSpaceDN/>
        <w:bidi w:val="0"/>
        <w:adjustRightInd w:val="0"/>
        <w:snapToGrid w:val="0"/>
        <w:spacing w:line="560" w:lineRule="exact"/>
        <w:ind w:firstLine="64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w:t>
      </w:r>
    </w:p>
    <w:p w14:paraId="07B007F1">
      <w:pPr>
        <w:pageBreakBefore w:val="0"/>
        <w:tabs>
          <w:tab w:val="left" w:pos="1813"/>
        </w:tabs>
        <w:wordWrap/>
        <w:topLinePunct w:val="0"/>
        <w:autoSpaceDE/>
        <w:autoSpaceDN/>
        <w:bidi w:val="0"/>
        <w:adjustRightInd w:val="0"/>
        <w:snapToGrid w:val="0"/>
        <w:spacing w:line="560" w:lineRule="exact"/>
        <w:ind w:firstLine="64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（1）法定代表人身份证复印件</w:t>
      </w:r>
    </w:p>
    <w:p w14:paraId="0FA30D69">
      <w:pPr>
        <w:pageBreakBefore w:val="0"/>
        <w:tabs>
          <w:tab w:val="left" w:pos="1813"/>
        </w:tabs>
        <w:wordWrap/>
        <w:topLinePunct w:val="0"/>
        <w:autoSpaceDE/>
        <w:autoSpaceDN/>
        <w:bidi w:val="0"/>
        <w:adjustRightInd w:val="0"/>
        <w:snapToGrid w:val="0"/>
        <w:spacing w:line="560" w:lineRule="exact"/>
        <w:ind w:firstLine="64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（2）委托代理人身份证复印件</w:t>
      </w:r>
    </w:p>
    <w:p w14:paraId="1B72478E">
      <w:pPr>
        <w:pageBreakBefore w:val="0"/>
        <w:wordWrap/>
        <w:topLinePunct w:val="0"/>
        <w:bidi w:val="0"/>
        <w:adjustRightInd w:val="0"/>
        <w:snapToGrid w:val="0"/>
        <w:spacing w:line="560" w:lineRule="exact"/>
        <w:ind w:firstLine="640"/>
        <w:jc w:val="center"/>
        <w:rPr>
          <w:rFonts w:hint="eastAsia" w:ascii="仿宋_GB2312" w:hAnsi="仿宋_GB2312" w:eastAsia="仿宋_GB2312" w:cs="仿宋_GB2312"/>
          <w:color w:val="auto"/>
          <w:sz w:val="32"/>
          <w:szCs w:val="32"/>
          <w:highlight w:val="none"/>
        </w:rPr>
      </w:pPr>
    </w:p>
    <w:p w14:paraId="743071BA">
      <w:pPr>
        <w:pageBreakBefore w:val="0"/>
        <w:wordWrap/>
        <w:topLinePunct w:val="0"/>
        <w:bidi w:val="0"/>
        <w:adjustRightInd w:val="0"/>
        <w:snapToGrid w:val="0"/>
        <w:spacing w:line="560" w:lineRule="exact"/>
        <w:ind w:firstLine="640"/>
        <w:jc w:val="center"/>
        <w:rPr>
          <w:rFonts w:hint="eastAsia" w:ascii="仿宋_GB2312" w:hAnsi="仿宋_GB2312" w:eastAsia="仿宋_GB2312" w:cs="仿宋_GB2312"/>
          <w:color w:val="auto"/>
          <w:sz w:val="32"/>
          <w:szCs w:val="32"/>
          <w:highlight w:val="none"/>
        </w:rPr>
      </w:pPr>
    </w:p>
    <w:p w14:paraId="496BB473">
      <w:pPr>
        <w:pageBreakBefore w:val="0"/>
        <w:wordWrap/>
        <w:topLinePunct w:val="0"/>
        <w:bidi w:val="0"/>
        <w:adjustRightInd w:val="0"/>
        <w:snapToGrid w:val="0"/>
        <w:spacing w:line="560" w:lineRule="exact"/>
        <w:ind w:left="0" w:leftChars="0" w:firstLine="2240" w:firstLineChars="7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名称：（全称、盖公章）</w:t>
      </w:r>
    </w:p>
    <w:p w14:paraId="633CE451">
      <w:pPr>
        <w:pageBreakBefore w:val="0"/>
        <w:wordWrap/>
        <w:topLinePunct w:val="0"/>
        <w:bidi w:val="0"/>
        <w:adjustRightInd w:val="0"/>
        <w:snapToGrid w:val="0"/>
        <w:spacing w:line="560" w:lineRule="exact"/>
        <w:ind w:left="0" w:leftChars="0" w:firstLine="2240" w:firstLineChars="7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法定代表人：（签字）</w:t>
      </w:r>
    </w:p>
    <w:p w14:paraId="3831FF72">
      <w:pPr>
        <w:pageBreakBefore w:val="0"/>
        <w:wordWrap/>
        <w:topLinePunct w:val="0"/>
        <w:bidi w:val="0"/>
        <w:adjustRightInd w:val="0"/>
        <w:snapToGrid w:val="0"/>
        <w:spacing w:line="560" w:lineRule="exact"/>
        <w:ind w:left="0" w:leftChars="0" w:firstLine="2240" w:firstLineChars="7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委托代理人：（签字）</w:t>
      </w:r>
    </w:p>
    <w:p w14:paraId="688F17FD">
      <w:pPr>
        <w:pageBreakBefore w:val="0"/>
        <w:wordWrap/>
        <w:topLinePunct w:val="0"/>
        <w:bidi w:val="0"/>
        <w:adjustRightInd w:val="0"/>
        <w:snapToGrid w:val="0"/>
        <w:spacing w:line="560" w:lineRule="exact"/>
        <w:ind w:left="0" w:leftChars="0" w:firstLine="640" w:firstLineChars="200"/>
        <w:jc w:val="righ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日期：</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月</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日</w:t>
      </w:r>
    </w:p>
    <w:p w14:paraId="0707290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textAlignment w:val="auto"/>
        <w:outlineLvl w:val="1"/>
        <w:rPr>
          <w:rFonts w:hint="eastAsia" w:ascii="仿宋_GB2312" w:hAnsi="仿宋_GB2312" w:eastAsia="仿宋_GB2312" w:cs="仿宋_GB2312"/>
          <w:b w:val="0"/>
          <w:bCs w:val="0"/>
          <w:color w:val="auto"/>
          <w:sz w:val="32"/>
          <w:szCs w:val="32"/>
          <w:highlight w:val="none"/>
          <w:lang w:val="en-US" w:eastAsia="zh-CN"/>
        </w:rPr>
        <w:sectPr>
          <w:headerReference r:id="rId3" w:type="default"/>
          <w:footerReference r:id="rId4"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docGrid w:type="lines" w:linePitch="315" w:charSpace="0"/>
        </w:sectPr>
      </w:pPr>
    </w:p>
    <w:p w14:paraId="699D366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1"/>
        <w:rPr>
          <w:rFonts w:hint="eastAsia" w:ascii="仿宋_GB2312" w:hAnsi="仿宋_GB2312" w:eastAsia="仿宋_GB2312" w:cs="仿宋_GB2312"/>
          <w:b w:val="0"/>
          <w:bCs w:val="0"/>
          <w:color w:val="auto"/>
          <w:sz w:val="32"/>
          <w:szCs w:val="32"/>
          <w:highlight w:val="none"/>
          <w:lang w:val="en-US" w:eastAsia="zh-CN"/>
        </w:rPr>
        <w:sectPr>
          <w:type w:val="continuous"/>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docGrid w:type="lines" w:linePitch="315" w:charSpace="0"/>
        </w:sectPr>
      </w:pPr>
    </w:p>
    <w:p w14:paraId="4993B911">
      <w:pPr>
        <w:pStyle w:val="25"/>
        <w:pageBreakBefore w:val="0"/>
        <w:numPr>
          <w:ilvl w:val="0"/>
          <w:numId w:val="48"/>
        </w:numPr>
        <w:wordWrap/>
        <w:topLinePunct w:val="0"/>
        <w:bidi w:val="0"/>
        <w:adjustRightInd w:val="0"/>
        <w:snapToGrid w:val="0"/>
        <w:spacing w:before="0" w:after="0" w:line="560" w:lineRule="exact"/>
        <w:ind w:left="0" w:leftChars="0" w:firstLine="640" w:firstLineChars="200"/>
        <w:jc w:val="left"/>
        <w:outlineLvl w:val="1"/>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项目团队介绍</w:t>
      </w:r>
    </w:p>
    <w:p w14:paraId="1B402F6B">
      <w:pPr>
        <w:pageBreakBefore w:val="0"/>
        <w:wordWrap/>
        <w:topLinePunct w:val="0"/>
        <w:bidi w:val="0"/>
        <w:spacing w:line="560" w:lineRule="exact"/>
        <w:ind w:firstLine="640" w:firstLineChars="20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项目团队介绍</w:t>
      </w:r>
    </w:p>
    <w:p w14:paraId="61AD9F40">
      <w:pPr>
        <w:pageBreakBefore w:val="0"/>
        <w:wordWrap/>
        <w:topLinePunct w:val="0"/>
        <w:bidi w:val="0"/>
        <w:spacing w:line="560" w:lineRule="exact"/>
        <w:ind w:firstLine="643" w:firstLineChars="200"/>
        <w:jc w:val="left"/>
        <w:rPr>
          <w:rFonts w:hint="eastAsia" w:ascii="仿宋_GB2312" w:hAnsi="仿宋_GB2312" w:eastAsia="仿宋_GB2312" w:cs="仿宋_GB2312"/>
          <w:b/>
          <w:bCs/>
          <w:color w:val="auto"/>
          <w:sz w:val="32"/>
          <w:szCs w:val="32"/>
          <w:highlight w:val="none"/>
        </w:rPr>
      </w:pPr>
    </w:p>
    <w:p w14:paraId="223778AD">
      <w:pPr>
        <w:pageBreakBefore w:val="0"/>
        <w:wordWrap/>
        <w:topLinePunct w:val="0"/>
        <w:bidi w:val="0"/>
        <w:adjustRightInd w:val="0"/>
        <w:snapToGrid w:val="0"/>
        <w:spacing w:line="560" w:lineRule="exact"/>
        <w:ind w:firstLine="640" w:firstLineChars="200"/>
        <w:jc w:val="left"/>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一、项目团队成员信息一览表</w:t>
      </w:r>
    </w:p>
    <w:p w14:paraId="1DC0C08B">
      <w:pPr>
        <w:pageBreakBefore w:val="0"/>
        <w:wordWrap/>
        <w:topLinePunct w:val="0"/>
        <w:bidi w:val="0"/>
        <w:adjustRightInd w:val="0"/>
        <w:snapToGrid w:val="0"/>
        <w:spacing w:line="560" w:lineRule="exact"/>
        <w:ind w:firstLine="640" w:firstLineChars="200"/>
        <w:jc w:val="left"/>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w:t>
      </w:r>
    </w:p>
    <w:p w14:paraId="7E6D2EC7">
      <w:pPr>
        <w:pageBreakBefore w:val="0"/>
        <w:wordWrap/>
        <w:topLinePunct w:val="0"/>
        <w:bidi w:val="0"/>
        <w:adjustRightInd w:val="0"/>
        <w:snapToGrid w:val="0"/>
        <w:spacing w:line="560" w:lineRule="exact"/>
        <w:ind w:firstLine="640" w:firstLineChars="200"/>
        <w:jc w:val="left"/>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二、项目团队负责人情况介绍</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含资格证书复印件及单位社保证明</w:t>
      </w:r>
      <w:r>
        <w:rPr>
          <w:rFonts w:hint="eastAsia" w:ascii="仿宋_GB2312" w:hAnsi="仿宋_GB2312" w:eastAsia="仿宋_GB2312" w:cs="仿宋_GB2312"/>
          <w:color w:val="auto"/>
          <w:sz w:val="32"/>
          <w:szCs w:val="32"/>
          <w:highlight w:val="none"/>
          <w:lang w:eastAsia="zh-CN"/>
        </w:rPr>
        <w:t>）</w:t>
      </w:r>
    </w:p>
    <w:p w14:paraId="7B89E509">
      <w:pPr>
        <w:pageBreakBefore w:val="0"/>
        <w:wordWrap/>
        <w:topLinePunct w:val="0"/>
        <w:bidi w:val="0"/>
        <w:adjustRightInd w:val="0"/>
        <w:snapToGrid w:val="0"/>
        <w:spacing w:line="560" w:lineRule="exact"/>
        <w:ind w:firstLine="640" w:firstLineChars="200"/>
        <w:jc w:val="left"/>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w:t>
      </w:r>
    </w:p>
    <w:p w14:paraId="505FD00F">
      <w:pPr>
        <w:pageBreakBefore w:val="0"/>
        <w:wordWrap/>
        <w:topLinePunct w:val="0"/>
        <w:bidi w:val="0"/>
        <w:adjustRightInd w:val="0"/>
        <w:snapToGrid w:val="0"/>
        <w:spacing w:line="560" w:lineRule="exact"/>
        <w:ind w:firstLine="640" w:firstLineChars="200"/>
        <w:jc w:val="left"/>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三、项目团队成员情况介绍</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含资格证书复印件及单位社保证明</w:t>
      </w:r>
      <w:r>
        <w:rPr>
          <w:rFonts w:hint="eastAsia" w:ascii="仿宋_GB2312" w:hAnsi="仿宋_GB2312" w:eastAsia="仿宋_GB2312" w:cs="仿宋_GB2312"/>
          <w:color w:val="auto"/>
          <w:sz w:val="32"/>
          <w:szCs w:val="32"/>
          <w:highlight w:val="none"/>
          <w:lang w:eastAsia="zh-CN"/>
        </w:rPr>
        <w:t>）</w:t>
      </w:r>
    </w:p>
    <w:p w14:paraId="5838E5EB">
      <w:pPr>
        <w:pageBreakBefore w:val="0"/>
        <w:wordWrap/>
        <w:topLinePunct w:val="0"/>
        <w:bidi w:val="0"/>
        <w:adjustRightInd w:val="0"/>
        <w:snapToGrid w:val="0"/>
        <w:spacing w:line="560" w:lineRule="exact"/>
        <w:ind w:firstLine="640" w:firstLineChars="200"/>
        <w:jc w:val="left"/>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w:t>
      </w:r>
    </w:p>
    <w:p w14:paraId="19BD64FE">
      <w:pPr>
        <w:pageBreakBefore w:val="0"/>
        <w:wordWrap/>
        <w:topLinePunct w:val="0"/>
        <w:bidi w:val="0"/>
        <w:spacing w:line="560" w:lineRule="exact"/>
        <w:jc w:val="center"/>
        <w:outlineLvl w:val="1"/>
        <w:rPr>
          <w:rFonts w:hint="eastAsia" w:ascii="仿宋_GB2312" w:hAnsi="仿宋_GB2312" w:eastAsia="仿宋_GB2312" w:cs="仿宋_GB2312"/>
          <w:bCs/>
          <w:color w:val="auto"/>
          <w:sz w:val="32"/>
          <w:highlight w:val="none"/>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docGrid w:type="lines" w:linePitch="315" w:charSpace="0"/>
        </w:sectPr>
      </w:pPr>
    </w:p>
    <w:p w14:paraId="655C3D8F">
      <w:pPr>
        <w:pStyle w:val="25"/>
        <w:pageBreakBefore w:val="0"/>
        <w:numPr>
          <w:ilvl w:val="0"/>
          <w:numId w:val="48"/>
        </w:numPr>
        <w:wordWrap/>
        <w:topLinePunct w:val="0"/>
        <w:bidi w:val="0"/>
        <w:adjustRightInd w:val="0"/>
        <w:snapToGrid w:val="0"/>
        <w:spacing w:before="0" w:after="0" w:line="560" w:lineRule="exact"/>
        <w:ind w:left="0" w:leftChars="0" w:firstLine="640" w:firstLineChars="200"/>
        <w:jc w:val="left"/>
        <w:outlineLvl w:val="1"/>
        <w:rPr>
          <w:rFonts w:hint="eastAsia" w:ascii="黑体" w:hAnsi="黑体" w:eastAsia="黑体" w:cs="黑体"/>
          <w:b w:val="0"/>
          <w:bCs w:val="0"/>
          <w:color w:val="auto"/>
          <w:sz w:val="32"/>
          <w:highlight w:val="none"/>
          <w:lang w:val="en-US" w:eastAsia="zh-CN"/>
        </w:rPr>
      </w:pPr>
      <w:r>
        <w:rPr>
          <w:rFonts w:hint="eastAsia" w:ascii="黑体" w:hAnsi="黑体" w:eastAsia="黑体" w:cs="黑体"/>
          <w:b w:val="0"/>
          <w:bCs w:val="0"/>
          <w:color w:val="auto"/>
          <w:sz w:val="32"/>
          <w:szCs w:val="32"/>
          <w:highlight w:val="none"/>
          <w:lang w:eastAsia="zh-CN"/>
        </w:rPr>
        <w:t>类似业绩一览表</w:t>
      </w:r>
    </w:p>
    <w:p w14:paraId="0F7CB57E">
      <w:pPr>
        <w:pageBreakBefore w:val="0"/>
        <w:wordWrap/>
        <w:topLinePunct w:val="0"/>
        <w:bidi w:val="0"/>
        <w:spacing w:line="560" w:lineRule="exact"/>
        <w:jc w:val="center"/>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类似业绩一览表</w:t>
      </w:r>
    </w:p>
    <w:tbl>
      <w:tblPr>
        <w:tblStyle w:val="27"/>
        <w:tblW w:w="8845" w:type="dxa"/>
        <w:tblInd w:w="108" w:type="dxa"/>
        <w:tblLayout w:type="autofit"/>
        <w:tblCellMar>
          <w:top w:w="0" w:type="dxa"/>
          <w:left w:w="108" w:type="dxa"/>
          <w:bottom w:w="0" w:type="dxa"/>
          <w:right w:w="108" w:type="dxa"/>
        </w:tblCellMar>
      </w:tblPr>
      <w:tblGrid>
        <w:gridCol w:w="764"/>
        <w:gridCol w:w="1328"/>
        <w:gridCol w:w="1484"/>
        <w:gridCol w:w="1342"/>
        <w:gridCol w:w="1342"/>
        <w:gridCol w:w="1716"/>
        <w:gridCol w:w="869"/>
      </w:tblGrid>
      <w:tr w14:paraId="103C751F">
        <w:tblPrEx>
          <w:tblCellMar>
            <w:top w:w="0" w:type="dxa"/>
            <w:left w:w="108" w:type="dxa"/>
            <w:bottom w:w="0" w:type="dxa"/>
            <w:right w:w="108" w:type="dxa"/>
          </w:tblCellMar>
        </w:tblPrEx>
        <w:trPr>
          <w:trHeight w:val="285" w:hRule="atLeast"/>
        </w:trPr>
        <w:tc>
          <w:tcPr>
            <w:tcW w:w="432" w:type="pct"/>
            <w:tcBorders>
              <w:top w:val="single" w:color="000000" w:sz="4" w:space="0"/>
              <w:left w:val="single" w:color="000000" w:sz="4" w:space="0"/>
              <w:bottom w:val="single" w:color="000000" w:sz="4" w:space="0"/>
              <w:right w:val="single" w:color="000000" w:sz="4" w:space="0"/>
            </w:tcBorders>
            <w:noWrap/>
            <w:vAlign w:val="center"/>
          </w:tcPr>
          <w:p w14:paraId="341ABE1F">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年份</w:t>
            </w:r>
          </w:p>
        </w:tc>
        <w:tc>
          <w:tcPr>
            <w:tcW w:w="750" w:type="pct"/>
            <w:tcBorders>
              <w:top w:val="single" w:color="000000" w:sz="4" w:space="0"/>
              <w:left w:val="nil"/>
              <w:bottom w:val="single" w:color="000000" w:sz="4" w:space="0"/>
              <w:right w:val="single" w:color="000000" w:sz="4" w:space="0"/>
            </w:tcBorders>
            <w:noWrap/>
            <w:vAlign w:val="center"/>
          </w:tcPr>
          <w:p w14:paraId="278B9D52">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用户名称</w:t>
            </w:r>
          </w:p>
        </w:tc>
        <w:tc>
          <w:tcPr>
            <w:tcW w:w="838" w:type="pct"/>
            <w:tcBorders>
              <w:top w:val="single" w:color="000000" w:sz="4" w:space="0"/>
              <w:left w:val="nil"/>
              <w:bottom w:val="single" w:color="000000" w:sz="4" w:space="0"/>
              <w:right w:val="single" w:color="000000" w:sz="4" w:space="0"/>
            </w:tcBorders>
            <w:noWrap/>
            <w:vAlign w:val="center"/>
          </w:tcPr>
          <w:p w14:paraId="66CBC5A1">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项目名称</w:t>
            </w:r>
          </w:p>
        </w:tc>
        <w:tc>
          <w:tcPr>
            <w:tcW w:w="758" w:type="pct"/>
            <w:tcBorders>
              <w:top w:val="single" w:color="000000" w:sz="4" w:space="0"/>
              <w:left w:val="nil"/>
              <w:bottom w:val="single" w:color="000000" w:sz="4" w:space="0"/>
              <w:right w:val="single" w:color="000000" w:sz="4" w:space="0"/>
            </w:tcBorders>
            <w:noWrap/>
            <w:vAlign w:val="center"/>
          </w:tcPr>
          <w:p w14:paraId="2CCF1A49">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合同金额</w:t>
            </w:r>
          </w:p>
        </w:tc>
        <w:tc>
          <w:tcPr>
            <w:tcW w:w="758" w:type="pct"/>
            <w:tcBorders>
              <w:top w:val="single" w:color="000000" w:sz="4" w:space="0"/>
              <w:left w:val="nil"/>
              <w:bottom w:val="single" w:color="000000" w:sz="4" w:space="0"/>
              <w:right w:val="single" w:color="000000" w:sz="4" w:space="0"/>
            </w:tcBorders>
            <w:noWrap/>
            <w:vAlign w:val="center"/>
          </w:tcPr>
          <w:p w14:paraId="5C413B5F">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签订时间</w:t>
            </w:r>
          </w:p>
        </w:tc>
        <w:tc>
          <w:tcPr>
            <w:tcW w:w="969" w:type="pct"/>
            <w:tcBorders>
              <w:top w:val="single" w:color="000000" w:sz="4" w:space="0"/>
              <w:left w:val="nil"/>
              <w:bottom w:val="single" w:color="000000" w:sz="4" w:space="0"/>
              <w:right w:val="single" w:color="000000" w:sz="4" w:space="0"/>
            </w:tcBorders>
            <w:noWrap/>
            <w:vAlign w:val="center"/>
          </w:tcPr>
          <w:p w14:paraId="27415F25">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服务结束时间</w:t>
            </w:r>
          </w:p>
        </w:tc>
        <w:tc>
          <w:tcPr>
            <w:tcW w:w="491" w:type="pct"/>
            <w:tcBorders>
              <w:top w:val="single" w:color="000000" w:sz="4" w:space="0"/>
              <w:left w:val="nil"/>
              <w:bottom w:val="single" w:color="000000" w:sz="4" w:space="0"/>
              <w:right w:val="single" w:color="000000" w:sz="4" w:space="0"/>
            </w:tcBorders>
            <w:noWrap/>
            <w:vAlign w:val="center"/>
          </w:tcPr>
          <w:p w14:paraId="23E39DAC">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备注</w:t>
            </w:r>
          </w:p>
        </w:tc>
      </w:tr>
      <w:tr w14:paraId="25B8255D">
        <w:tblPrEx>
          <w:tblCellMar>
            <w:top w:w="0" w:type="dxa"/>
            <w:left w:w="108" w:type="dxa"/>
            <w:bottom w:w="0" w:type="dxa"/>
            <w:right w:w="108" w:type="dxa"/>
          </w:tblCellMar>
        </w:tblPrEx>
        <w:trPr>
          <w:trHeight w:val="285" w:hRule="atLeast"/>
        </w:trPr>
        <w:tc>
          <w:tcPr>
            <w:tcW w:w="432" w:type="pct"/>
            <w:tcBorders>
              <w:top w:val="single" w:color="000000" w:sz="4" w:space="0"/>
              <w:left w:val="single" w:color="000000" w:sz="4" w:space="0"/>
              <w:bottom w:val="single" w:color="000000" w:sz="4" w:space="0"/>
              <w:right w:val="single" w:color="000000" w:sz="4" w:space="0"/>
            </w:tcBorders>
            <w:noWrap/>
            <w:vAlign w:val="center"/>
          </w:tcPr>
          <w:p w14:paraId="5AF61118">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750" w:type="pct"/>
            <w:tcBorders>
              <w:top w:val="single" w:color="000000" w:sz="4" w:space="0"/>
              <w:left w:val="nil"/>
              <w:bottom w:val="single" w:color="000000" w:sz="4" w:space="0"/>
              <w:right w:val="single" w:color="000000" w:sz="4" w:space="0"/>
            </w:tcBorders>
            <w:noWrap w:val="0"/>
            <w:vAlign w:val="center"/>
          </w:tcPr>
          <w:p w14:paraId="7D935DD6">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838" w:type="pct"/>
            <w:tcBorders>
              <w:top w:val="single" w:color="000000" w:sz="4" w:space="0"/>
              <w:left w:val="nil"/>
              <w:bottom w:val="single" w:color="000000" w:sz="4" w:space="0"/>
              <w:right w:val="single" w:color="000000" w:sz="4" w:space="0"/>
            </w:tcBorders>
            <w:noWrap w:val="0"/>
            <w:vAlign w:val="center"/>
          </w:tcPr>
          <w:p w14:paraId="0EA48F5F">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758" w:type="pct"/>
            <w:tcBorders>
              <w:top w:val="single" w:color="000000" w:sz="4" w:space="0"/>
              <w:left w:val="nil"/>
              <w:bottom w:val="single" w:color="000000" w:sz="4" w:space="0"/>
              <w:right w:val="single" w:color="000000" w:sz="4" w:space="0"/>
            </w:tcBorders>
            <w:noWrap w:val="0"/>
            <w:vAlign w:val="center"/>
          </w:tcPr>
          <w:p w14:paraId="6B107826">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758" w:type="pct"/>
            <w:tcBorders>
              <w:top w:val="single" w:color="000000" w:sz="4" w:space="0"/>
              <w:left w:val="nil"/>
              <w:bottom w:val="single" w:color="000000" w:sz="4" w:space="0"/>
              <w:right w:val="single" w:color="000000" w:sz="4" w:space="0"/>
            </w:tcBorders>
            <w:noWrap/>
            <w:vAlign w:val="center"/>
          </w:tcPr>
          <w:p w14:paraId="20428CB4">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969" w:type="pct"/>
            <w:tcBorders>
              <w:top w:val="single" w:color="000000" w:sz="4" w:space="0"/>
              <w:left w:val="nil"/>
              <w:bottom w:val="single" w:color="000000" w:sz="4" w:space="0"/>
              <w:right w:val="single" w:color="000000" w:sz="4" w:space="0"/>
            </w:tcBorders>
            <w:noWrap/>
            <w:vAlign w:val="center"/>
          </w:tcPr>
          <w:p w14:paraId="39C09D97">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491" w:type="pct"/>
            <w:tcBorders>
              <w:top w:val="single" w:color="000000" w:sz="4" w:space="0"/>
              <w:left w:val="nil"/>
              <w:bottom w:val="single" w:color="000000" w:sz="4" w:space="0"/>
              <w:right w:val="single" w:color="000000" w:sz="4" w:space="0"/>
            </w:tcBorders>
            <w:noWrap/>
            <w:vAlign w:val="center"/>
          </w:tcPr>
          <w:p w14:paraId="39354AFE">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r>
      <w:tr w14:paraId="51E669BD">
        <w:tblPrEx>
          <w:tblCellMar>
            <w:top w:w="0" w:type="dxa"/>
            <w:left w:w="108" w:type="dxa"/>
            <w:bottom w:w="0" w:type="dxa"/>
            <w:right w:w="108" w:type="dxa"/>
          </w:tblCellMar>
        </w:tblPrEx>
        <w:trPr>
          <w:trHeight w:val="285" w:hRule="atLeast"/>
        </w:trPr>
        <w:tc>
          <w:tcPr>
            <w:tcW w:w="432" w:type="pct"/>
            <w:tcBorders>
              <w:top w:val="single" w:color="000000" w:sz="4" w:space="0"/>
              <w:left w:val="single" w:color="000000" w:sz="4" w:space="0"/>
              <w:bottom w:val="single" w:color="000000" w:sz="4" w:space="0"/>
              <w:right w:val="single" w:color="000000" w:sz="4" w:space="0"/>
            </w:tcBorders>
            <w:noWrap/>
            <w:vAlign w:val="center"/>
          </w:tcPr>
          <w:p w14:paraId="3B327747">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750" w:type="pct"/>
            <w:tcBorders>
              <w:top w:val="single" w:color="000000" w:sz="4" w:space="0"/>
              <w:left w:val="nil"/>
              <w:bottom w:val="single" w:color="000000" w:sz="4" w:space="0"/>
              <w:right w:val="single" w:color="000000" w:sz="4" w:space="0"/>
            </w:tcBorders>
            <w:noWrap w:val="0"/>
            <w:vAlign w:val="center"/>
          </w:tcPr>
          <w:p w14:paraId="1B099935">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838" w:type="pct"/>
            <w:tcBorders>
              <w:top w:val="single" w:color="000000" w:sz="4" w:space="0"/>
              <w:left w:val="nil"/>
              <w:bottom w:val="single" w:color="000000" w:sz="4" w:space="0"/>
              <w:right w:val="single" w:color="000000" w:sz="4" w:space="0"/>
            </w:tcBorders>
            <w:noWrap w:val="0"/>
            <w:vAlign w:val="center"/>
          </w:tcPr>
          <w:p w14:paraId="3A27B4D4">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758" w:type="pct"/>
            <w:tcBorders>
              <w:top w:val="single" w:color="000000" w:sz="4" w:space="0"/>
              <w:left w:val="nil"/>
              <w:bottom w:val="single" w:color="000000" w:sz="4" w:space="0"/>
              <w:right w:val="single" w:color="000000" w:sz="4" w:space="0"/>
            </w:tcBorders>
            <w:noWrap w:val="0"/>
            <w:vAlign w:val="center"/>
          </w:tcPr>
          <w:p w14:paraId="5097468A">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758" w:type="pct"/>
            <w:tcBorders>
              <w:top w:val="single" w:color="000000" w:sz="4" w:space="0"/>
              <w:left w:val="nil"/>
              <w:bottom w:val="single" w:color="000000" w:sz="4" w:space="0"/>
              <w:right w:val="single" w:color="000000" w:sz="4" w:space="0"/>
            </w:tcBorders>
            <w:noWrap/>
            <w:vAlign w:val="center"/>
          </w:tcPr>
          <w:p w14:paraId="37FE7C63">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969" w:type="pct"/>
            <w:tcBorders>
              <w:top w:val="single" w:color="000000" w:sz="4" w:space="0"/>
              <w:left w:val="nil"/>
              <w:bottom w:val="single" w:color="000000" w:sz="4" w:space="0"/>
              <w:right w:val="single" w:color="000000" w:sz="4" w:space="0"/>
            </w:tcBorders>
            <w:noWrap/>
            <w:vAlign w:val="center"/>
          </w:tcPr>
          <w:p w14:paraId="7D5DFE5E">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491" w:type="pct"/>
            <w:tcBorders>
              <w:top w:val="single" w:color="000000" w:sz="4" w:space="0"/>
              <w:left w:val="nil"/>
              <w:bottom w:val="single" w:color="000000" w:sz="4" w:space="0"/>
              <w:right w:val="single" w:color="000000" w:sz="4" w:space="0"/>
            </w:tcBorders>
            <w:noWrap/>
            <w:vAlign w:val="center"/>
          </w:tcPr>
          <w:p w14:paraId="35140C13">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r>
      <w:tr w14:paraId="038CD753">
        <w:tblPrEx>
          <w:tblCellMar>
            <w:top w:w="0" w:type="dxa"/>
            <w:left w:w="108" w:type="dxa"/>
            <w:bottom w:w="0" w:type="dxa"/>
            <w:right w:w="108" w:type="dxa"/>
          </w:tblCellMar>
        </w:tblPrEx>
        <w:trPr>
          <w:trHeight w:val="285" w:hRule="atLeast"/>
        </w:trPr>
        <w:tc>
          <w:tcPr>
            <w:tcW w:w="432" w:type="pct"/>
            <w:tcBorders>
              <w:top w:val="single" w:color="000000" w:sz="4" w:space="0"/>
              <w:left w:val="single" w:color="000000" w:sz="4" w:space="0"/>
              <w:bottom w:val="single" w:color="000000" w:sz="4" w:space="0"/>
              <w:right w:val="single" w:color="000000" w:sz="4" w:space="0"/>
            </w:tcBorders>
            <w:noWrap/>
            <w:vAlign w:val="center"/>
          </w:tcPr>
          <w:p w14:paraId="5EC06D59">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750" w:type="pct"/>
            <w:tcBorders>
              <w:top w:val="single" w:color="000000" w:sz="4" w:space="0"/>
              <w:left w:val="nil"/>
              <w:bottom w:val="single" w:color="000000" w:sz="4" w:space="0"/>
              <w:right w:val="single" w:color="000000" w:sz="4" w:space="0"/>
            </w:tcBorders>
            <w:noWrap/>
            <w:vAlign w:val="center"/>
          </w:tcPr>
          <w:p w14:paraId="4B61EE0A">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838" w:type="pct"/>
            <w:tcBorders>
              <w:top w:val="single" w:color="000000" w:sz="4" w:space="0"/>
              <w:left w:val="nil"/>
              <w:bottom w:val="single" w:color="000000" w:sz="4" w:space="0"/>
              <w:right w:val="single" w:color="000000" w:sz="4" w:space="0"/>
            </w:tcBorders>
            <w:noWrap/>
            <w:vAlign w:val="center"/>
          </w:tcPr>
          <w:p w14:paraId="6D6D653B">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758" w:type="pct"/>
            <w:tcBorders>
              <w:top w:val="single" w:color="000000" w:sz="4" w:space="0"/>
              <w:left w:val="nil"/>
              <w:bottom w:val="single" w:color="000000" w:sz="4" w:space="0"/>
              <w:right w:val="single" w:color="000000" w:sz="4" w:space="0"/>
            </w:tcBorders>
            <w:noWrap/>
            <w:vAlign w:val="center"/>
          </w:tcPr>
          <w:p w14:paraId="3005191F">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758" w:type="pct"/>
            <w:tcBorders>
              <w:top w:val="single" w:color="000000" w:sz="4" w:space="0"/>
              <w:left w:val="nil"/>
              <w:bottom w:val="single" w:color="000000" w:sz="4" w:space="0"/>
              <w:right w:val="single" w:color="000000" w:sz="4" w:space="0"/>
            </w:tcBorders>
            <w:noWrap/>
            <w:vAlign w:val="center"/>
          </w:tcPr>
          <w:p w14:paraId="3158DAD7">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969" w:type="pct"/>
            <w:tcBorders>
              <w:top w:val="single" w:color="000000" w:sz="4" w:space="0"/>
              <w:left w:val="nil"/>
              <w:bottom w:val="single" w:color="000000" w:sz="4" w:space="0"/>
              <w:right w:val="single" w:color="000000" w:sz="4" w:space="0"/>
            </w:tcBorders>
            <w:noWrap/>
            <w:vAlign w:val="center"/>
          </w:tcPr>
          <w:p w14:paraId="26BDE266">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c>
          <w:tcPr>
            <w:tcW w:w="491" w:type="pct"/>
            <w:tcBorders>
              <w:top w:val="single" w:color="000000" w:sz="4" w:space="0"/>
              <w:left w:val="nil"/>
              <w:bottom w:val="single" w:color="000000" w:sz="4" w:space="0"/>
              <w:right w:val="single" w:color="000000" w:sz="4" w:space="0"/>
            </w:tcBorders>
            <w:noWrap/>
            <w:vAlign w:val="center"/>
          </w:tcPr>
          <w:p w14:paraId="7D006B0A">
            <w:pPr>
              <w:pStyle w:val="42"/>
              <w:keepNext w:val="0"/>
              <w:keepLines w:val="0"/>
              <w:pageBreakBefore w:val="0"/>
              <w:suppressLineNumbers w:val="0"/>
              <w:wordWrap/>
              <w:topLinePunct w:val="0"/>
              <w:bidi w:val="0"/>
              <w:spacing w:before="0" w:beforeAutospacing="0" w:after="0" w:afterAutospacing="0" w:line="560" w:lineRule="exact"/>
              <w:ind w:left="0" w:right="0"/>
              <w:jc w:val="center"/>
              <w:rPr>
                <w:rFonts w:hint="eastAsia" w:ascii="仿宋_GB2312" w:hAnsi="仿宋_GB2312" w:eastAsia="仿宋_GB2312" w:cs="仿宋_GB2312"/>
                <w:color w:val="auto"/>
                <w:sz w:val="24"/>
                <w:szCs w:val="24"/>
                <w:highlight w:val="none"/>
              </w:rPr>
            </w:pPr>
          </w:p>
        </w:tc>
      </w:tr>
      <w:tr w14:paraId="22C5851B">
        <w:tblPrEx>
          <w:tblCellMar>
            <w:top w:w="0" w:type="dxa"/>
            <w:left w:w="108" w:type="dxa"/>
            <w:bottom w:w="0" w:type="dxa"/>
            <w:right w:w="108" w:type="dxa"/>
          </w:tblCellMar>
        </w:tblPrEx>
        <w:trPr>
          <w:trHeight w:val="285" w:hRule="atLeast"/>
        </w:trPr>
        <w:tc>
          <w:tcPr>
            <w:tcW w:w="432" w:type="pct"/>
            <w:tcBorders>
              <w:top w:val="single" w:color="000000" w:sz="4" w:space="0"/>
              <w:left w:val="single" w:color="000000" w:sz="4" w:space="0"/>
              <w:bottom w:val="single" w:color="000000" w:sz="4" w:space="0"/>
              <w:right w:val="single" w:color="000000" w:sz="4" w:space="0"/>
            </w:tcBorders>
            <w:noWrap/>
            <w:vAlign w:val="center"/>
          </w:tcPr>
          <w:p w14:paraId="49854415">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750" w:type="pct"/>
            <w:tcBorders>
              <w:top w:val="single" w:color="000000" w:sz="4" w:space="0"/>
              <w:left w:val="nil"/>
              <w:bottom w:val="single" w:color="000000" w:sz="4" w:space="0"/>
              <w:right w:val="single" w:color="000000" w:sz="4" w:space="0"/>
            </w:tcBorders>
            <w:noWrap/>
            <w:vAlign w:val="center"/>
          </w:tcPr>
          <w:p w14:paraId="75B9FB45">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838" w:type="pct"/>
            <w:tcBorders>
              <w:top w:val="single" w:color="000000" w:sz="4" w:space="0"/>
              <w:left w:val="nil"/>
              <w:bottom w:val="single" w:color="000000" w:sz="4" w:space="0"/>
              <w:right w:val="single" w:color="000000" w:sz="4" w:space="0"/>
            </w:tcBorders>
            <w:noWrap/>
            <w:vAlign w:val="center"/>
          </w:tcPr>
          <w:p w14:paraId="2C3AE051">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758" w:type="pct"/>
            <w:tcBorders>
              <w:top w:val="single" w:color="000000" w:sz="4" w:space="0"/>
              <w:left w:val="nil"/>
              <w:bottom w:val="single" w:color="000000" w:sz="4" w:space="0"/>
              <w:right w:val="single" w:color="000000" w:sz="4" w:space="0"/>
            </w:tcBorders>
            <w:noWrap/>
            <w:vAlign w:val="center"/>
          </w:tcPr>
          <w:p w14:paraId="75821B3D">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758" w:type="pct"/>
            <w:tcBorders>
              <w:top w:val="single" w:color="000000" w:sz="4" w:space="0"/>
              <w:left w:val="nil"/>
              <w:bottom w:val="single" w:color="000000" w:sz="4" w:space="0"/>
              <w:right w:val="single" w:color="000000" w:sz="4" w:space="0"/>
            </w:tcBorders>
            <w:noWrap/>
            <w:vAlign w:val="center"/>
          </w:tcPr>
          <w:p w14:paraId="048BADF0">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969" w:type="pct"/>
            <w:tcBorders>
              <w:top w:val="single" w:color="000000" w:sz="4" w:space="0"/>
              <w:left w:val="nil"/>
              <w:bottom w:val="single" w:color="000000" w:sz="4" w:space="0"/>
              <w:right w:val="single" w:color="000000" w:sz="4" w:space="0"/>
            </w:tcBorders>
            <w:noWrap/>
            <w:vAlign w:val="center"/>
          </w:tcPr>
          <w:p w14:paraId="4415A2D1">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491" w:type="pct"/>
            <w:tcBorders>
              <w:top w:val="single" w:color="000000" w:sz="4" w:space="0"/>
              <w:left w:val="nil"/>
              <w:bottom w:val="single" w:color="000000" w:sz="4" w:space="0"/>
              <w:right w:val="single" w:color="000000" w:sz="4" w:space="0"/>
            </w:tcBorders>
            <w:noWrap/>
            <w:vAlign w:val="center"/>
          </w:tcPr>
          <w:p w14:paraId="7DA154AA">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r>
      <w:tr w14:paraId="34865744">
        <w:tblPrEx>
          <w:tblCellMar>
            <w:top w:w="0" w:type="dxa"/>
            <w:left w:w="108" w:type="dxa"/>
            <w:bottom w:w="0" w:type="dxa"/>
            <w:right w:w="108" w:type="dxa"/>
          </w:tblCellMar>
        </w:tblPrEx>
        <w:trPr>
          <w:trHeight w:val="285" w:hRule="atLeast"/>
        </w:trPr>
        <w:tc>
          <w:tcPr>
            <w:tcW w:w="432" w:type="pct"/>
            <w:tcBorders>
              <w:top w:val="single" w:color="000000" w:sz="4" w:space="0"/>
              <w:left w:val="single" w:color="000000" w:sz="4" w:space="0"/>
              <w:bottom w:val="single" w:color="000000" w:sz="4" w:space="0"/>
              <w:right w:val="single" w:color="000000" w:sz="4" w:space="0"/>
            </w:tcBorders>
            <w:noWrap/>
            <w:vAlign w:val="center"/>
          </w:tcPr>
          <w:p w14:paraId="70996E2D">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750" w:type="pct"/>
            <w:tcBorders>
              <w:top w:val="single" w:color="000000" w:sz="4" w:space="0"/>
              <w:left w:val="nil"/>
              <w:bottom w:val="single" w:color="000000" w:sz="4" w:space="0"/>
              <w:right w:val="single" w:color="000000" w:sz="4" w:space="0"/>
            </w:tcBorders>
            <w:noWrap/>
            <w:vAlign w:val="center"/>
          </w:tcPr>
          <w:p w14:paraId="5F645879">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838" w:type="pct"/>
            <w:tcBorders>
              <w:top w:val="single" w:color="000000" w:sz="4" w:space="0"/>
              <w:left w:val="nil"/>
              <w:bottom w:val="single" w:color="000000" w:sz="4" w:space="0"/>
              <w:right w:val="single" w:color="000000" w:sz="4" w:space="0"/>
            </w:tcBorders>
            <w:noWrap/>
            <w:vAlign w:val="center"/>
          </w:tcPr>
          <w:p w14:paraId="2CE65C8F">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758" w:type="pct"/>
            <w:tcBorders>
              <w:top w:val="single" w:color="000000" w:sz="4" w:space="0"/>
              <w:left w:val="nil"/>
              <w:bottom w:val="single" w:color="000000" w:sz="4" w:space="0"/>
              <w:right w:val="single" w:color="000000" w:sz="4" w:space="0"/>
            </w:tcBorders>
            <w:noWrap/>
            <w:vAlign w:val="center"/>
          </w:tcPr>
          <w:p w14:paraId="14F880BC">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758" w:type="pct"/>
            <w:tcBorders>
              <w:top w:val="single" w:color="000000" w:sz="4" w:space="0"/>
              <w:left w:val="nil"/>
              <w:bottom w:val="single" w:color="000000" w:sz="4" w:space="0"/>
              <w:right w:val="single" w:color="000000" w:sz="4" w:space="0"/>
            </w:tcBorders>
            <w:noWrap/>
            <w:vAlign w:val="center"/>
          </w:tcPr>
          <w:p w14:paraId="22CDF9AE">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969" w:type="pct"/>
            <w:tcBorders>
              <w:top w:val="single" w:color="000000" w:sz="4" w:space="0"/>
              <w:left w:val="nil"/>
              <w:bottom w:val="single" w:color="000000" w:sz="4" w:space="0"/>
              <w:right w:val="single" w:color="000000" w:sz="4" w:space="0"/>
            </w:tcBorders>
            <w:noWrap/>
            <w:vAlign w:val="center"/>
          </w:tcPr>
          <w:p w14:paraId="48F9B13C">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491" w:type="pct"/>
            <w:tcBorders>
              <w:top w:val="single" w:color="000000" w:sz="4" w:space="0"/>
              <w:left w:val="nil"/>
              <w:bottom w:val="single" w:color="000000" w:sz="4" w:space="0"/>
              <w:right w:val="single" w:color="000000" w:sz="4" w:space="0"/>
            </w:tcBorders>
            <w:noWrap/>
            <w:vAlign w:val="center"/>
          </w:tcPr>
          <w:p w14:paraId="1AE80807">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r>
      <w:tr w14:paraId="6FEC248D">
        <w:tblPrEx>
          <w:tblCellMar>
            <w:top w:w="0" w:type="dxa"/>
            <w:left w:w="108" w:type="dxa"/>
            <w:bottom w:w="0" w:type="dxa"/>
            <w:right w:w="108" w:type="dxa"/>
          </w:tblCellMar>
        </w:tblPrEx>
        <w:trPr>
          <w:trHeight w:val="285" w:hRule="atLeast"/>
        </w:trPr>
        <w:tc>
          <w:tcPr>
            <w:tcW w:w="432" w:type="pct"/>
            <w:tcBorders>
              <w:top w:val="single" w:color="000000" w:sz="4" w:space="0"/>
              <w:left w:val="single" w:color="000000" w:sz="4" w:space="0"/>
              <w:bottom w:val="single" w:color="000000" w:sz="4" w:space="0"/>
              <w:right w:val="single" w:color="000000" w:sz="4" w:space="0"/>
            </w:tcBorders>
            <w:noWrap/>
            <w:vAlign w:val="center"/>
          </w:tcPr>
          <w:p w14:paraId="09C7846D">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750" w:type="pct"/>
            <w:tcBorders>
              <w:top w:val="single" w:color="000000" w:sz="4" w:space="0"/>
              <w:left w:val="nil"/>
              <w:bottom w:val="single" w:color="000000" w:sz="4" w:space="0"/>
              <w:right w:val="single" w:color="000000" w:sz="4" w:space="0"/>
            </w:tcBorders>
            <w:noWrap/>
            <w:vAlign w:val="center"/>
          </w:tcPr>
          <w:p w14:paraId="35332C28">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838" w:type="pct"/>
            <w:tcBorders>
              <w:top w:val="single" w:color="000000" w:sz="4" w:space="0"/>
              <w:left w:val="nil"/>
              <w:bottom w:val="single" w:color="000000" w:sz="4" w:space="0"/>
              <w:right w:val="single" w:color="000000" w:sz="4" w:space="0"/>
            </w:tcBorders>
            <w:noWrap/>
            <w:vAlign w:val="center"/>
          </w:tcPr>
          <w:p w14:paraId="233B9412">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758" w:type="pct"/>
            <w:tcBorders>
              <w:top w:val="single" w:color="000000" w:sz="4" w:space="0"/>
              <w:left w:val="nil"/>
              <w:bottom w:val="single" w:color="000000" w:sz="4" w:space="0"/>
              <w:right w:val="single" w:color="000000" w:sz="4" w:space="0"/>
            </w:tcBorders>
            <w:noWrap/>
            <w:vAlign w:val="center"/>
          </w:tcPr>
          <w:p w14:paraId="11DA7E75">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758" w:type="pct"/>
            <w:tcBorders>
              <w:top w:val="single" w:color="000000" w:sz="4" w:space="0"/>
              <w:left w:val="nil"/>
              <w:bottom w:val="single" w:color="000000" w:sz="4" w:space="0"/>
              <w:right w:val="single" w:color="000000" w:sz="4" w:space="0"/>
            </w:tcBorders>
            <w:noWrap/>
            <w:vAlign w:val="center"/>
          </w:tcPr>
          <w:p w14:paraId="3B26B6A9">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969" w:type="pct"/>
            <w:tcBorders>
              <w:top w:val="single" w:color="000000" w:sz="4" w:space="0"/>
              <w:left w:val="nil"/>
              <w:bottom w:val="single" w:color="000000" w:sz="4" w:space="0"/>
              <w:right w:val="single" w:color="000000" w:sz="4" w:space="0"/>
            </w:tcBorders>
            <w:noWrap/>
            <w:vAlign w:val="center"/>
          </w:tcPr>
          <w:p w14:paraId="39D00BF2">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c>
          <w:tcPr>
            <w:tcW w:w="491" w:type="pct"/>
            <w:tcBorders>
              <w:top w:val="single" w:color="000000" w:sz="4" w:space="0"/>
              <w:left w:val="nil"/>
              <w:bottom w:val="single" w:color="000000" w:sz="4" w:space="0"/>
              <w:right w:val="single" w:color="000000" w:sz="4" w:space="0"/>
            </w:tcBorders>
            <w:noWrap/>
            <w:vAlign w:val="center"/>
          </w:tcPr>
          <w:p w14:paraId="29F78000">
            <w:pPr>
              <w:pStyle w:val="42"/>
              <w:keepNext w:val="0"/>
              <w:keepLines w:val="0"/>
              <w:pageBreakBefore w:val="0"/>
              <w:suppressLineNumbers w:val="0"/>
              <w:wordWrap/>
              <w:topLinePunct w:val="0"/>
              <w:bidi w:val="0"/>
              <w:spacing w:before="0" w:beforeAutospacing="0" w:after="0" w:afterAutospacing="0" w:line="560" w:lineRule="exact"/>
              <w:ind w:left="0" w:right="0"/>
              <w:jc w:val="left"/>
              <w:rPr>
                <w:rFonts w:hint="eastAsia" w:ascii="仿宋_GB2312" w:hAnsi="仿宋_GB2312" w:eastAsia="仿宋_GB2312" w:cs="仿宋_GB2312"/>
                <w:color w:val="auto"/>
                <w:sz w:val="24"/>
                <w:szCs w:val="24"/>
                <w:highlight w:val="none"/>
              </w:rPr>
            </w:pPr>
          </w:p>
        </w:tc>
      </w:tr>
    </w:tbl>
    <w:p w14:paraId="63E5EB35">
      <w:pPr>
        <w:pageBreakBefore w:val="0"/>
        <w:wordWrap/>
        <w:topLinePunct w:val="0"/>
        <w:bidi w:val="0"/>
        <w:spacing w:line="560" w:lineRule="exact"/>
        <w:ind w:firstLine="480"/>
        <w:jc w:val="left"/>
        <w:rPr>
          <w:rFonts w:hint="eastAsia" w:ascii="仿宋_GB2312" w:hAnsi="仿宋_GB2312" w:eastAsia="仿宋_GB2312" w:cs="仿宋_GB2312"/>
          <w:color w:val="auto"/>
          <w:sz w:val="24"/>
          <w:szCs w:val="24"/>
          <w:highlight w:val="none"/>
        </w:rPr>
      </w:pPr>
    </w:p>
    <w:p w14:paraId="29AD2F42">
      <w:pPr>
        <w:pageBreakBefore w:val="0"/>
        <w:numPr>
          <w:ilvl w:val="0"/>
          <w:numId w:val="0"/>
        </w:numPr>
        <w:tabs>
          <w:tab w:val="left" w:pos="555"/>
          <w:tab w:val="left" w:pos="2214"/>
          <w:tab w:val="left" w:pos="3774"/>
          <w:tab w:val="left" w:pos="4854"/>
          <w:tab w:val="left" w:pos="5934"/>
          <w:tab w:val="left" w:pos="7014"/>
          <w:tab w:val="left" w:pos="8214"/>
          <w:tab w:val="left" w:pos="10134"/>
          <w:tab w:val="left" w:pos="11124"/>
        </w:tabs>
        <w:wordWrap/>
        <w:topLinePunct w:val="0"/>
        <w:bidi w:val="0"/>
        <w:adjustRightInd w:val="0"/>
        <w:spacing w:line="560" w:lineRule="exact"/>
        <w:ind w:left="0" w:firstLine="0" w:firstLineChars="0"/>
        <w:jc w:val="left"/>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注：</w:t>
      </w:r>
      <w:r>
        <w:rPr>
          <w:rFonts w:hint="eastAsia" w:ascii="仿宋_GB2312" w:hAnsi="仿宋_GB2312" w:eastAsia="仿宋_GB2312" w:cs="仿宋_GB2312"/>
          <w:color w:val="auto"/>
          <w:sz w:val="24"/>
          <w:szCs w:val="20"/>
          <w:highlight w:val="none"/>
        </w:rPr>
        <w:t>提供相关证明材料复印件</w:t>
      </w:r>
      <w:r>
        <w:rPr>
          <w:rFonts w:hint="eastAsia" w:ascii="仿宋_GB2312" w:hAnsi="仿宋_GB2312" w:eastAsia="仿宋_GB2312" w:cs="仿宋_GB2312"/>
          <w:color w:val="auto"/>
          <w:sz w:val="24"/>
          <w:szCs w:val="20"/>
          <w:highlight w:val="none"/>
          <w:lang w:eastAsia="zh-CN"/>
        </w:rPr>
        <w:t>。</w:t>
      </w:r>
    </w:p>
    <w:p w14:paraId="5849CA63">
      <w:pPr>
        <w:pStyle w:val="4"/>
        <w:pageBreakBefore w:val="0"/>
        <w:wordWrap/>
        <w:topLinePunct w:val="0"/>
        <w:bidi w:val="0"/>
        <w:spacing w:line="560" w:lineRule="exact"/>
        <w:jc w:val="center"/>
        <w:rPr>
          <w:rFonts w:hint="eastAsia" w:ascii="仿宋_GB2312" w:hAnsi="仿宋_GB2312" w:eastAsia="仿宋_GB2312" w:cs="仿宋_GB2312"/>
          <w:color w:val="auto"/>
          <w:highlight w:val="none"/>
        </w:rPr>
      </w:pPr>
    </w:p>
    <w:p w14:paraId="0641E805">
      <w:pPr>
        <w:pStyle w:val="4"/>
        <w:pageBreakBefore w:val="0"/>
        <w:wordWrap/>
        <w:topLinePunct w:val="0"/>
        <w:bidi w:val="0"/>
        <w:adjustRightInd w:val="0"/>
        <w:spacing w:line="560" w:lineRule="exact"/>
        <w:ind w:firstLine="560"/>
        <w:jc w:val="center"/>
        <w:rPr>
          <w:rFonts w:hint="eastAsia" w:ascii="仿宋_GB2312" w:hAnsi="仿宋_GB2312" w:eastAsia="仿宋_GB2312" w:cs="仿宋_GB2312"/>
          <w:color w:val="auto"/>
          <w:sz w:val="32"/>
          <w:szCs w:val="32"/>
          <w:highlight w:val="none"/>
        </w:rPr>
      </w:pPr>
    </w:p>
    <w:p w14:paraId="6CAEFBDD">
      <w:pPr>
        <w:pageBreakBefore w:val="0"/>
        <w:wordWrap/>
        <w:topLinePunct w:val="0"/>
        <w:bidi w:val="0"/>
        <w:adjustRightInd w:val="0"/>
        <w:spacing w:line="560" w:lineRule="exact"/>
        <w:ind w:firstLine="560"/>
        <w:jc w:val="center"/>
        <w:rPr>
          <w:rFonts w:hint="eastAsia" w:ascii="仿宋_GB2312" w:hAnsi="仿宋_GB2312" w:eastAsia="仿宋_GB2312" w:cs="仿宋_GB2312"/>
          <w:color w:val="auto"/>
          <w:sz w:val="32"/>
          <w:szCs w:val="32"/>
          <w:highlight w:val="none"/>
        </w:rPr>
      </w:pPr>
    </w:p>
    <w:p w14:paraId="32451108">
      <w:pPr>
        <w:pageBreakBefore w:val="0"/>
        <w:wordWrap/>
        <w:topLinePunct w:val="0"/>
        <w:bidi w:val="0"/>
        <w:adjustRightInd w:val="0"/>
        <w:snapToGrid w:val="0"/>
        <w:spacing w:line="560" w:lineRule="exact"/>
        <w:ind w:firstLine="3200" w:firstLineChars="1000"/>
        <w:jc w:val="left"/>
        <w:rPr>
          <w:rFonts w:hint="eastAsia" w:ascii="仿宋_GB2312" w:hAnsi="仿宋_GB2312" w:eastAsia="仿宋_GB2312" w:cs="仿宋_GB2312"/>
          <w:color w:val="auto"/>
          <w:sz w:val="32"/>
          <w:szCs w:val="32"/>
          <w:highlight w:val="none"/>
        </w:rPr>
      </w:pPr>
      <w:bookmarkStart w:id="25" w:name="_Toc307564880"/>
      <w:bookmarkStart w:id="26" w:name="_Toc436410129"/>
      <w:bookmarkStart w:id="27" w:name="_Toc436385992"/>
      <w:bookmarkStart w:id="28" w:name="_Toc436820890"/>
      <w:bookmarkStart w:id="29" w:name="_Toc436404120"/>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：（全称、盖公章）</w:t>
      </w:r>
    </w:p>
    <w:p w14:paraId="73927A85">
      <w:pPr>
        <w:pageBreakBefore w:val="0"/>
        <w:wordWrap/>
        <w:topLinePunct w:val="0"/>
        <w:bidi w:val="0"/>
        <w:adjustRightInd w:val="0"/>
        <w:snapToGrid w:val="0"/>
        <w:spacing w:line="560" w:lineRule="exact"/>
        <w:ind w:firstLine="3200" w:firstLineChars="1000"/>
        <w:jc w:val="left"/>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法定代表人或</w:t>
      </w:r>
      <w:r>
        <w:rPr>
          <w:rFonts w:hint="eastAsia" w:ascii="仿宋_GB2312" w:hAnsi="仿宋_GB2312" w:eastAsia="仿宋_GB2312" w:cs="仿宋_GB2312"/>
          <w:color w:val="auto"/>
          <w:sz w:val="32"/>
          <w:szCs w:val="32"/>
          <w:highlight w:val="none"/>
        </w:rPr>
        <w:t>委托代理</w:t>
      </w:r>
      <w:r>
        <w:rPr>
          <w:rFonts w:hint="eastAsia" w:ascii="仿宋_GB2312" w:hAnsi="仿宋_GB2312" w:eastAsia="仿宋_GB2312" w:cs="仿宋_GB2312"/>
          <w:bCs/>
          <w:color w:val="auto"/>
          <w:sz w:val="32"/>
          <w:szCs w:val="32"/>
          <w:highlight w:val="none"/>
        </w:rPr>
        <w:t>人：（签字）</w:t>
      </w:r>
    </w:p>
    <w:p w14:paraId="1738B630">
      <w:pPr>
        <w:pageBreakBefore w:val="0"/>
        <w:wordWrap/>
        <w:topLinePunct w:val="0"/>
        <w:bidi w:val="0"/>
        <w:adjustRightInd w:val="0"/>
        <w:snapToGrid w:val="0"/>
        <w:spacing w:line="560" w:lineRule="exact"/>
        <w:ind w:firstLine="3200" w:firstLineChars="1000"/>
        <w:jc w:val="left"/>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日期：</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月</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日</w:t>
      </w:r>
    </w:p>
    <w:bookmarkEnd w:id="25"/>
    <w:bookmarkEnd w:id="26"/>
    <w:bookmarkEnd w:id="27"/>
    <w:bookmarkEnd w:id="28"/>
    <w:bookmarkEnd w:id="29"/>
    <w:p w14:paraId="29F2623C">
      <w:pPr>
        <w:pStyle w:val="25"/>
        <w:pageBreakBefore w:val="0"/>
        <w:numPr>
          <w:ilvl w:val="0"/>
          <w:numId w:val="48"/>
        </w:numPr>
        <w:wordWrap/>
        <w:topLinePunct w:val="0"/>
        <w:bidi w:val="0"/>
        <w:adjustRightInd w:val="0"/>
        <w:snapToGrid w:val="0"/>
        <w:spacing w:before="0" w:after="0" w:line="560" w:lineRule="exact"/>
        <w:ind w:left="0" w:firstLine="643" w:firstLineChars="200"/>
        <w:jc w:val="left"/>
        <w:outlineLvl w:val="1"/>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color w:val="auto"/>
          <w:sz w:val="32"/>
          <w:szCs w:val="32"/>
          <w:highlight w:val="none"/>
        </w:rPr>
        <w:br w:type="page"/>
      </w:r>
      <w:r>
        <w:rPr>
          <w:rFonts w:hint="eastAsia" w:ascii="黑体" w:hAnsi="黑体" w:eastAsia="黑体" w:cs="黑体"/>
          <w:b w:val="0"/>
          <w:bCs w:val="0"/>
          <w:color w:val="auto"/>
          <w:sz w:val="32"/>
          <w:szCs w:val="32"/>
          <w:highlight w:val="none"/>
          <w:lang w:val="en-US" w:eastAsia="zh-CN"/>
        </w:rPr>
        <w:t>响应</w:t>
      </w:r>
      <w:r>
        <w:rPr>
          <w:rFonts w:hint="eastAsia" w:ascii="黑体" w:hAnsi="黑体" w:eastAsia="黑体" w:cs="黑体"/>
          <w:b w:val="0"/>
          <w:bCs w:val="0"/>
          <w:color w:val="auto"/>
          <w:sz w:val="32"/>
          <w:szCs w:val="32"/>
          <w:highlight w:val="none"/>
        </w:rPr>
        <w:t>方案</w:t>
      </w:r>
    </w:p>
    <w:p w14:paraId="172E6BDC">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4FD39A86">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49F678D9">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79134E08">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1F97B28C">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4BE0EB13">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46F62E46">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0530D938">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671547D4">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6B16A9B0">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5FDEE837">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4CF77727">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76DA59B4">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4D1FE835">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033436B3">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7FF5BF80">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4F77DBC7">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259D0637">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40EC771A">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2D25A8B5">
      <w:pPr>
        <w:pStyle w:val="2"/>
        <w:rPr>
          <w:rFonts w:hint="eastAsia" w:ascii="黑体" w:hAnsi="黑体" w:eastAsia="黑体" w:cs="黑体"/>
          <w:b w:val="0"/>
          <w:bCs w:val="0"/>
          <w:color w:val="auto"/>
          <w:sz w:val="32"/>
          <w:szCs w:val="32"/>
          <w:highlight w:val="none"/>
        </w:rPr>
      </w:pPr>
    </w:p>
    <w:p w14:paraId="25451330">
      <w:pPr>
        <w:pStyle w:val="6"/>
        <w:jc w:val="both"/>
        <w:rPr>
          <w:rFonts w:hint="eastAsia"/>
        </w:rPr>
      </w:pPr>
    </w:p>
    <w:p w14:paraId="0BB31C06">
      <w:pPr>
        <w:pStyle w:val="25"/>
        <w:keepNext w:val="0"/>
        <w:keepLines w:val="0"/>
        <w:pageBreakBefore w:val="0"/>
        <w:widowControl w:val="0"/>
        <w:numPr>
          <w:ilvl w:val="0"/>
          <w:numId w:val="48"/>
        </w:numPr>
        <w:kinsoku/>
        <w:wordWrap/>
        <w:overflowPunct/>
        <w:topLinePunct w:val="0"/>
        <w:autoSpaceDE/>
        <w:autoSpaceDN/>
        <w:bidi w:val="0"/>
        <w:adjustRightInd w:val="0"/>
        <w:snapToGrid w:val="0"/>
        <w:spacing w:before="0" w:after="0" w:line="560" w:lineRule="exact"/>
        <w:ind w:left="0" w:firstLine="640" w:firstLineChars="200"/>
        <w:jc w:val="left"/>
        <w:textAlignment w:val="auto"/>
        <w:outlineLvl w:val="1"/>
        <w:rPr>
          <w:rFonts w:hint="eastAsia" w:ascii="仿宋_GB2312" w:hAnsi="仿宋_GB2312" w:eastAsia="仿宋_GB2312" w:cs="仿宋_GB2312"/>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服务质量承诺函</w:t>
      </w:r>
    </w:p>
    <w:p w14:paraId="2760BC9F">
      <w:pPr>
        <w:pStyle w:val="25"/>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left="0" w:firstLine="640" w:firstLineChars="200"/>
        <w:jc w:val="center"/>
        <w:textAlignment w:val="auto"/>
        <w:outlineLvl w:val="9"/>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服务质量承诺函</w:t>
      </w:r>
    </w:p>
    <w:p w14:paraId="0FFEDF2F">
      <w:pPr>
        <w:pageBreakBefore w:val="0"/>
        <w:wordWrap/>
        <w:topLinePunct w:val="0"/>
        <w:bidi w:val="0"/>
        <w:spacing w:line="560" w:lineRule="exact"/>
        <w:ind w:firstLine="0" w:firstLineChars="0"/>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rPr>
        <w:t>致：</w:t>
      </w:r>
      <w:r>
        <w:rPr>
          <w:rFonts w:hint="eastAsia" w:ascii="仿宋_GB2312" w:hAnsi="仿宋_GB2312" w:eastAsia="仿宋_GB2312" w:cs="仿宋_GB2312"/>
          <w:bCs/>
          <w:color w:val="auto"/>
          <w:sz w:val="32"/>
          <w:szCs w:val="32"/>
          <w:highlight w:val="none"/>
          <w:lang w:val="en-US" w:eastAsia="zh-CN"/>
        </w:rPr>
        <w:t>XXX</w:t>
      </w:r>
    </w:p>
    <w:p w14:paraId="4EE4F2A5">
      <w:pPr>
        <w:pageBreakBefore w:val="0"/>
        <w:widowControl/>
        <w:wordWrap/>
        <w:topLinePunct w:val="0"/>
        <w:bidi w:val="0"/>
        <w:spacing w:line="560" w:lineRule="exact"/>
        <w:ind w:firstLine="640" w:firstLineChars="200"/>
        <w:jc w:val="left"/>
        <w:outlineLvl w:val="9"/>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我公司作为</w:t>
      </w:r>
      <w:r>
        <w:rPr>
          <w:rFonts w:hint="eastAsia" w:ascii="仿宋_GB2312" w:hAnsi="仿宋_GB2312" w:eastAsia="仿宋_GB2312" w:cs="仿宋_GB2312"/>
          <w:bCs/>
          <w:color w:val="auto"/>
          <w:sz w:val="32"/>
          <w:szCs w:val="32"/>
          <w:highlight w:val="none"/>
          <w:lang w:val="en-US" w:eastAsia="zh-CN"/>
        </w:rPr>
        <w:t>参加</w:t>
      </w:r>
      <w:r>
        <w:rPr>
          <w:rFonts w:hint="eastAsia" w:ascii="仿宋_GB2312" w:hAnsi="仿宋_GB2312" w:eastAsia="仿宋_GB2312" w:cs="仿宋_GB2312"/>
          <w:bCs/>
          <w:color w:val="auto"/>
          <w:sz w:val="32"/>
          <w:szCs w:val="32"/>
          <w:highlight w:val="none"/>
        </w:rPr>
        <w:t>本项目</w:t>
      </w:r>
      <w:r>
        <w:rPr>
          <w:rFonts w:hint="eastAsia" w:ascii="仿宋_GB2312" w:hAnsi="仿宋_GB2312" w:eastAsia="仿宋_GB2312" w:cs="仿宋_GB2312"/>
          <w:bCs/>
          <w:color w:val="auto"/>
          <w:sz w:val="32"/>
          <w:szCs w:val="32"/>
          <w:highlight w:val="none"/>
          <w:lang w:val="en-US" w:eastAsia="zh-CN"/>
        </w:rPr>
        <w:t>询比</w:t>
      </w:r>
      <w:r>
        <w:rPr>
          <w:rFonts w:hint="eastAsia" w:ascii="仿宋_GB2312" w:hAnsi="仿宋_GB2312" w:eastAsia="仿宋_GB2312" w:cs="仿宋_GB2312"/>
          <w:bCs/>
          <w:color w:val="auto"/>
          <w:sz w:val="32"/>
          <w:szCs w:val="32"/>
          <w:highlight w:val="none"/>
        </w:rPr>
        <w:t>的</w:t>
      </w:r>
      <w:r>
        <w:rPr>
          <w:rFonts w:hint="eastAsia" w:ascii="仿宋_GB2312" w:hAnsi="仿宋_GB2312" w:eastAsia="仿宋_GB2312" w:cs="仿宋_GB2312"/>
          <w:bCs/>
          <w:color w:val="auto"/>
          <w:sz w:val="32"/>
          <w:szCs w:val="32"/>
          <w:highlight w:val="none"/>
          <w:lang w:val="en-US" w:eastAsia="zh-CN"/>
        </w:rPr>
        <w:t>供应商</w:t>
      </w:r>
      <w:r>
        <w:rPr>
          <w:rFonts w:hint="eastAsia" w:ascii="仿宋_GB2312" w:hAnsi="仿宋_GB2312" w:eastAsia="仿宋_GB2312" w:cs="仿宋_GB2312"/>
          <w:bCs/>
          <w:color w:val="auto"/>
          <w:sz w:val="32"/>
          <w:szCs w:val="32"/>
          <w:highlight w:val="none"/>
        </w:rPr>
        <w:t>，根据</w:t>
      </w:r>
      <w:r>
        <w:rPr>
          <w:rFonts w:hint="eastAsia" w:ascii="仿宋_GB2312" w:hAnsi="仿宋_GB2312" w:eastAsia="仿宋_GB2312" w:cs="仿宋_GB2312"/>
          <w:bCs/>
          <w:color w:val="auto"/>
          <w:sz w:val="32"/>
          <w:szCs w:val="32"/>
          <w:highlight w:val="none"/>
          <w:lang w:val="en-US" w:eastAsia="zh-CN"/>
        </w:rPr>
        <w:t>询比采购</w:t>
      </w:r>
      <w:r>
        <w:rPr>
          <w:rFonts w:hint="eastAsia" w:ascii="仿宋_GB2312" w:hAnsi="仿宋_GB2312" w:eastAsia="仿宋_GB2312" w:cs="仿宋_GB2312"/>
          <w:bCs/>
          <w:color w:val="auto"/>
          <w:sz w:val="32"/>
          <w:szCs w:val="32"/>
          <w:highlight w:val="none"/>
        </w:rPr>
        <w:t>文件要求，现郑重承诺如下：</w:t>
      </w:r>
    </w:p>
    <w:p w14:paraId="5CE04D99">
      <w:pPr>
        <w:pageBreakBefore w:val="0"/>
        <w:widowControl/>
        <w:wordWrap/>
        <w:topLinePunct w:val="0"/>
        <w:bidi w:val="0"/>
        <w:spacing w:line="560" w:lineRule="exact"/>
        <w:ind w:firstLine="640" w:firstLineChars="200"/>
        <w:jc w:val="left"/>
        <w:outlineLvl w:val="9"/>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（竞选人保证指导质量，承诺采购单位材料梳理质量符合要求，可达到一次性通过认证；保证通过但不保证一次性通过认证）</w:t>
      </w:r>
    </w:p>
    <w:p w14:paraId="073FB81C">
      <w:pPr>
        <w:pageBreakBefore w:val="0"/>
        <w:wordWrap/>
        <w:topLinePunct w:val="0"/>
        <w:bidi w:val="0"/>
        <w:spacing w:line="560" w:lineRule="exact"/>
        <w:ind w:firstLine="640" w:firstLineChars="200"/>
        <w:jc w:val="left"/>
        <w:rPr>
          <w:rFonts w:hint="eastAsia" w:ascii="仿宋_GB2312" w:hAnsi="仿宋_GB2312" w:eastAsia="仿宋_GB2312" w:cs="仿宋_GB2312"/>
          <w:bCs/>
          <w:color w:val="auto"/>
          <w:sz w:val="32"/>
          <w:szCs w:val="32"/>
          <w:highlight w:val="none"/>
        </w:rPr>
      </w:pPr>
    </w:p>
    <w:p w14:paraId="7967B360">
      <w:pPr>
        <w:pageBreakBefore w:val="0"/>
        <w:wordWrap/>
        <w:topLinePunct w:val="0"/>
        <w:bidi w:val="0"/>
        <w:spacing w:line="560" w:lineRule="exact"/>
        <w:ind w:firstLine="2240" w:firstLineChars="700"/>
        <w:jc w:val="both"/>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供应商</w:t>
      </w:r>
      <w:r>
        <w:rPr>
          <w:rFonts w:hint="eastAsia" w:ascii="仿宋_GB2312" w:hAnsi="仿宋_GB2312" w:eastAsia="仿宋_GB2312" w:cs="仿宋_GB2312"/>
          <w:bCs/>
          <w:color w:val="auto"/>
          <w:sz w:val="32"/>
          <w:szCs w:val="32"/>
          <w:highlight w:val="none"/>
        </w:rPr>
        <w:t>（盖章）：</w:t>
      </w:r>
    </w:p>
    <w:p w14:paraId="79A4C4C3">
      <w:pPr>
        <w:pageBreakBefore w:val="0"/>
        <w:wordWrap/>
        <w:topLinePunct w:val="0"/>
        <w:bidi w:val="0"/>
        <w:spacing w:line="560" w:lineRule="exact"/>
        <w:ind w:firstLine="2240" w:firstLineChars="700"/>
        <w:jc w:val="both"/>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法定代表人</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color w:val="auto"/>
          <w:sz w:val="32"/>
          <w:szCs w:val="32"/>
          <w:highlight w:val="none"/>
        </w:rPr>
        <w:t>委托代理人（签字或盖章）：</w:t>
      </w:r>
    </w:p>
    <w:p w14:paraId="785198C6">
      <w:pPr>
        <w:pageBreakBefore w:val="0"/>
        <w:wordWrap/>
        <w:topLinePunct w:val="0"/>
        <w:bidi w:val="0"/>
        <w:spacing w:line="560" w:lineRule="exact"/>
        <w:ind w:firstLine="2240" w:firstLineChars="700"/>
        <w:jc w:val="both"/>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联系方式</w:t>
      </w:r>
      <w:r>
        <w:rPr>
          <w:rFonts w:hint="eastAsia" w:ascii="仿宋_GB2312" w:hAnsi="仿宋_GB2312" w:eastAsia="仿宋_GB2312" w:cs="仿宋_GB2312"/>
          <w:bCs/>
          <w:color w:val="auto"/>
          <w:sz w:val="32"/>
          <w:szCs w:val="32"/>
          <w:highlight w:val="none"/>
        </w:rPr>
        <w:t>：</w:t>
      </w:r>
    </w:p>
    <w:p w14:paraId="27B30562">
      <w:pPr>
        <w:pageBreakBefore w:val="0"/>
        <w:wordWrap/>
        <w:topLinePunct w:val="0"/>
        <w:bidi w:val="0"/>
        <w:spacing w:line="560" w:lineRule="exact"/>
        <w:ind w:firstLine="640" w:firstLineChars="200"/>
        <w:jc w:val="center"/>
        <w:rPr>
          <w:rFonts w:hint="eastAsia" w:ascii="仿宋_GB2312" w:hAnsi="仿宋_GB2312" w:eastAsia="仿宋_GB2312" w:cs="仿宋_GB2312"/>
          <w:bCs/>
          <w:color w:val="auto"/>
          <w:sz w:val="32"/>
          <w:szCs w:val="32"/>
          <w:highlight w:val="none"/>
        </w:rPr>
      </w:pPr>
    </w:p>
    <w:p w14:paraId="2439D565">
      <w:pPr>
        <w:pageBreakBefore w:val="0"/>
        <w:wordWrap/>
        <w:topLinePunct w:val="0"/>
        <w:bidi w:val="0"/>
        <w:spacing w:line="560" w:lineRule="exact"/>
        <w:ind w:right="0" w:firstLine="640" w:firstLineChars="200"/>
        <w:jc w:val="center"/>
        <w:rPr>
          <w:rFonts w:hint="eastAsia" w:ascii="仿宋_GB2312" w:hAnsi="仿宋_GB2312" w:eastAsia="仿宋_GB2312" w:cs="仿宋_GB2312"/>
          <w:bCs/>
          <w:color w:val="auto"/>
          <w:sz w:val="32"/>
          <w:szCs w:val="32"/>
          <w:highlight w:val="none"/>
        </w:rPr>
      </w:pPr>
    </w:p>
    <w:p w14:paraId="7BAB7890">
      <w:pPr>
        <w:pageBreakBefore w:val="0"/>
        <w:wordWrap/>
        <w:topLinePunct w:val="0"/>
        <w:bidi w:val="0"/>
        <w:spacing w:line="560" w:lineRule="exact"/>
        <w:ind w:firstLine="640" w:firstLineChars="200"/>
        <w:jc w:val="right"/>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日期：</w:t>
      </w:r>
      <w:r>
        <w:rPr>
          <w:rFonts w:hint="eastAsia" w:ascii="仿宋_GB2312" w:hAnsi="仿宋_GB2312" w:eastAsia="仿宋_GB2312" w:cs="仿宋_GB2312"/>
          <w:bCs/>
          <w:color w:val="auto"/>
          <w:sz w:val="32"/>
          <w:szCs w:val="32"/>
          <w:highlight w:val="none"/>
          <w:lang w:val="en-US" w:eastAsia="zh-CN"/>
        </w:rPr>
        <w:t xml:space="preserve">    </w:t>
      </w:r>
      <w:r>
        <w:rPr>
          <w:rFonts w:hint="eastAsia" w:ascii="仿宋_GB2312" w:hAnsi="仿宋_GB2312" w:eastAsia="仿宋_GB2312" w:cs="仿宋_GB2312"/>
          <w:bCs/>
          <w:color w:val="auto"/>
          <w:sz w:val="32"/>
          <w:szCs w:val="32"/>
          <w:highlight w:val="none"/>
        </w:rPr>
        <w:t>年    月    日</w:t>
      </w:r>
    </w:p>
    <w:p w14:paraId="775D63CC">
      <w:pPr>
        <w:pageBreakBefore w:val="0"/>
        <w:wordWrap/>
        <w:topLinePunct w:val="0"/>
        <w:bidi w:val="0"/>
        <w:spacing w:line="560" w:lineRule="exact"/>
        <w:ind w:left="0" w:leftChars="0" w:firstLine="640" w:firstLineChars="200"/>
        <w:jc w:val="both"/>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备注：如有委托代理人，附法定代表人（负责人、经营者）授权委托书及委托人身份证正反面复印件。</w:t>
      </w:r>
    </w:p>
    <w:p w14:paraId="2B68DCB6">
      <w:pPr>
        <w:pageBreakBefore w:val="0"/>
        <w:wordWrap/>
        <w:topLinePunct w:val="0"/>
        <w:bidi w:val="0"/>
        <w:spacing w:line="560" w:lineRule="exact"/>
        <w:rPr>
          <w:rFonts w:hint="eastAsia" w:ascii="黑体" w:hAnsi="黑体" w:eastAsia="黑体" w:cs="黑体"/>
          <w:b w:val="0"/>
          <w:bCs w:val="0"/>
          <w:color w:val="auto"/>
          <w:sz w:val="32"/>
          <w:szCs w:val="32"/>
          <w:highlight w:val="none"/>
        </w:rPr>
      </w:pPr>
    </w:p>
    <w:p w14:paraId="4F2FB300">
      <w:pPr>
        <w:pageBreakBefore w:val="0"/>
        <w:wordWrap/>
        <w:topLinePunct w:val="0"/>
        <w:bidi w:val="0"/>
        <w:spacing w:line="560" w:lineRule="exact"/>
        <w:jc w:val="center"/>
        <w:outlineLvl w:val="9"/>
        <w:rPr>
          <w:rFonts w:hint="eastAsia" w:ascii="仿宋_GB2312" w:hAnsi="仿宋_GB2312" w:eastAsia="仿宋_GB2312" w:cs="仿宋_GB2312"/>
          <w:color w:val="auto"/>
          <w:sz w:val="32"/>
          <w:szCs w:val="32"/>
          <w:highlight w:val="none"/>
        </w:rPr>
      </w:pPr>
    </w:p>
    <w:p w14:paraId="6F02A1E2">
      <w:pPr>
        <w:pageBreakBefore w:val="0"/>
        <w:wordWrap/>
        <w:topLinePunct w:val="0"/>
        <w:bidi w:val="0"/>
        <w:spacing w:line="560" w:lineRule="exact"/>
        <w:jc w:val="center"/>
        <w:rPr>
          <w:rFonts w:hint="eastAsia" w:ascii="仿宋_GB2312" w:hAnsi="仿宋_GB2312" w:eastAsia="仿宋_GB2312" w:cs="仿宋_GB2312"/>
          <w:color w:val="auto"/>
          <w:highlight w:val="none"/>
        </w:rPr>
      </w:pPr>
    </w:p>
    <w:p w14:paraId="393419B0">
      <w:pPr>
        <w:pageBreakBefore w:val="0"/>
        <w:wordWrap/>
        <w:topLinePunct w:val="0"/>
        <w:bidi w:val="0"/>
        <w:spacing w:line="560" w:lineRule="exact"/>
        <w:jc w:val="center"/>
        <w:rPr>
          <w:rFonts w:hint="eastAsia" w:ascii="仿宋_GB2312" w:hAnsi="仿宋_GB2312" w:eastAsia="仿宋_GB2312" w:cs="仿宋_GB2312"/>
          <w:color w:val="auto"/>
          <w:highlight w:val="none"/>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docGrid w:type="lines" w:linePitch="315" w:charSpace="0"/>
        </w:sectPr>
      </w:pPr>
    </w:p>
    <w:p w14:paraId="58D78CE4">
      <w:pPr>
        <w:pStyle w:val="25"/>
        <w:keepNext w:val="0"/>
        <w:keepLines w:val="0"/>
        <w:pageBreakBefore w:val="0"/>
        <w:widowControl/>
        <w:numPr>
          <w:ilvl w:val="0"/>
          <w:numId w:val="48"/>
        </w:numPr>
        <w:kinsoku/>
        <w:wordWrap/>
        <w:overflowPunct/>
        <w:topLinePunct w:val="0"/>
        <w:autoSpaceDE/>
        <w:autoSpaceDN/>
        <w:bidi w:val="0"/>
        <w:adjustRightInd w:val="0"/>
        <w:snapToGrid w:val="0"/>
        <w:spacing w:before="0" w:after="0" w:line="560" w:lineRule="exact"/>
        <w:ind w:left="0" w:leftChars="0" w:firstLine="640" w:firstLineChars="200"/>
        <w:jc w:val="left"/>
        <w:textAlignment w:val="auto"/>
        <w:outlineLvl w:val="1"/>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廉洁承诺书</w:t>
      </w:r>
    </w:p>
    <w:p w14:paraId="31C43FE7">
      <w:pPr>
        <w:pStyle w:val="39"/>
        <w:pageBreakBefore w:val="0"/>
        <w:wordWrap/>
        <w:topLinePunct w:val="0"/>
        <w:bidi w:val="0"/>
        <w:spacing w:line="560" w:lineRule="exact"/>
        <w:ind w:firstLine="643"/>
        <w:jc w:val="center"/>
        <w:rPr>
          <w:rFonts w:hint="eastAsia" w:ascii="仿宋_GB2312" w:hAnsi="仿宋_GB2312" w:eastAsia="仿宋_GB2312" w:cs="仿宋_GB2312"/>
          <w:b w:val="0"/>
          <w:bCs w:val="0"/>
          <w:color w:val="auto"/>
          <w:kern w:val="2"/>
          <w:sz w:val="32"/>
          <w:highlight w:val="none"/>
        </w:rPr>
      </w:pPr>
      <w:r>
        <w:rPr>
          <w:rFonts w:hint="eastAsia" w:ascii="仿宋_GB2312" w:hAnsi="仿宋_GB2312" w:eastAsia="仿宋_GB2312" w:cs="仿宋_GB2312"/>
          <w:b w:val="0"/>
          <w:bCs w:val="0"/>
          <w:color w:val="auto"/>
          <w:sz w:val="32"/>
          <w:highlight w:val="none"/>
        </w:rPr>
        <w:t>廉洁承诺书</w:t>
      </w:r>
    </w:p>
    <w:p w14:paraId="6D7377DC">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为确保采购活动的规范与廉洁，共同建设风清气正的购销合作关系，自愿作出以下廉洁承诺：</w:t>
      </w:r>
    </w:p>
    <w:p w14:paraId="69507D37">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一、参加本项目采购活动均严格遵守国家法律法规和廉洁从业规定，遵循诚信、公平竞争原则，不损害国家、</w:t>
      </w:r>
      <w:r>
        <w:rPr>
          <w:rFonts w:hint="eastAsia" w:ascii="仿宋_GB2312" w:hAnsi="仿宋_GB2312" w:eastAsia="仿宋_GB2312" w:cs="仿宋_GB2312"/>
          <w:color w:val="auto"/>
          <w:sz w:val="32"/>
          <w:highlight w:val="none"/>
          <w:lang w:val="en-US" w:eastAsia="zh-CN"/>
        </w:rPr>
        <w:t>采购</w:t>
      </w:r>
      <w:r>
        <w:rPr>
          <w:rFonts w:hint="eastAsia" w:ascii="仿宋_GB2312" w:hAnsi="仿宋_GB2312" w:eastAsia="仿宋_GB2312" w:cs="仿宋_GB2312"/>
          <w:color w:val="auto"/>
          <w:sz w:val="32"/>
          <w:highlight w:val="none"/>
        </w:rPr>
        <w:t>人及其他供应商的合法权益。</w:t>
      </w:r>
    </w:p>
    <w:p w14:paraId="0DFE3746">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二、不向</w:t>
      </w:r>
      <w:r>
        <w:rPr>
          <w:rFonts w:hint="eastAsia" w:ascii="仿宋_GB2312" w:hAnsi="仿宋_GB2312" w:eastAsia="仿宋_GB2312" w:cs="仿宋_GB2312"/>
          <w:color w:val="auto"/>
          <w:sz w:val="32"/>
          <w:highlight w:val="none"/>
          <w:lang w:val="en-US" w:eastAsia="zh-CN"/>
        </w:rPr>
        <w:t>采购</w:t>
      </w:r>
      <w:r>
        <w:rPr>
          <w:rFonts w:hint="eastAsia" w:ascii="仿宋_GB2312" w:hAnsi="仿宋_GB2312" w:eastAsia="仿宋_GB2312" w:cs="仿宋_GB2312"/>
          <w:color w:val="auto"/>
          <w:sz w:val="32"/>
          <w:highlight w:val="none"/>
        </w:rPr>
        <w:t>人、评</w:t>
      </w:r>
      <w:r>
        <w:rPr>
          <w:rFonts w:hint="eastAsia" w:ascii="仿宋_GB2312" w:hAnsi="仿宋_GB2312" w:eastAsia="仿宋_GB2312" w:cs="仿宋_GB2312"/>
          <w:color w:val="auto"/>
          <w:sz w:val="32"/>
          <w:highlight w:val="none"/>
          <w:lang w:val="en-US" w:eastAsia="zh-CN"/>
        </w:rPr>
        <w:t>审人员</w:t>
      </w:r>
      <w:r>
        <w:rPr>
          <w:rFonts w:hint="eastAsia" w:ascii="仿宋_GB2312" w:hAnsi="仿宋_GB2312" w:eastAsia="仿宋_GB2312" w:cs="仿宋_GB2312"/>
          <w:color w:val="auto"/>
          <w:sz w:val="32"/>
          <w:highlight w:val="none"/>
        </w:rPr>
        <w:t>行贿或提供其他不正当利益。</w:t>
      </w:r>
    </w:p>
    <w:p w14:paraId="32DE6002">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（一）不向相关工作人员及亲属馈赠礼品、礼金（包括但不限于现金、有价证券、支付凭证、购物卡及贵重物品等）。</w:t>
      </w:r>
    </w:p>
    <w:p w14:paraId="674B8D0C">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（二）不向相关工作人员及亲属提供宴请、联谊活动、度假、旅游，以及到营业性娱乐场所（包括但不限于营业性的歌厅、舞厅、卡拉ok厅、夜总会、桑拿、按摩和高尔夫球等）消费。</w:t>
      </w:r>
    </w:p>
    <w:p w14:paraId="585766F4">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（三）不为相关工作人员及亲属安排工作，以及支付应由其个人自付的各种费用（包括但不限于住宅装修、婚丧嫁娶、旅游、度假、食宿、购物、学费、子女出国留学等）。</w:t>
      </w:r>
    </w:p>
    <w:p w14:paraId="6ADB0FE0">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（四）不直接、间接唆使或利诱相关工作人员利用其职务便利谋取私利。相关工作人员及亲属提出违纪要求或有其他违纪违法问题的，应及时提醒纠正并向采购单位监督管理部门举报。</w:t>
      </w:r>
    </w:p>
    <w:p w14:paraId="029154A9">
      <w:pPr>
        <w:pStyle w:val="39"/>
        <w:pageBreakBefore w:val="0"/>
        <w:wordWrap/>
        <w:topLinePunct w:val="0"/>
        <w:bidi w:val="0"/>
        <w:spacing w:line="560" w:lineRule="exact"/>
        <w:ind w:firstLine="64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三、如违反相关承诺，自愿接受</w:t>
      </w:r>
      <w:r>
        <w:rPr>
          <w:rFonts w:hint="eastAsia" w:ascii="仿宋_GB2312" w:hAnsi="仿宋_GB2312" w:eastAsia="仿宋_GB2312" w:cs="仿宋_GB2312"/>
          <w:color w:val="auto"/>
          <w:sz w:val="32"/>
          <w:highlight w:val="none"/>
          <w:lang w:val="en-US" w:eastAsia="zh-CN"/>
        </w:rPr>
        <w:t>采购</w:t>
      </w:r>
      <w:r>
        <w:rPr>
          <w:rFonts w:hint="eastAsia" w:ascii="仿宋_GB2312" w:hAnsi="仿宋_GB2312" w:eastAsia="仿宋_GB2312" w:cs="仿宋_GB2312"/>
          <w:color w:val="auto"/>
          <w:sz w:val="32"/>
          <w:highlight w:val="none"/>
        </w:rPr>
        <w:t>人依法依规采取的终止采购活动、认定中</w:t>
      </w:r>
      <w:r>
        <w:rPr>
          <w:rFonts w:hint="eastAsia" w:ascii="仿宋_GB2312" w:hAnsi="仿宋_GB2312" w:eastAsia="仿宋_GB2312" w:cs="仿宋_GB2312"/>
          <w:color w:val="auto"/>
          <w:sz w:val="32"/>
          <w:highlight w:val="none"/>
          <w:lang w:val="en-US" w:eastAsia="zh-CN"/>
        </w:rPr>
        <w:t>选</w:t>
      </w:r>
      <w:r>
        <w:rPr>
          <w:rFonts w:hint="eastAsia" w:ascii="仿宋_GB2312" w:hAnsi="仿宋_GB2312" w:eastAsia="仿宋_GB2312" w:cs="仿宋_GB2312"/>
          <w:color w:val="auto"/>
          <w:sz w:val="32"/>
          <w:highlight w:val="none"/>
        </w:rPr>
        <w:t>结果无效、撤销合同、追究相关民事／刑事责任等措施。</w:t>
      </w:r>
    </w:p>
    <w:p w14:paraId="2997B681">
      <w:pPr>
        <w:pageBreakBefore w:val="0"/>
        <w:wordWrap/>
        <w:topLinePunct w:val="0"/>
        <w:bidi w:val="0"/>
        <w:spacing w:line="560" w:lineRule="exact"/>
        <w:ind w:firstLine="7680" w:firstLineChars="2400"/>
        <w:jc w:val="left"/>
        <w:rPr>
          <w:rFonts w:hint="eastAsia" w:ascii="仿宋_GB2312" w:hAnsi="仿宋_GB2312" w:eastAsia="仿宋_GB2312" w:cs="仿宋_GB2312"/>
          <w:color w:val="auto"/>
          <w:sz w:val="32"/>
          <w:szCs w:val="32"/>
          <w:highlight w:val="none"/>
        </w:rPr>
      </w:pPr>
    </w:p>
    <w:p w14:paraId="45474B23">
      <w:pPr>
        <w:pStyle w:val="39"/>
        <w:pageBreakBefore w:val="0"/>
        <w:wordWrap/>
        <w:topLinePunct w:val="0"/>
        <w:bidi w:val="0"/>
        <w:spacing w:line="560" w:lineRule="exact"/>
        <w:ind w:left="0" w:leftChars="0" w:firstLine="3200" w:firstLineChars="100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highlight w:val="none"/>
        </w:rPr>
        <w:t>名称：（盖章）</w:t>
      </w:r>
    </w:p>
    <w:p w14:paraId="0D54D250">
      <w:pPr>
        <w:pStyle w:val="39"/>
        <w:pageBreakBefore w:val="0"/>
        <w:wordWrap/>
        <w:topLinePunct w:val="0"/>
        <w:bidi w:val="0"/>
        <w:spacing w:line="560" w:lineRule="exact"/>
        <w:ind w:left="0" w:leftChars="0" w:firstLine="3200" w:firstLineChars="100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法定代表人或委托代理人：（签字或盖章）</w:t>
      </w:r>
    </w:p>
    <w:p w14:paraId="37EC6D3E">
      <w:pPr>
        <w:pStyle w:val="39"/>
        <w:pageBreakBefore w:val="0"/>
        <w:wordWrap/>
        <w:topLinePunct w:val="0"/>
        <w:bidi w:val="0"/>
        <w:spacing w:line="560" w:lineRule="exact"/>
        <w:ind w:firstLine="3200" w:firstLineChars="1000"/>
        <w:jc w:val="left"/>
        <w:rPr>
          <w:rFonts w:hint="eastAsia" w:ascii="仿宋_GB2312" w:hAnsi="仿宋_GB2312" w:eastAsia="仿宋_GB2312" w:cs="仿宋_GB2312"/>
          <w:color w:val="auto"/>
          <w:sz w:val="32"/>
          <w:highlight w:val="none"/>
        </w:rPr>
      </w:pPr>
      <w:r>
        <w:rPr>
          <w:rFonts w:hint="eastAsia" w:ascii="仿宋_GB2312" w:hAnsi="仿宋_GB2312" w:eastAsia="仿宋_GB2312" w:cs="仿宋_GB2312"/>
          <w:color w:val="auto"/>
          <w:sz w:val="32"/>
          <w:highlight w:val="none"/>
        </w:rPr>
        <w:t>日期：    年  月  日</w:t>
      </w:r>
    </w:p>
    <w:p w14:paraId="4208EA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200" w:firstLine="0" w:firstLineChars="0"/>
        <w:jc w:val="center"/>
        <w:textAlignment w:val="auto"/>
        <w:rPr>
          <w:rFonts w:hint="eastAsia" w:ascii="仿宋_GB2312" w:hAnsi="仿宋_GB2312" w:eastAsia="仿宋_GB2312" w:cs="仿宋_GB2312"/>
          <w:color w:val="auto"/>
          <w:sz w:val="32"/>
          <w:szCs w:val="32"/>
          <w:highlight w:val="none"/>
          <w:lang w:val="en-US" w:eastAsia="zh-CN"/>
        </w:rPr>
      </w:pPr>
    </w:p>
    <w:p w14:paraId="7696BF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color w:val="auto"/>
          <w:sz w:val="32"/>
          <w:szCs w:val="32"/>
          <w:highlight w:val="none"/>
          <w:lang w:val="en-US" w:eastAsia="zh-CN"/>
        </w:rPr>
      </w:pPr>
    </w:p>
    <w:p w14:paraId="76D07A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color w:val="auto"/>
          <w:sz w:val="32"/>
          <w:szCs w:val="32"/>
          <w:highlight w:val="none"/>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docGrid w:type="lines" w:linePitch="315" w:charSpace="0"/>
        </w:sectPr>
      </w:pPr>
    </w:p>
    <w:p w14:paraId="2BBE8E46">
      <w:pPr>
        <w:pStyle w:val="25"/>
        <w:keepNext w:val="0"/>
        <w:keepLines w:val="0"/>
        <w:pageBreakBefore w:val="0"/>
        <w:widowControl/>
        <w:numPr>
          <w:ilvl w:val="0"/>
          <w:numId w:val="48"/>
        </w:numPr>
        <w:kinsoku/>
        <w:wordWrap/>
        <w:overflowPunct/>
        <w:topLinePunct w:val="0"/>
        <w:autoSpaceDE/>
        <w:autoSpaceDN/>
        <w:bidi w:val="0"/>
        <w:adjustRightInd w:val="0"/>
        <w:snapToGrid w:val="0"/>
        <w:spacing w:before="0" w:after="0" w:line="560" w:lineRule="exact"/>
        <w:ind w:left="0" w:leftChars="0" w:firstLine="640" w:firstLineChars="200"/>
        <w:jc w:val="left"/>
        <w:textAlignment w:val="auto"/>
        <w:outlineLvl w:val="1"/>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保密协议</w:t>
      </w:r>
    </w:p>
    <w:p w14:paraId="29CB2FA7">
      <w:pPr>
        <w:pStyle w:val="39"/>
        <w:pageBreakBefore w:val="0"/>
        <w:wordWrap/>
        <w:topLinePunct w:val="0"/>
        <w:bidi w:val="0"/>
        <w:spacing w:line="560" w:lineRule="exact"/>
        <w:ind w:firstLine="643"/>
        <w:jc w:val="center"/>
        <w:rPr>
          <w:rFonts w:hint="eastAsia" w:ascii="仿宋_GB2312" w:hAnsi="仿宋_GB2312" w:eastAsia="仿宋_GB2312" w:cs="仿宋_GB2312"/>
          <w:b w:val="0"/>
          <w:bCs w:val="0"/>
          <w:color w:val="auto"/>
          <w:sz w:val="32"/>
          <w:highlight w:val="none"/>
        </w:rPr>
      </w:pPr>
      <w:r>
        <w:rPr>
          <w:rFonts w:hint="eastAsia" w:ascii="仿宋_GB2312" w:hAnsi="仿宋_GB2312" w:eastAsia="仿宋_GB2312" w:cs="仿宋_GB2312"/>
          <w:b w:val="0"/>
          <w:bCs w:val="0"/>
          <w:color w:val="auto"/>
          <w:sz w:val="32"/>
          <w:highlight w:val="none"/>
          <w:lang w:val="en-US" w:eastAsia="zh-CN"/>
        </w:rPr>
        <w:t>保密</w:t>
      </w:r>
      <w:r>
        <w:rPr>
          <w:rFonts w:hint="eastAsia" w:ascii="仿宋_GB2312" w:hAnsi="仿宋_GB2312" w:eastAsia="仿宋_GB2312" w:cs="仿宋_GB2312"/>
          <w:b w:val="0"/>
          <w:bCs w:val="0"/>
          <w:color w:val="auto"/>
          <w:sz w:val="32"/>
          <w:highlight w:val="none"/>
        </w:rPr>
        <w:t>协议</w:t>
      </w:r>
    </w:p>
    <w:p w14:paraId="386301D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甲方（需方）：四川九洲投资控股集团有限公司</w:t>
      </w:r>
    </w:p>
    <w:p w14:paraId="52863AB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乙方（供方）：</w:t>
      </w:r>
    </w:p>
    <w:p w14:paraId="04EC437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受甲方委托，乙方为甲方消防系统维保服务。为了保守国家秘密，维护国家安全和利益，确保甲方经营活动的正常进行，进一步加强保密管理和风险管控，根据《中华人民共和国保守国家秘密法》和《武器装备科研生产单位保密资格审查认证管理办法》等有关法律法规和规定，签订本保密协议。</w:t>
      </w:r>
    </w:p>
    <w:p w14:paraId="77DE61E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一、乙方对受委托事项</w:t>
      </w:r>
      <w:r>
        <w:rPr>
          <w:rFonts w:hint="default" w:ascii="仿宋_GB2312" w:hAnsi="仿宋_GB2312" w:eastAsia="仿宋_GB2312" w:cs="仿宋_GB2312"/>
          <w:color w:val="auto"/>
          <w:kern w:val="32"/>
          <w:sz w:val="32"/>
          <w:szCs w:val="32"/>
          <w:highlight w:val="none"/>
          <w:lang w:val="en-US" w:eastAsia="zh-CN" w:bidi="ar-SA"/>
        </w:rPr>
        <w:t>工作职责内</w:t>
      </w:r>
      <w:r>
        <w:rPr>
          <w:rFonts w:hint="eastAsia" w:ascii="仿宋_GB2312" w:hAnsi="仿宋_GB2312" w:eastAsia="仿宋_GB2312" w:cs="仿宋_GB2312"/>
          <w:color w:val="auto"/>
          <w:kern w:val="32"/>
          <w:sz w:val="32"/>
          <w:szCs w:val="32"/>
          <w:highlight w:val="none"/>
          <w:lang w:val="en-US" w:eastAsia="zh-CN" w:bidi="ar-SA"/>
        </w:rPr>
        <w:t>所涉安全保密管理负主体责任。</w:t>
      </w:r>
    </w:p>
    <w:p w14:paraId="7D80E8D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二、乙方在承担委托事项过程中，无须知悉、掌握甲方国家秘密的具体内容，对无意或被动接触的甲方国家秘密或敏感信息有保密责任和义务。</w:t>
      </w:r>
    </w:p>
    <w:p w14:paraId="1CE0E17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三、乙方应加强保密管理，向甲方书面承诺其安全保密管理符合国家安全保密法律法规及相关规定。</w:t>
      </w:r>
    </w:p>
    <w:p w14:paraId="351EAC1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四、乙方应按“先审后用”的原则对乙方人员进行严格审查（将其身份证复印件及无犯罪记录证明交甲方备案）和经常性的保密教育，确保乙方人员不违反国家安全保密法律法规及甲方保密相关规定。</w:t>
      </w:r>
    </w:p>
    <w:p w14:paraId="2B8349D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五、乙方不得以任何方式向甲方索取涉密信息和涉密载体。</w:t>
      </w:r>
    </w:p>
    <w:p w14:paraId="3F14452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六、乙方员工、进入保密要害部门、部位工作需由相关业务人员陪同，并配合做好进出门登记；不携带手机和有摄影、摄像、录音功能的设备或其它不利于保密的物品进入保密要害部门、部位；工作期间坚决不做、不看、不接触与所办理业务无关的事项和设备（包括但不限于计算机信息设备、通信及办公自动化设备等）。</w:t>
      </w:r>
    </w:p>
    <w:p w14:paraId="40D8C14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七、办理完相关业务，及时离开涉密场所、公司领导办公室和为涉密项目进行保障服务的场所。未经批准，不得进入非指定的工作场所和区域。</w:t>
      </w:r>
    </w:p>
    <w:p w14:paraId="4C711A8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八、甲方在委托期限内有权定期或不定期对乙方实施安全保密监督检查，乙方须积极配合。对检查发现的安全保密隐患和问题，乙方须严格按要求进行整改。检查中发现存在严重泄密隐患或发生泄密事件等重大问题的，甲方应及时向上级单位和所在地国防科技工业管理部门报告。</w:t>
      </w:r>
    </w:p>
    <w:p w14:paraId="1CD90E0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九、乙方在受委托期限内发生异常情况，应当立即向甲方报告。</w:t>
      </w:r>
    </w:p>
    <w:p w14:paraId="474C533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十、乙方有责任配合甲方就委托事项所开展的保密工作，对不配合的乙方部门和个人进行督促和考核。</w:t>
      </w:r>
    </w:p>
    <w:p w14:paraId="253AA93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十一、甲方有权就委托事项对乙方的保密管理和实施情况进行监督和检查。</w:t>
      </w:r>
    </w:p>
    <w:p w14:paraId="191E1B2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十二、在委托期限内，乙方未尽到保密责任或因乙方原因导致甲方出现失泄密事件，给国家安全造成危害或给甲方造成经济损失的，由乙方承担一切法律责任和经济责任。</w:t>
      </w:r>
    </w:p>
    <w:p w14:paraId="0B8E97E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十三、本协议一式叁份，甲方贰份，乙方壹份。</w:t>
      </w:r>
    </w:p>
    <w:p w14:paraId="2039E53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32"/>
          <w:sz w:val="32"/>
          <w:szCs w:val="32"/>
          <w:highlight w:val="none"/>
          <w:lang w:val="en-US" w:eastAsia="zh-CN" w:bidi="ar-SA"/>
        </w:rPr>
      </w:pPr>
      <w:r>
        <w:rPr>
          <w:rFonts w:hint="eastAsia" w:ascii="仿宋_GB2312" w:hAnsi="仿宋_GB2312" w:eastAsia="仿宋_GB2312" w:cs="仿宋_GB2312"/>
          <w:color w:val="auto"/>
          <w:kern w:val="32"/>
          <w:sz w:val="32"/>
          <w:szCs w:val="32"/>
          <w:highlight w:val="none"/>
          <w:lang w:val="en-US" w:eastAsia="zh-CN" w:bidi="ar-SA"/>
        </w:rPr>
        <w:t>本协议经双方授权代表签字并加盖公司合同专用章或公章之日起生效。</w:t>
      </w:r>
    </w:p>
    <w:tbl>
      <w:tblPr>
        <w:tblStyle w:val="27"/>
        <w:tblpPr w:leftFromText="180" w:rightFromText="180" w:vertAnchor="text" w:horzAnchor="page" w:tblpX="1050" w:tblpY="231"/>
        <w:tblOverlap w:val="never"/>
        <w:tblW w:w="10719" w:type="dxa"/>
        <w:tblInd w:w="0" w:type="dxa"/>
        <w:tblLayout w:type="fixed"/>
        <w:tblCellMar>
          <w:top w:w="0" w:type="dxa"/>
          <w:left w:w="108" w:type="dxa"/>
          <w:bottom w:w="0" w:type="dxa"/>
          <w:right w:w="108" w:type="dxa"/>
        </w:tblCellMar>
      </w:tblPr>
      <w:tblGrid>
        <w:gridCol w:w="5363"/>
        <w:gridCol w:w="5356"/>
      </w:tblGrid>
      <w:tr w14:paraId="027D39F4">
        <w:tblPrEx>
          <w:tblCellMar>
            <w:top w:w="0" w:type="dxa"/>
            <w:left w:w="108" w:type="dxa"/>
            <w:bottom w:w="0" w:type="dxa"/>
            <w:right w:w="108" w:type="dxa"/>
          </w:tblCellMar>
        </w:tblPrEx>
        <w:trPr>
          <w:trHeight w:val="2204" w:hRule="atLeast"/>
        </w:trPr>
        <w:tc>
          <w:tcPr>
            <w:tcW w:w="5363" w:type="dxa"/>
            <w:noWrap w:val="0"/>
            <w:vAlign w:val="top"/>
          </w:tcPr>
          <w:p w14:paraId="0BD8B0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440" w:firstLineChars="200"/>
              <w:jc w:val="left"/>
              <w:textAlignment w:val="auto"/>
              <w:rPr>
                <w:rFonts w:hint="eastAsia" w:ascii="仿宋_GB2312" w:hAnsi="仿宋_GB2312" w:eastAsia="仿宋_GB2312" w:cs="仿宋_GB2312"/>
                <w:color w:val="auto"/>
                <w:kern w:val="32"/>
                <w:sz w:val="22"/>
                <w:szCs w:val="22"/>
                <w:highlight w:val="none"/>
                <w:lang w:val="en-US" w:eastAsia="zh-CN" w:bidi="ar-SA"/>
              </w:rPr>
            </w:pPr>
            <w:r>
              <w:rPr>
                <w:rFonts w:hint="eastAsia" w:ascii="仿宋_GB2312" w:hAnsi="仿宋_GB2312" w:eastAsia="仿宋_GB2312" w:cs="仿宋_GB2312"/>
                <w:color w:val="auto"/>
                <w:kern w:val="32"/>
                <w:sz w:val="22"/>
                <w:szCs w:val="22"/>
                <w:highlight w:val="none"/>
                <w:lang w:val="en-US" w:eastAsia="zh-CN" w:bidi="ar-SA"/>
              </w:rPr>
              <w:t>甲方（盖章）：四川九洲投资控股集团有限公司</w:t>
            </w:r>
          </w:p>
          <w:p w14:paraId="18A0EB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440" w:firstLineChars="200"/>
              <w:jc w:val="left"/>
              <w:textAlignment w:val="auto"/>
              <w:rPr>
                <w:rFonts w:hint="eastAsia" w:ascii="仿宋_GB2312" w:hAnsi="仿宋_GB2312" w:eastAsia="仿宋_GB2312" w:cs="仿宋_GB2312"/>
                <w:color w:val="auto"/>
                <w:kern w:val="32"/>
                <w:sz w:val="22"/>
                <w:szCs w:val="22"/>
                <w:highlight w:val="none"/>
                <w:lang w:val="en-US" w:eastAsia="zh-CN" w:bidi="ar-SA"/>
              </w:rPr>
            </w:pPr>
            <w:r>
              <w:rPr>
                <w:rFonts w:hint="eastAsia" w:ascii="仿宋_GB2312" w:hAnsi="仿宋_GB2312" w:eastAsia="仿宋_GB2312" w:cs="仿宋_GB2312"/>
                <w:color w:val="auto"/>
                <w:kern w:val="32"/>
                <w:sz w:val="22"/>
                <w:szCs w:val="22"/>
                <w:highlight w:val="none"/>
                <w:lang w:val="en-US" w:eastAsia="zh-CN" w:bidi="ar-SA"/>
              </w:rPr>
              <w:t>法定代表人（或授权代表）：</w:t>
            </w:r>
          </w:p>
          <w:p w14:paraId="1906DF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440" w:firstLineChars="200"/>
              <w:jc w:val="left"/>
              <w:textAlignment w:val="auto"/>
              <w:rPr>
                <w:rFonts w:hint="eastAsia" w:ascii="仿宋_GB2312" w:hAnsi="仿宋_GB2312" w:eastAsia="仿宋_GB2312" w:cs="仿宋_GB2312"/>
                <w:color w:val="auto"/>
                <w:kern w:val="32"/>
                <w:sz w:val="22"/>
                <w:szCs w:val="22"/>
                <w:highlight w:val="none"/>
                <w:lang w:val="en-US" w:eastAsia="zh-CN" w:bidi="ar-SA"/>
              </w:rPr>
            </w:pPr>
            <w:r>
              <w:rPr>
                <w:rFonts w:hint="eastAsia" w:ascii="仿宋_GB2312" w:hAnsi="仿宋_GB2312" w:eastAsia="仿宋_GB2312" w:cs="仿宋_GB2312"/>
                <w:color w:val="auto"/>
                <w:kern w:val="32"/>
                <w:sz w:val="22"/>
                <w:szCs w:val="22"/>
                <w:highlight w:val="none"/>
                <w:lang w:val="en-US" w:eastAsia="zh-CN" w:bidi="ar-SA"/>
              </w:rPr>
              <w:t>日期：2025年  月  日</w:t>
            </w:r>
          </w:p>
        </w:tc>
        <w:tc>
          <w:tcPr>
            <w:tcW w:w="5356" w:type="dxa"/>
            <w:noWrap w:val="0"/>
            <w:vAlign w:val="top"/>
          </w:tcPr>
          <w:p w14:paraId="63A4FB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440" w:firstLineChars="200"/>
              <w:jc w:val="left"/>
              <w:textAlignment w:val="auto"/>
              <w:rPr>
                <w:rFonts w:hint="eastAsia" w:ascii="仿宋_GB2312" w:hAnsi="仿宋_GB2312" w:eastAsia="仿宋_GB2312" w:cs="仿宋_GB2312"/>
                <w:color w:val="auto"/>
                <w:kern w:val="32"/>
                <w:sz w:val="22"/>
                <w:szCs w:val="22"/>
                <w:highlight w:val="none"/>
                <w:lang w:val="en-US" w:eastAsia="zh-CN" w:bidi="ar-SA"/>
              </w:rPr>
            </w:pPr>
            <w:r>
              <w:rPr>
                <w:rFonts w:hint="eastAsia" w:ascii="仿宋_GB2312" w:hAnsi="仿宋_GB2312" w:eastAsia="仿宋_GB2312" w:cs="仿宋_GB2312"/>
                <w:color w:val="auto"/>
                <w:kern w:val="32"/>
                <w:sz w:val="22"/>
                <w:szCs w:val="22"/>
                <w:highlight w:val="none"/>
                <w:lang w:val="en-US" w:eastAsia="zh-CN" w:bidi="ar-SA"/>
              </w:rPr>
              <w:t xml:space="preserve">乙方（盖章）： </w:t>
            </w:r>
          </w:p>
          <w:p w14:paraId="0CE8DF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440" w:firstLineChars="200"/>
              <w:jc w:val="left"/>
              <w:textAlignment w:val="auto"/>
              <w:rPr>
                <w:rFonts w:hint="eastAsia" w:ascii="仿宋_GB2312" w:hAnsi="仿宋_GB2312" w:eastAsia="仿宋_GB2312" w:cs="仿宋_GB2312"/>
                <w:color w:val="auto"/>
                <w:kern w:val="32"/>
                <w:sz w:val="22"/>
                <w:szCs w:val="22"/>
                <w:highlight w:val="none"/>
                <w:lang w:val="en-US" w:eastAsia="zh-CN" w:bidi="ar-SA"/>
              </w:rPr>
            </w:pPr>
            <w:r>
              <w:rPr>
                <w:rFonts w:hint="eastAsia" w:ascii="仿宋_GB2312" w:hAnsi="仿宋_GB2312" w:eastAsia="仿宋_GB2312" w:cs="仿宋_GB2312"/>
                <w:color w:val="auto"/>
                <w:kern w:val="32"/>
                <w:sz w:val="22"/>
                <w:szCs w:val="22"/>
                <w:highlight w:val="none"/>
                <w:lang w:val="en-US" w:eastAsia="zh-CN" w:bidi="ar-SA"/>
              </w:rPr>
              <w:t>法定代表人（或授权代表）：</w:t>
            </w:r>
          </w:p>
          <w:p w14:paraId="2F1CDF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440" w:firstLineChars="200"/>
              <w:jc w:val="left"/>
              <w:textAlignment w:val="auto"/>
              <w:rPr>
                <w:rFonts w:hint="eastAsia" w:ascii="仿宋_GB2312" w:hAnsi="仿宋_GB2312" w:eastAsia="仿宋_GB2312" w:cs="仿宋_GB2312"/>
                <w:color w:val="auto"/>
                <w:kern w:val="32"/>
                <w:sz w:val="22"/>
                <w:szCs w:val="22"/>
                <w:highlight w:val="none"/>
                <w:lang w:val="en-US" w:eastAsia="zh-CN" w:bidi="ar-SA"/>
              </w:rPr>
            </w:pPr>
            <w:r>
              <w:rPr>
                <w:rFonts w:hint="eastAsia" w:ascii="仿宋_GB2312" w:hAnsi="仿宋_GB2312" w:eastAsia="仿宋_GB2312" w:cs="仿宋_GB2312"/>
                <w:color w:val="auto"/>
                <w:kern w:val="32"/>
                <w:sz w:val="22"/>
                <w:szCs w:val="22"/>
                <w:highlight w:val="none"/>
                <w:lang w:val="en-US" w:eastAsia="zh-CN" w:bidi="ar-SA"/>
              </w:rPr>
              <w:t>日期：2025年  月  日</w:t>
            </w:r>
          </w:p>
        </w:tc>
      </w:tr>
    </w:tbl>
    <w:p w14:paraId="32153BD2">
      <w:pPr>
        <w:pStyle w:val="25"/>
        <w:keepNext w:val="0"/>
        <w:keepLines w:val="0"/>
        <w:pageBreakBefore w:val="0"/>
        <w:widowControl/>
        <w:numPr>
          <w:ilvl w:val="0"/>
          <w:numId w:val="0"/>
        </w:numPr>
        <w:kinsoku/>
        <w:wordWrap/>
        <w:overflowPunct/>
        <w:topLinePunct w:val="0"/>
        <w:autoSpaceDE/>
        <w:autoSpaceDN/>
        <w:bidi w:val="0"/>
        <w:adjustRightInd w:val="0"/>
        <w:snapToGrid w:val="0"/>
        <w:spacing w:before="0" w:after="0" w:line="560" w:lineRule="exact"/>
        <w:jc w:val="left"/>
        <w:textAlignment w:val="auto"/>
        <w:outlineLvl w:val="1"/>
        <w:rPr>
          <w:rFonts w:hint="eastAsia" w:ascii="黑体" w:hAnsi="黑体" w:eastAsia="黑体" w:cs="黑体"/>
          <w:b w:val="0"/>
          <w:bCs w:val="0"/>
          <w:color w:val="auto"/>
          <w:sz w:val="32"/>
          <w:szCs w:val="32"/>
          <w:highlight w:val="none"/>
          <w:lang w:val="en-US" w:eastAsia="zh-CN"/>
        </w:rPr>
      </w:pPr>
    </w:p>
    <w:p w14:paraId="3C7C72FF">
      <w:pPr>
        <w:rPr>
          <w:rFonts w:hint="eastAsia" w:ascii="黑体" w:hAnsi="黑体" w:eastAsia="黑体" w:cs="黑体"/>
          <w:b w:val="0"/>
          <w:bCs w:val="0"/>
          <w:color w:val="auto"/>
          <w:sz w:val="32"/>
          <w:szCs w:val="32"/>
          <w:highlight w:val="none"/>
          <w:lang w:val="en-US" w:eastAsia="zh-CN"/>
        </w:rPr>
      </w:pPr>
    </w:p>
    <w:p w14:paraId="3134DC5D">
      <w:pPr>
        <w:pStyle w:val="2"/>
        <w:rPr>
          <w:rFonts w:hint="eastAsia" w:ascii="黑体" w:hAnsi="黑体" w:eastAsia="黑体" w:cs="黑体"/>
          <w:b w:val="0"/>
          <w:bCs w:val="0"/>
          <w:color w:val="auto"/>
          <w:sz w:val="32"/>
          <w:szCs w:val="32"/>
          <w:highlight w:val="none"/>
          <w:lang w:val="en-US" w:eastAsia="zh-CN"/>
        </w:rPr>
      </w:pPr>
    </w:p>
    <w:p w14:paraId="1E368CD9">
      <w:pPr>
        <w:pStyle w:val="5"/>
        <w:rPr>
          <w:rFonts w:hint="eastAsia" w:ascii="黑体" w:hAnsi="黑体" w:eastAsia="黑体" w:cs="黑体"/>
          <w:b w:val="0"/>
          <w:bCs w:val="0"/>
          <w:color w:val="auto"/>
          <w:sz w:val="32"/>
          <w:szCs w:val="32"/>
          <w:highlight w:val="none"/>
          <w:lang w:val="en-US" w:eastAsia="zh-CN"/>
        </w:rPr>
      </w:pPr>
    </w:p>
    <w:p w14:paraId="682883FC">
      <w:pPr>
        <w:pStyle w:val="6"/>
        <w:rPr>
          <w:rFonts w:hint="eastAsia" w:ascii="黑体" w:hAnsi="黑体" w:eastAsia="黑体" w:cs="黑体"/>
          <w:b w:val="0"/>
          <w:bCs w:val="0"/>
          <w:color w:val="auto"/>
          <w:sz w:val="32"/>
          <w:szCs w:val="32"/>
          <w:highlight w:val="none"/>
          <w:lang w:val="en-US" w:eastAsia="zh-CN"/>
        </w:rPr>
      </w:pPr>
    </w:p>
    <w:p w14:paraId="588155E4">
      <w:pPr>
        <w:pStyle w:val="7"/>
        <w:rPr>
          <w:rFonts w:hint="eastAsia" w:ascii="黑体" w:hAnsi="黑体" w:eastAsia="黑体" w:cs="黑体"/>
          <w:b w:val="0"/>
          <w:bCs w:val="0"/>
          <w:color w:val="auto"/>
          <w:sz w:val="32"/>
          <w:szCs w:val="32"/>
          <w:highlight w:val="none"/>
          <w:lang w:val="en-US" w:eastAsia="zh-CN"/>
        </w:rPr>
      </w:pPr>
    </w:p>
    <w:p w14:paraId="5A57C86A">
      <w:pPr>
        <w:pStyle w:val="8"/>
        <w:rPr>
          <w:rFonts w:hint="eastAsia" w:ascii="黑体" w:hAnsi="黑体" w:eastAsia="黑体" w:cs="黑体"/>
          <w:b w:val="0"/>
          <w:bCs w:val="0"/>
          <w:color w:val="auto"/>
          <w:sz w:val="32"/>
          <w:szCs w:val="32"/>
          <w:highlight w:val="none"/>
          <w:lang w:val="en-US" w:eastAsia="zh-CN"/>
        </w:rPr>
      </w:pPr>
    </w:p>
    <w:p w14:paraId="6A6C6451">
      <w:pPr>
        <w:rPr>
          <w:rFonts w:hint="eastAsia" w:ascii="黑体" w:hAnsi="黑体" w:eastAsia="黑体" w:cs="黑体"/>
          <w:b w:val="0"/>
          <w:bCs w:val="0"/>
          <w:color w:val="auto"/>
          <w:sz w:val="32"/>
          <w:szCs w:val="32"/>
          <w:highlight w:val="none"/>
          <w:lang w:val="en-US" w:eastAsia="zh-CN"/>
        </w:rPr>
      </w:pPr>
    </w:p>
    <w:p w14:paraId="5649B9DA">
      <w:pPr>
        <w:pStyle w:val="2"/>
        <w:rPr>
          <w:rFonts w:hint="eastAsia" w:ascii="黑体" w:hAnsi="黑体" w:eastAsia="黑体" w:cs="黑体"/>
          <w:b w:val="0"/>
          <w:bCs w:val="0"/>
          <w:color w:val="auto"/>
          <w:sz w:val="32"/>
          <w:szCs w:val="32"/>
          <w:highlight w:val="none"/>
          <w:lang w:val="en-US" w:eastAsia="zh-CN"/>
        </w:rPr>
      </w:pPr>
    </w:p>
    <w:p w14:paraId="6EAC90AC">
      <w:pPr>
        <w:pStyle w:val="7"/>
        <w:jc w:val="both"/>
        <w:rPr>
          <w:rFonts w:hint="eastAsia"/>
          <w:lang w:val="en-US" w:eastAsia="zh-CN"/>
        </w:rPr>
      </w:pPr>
    </w:p>
    <w:p w14:paraId="320679F3">
      <w:pPr>
        <w:pStyle w:val="25"/>
        <w:keepNext w:val="0"/>
        <w:keepLines w:val="0"/>
        <w:pageBreakBefore w:val="0"/>
        <w:widowControl/>
        <w:numPr>
          <w:ilvl w:val="0"/>
          <w:numId w:val="0"/>
        </w:numPr>
        <w:kinsoku/>
        <w:wordWrap/>
        <w:overflowPunct/>
        <w:topLinePunct w:val="0"/>
        <w:autoSpaceDE/>
        <w:autoSpaceDN/>
        <w:bidi w:val="0"/>
        <w:adjustRightInd w:val="0"/>
        <w:snapToGrid w:val="0"/>
        <w:spacing w:before="0" w:after="0" w:line="560" w:lineRule="exact"/>
        <w:ind w:leftChars="200"/>
        <w:jc w:val="left"/>
        <w:textAlignment w:val="auto"/>
        <w:outlineLvl w:val="1"/>
        <w:rPr>
          <w:rFonts w:hint="eastAsia" w:ascii="黑体" w:hAnsi="黑体" w:eastAsia="黑体" w:cs="黑体"/>
          <w:b w:val="0"/>
          <w:bCs w:val="0"/>
          <w:color w:val="auto"/>
          <w:sz w:val="32"/>
          <w:szCs w:val="32"/>
          <w:highlight w:val="none"/>
          <w:lang w:val="en-US" w:eastAsia="zh-CN"/>
        </w:rPr>
      </w:pPr>
    </w:p>
    <w:p w14:paraId="1CD3B168">
      <w:pPr>
        <w:rPr>
          <w:rFonts w:hint="eastAsia"/>
          <w:lang w:val="en-US" w:eastAsia="zh-CN"/>
        </w:rPr>
      </w:pPr>
    </w:p>
    <w:p w14:paraId="3DA1A4C6">
      <w:pPr>
        <w:pStyle w:val="25"/>
        <w:keepNext w:val="0"/>
        <w:keepLines w:val="0"/>
        <w:pageBreakBefore w:val="0"/>
        <w:widowControl/>
        <w:numPr>
          <w:ilvl w:val="0"/>
          <w:numId w:val="48"/>
        </w:numPr>
        <w:kinsoku/>
        <w:wordWrap/>
        <w:overflowPunct/>
        <w:topLinePunct w:val="0"/>
        <w:autoSpaceDE/>
        <w:autoSpaceDN/>
        <w:bidi w:val="0"/>
        <w:adjustRightInd w:val="0"/>
        <w:snapToGrid w:val="0"/>
        <w:spacing w:before="0" w:after="0" w:line="560" w:lineRule="exact"/>
        <w:ind w:left="0" w:leftChars="0" w:firstLine="640" w:firstLineChars="200"/>
        <w:jc w:val="left"/>
        <w:textAlignment w:val="auto"/>
        <w:outlineLvl w:val="1"/>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供应商</w:t>
      </w:r>
      <w:r>
        <w:rPr>
          <w:rFonts w:hint="eastAsia" w:ascii="黑体" w:hAnsi="黑体" w:eastAsia="黑体" w:cs="黑体"/>
          <w:b w:val="0"/>
          <w:bCs w:val="0"/>
          <w:color w:val="auto"/>
          <w:sz w:val="32"/>
          <w:szCs w:val="32"/>
          <w:highlight w:val="none"/>
        </w:rPr>
        <w:t>认为需要提交的其他证明材料</w:t>
      </w:r>
      <w:r>
        <w:rPr>
          <w:rFonts w:hint="eastAsia" w:ascii="黑体" w:hAnsi="黑体" w:eastAsia="黑体" w:cs="黑体"/>
          <w:b w:val="0"/>
          <w:bCs w:val="0"/>
          <w:color w:val="auto"/>
          <w:sz w:val="32"/>
          <w:szCs w:val="32"/>
          <w:highlight w:val="none"/>
          <w:lang w:eastAsia="zh-CN"/>
        </w:rPr>
        <w:t>（</w:t>
      </w:r>
      <w:r>
        <w:rPr>
          <w:rFonts w:hint="eastAsia" w:ascii="黑体" w:hAnsi="黑体" w:eastAsia="黑体" w:cs="黑体"/>
          <w:b w:val="0"/>
          <w:bCs w:val="0"/>
          <w:color w:val="auto"/>
          <w:sz w:val="32"/>
          <w:szCs w:val="32"/>
          <w:highlight w:val="none"/>
          <w:lang w:val="en-US" w:eastAsia="zh-CN"/>
        </w:rPr>
        <w:t>太详细或者严苛可能签不下来，给出合同框架，最后以双方磋商为准）</w:t>
      </w:r>
    </w:p>
    <w:p w14:paraId="24B92435">
      <w:pPr>
        <w:keepNext w:val="0"/>
        <w:keepLines w:val="0"/>
        <w:pageBreakBefore w:val="0"/>
        <w:widowControl w:val="0"/>
        <w:numPr>
          <w:ilvl w:val="0"/>
          <w:numId w:val="53"/>
        </w:numPr>
        <w:kinsoku/>
        <w:wordWrap/>
        <w:overflowPunct/>
        <w:topLinePunct w:val="0"/>
        <w:autoSpaceDE/>
        <w:autoSpaceDN/>
        <w:bidi w:val="0"/>
        <w:adjustRightInd/>
        <w:snapToGrid/>
        <w:spacing w:beforeLines="0" w:afterLines="0" w:line="560" w:lineRule="exact"/>
        <w:ind w:firstLine="640" w:firstLineChars="200"/>
        <w:jc w:val="center"/>
        <w:textAlignment w:val="auto"/>
        <w:outlineLvl w:val="0"/>
        <w:rPr>
          <w:rStyle w:val="33"/>
          <w:rFonts w:hint="eastAsia" w:ascii="方正小标宋简体" w:hAnsi="黑体" w:eastAsia="方正小标宋简体" w:cs="宋体"/>
          <w:b w:val="0"/>
          <w:bCs w:val="0"/>
          <w:color w:val="auto"/>
          <w:kern w:val="0"/>
          <w:sz w:val="44"/>
          <w:highlight w:val="none"/>
          <w:lang w:val="en-US" w:eastAsia="zh-CN"/>
        </w:rPr>
      </w:pPr>
      <w:r>
        <w:rPr>
          <w:rFonts w:hint="eastAsia" w:ascii="仿宋_GB2312" w:hAnsi="仿宋_GB2312" w:eastAsia="仿宋_GB2312" w:cs="仿宋_GB2312"/>
          <w:color w:val="auto"/>
          <w:sz w:val="32"/>
          <w:szCs w:val="32"/>
          <w:highlight w:val="none"/>
        </w:rPr>
        <w:br w:type="page"/>
      </w:r>
      <w:bookmarkStart w:id="30" w:name="_Toc32328"/>
      <w:bookmarkStart w:id="31" w:name="_Toc26614"/>
      <w:bookmarkStart w:id="32" w:name="_Toc152588828"/>
      <w:r>
        <w:rPr>
          <w:rStyle w:val="33"/>
          <w:rFonts w:hint="eastAsia" w:ascii="方正小标宋简体" w:hAnsi="黑体" w:eastAsia="方正小标宋简体" w:cs="宋体"/>
          <w:b w:val="0"/>
          <w:bCs w:val="0"/>
          <w:color w:val="auto"/>
          <w:kern w:val="0"/>
          <w:sz w:val="44"/>
          <w:highlight w:val="none"/>
          <w:lang w:val="en-US" w:eastAsia="zh-CN"/>
        </w:rPr>
        <w:t>拟签订的合同文本主要内容</w:t>
      </w:r>
      <w:bookmarkEnd w:id="30"/>
      <w:bookmarkEnd w:id="31"/>
      <w:bookmarkEnd w:id="32"/>
    </w:p>
    <w:p w14:paraId="1470793D">
      <w:pPr>
        <w:pStyle w:val="2"/>
        <w:rPr>
          <w:rFonts w:hint="eastAsia"/>
          <w:lang w:val="en-US" w:eastAsia="zh-CN"/>
        </w:rPr>
      </w:pPr>
    </w:p>
    <w:p w14:paraId="6DD211A5">
      <w:pPr>
        <w:widowControl/>
        <w:jc w:val="both"/>
        <w:rPr>
          <w:rFonts w:hint="eastAsia" w:ascii="方正小标宋简体" w:hAnsi="方正小标宋简体" w:eastAsia="方正小标宋简体" w:cs="方正小标宋简体"/>
          <w:b/>
          <w:bCs/>
          <w:color w:val="auto"/>
          <w:sz w:val="36"/>
          <w:szCs w:val="44"/>
          <w:highlight w:val="none"/>
        </w:rPr>
      </w:pPr>
      <w:bookmarkStart w:id="33" w:name="txtPartyBody"/>
      <w:bookmarkEnd w:id="33"/>
      <w:r>
        <w:rPr>
          <w:rFonts w:hint="eastAsia" w:eastAsia="黑体" w:cs="Times New Roman"/>
          <w:b w:val="0"/>
          <w:bCs/>
          <w:sz w:val="32"/>
          <w:szCs w:val="32"/>
          <w:highlight w:val="none"/>
          <w:lang w:val="en-US" w:eastAsia="zh-CN"/>
        </w:rPr>
        <w:t>附件：</w:t>
      </w:r>
      <w:r>
        <w:rPr>
          <w:rFonts w:hint="eastAsia" w:ascii="Times New Roman" w:hAnsi="Times New Roman" w:eastAsia="黑体" w:cs="Times New Roman"/>
          <w:b w:val="0"/>
          <w:bCs/>
          <w:sz w:val="32"/>
          <w:szCs w:val="32"/>
          <w:highlight w:val="none"/>
          <w:lang w:val="en-US" w:eastAsia="zh-CN"/>
        </w:rPr>
        <w:t>合同模板</w:t>
      </w:r>
      <w:r>
        <w:rPr>
          <w:rFonts w:hint="eastAsia" w:eastAsia="黑体" w:cs="Times New Roman"/>
          <w:b w:val="0"/>
          <w:bCs/>
          <w:sz w:val="32"/>
          <w:szCs w:val="32"/>
          <w:highlight w:val="none"/>
          <w:lang w:val="en-US" w:eastAsia="zh-CN"/>
        </w:rPr>
        <w:t>（样本）</w:t>
      </w:r>
    </w:p>
    <w:p w14:paraId="2BBA0739">
      <w:pPr>
        <w:jc w:val="center"/>
        <w:rPr>
          <w:rFonts w:hint="eastAsia" w:ascii="方正小标宋简体" w:hAnsi="方正小标宋简体" w:eastAsia="方正小标宋简体" w:cs="方正小标宋简体"/>
          <w:b/>
          <w:color w:val="auto"/>
          <w:sz w:val="36"/>
          <w:szCs w:val="44"/>
          <w:highlight w:val="none"/>
        </w:rPr>
      </w:pPr>
      <w:r>
        <w:rPr>
          <w:rFonts w:hint="eastAsia" w:ascii="方正小标宋简体" w:hAnsi="方正小标宋简体" w:eastAsia="方正小标宋简体" w:cs="方正小标宋简体"/>
          <w:b/>
          <w:bCs/>
          <w:color w:val="auto"/>
          <w:sz w:val="36"/>
          <w:szCs w:val="44"/>
          <w:highlight w:val="none"/>
        </w:rPr>
        <w:t>两化融合管理体系</w:t>
      </w:r>
      <w:r>
        <w:rPr>
          <w:rFonts w:hint="eastAsia" w:ascii="方正小标宋简体" w:hAnsi="方正小标宋简体" w:eastAsia="方正小标宋简体" w:cs="方正小标宋简体"/>
          <w:b/>
          <w:bCs/>
          <w:color w:val="auto"/>
          <w:sz w:val="36"/>
          <w:szCs w:val="44"/>
          <w:highlight w:val="none"/>
          <w:lang w:eastAsia="zh-CN"/>
        </w:rPr>
        <w:t>（</w:t>
      </w:r>
      <w:r>
        <w:rPr>
          <w:rFonts w:hint="eastAsia" w:ascii="方正小标宋简体" w:hAnsi="方正小标宋简体" w:eastAsia="方正小标宋简体" w:cs="方正小标宋简体"/>
          <w:b/>
          <w:bCs/>
          <w:color w:val="auto"/>
          <w:sz w:val="36"/>
          <w:szCs w:val="44"/>
          <w:highlight w:val="none"/>
        </w:rPr>
        <w:t>AAA级</w:t>
      </w:r>
      <w:r>
        <w:rPr>
          <w:rFonts w:hint="eastAsia" w:ascii="方正小标宋简体" w:hAnsi="方正小标宋简体" w:eastAsia="方正小标宋简体" w:cs="方正小标宋简体"/>
          <w:b/>
          <w:bCs/>
          <w:color w:val="auto"/>
          <w:sz w:val="36"/>
          <w:szCs w:val="44"/>
          <w:highlight w:val="none"/>
          <w:lang w:eastAsia="zh-CN"/>
        </w:rPr>
        <w:t>）</w:t>
      </w:r>
      <w:r>
        <w:rPr>
          <w:rFonts w:hint="eastAsia" w:ascii="方正小标宋简体" w:hAnsi="方正小标宋简体" w:eastAsia="方正小标宋简体" w:cs="方正小标宋简体"/>
          <w:b/>
          <w:bCs/>
          <w:color w:val="auto"/>
          <w:sz w:val="36"/>
          <w:szCs w:val="44"/>
          <w:highlight w:val="none"/>
        </w:rPr>
        <w:t>贯标</w:t>
      </w:r>
      <w:r>
        <w:rPr>
          <w:rFonts w:hint="eastAsia" w:ascii="方正小标宋简体" w:hAnsi="方正小标宋简体" w:eastAsia="方正小标宋简体" w:cs="方正小标宋简体"/>
          <w:b/>
          <w:bCs/>
          <w:color w:val="auto"/>
          <w:sz w:val="36"/>
          <w:szCs w:val="44"/>
          <w:highlight w:val="none"/>
          <w:lang w:val="en-US" w:eastAsia="zh-CN"/>
        </w:rPr>
        <w:br w:type="textWrapping"/>
      </w:r>
      <w:r>
        <w:rPr>
          <w:rFonts w:hint="eastAsia" w:ascii="方正小标宋简体" w:hAnsi="方正小标宋简体" w:eastAsia="方正小标宋简体" w:cs="方正小标宋简体"/>
          <w:b/>
          <w:bCs/>
          <w:color w:val="auto"/>
          <w:sz w:val="36"/>
          <w:szCs w:val="44"/>
          <w:highlight w:val="none"/>
        </w:rPr>
        <w:t>咨询评估委托合同</w:t>
      </w:r>
    </w:p>
    <w:p w14:paraId="42B3992D">
      <w:pPr>
        <w:wordWrap w:val="0"/>
        <w:adjustRightInd w:val="0"/>
        <w:snapToGrid w:val="0"/>
        <w:spacing w:line="360" w:lineRule="auto"/>
        <w:ind w:firstLine="480" w:firstLineChars="200"/>
        <w:rPr>
          <w:rFonts w:ascii="Times New Roman" w:hAnsi="Times New Roman" w:eastAsia="仿宋"/>
          <w:color w:val="auto"/>
          <w:sz w:val="24"/>
          <w:highlight w:val="none"/>
        </w:rPr>
      </w:pPr>
      <w:r>
        <w:rPr>
          <w:rFonts w:ascii="Times New Roman" w:hAnsi="Times New Roman" w:eastAsia="仿宋"/>
          <w:color w:val="auto"/>
          <w:sz w:val="24"/>
          <w:highlight w:val="none"/>
        </w:rPr>
        <w:t xml:space="preserve">                                        </w:t>
      </w:r>
    </w:p>
    <w:p w14:paraId="51DF8DD0">
      <w:pPr>
        <w:wordWrap w:val="0"/>
        <w:adjustRightInd w:val="0"/>
        <w:snapToGrid w:val="0"/>
        <w:spacing w:line="360" w:lineRule="auto"/>
        <w:rPr>
          <w:rFonts w:hint="default" w:ascii="Times New Roman" w:hAnsi="Times New Roman" w:eastAsia="仿宋"/>
          <w:color w:val="auto"/>
          <w:sz w:val="24"/>
          <w:highlight w:val="none"/>
          <w:lang w:val="en-US" w:eastAsia="zh-CN"/>
        </w:rPr>
      </w:pPr>
      <w:r>
        <w:rPr>
          <w:rFonts w:ascii="Times New Roman" w:hAnsi="Times New Roman" w:eastAsia="仿宋"/>
          <w:color w:val="auto"/>
          <w:sz w:val="24"/>
          <w:highlight w:val="none"/>
        </w:rPr>
        <w:t>甲方：</w:t>
      </w:r>
      <w:r>
        <w:rPr>
          <w:rFonts w:hint="eastAsia" w:eastAsia="仿宋"/>
          <w:color w:val="auto"/>
          <w:sz w:val="24"/>
          <w:highlight w:val="none"/>
          <w:lang w:val="en-US" w:eastAsia="zh-CN"/>
        </w:rPr>
        <w:t xml:space="preserve">                          </w:t>
      </w:r>
      <w:r>
        <w:rPr>
          <w:rFonts w:ascii="Times New Roman" w:hAnsi="Times New Roman" w:eastAsia="仿宋"/>
          <w:color w:val="auto"/>
          <w:sz w:val="24"/>
          <w:highlight w:val="none"/>
        </w:rPr>
        <w:t xml:space="preserve">    </w:t>
      </w:r>
      <w:r>
        <w:rPr>
          <w:rFonts w:hint="eastAsia" w:ascii="Times New Roman" w:hAnsi="Times New Roman" w:eastAsia="仿宋"/>
          <w:color w:val="auto"/>
          <w:sz w:val="24"/>
          <w:highlight w:val="none"/>
        </w:rPr>
        <w:t xml:space="preserve">       </w:t>
      </w:r>
      <w:r>
        <w:rPr>
          <w:rFonts w:ascii="Times New Roman" w:hAnsi="Times New Roman" w:eastAsia="仿宋"/>
          <w:color w:val="auto"/>
          <w:sz w:val="24"/>
          <w:highlight w:val="none"/>
        </w:rPr>
        <w:t>合同编号：</w:t>
      </w:r>
      <w:r>
        <w:rPr>
          <w:rFonts w:hint="eastAsia" w:ascii="Times New Roman" w:hAnsi="Times New Roman" w:eastAsia="仿宋"/>
          <w:color w:val="auto"/>
          <w:sz w:val="24"/>
          <w:highlight w:val="none"/>
          <w:lang w:val="en-US" w:eastAsia="zh-CN"/>
        </w:rPr>
        <w:t>XXX</w:t>
      </w:r>
    </w:p>
    <w:p w14:paraId="0E194B88">
      <w:pPr>
        <w:wordWrap w:val="0"/>
        <w:adjustRightInd w:val="0"/>
        <w:snapToGrid w:val="0"/>
        <w:spacing w:line="360" w:lineRule="auto"/>
        <w:rPr>
          <w:rFonts w:hint="eastAsia" w:ascii="Times New Roman" w:hAnsi="Times New Roman" w:eastAsia="仿宋"/>
          <w:color w:val="auto"/>
          <w:sz w:val="24"/>
          <w:highlight w:val="none"/>
          <w:lang w:val="en-US" w:eastAsia="zh-CN"/>
        </w:rPr>
      </w:pPr>
      <w:r>
        <w:rPr>
          <w:rFonts w:ascii="Times New Roman" w:hAnsi="Times New Roman" w:eastAsia="仿宋"/>
          <w:color w:val="auto"/>
          <w:sz w:val="24"/>
          <w:highlight w:val="none"/>
        </w:rPr>
        <w:t>乙方：</w:t>
      </w:r>
      <w:r>
        <w:rPr>
          <w:rFonts w:hint="eastAsia" w:ascii="Times New Roman" w:hAnsi="Times New Roman" w:eastAsia="仿宋"/>
          <w:color w:val="auto"/>
          <w:sz w:val="24"/>
          <w:highlight w:val="none"/>
          <w:lang w:val="en-US" w:eastAsia="zh-CN"/>
        </w:rPr>
        <w:t xml:space="preserve">XXX                                </w:t>
      </w:r>
      <w:r>
        <w:rPr>
          <w:rFonts w:hint="eastAsia" w:ascii="Times New Roman" w:hAnsi="Times New Roman" w:eastAsia="仿宋"/>
          <w:color w:val="auto"/>
          <w:sz w:val="24"/>
          <w:highlight w:val="none"/>
        </w:rPr>
        <w:t xml:space="preserve"> </w:t>
      </w:r>
      <w:r>
        <w:rPr>
          <w:rFonts w:ascii="Times New Roman" w:hAnsi="Times New Roman" w:eastAsia="仿宋"/>
          <w:color w:val="auto"/>
          <w:sz w:val="24"/>
          <w:highlight w:val="none"/>
        </w:rPr>
        <w:t>签订地点：</w:t>
      </w:r>
      <w:r>
        <w:rPr>
          <w:rFonts w:hint="eastAsia" w:eastAsia="仿宋"/>
          <w:color w:val="auto"/>
          <w:sz w:val="24"/>
          <w:highlight w:val="none"/>
          <w:lang w:val="en-US" w:eastAsia="zh-CN"/>
        </w:rPr>
        <w:t xml:space="preserve"> </w:t>
      </w:r>
    </w:p>
    <w:p w14:paraId="0DF5C7BF">
      <w:pPr>
        <w:pStyle w:val="12"/>
        <w:rPr>
          <w:rFonts w:hint="eastAsia"/>
          <w:color w:val="auto"/>
          <w:highlight w:val="none"/>
        </w:rPr>
      </w:pPr>
    </w:p>
    <w:p w14:paraId="7E40559E">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本合同甲方委托乙方就</w:t>
      </w:r>
      <w:r>
        <w:rPr>
          <w:rFonts w:hint="eastAsia" w:ascii="仿宋" w:hAnsi="仿宋" w:eastAsia="仿宋"/>
          <w:sz w:val="24"/>
          <w:highlight w:val="none"/>
          <w:lang w:val="en-US" w:eastAsia="zh-CN"/>
        </w:rPr>
        <w:t>xx</w:t>
      </w:r>
      <w:r>
        <w:rPr>
          <w:rFonts w:hint="eastAsia" w:ascii="仿宋" w:hAnsi="仿宋" w:eastAsia="仿宋"/>
          <w:sz w:val="24"/>
          <w:highlight w:val="none"/>
        </w:rPr>
        <w:t>公司两化融合管理体系</w:t>
      </w:r>
      <w:r>
        <w:rPr>
          <w:rFonts w:hint="eastAsia" w:ascii="仿宋" w:hAnsi="仿宋" w:eastAsia="仿宋"/>
          <w:sz w:val="24"/>
          <w:highlight w:val="none"/>
          <w:lang w:eastAsia="zh-CN"/>
        </w:rPr>
        <w:t>（</w:t>
      </w:r>
      <w:r>
        <w:rPr>
          <w:rFonts w:hint="eastAsia" w:ascii="仿宋" w:hAnsi="仿宋" w:eastAsia="仿宋"/>
          <w:sz w:val="24"/>
          <w:highlight w:val="none"/>
        </w:rPr>
        <w:t>AAA级</w:t>
      </w:r>
      <w:r>
        <w:rPr>
          <w:rFonts w:hint="eastAsia" w:ascii="仿宋" w:hAnsi="仿宋" w:eastAsia="仿宋"/>
          <w:sz w:val="24"/>
          <w:highlight w:val="none"/>
          <w:lang w:eastAsia="zh-CN"/>
        </w:rPr>
        <w:t>）</w:t>
      </w:r>
      <w:r>
        <w:rPr>
          <w:rFonts w:hint="eastAsia" w:ascii="仿宋" w:hAnsi="仿宋" w:eastAsia="仿宋"/>
          <w:sz w:val="24"/>
          <w:highlight w:val="none"/>
        </w:rPr>
        <w:t>贯标评估项目（以下简称“本项目”）提供技术服务，并支付相应的技术服务报酬。双方在真实、充分地表达各自意愿的基础上，根据《中华人民共和国民法典》、技术合同及其他相关法律法规的规定，经过平等、友好协商，签订本合同，共同信守执行。</w:t>
      </w:r>
    </w:p>
    <w:p w14:paraId="47C1D01E">
      <w:pPr>
        <w:tabs>
          <w:tab w:val="left" w:pos="757"/>
        </w:tabs>
        <w:spacing w:line="360" w:lineRule="auto"/>
        <w:ind w:firstLine="482" w:firstLineChars="200"/>
        <w:jc w:val="both"/>
        <w:rPr>
          <w:rFonts w:hint="eastAsia" w:ascii="仿宋" w:hAnsi="仿宋" w:eastAsia="仿宋"/>
          <w:b/>
          <w:bCs/>
          <w:sz w:val="24"/>
          <w:highlight w:val="none"/>
        </w:rPr>
      </w:pPr>
      <w:r>
        <w:rPr>
          <w:rFonts w:hint="eastAsia" w:ascii="仿宋" w:hAnsi="仿宋" w:eastAsia="仿宋"/>
          <w:b/>
          <w:bCs/>
          <w:sz w:val="24"/>
          <w:highlight w:val="none"/>
        </w:rPr>
        <w:t>第一条 技术服务内容、方式和要求</w:t>
      </w:r>
    </w:p>
    <w:p w14:paraId="2B6A2A0F">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1.1 项目名称：</w:t>
      </w:r>
      <w:r>
        <w:rPr>
          <w:rFonts w:hint="eastAsia" w:ascii="仿宋" w:hAnsi="仿宋" w:eastAsia="仿宋"/>
          <w:sz w:val="24"/>
          <w:highlight w:val="none"/>
          <w:lang w:val="en-US" w:eastAsia="zh-CN"/>
        </w:rPr>
        <w:t>xx</w:t>
      </w:r>
      <w:r>
        <w:rPr>
          <w:rFonts w:hint="eastAsia" w:ascii="仿宋" w:hAnsi="仿宋" w:eastAsia="仿宋"/>
          <w:sz w:val="24"/>
          <w:highlight w:val="none"/>
        </w:rPr>
        <w:t>两化融合管理体系</w:t>
      </w:r>
      <w:r>
        <w:rPr>
          <w:rFonts w:hint="eastAsia" w:ascii="仿宋" w:hAnsi="仿宋" w:eastAsia="仿宋"/>
          <w:sz w:val="24"/>
          <w:highlight w:val="none"/>
          <w:lang w:eastAsia="zh-CN"/>
        </w:rPr>
        <w:t>（</w:t>
      </w:r>
      <w:r>
        <w:rPr>
          <w:rFonts w:hint="eastAsia" w:ascii="仿宋" w:hAnsi="仿宋" w:eastAsia="仿宋"/>
          <w:sz w:val="24"/>
          <w:highlight w:val="none"/>
        </w:rPr>
        <w:t>AAA级</w:t>
      </w:r>
      <w:r>
        <w:rPr>
          <w:rFonts w:hint="eastAsia" w:ascii="仿宋" w:hAnsi="仿宋" w:eastAsia="仿宋"/>
          <w:sz w:val="24"/>
          <w:highlight w:val="none"/>
          <w:lang w:eastAsia="zh-CN"/>
        </w:rPr>
        <w:t>）</w:t>
      </w:r>
      <w:r>
        <w:rPr>
          <w:rFonts w:hint="eastAsia" w:ascii="仿宋" w:hAnsi="仿宋" w:eastAsia="仿宋"/>
          <w:sz w:val="24"/>
          <w:highlight w:val="none"/>
        </w:rPr>
        <w:t>贯标评估。</w:t>
      </w:r>
    </w:p>
    <w:p w14:paraId="762124E9">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1.2 项目目标：根据《信息化和工业化融合管理体系要求》，为四川九洲投资控股集团有限公司</w:t>
      </w:r>
      <w:r>
        <w:rPr>
          <w:rFonts w:hint="eastAsia" w:ascii="仿宋" w:hAnsi="仿宋" w:eastAsia="仿宋"/>
          <w:sz w:val="24"/>
          <w:highlight w:val="none"/>
          <w:lang w:val="en-US" w:eastAsia="zh-CN"/>
        </w:rPr>
        <w:t>(下文简称“九洲集团”)</w:t>
      </w:r>
      <w:r>
        <w:rPr>
          <w:rFonts w:hint="eastAsia" w:ascii="仿宋" w:hAnsi="仿宋" w:eastAsia="仿宋"/>
          <w:sz w:val="24"/>
          <w:highlight w:val="none"/>
          <w:lang w:eastAsia="zh-CN"/>
        </w:rPr>
        <w:t>、四川九州电子科技股份有限公司（</w:t>
      </w:r>
      <w:r>
        <w:rPr>
          <w:rFonts w:hint="eastAsia" w:ascii="仿宋" w:hAnsi="仿宋" w:eastAsia="仿宋"/>
          <w:sz w:val="24"/>
          <w:highlight w:val="none"/>
          <w:lang w:val="en-US" w:eastAsia="zh-CN"/>
        </w:rPr>
        <w:t>下问简称“四川九州科技”</w:t>
      </w:r>
      <w:r>
        <w:rPr>
          <w:rFonts w:hint="eastAsia" w:ascii="仿宋" w:hAnsi="仿宋" w:eastAsia="仿宋"/>
          <w:sz w:val="24"/>
          <w:highlight w:val="none"/>
          <w:lang w:eastAsia="zh-CN"/>
        </w:rPr>
        <w:t>）</w:t>
      </w:r>
      <w:r>
        <w:rPr>
          <w:rFonts w:hint="eastAsia" w:ascii="仿宋" w:hAnsi="仿宋" w:eastAsia="仿宋"/>
          <w:sz w:val="24"/>
          <w:highlight w:val="none"/>
        </w:rPr>
        <w:t>指导、帮助建立两化融合管理体系（包括但不限于调研评估与诊断、策划体系文件编写及发布、帮助实施等），</w:t>
      </w:r>
      <w:r>
        <w:rPr>
          <w:rFonts w:hint="eastAsia" w:ascii="仿宋" w:hAnsi="仿宋" w:eastAsia="仿宋"/>
          <w:sz w:val="24"/>
          <w:highlight w:val="none"/>
          <w:lang w:eastAsia="zh-CN"/>
        </w:rPr>
        <w:t>支撑</w:t>
      </w:r>
      <w:r>
        <w:rPr>
          <w:rFonts w:hint="eastAsia" w:ascii="仿宋" w:hAnsi="仿宋" w:eastAsia="仿宋"/>
          <w:sz w:val="24"/>
          <w:highlight w:val="none"/>
          <w:lang w:val="en-US" w:eastAsia="zh-CN"/>
        </w:rPr>
        <w:t>九洲集团</w:t>
      </w:r>
      <w:r>
        <w:rPr>
          <w:rFonts w:hint="eastAsia" w:ascii="仿宋" w:hAnsi="仿宋" w:eastAsia="仿宋"/>
          <w:sz w:val="24"/>
          <w:highlight w:val="none"/>
          <w:lang w:eastAsia="zh-CN"/>
        </w:rPr>
        <w:t>、四川九州科技股份有限公司</w:t>
      </w:r>
      <w:r>
        <w:rPr>
          <w:rFonts w:hint="eastAsia" w:ascii="仿宋" w:hAnsi="仿宋" w:eastAsia="仿宋"/>
          <w:sz w:val="24"/>
          <w:highlight w:val="none"/>
          <w:lang w:val="en-US" w:eastAsia="zh-CN"/>
        </w:rPr>
        <w:t>在2025年12月31日前取得</w:t>
      </w:r>
      <w:r>
        <w:rPr>
          <w:rFonts w:hint="eastAsia" w:ascii="仿宋" w:hAnsi="仿宋" w:eastAsia="仿宋"/>
          <w:sz w:val="24"/>
          <w:highlight w:val="none"/>
        </w:rPr>
        <w:t>两化融合管理体系评定证书</w:t>
      </w:r>
      <w:r>
        <w:rPr>
          <w:rFonts w:hint="eastAsia" w:ascii="仿宋" w:hAnsi="仿宋" w:eastAsia="仿宋"/>
          <w:sz w:val="24"/>
          <w:highlight w:val="none"/>
          <w:lang w:eastAsia="zh-CN"/>
        </w:rPr>
        <w:t>（</w:t>
      </w:r>
      <w:r>
        <w:rPr>
          <w:rFonts w:hint="eastAsia" w:ascii="仿宋" w:hAnsi="仿宋" w:eastAsia="仿宋"/>
          <w:sz w:val="24"/>
          <w:highlight w:val="none"/>
        </w:rPr>
        <w:t>AAA级</w:t>
      </w:r>
      <w:r>
        <w:rPr>
          <w:rFonts w:hint="eastAsia" w:ascii="仿宋" w:hAnsi="仿宋" w:eastAsia="仿宋"/>
          <w:sz w:val="24"/>
          <w:highlight w:val="none"/>
          <w:lang w:eastAsia="zh-CN"/>
        </w:rPr>
        <w:t>）</w:t>
      </w:r>
      <w:r>
        <w:rPr>
          <w:rFonts w:hint="eastAsia" w:ascii="仿宋" w:hAnsi="仿宋" w:eastAsia="仿宋"/>
          <w:sz w:val="24"/>
          <w:highlight w:val="none"/>
        </w:rPr>
        <w:t>。</w:t>
      </w:r>
    </w:p>
    <w:p w14:paraId="081F9CE6">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1.3 服务形式：技术咨询、现场评估（前期</w:t>
      </w:r>
      <w:r>
        <w:rPr>
          <w:rFonts w:hint="eastAsia" w:ascii="仿宋" w:hAnsi="仿宋" w:eastAsia="仿宋"/>
          <w:sz w:val="24"/>
          <w:highlight w:val="none"/>
          <w:lang w:eastAsia="zh-CN"/>
        </w:rPr>
        <w:t>调研诊断</w:t>
      </w:r>
      <w:r>
        <w:rPr>
          <w:rFonts w:hint="eastAsia" w:ascii="仿宋" w:hAnsi="仿宋" w:eastAsia="仿宋"/>
          <w:sz w:val="24"/>
          <w:highlight w:val="none"/>
        </w:rPr>
        <w:t>、</w:t>
      </w:r>
      <w:r>
        <w:rPr>
          <w:rFonts w:hint="eastAsia" w:ascii="仿宋" w:hAnsi="仿宋" w:eastAsia="仿宋"/>
          <w:sz w:val="24"/>
          <w:highlight w:val="none"/>
          <w:lang w:eastAsia="zh-CN"/>
        </w:rPr>
        <w:t>体系建立、体系运行、体系评估和改进、专家审核</w:t>
      </w:r>
      <w:r>
        <w:rPr>
          <w:rFonts w:hint="eastAsia" w:ascii="仿宋" w:hAnsi="仿宋" w:eastAsia="仿宋"/>
          <w:sz w:val="24"/>
          <w:highlight w:val="none"/>
        </w:rPr>
        <w:t>）</w:t>
      </w:r>
      <w:r>
        <w:rPr>
          <w:rFonts w:hint="eastAsia" w:ascii="仿宋" w:hAnsi="仿宋" w:eastAsia="仿宋"/>
          <w:sz w:val="24"/>
          <w:highlight w:val="none"/>
          <w:lang w:eastAsia="zh-CN"/>
        </w:rPr>
        <w:t>、获取证书</w:t>
      </w:r>
      <w:r>
        <w:rPr>
          <w:rFonts w:hint="eastAsia" w:ascii="仿宋" w:hAnsi="仿宋" w:eastAsia="仿宋"/>
          <w:sz w:val="24"/>
          <w:highlight w:val="none"/>
        </w:rPr>
        <w:t>。</w:t>
      </w:r>
    </w:p>
    <w:p w14:paraId="59D6E007">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1.4 服务内容和范围：</w:t>
      </w:r>
    </w:p>
    <w:p w14:paraId="09A848B0">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1）乙方向甲方提供两化融合管理体系</w:t>
      </w:r>
      <w:r>
        <w:rPr>
          <w:rFonts w:hint="eastAsia" w:ascii="仿宋" w:hAnsi="仿宋" w:eastAsia="仿宋"/>
          <w:sz w:val="24"/>
          <w:highlight w:val="none"/>
          <w:lang w:eastAsia="zh-CN"/>
        </w:rPr>
        <w:t>（</w:t>
      </w:r>
      <w:r>
        <w:rPr>
          <w:rFonts w:hint="eastAsia" w:ascii="仿宋" w:hAnsi="仿宋" w:eastAsia="仿宋"/>
          <w:sz w:val="24"/>
          <w:highlight w:val="none"/>
        </w:rPr>
        <w:t>AAA级</w:t>
      </w:r>
      <w:r>
        <w:rPr>
          <w:rFonts w:hint="eastAsia" w:ascii="仿宋" w:hAnsi="仿宋" w:eastAsia="仿宋"/>
          <w:sz w:val="24"/>
          <w:highlight w:val="none"/>
          <w:lang w:eastAsia="zh-CN"/>
        </w:rPr>
        <w:t>）</w:t>
      </w:r>
      <w:r>
        <w:rPr>
          <w:rFonts w:hint="eastAsia" w:ascii="仿宋" w:hAnsi="仿宋" w:eastAsia="仿宋"/>
          <w:sz w:val="24"/>
          <w:highlight w:val="none"/>
        </w:rPr>
        <w:t>贯标评估及相关咨询服务。</w:t>
      </w:r>
    </w:p>
    <w:p w14:paraId="36FD4FFC">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2）乙方制定合理的评估内容，能够覆盖甲方的业务范围。</w:t>
      </w:r>
    </w:p>
    <w:p w14:paraId="43B4AA4B">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3）乙方为甲方建立规范的两化融合管理体系</w:t>
      </w:r>
      <w:r>
        <w:rPr>
          <w:rFonts w:hint="eastAsia" w:ascii="仿宋" w:hAnsi="仿宋" w:eastAsia="仿宋"/>
          <w:sz w:val="24"/>
          <w:highlight w:val="none"/>
          <w:lang w:eastAsia="zh-CN"/>
        </w:rPr>
        <w:t>（</w:t>
      </w:r>
      <w:r>
        <w:rPr>
          <w:rFonts w:hint="eastAsia" w:ascii="仿宋" w:hAnsi="仿宋" w:eastAsia="仿宋"/>
          <w:sz w:val="24"/>
          <w:highlight w:val="none"/>
        </w:rPr>
        <w:t>AAA级</w:t>
      </w:r>
      <w:r>
        <w:rPr>
          <w:rFonts w:hint="eastAsia" w:ascii="仿宋" w:hAnsi="仿宋" w:eastAsia="仿宋"/>
          <w:sz w:val="24"/>
          <w:highlight w:val="none"/>
          <w:lang w:eastAsia="zh-CN"/>
        </w:rPr>
        <w:t>）</w:t>
      </w:r>
      <w:r>
        <w:rPr>
          <w:rFonts w:hint="eastAsia" w:ascii="仿宋" w:hAnsi="仿宋" w:eastAsia="仿宋"/>
          <w:sz w:val="24"/>
          <w:highlight w:val="none"/>
        </w:rPr>
        <w:t>贯标评估流程。</w:t>
      </w:r>
    </w:p>
    <w:p w14:paraId="43E62F4F">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4）乙方向甲方提供可量化的评估结果，能反映每项评估内容的结果以及整体得分和等级。</w:t>
      </w:r>
    </w:p>
    <w:p w14:paraId="4064E07E">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5）建立完备的服务团队保障两化融合管理体系</w:t>
      </w:r>
      <w:r>
        <w:rPr>
          <w:rFonts w:hint="eastAsia" w:ascii="仿宋" w:hAnsi="仿宋" w:eastAsia="仿宋"/>
          <w:sz w:val="24"/>
          <w:highlight w:val="none"/>
          <w:lang w:eastAsia="zh-CN"/>
        </w:rPr>
        <w:t>（</w:t>
      </w:r>
      <w:r>
        <w:rPr>
          <w:rFonts w:hint="eastAsia" w:ascii="仿宋" w:hAnsi="仿宋" w:eastAsia="仿宋"/>
          <w:sz w:val="24"/>
          <w:highlight w:val="none"/>
        </w:rPr>
        <w:t>AAA级</w:t>
      </w:r>
      <w:r>
        <w:rPr>
          <w:rFonts w:hint="eastAsia" w:ascii="仿宋" w:hAnsi="仿宋" w:eastAsia="仿宋"/>
          <w:sz w:val="24"/>
          <w:highlight w:val="none"/>
          <w:lang w:eastAsia="zh-CN"/>
        </w:rPr>
        <w:t>）</w:t>
      </w:r>
      <w:r>
        <w:rPr>
          <w:rFonts w:hint="eastAsia" w:ascii="仿宋" w:hAnsi="仿宋" w:eastAsia="仿宋"/>
          <w:sz w:val="24"/>
          <w:highlight w:val="none"/>
        </w:rPr>
        <w:t>贯标评估工作的顺利开展。</w:t>
      </w:r>
    </w:p>
    <w:p w14:paraId="2E879FC8">
      <w:pPr>
        <w:tabs>
          <w:tab w:val="left" w:pos="757"/>
        </w:tabs>
        <w:spacing w:line="360" w:lineRule="auto"/>
        <w:ind w:firstLine="480" w:firstLineChars="200"/>
        <w:jc w:val="both"/>
        <w:rPr>
          <w:rFonts w:hint="eastAsia" w:ascii="仿宋" w:hAnsi="仿宋" w:eastAsia="仿宋"/>
          <w:sz w:val="24"/>
          <w:highlight w:val="none"/>
          <w:lang w:eastAsia="zh-CN"/>
        </w:rPr>
      </w:pPr>
      <w:r>
        <w:rPr>
          <w:rFonts w:hint="eastAsia" w:ascii="仿宋" w:hAnsi="仿宋" w:eastAsia="仿宋"/>
          <w:sz w:val="24"/>
          <w:highlight w:val="none"/>
          <w:lang w:eastAsia="zh-CN"/>
        </w:rPr>
        <w:t>具体服务内容、交付成果物以及节点如下：</w:t>
      </w:r>
    </w:p>
    <w:p w14:paraId="0D8CE675">
      <w:pPr>
        <w:pStyle w:val="5"/>
        <w:rPr>
          <w:rFonts w:hint="eastAsia"/>
          <w:lang w:eastAsia="zh-CN"/>
        </w:rPr>
      </w:pPr>
    </w:p>
    <w:tbl>
      <w:tblPr>
        <w:tblStyle w:val="28"/>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1"/>
        <w:gridCol w:w="3705"/>
        <w:gridCol w:w="1935"/>
        <w:gridCol w:w="1679"/>
      </w:tblGrid>
      <w:tr w14:paraId="25B4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1" w:type="dxa"/>
          </w:tcPr>
          <w:p w14:paraId="1FC975F6">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项目阶段</w:t>
            </w:r>
          </w:p>
        </w:tc>
        <w:tc>
          <w:tcPr>
            <w:tcW w:w="3705" w:type="dxa"/>
          </w:tcPr>
          <w:p w14:paraId="38A8914A">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工作内容</w:t>
            </w:r>
          </w:p>
        </w:tc>
        <w:tc>
          <w:tcPr>
            <w:tcW w:w="1935" w:type="dxa"/>
          </w:tcPr>
          <w:p w14:paraId="502BA0D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交付物</w:t>
            </w:r>
          </w:p>
        </w:tc>
        <w:tc>
          <w:tcPr>
            <w:tcW w:w="1679" w:type="dxa"/>
          </w:tcPr>
          <w:p w14:paraId="0DC10DE4">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交付时间</w:t>
            </w:r>
          </w:p>
        </w:tc>
      </w:tr>
      <w:tr w14:paraId="69B5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1" w:type="dxa"/>
            <w:vAlign w:val="center"/>
          </w:tcPr>
          <w:p w14:paraId="5665E34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1"/>
                <w:szCs w:val="21"/>
                <w:lang w:val="en-US" w:eastAsia="zh-CN"/>
              </w:rPr>
            </w:pPr>
            <w:r>
              <w:rPr>
                <w:rFonts w:hint="eastAsia" w:ascii="仿宋_GB2312" w:hAnsi="仿宋_GB2312" w:eastAsia="仿宋_GB2312" w:cs="仿宋_GB2312"/>
                <w:color w:val="444444"/>
                <w:spacing w:val="0"/>
                <w:position w:val="0"/>
                <w:sz w:val="21"/>
                <w:szCs w:val="21"/>
                <w:lang w:val="en-US" w:eastAsia="zh-CN"/>
              </w:rPr>
              <w:t>项目启动</w:t>
            </w:r>
          </w:p>
        </w:tc>
        <w:tc>
          <w:tcPr>
            <w:tcW w:w="3705" w:type="dxa"/>
            <w:vAlign w:val="center"/>
          </w:tcPr>
          <w:p w14:paraId="7C3867FA">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sz w:val="22"/>
                <w:szCs w:val="22"/>
                <w:vertAlign w:val="baseline"/>
                <w:lang w:val="en-US" w:eastAsia="zh-CN"/>
              </w:rPr>
            </w:pPr>
            <w:r>
              <w:rPr>
                <w:rFonts w:hint="eastAsia" w:ascii="仿宋_GB2312" w:hAnsi="仿宋_GB2312" w:eastAsia="仿宋_GB2312" w:cs="仿宋_GB2312"/>
                <w:color w:val="444444"/>
                <w:spacing w:val="0"/>
                <w:position w:val="0"/>
                <w:sz w:val="22"/>
                <w:szCs w:val="22"/>
              </w:rPr>
              <w:t>启动两化融合管理体系贯标咨询项目，组织相关部门召开企业两化融合管理体系贯标项目启动会议，制订两化融合贯标项目实施方案</w:t>
            </w:r>
            <w:r>
              <w:rPr>
                <w:rFonts w:hint="eastAsia" w:ascii="仿宋_GB2312" w:hAnsi="仿宋_GB2312" w:eastAsia="仿宋_GB2312" w:cs="仿宋_GB2312"/>
                <w:color w:val="444444"/>
                <w:spacing w:val="0"/>
                <w:position w:val="0"/>
                <w:sz w:val="22"/>
                <w:szCs w:val="22"/>
                <w:lang w:eastAsia="zh-CN"/>
              </w:rPr>
              <w:t>。</w:t>
            </w:r>
          </w:p>
        </w:tc>
        <w:tc>
          <w:tcPr>
            <w:tcW w:w="1935" w:type="dxa"/>
            <w:vAlign w:val="center"/>
          </w:tcPr>
          <w:p w14:paraId="59104AD7">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两化融合贯标工作实施方案</w:t>
            </w:r>
          </w:p>
        </w:tc>
        <w:tc>
          <w:tcPr>
            <w:tcW w:w="1679" w:type="dxa"/>
            <w:vAlign w:val="center"/>
          </w:tcPr>
          <w:p w14:paraId="7E0C3EB8">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2025年5月31日</w:t>
            </w:r>
          </w:p>
        </w:tc>
      </w:tr>
      <w:tr w14:paraId="78051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1" w:type="dxa"/>
            <w:vAlign w:val="center"/>
          </w:tcPr>
          <w:p w14:paraId="521576F4">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1"/>
                <w:szCs w:val="21"/>
                <w:lang w:val="en-US" w:eastAsia="zh-CN"/>
              </w:rPr>
            </w:pPr>
            <w:r>
              <w:rPr>
                <w:rFonts w:hint="eastAsia" w:ascii="仿宋_GB2312" w:hAnsi="仿宋_GB2312" w:eastAsia="仿宋_GB2312" w:cs="仿宋_GB2312"/>
                <w:color w:val="444444"/>
                <w:spacing w:val="0"/>
                <w:position w:val="0"/>
                <w:sz w:val="21"/>
                <w:szCs w:val="21"/>
                <w:lang w:val="en-US" w:eastAsia="zh-CN"/>
              </w:rPr>
              <w:t>项目调研及诊断</w:t>
            </w:r>
          </w:p>
        </w:tc>
        <w:tc>
          <w:tcPr>
            <w:tcW w:w="3705" w:type="dxa"/>
            <w:vAlign w:val="center"/>
          </w:tcPr>
          <w:p w14:paraId="3456E922">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sz w:val="22"/>
                <w:szCs w:val="22"/>
                <w:vertAlign w:val="baseline"/>
                <w:lang w:val="en-US" w:eastAsia="zh-CN"/>
              </w:rPr>
            </w:pPr>
            <w:r>
              <w:rPr>
                <w:rFonts w:hint="eastAsia" w:ascii="仿宋_GB2312" w:hAnsi="仿宋_GB2312" w:eastAsia="仿宋_GB2312" w:cs="仿宋_GB2312"/>
                <w:color w:val="444444"/>
                <w:spacing w:val="0"/>
                <w:position w:val="0"/>
                <w:sz w:val="22"/>
                <w:szCs w:val="22"/>
                <w:lang w:val="en-US" w:eastAsia="zh-CN"/>
              </w:rPr>
              <w:t>开展</w:t>
            </w:r>
            <w:r>
              <w:rPr>
                <w:rFonts w:hint="eastAsia" w:ascii="仿宋_GB2312" w:hAnsi="仿宋_GB2312" w:eastAsia="仿宋_GB2312" w:cs="仿宋_GB2312"/>
                <w:color w:val="444444"/>
                <w:spacing w:val="0"/>
                <w:position w:val="0"/>
                <w:sz w:val="22"/>
                <w:szCs w:val="22"/>
              </w:rPr>
              <w:t>两化融合现状调研、开展数字化转型诊断为管理体系相关目标</w:t>
            </w:r>
            <w:r>
              <w:rPr>
                <w:rFonts w:hint="eastAsia" w:ascii="仿宋_GB2312" w:hAnsi="仿宋_GB2312" w:eastAsia="仿宋_GB2312" w:cs="仿宋_GB2312"/>
                <w:color w:val="444444"/>
                <w:spacing w:val="0"/>
                <w:position w:val="0"/>
                <w:sz w:val="22"/>
                <w:szCs w:val="22"/>
                <w:lang w:eastAsia="zh-CN"/>
              </w:rPr>
              <w:t>、</w:t>
            </w:r>
            <w:r>
              <w:rPr>
                <w:rFonts w:hint="eastAsia" w:ascii="仿宋_GB2312" w:hAnsi="仿宋_GB2312" w:eastAsia="仿宋_GB2312" w:cs="仿宋_GB2312"/>
                <w:color w:val="444444"/>
                <w:spacing w:val="0"/>
                <w:position w:val="0"/>
                <w:sz w:val="22"/>
                <w:szCs w:val="22"/>
              </w:rPr>
              <w:t>方针的确定与文件编写提供基础</w:t>
            </w:r>
            <w:r>
              <w:rPr>
                <w:rFonts w:hint="eastAsia" w:ascii="仿宋_GB2312" w:hAnsi="仿宋_GB2312" w:eastAsia="仿宋_GB2312" w:cs="仿宋_GB2312"/>
                <w:color w:val="444444"/>
                <w:spacing w:val="0"/>
                <w:position w:val="0"/>
                <w:sz w:val="22"/>
                <w:szCs w:val="22"/>
                <w:lang w:eastAsia="zh-CN"/>
              </w:rPr>
              <w:t>。</w:t>
            </w:r>
          </w:p>
        </w:tc>
        <w:tc>
          <w:tcPr>
            <w:tcW w:w="1935" w:type="dxa"/>
            <w:vAlign w:val="center"/>
          </w:tcPr>
          <w:p w14:paraId="0FD7FD6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两化融合访谈调研计划</w:t>
            </w:r>
          </w:p>
          <w:p w14:paraId="70E6A436">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两化融合调研分析报告</w:t>
            </w:r>
          </w:p>
          <w:p w14:paraId="01F26B6E">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数字化转型诊断报告</w:t>
            </w:r>
          </w:p>
        </w:tc>
        <w:tc>
          <w:tcPr>
            <w:tcW w:w="1679" w:type="dxa"/>
            <w:vAlign w:val="center"/>
          </w:tcPr>
          <w:p w14:paraId="6E23AE47">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2025年6月15日</w:t>
            </w:r>
          </w:p>
        </w:tc>
      </w:tr>
      <w:tr w14:paraId="236E2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1" w:type="dxa"/>
            <w:vAlign w:val="center"/>
          </w:tcPr>
          <w:p w14:paraId="434C2275">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1"/>
                <w:szCs w:val="21"/>
                <w:lang w:val="en-US" w:eastAsia="zh-CN"/>
              </w:rPr>
            </w:pPr>
            <w:r>
              <w:rPr>
                <w:rFonts w:hint="eastAsia" w:ascii="仿宋_GB2312" w:hAnsi="仿宋_GB2312" w:eastAsia="仿宋_GB2312" w:cs="仿宋_GB2312"/>
                <w:color w:val="444444"/>
                <w:spacing w:val="0"/>
                <w:position w:val="0"/>
                <w:sz w:val="21"/>
                <w:szCs w:val="21"/>
                <w:lang w:val="en-US" w:eastAsia="zh-CN"/>
              </w:rPr>
              <w:t>体系建立</w:t>
            </w:r>
          </w:p>
        </w:tc>
        <w:tc>
          <w:tcPr>
            <w:tcW w:w="3705" w:type="dxa"/>
            <w:vAlign w:val="center"/>
          </w:tcPr>
          <w:p w14:paraId="1E48B353">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sz w:val="22"/>
                <w:szCs w:val="22"/>
                <w:vertAlign w:val="baseline"/>
                <w:lang w:val="en-US" w:eastAsia="zh-CN"/>
              </w:rPr>
            </w:pPr>
            <w:r>
              <w:rPr>
                <w:rFonts w:hint="eastAsia" w:ascii="仿宋_GB2312" w:hAnsi="仿宋_GB2312" w:eastAsia="仿宋_GB2312" w:cs="仿宋_GB2312"/>
                <w:color w:val="444444"/>
                <w:spacing w:val="0"/>
                <w:position w:val="0"/>
                <w:sz w:val="22"/>
                <w:szCs w:val="22"/>
              </w:rPr>
              <w:t>完成贯标标准培训</w:t>
            </w:r>
            <w:r>
              <w:rPr>
                <w:rFonts w:hint="eastAsia" w:ascii="仿宋_GB2312" w:hAnsi="仿宋_GB2312" w:eastAsia="仿宋_GB2312" w:cs="仿宋_GB2312"/>
                <w:color w:val="444444"/>
                <w:spacing w:val="0"/>
                <w:position w:val="0"/>
                <w:sz w:val="22"/>
                <w:szCs w:val="22"/>
                <w:lang w:eastAsia="zh-CN"/>
              </w:rPr>
              <w:t>；</w:t>
            </w:r>
            <w:r>
              <w:rPr>
                <w:rFonts w:hint="eastAsia" w:ascii="仿宋_GB2312" w:hAnsi="仿宋_GB2312" w:eastAsia="仿宋_GB2312" w:cs="仿宋_GB2312"/>
                <w:color w:val="444444"/>
                <w:spacing w:val="0"/>
                <w:position w:val="0"/>
                <w:sz w:val="22"/>
                <w:szCs w:val="22"/>
              </w:rPr>
              <w:t>成立文件编写小组，组织文件编写培训</w:t>
            </w:r>
            <w:r>
              <w:rPr>
                <w:rFonts w:hint="eastAsia" w:ascii="仿宋_GB2312" w:hAnsi="仿宋_GB2312" w:eastAsia="仿宋_GB2312" w:cs="仿宋_GB2312"/>
                <w:color w:val="444444"/>
                <w:spacing w:val="0"/>
                <w:position w:val="0"/>
                <w:sz w:val="22"/>
                <w:szCs w:val="22"/>
                <w:lang w:eastAsia="zh-CN"/>
              </w:rPr>
              <w:t>；</w:t>
            </w:r>
            <w:r>
              <w:rPr>
                <w:rFonts w:hint="eastAsia" w:ascii="仿宋_GB2312" w:hAnsi="仿宋_GB2312" w:eastAsia="仿宋_GB2312" w:cs="仿宋_GB2312"/>
                <w:color w:val="444444"/>
                <w:spacing w:val="0"/>
                <w:position w:val="0"/>
                <w:sz w:val="22"/>
                <w:szCs w:val="22"/>
              </w:rPr>
              <w:t>完成管理手册</w:t>
            </w:r>
            <w:r>
              <w:rPr>
                <w:rFonts w:hint="eastAsia" w:ascii="仿宋_GB2312" w:hAnsi="仿宋_GB2312" w:eastAsia="仿宋_GB2312" w:cs="仿宋_GB2312"/>
                <w:color w:val="444444"/>
                <w:spacing w:val="0"/>
                <w:position w:val="0"/>
                <w:sz w:val="22"/>
                <w:szCs w:val="22"/>
                <w:lang w:eastAsia="zh-CN"/>
              </w:rPr>
              <w:t>、</w:t>
            </w:r>
            <w:r>
              <w:rPr>
                <w:rFonts w:hint="eastAsia" w:ascii="仿宋_GB2312" w:hAnsi="仿宋_GB2312" w:eastAsia="仿宋_GB2312" w:cs="仿宋_GB2312"/>
                <w:color w:val="444444"/>
                <w:spacing w:val="0"/>
                <w:position w:val="0"/>
                <w:sz w:val="22"/>
                <w:szCs w:val="22"/>
              </w:rPr>
              <w:t>主要程序文件和体系文件的编写；并开展 体系文件评审和修订、审定和发布。</w:t>
            </w:r>
          </w:p>
        </w:tc>
        <w:tc>
          <w:tcPr>
            <w:tcW w:w="1935" w:type="dxa"/>
            <w:vAlign w:val="center"/>
          </w:tcPr>
          <w:p w14:paraId="3DD8B808">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两化融合管理手册</w:t>
            </w:r>
          </w:p>
          <w:p w14:paraId="150ABDF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两化融合程序文件</w:t>
            </w:r>
          </w:p>
          <w:p w14:paraId="39991DA7">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两化融合方针</w:t>
            </w:r>
          </w:p>
        </w:tc>
        <w:tc>
          <w:tcPr>
            <w:tcW w:w="1679" w:type="dxa"/>
            <w:vAlign w:val="center"/>
          </w:tcPr>
          <w:p w14:paraId="0EA28C6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2025年6月30日</w:t>
            </w:r>
          </w:p>
        </w:tc>
      </w:tr>
      <w:tr w14:paraId="6A459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1" w:type="dxa"/>
            <w:vAlign w:val="center"/>
          </w:tcPr>
          <w:p w14:paraId="3077D9A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1"/>
                <w:szCs w:val="21"/>
                <w:lang w:val="en-US" w:eastAsia="zh-CN"/>
              </w:rPr>
            </w:pPr>
            <w:r>
              <w:rPr>
                <w:rFonts w:hint="eastAsia" w:ascii="仿宋_GB2312" w:hAnsi="仿宋_GB2312" w:eastAsia="仿宋_GB2312" w:cs="仿宋_GB2312"/>
                <w:color w:val="444444"/>
                <w:spacing w:val="0"/>
                <w:position w:val="0"/>
                <w:sz w:val="21"/>
                <w:szCs w:val="21"/>
                <w:lang w:val="en-US" w:eastAsia="zh-CN"/>
              </w:rPr>
              <w:t>体系运行</w:t>
            </w:r>
          </w:p>
        </w:tc>
        <w:tc>
          <w:tcPr>
            <w:tcW w:w="3705" w:type="dxa"/>
            <w:vAlign w:val="center"/>
          </w:tcPr>
          <w:p w14:paraId="036312F2">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320" w:lineRule="exact"/>
              <w:ind w:left="33" w:leftChars="0" w:right="13" w:rightChars="0"/>
              <w:jc w:val="left"/>
              <w:textAlignment w:val="auto"/>
              <w:rPr>
                <w:rFonts w:hint="eastAsia" w:ascii="仿宋_GB2312" w:hAnsi="仿宋_GB2312" w:eastAsia="仿宋_GB2312" w:cs="仿宋_GB2312"/>
                <w:color w:val="444444"/>
                <w:spacing w:val="-1"/>
                <w:sz w:val="22"/>
                <w:szCs w:val="22"/>
                <w:lang w:eastAsia="zh-CN"/>
              </w:rPr>
            </w:pPr>
            <w:r>
              <w:rPr>
                <w:rFonts w:hint="eastAsia" w:ascii="仿宋_GB2312" w:hAnsi="仿宋_GB2312" w:eastAsia="仿宋_GB2312" w:cs="仿宋_GB2312"/>
                <w:color w:val="444444"/>
                <w:spacing w:val="8"/>
                <w:sz w:val="22"/>
                <w:szCs w:val="22"/>
              </w:rPr>
              <w:t>选</w:t>
            </w:r>
            <w:r>
              <w:rPr>
                <w:rFonts w:hint="eastAsia" w:ascii="仿宋_GB2312" w:hAnsi="仿宋_GB2312" w:eastAsia="仿宋_GB2312" w:cs="仿宋_GB2312"/>
                <w:color w:val="444444"/>
                <w:spacing w:val="5"/>
                <w:sz w:val="22"/>
                <w:szCs w:val="22"/>
              </w:rPr>
              <w:t>定两化融合管理体系的试运行环</w:t>
            </w:r>
            <w:r>
              <w:rPr>
                <w:rFonts w:hint="eastAsia" w:ascii="仿宋_GB2312" w:hAnsi="仿宋_GB2312" w:eastAsia="仿宋_GB2312" w:cs="仿宋_GB2312"/>
                <w:color w:val="444444"/>
                <w:spacing w:val="2"/>
                <w:sz w:val="22"/>
                <w:szCs w:val="22"/>
              </w:rPr>
              <w:t>节，组织</w:t>
            </w:r>
            <w:r>
              <w:rPr>
                <w:rFonts w:hint="eastAsia" w:ascii="仿宋_GB2312" w:hAnsi="仿宋_GB2312" w:eastAsia="仿宋_GB2312" w:cs="仿宋_GB2312"/>
                <w:color w:val="444444"/>
                <w:spacing w:val="1"/>
                <w:sz w:val="22"/>
                <w:szCs w:val="22"/>
              </w:rPr>
              <w:t>实施培训</w:t>
            </w:r>
            <w:r>
              <w:rPr>
                <w:rFonts w:hint="eastAsia" w:ascii="仿宋_GB2312" w:hAnsi="仿宋_GB2312" w:eastAsia="仿宋_GB2312" w:cs="仿宋_GB2312"/>
                <w:color w:val="444444"/>
                <w:spacing w:val="1"/>
                <w:sz w:val="22"/>
                <w:szCs w:val="22"/>
                <w:lang w:eastAsia="zh-CN"/>
              </w:rPr>
              <w:t>；</w:t>
            </w:r>
            <w:r>
              <w:rPr>
                <w:rFonts w:hint="eastAsia" w:ascii="仿宋_GB2312" w:hAnsi="仿宋_GB2312" w:eastAsia="仿宋_GB2312" w:cs="仿宋_GB2312"/>
                <w:color w:val="444444"/>
                <w:spacing w:val="1"/>
                <w:sz w:val="22"/>
                <w:szCs w:val="22"/>
              </w:rPr>
              <w:t>策划和挖掘符合企</w:t>
            </w:r>
            <w:r>
              <w:rPr>
                <w:rFonts w:hint="eastAsia" w:ascii="仿宋_GB2312" w:hAnsi="仿宋_GB2312" w:eastAsia="仿宋_GB2312" w:cs="仿宋_GB2312"/>
                <w:color w:val="444444"/>
                <w:spacing w:val="-3"/>
                <w:sz w:val="22"/>
                <w:szCs w:val="22"/>
              </w:rPr>
              <w:t>业发展战略的信息化环境下新型能力</w:t>
            </w:r>
            <w:r>
              <w:rPr>
                <w:rFonts w:hint="eastAsia" w:ascii="仿宋_GB2312" w:hAnsi="仿宋_GB2312" w:eastAsia="仿宋_GB2312" w:cs="仿宋_GB2312"/>
                <w:color w:val="444444"/>
                <w:spacing w:val="-1"/>
                <w:sz w:val="22"/>
                <w:szCs w:val="22"/>
                <w:lang w:eastAsia="zh-CN"/>
              </w:rPr>
              <w:t>；</w:t>
            </w:r>
          </w:p>
          <w:p w14:paraId="11249DEC">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sz w:val="22"/>
                <w:szCs w:val="22"/>
                <w:vertAlign w:val="baseline"/>
                <w:lang w:val="en-US" w:eastAsia="zh-CN"/>
              </w:rPr>
            </w:pPr>
            <w:r>
              <w:rPr>
                <w:rFonts w:hint="eastAsia" w:ascii="仿宋_GB2312" w:hAnsi="仿宋_GB2312" w:eastAsia="仿宋_GB2312" w:cs="仿宋_GB2312"/>
                <w:color w:val="444444"/>
                <w:spacing w:val="-6"/>
                <w:sz w:val="22"/>
                <w:szCs w:val="22"/>
              </w:rPr>
              <w:t>围绕</w:t>
            </w:r>
            <w:r>
              <w:rPr>
                <w:rFonts w:hint="eastAsia" w:ascii="仿宋_GB2312" w:hAnsi="仿宋_GB2312" w:eastAsia="仿宋_GB2312" w:cs="仿宋_GB2312"/>
                <w:color w:val="444444"/>
                <w:spacing w:val="-5"/>
                <w:sz w:val="22"/>
                <w:szCs w:val="22"/>
              </w:rPr>
              <w:t>试</w:t>
            </w:r>
            <w:r>
              <w:rPr>
                <w:rFonts w:hint="eastAsia" w:ascii="仿宋_GB2312" w:hAnsi="仿宋_GB2312" w:eastAsia="仿宋_GB2312" w:cs="仿宋_GB2312"/>
                <w:color w:val="444444"/>
                <w:spacing w:val="-3"/>
                <w:sz w:val="22"/>
                <w:szCs w:val="22"/>
              </w:rPr>
              <w:t>运行环节打造信息化环境下新</w:t>
            </w:r>
            <w:r>
              <w:rPr>
                <w:rFonts w:hint="eastAsia" w:ascii="仿宋_GB2312" w:hAnsi="仿宋_GB2312" w:eastAsia="仿宋_GB2312" w:cs="仿宋_GB2312"/>
                <w:color w:val="444444"/>
                <w:spacing w:val="2"/>
                <w:sz w:val="22"/>
                <w:szCs w:val="22"/>
              </w:rPr>
              <w:t>型能力的</w:t>
            </w:r>
            <w:r>
              <w:rPr>
                <w:rFonts w:hint="eastAsia" w:ascii="仿宋_GB2312" w:hAnsi="仿宋_GB2312" w:eastAsia="仿宋_GB2312" w:cs="仿宋_GB2312"/>
                <w:color w:val="444444"/>
                <w:spacing w:val="1"/>
                <w:sz w:val="22"/>
                <w:szCs w:val="22"/>
              </w:rPr>
              <w:t>各项活动，按照两化融合管理</w:t>
            </w:r>
            <w:r>
              <w:rPr>
                <w:rFonts w:hint="eastAsia" w:ascii="仿宋_GB2312" w:hAnsi="仿宋_GB2312" w:eastAsia="仿宋_GB2312" w:cs="仿宋_GB2312"/>
                <w:color w:val="444444"/>
                <w:spacing w:val="2"/>
                <w:sz w:val="22"/>
                <w:szCs w:val="22"/>
              </w:rPr>
              <w:t>体系明确</w:t>
            </w:r>
            <w:r>
              <w:rPr>
                <w:rFonts w:hint="eastAsia" w:ascii="仿宋_GB2312" w:hAnsi="仿宋_GB2312" w:eastAsia="仿宋_GB2312" w:cs="仿宋_GB2312"/>
                <w:color w:val="444444"/>
                <w:spacing w:val="1"/>
                <w:sz w:val="22"/>
                <w:szCs w:val="22"/>
              </w:rPr>
              <w:t>的管理职责、基础保障</w:t>
            </w:r>
            <w:r>
              <w:rPr>
                <w:rFonts w:hint="eastAsia" w:ascii="仿宋_GB2312" w:hAnsi="仿宋_GB2312" w:eastAsia="仿宋_GB2312" w:cs="仿宋_GB2312"/>
                <w:color w:val="444444"/>
                <w:spacing w:val="1"/>
                <w:sz w:val="22"/>
                <w:szCs w:val="22"/>
                <w:lang w:eastAsia="zh-CN"/>
              </w:rPr>
              <w:t>、</w:t>
            </w:r>
            <w:r>
              <w:rPr>
                <w:rFonts w:hint="eastAsia" w:ascii="仿宋_GB2312" w:hAnsi="仿宋_GB2312" w:eastAsia="仿宋_GB2312" w:cs="仿宋_GB2312"/>
                <w:color w:val="444444"/>
                <w:spacing w:val="1"/>
                <w:sz w:val="22"/>
                <w:szCs w:val="22"/>
              </w:rPr>
              <w:t>实施</w:t>
            </w:r>
            <w:r>
              <w:rPr>
                <w:rFonts w:hint="eastAsia" w:ascii="仿宋_GB2312" w:hAnsi="仿宋_GB2312" w:eastAsia="仿宋_GB2312" w:cs="仿宋_GB2312"/>
                <w:color w:val="444444"/>
                <w:sz w:val="22"/>
                <w:szCs w:val="22"/>
              </w:rPr>
              <w:t xml:space="preserve"> </w:t>
            </w:r>
            <w:r>
              <w:rPr>
                <w:rFonts w:hint="eastAsia" w:ascii="仿宋_GB2312" w:hAnsi="仿宋_GB2312" w:eastAsia="仿宋_GB2312" w:cs="仿宋_GB2312"/>
                <w:color w:val="444444"/>
                <w:spacing w:val="-6"/>
                <w:sz w:val="22"/>
                <w:szCs w:val="22"/>
              </w:rPr>
              <w:t>过程及评测</w:t>
            </w:r>
            <w:r>
              <w:rPr>
                <w:rFonts w:hint="eastAsia" w:ascii="仿宋_GB2312" w:hAnsi="仿宋_GB2312" w:eastAsia="仿宋_GB2312" w:cs="仿宋_GB2312"/>
                <w:color w:val="444444"/>
                <w:spacing w:val="-3"/>
                <w:sz w:val="22"/>
                <w:szCs w:val="22"/>
              </w:rPr>
              <w:t>与改进过程</w:t>
            </w:r>
            <w:r>
              <w:rPr>
                <w:rFonts w:hint="eastAsia" w:ascii="仿宋_GB2312" w:hAnsi="仿宋_GB2312" w:eastAsia="仿宋_GB2312" w:cs="仿宋_GB2312"/>
                <w:color w:val="444444"/>
                <w:spacing w:val="-3"/>
                <w:sz w:val="22"/>
                <w:szCs w:val="22"/>
                <w:lang w:eastAsia="zh-CN"/>
              </w:rPr>
              <w:t>，</w:t>
            </w:r>
            <w:r>
              <w:rPr>
                <w:rFonts w:hint="eastAsia" w:ascii="仿宋_GB2312" w:hAnsi="仿宋_GB2312" w:eastAsia="仿宋_GB2312" w:cs="仿宋_GB2312"/>
                <w:color w:val="444444"/>
                <w:spacing w:val="-3"/>
                <w:sz w:val="22"/>
                <w:szCs w:val="22"/>
              </w:rPr>
              <w:t>组织相关部门</w:t>
            </w:r>
            <w:r>
              <w:rPr>
                <w:rFonts w:hint="eastAsia" w:ascii="仿宋_GB2312" w:hAnsi="仿宋_GB2312" w:eastAsia="仿宋_GB2312" w:cs="仿宋_GB2312"/>
                <w:color w:val="444444"/>
                <w:spacing w:val="2"/>
                <w:sz w:val="22"/>
                <w:szCs w:val="22"/>
              </w:rPr>
              <w:t>严格</w:t>
            </w:r>
            <w:r>
              <w:rPr>
                <w:rFonts w:hint="eastAsia" w:ascii="仿宋_GB2312" w:hAnsi="仿宋_GB2312" w:eastAsia="仿宋_GB2312" w:cs="仿宋_GB2312"/>
                <w:color w:val="444444"/>
                <w:spacing w:val="1"/>
                <w:sz w:val="22"/>
                <w:szCs w:val="22"/>
              </w:rPr>
              <w:t>执行管理手册和程序文件的要求</w:t>
            </w:r>
            <w:r>
              <w:rPr>
                <w:rFonts w:hint="eastAsia" w:ascii="仿宋_GB2312" w:hAnsi="仿宋_GB2312" w:eastAsia="仿宋_GB2312" w:cs="仿宋_GB2312"/>
                <w:color w:val="444444"/>
                <w:spacing w:val="1"/>
                <w:sz w:val="22"/>
                <w:szCs w:val="22"/>
                <w:lang w:eastAsia="zh-CN"/>
              </w:rPr>
              <w:t>，</w:t>
            </w:r>
            <w:r>
              <w:rPr>
                <w:rFonts w:hint="eastAsia" w:ascii="仿宋_GB2312" w:hAnsi="仿宋_GB2312" w:eastAsia="仿宋_GB2312" w:cs="仿宋_GB2312"/>
                <w:color w:val="444444"/>
                <w:spacing w:val="-3"/>
                <w:sz w:val="22"/>
                <w:szCs w:val="22"/>
              </w:rPr>
              <w:t>完成三个月试运行相关的贯标活动</w:t>
            </w:r>
            <w:r>
              <w:rPr>
                <w:rFonts w:hint="eastAsia" w:ascii="仿宋_GB2312" w:hAnsi="仿宋_GB2312" w:eastAsia="仿宋_GB2312" w:cs="仿宋_GB2312"/>
                <w:color w:val="444444"/>
                <w:spacing w:val="-3"/>
                <w:sz w:val="22"/>
                <w:szCs w:val="22"/>
                <w:lang w:eastAsia="zh-CN"/>
              </w:rPr>
              <w:t>。</w:t>
            </w:r>
          </w:p>
        </w:tc>
        <w:tc>
          <w:tcPr>
            <w:tcW w:w="1935" w:type="dxa"/>
            <w:vAlign w:val="center"/>
          </w:tcPr>
          <w:p w14:paraId="6DEEAB82">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两化融合管理体系试运行方案</w:t>
            </w:r>
          </w:p>
          <w:p w14:paraId="0DB16C17">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新型能力及目标指标相关文档</w:t>
            </w:r>
          </w:p>
          <w:p w14:paraId="6E714E5A">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业务流程与优化方案</w:t>
            </w:r>
          </w:p>
          <w:p w14:paraId="5DA60E2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数据开发利用方案</w:t>
            </w:r>
          </w:p>
          <w:p w14:paraId="6BD0F95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体系运行指导策划方案</w:t>
            </w:r>
          </w:p>
        </w:tc>
        <w:tc>
          <w:tcPr>
            <w:tcW w:w="1679" w:type="dxa"/>
            <w:vAlign w:val="center"/>
          </w:tcPr>
          <w:p w14:paraId="79190E7A">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2025年9月30日</w:t>
            </w:r>
          </w:p>
        </w:tc>
      </w:tr>
      <w:tr w14:paraId="64F96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1" w:type="dxa"/>
            <w:vAlign w:val="center"/>
          </w:tcPr>
          <w:p w14:paraId="1D834F17">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1"/>
                <w:szCs w:val="21"/>
                <w:lang w:val="en-US" w:eastAsia="zh-CN"/>
              </w:rPr>
            </w:pPr>
            <w:r>
              <w:rPr>
                <w:rFonts w:hint="eastAsia" w:ascii="仿宋_GB2312" w:hAnsi="仿宋_GB2312" w:eastAsia="仿宋_GB2312" w:cs="仿宋_GB2312"/>
                <w:color w:val="444444"/>
                <w:spacing w:val="0"/>
                <w:position w:val="0"/>
                <w:sz w:val="21"/>
                <w:szCs w:val="21"/>
                <w:lang w:val="en-US" w:eastAsia="zh-CN"/>
              </w:rPr>
              <w:t>体系测评和改进</w:t>
            </w:r>
          </w:p>
        </w:tc>
        <w:tc>
          <w:tcPr>
            <w:tcW w:w="3705" w:type="dxa"/>
            <w:vAlign w:val="center"/>
          </w:tcPr>
          <w:p w14:paraId="28403230">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320" w:lineRule="exact"/>
              <w:ind w:left="21" w:right="13" w:firstLine="1"/>
              <w:jc w:val="left"/>
              <w:textAlignment w:val="auto"/>
              <w:rPr>
                <w:rFonts w:hint="eastAsia" w:ascii="仿宋_GB2312" w:hAnsi="仿宋_GB2312" w:eastAsia="仿宋_GB2312" w:cs="仿宋_GB2312"/>
                <w:color w:val="444444"/>
                <w:spacing w:val="0"/>
                <w:sz w:val="22"/>
                <w:szCs w:val="22"/>
              </w:rPr>
            </w:pPr>
            <w:r>
              <w:rPr>
                <w:rFonts w:hint="eastAsia" w:ascii="仿宋_GB2312" w:hAnsi="仿宋_GB2312" w:eastAsia="仿宋_GB2312" w:cs="仿宋_GB2312"/>
                <w:color w:val="444444"/>
                <w:spacing w:val="0"/>
                <w:sz w:val="22"/>
                <w:szCs w:val="22"/>
              </w:rPr>
              <w:t>制订企业内部评审计划</w:t>
            </w:r>
            <w:r>
              <w:rPr>
                <w:rFonts w:hint="eastAsia" w:ascii="仿宋_GB2312" w:hAnsi="仿宋_GB2312" w:eastAsia="仿宋_GB2312" w:cs="仿宋_GB2312"/>
                <w:color w:val="444444"/>
                <w:spacing w:val="0"/>
                <w:sz w:val="22"/>
                <w:szCs w:val="22"/>
                <w:lang w:eastAsia="zh-CN"/>
              </w:rPr>
              <w:t>，</w:t>
            </w:r>
            <w:r>
              <w:rPr>
                <w:rFonts w:hint="eastAsia" w:ascii="仿宋_GB2312" w:hAnsi="仿宋_GB2312" w:eastAsia="仿宋_GB2312" w:cs="仿宋_GB2312"/>
                <w:color w:val="444444"/>
                <w:spacing w:val="0"/>
                <w:sz w:val="22"/>
                <w:szCs w:val="22"/>
              </w:rPr>
              <w:t>选定内部审核员并经最高管理者审批后发文；组织进行内部评审并针对内审发现的不符合项制定纠正和预防措施；</w:t>
            </w:r>
          </w:p>
          <w:p w14:paraId="45612AA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sz w:val="22"/>
                <w:szCs w:val="22"/>
                <w:vertAlign w:val="baseline"/>
                <w:lang w:val="en-US" w:eastAsia="zh-CN"/>
              </w:rPr>
            </w:pPr>
            <w:r>
              <w:rPr>
                <w:rFonts w:hint="eastAsia" w:ascii="仿宋_GB2312" w:hAnsi="仿宋_GB2312" w:eastAsia="仿宋_GB2312" w:cs="仿宋_GB2312"/>
                <w:color w:val="444444"/>
                <w:spacing w:val="0"/>
                <w:sz w:val="22"/>
                <w:szCs w:val="22"/>
              </w:rPr>
              <w:t>制订企业管理评审计划</w:t>
            </w:r>
            <w:r>
              <w:rPr>
                <w:rFonts w:hint="eastAsia" w:ascii="仿宋_GB2312" w:hAnsi="仿宋_GB2312" w:eastAsia="仿宋_GB2312" w:cs="仿宋_GB2312"/>
                <w:color w:val="444444"/>
                <w:spacing w:val="0"/>
                <w:sz w:val="22"/>
                <w:szCs w:val="22"/>
                <w:lang w:eastAsia="zh-CN"/>
              </w:rPr>
              <w:t>，</w:t>
            </w:r>
            <w:r>
              <w:rPr>
                <w:rFonts w:hint="eastAsia" w:ascii="仿宋_GB2312" w:hAnsi="仿宋_GB2312" w:eastAsia="仿宋_GB2312" w:cs="仿宋_GB2312"/>
                <w:color w:val="444444"/>
                <w:spacing w:val="0"/>
                <w:sz w:val="22"/>
                <w:szCs w:val="22"/>
              </w:rPr>
              <w:t>组织对企业两化融合管理体系进行管理评审</w:t>
            </w:r>
            <w:r>
              <w:rPr>
                <w:rFonts w:hint="eastAsia" w:ascii="仿宋_GB2312" w:hAnsi="仿宋_GB2312" w:eastAsia="仿宋_GB2312" w:cs="仿宋_GB2312"/>
                <w:color w:val="444444"/>
                <w:spacing w:val="0"/>
                <w:sz w:val="22"/>
                <w:szCs w:val="22"/>
                <w:lang w:eastAsia="zh-CN"/>
              </w:rPr>
              <w:t>。</w:t>
            </w:r>
          </w:p>
        </w:tc>
        <w:tc>
          <w:tcPr>
            <w:tcW w:w="1935" w:type="dxa"/>
            <w:vAlign w:val="center"/>
          </w:tcPr>
          <w:p w14:paraId="7888EEB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两化融合内部审核计划</w:t>
            </w:r>
          </w:p>
          <w:p w14:paraId="0821400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两化融合内部审核报告</w:t>
            </w:r>
          </w:p>
          <w:p w14:paraId="7F350B1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两化融合管理评审计划</w:t>
            </w:r>
          </w:p>
          <w:p w14:paraId="20432E55">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两化融合管理评审报告</w:t>
            </w:r>
          </w:p>
        </w:tc>
        <w:tc>
          <w:tcPr>
            <w:tcW w:w="1679" w:type="dxa"/>
            <w:vAlign w:val="center"/>
          </w:tcPr>
          <w:p w14:paraId="585DA6D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2025年10月30日</w:t>
            </w:r>
          </w:p>
        </w:tc>
      </w:tr>
      <w:tr w14:paraId="2BE2E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1" w:type="dxa"/>
            <w:vAlign w:val="center"/>
          </w:tcPr>
          <w:p w14:paraId="3C05048C">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1"/>
                <w:szCs w:val="21"/>
                <w:lang w:val="en-US" w:eastAsia="zh-CN"/>
              </w:rPr>
            </w:pPr>
            <w:r>
              <w:rPr>
                <w:rFonts w:hint="eastAsia" w:ascii="仿宋_GB2312" w:hAnsi="仿宋_GB2312" w:eastAsia="仿宋_GB2312" w:cs="仿宋_GB2312"/>
                <w:color w:val="444444"/>
                <w:spacing w:val="0"/>
                <w:position w:val="0"/>
                <w:sz w:val="21"/>
                <w:szCs w:val="21"/>
                <w:lang w:val="en-US" w:eastAsia="zh-CN"/>
              </w:rPr>
              <w:t>第三方</w:t>
            </w:r>
          </w:p>
          <w:p w14:paraId="43E723E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1"/>
                <w:szCs w:val="21"/>
                <w:lang w:val="en-US" w:eastAsia="zh-CN"/>
              </w:rPr>
            </w:pPr>
            <w:r>
              <w:rPr>
                <w:rFonts w:hint="eastAsia" w:ascii="仿宋_GB2312" w:hAnsi="仿宋_GB2312" w:eastAsia="仿宋_GB2312" w:cs="仿宋_GB2312"/>
                <w:color w:val="444444"/>
                <w:spacing w:val="0"/>
                <w:position w:val="0"/>
                <w:sz w:val="21"/>
                <w:szCs w:val="21"/>
                <w:lang w:val="en-US" w:eastAsia="zh-CN"/>
              </w:rPr>
              <w:t>评定审核</w:t>
            </w:r>
          </w:p>
        </w:tc>
        <w:tc>
          <w:tcPr>
            <w:tcW w:w="3705" w:type="dxa"/>
            <w:vAlign w:val="center"/>
          </w:tcPr>
          <w:p w14:paraId="37FDC025">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320" w:lineRule="exact"/>
              <w:ind w:left="21" w:right="13" w:firstLine="1"/>
              <w:jc w:val="left"/>
              <w:textAlignment w:val="auto"/>
              <w:rPr>
                <w:rFonts w:hint="eastAsia" w:ascii="仿宋_GB2312" w:hAnsi="仿宋_GB2312" w:eastAsia="仿宋_GB2312" w:cs="仿宋_GB2312"/>
                <w:color w:val="444444"/>
                <w:spacing w:val="0"/>
                <w:sz w:val="22"/>
                <w:szCs w:val="22"/>
                <w:lang w:eastAsia="zh-CN"/>
              </w:rPr>
            </w:pPr>
            <w:r>
              <w:rPr>
                <w:rFonts w:hint="eastAsia" w:ascii="仿宋_GB2312" w:hAnsi="仿宋_GB2312" w:eastAsia="仿宋_GB2312" w:cs="仿宋_GB2312"/>
                <w:color w:val="444444"/>
                <w:spacing w:val="0"/>
                <w:sz w:val="22"/>
                <w:szCs w:val="22"/>
              </w:rPr>
              <w:t>准备评审相关记录，积极支持外部专家的现场评审阶段的各项工作，配合外审机构的评审专家完成两个阶段的两化融合管理体系的外部审核</w:t>
            </w:r>
            <w:r>
              <w:rPr>
                <w:rFonts w:hint="eastAsia" w:ascii="仿宋_GB2312" w:hAnsi="仿宋_GB2312" w:eastAsia="仿宋_GB2312" w:cs="仿宋_GB2312"/>
                <w:color w:val="444444"/>
                <w:spacing w:val="0"/>
                <w:sz w:val="22"/>
                <w:szCs w:val="22"/>
                <w:lang w:eastAsia="zh-CN"/>
              </w:rPr>
              <w:t>；</w:t>
            </w:r>
          </w:p>
          <w:p w14:paraId="2A27603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sz w:val="22"/>
                <w:szCs w:val="22"/>
                <w:vertAlign w:val="baseline"/>
                <w:lang w:val="en-US" w:eastAsia="zh-CN"/>
              </w:rPr>
            </w:pPr>
            <w:r>
              <w:rPr>
                <w:rFonts w:hint="eastAsia" w:ascii="仿宋_GB2312" w:hAnsi="仿宋_GB2312" w:eastAsia="仿宋_GB2312" w:cs="仿宋_GB2312"/>
                <w:color w:val="444444"/>
                <w:spacing w:val="0"/>
                <w:sz w:val="22"/>
                <w:szCs w:val="22"/>
              </w:rPr>
              <w:t>外审专家</w:t>
            </w:r>
            <w:r>
              <w:rPr>
                <w:rFonts w:hint="eastAsia" w:ascii="仿宋_GB2312" w:hAnsi="仿宋_GB2312" w:eastAsia="仿宋_GB2312" w:cs="仿宋_GB2312"/>
                <w:color w:val="444444"/>
                <w:spacing w:val="0"/>
                <w:sz w:val="22"/>
                <w:szCs w:val="22"/>
                <w:lang w:eastAsia="zh-CN"/>
              </w:rPr>
              <w:t>提出</w:t>
            </w:r>
            <w:r>
              <w:rPr>
                <w:rFonts w:hint="eastAsia" w:ascii="仿宋_GB2312" w:hAnsi="仿宋_GB2312" w:eastAsia="仿宋_GB2312" w:cs="仿宋_GB2312"/>
                <w:color w:val="444444"/>
                <w:spacing w:val="0"/>
                <w:sz w:val="22"/>
                <w:szCs w:val="22"/>
              </w:rPr>
              <w:t>要求和建议进行整改</w:t>
            </w:r>
            <w:r>
              <w:rPr>
                <w:rFonts w:hint="eastAsia" w:ascii="仿宋_GB2312" w:hAnsi="仿宋_GB2312" w:eastAsia="仿宋_GB2312" w:cs="仿宋_GB2312"/>
                <w:color w:val="444444"/>
                <w:spacing w:val="0"/>
                <w:sz w:val="22"/>
                <w:szCs w:val="22"/>
                <w:lang w:eastAsia="zh-CN"/>
              </w:rPr>
              <w:t>，</w:t>
            </w:r>
            <w:r>
              <w:rPr>
                <w:rFonts w:hint="eastAsia" w:ascii="仿宋_GB2312" w:hAnsi="仿宋_GB2312" w:eastAsia="仿宋_GB2312" w:cs="仿宋_GB2312"/>
                <w:color w:val="444444"/>
                <w:spacing w:val="0"/>
                <w:sz w:val="22"/>
                <w:szCs w:val="22"/>
              </w:rPr>
              <w:t>再次在“两化融合管理体系评定管理平台”上提交修订好的企业两化融合管理体系评定申请材料，确保通过两化融合管理体系的评定。</w:t>
            </w:r>
          </w:p>
        </w:tc>
        <w:tc>
          <w:tcPr>
            <w:tcW w:w="1935" w:type="dxa"/>
            <w:vAlign w:val="center"/>
          </w:tcPr>
          <w:p w14:paraId="51B293A6">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评定申请表</w:t>
            </w:r>
          </w:p>
          <w:p w14:paraId="6350CFF9">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评定PPT</w:t>
            </w:r>
          </w:p>
          <w:p w14:paraId="60C6F54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两化融合系统性解决方案实施情况及效果说明材料要求</w:t>
            </w:r>
          </w:p>
          <w:p w14:paraId="0EB47C0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不符合项整改报告</w:t>
            </w:r>
          </w:p>
          <w:p w14:paraId="3FC69625">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p>
        </w:tc>
        <w:tc>
          <w:tcPr>
            <w:tcW w:w="1679" w:type="dxa"/>
            <w:vAlign w:val="center"/>
          </w:tcPr>
          <w:p w14:paraId="3820E436">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2025年11月15日</w:t>
            </w:r>
          </w:p>
        </w:tc>
      </w:tr>
      <w:tr w14:paraId="150F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1" w:type="dxa"/>
            <w:vAlign w:val="center"/>
          </w:tcPr>
          <w:p w14:paraId="7F76F75A">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1"/>
                <w:szCs w:val="21"/>
                <w:lang w:val="en-US" w:eastAsia="zh-CN"/>
              </w:rPr>
            </w:pPr>
            <w:r>
              <w:rPr>
                <w:rFonts w:hint="eastAsia" w:ascii="仿宋_GB2312" w:hAnsi="仿宋_GB2312" w:eastAsia="仿宋_GB2312" w:cs="仿宋_GB2312"/>
                <w:color w:val="444444"/>
                <w:spacing w:val="0"/>
                <w:position w:val="0"/>
                <w:sz w:val="21"/>
                <w:szCs w:val="21"/>
                <w:lang w:val="en-US" w:eastAsia="zh-CN"/>
              </w:rPr>
              <w:t>获取证书</w:t>
            </w:r>
          </w:p>
        </w:tc>
        <w:tc>
          <w:tcPr>
            <w:tcW w:w="3705" w:type="dxa"/>
            <w:vAlign w:val="center"/>
          </w:tcPr>
          <w:p w14:paraId="104F7A3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跟进评估结果，协助企业获取认证证书</w:t>
            </w:r>
          </w:p>
        </w:tc>
        <w:tc>
          <w:tcPr>
            <w:tcW w:w="1935" w:type="dxa"/>
            <w:vAlign w:val="center"/>
          </w:tcPr>
          <w:p w14:paraId="1BDC5AB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sz w:val="22"/>
                <w:szCs w:val="22"/>
                <w:vertAlign w:val="baseline"/>
                <w:lang w:val="en-US" w:eastAsia="zh-CN"/>
              </w:rPr>
            </w:pPr>
            <w:r>
              <w:rPr>
                <w:rFonts w:hint="eastAsia" w:ascii="仿宋_GB2312" w:hAnsi="仿宋_GB2312" w:eastAsia="仿宋_GB2312" w:cs="仿宋_GB2312"/>
                <w:color w:val="444444"/>
                <w:spacing w:val="0"/>
                <w:position w:val="0"/>
                <w:sz w:val="22"/>
                <w:szCs w:val="22"/>
                <w:lang w:val="en-US" w:eastAsia="zh-CN"/>
              </w:rPr>
              <w:t>两化融合管理体系评定证书（AAA级）</w:t>
            </w:r>
          </w:p>
        </w:tc>
        <w:tc>
          <w:tcPr>
            <w:tcW w:w="1679" w:type="dxa"/>
            <w:vAlign w:val="center"/>
          </w:tcPr>
          <w:p w14:paraId="547B12C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320" w:lineRule="exact"/>
              <w:ind w:left="0" w:right="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2025年12月31日前</w:t>
            </w:r>
          </w:p>
        </w:tc>
      </w:tr>
    </w:tbl>
    <w:p w14:paraId="18363DF8">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Times New Roman"/>
          <w:b/>
          <w:bCs/>
          <w:sz w:val="24"/>
          <w:highlight w:val="none"/>
        </w:rPr>
      </w:pPr>
      <w:r>
        <w:rPr>
          <w:rFonts w:hint="eastAsia" w:ascii="仿宋" w:hAnsi="仿宋" w:eastAsia="仿宋" w:cs="Times New Roman"/>
          <w:b/>
          <w:bCs/>
          <w:sz w:val="24"/>
          <w:highlight w:val="none"/>
        </w:rPr>
        <w:t>第二条 履行期限、地点和方式</w:t>
      </w:r>
    </w:p>
    <w:p w14:paraId="6500997E">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2.1项目起止时间:本项目评估服务工作自</w:t>
      </w:r>
      <w:r>
        <w:rPr>
          <w:rFonts w:hint="eastAsia" w:ascii="仿宋" w:hAnsi="仿宋" w:eastAsia="仿宋" w:cs="Times New Roman"/>
          <w:sz w:val="24"/>
          <w:highlight w:val="none"/>
          <w:u w:val="single"/>
          <w:lang w:val="en-US" w:eastAsia="zh-CN"/>
        </w:rPr>
        <w:t>合同签订之日起</w:t>
      </w:r>
      <w:r>
        <w:rPr>
          <w:rFonts w:hint="eastAsia" w:ascii="仿宋" w:hAnsi="仿宋" w:eastAsia="仿宋" w:cs="Times New Roman"/>
          <w:sz w:val="24"/>
          <w:highlight w:val="none"/>
        </w:rPr>
        <w:t>至</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年</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月</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日，乙方应完成评估工作</w:t>
      </w:r>
      <w:r>
        <w:rPr>
          <w:rFonts w:hint="eastAsia" w:ascii="仿宋" w:hAnsi="仿宋" w:eastAsia="仿宋" w:cs="Times New Roman"/>
          <w:sz w:val="24"/>
          <w:highlight w:val="none"/>
          <w:lang w:eastAsia="zh-CN"/>
        </w:rPr>
        <w:t>并</w:t>
      </w:r>
      <w:r>
        <w:rPr>
          <w:rFonts w:hint="eastAsia" w:ascii="仿宋" w:hAnsi="仿宋" w:eastAsia="仿宋" w:cs="Times New Roman"/>
          <w:sz w:val="24"/>
          <w:highlight w:val="none"/>
        </w:rPr>
        <w:t>提交最终工作成果</w:t>
      </w:r>
      <w:r>
        <w:rPr>
          <w:rFonts w:hint="eastAsia" w:ascii="仿宋" w:hAnsi="仿宋" w:eastAsia="仿宋" w:cs="Times New Roman"/>
          <w:sz w:val="24"/>
          <w:highlight w:val="none"/>
          <w:lang w:eastAsia="zh-CN"/>
        </w:rPr>
        <w:t>，支撑甲方取得本合同约定证书</w:t>
      </w:r>
      <w:r>
        <w:rPr>
          <w:rFonts w:hint="eastAsia" w:ascii="仿宋" w:hAnsi="仿宋" w:eastAsia="仿宋" w:cs="Times New Roman"/>
          <w:sz w:val="24"/>
          <w:highlight w:val="none"/>
        </w:rPr>
        <w:t>。</w:t>
      </w:r>
    </w:p>
    <w:p w14:paraId="1773A95F">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2.2项目进度安排：乙方</w:t>
      </w:r>
      <w:r>
        <w:rPr>
          <w:rFonts w:hint="eastAsia" w:ascii="仿宋" w:hAnsi="仿宋" w:eastAsia="仿宋" w:cs="Times New Roman"/>
          <w:sz w:val="24"/>
          <w:highlight w:val="none"/>
          <w:lang w:eastAsia="zh-CN"/>
        </w:rPr>
        <w:t>按本合同约定节点</w:t>
      </w:r>
      <w:r>
        <w:rPr>
          <w:rFonts w:hint="eastAsia" w:ascii="仿宋" w:hAnsi="仿宋" w:eastAsia="仿宋" w:cs="Times New Roman"/>
          <w:sz w:val="24"/>
          <w:highlight w:val="none"/>
        </w:rPr>
        <w:t>制定合理的项目实施计划，开展评估工作并提交相应的成果。</w:t>
      </w:r>
    </w:p>
    <w:p w14:paraId="67A5584D">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2.3项目履行方式：由甲方提供合同要求协作事项的条件。由乙方向甲方提供</w:t>
      </w:r>
      <w:r>
        <w:rPr>
          <w:rFonts w:hint="eastAsia" w:ascii="仿宋" w:hAnsi="仿宋" w:eastAsia="仿宋"/>
          <w:sz w:val="24"/>
          <w:highlight w:val="none"/>
        </w:rPr>
        <w:t>两化融合管理体系</w:t>
      </w:r>
      <w:r>
        <w:rPr>
          <w:rFonts w:hint="eastAsia" w:ascii="仿宋" w:hAnsi="仿宋" w:eastAsia="仿宋"/>
          <w:sz w:val="24"/>
          <w:highlight w:val="none"/>
          <w:lang w:eastAsia="zh-CN"/>
        </w:rPr>
        <w:t>（</w:t>
      </w:r>
      <w:r>
        <w:rPr>
          <w:rFonts w:hint="eastAsia" w:ascii="仿宋" w:hAnsi="仿宋" w:eastAsia="仿宋"/>
          <w:sz w:val="24"/>
          <w:highlight w:val="none"/>
        </w:rPr>
        <w:t>AAA级</w:t>
      </w:r>
      <w:r>
        <w:rPr>
          <w:rFonts w:hint="eastAsia" w:ascii="仿宋" w:hAnsi="仿宋" w:eastAsia="仿宋"/>
          <w:sz w:val="24"/>
          <w:highlight w:val="none"/>
          <w:lang w:eastAsia="zh-CN"/>
        </w:rPr>
        <w:t>）</w:t>
      </w:r>
      <w:r>
        <w:rPr>
          <w:rFonts w:hint="eastAsia" w:ascii="仿宋" w:hAnsi="仿宋" w:eastAsia="仿宋"/>
          <w:sz w:val="24"/>
          <w:highlight w:val="none"/>
        </w:rPr>
        <w:t>贯标</w:t>
      </w:r>
      <w:r>
        <w:rPr>
          <w:rFonts w:hint="eastAsia" w:ascii="仿宋" w:hAnsi="仿宋" w:eastAsia="仿宋" w:cs="Times New Roman"/>
          <w:sz w:val="24"/>
          <w:highlight w:val="none"/>
        </w:rPr>
        <w:t>评估服务，内容包括本合同第一条款所列要求。</w:t>
      </w:r>
    </w:p>
    <w:p w14:paraId="23A5BFD1">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2.4项目履行地点：</w:t>
      </w:r>
      <w:r>
        <w:rPr>
          <w:rFonts w:hint="eastAsia" w:ascii="仿宋" w:hAnsi="仿宋" w:eastAsia="仿宋" w:cs="Times New Roman"/>
          <w:sz w:val="24"/>
          <w:highlight w:val="none"/>
          <w:lang w:val="en-US" w:eastAsia="zh-CN"/>
        </w:rPr>
        <w:t>xxxx。</w:t>
      </w:r>
    </w:p>
    <w:p w14:paraId="26FFDA44">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2.5项目联系人：为执行本项目，</w:t>
      </w:r>
      <w:r>
        <w:rPr>
          <w:rFonts w:hint="eastAsia" w:ascii="仿宋" w:hAnsi="仿宋" w:eastAsia="仿宋" w:cs="Times New Roman"/>
          <w:sz w:val="24"/>
          <w:highlight w:val="none"/>
          <w:lang w:val="en-US" w:eastAsia="zh-CN"/>
        </w:rPr>
        <w:t>甲</w:t>
      </w:r>
      <w:r>
        <w:rPr>
          <w:rFonts w:hint="eastAsia" w:ascii="仿宋" w:hAnsi="仿宋" w:eastAsia="仿宋" w:cs="Times New Roman"/>
          <w:sz w:val="24"/>
          <w:highlight w:val="none"/>
        </w:rPr>
        <w:t>方指定</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为项目</w:t>
      </w:r>
      <w:r>
        <w:rPr>
          <w:rFonts w:hint="eastAsia" w:ascii="仿宋" w:hAnsi="仿宋" w:eastAsia="仿宋" w:cs="Times New Roman"/>
          <w:sz w:val="24"/>
          <w:highlight w:val="none"/>
          <w:lang w:eastAsia="zh-CN"/>
        </w:rPr>
        <w:t>负责人</w:t>
      </w:r>
      <w:r>
        <w:rPr>
          <w:rFonts w:hint="eastAsia" w:ascii="仿宋" w:hAnsi="仿宋" w:eastAsia="仿宋" w:cs="Times New Roman"/>
          <w:sz w:val="24"/>
          <w:highlight w:val="none"/>
        </w:rPr>
        <w:t>，</w:t>
      </w:r>
      <w:r>
        <w:rPr>
          <w:rFonts w:hint="eastAsia" w:ascii="仿宋" w:hAnsi="仿宋" w:eastAsia="仿宋" w:cs="Times New Roman"/>
          <w:sz w:val="24"/>
          <w:highlight w:val="none"/>
          <w:lang w:val="en-US" w:eastAsia="zh-CN"/>
        </w:rPr>
        <w:t>乙</w:t>
      </w:r>
      <w:r>
        <w:rPr>
          <w:rFonts w:hint="eastAsia" w:ascii="仿宋" w:hAnsi="仿宋" w:eastAsia="仿宋" w:cs="Times New Roman"/>
          <w:sz w:val="24"/>
          <w:highlight w:val="none"/>
        </w:rPr>
        <w:t>方指定</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lang w:val="en-US" w:eastAsia="zh-CN"/>
        </w:rPr>
        <w:t>为</w:t>
      </w:r>
      <w:r>
        <w:rPr>
          <w:rFonts w:hint="eastAsia" w:ascii="仿宋" w:hAnsi="仿宋" w:eastAsia="仿宋" w:cs="Times New Roman"/>
          <w:sz w:val="24"/>
          <w:highlight w:val="none"/>
        </w:rPr>
        <w:t>项目</w:t>
      </w:r>
      <w:r>
        <w:rPr>
          <w:rFonts w:hint="eastAsia" w:ascii="仿宋" w:hAnsi="仿宋" w:eastAsia="仿宋" w:cs="Times New Roman"/>
          <w:sz w:val="24"/>
          <w:highlight w:val="none"/>
          <w:lang w:eastAsia="zh-CN"/>
        </w:rPr>
        <w:t>负责人</w:t>
      </w:r>
      <w:r>
        <w:rPr>
          <w:rFonts w:hint="eastAsia" w:ascii="仿宋" w:hAnsi="仿宋" w:eastAsia="仿宋" w:cs="Times New Roman"/>
          <w:sz w:val="24"/>
          <w:highlight w:val="none"/>
        </w:rPr>
        <w:t>，甲乙双方应将上述人员及联系方式在本合同签署时书面通知对方。</w:t>
      </w:r>
    </w:p>
    <w:p w14:paraId="7242CE63">
      <w:pPr>
        <w:tabs>
          <w:tab w:val="left" w:pos="757"/>
        </w:tabs>
        <w:spacing w:line="360" w:lineRule="auto"/>
        <w:ind w:firstLine="482" w:firstLineChars="200"/>
        <w:jc w:val="both"/>
        <w:rPr>
          <w:rFonts w:hint="eastAsia" w:ascii="仿宋" w:hAnsi="仿宋" w:eastAsia="仿宋" w:cs="Times New Roman"/>
          <w:b/>
          <w:bCs/>
          <w:sz w:val="24"/>
          <w:highlight w:val="none"/>
        </w:rPr>
      </w:pPr>
      <w:r>
        <w:rPr>
          <w:rFonts w:hint="eastAsia" w:ascii="仿宋" w:hAnsi="仿宋" w:eastAsia="仿宋" w:cs="Times New Roman"/>
          <w:b/>
          <w:bCs/>
          <w:sz w:val="24"/>
          <w:highlight w:val="none"/>
        </w:rPr>
        <w:t>第三条 合同金额和支付方式</w:t>
      </w:r>
    </w:p>
    <w:p w14:paraId="7D1C49DA">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3.1评估委托合同的</w:t>
      </w:r>
      <w:r>
        <w:rPr>
          <w:rFonts w:hint="eastAsia" w:ascii="仿宋" w:hAnsi="仿宋" w:eastAsia="仿宋" w:cs="Times New Roman"/>
          <w:sz w:val="24"/>
          <w:highlight w:val="none"/>
          <w:lang w:eastAsia="zh-CN"/>
        </w:rPr>
        <w:t>服务费含税</w:t>
      </w:r>
      <w:r>
        <w:rPr>
          <w:rFonts w:hint="eastAsia" w:ascii="仿宋" w:hAnsi="仿宋" w:eastAsia="仿宋" w:cs="Times New Roman"/>
          <w:sz w:val="24"/>
          <w:highlight w:val="none"/>
        </w:rPr>
        <w:t>总额为 ￥</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元（大写人民币：</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w:t>
      </w:r>
      <w:r>
        <w:rPr>
          <w:rFonts w:hint="eastAsia" w:ascii="仿宋" w:hAnsi="仿宋" w:eastAsia="仿宋" w:cs="Times New Roman"/>
          <w:sz w:val="24"/>
          <w:highlight w:val="none"/>
          <w:lang w:eastAsia="zh-CN"/>
        </w:rPr>
        <w:t>，税率为</w:t>
      </w:r>
      <w:r>
        <w:rPr>
          <w:rFonts w:hint="eastAsia" w:ascii="仿宋" w:hAnsi="仿宋" w:eastAsia="仿宋" w:cs="Times New Roman"/>
          <w:sz w:val="24"/>
          <w:highlight w:val="none"/>
          <w:u w:val="single"/>
          <w:lang w:val="en-US" w:eastAsia="zh-CN"/>
        </w:rPr>
        <w:t>6</w:t>
      </w:r>
      <w:r>
        <w:rPr>
          <w:rFonts w:hint="eastAsia" w:ascii="仿宋" w:hAnsi="仿宋" w:eastAsia="仿宋" w:cs="Times New Roman"/>
          <w:sz w:val="24"/>
          <w:highlight w:val="none"/>
          <w:lang w:val="en-US" w:eastAsia="zh-CN"/>
        </w:rPr>
        <w:t>%，不含税金额为</w:t>
      </w:r>
      <w:r>
        <w:rPr>
          <w:rFonts w:hint="eastAsia" w:ascii="仿宋" w:hAnsi="仿宋" w:eastAsia="仿宋" w:cs="Times New Roman"/>
          <w:sz w:val="24"/>
          <w:highlight w:val="none"/>
        </w:rPr>
        <w:t>￥</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元</w:t>
      </w:r>
      <w:r>
        <w:rPr>
          <w:rFonts w:hint="eastAsia" w:ascii="仿宋" w:hAnsi="仿宋" w:eastAsia="仿宋" w:cs="Times New Roman"/>
          <w:sz w:val="24"/>
          <w:highlight w:val="none"/>
          <w:lang w:eastAsia="zh-CN"/>
        </w:rPr>
        <w:t>（大写人民币：</w:t>
      </w:r>
      <w:r>
        <w:rPr>
          <w:rFonts w:hint="eastAsia" w:ascii="仿宋" w:hAnsi="仿宋" w:eastAsia="仿宋" w:cs="Times New Roman"/>
          <w:sz w:val="24"/>
          <w:highlight w:val="none"/>
          <w:lang w:val="en-US" w:eastAsia="zh-CN"/>
        </w:rPr>
        <w:t xml:space="preserve">   </w:t>
      </w:r>
      <w:r>
        <w:rPr>
          <w:rFonts w:hint="eastAsia" w:ascii="仿宋" w:hAnsi="仿宋" w:eastAsia="仿宋" w:cs="Times New Roman"/>
          <w:sz w:val="24"/>
          <w:highlight w:val="none"/>
          <w:lang w:eastAsia="zh-CN"/>
        </w:rPr>
        <w:t>）</w:t>
      </w:r>
      <w:r>
        <w:rPr>
          <w:rFonts w:hint="eastAsia" w:ascii="仿宋" w:hAnsi="仿宋" w:eastAsia="仿宋" w:cs="Times New Roman"/>
          <w:sz w:val="24"/>
          <w:highlight w:val="none"/>
        </w:rPr>
        <w:t>。</w:t>
      </w:r>
    </w:p>
    <w:p w14:paraId="0449E8B5">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3.2此次委托</w:t>
      </w:r>
      <w:r>
        <w:rPr>
          <w:rFonts w:hint="eastAsia" w:ascii="仿宋" w:hAnsi="仿宋" w:eastAsia="仿宋" w:cs="Times New Roman"/>
          <w:sz w:val="24"/>
          <w:highlight w:val="none"/>
          <w:lang w:val="en-US" w:eastAsia="zh-CN"/>
        </w:rPr>
        <w:t>咨询、</w:t>
      </w:r>
      <w:r>
        <w:rPr>
          <w:rFonts w:hint="eastAsia" w:ascii="仿宋" w:hAnsi="仿宋" w:eastAsia="仿宋" w:cs="Times New Roman"/>
          <w:sz w:val="24"/>
          <w:highlight w:val="none"/>
        </w:rPr>
        <w:t>评估，乙方派出</w:t>
      </w:r>
      <w:r>
        <w:rPr>
          <w:rFonts w:hint="eastAsia" w:ascii="仿宋" w:hAnsi="仿宋" w:eastAsia="仿宋" w:cs="Times New Roman"/>
          <w:sz w:val="24"/>
          <w:highlight w:val="none"/>
          <w:lang w:eastAsia="zh-CN"/>
        </w:rPr>
        <w:t>咨询</w:t>
      </w:r>
      <w:r>
        <w:rPr>
          <w:rFonts w:hint="eastAsia" w:ascii="仿宋" w:hAnsi="仿宋" w:eastAsia="仿宋" w:cs="Times New Roman"/>
          <w:sz w:val="24"/>
          <w:highlight w:val="none"/>
        </w:rPr>
        <w:t>评估人员的报酬、交通、食宿等费用由乙方负责。</w:t>
      </w:r>
    </w:p>
    <w:p w14:paraId="7F1BFC0A">
      <w:pPr>
        <w:tabs>
          <w:tab w:val="left" w:pos="757"/>
        </w:tabs>
        <w:spacing w:line="360" w:lineRule="auto"/>
        <w:ind w:firstLine="480" w:firstLineChars="200"/>
        <w:jc w:val="both"/>
        <w:rPr>
          <w:rFonts w:hint="eastAsia" w:ascii="仿宋" w:hAnsi="仿宋" w:eastAsia="仿宋" w:cs="Times New Roman"/>
          <w:sz w:val="24"/>
          <w:highlight w:val="none"/>
          <w:lang w:val="en-US" w:eastAsia="zh-CN"/>
        </w:rPr>
      </w:pPr>
      <w:r>
        <w:rPr>
          <w:rFonts w:hint="eastAsia" w:ascii="仿宋" w:hAnsi="仿宋" w:eastAsia="仿宋" w:cs="Times New Roman"/>
          <w:sz w:val="24"/>
          <w:highlight w:val="none"/>
        </w:rPr>
        <w:t>3.3 合同签署生效后</w:t>
      </w:r>
      <w:r>
        <w:rPr>
          <w:rFonts w:hint="eastAsia" w:ascii="仿宋" w:hAnsi="仿宋" w:eastAsia="仿宋" w:cs="Times New Roman"/>
          <w:sz w:val="24"/>
          <w:highlight w:val="none"/>
          <w:lang w:eastAsia="zh-CN"/>
        </w:rPr>
        <w:t>，乙方向甲方提供合同总金额</w:t>
      </w:r>
      <w:r>
        <w:rPr>
          <w:rFonts w:hint="eastAsia" w:ascii="仿宋" w:hAnsi="仿宋" w:eastAsia="仿宋" w:cs="Times New Roman"/>
          <w:sz w:val="24"/>
          <w:highlight w:val="none"/>
          <w:lang w:val="en-US" w:eastAsia="zh-CN"/>
        </w:rPr>
        <w:t>30%的增值税专用发票，甲方收到发票后15日内向乙方支付合同总金额的30%</w:t>
      </w:r>
      <w:r>
        <w:rPr>
          <w:rFonts w:hint="eastAsia" w:ascii="仿宋" w:hAnsi="仿宋" w:eastAsia="仿宋" w:cs="Times New Roman"/>
          <w:sz w:val="24"/>
          <w:highlight w:val="none"/>
          <w:lang w:eastAsia="zh-CN"/>
        </w:rPr>
        <w:t>；</w:t>
      </w:r>
      <w:r>
        <w:rPr>
          <w:rFonts w:hint="eastAsia" w:ascii="仿宋" w:hAnsi="仿宋" w:eastAsia="仿宋" w:cs="Times New Roman"/>
          <w:sz w:val="24"/>
          <w:highlight w:val="none"/>
          <w:lang w:val="en-US" w:eastAsia="zh-CN"/>
        </w:rPr>
        <w:t>乙方按本合同约定节点开展咨询、预评估、评估、复核等工作，保证甲方在2025年12月30日之前取得两化融合管理体系评定证书（AAA级）,甲方取得上述证书后，乙方向甲方提供合同总金额70%的增值税专用发票，甲方收到发票后15日内向乙方支付合同总金额的70%。</w:t>
      </w:r>
    </w:p>
    <w:p w14:paraId="13A86B5C">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若甲方未取得该证书，甲方有权按本合同约定单方解除合同，合同自解除通知书面送达之日解除，乙方应在合同解除后3-5个工作日内将已付款全额退还至甲方指定如下银行账户：</w:t>
      </w:r>
    </w:p>
    <w:p w14:paraId="370606C1">
      <w:pPr>
        <w:tabs>
          <w:tab w:val="left" w:pos="757"/>
        </w:tabs>
        <w:spacing w:line="360" w:lineRule="auto"/>
        <w:ind w:firstLine="480" w:firstLineChars="200"/>
        <w:jc w:val="both"/>
        <w:rPr>
          <w:rFonts w:hint="eastAsia"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户    名：</w:t>
      </w:r>
    </w:p>
    <w:p w14:paraId="7812B40E">
      <w:pPr>
        <w:tabs>
          <w:tab w:val="left" w:pos="757"/>
        </w:tabs>
        <w:spacing w:line="360" w:lineRule="auto"/>
        <w:ind w:firstLine="480" w:firstLineChars="200"/>
        <w:jc w:val="both"/>
        <w:rPr>
          <w:rFonts w:hint="default"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纳税人识别号：</w:t>
      </w:r>
    </w:p>
    <w:p w14:paraId="2596DE8C">
      <w:pPr>
        <w:tabs>
          <w:tab w:val="left" w:pos="757"/>
        </w:tabs>
        <w:spacing w:line="360" w:lineRule="auto"/>
        <w:ind w:firstLine="480" w:firstLineChars="200"/>
        <w:jc w:val="both"/>
        <w:rPr>
          <w:rFonts w:hint="eastAsia" w:ascii="仿宋" w:hAnsi="仿宋" w:eastAsia="仿宋" w:cs="Times New Roman"/>
          <w:sz w:val="24"/>
          <w:highlight w:val="none"/>
          <w:lang w:eastAsia="zh-CN"/>
        </w:rPr>
      </w:pPr>
      <w:r>
        <w:rPr>
          <w:rFonts w:hint="default" w:ascii="仿宋" w:hAnsi="仿宋" w:eastAsia="仿宋" w:cs="Times New Roman"/>
          <w:sz w:val="24"/>
          <w:highlight w:val="none"/>
        </w:rPr>
        <w:t>开户银行：</w:t>
      </w:r>
    </w:p>
    <w:p w14:paraId="1E9D6544">
      <w:pPr>
        <w:tabs>
          <w:tab w:val="left" w:pos="757"/>
        </w:tabs>
        <w:spacing w:line="360" w:lineRule="auto"/>
        <w:ind w:firstLine="480" w:firstLineChars="200"/>
        <w:jc w:val="both"/>
        <w:rPr>
          <w:rFonts w:hint="eastAsia" w:ascii="仿宋" w:hAnsi="仿宋" w:eastAsia="仿宋" w:cs="Times New Roman"/>
          <w:sz w:val="24"/>
          <w:highlight w:val="none"/>
        </w:rPr>
      </w:pPr>
      <w:r>
        <w:rPr>
          <w:rFonts w:hint="default" w:ascii="仿宋" w:hAnsi="仿宋" w:eastAsia="仿宋" w:cs="Times New Roman"/>
          <w:sz w:val="24"/>
          <w:highlight w:val="none"/>
        </w:rPr>
        <w:t>账    号：</w:t>
      </w:r>
    </w:p>
    <w:p w14:paraId="6BBC7575">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3.3甲方以转账方式支付至乙方指定银行账户：</w:t>
      </w:r>
    </w:p>
    <w:p w14:paraId="11B666B8">
      <w:pPr>
        <w:tabs>
          <w:tab w:val="left" w:pos="757"/>
        </w:tabs>
        <w:spacing w:line="360" w:lineRule="auto"/>
        <w:ind w:firstLine="480" w:firstLineChars="200"/>
        <w:jc w:val="both"/>
        <w:rPr>
          <w:rFonts w:hint="default"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户    名：</w:t>
      </w:r>
      <w:r>
        <w:rPr>
          <w:rFonts w:hint="eastAsia" w:ascii="仿宋" w:hAnsi="仿宋" w:eastAsia="仿宋" w:cs="Times New Roman"/>
          <w:sz w:val="24"/>
          <w:highlight w:val="none"/>
          <w:u w:val="single"/>
          <w:lang w:val="en-US" w:eastAsia="zh-CN"/>
        </w:rPr>
        <w:t xml:space="preserve">                        </w:t>
      </w:r>
    </w:p>
    <w:p w14:paraId="6009006F">
      <w:pPr>
        <w:tabs>
          <w:tab w:val="left" w:pos="757"/>
        </w:tabs>
        <w:spacing w:line="360" w:lineRule="auto"/>
        <w:ind w:firstLine="480" w:firstLineChars="200"/>
        <w:jc w:val="both"/>
        <w:rPr>
          <w:rFonts w:hint="default"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纳税人识别号：</w:t>
      </w:r>
      <w:r>
        <w:rPr>
          <w:rFonts w:hint="eastAsia" w:ascii="仿宋" w:hAnsi="仿宋" w:eastAsia="仿宋" w:cs="Times New Roman"/>
          <w:sz w:val="24"/>
          <w:highlight w:val="none"/>
          <w:u w:val="single"/>
          <w:lang w:val="en-US" w:eastAsia="zh-CN"/>
        </w:rPr>
        <w:t xml:space="preserve">                    </w:t>
      </w:r>
    </w:p>
    <w:p w14:paraId="3C4C2C60">
      <w:pPr>
        <w:tabs>
          <w:tab w:val="left" w:pos="757"/>
        </w:tabs>
        <w:spacing w:line="360" w:lineRule="auto"/>
        <w:ind w:firstLine="480" w:firstLineChars="200"/>
        <w:jc w:val="both"/>
        <w:rPr>
          <w:rFonts w:hint="default" w:ascii="仿宋" w:hAnsi="仿宋" w:eastAsia="仿宋" w:cs="Times New Roman"/>
          <w:sz w:val="24"/>
          <w:highlight w:val="none"/>
          <w:lang w:eastAsia="zh-CN"/>
        </w:rPr>
      </w:pPr>
      <w:r>
        <w:rPr>
          <w:rFonts w:hint="default" w:ascii="仿宋" w:hAnsi="仿宋" w:eastAsia="仿宋" w:cs="Times New Roman"/>
          <w:sz w:val="24"/>
          <w:highlight w:val="none"/>
        </w:rPr>
        <w:t>开户银行：</w:t>
      </w:r>
      <w:r>
        <w:rPr>
          <w:rFonts w:hint="eastAsia" w:ascii="仿宋" w:hAnsi="仿宋" w:eastAsia="仿宋" w:cs="Times New Roman"/>
          <w:sz w:val="24"/>
          <w:highlight w:val="none"/>
          <w:u w:val="single"/>
          <w:lang w:val="en-US" w:eastAsia="zh-CN"/>
        </w:rPr>
        <w:t xml:space="preserve">                        </w:t>
      </w:r>
    </w:p>
    <w:p w14:paraId="0CFF1BD5">
      <w:pPr>
        <w:tabs>
          <w:tab w:val="left" w:pos="757"/>
        </w:tabs>
        <w:spacing w:line="360" w:lineRule="auto"/>
        <w:ind w:firstLine="480" w:firstLineChars="200"/>
        <w:jc w:val="both"/>
        <w:rPr>
          <w:rFonts w:hint="eastAsia" w:ascii="仿宋" w:hAnsi="仿宋" w:eastAsia="仿宋" w:cs="Times New Roman"/>
          <w:sz w:val="24"/>
          <w:highlight w:val="none"/>
          <w:u w:val="single"/>
          <w:lang w:val="en-US" w:eastAsia="zh-CN"/>
        </w:rPr>
      </w:pPr>
      <w:r>
        <w:rPr>
          <w:rFonts w:hint="default" w:ascii="仿宋" w:hAnsi="仿宋" w:eastAsia="仿宋" w:cs="Times New Roman"/>
          <w:sz w:val="24"/>
          <w:highlight w:val="none"/>
        </w:rPr>
        <w:t>账    号：</w:t>
      </w:r>
      <w:r>
        <w:rPr>
          <w:rFonts w:hint="eastAsia" w:ascii="仿宋" w:hAnsi="仿宋" w:eastAsia="仿宋" w:cs="Times New Roman"/>
          <w:sz w:val="24"/>
          <w:highlight w:val="none"/>
          <w:u w:val="single"/>
          <w:lang w:val="en-US" w:eastAsia="zh-CN"/>
        </w:rPr>
        <w:t xml:space="preserve">                        </w:t>
      </w:r>
    </w:p>
    <w:p w14:paraId="5BE072F8">
      <w:pPr>
        <w:pStyle w:val="2"/>
        <w:keepNext w:val="0"/>
        <w:keepLines w:val="0"/>
        <w:pageBreakBefore w:val="0"/>
        <w:widowControl w:val="0"/>
        <w:kinsoku/>
        <w:wordWrap/>
        <w:overflowPunct w:val="0"/>
        <w:topLinePunct w:val="0"/>
        <w:autoSpaceDE w:val="0"/>
        <w:autoSpaceDN w:val="0"/>
        <w:bidi w:val="0"/>
        <w:adjustRightInd w:val="0"/>
        <w:snapToGrid/>
        <w:spacing w:line="360" w:lineRule="auto"/>
        <w:ind w:firstLine="480" w:firstLineChars="200"/>
        <w:textAlignment w:val="baseline"/>
        <w:rPr>
          <w:rFonts w:hint="default"/>
          <w:u w:val="none"/>
          <w:lang w:val="en-US" w:eastAsia="zh-CN"/>
        </w:rPr>
      </w:pPr>
      <w:r>
        <w:rPr>
          <w:rFonts w:hint="eastAsia" w:ascii="仿宋" w:hAnsi="仿宋" w:eastAsia="仿宋" w:cs="Times New Roman"/>
          <w:sz w:val="24"/>
          <w:highlight w:val="none"/>
          <w:u w:val="none"/>
          <w:lang w:val="en-US" w:eastAsia="zh-CN"/>
        </w:rPr>
        <w:t>3.4 乙方未按本合同约定提供发票的，甲方有权顺延付款期限，相应责任由乙方承担。</w:t>
      </w:r>
    </w:p>
    <w:p w14:paraId="751EC052">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Times New Roman"/>
          <w:b/>
          <w:bCs/>
          <w:sz w:val="24"/>
          <w:highlight w:val="none"/>
        </w:rPr>
      </w:pPr>
      <w:r>
        <w:rPr>
          <w:rFonts w:hint="eastAsia" w:ascii="仿宋" w:hAnsi="仿宋" w:eastAsia="仿宋" w:cs="Times New Roman"/>
          <w:b/>
          <w:bCs/>
          <w:sz w:val="24"/>
          <w:highlight w:val="none"/>
        </w:rPr>
        <w:t>第四条 甲方的权利和义务</w:t>
      </w:r>
    </w:p>
    <w:p w14:paraId="59FCC972">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4.1 甲方应按本合同约定支付合同价款。</w:t>
      </w:r>
    </w:p>
    <w:p w14:paraId="359721D1">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4.2 甲方有权随时了解乙方的工作进展情况。</w:t>
      </w:r>
    </w:p>
    <w:p w14:paraId="4E54060E">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4.3甲方在评估活动中应遵循真实守信原则，不提供虚假信息。</w:t>
      </w:r>
    </w:p>
    <w:p w14:paraId="1975C63E">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4.4 甲方应提供保障评估活动正常开展的会议室、电源、网络等工作条件。</w:t>
      </w:r>
    </w:p>
    <w:p w14:paraId="55953365">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4.5 甲方应积极配合乙方评估工作，按计划保障评估时间和参与评估人员，不得影响评估的完整性和公正性。</w:t>
      </w:r>
    </w:p>
    <w:p w14:paraId="13F87DA3">
      <w:pPr>
        <w:tabs>
          <w:tab w:val="left" w:pos="757"/>
        </w:tabs>
        <w:spacing w:line="360" w:lineRule="auto"/>
        <w:ind w:firstLine="482" w:firstLineChars="200"/>
        <w:jc w:val="both"/>
        <w:rPr>
          <w:rFonts w:hint="eastAsia" w:ascii="仿宋" w:hAnsi="仿宋" w:eastAsia="仿宋" w:cs="Times New Roman"/>
          <w:b/>
          <w:bCs/>
          <w:sz w:val="24"/>
          <w:highlight w:val="none"/>
        </w:rPr>
      </w:pPr>
      <w:r>
        <w:rPr>
          <w:rFonts w:hint="eastAsia" w:ascii="仿宋" w:hAnsi="仿宋" w:eastAsia="仿宋" w:cs="Times New Roman"/>
          <w:b/>
          <w:bCs/>
          <w:sz w:val="24"/>
          <w:highlight w:val="none"/>
        </w:rPr>
        <w:t>第五条 乙方的权利和义务</w:t>
      </w:r>
    </w:p>
    <w:p w14:paraId="7839900F">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5.1乙方应根据本合同的约定提供服务并提交工作成果。</w:t>
      </w:r>
    </w:p>
    <w:p w14:paraId="45AFD13E">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5.2 乙方派遣具有相应资格、能够胜任本项目的评估和咨询人员。</w:t>
      </w:r>
    </w:p>
    <w:p w14:paraId="4E41F692">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5.3乙方应在开展评估前5个工作日将评估计划通知甲方以及被评估企业，并按评估计划实施</w:t>
      </w:r>
      <w:r>
        <w:rPr>
          <w:rFonts w:hint="eastAsia" w:ascii="仿宋" w:hAnsi="仿宋" w:eastAsia="仿宋"/>
          <w:sz w:val="24"/>
          <w:highlight w:val="none"/>
        </w:rPr>
        <w:t>两化融合管理体系</w:t>
      </w:r>
      <w:r>
        <w:rPr>
          <w:rFonts w:hint="eastAsia" w:ascii="仿宋" w:hAnsi="仿宋" w:eastAsia="仿宋"/>
          <w:sz w:val="24"/>
          <w:highlight w:val="none"/>
          <w:lang w:eastAsia="zh-CN"/>
        </w:rPr>
        <w:t>（</w:t>
      </w:r>
      <w:r>
        <w:rPr>
          <w:rFonts w:hint="eastAsia" w:ascii="仿宋" w:hAnsi="仿宋" w:eastAsia="仿宋"/>
          <w:sz w:val="24"/>
          <w:highlight w:val="none"/>
        </w:rPr>
        <w:t>AAA级</w:t>
      </w:r>
      <w:r>
        <w:rPr>
          <w:rFonts w:hint="eastAsia" w:ascii="仿宋" w:hAnsi="仿宋" w:eastAsia="仿宋"/>
          <w:sz w:val="24"/>
          <w:highlight w:val="none"/>
          <w:lang w:eastAsia="zh-CN"/>
        </w:rPr>
        <w:t>）</w:t>
      </w:r>
      <w:r>
        <w:rPr>
          <w:rFonts w:hint="eastAsia" w:ascii="仿宋" w:hAnsi="仿宋" w:eastAsia="仿宋"/>
          <w:sz w:val="24"/>
          <w:highlight w:val="none"/>
        </w:rPr>
        <w:t>贯标</w:t>
      </w:r>
      <w:r>
        <w:rPr>
          <w:rFonts w:hint="eastAsia" w:ascii="仿宋" w:hAnsi="仿宋" w:eastAsia="仿宋" w:cs="Times New Roman"/>
          <w:sz w:val="24"/>
          <w:highlight w:val="none"/>
        </w:rPr>
        <w:t>评估工作。</w:t>
      </w:r>
    </w:p>
    <w:p w14:paraId="7A77D17D">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5.4 乙方应以本合同约定的标准为依据，独立、客观公正的开展评估工作。</w:t>
      </w:r>
    </w:p>
    <w:p w14:paraId="038B50CB">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5.5乙方应根据评估报告及相关验证结果，结合其他相关信息进行综合评价，给出评定结论。</w:t>
      </w:r>
    </w:p>
    <w:p w14:paraId="1A046E85">
      <w:pPr>
        <w:tabs>
          <w:tab w:val="left" w:pos="757"/>
        </w:tabs>
        <w:spacing w:line="360" w:lineRule="auto"/>
        <w:ind w:firstLine="480" w:firstLineChars="200"/>
        <w:jc w:val="both"/>
        <w:rPr>
          <w:rFonts w:hint="eastAsia" w:ascii="仿宋" w:hAnsi="仿宋" w:eastAsia="仿宋" w:cs="Times New Roman"/>
          <w:sz w:val="24"/>
          <w:highlight w:val="none"/>
          <w:lang w:eastAsia="zh-CN"/>
        </w:rPr>
      </w:pPr>
      <w:r>
        <w:rPr>
          <w:rFonts w:hint="eastAsia" w:ascii="仿宋" w:hAnsi="仿宋" w:eastAsia="仿宋" w:cs="Times New Roman"/>
          <w:sz w:val="24"/>
          <w:highlight w:val="none"/>
        </w:rPr>
        <w:t>5.6乙方对甲方提供的资料，</w:t>
      </w:r>
      <w:r>
        <w:rPr>
          <w:rFonts w:hint="eastAsia" w:ascii="仿宋" w:hAnsi="仿宋" w:eastAsia="仿宋" w:cs="Times New Roman"/>
          <w:sz w:val="24"/>
          <w:highlight w:val="none"/>
          <w:lang w:eastAsia="zh-Hans"/>
        </w:rPr>
        <w:t>包括不限于</w:t>
      </w:r>
      <w:r>
        <w:rPr>
          <w:rFonts w:hint="eastAsia" w:ascii="仿宋" w:hAnsi="仿宋" w:eastAsia="仿宋" w:cs="Times New Roman"/>
          <w:sz w:val="24"/>
          <w:highlight w:val="none"/>
        </w:rPr>
        <w:t>如企业评估所需的调查数据和企业发展、信息化建设方面的规划材料等，</w:t>
      </w:r>
      <w:r>
        <w:rPr>
          <w:rFonts w:hint="eastAsia" w:ascii="仿宋" w:hAnsi="仿宋" w:eastAsia="仿宋" w:cs="Times New Roman"/>
          <w:sz w:val="24"/>
          <w:highlight w:val="none"/>
          <w:lang w:eastAsia="zh-Hans"/>
        </w:rPr>
        <w:t>未经评估企业书面同意，</w:t>
      </w:r>
      <w:r>
        <w:rPr>
          <w:rFonts w:hint="eastAsia" w:ascii="仿宋" w:hAnsi="仿宋" w:eastAsia="仿宋" w:cs="Times New Roman"/>
          <w:sz w:val="24"/>
          <w:highlight w:val="none"/>
        </w:rPr>
        <w:t>不得向</w:t>
      </w:r>
      <w:r>
        <w:rPr>
          <w:rFonts w:hint="eastAsia" w:ascii="仿宋" w:hAnsi="仿宋" w:eastAsia="仿宋" w:cs="Times New Roman"/>
          <w:sz w:val="24"/>
          <w:highlight w:val="none"/>
          <w:lang w:eastAsia="zh-Hans"/>
        </w:rPr>
        <w:t>任何</w:t>
      </w:r>
      <w:r>
        <w:rPr>
          <w:rFonts w:hint="eastAsia" w:ascii="仿宋" w:hAnsi="仿宋" w:eastAsia="仿宋" w:cs="Times New Roman"/>
          <w:sz w:val="24"/>
          <w:highlight w:val="none"/>
        </w:rPr>
        <w:t>第三方</w:t>
      </w:r>
      <w:r>
        <w:rPr>
          <w:rFonts w:hint="eastAsia" w:ascii="仿宋" w:hAnsi="仿宋" w:eastAsia="仿宋" w:cs="Times New Roman"/>
          <w:sz w:val="24"/>
          <w:highlight w:val="none"/>
          <w:lang w:eastAsia="zh-CN"/>
        </w:rPr>
        <w:t>披露</w:t>
      </w:r>
      <w:r>
        <w:rPr>
          <w:rFonts w:hint="eastAsia" w:ascii="仿宋" w:hAnsi="仿宋" w:eastAsia="仿宋" w:cs="Times New Roman"/>
          <w:sz w:val="24"/>
          <w:highlight w:val="none"/>
        </w:rPr>
        <w:t>，</w:t>
      </w:r>
      <w:r>
        <w:rPr>
          <w:rFonts w:hint="eastAsia" w:ascii="仿宋" w:hAnsi="仿宋" w:eastAsia="仿宋" w:cs="Times New Roman"/>
          <w:sz w:val="24"/>
          <w:highlight w:val="none"/>
          <w:lang w:eastAsia="zh-Hans"/>
        </w:rPr>
        <w:t>不得用于本项目之外其他目的</w:t>
      </w:r>
      <w:r>
        <w:rPr>
          <w:rFonts w:hint="eastAsia" w:ascii="仿宋" w:hAnsi="仿宋" w:eastAsia="仿宋" w:cs="Times New Roman"/>
          <w:sz w:val="24"/>
          <w:highlight w:val="none"/>
        </w:rPr>
        <w:t>。</w:t>
      </w:r>
      <w:r>
        <w:rPr>
          <w:rFonts w:hint="eastAsia" w:ascii="仿宋" w:hAnsi="仿宋" w:eastAsia="仿宋" w:cs="Times New Roman"/>
          <w:sz w:val="24"/>
          <w:highlight w:val="none"/>
          <w:lang w:eastAsia="zh-CN"/>
        </w:rPr>
        <w:t>本条款独立且长期有效，不因本合同解除、终止等原因而失效。</w:t>
      </w:r>
    </w:p>
    <w:p w14:paraId="4EA5A190">
      <w:pPr>
        <w:tabs>
          <w:tab w:val="left" w:pos="757"/>
        </w:tabs>
        <w:spacing w:line="360" w:lineRule="auto"/>
        <w:ind w:firstLine="482" w:firstLineChars="200"/>
        <w:jc w:val="both"/>
        <w:rPr>
          <w:rFonts w:hint="eastAsia" w:ascii="仿宋" w:hAnsi="仿宋" w:eastAsia="仿宋" w:cs="Times New Roman"/>
          <w:b/>
          <w:bCs/>
          <w:sz w:val="24"/>
          <w:highlight w:val="none"/>
          <w:lang w:eastAsia="zh-CN"/>
        </w:rPr>
      </w:pPr>
      <w:r>
        <w:rPr>
          <w:rFonts w:hint="eastAsia" w:ascii="仿宋" w:hAnsi="仿宋" w:eastAsia="仿宋" w:cs="Times New Roman"/>
          <w:b/>
          <w:bCs/>
          <w:sz w:val="24"/>
          <w:highlight w:val="none"/>
        </w:rPr>
        <w:t xml:space="preserve">第六条 </w:t>
      </w:r>
      <w:r>
        <w:rPr>
          <w:rFonts w:hint="eastAsia" w:ascii="仿宋" w:hAnsi="仿宋" w:eastAsia="仿宋" w:cs="Times New Roman"/>
          <w:b/>
          <w:bCs/>
          <w:sz w:val="24"/>
          <w:highlight w:val="none"/>
          <w:lang w:eastAsia="zh-CN"/>
        </w:rPr>
        <w:t>违约责任</w:t>
      </w:r>
    </w:p>
    <w:p w14:paraId="436CC13A">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Times New Roman"/>
          <w:kern w:val="2"/>
          <w:sz w:val="24"/>
          <w:szCs w:val="24"/>
          <w:highlight w:val="none"/>
          <w:lang w:val="en-US" w:eastAsia="zh-Hans" w:bidi="ar-SA"/>
        </w:rPr>
      </w:pPr>
      <w:r>
        <w:rPr>
          <w:rFonts w:hint="eastAsia" w:ascii="仿宋" w:hAnsi="仿宋" w:eastAsia="仿宋" w:cs="Times New Roman"/>
          <w:kern w:val="2"/>
          <w:sz w:val="24"/>
          <w:szCs w:val="24"/>
          <w:highlight w:val="none"/>
          <w:lang w:val="en-US" w:eastAsia="zh-CN" w:bidi="ar-SA"/>
        </w:rPr>
        <w:t xml:space="preserve">6.1 </w:t>
      </w:r>
      <w:r>
        <w:rPr>
          <w:rFonts w:hint="eastAsia" w:ascii="仿宋" w:hAnsi="仿宋" w:eastAsia="仿宋" w:cs="Times New Roman"/>
          <w:kern w:val="2"/>
          <w:sz w:val="24"/>
          <w:szCs w:val="24"/>
          <w:highlight w:val="none"/>
          <w:lang w:val="en-US" w:eastAsia="zh-Hans" w:bidi="ar-SA"/>
        </w:rPr>
        <w:t>除因甲方或不可抗力外，若乙方未按照合同约定的</w:t>
      </w:r>
      <w:r>
        <w:rPr>
          <w:rFonts w:hint="eastAsia" w:ascii="仿宋" w:hAnsi="仿宋" w:eastAsia="仿宋" w:cs="Times New Roman"/>
          <w:kern w:val="2"/>
          <w:sz w:val="24"/>
          <w:szCs w:val="24"/>
          <w:highlight w:val="none"/>
          <w:lang w:val="en-US" w:eastAsia="zh-CN" w:bidi="ar-SA"/>
        </w:rPr>
        <w:t>里程碑节点完成成果物交付</w:t>
      </w:r>
      <w:r>
        <w:rPr>
          <w:rFonts w:hint="eastAsia" w:ascii="仿宋" w:hAnsi="仿宋" w:eastAsia="仿宋" w:cs="Times New Roman"/>
          <w:kern w:val="2"/>
          <w:sz w:val="24"/>
          <w:szCs w:val="24"/>
          <w:highlight w:val="none"/>
          <w:lang w:val="en-US" w:eastAsia="zh-Hans" w:bidi="ar-SA"/>
        </w:rPr>
        <w:t>，造成甲方无法顺利按期取得证书，每逾期1天，由乙方向甲方支付违约金</w:t>
      </w:r>
      <w:r>
        <w:rPr>
          <w:rFonts w:hint="eastAsia" w:ascii="仿宋" w:hAnsi="仿宋" w:eastAsia="仿宋" w:cs="Times New Roman"/>
          <w:kern w:val="2"/>
          <w:sz w:val="24"/>
          <w:szCs w:val="24"/>
          <w:highlight w:val="none"/>
          <w:lang w:val="en-US" w:eastAsia="zh-CN" w:bidi="ar-SA"/>
        </w:rPr>
        <w:t>500</w:t>
      </w:r>
      <w:r>
        <w:rPr>
          <w:rFonts w:hint="eastAsia" w:ascii="仿宋" w:hAnsi="仿宋" w:eastAsia="仿宋" w:cs="Times New Roman"/>
          <w:kern w:val="2"/>
          <w:sz w:val="24"/>
          <w:szCs w:val="24"/>
          <w:highlight w:val="none"/>
          <w:lang w:val="en-US" w:eastAsia="zh-Hans" w:bidi="ar-SA"/>
        </w:rPr>
        <w:t>元；逾期</w:t>
      </w:r>
      <w:r>
        <w:rPr>
          <w:rFonts w:hint="eastAsia" w:ascii="仿宋" w:hAnsi="仿宋" w:eastAsia="仿宋" w:cs="Times New Roman"/>
          <w:kern w:val="2"/>
          <w:sz w:val="24"/>
          <w:szCs w:val="24"/>
          <w:highlight w:val="none"/>
          <w:lang w:val="en-US" w:eastAsia="zh-CN" w:bidi="ar-SA"/>
        </w:rPr>
        <w:t>超</w:t>
      </w:r>
      <w:r>
        <w:rPr>
          <w:rFonts w:hint="eastAsia" w:ascii="仿宋" w:hAnsi="仿宋" w:eastAsia="仿宋" w:cs="Times New Roman"/>
          <w:kern w:val="2"/>
          <w:sz w:val="24"/>
          <w:szCs w:val="24"/>
          <w:highlight w:val="none"/>
          <w:lang w:val="en-US" w:eastAsia="zh-Hans" w:bidi="ar-SA"/>
        </w:rPr>
        <w:t>10天</w:t>
      </w:r>
      <w:r>
        <w:rPr>
          <w:rFonts w:hint="eastAsia" w:ascii="仿宋" w:hAnsi="仿宋" w:eastAsia="仿宋" w:cs="Times New Roman"/>
          <w:kern w:val="2"/>
          <w:sz w:val="24"/>
          <w:szCs w:val="24"/>
          <w:highlight w:val="none"/>
          <w:lang w:val="en-US" w:eastAsia="zh-CN" w:bidi="ar-SA"/>
        </w:rPr>
        <w:t>的</w:t>
      </w:r>
      <w:r>
        <w:rPr>
          <w:rFonts w:hint="eastAsia" w:ascii="仿宋" w:hAnsi="仿宋" w:eastAsia="仿宋" w:cs="Times New Roman"/>
          <w:kern w:val="2"/>
          <w:sz w:val="24"/>
          <w:szCs w:val="24"/>
          <w:highlight w:val="none"/>
          <w:lang w:val="en-US" w:eastAsia="zh-Hans" w:bidi="ar-SA"/>
        </w:rPr>
        <w:t>，</w:t>
      </w:r>
      <w:r>
        <w:rPr>
          <w:rFonts w:hint="eastAsia" w:ascii="仿宋" w:hAnsi="仿宋" w:eastAsia="仿宋" w:cs="Times New Roman"/>
          <w:kern w:val="2"/>
          <w:sz w:val="24"/>
          <w:szCs w:val="24"/>
          <w:highlight w:val="none"/>
          <w:lang w:val="en-US" w:eastAsia="zh-CN" w:bidi="ar-SA"/>
        </w:rPr>
        <w:t>每天按1000元的标准</w:t>
      </w:r>
      <w:r>
        <w:rPr>
          <w:rFonts w:hint="eastAsia" w:ascii="仿宋" w:hAnsi="仿宋" w:eastAsia="仿宋" w:cs="Times New Roman"/>
          <w:kern w:val="2"/>
          <w:sz w:val="24"/>
          <w:szCs w:val="24"/>
          <w:highlight w:val="none"/>
          <w:lang w:val="en-US" w:eastAsia="zh-Hans" w:bidi="ar-SA"/>
        </w:rPr>
        <w:t>向甲方支付违约金；逾期</w:t>
      </w:r>
      <w:r>
        <w:rPr>
          <w:rFonts w:hint="eastAsia" w:ascii="仿宋" w:hAnsi="仿宋" w:eastAsia="仿宋" w:cs="Times New Roman"/>
          <w:kern w:val="2"/>
          <w:sz w:val="24"/>
          <w:szCs w:val="24"/>
          <w:highlight w:val="none"/>
          <w:lang w:val="en-US" w:eastAsia="zh-CN" w:bidi="ar-SA"/>
        </w:rPr>
        <w:t>超</w:t>
      </w:r>
      <w:r>
        <w:rPr>
          <w:rFonts w:hint="eastAsia" w:ascii="仿宋" w:hAnsi="仿宋" w:eastAsia="仿宋" w:cs="Times New Roman"/>
          <w:kern w:val="2"/>
          <w:sz w:val="24"/>
          <w:szCs w:val="24"/>
          <w:highlight w:val="none"/>
          <w:lang w:val="en-US" w:eastAsia="zh-Hans" w:bidi="ar-SA"/>
        </w:rPr>
        <w:t>15天</w:t>
      </w:r>
      <w:r>
        <w:rPr>
          <w:rFonts w:hint="eastAsia" w:ascii="仿宋" w:hAnsi="仿宋" w:eastAsia="仿宋" w:cs="Times New Roman"/>
          <w:kern w:val="2"/>
          <w:sz w:val="24"/>
          <w:szCs w:val="24"/>
          <w:highlight w:val="none"/>
          <w:lang w:val="en-US" w:eastAsia="zh-CN" w:bidi="ar-SA"/>
        </w:rPr>
        <w:t>的</w:t>
      </w:r>
      <w:r>
        <w:rPr>
          <w:rFonts w:hint="eastAsia" w:ascii="仿宋" w:hAnsi="仿宋" w:eastAsia="仿宋" w:cs="Times New Roman"/>
          <w:kern w:val="2"/>
          <w:sz w:val="24"/>
          <w:szCs w:val="24"/>
          <w:highlight w:val="none"/>
          <w:lang w:val="en-US" w:eastAsia="zh-Hans" w:bidi="ar-SA"/>
        </w:rPr>
        <w:t>，甲方有权单方解除本合同，并由乙方向甲方支付合同总价款20%的违约金。</w:t>
      </w:r>
    </w:p>
    <w:p w14:paraId="0183B93D">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Times New Roman"/>
          <w:kern w:val="2"/>
          <w:sz w:val="24"/>
          <w:szCs w:val="24"/>
          <w:highlight w:val="none"/>
          <w:lang w:val="en-US" w:eastAsia="zh-Hans" w:bidi="ar-SA"/>
        </w:rPr>
      </w:pPr>
      <w:r>
        <w:rPr>
          <w:rFonts w:hint="eastAsia" w:ascii="仿宋" w:hAnsi="仿宋" w:eastAsia="仿宋" w:cs="Times New Roman"/>
          <w:kern w:val="2"/>
          <w:sz w:val="24"/>
          <w:szCs w:val="24"/>
          <w:highlight w:val="none"/>
          <w:lang w:val="en-US" w:eastAsia="zh-CN" w:bidi="ar-SA"/>
        </w:rPr>
        <w:t>6.2</w:t>
      </w:r>
      <w:r>
        <w:rPr>
          <w:rFonts w:hint="eastAsia" w:ascii="仿宋" w:hAnsi="仿宋" w:eastAsia="仿宋" w:cs="Times New Roman"/>
          <w:kern w:val="2"/>
          <w:sz w:val="24"/>
          <w:szCs w:val="24"/>
          <w:highlight w:val="none"/>
          <w:lang w:val="en-US" w:eastAsia="zh-Hans" w:bidi="ar-SA"/>
        </w:rPr>
        <w:t>若乙方提供的服务未能达到合同技术要求及标准，</w:t>
      </w:r>
      <w:r>
        <w:rPr>
          <w:rFonts w:hint="eastAsia" w:ascii="仿宋" w:hAnsi="仿宋" w:eastAsia="仿宋" w:cs="Times New Roman"/>
          <w:kern w:val="2"/>
          <w:sz w:val="24"/>
          <w:szCs w:val="24"/>
          <w:highlight w:val="none"/>
          <w:lang w:val="en-US" w:eastAsia="zh-CN" w:bidi="ar-SA"/>
        </w:rPr>
        <w:t>无法取得本合同约定证书，</w:t>
      </w:r>
      <w:r>
        <w:rPr>
          <w:rFonts w:hint="eastAsia" w:ascii="仿宋" w:hAnsi="仿宋" w:eastAsia="仿宋" w:cs="Times New Roman"/>
          <w:kern w:val="2"/>
          <w:sz w:val="24"/>
          <w:szCs w:val="24"/>
          <w:highlight w:val="none"/>
          <w:lang w:val="en-US" w:eastAsia="zh-Hans" w:bidi="ar-SA"/>
        </w:rPr>
        <w:t>甲方有权单方解除本合同</w:t>
      </w:r>
      <w:r>
        <w:rPr>
          <w:rFonts w:hint="eastAsia" w:ascii="仿宋" w:hAnsi="仿宋" w:eastAsia="仿宋" w:cs="Times New Roman"/>
          <w:kern w:val="2"/>
          <w:sz w:val="24"/>
          <w:szCs w:val="24"/>
          <w:highlight w:val="none"/>
          <w:lang w:val="en-US" w:eastAsia="zh-CN" w:bidi="ar-SA"/>
        </w:rPr>
        <w:t>，要求乙方退还已付款项</w:t>
      </w:r>
      <w:r>
        <w:rPr>
          <w:rFonts w:hint="eastAsia" w:ascii="仿宋" w:hAnsi="仿宋" w:eastAsia="仿宋" w:cs="Times New Roman"/>
          <w:kern w:val="2"/>
          <w:sz w:val="24"/>
          <w:szCs w:val="24"/>
          <w:highlight w:val="none"/>
          <w:lang w:val="en-US" w:eastAsia="zh-Hans" w:bidi="ar-SA"/>
        </w:rPr>
        <w:t>，并由乙方向甲方支付合同总价款20%的违约金。</w:t>
      </w:r>
    </w:p>
    <w:p w14:paraId="3CE2DF0F">
      <w:pPr>
        <w:keepNext w:val="0"/>
        <w:keepLines w:val="0"/>
        <w:pageBreakBefore w:val="0"/>
        <w:widowControl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eastAsia" w:ascii="仿宋" w:hAnsi="仿宋" w:eastAsia="仿宋" w:cs="Times New Roman"/>
          <w:kern w:val="2"/>
          <w:sz w:val="24"/>
          <w:szCs w:val="24"/>
          <w:highlight w:val="none"/>
          <w:lang w:val="en-US" w:eastAsia="zh-Hans" w:bidi="ar-SA"/>
        </w:rPr>
      </w:pPr>
      <w:r>
        <w:rPr>
          <w:rFonts w:hint="eastAsia" w:ascii="仿宋" w:hAnsi="仿宋" w:eastAsia="仿宋" w:cs="Times New Roman"/>
          <w:kern w:val="2"/>
          <w:sz w:val="24"/>
          <w:szCs w:val="24"/>
          <w:highlight w:val="none"/>
          <w:lang w:val="en-US" w:eastAsia="zh-CN" w:bidi="ar-SA"/>
        </w:rPr>
        <w:t xml:space="preserve">6.3 </w:t>
      </w:r>
      <w:r>
        <w:rPr>
          <w:rFonts w:hint="eastAsia" w:ascii="仿宋" w:hAnsi="仿宋" w:eastAsia="仿宋" w:cs="Times New Roman"/>
          <w:kern w:val="2"/>
          <w:sz w:val="24"/>
          <w:szCs w:val="24"/>
          <w:highlight w:val="none"/>
          <w:lang w:val="en-US" w:eastAsia="zh-Hans" w:bidi="ar-SA"/>
        </w:rPr>
        <w:t>除因甲方或不可抗力外，在合同执行过程中，乙方项目组成员应与投标时提供的人员及从业资质一致；若因乙方原因随意更换项目组成员或委派不符合甲方资质要求的人员开展现场审核的，甲方有权单方面解除合同，并由乙方向甲方支付合同总总价款20%的违约金。</w:t>
      </w:r>
    </w:p>
    <w:p w14:paraId="5F347AAE">
      <w:pPr>
        <w:pStyle w:val="2"/>
        <w:keepNext w:val="0"/>
        <w:keepLines w:val="0"/>
        <w:pageBreakBefore w:val="0"/>
        <w:widowControl w:val="0"/>
        <w:kinsoku/>
        <w:wordWrap/>
        <w:overflowPunct w:val="0"/>
        <w:topLinePunct w:val="0"/>
        <w:autoSpaceDE w:val="0"/>
        <w:autoSpaceDN w:val="0"/>
        <w:bidi w:val="0"/>
        <w:adjustRightInd w:val="0"/>
        <w:snapToGrid/>
        <w:spacing w:line="360" w:lineRule="auto"/>
        <w:ind w:firstLine="480" w:firstLineChars="200"/>
        <w:textAlignment w:val="baseline"/>
        <w:rPr>
          <w:rFonts w:hint="eastAsia"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4"/>
          <w:highlight w:val="none"/>
          <w:lang w:val="en-US" w:eastAsia="zh-CN" w:bidi="ar-SA"/>
        </w:rPr>
        <w:t>6.4 乙方违反上述约定擅自披露甲方信息资料的，乙方按合同总价款的30%向甲方支付泄密违约金，违约金不足以弥补甲方损失的，还应赔偿甲方损失。</w:t>
      </w:r>
    </w:p>
    <w:p w14:paraId="41FFDF8E">
      <w:pPr>
        <w:pStyle w:val="2"/>
        <w:keepNext w:val="0"/>
        <w:keepLines w:val="0"/>
        <w:pageBreakBefore w:val="0"/>
        <w:widowControl w:val="0"/>
        <w:kinsoku/>
        <w:wordWrap/>
        <w:overflowPunct w:val="0"/>
        <w:topLinePunct w:val="0"/>
        <w:autoSpaceDE w:val="0"/>
        <w:autoSpaceDN w:val="0"/>
        <w:bidi w:val="0"/>
        <w:adjustRightInd w:val="0"/>
        <w:snapToGrid/>
        <w:spacing w:line="360" w:lineRule="auto"/>
        <w:ind w:firstLine="480" w:firstLineChars="200"/>
        <w:textAlignment w:val="baseline"/>
        <w:rPr>
          <w:rFonts w:hint="default"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4"/>
          <w:highlight w:val="none"/>
          <w:lang w:val="en-US" w:eastAsia="zh-CN" w:bidi="ar-SA"/>
        </w:rPr>
        <w:t>6.5 以上违约金及赔偿，甲方有权从未付款中扣除。</w:t>
      </w:r>
    </w:p>
    <w:p w14:paraId="4FC51443">
      <w:pPr>
        <w:tabs>
          <w:tab w:val="left" w:pos="757"/>
        </w:tabs>
        <w:spacing w:line="360" w:lineRule="auto"/>
        <w:ind w:firstLine="482" w:firstLineChars="200"/>
        <w:jc w:val="both"/>
        <w:rPr>
          <w:rFonts w:hint="eastAsia" w:ascii="仿宋" w:hAnsi="仿宋" w:eastAsia="仿宋" w:cs="Times New Roman"/>
          <w:sz w:val="24"/>
          <w:highlight w:val="none"/>
        </w:rPr>
      </w:pPr>
      <w:r>
        <w:rPr>
          <w:rFonts w:hint="eastAsia" w:ascii="仿宋" w:hAnsi="仿宋" w:eastAsia="仿宋" w:cs="Times New Roman"/>
          <w:b/>
          <w:bCs/>
          <w:sz w:val="24"/>
          <w:highlight w:val="none"/>
          <w:lang w:eastAsia="zh-CN"/>
        </w:rPr>
        <w:t>第七条</w:t>
      </w:r>
      <w:r>
        <w:rPr>
          <w:rFonts w:hint="eastAsia" w:ascii="仿宋" w:hAnsi="仿宋" w:eastAsia="仿宋" w:cs="Times New Roman"/>
          <w:b/>
          <w:bCs/>
          <w:sz w:val="24"/>
          <w:highlight w:val="none"/>
          <w:lang w:val="en-US" w:eastAsia="zh-CN"/>
        </w:rPr>
        <w:t xml:space="preserve"> </w:t>
      </w:r>
      <w:r>
        <w:rPr>
          <w:rFonts w:hint="eastAsia" w:ascii="仿宋" w:hAnsi="仿宋" w:eastAsia="仿宋" w:cs="Times New Roman"/>
          <w:b/>
          <w:bCs/>
          <w:sz w:val="24"/>
          <w:highlight w:val="none"/>
        </w:rPr>
        <w:t>争议的解决</w:t>
      </w:r>
    </w:p>
    <w:p w14:paraId="6875B8DC">
      <w:pPr>
        <w:tabs>
          <w:tab w:val="left" w:pos="757"/>
        </w:tabs>
        <w:spacing w:line="360" w:lineRule="auto"/>
        <w:ind w:firstLine="480" w:firstLineChars="200"/>
        <w:jc w:val="both"/>
        <w:rPr>
          <w:rFonts w:hint="eastAsia" w:ascii="仿宋" w:hAnsi="仿宋" w:eastAsia="仿宋" w:cs="Times New Roman"/>
          <w:sz w:val="24"/>
          <w:highlight w:val="none"/>
          <w:lang w:val="zh-CN"/>
        </w:rPr>
      </w:pPr>
      <w:r>
        <w:rPr>
          <w:rFonts w:hint="eastAsia" w:ascii="仿宋" w:hAnsi="仿宋" w:eastAsia="仿宋" w:cs="Times New Roman"/>
          <w:sz w:val="24"/>
          <w:highlight w:val="none"/>
          <w:lang w:val="zh-CN"/>
        </w:rPr>
        <w:t>执行本合同发生争议，由当事人双方协商和解，也可以请求调解。双方当事人和解或调解不成，采用以下第  (二)  种方式解决。</w:t>
      </w:r>
    </w:p>
    <w:p w14:paraId="24D762B9">
      <w:pPr>
        <w:tabs>
          <w:tab w:val="left" w:pos="757"/>
        </w:tabs>
        <w:spacing w:line="360" w:lineRule="auto"/>
        <w:ind w:firstLine="480" w:firstLineChars="200"/>
        <w:jc w:val="both"/>
        <w:rPr>
          <w:rFonts w:hint="eastAsia" w:ascii="仿宋" w:hAnsi="仿宋" w:eastAsia="仿宋" w:cs="Times New Roman"/>
          <w:sz w:val="24"/>
          <w:highlight w:val="none"/>
          <w:lang w:val="zh-CN"/>
        </w:rPr>
      </w:pPr>
      <w:r>
        <w:rPr>
          <w:rFonts w:hint="eastAsia" w:ascii="仿宋" w:hAnsi="仿宋" w:eastAsia="仿宋" w:cs="Times New Roman"/>
          <w:sz w:val="24"/>
          <w:highlight w:val="none"/>
          <w:lang w:val="zh-CN"/>
        </w:rPr>
        <w:t>（一）双方同意由仲裁委员会仲裁。</w:t>
      </w:r>
    </w:p>
    <w:p w14:paraId="52E440BA">
      <w:pPr>
        <w:tabs>
          <w:tab w:val="left" w:pos="757"/>
        </w:tabs>
        <w:spacing w:line="360" w:lineRule="auto"/>
        <w:ind w:firstLine="480" w:firstLineChars="200"/>
        <w:jc w:val="both"/>
        <w:rPr>
          <w:rFonts w:hint="eastAsia" w:ascii="仿宋" w:hAnsi="仿宋" w:eastAsia="仿宋" w:cs="Times New Roman"/>
          <w:sz w:val="24"/>
          <w:highlight w:val="none"/>
          <w:lang w:val="zh-CN"/>
        </w:rPr>
      </w:pPr>
      <w:r>
        <w:rPr>
          <w:rFonts w:hint="eastAsia" w:ascii="仿宋" w:hAnsi="仿宋" w:eastAsia="仿宋" w:cs="Times New Roman"/>
          <w:sz w:val="24"/>
          <w:highlight w:val="none"/>
          <w:lang w:val="zh-CN"/>
        </w:rPr>
        <w:t>（二）向</w:t>
      </w:r>
      <w:r>
        <w:rPr>
          <w:rFonts w:hint="eastAsia" w:ascii="仿宋" w:hAnsi="仿宋" w:eastAsia="仿宋" w:cs="Times New Roman"/>
          <w:sz w:val="24"/>
          <w:highlight w:val="none"/>
          <w:lang w:val="en-US" w:eastAsia="zh-CN"/>
        </w:rPr>
        <w:t>甲</w:t>
      </w:r>
      <w:r>
        <w:rPr>
          <w:rFonts w:hint="eastAsia" w:ascii="仿宋" w:hAnsi="仿宋" w:eastAsia="仿宋" w:cs="Times New Roman"/>
          <w:sz w:val="24"/>
          <w:highlight w:val="none"/>
          <w:lang w:val="zh-CN"/>
        </w:rPr>
        <w:t>方所在地人民法院进行起诉。</w:t>
      </w:r>
    </w:p>
    <w:p w14:paraId="7E406666">
      <w:pPr>
        <w:tabs>
          <w:tab w:val="left" w:pos="757"/>
        </w:tabs>
        <w:spacing w:line="360" w:lineRule="auto"/>
        <w:ind w:firstLine="482" w:firstLineChars="200"/>
        <w:jc w:val="both"/>
        <w:rPr>
          <w:rFonts w:hint="eastAsia" w:ascii="仿宋" w:hAnsi="仿宋" w:eastAsia="仿宋" w:cs="Times New Roman"/>
          <w:b/>
          <w:bCs/>
          <w:sz w:val="24"/>
          <w:highlight w:val="none"/>
        </w:rPr>
      </w:pPr>
      <w:r>
        <w:rPr>
          <w:rFonts w:hint="eastAsia" w:ascii="仿宋" w:hAnsi="仿宋" w:eastAsia="仿宋" w:cs="Times New Roman"/>
          <w:b/>
          <w:bCs/>
          <w:sz w:val="24"/>
          <w:highlight w:val="none"/>
          <w:lang w:eastAsia="zh-CN"/>
        </w:rPr>
        <w:t>第八条</w:t>
      </w:r>
      <w:r>
        <w:rPr>
          <w:rFonts w:hint="eastAsia" w:ascii="仿宋" w:hAnsi="仿宋" w:eastAsia="仿宋" w:cs="Times New Roman"/>
          <w:b/>
          <w:bCs/>
          <w:sz w:val="24"/>
          <w:highlight w:val="none"/>
          <w:lang w:val="en-US" w:eastAsia="zh-CN"/>
        </w:rPr>
        <w:t xml:space="preserve"> </w:t>
      </w:r>
      <w:r>
        <w:rPr>
          <w:rFonts w:hint="eastAsia" w:ascii="仿宋" w:hAnsi="仿宋" w:eastAsia="仿宋" w:cs="Times New Roman"/>
          <w:b/>
          <w:bCs/>
          <w:sz w:val="24"/>
          <w:highlight w:val="none"/>
        </w:rPr>
        <w:t>其他事项</w:t>
      </w:r>
    </w:p>
    <w:p w14:paraId="5219DECD">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rPr>
        <w:t>.1除非双方书面同意，任何一方都不得变更、撤销其在本合同中规定的权利或义务。</w:t>
      </w:r>
    </w:p>
    <w:p w14:paraId="44A7DB4C">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rPr>
        <w:t>.2若本合同未尽事宜，经甲乙双方协商同意，由双方另行签字补充协议，补充协议为本合同的组成部分，具有同等法律效力。</w:t>
      </w:r>
    </w:p>
    <w:p w14:paraId="223D5CA5">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lang w:eastAsia="zh-Hans"/>
        </w:rPr>
        <w:t>.3</w:t>
      </w:r>
      <w:r>
        <w:rPr>
          <w:rFonts w:hint="eastAsia" w:ascii="仿宋" w:hAnsi="仿宋" w:eastAsia="仿宋" w:cs="Times New Roman"/>
          <w:sz w:val="24"/>
          <w:highlight w:val="none"/>
        </w:rPr>
        <w:t xml:space="preserve"> 本合同项下双方向对方发出的通知、信件、数据电文</w:t>
      </w:r>
      <w:r>
        <w:rPr>
          <w:rFonts w:hint="eastAsia" w:ascii="仿宋" w:hAnsi="仿宋" w:eastAsia="仿宋" w:cs="Times New Roman"/>
          <w:sz w:val="24"/>
          <w:highlight w:val="none"/>
          <w:lang w:eastAsia="zh-CN"/>
        </w:rPr>
        <w:t>以及争议时法律文书送达</w:t>
      </w:r>
      <w:r>
        <w:rPr>
          <w:rFonts w:hint="eastAsia" w:ascii="仿宋" w:hAnsi="仿宋" w:eastAsia="仿宋" w:cs="Times New Roman"/>
          <w:sz w:val="24"/>
          <w:highlight w:val="none"/>
        </w:rPr>
        <w:t>等，应当发送至本合同</w:t>
      </w:r>
      <w:r>
        <w:rPr>
          <w:rFonts w:hint="eastAsia" w:ascii="仿宋" w:hAnsi="仿宋" w:eastAsia="仿宋" w:cs="Times New Roman"/>
          <w:sz w:val="24"/>
          <w:highlight w:val="none"/>
          <w:lang w:eastAsia="zh-CN"/>
        </w:rPr>
        <w:t>落款用印处</w:t>
      </w:r>
      <w:r>
        <w:rPr>
          <w:rFonts w:hint="eastAsia" w:ascii="仿宋" w:hAnsi="仿宋" w:eastAsia="仿宋" w:cs="Times New Roman"/>
          <w:sz w:val="24"/>
          <w:highlight w:val="none"/>
        </w:rPr>
        <w:t>约定的地址、联系人和通信终端，电子送达与书面送达具有同等法律效力。</w:t>
      </w:r>
    </w:p>
    <w:p w14:paraId="7A33A507">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lang w:eastAsia="zh-Hans"/>
        </w:rPr>
        <w:t>.4</w:t>
      </w:r>
      <w:r>
        <w:rPr>
          <w:rFonts w:hint="eastAsia" w:ascii="仿宋" w:hAnsi="仿宋" w:eastAsia="仿宋" w:cs="Times New Roman"/>
          <w:sz w:val="24"/>
          <w:highlight w:val="none"/>
        </w:rPr>
        <w:t xml:space="preserve"> 一方当事人变更名称、地址、联系人或通信终端的，应当在变更后及时书面通知对方当事人，否则另一方按照合同约定地址邮寄第3天视为送达，向约定电子邮箱发送成功即为送达。</w:t>
      </w:r>
    </w:p>
    <w:p w14:paraId="5BBC41B1">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8.5</w:t>
      </w:r>
      <w:r>
        <w:rPr>
          <w:rFonts w:hint="eastAsia" w:ascii="仿宋" w:hAnsi="仿宋" w:eastAsia="仿宋" w:cs="Times New Roman"/>
          <w:sz w:val="24"/>
          <w:highlight w:val="none"/>
        </w:rPr>
        <w:t>本合同一式</w:t>
      </w:r>
      <w:r>
        <w:rPr>
          <w:rFonts w:hint="eastAsia" w:ascii="仿宋" w:hAnsi="仿宋" w:eastAsia="仿宋" w:cs="Times New Roman"/>
          <w:sz w:val="24"/>
          <w:highlight w:val="none"/>
          <w:lang w:val="en-US" w:eastAsia="zh-CN"/>
        </w:rPr>
        <w:t>陆</w:t>
      </w:r>
      <w:r>
        <w:rPr>
          <w:rFonts w:hint="eastAsia" w:ascii="仿宋" w:hAnsi="仿宋" w:eastAsia="仿宋" w:cs="Times New Roman"/>
          <w:sz w:val="24"/>
          <w:highlight w:val="none"/>
        </w:rPr>
        <w:t>份，甲方</w:t>
      </w:r>
      <w:r>
        <w:rPr>
          <w:rFonts w:hint="eastAsia" w:ascii="仿宋" w:hAnsi="仿宋" w:eastAsia="仿宋" w:cs="Times New Roman"/>
          <w:sz w:val="24"/>
          <w:highlight w:val="none"/>
          <w:lang w:val="en-US" w:eastAsia="zh-CN"/>
        </w:rPr>
        <w:t>肆</w:t>
      </w:r>
      <w:r>
        <w:rPr>
          <w:rFonts w:hint="eastAsia" w:ascii="仿宋" w:hAnsi="仿宋" w:eastAsia="仿宋" w:cs="Times New Roman"/>
          <w:sz w:val="24"/>
          <w:highlight w:val="none"/>
        </w:rPr>
        <w:t>份，乙方 贰 份，具有同等法律效力。</w:t>
      </w:r>
    </w:p>
    <w:p w14:paraId="595DD8E4">
      <w:pPr>
        <w:keepNext w:val="0"/>
        <w:keepLines w:val="0"/>
        <w:pageBreakBefore w:val="0"/>
        <w:kinsoku/>
        <w:wordWrap/>
        <w:overflowPunct/>
        <w:topLinePunct w:val="0"/>
        <w:autoSpaceDE/>
        <w:autoSpaceDN/>
        <w:bidi w:val="0"/>
        <w:adjustRightInd/>
        <w:spacing w:line="440" w:lineRule="exact"/>
        <w:ind w:left="0" w:leftChars="0" w:right="0" w:rightChars="0" w:firstLine="640" w:firstLineChars="200"/>
        <w:jc w:val="left"/>
        <w:textAlignment w:val="auto"/>
        <w:rPr>
          <w:rFonts w:hint="default" w:ascii="Times New Roman" w:hAnsi="Times New Roman" w:eastAsia="仿宋_GB2312" w:cs="Times New Roman"/>
          <w:sz w:val="32"/>
          <w:szCs w:val="32"/>
          <w:highlight w:val="none"/>
        </w:rPr>
      </w:pPr>
    </w:p>
    <w:p w14:paraId="4DB2C251">
      <w:pPr>
        <w:wordWrap w:val="0"/>
        <w:adjustRightInd w:val="0"/>
        <w:snapToGrid w:val="0"/>
        <w:spacing w:line="360" w:lineRule="auto"/>
        <w:ind w:firstLine="480" w:firstLineChars="20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（以下无正文）</w:t>
      </w:r>
    </w:p>
    <w:p w14:paraId="6FF0095A">
      <w:pPr>
        <w:wordWrap w:val="0"/>
        <w:adjustRightInd w:val="0"/>
        <w:snapToGrid w:val="0"/>
        <w:spacing w:line="360" w:lineRule="auto"/>
        <w:ind w:firstLine="480" w:firstLineChars="200"/>
        <w:rPr>
          <w:rFonts w:hint="eastAsia" w:ascii="Times New Roman" w:hAnsi="Times New Roman" w:eastAsia="仿宋"/>
          <w:color w:val="auto"/>
          <w:sz w:val="24"/>
          <w:highlight w:val="none"/>
        </w:rPr>
        <w:sectPr>
          <w:pgSz w:w="11906" w:h="16838"/>
          <w:pgMar w:top="1440" w:right="1800" w:bottom="1440" w:left="1800" w:header="851" w:footer="992" w:gutter="0"/>
          <w:cols w:space="425" w:num="1"/>
          <w:docGrid w:type="lines" w:linePitch="312" w:charSpace="0"/>
        </w:sectPr>
      </w:pPr>
    </w:p>
    <w:p w14:paraId="4EB4493E">
      <w:pPr>
        <w:wordWrap w:val="0"/>
        <w:adjustRightInd w:val="0"/>
        <w:snapToGrid w:val="0"/>
        <w:spacing w:line="360" w:lineRule="auto"/>
        <w:ind w:firstLine="480" w:firstLineChars="200"/>
        <w:rPr>
          <w:rFonts w:hint="eastAsia" w:ascii="Times New Roman" w:hAnsi="Times New Roman" w:eastAsia="仿宋"/>
          <w:color w:val="auto"/>
          <w:sz w:val="24"/>
          <w:highlight w:val="none"/>
        </w:rPr>
      </w:pPr>
    </w:p>
    <w:tbl>
      <w:tblPr>
        <w:tblStyle w:val="27"/>
        <w:tblW w:w="0" w:type="auto"/>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9"/>
        <w:gridCol w:w="4158"/>
      </w:tblGrid>
      <w:tr w14:paraId="033AC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9" w:type="dxa"/>
            <w:noWrap w:val="0"/>
            <w:vAlign w:val="top"/>
          </w:tcPr>
          <w:p w14:paraId="4F1FF226">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default" w:ascii="Times New Roman" w:hAnsi="Times New Roman" w:eastAsia="仿宋"/>
                <w:color w:val="auto"/>
                <w:sz w:val="24"/>
                <w:highlight w:val="none"/>
              </w:rPr>
              <w:t>甲方：</w:t>
            </w:r>
            <w:r>
              <w:rPr>
                <w:rFonts w:hint="eastAsia" w:eastAsia="仿宋"/>
                <w:color w:val="auto"/>
                <w:sz w:val="24"/>
                <w:highlight w:val="none"/>
                <w:lang w:val="en-US" w:eastAsia="zh-CN"/>
              </w:rPr>
              <w:t xml:space="preserve">        </w:t>
            </w:r>
            <w:r>
              <w:rPr>
                <w:rFonts w:hint="eastAsia" w:ascii="Times New Roman" w:hAnsi="Times New Roman" w:eastAsia="仿宋"/>
                <w:color w:val="auto"/>
                <w:sz w:val="24"/>
                <w:highlight w:val="none"/>
              </w:rPr>
              <w:t>（盖章）</w:t>
            </w:r>
          </w:p>
          <w:p w14:paraId="1D5B71B6">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法定代表人</w:t>
            </w:r>
            <w:r>
              <w:rPr>
                <w:rFonts w:hint="eastAsia" w:ascii="Times New Roman" w:hAnsi="Times New Roman" w:eastAsia="仿宋"/>
                <w:color w:val="auto"/>
                <w:sz w:val="24"/>
                <w:highlight w:val="none"/>
              </w:rPr>
              <w:t>或授权代表</w:t>
            </w:r>
            <w:r>
              <w:rPr>
                <w:rFonts w:hint="default" w:ascii="Times New Roman" w:hAnsi="Times New Roman" w:eastAsia="仿宋"/>
                <w:color w:val="auto"/>
                <w:sz w:val="24"/>
                <w:highlight w:val="none"/>
              </w:rPr>
              <w:t>：</w:t>
            </w:r>
          </w:p>
          <w:p w14:paraId="3DA08934">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ascii="Times New Roman" w:hAnsi="Times New Roman" w:eastAsia="仿宋"/>
                <w:color w:val="auto"/>
                <w:sz w:val="24"/>
                <w:highlight w:val="none"/>
              </w:rPr>
              <w:t>（签字或签章）</w:t>
            </w:r>
          </w:p>
          <w:p w14:paraId="1091A67A">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p>
          <w:p w14:paraId="35B42708">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地址：</w:t>
            </w:r>
          </w:p>
          <w:p w14:paraId="186917F9">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default" w:ascii="Times New Roman" w:hAnsi="Times New Roman" w:eastAsia="仿宋"/>
                <w:color w:val="auto"/>
                <w:sz w:val="24"/>
                <w:highlight w:val="none"/>
              </w:rPr>
              <w:t>开户行：</w:t>
            </w:r>
            <w:r>
              <w:rPr>
                <w:rFonts w:hint="eastAsia" w:eastAsia="仿宋"/>
                <w:color w:val="auto"/>
                <w:sz w:val="24"/>
                <w:highlight w:val="none"/>
                <w:lang w:val="en-US" w:eastAsia="zh-CN"/>
              </w:rPr>
              <w:t xml:space="preserve"> </w:t>
            </w:r>
          </w:p>
          <w:p w14:paraId="4D31064B">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default" w:ascii="Times New Roman" w:hAnsi="Times New Roman" w:eastAsia="仿宋"/>
                <w:color w:val="auto"/>
                <w:sz w:val="24"/>
                <w:highlight w:val="none"/>
              </w:rPr>
              <w:t>账号</w:t>
            </w:r>
            <w:r>
              <w:rPr>
                <w:rFonts w:hint="eastAsia" w:ascii="Times New Roman" w:hAnsi="Times New Roman" w:eastAsia="仿宋"/>
                <w:color w:val="auto"/>
                <w:sz w:val="24"/>
                <w:highlight w:val="none"/>
              </w:rPr>
              <w:t>：</w:t>
            </w:r>
            <w:r>
              <w:rPr>
                <w:rFonts w:hint="eastAsia" w:eastAsia="仿宋"/>
                <w:color w:val="auto"/>
                <w:sz w:val="24"/>
                <w:highlight w:val="none"/>
                <w:lang w:val="en-US" w:eastAsia="zh-CN"/>
              </w:rPr>
              <w:t xml:space="preserve"> </w:t>
            </w:r>
          </w:p>
          <w:p w14:paraId="5B7EB18E">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税号：</w:t>
            </w:r>
            <w:r>
              <w:rPr>
                <w:rFonts w:hint="eastAsia" w:eastAsia="仿宋"/>
                <w:color w:val="auto"/>
                <w:sz w:val="24"/>
                <w:highlight w:val="none"/>
                <w:lang w:val="en-US" w:eastAsia="zh-CN"/>
              </w:rPr>
              <w:t xml:space="preserve"> </w:t>
            </w:r>
          </w:p>
          <w:p w14:paraId="79B8733E">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电话：</w:t>
            </w:r>
            <w:r>
              <w:rPr>
                <w:rFonts w:hint="eastAsia" w:eastAsia="仿宋"/>
                <w:color w:val="auto"/>
                <w:sz w:val="24"/>
                <w:highlight w:val="none"/>
                <w:lang w:val="en-US" w:eastAsia="zh-CN"/>
              </w:rPr>
              <w:t xml:space="preserve"> </w:t>
            </w:r>
          </w:p>
          <w:p w14:paraId="0A8D5147">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项目负责人：</w:t>
            </w:r>
            <w:r>
              <w:rPr>
                <w:rFonts w:hint="eastAsia" w:eastAsia="仿宋"/>
                <w:color w:val="auto"/>
                <w:sz w:val="24"/>
                <w:highlight w:val="none"/>
                <w:lang w:val="en-US" w:eastAsia="zh-CN"/>
              </w:rPr>
              <w:t xml:space="preserve"> </w:t>
            </w:r>
          </w:p>
          <w:p w14:paraId="71800D4A">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电话：</w:t>
            </w:r>
            <w:r>
              <w:rPr>
                <w:rFonts w:hint="eastAsia" w:eastAsia="仿宋"/>
                <w:color w:val="auto"/>
                <w:sz w:val="24"/>
                <w:highlight w:val="none"/>
                <w:lang w:val="en-US" w:eastAsia="zh-CN"/>
              </w:rPr>
              <w:t xml:space="preserve"> </w:t>
            </w:r>
          </w:p>
          <w:p w14:paraId="1B0BD424">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eastAsia="仿宋"/>
                <w:color w:val="auto"/>
                <w:sz w:val="24"/>
                <w:highlight w:val="none"/>
                <w:lang w:eastAsia="zh-CN"/>
              </w:rPr>
              <w:t>电子邮箱</w:t>
            </w:r>
            <w:r>
              <w:rPr>
                <w:rFonts w:hint="default" w:ascii="Times New Roman" w:hAnsi="Times New Roman" w:eastAsia="仿宋"/>
                <w:color w:val="auto"/>
                <w:sz w:val="24"/>
                <w:highlight w:val="none"/>
              </w:rPr>
              <w:t>：</w:t>
            </w:r>
          </w:p>
          <w:p w14:paraId="1A219291">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p>
          <w:p w14:paraId="7E30F767">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签订时间：</w:t>
            </w:r>
            <w:r>
              <w:rPr>
                <w:rFonts w:hint="eastAsia" w:ascii="Times New Roman" w:hAnsi="Times New Roman" w:eastAsia="仿宋"/>
                <w:color w:val="auto"/>
                <w:sz w:val="24"/>
                <w:highlight w:val="none"/>
              </w:rPr>
              <w:t xml:space="preserve"> </w:t>
            </w:r>
            <w:r>
              <w:rPr>
                <w:rFonts w:hint="eastAsia" w:ascii="Times New Roman" w:hAnsi="Times New Roman"/>
                <w:color w:val="auto"/>
                <w:sz w:val="24"/>
                <w:highlight w:val="none"/>
              </w:rPr>
              <w:t>202</w:t>
            </w:r>
            <w:r>
              <w:rPr>
                <w:rFonts w:hint="eastAsia" w:ascii="Times New Roman" w:hAnsi="Times New Roman"/>
                <w:color w:val="auto"/>
                <w:sz w:val="24"/>
                <w:highlight w:val="none"/>
                <w:lang w:val="en-US" w:eastAsia="zh-CN"/>
              </w:rPr>
              <w:t>5</w:t>
            </w:r>
            <w:r>
              <w:rPr>
                <w:rFonts w:hint="eastAsia" w:ascii="Times New Roman" w:hAnsi="Times New Roman"/>
                <w:color w:val="auto"/>
                <w:sz w:val="24"/>
                <w:highlight w:val="none"/>
              </w:rPr>
              <w:t xml:space="preserve"> </w:t>
            </w:r>
            <w:r>
              <w:rPr>
                <w:rFonts w:hint="default" w:ascii="Times New Roman" w:hAnsi="Times New Roman" w:eastAsia="仿宋"/>
                <w:color w:val="auto"/>
                <w:sz w:val="24"/>
                <w:highlight w:val="none"/>
              </w:rPr>
              <w:t xml:space="preserve">年   </w:t>
            </w:r>
            <w:r>
              <w:rPr>
                <w:rFonts w:hint="eastAsia" w:ascii="Times New Roman" w:hAnsi="Times New Roman" w:eastAsia="仿宋"/>
                <w:color w:val="auto"/>
                <w:sz w:val="24"/>
                <w:highlight w:val="none"/>
              </w:rPr>
              <w:t xml:space="preserve"> </w:t>
            </w:r>
            <w:r>
              <w:rPr>
                <w:rFonts w:hint="default" w:ascii="Times New Roman" w:hAnsi="Times New Roman" w:eastAsia="仿宋"/>
                <w:color w:val="auto"/>
                <w:sz w:val="24"/>
                <w:highlight w:val="none"/>
              </w:rPr>
              <w:t xml:space="preserve">月   </w:t>
            </w:r>
            <w:r>
              <w:rPr>
                <w:rFonts w:hint="eastAsia" w:ascii="Times New Roman" w:hAnsi="Times New Roman" w:eastAsia="仿宋"/>
                <w:color w:val="auto"/>
                <w:sz w:val="24"/>
                <w:highlight w:val="none"/>
              </w:rPr>
              <w:t xml:space="preserve"> </w:t>
            </w:r>
            <w:r>
              <w:rPr>
                <w:rFonts w:hint="default" w:ascii="Times New Roman" w:hAnsi="Times New Roman" w:eastAsia="仿宋"/>
                <w:color w:val="auto"/>
                <w:sz w:val="24"/>
                <w:highlight w:val="none"/>
              </w:rPr>
              <w:t>日</w:t>
            </w:r>
          </w:p>
        </w:tc>
        <w:tc>
          <w:tcPr>
            <w:tcW w:w="4158" w:type="dxa"/>
            <w:noWrap w:val="0"/>
            <w:vAlign w:val="top"/>
          </w:tcPr>
          <w:p w14:paraId="371A6769">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乙</w:t>
            </w:r>
            <w:r>
              <w:rPr>
                <w:rFonts w:hint="default" w:ascii="Times New Roman" w:hAnsi="Times New Roman" w:eastAsia="仿宋"/>
                <w:color w:val="auto"/>
                <w:sz w:val="24"/>
                <w:highlight w:val="none"/>
              </w:rPr>
              <w:t>方：</w:t>
            </w:r>
            <w:r>
              <w:rPr>
                <w:rFonts w:hint="eastAsia" w:ascii="Times New Roman" w:hAnsi="Times New Roman" w:eastAsia="仿宋"/>
                <w:color w:val="auto"/>
                <w:sz w:val="24"/>
                <w:highlight w:val="none"/>
                <w:lang w:val="en-US" w:eastAsia="zh-CN"/>
              </w:rPr>
              <w:t xml:space="preserve">               </w:t>
            </w:r>
            <w:r>
              <w:rPr>
                <w:rFonts w:hint="eastAsia" w:ascii="Times New Roman" w:hAnsi="Times New Roman" w:eastAsia="仿宋"/>
                <w:color w:val="auto"/>
                <w:sz w:val="24"/>
                <w:highlight w:val="none"/>
              </w:rPr>
              <w:t>（盖章）</w:t>
            </w:r>
          </w:p>
          <w:p w14:paraId="62DE250E">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default" w:ascii="Times New Roman" w:hAnsi="Times New Roman" w:eastAsia="仿宋"/>
                <w:color w:val="auto"/>
                <w:sz w:val="24"/>
                <w:highlight w:val="none"/>
              </w:rPr>
              <w:t>法定代表人</w:t>
            </w:r>
            <w:r>
              <w:rPr>
                <w:rFonts w:hint="eastAsia" w:ascii="Times New Roman" w:hAnsi="Times New Roman" w:eastAsia="仿宋"/>
                <w:color w:val="auto"/>
                <w:sz w:val="24"/>
                <w:highlight w:val="none"/>
              </w:rPr>
              <w:t>或授权代表</w:t>
            </w:r>
            <w:r>
              <w:rPr>
                <w:rFonts w:hint="default" w:ascii="Times New Roman" w:hAnsi="Times New Roman" w:eastAsia="仿宋"/>
                <w:color w:val="auto"/>
                <w:sz w:val="24"/>
                <w:highlight w:val="none"/>
              </w:rPr>
              <w:t>：</w:t>
            </w:r>
          </w:p>
          <w:p w14:paraId="6C0BEACA">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（签字或签章）</w:t>
            </w:r>
          </w:p>
          <w:p w14:paraId="55AEE10B">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p>
          <w:p w14:paraId="007884A7">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地址：</w:t>
            </w:r>
          </w:p>
          <w:p w14:paraId="44F225AF">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default" w:ascii="Times New Roman" w:hAnsi="Times New Roman" w:eastAsia="仿宋"/>
                <w:color w:val="auto"/>
                <w:sz w:val="24"/>
                <w:highlight w:val="none"/>
              </w:rPr>
              <w:t>开户行：</w:t>
            </w:r>
          </w:p>
          <w:p w14:paraId="4FE59BDA">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账号：</w:t>
            </w:r>
          </w:p>
          <w:p w14:paraId="61A222C0">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税号：</w:t>
            </w:r>
          </w:p>
          <w:p w14:paraId="61E910FF">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电话：</w:t>
            </w:r>
          </w:p>
          <w:p w14:paraId="2729CD04">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项目负责人：</w:t>
            </w:r>
          </w:p>
          <w:p w14:paraId="13DFB991">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ascii="Times New Roman" w:hAnsi="Times New Roman" w:eastAsia="仿宋"/>
                <w:color w:val="auto"/>
                <w:sz w:val="24"/>
                <w:highlight w:val="none"/>
              </w:rPr>
              <w:t>电话：</w:t>
            </w:r>
          </w:p>
          <w:p w14:paraId="32296873">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eastAsia="仿宋"/>
                <w:color w:val="auto"/>
                <w:sz w:val="24"/>
                <w:highlight w:val="none"/>
                <w:lang w:eastAsia="zh-CN"/>
              </w:rPr>
              <w:t>电子邮箱</w:t>
            </w:r>
            <w:r>
              <w:rPr>
                <w:rFonts w:hint="default" w:ascii="Times New Roman" w:hAnsi="Times New Roman" w:eastAsia="仿宋"/>
                <w:color w:val="auto"/>
                <w:sz w:val="24"/>
                <w:highlight w:val="none"/>
              </w:rPr>
              <w:t>：</w:t>
            </w:r>
          </w:p>
          <w:p w14:paraId="716655AF">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p>
          <w:p w14:paraId="354DF4AF">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签订时间：</w:t>
            </w:r>
            <w:r>
              <w:rPr>
                <w:rFonts w:hint="eastAsia" w:ascii="Times New Roman" w:hAnsi="Times New Roman" w:eastAsia="仿宋"/>
                <w:color w:val="auto"/>
                <w:sz w:val="24"/>
                <w:highlight w:val="none"/>
              </w:rPr>
              <w:t xml:space="preserve"> 202</w:t>
            </w:r>
            <w:r>
              <w:rPr>
                <w:rFonts w:hint="eastAsia" w:ascii="Times New Roman" w:hAnsi="Times New Roman" w:eastAsia="仿宋"/>
                <w:color w:val="auto"/>
                <w:sz w:val="24"/>
                <w:highlight w:val="none"/>
                <w:lang w:val="en-US" w:eastAsia="zh-CN"/>
              </w:rPr>
              <w:t>5</w:t>
            </w:r>
            <w:r>
              <w:rPr>
                <w:rFonts w:hint="default" w:ascii="Times New Roman" w:hAnsi="Times New Roman" w:eastAsia="仿宋"/>
                <w:color w:val="auto"/>
                <w:sz w:val="24"/>
                <w:highlight w:val="none"/>
              </w:rPr>
              <w:t>年</w:t>
            </w:r>
            <w:r>
              <w:rPr>
                <w:rFonts w:hint="eastAsia" w:ascii="Times New Roman" w:hAnsi="Times New Roman" w:eastAsia="仿宋"/>
                <w:color w:val="auto"/>
                <w:sz w:val="24"/>
                <w:highlight w:val="none"/>
                <w:lang w:val="en-US" w:eastAsia="zh-CN"/>
              </w:rPr>
              <w:t xml:space="preserve">    </w:t>
            </w:r>
            <w:r>
              <w:rPr>
                <w:rFonts w:hint="default" w:ascii="Times New Roman" w:hAnsi="Times New Roman" w:eastAsia="仿宋"/>
                <w:color w:val="auto"/>
                <w:sz w:val="24"/>
                <w:highlight w:val="none"/>
              </w:rPr>
              <w:t>月</w:t>
            </w:r>
            <w:r>
              <w:rPr>
                <w:rFonts w:hint="eastAsia" w:ascii="Times New Roman" w:hAnsi="Times New Roman" w:eastAsia="仿宋"/>
                <w:color w:val="auto"/>
                <w:sz w:val="24"/>
                <w:highlight w:val="none"/>
                <w:lang w:val="en-US" w:eastAsia="zh-CN"/>
              </w:rPr>
              <w:t xml:space="preserve">    </w:t>
            </w:r>
            <w:r>
              <w:rPr>
                <w:rFonts w:hint="default" w:ascii="Times New Roman" w:hAnsi="Times New Roman" w:eastAsia="仿宋"/>
                <w:color w:val="auto"/>
                <w:sz w:val="24"/>
                <w:highlight w:val="none"/>
              </w:rPr>
              <w:t>日</w:t>
            </w:r>
          </w:p>
        </w:tc>
      </w:tr>
    </w:tbl>
    <w:p w14:paraId="460AA556">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594F4FB6">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4D4388CE">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22715EF4">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4E5196C3">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49AE9801">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129CF2CB">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00FA2930">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680D5849">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67C04586">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65335910">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45BE6189">
      <w:pPr>
        <w:widowControl/>
        <w:jc w:val="both"/>
        <w:rPr>
          <w:rFonts w:hint="eastAsia" w:eastAsia="黑体" w:cs="Times New Roman"/>
          <w:b w:val="0"/>
          <w:bCs/>
          <w:sz w:val="32"/>
          <w:szCs w:val="32"/>
          <w:highlight w:val="none"/>
          <w:lang w:val="en-US" w:eastAsia="zh-CN"/>
        </w:rPr>
      </w:pPr>
      <w:r>
        <w:rPr>
          <w:rFonts w:hint="eastAsia" w:eastAsia="黑体" w:cs="Times New Roman"/>
          <w:b w:val="0"/>
          <w:bCs/>
          <w:sz w:val="32"/>
          <w:szCs w:val="32"/>
          <w:highlight w:val="none"/>
          <w:lang w:val="en-US" w:eastAsia="zh-CN"/>
        </w:rPr>
        <w:t>附件：</w:t>
      </w:r>
      <w:r>
        <w:rPr>
          <w:rFonts w:hint="eastAsia" w:ascii="Times New Roman" w:hAnsi="Times New Roman" w:eastAsia="黑体" w:cs="Times New Roman"/>
          <w:b w:val="0"/>
          <w:bCs/>
          <w:sz w:val="32"/>
          <w:szCs w:val="32"/>
          <w:highlight w:val="none"/>
          <w:lang w:val="en-US" w:eastAsia="zh-CN"/>
        </w:rPr>
        <w:t>合同模板</w:t>
      </w:r>
      <w:r>
        <w:rPr>
          <w:rFonts w:hint="eastAsia" w:eastAsia="黑体" w:cs="Times New Roman"/>
          <w:b w:val="0"/>
          <w:bCs/>
          <w:sz w:val="32"/>
          <w:szCs w:val="32"/>
          <w:highlight w:val="none"/>
          <w:lang w:val="en-US" w:eastAsia="zh-CN"/>
        </w:rPr>
        <w:t>（样本）</w:t>
      </w:r>
    </w:p>
    <w:p w14:paraId="76A5894A">
      <w:pPr>
        <w:jc w:val="center"/>
        <w:rPr>
          <w:rFonts w:hint="eastAsia" w:ascii="方正小标宋简体" w:hAnsi="方正小标宋简体" w:eastAsia="方正小标宋简体" w:cs="方正小标宋简体"/>
          <w:b/>
          <w:color w:val="auto"/>
          <w:sz w:val="36"/>
          <w:szCs w:val="44"/>
          <w:highlight w:val="none"/>
        </w:rPr>
      </w:pPr>
      <w:r>
        <w:rPr>
          <w:rFonts w:hint="eastAsia" w:ascii="方正小标宋简体" w:hAnsi="方正小标宋简体" w:eastAsia="方正小标宋简体" w:cs="方正小标宋简体"/>
          <w:b/>
          <w:bCs/>
          <w:color w:val="auto"/>
          <w:sz w:val="36"/>
          <w:szCs w:val="44"/>
          <w:highlight w:val="none"/>
          <w:lang w:val="en-US" w:eastAsia="zh-CN"/>
        </w:rPr>
        <w:t>数据管理能力成熟度（DCMM）二级</w:t>
      </w:r>
      <w:r>
        <w:rPr>
          <w:rFonts w:hint="eastAsia" w:ascii="方正小标宋简体" w:hAnsi="方正小标宋简体" w:eastAsia="方正小标宋简体" w:cs="方正小标宋简体"/>
          <w:b/>
          <w:bCs/>
          <w:color w:val="auto"/>
          <w:sz w:val="36"/>
          <w:szCs w:val="44"/>
          <w:highlight w:val="none"/>
          <w:lang w:val="en-US" w:eastAsia="zh-CN"/>
        </w:rPr>
        <w:br w:type="textWrapping"/>
      </w:r>
      <w:r>
        <w:rPr>
          <w:rFonts w:hint="eastAsia" w:ascii="方正小标宋简体" w:hAnsi="方正小标宋简体" w:eastAsia="方正小标宋简体" w:cs="方正小标宋简体"/>
          <w:b/>
          <w:bCs/>
          <w:color w:val="auto"/>
          <w:sz w:val="36"/>
          <w:szCs w:val="44"/>
          <w:highlight w:val="none"/>
        </w:rPr>
        <w:t>咨询评估委托合同</w:t>
      </w:r>
    </w:p>
    <w:p w14:paraId="31FDBFFB">
      <w:pPr>
        <w:wordWrap w:val="0"/>
        <w:adjustRightInd w:val="0"/>
        <w:snapToGrid w:val="0"/>
        <w:spacing w:line="360" w:lineRule="auto"/>
        <w:ind w:firstLine="480" w:firstLineChars="200"/>
        <w:rPr>
          <w:rFonts w:ascii="Times New Roman" w:hAnsi="Times New Roman" w:eastAsia="仿宋"/>
          <w:color w:val="auto"/>
          <w:sz w:val="24"/>
          <w:highlight w:val="none"/>
        </w:rPr>
      </w:pPr>
      <w:r>
        <w:rPr>
          <w:rFonts w:ascii="Times New Roman" w:hAnsi="Times New Roman" w:eastAsia="仿宋"/>
          <w:color w:val="auto"/>
          <w:sz w:val="24"/>
          <w:highlight w:val="none"/>
        </w:rPr>
        <w:t xml:space="preserve">                                        </w:t>
      </w:r>
    </w:p>
    <w:p w14:paraId="48890A58">
      <w:pPr>
        <w:wordWrap w:val="0"/>
        <w:adjustRightInd w:val="0"/>
        <w:snapToGrid w:val="0"/>
        <w:spacing w:line="360" w:lineRule="auto"/>
        <w:rPr>
          <w:rFonts w:hint="default" w:ascii="Times New Roman" w:hAnsi="Times New Roman" w:eastAsia="仿宋"/>
          <w:color w:val="auto"/>
          <w:sz w:val="24"/>
          <w:highlight w:val="none"/>
          <w:lang w:val="en-US" w:eastAsia="zh-CN"/>
        </w:rPr>
      </w:pPr>
      <w:r>
        <w:rPr>
          <w:rFonts w:ascii="Times New Roman" w:hAnsi="Times New Roman" w:eastAsia="仿宋"/>
          <w:color w:val="auto"/>
          <w:sz w:val="24"/>
          <w:highlight w:val="none"/>
        </w:rPr>
        <w:t>甲方：</w:t>
      </w:r>
      <w:r>
        <w:rPr>
          <w:rFonts w:hint="eastAsia" w:eastAsia="仿宋"/>
          <w:color w:val="auto"/>
          <w:sz w:val="24"/>
          <w:highlight w:val="none"/>
          <w:lang w:val="en-US" w:eastAsia="zh-CN"/>
        </w:rPr>
        <w:t xml:space="preserve">                          </w:t>
      </w:r>
      <w:r>
        <w:rPr>
          <w:rFonts w:ascii="Times New Roman" w:hAnsi="Times New Roman" w:eastAsia="仿宋"/>
          <w:color w:val="auto"/>
          <w:sz w:val="24"/>
          <w:highlight w:val="none"/>
        </w:rPr>
        <w:t xml:space="preserve">    </w:t>
      </w:r>
      <w:r>
        <w:rPr>
          <w:rFonts w:hint="eastAsia" w:ascii="Times New Roman" w:hAnsi="Times New Roman" w:eastAsia="仿宋"/>
          <w:color w:val="auto"/>
          <w:sz w:val="24"/>
          <w:highlight w:val="none"/>
        </w:rPr>
        <w:t xml:space="preserve">       </w:t>
      </w:r>
      <w:r>
        <w:rPr>
          <w:rFonts w:ascii="Times New Roman" w:hAnsi="Times New Roman" w:eastAsia="仿宋"/>
          <w:color w:val="auto"/>
          <w:sz w:val="24"/>
          <w:highlight w:val="none"/>
        </w:rPr>
        <w:t>合同编号：</w:t>
      </w:r>
      <w:r>
        <w:rPr>
          <w:rFonts w:hint="eastAsia" w:ascii="Times New Roman" w:hAnsi="Times New Roman" w:eastAsia="仿宋"/>
          <w:color w:val="auto"/>
          <w:sz w:val="24"/>
          <w:highlight w:val="none"/>
          <w:lang w:val="en-US" w:eastAsia="zh-CN"/>
        </w:rPr>
        <w:t>XXX</w:t>
      </w:r>
    </w:p>
    <w:p w14:paraId="5B8F3CDE">
      <w:pPr>
        <w:wordWrap w:val="0"/>
        <w:adjustRightInd w:val="0"/>
        <w:snapToGrid w:val="0"/>
        <w:spacing w:line="360" w:lineRule="auto"/>
        <w:rPr>
          <w:rFonts w:hint="eastAsia" w:ascii="Times New Roman" w:hAnsi="Times New Roman" w:eastAsia="仿宋"/>
          <w:color w:val="auto"/>
          <w:sz w:val="24"/>
          <w:highlight w:val="none"/>
          <w:lang w:val="en-US" w:eastAsia="zh-CN"/>
        </w:rPr>
      </w:pPr>
      <w:r>
        <w:rPr>
          <w:rFonts w:ascii="Times New Roman" w:hAnsi="Times New Roman" w:eastAsia="仿宋"/>
          <w:color w:val="auto"/>
          <w:sz w:val="24"/>
          <w:highlight w:val="none"/>
        </w:rPr>
        <w:t>乙方：</w:t>
      </w:r>
      <w:r>
        <w:rPr>
          <w:rFonts w:hint="eastAsia" w:ascii="Times New Roman" w:hAnsi="Times New Roman" w:eastAsia="仿宋"/>
          <w:color w:val="auto"/>
          <w:sz w:val="24"/>
          <w:highlight w:val="none"/>
          <w:lang w:val="en-US" w:eastAsia="zh-CN"/>
        </w:rPr>
        <w:t xml:space="preserve">XXX                                </w:t>
      </w:r>
      <w:r>
        <w:rPr>
          <w:rFonts w:hint="eastAsia" w:ascii="Times New Roman" w:hAnsi="Times New Roman" w:eastAsia="仿宋"/>
          <w:color w:val="auto"/>
          <w:sz w:val="24"/>
          <w:highlight w:val="none"/>
        </w:rPr>
        <w:t xml:space="preserve"> </w:t>
      </w:r>
      <w:r>
        <w:rPr>
          <w:rFonts w:ascii="Times New Roman" w:hAnsi="Times New Roman" w:eastAsia="仿宋"/>
          <w:color w:val="auto"/>
          <w:sz w:val="24"/>
          <w:highlight w:val="none"/>
        </w:rPr>
        <w:t>签订地点：</w:t>
      </w:r>
      <w:r>
        <w:rPr>
          <w:rFonts w:hint="eastAsia" w:eastAsia="仿宋"/>
          <w:color w:val="auto"/>
          <w:sz w:val="24"/>
          <w:highlight w:val="none"/>
          <w:lang w:val="en-US" w:eastAsia="zh-CN"/>
        </w:rPr>
        <w:t xml:space="preserve"> </w:t>
      </w:r>
    </w:p>
    <w:p w14:paraId="02A9BDB5">
      <w:pPr>
        <w:pStyle w:val="12"/>
        <w:rPr>
          <w:rFonts w:hint="eastAsia"/>
          <w:color w:val="auto"/>
          <w:highlight w:val="none"/>
        </w:rPr>
      </w:pPr>
    </w:p>
    <w:p w14:paraId="1E0FD48D">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本合同甲方委托乙方就</w:t>
      </w:r>
      <w:r>
        <w:rPr>
          <w:rFonts w:hint="eastAsia" w:ascii="仿宋" w:hAnsi="仿宋" w:eastAsia="仿宋"/>
          <w:sz w:val="24"/>
          <w:highlight w:val="none"/>
          <w:lang w:val="en-US" w:eastAsia="zh-CN"/>
        </w:rPr>
        <w:t>xx</w:t>
      </w:r>
      <w:r>
        <w:rPr>
          <w:rFonts w:hint="eastAsia" w:ascii="仿宋" w:hAnsi="仿宋" w:eastAsia="仿宋"/>
          <w:sz w:val="24"/>
          <w:highlight w:val="none"/>
        </w:rPr>
        <w:t>公司</w:t>
      </w:r>
      <w:r>
        <w:rPr>
          <w:rFonts w:hint="eastAsia" w:ascii="仿宋" w:hAnsi="仿宋" w:eastAsia="仿宋" w:cs="Times New Roman"/>
          <w:sz w:val="24"/>
          <w:highlight w:val="none"/>
          <w:lang w:val="en-US" w:eastAsia="zh-CN"/>
        </w:rPr>
        <w:t>数据管理能力成熟度二级</w:t>
      </w:r>
      <w:r>
        <w:rPr>
          <w:rFonts w:hint="eastAsia" w:ascii="仿宋" w:hAnsi="仿宋" w:eastAsia="仿宋"/>
          <w:sz w:val="24"/>
          <w:highlight w:val="none"/>
        </w:rPr>
        <w:t>评估项目（以下简称“本项目”）提供技术服务，并支付相应的技术服务报酬。双方在真实、充分地表达各自意愿的基础上，根据《中华人民共和国民法典》、技术合同及其他相关法律法规的规定，经过平等、友好协商，签订本合同，共同信守执行。</w:t>
      </w:r>
    </w:p>
    <w:p w14:paraId="2523F0D4">
      <w:pPr>
        <w:tabs>
          <w:tab w:val="left" w:pos="757"/>
        </w:tabs>
        <w:spacing w:line="360" w:lineRule="auto"/>
        <w:ind w:firstLine="482" w:firstLineChars="200"/>
        <w:jc w:val="both"/>
        <w:rPr>
          <w:rFonts w:hint="eastAsia" w:ascii="仿宋" w:hAnsi="仿宋" w:eastAsia="仿宋"/>
          <w:b/>
          <w:bCs/>
          <w:sz w:val="24"/>
          <w:highlight w:val="none"/>
        </w:rPr>
      </w:pPr>
      <w:r>
        <w:rPr>
          <w:rFonts w:hint="eastAsia" w:ascii="仿宋" w:hAnsi="仿宋" w:eastAsia="仿宋"/>
          <w:b/>
          <w:bCs/>
          <w:sz w:val="24"/>
          <w:highlight w:val="none"/>
        </w:rPr>
        <w:t>第一条 技术服务内容、方式和要求</w:t>
      </w:r>
    </w:p>
    <w:p w14:paraId="49C586E4">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1.1 项目名称：</w:t>
      </w:r>
      <w:r>
        <w:rPr>
          <w:rFonts w:hint="eastAsia" w:ascii="仿宋" w:hAnsi="仿宋" w:eastAsia="仿宋"/>
          <w:sz w:val="24"/>
          <w:highlight w:val="none"/>
          <w:lang w:val="en-US" w:eastAsia="zh-CN"/>
        </w:rPr>
        <w:t>xx</w:t>
      </w:r>
      <w:r>
        <w:rPr>
          <w:rFonts w:hint="eastAsia" w:ascii="仿宋" w:hAnsi="仿宋" w:eastAsia="仿宋"/>
          <w:sz w:val="24"/>
          <w:highlight w:val="none"/>
        </w:rPr>
        <w:t>公司</w:t>
      </w:r>
      <w:r>
        <w:rPr>
          <w:rFonts w:hint="eastAsia" w:ascii="仿宋" w:hAnsi="仿宋" w:eastAsia="仿宋" w:cs="Times New Roman"/>
          <w:sz w:val="24"/>
          <w:highlight w:val="none"/>
          <w:lang w:val="en-US" w:eastAsia="zh-CN"/>
        </w:rPr>
        <w:t>数据管理能力成熟度二级</w:t>
      </w:r>
      <w:r>
        <w:rPr>
          <w:rFonts w:hint="eastAsia" w:ascii="仿宋" w:hAnsi="仿宋" w:eastAsia="仿宋"/>
          <w:sz w:val="24"/>
          <w:highlight w:val="none"/>
        </w:rPr>
        <w:t>评估。</w:t>
      </w:r>
    </w:p>
    <w:p w14:paraId="4F06D5A7">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1.2 项目目标：</w:t>
      </w:r>
      <w:r>
        <w:rPr>
          <w:rFonts w:hint="eastAsia" w:ascii="仿宋" w:hAnsi="仿宋" w:eastAsia="仿宋" w:cs="Times New Roman"/>
          <w:sz w:val="24"/>
          <w:highlight w:val="none"/>
        </w:rPr>
        <w:t>根据中国电子信息行业联合会发布的《数据管理能力成熟度评估工作管理办法》，依据GB/T 36073-2018 《数据管理能力成熟度评估模型》国家标准，对</w:t>
      </w:r>
      <w:r>
        <w:rPr>
          <w:rFonts w:hint="eastAsia" w:ascii="仿宋" w:hAnsi="仿宋" w:eastAsia="仿宋" w:cs="Times New Roman"/>
          <w:sz w:val="24"/>
          <w:highlight w:val="none"/>
          <w:lang w:val="en-US" w:eastAsia="zh-CN"/>
        </w:rPr>
        <w:t>甲方</w:t>
      </w:r>
      <w:r>
        <w:rPr>
          <w:rFonts w:hint="eastAsia" w:ascii="仿宋" w:hAnsi="仿宋" w:eastAsia="仿宋" w:cs="Times New Roman"/>
          <w:sz w:val="24"/>
          <w:highlight w:val="none"/>
        </w:rPr>
        <w:t>开展全面系统的数据管理能力评估服务工作，</w:t>
      </w:r>
      <w:r>
        <w:rPr>
          <w:rFonts w:hint="eastAsia" w:ascii="仿宋" w:hAnsi="仿宋" w:eastAsia="仿宋" w:cs="Times New Roman"/>
          <w:sz w:val="24"/>
          <w:highlight w:val="none"/>
          <w:lang w:eastAsia="zh-CN"/>
        </w:rPr>
        <w:t>支撑</w:t>
      </w:r>
      <w:r>
        <w:rPr>
          <w:rFonts w:hint="eastAsia" w:ascii="仿宋" w:hAnsi="仿宋" w:eastAsia="仿宋" w:cs="Times New Roman"/>
          <w:sz w:val="24"/>
          <w:highlight w:val="none"/>
          <w:lang w:val="en-US" w:eastAsia="zh-CN"/>
        </w:rPr>
        <w:t>甲方</w:t>
      </w:r>
      <w:r>
        <w:rPr>
          <w:rFonts w:hint="eastAsia" w:ascii="仿宋" w:hAnsi="仿宋" w:eastAsia="仿宋" w:cs="Times New Roman"/>
          <w:sz w:val="24"/>
          <w:highlight w:val="none"/>
        </w:rPr>
        <w:t>取得</w:t>
      </w:r>
      <w:r>
        <w:rPr>
          <w:rFonts w:hint="eastAsia" w:ascii="仿宋" w:hAnsi="仿宋" w:eastAsia="仿宋" w:cs="Times New Roman"/>
          <w:sz w:val="24"/>
          <w:highlight w:val="none"/>
          <w:lang w:val="en-US" w:eastAsia="zh-CN"/>
        </w:rPr>
        <w:t>数据管理能力成熟度（</w:t>
      </w:r>
      <w:r>
        <w:rPr>
          <w:rFonts w:hint="eastAsia" w:ascii="仿宋" w:hAnsi="仿宋" w:eastAsia="仿宋" w:cs="Times New Roman"/>
          <w:sz w:val="24"/>
          <w:highlight w:val="none"/>
        </w:rPr>
        <w:t>DCMM</w:t>
      </w:r>
      <w:r>
        <w:rPr>
          <w:rFonts w:hint="eastAsia" w:ascii="仿宋" w:hAnsi="仿宋" w:eastAsia="仿宋" w:cs="Times New Roman"/>
          <w:sz w:val="24"/>
          <w:highlight w:val="none"/>
          <w:lang w:val="en-US" w:eastAsia="zh-CN"/>
        </w:rPr>
        <w:t>）</w:t>
      </w:r>
      <w:r>
        <w:rPr>
          <w:rFonts w:hint="eastAsia" w:ascii="仿宋" w:hAnsi="仿宋" w:eastAsia="仿宋" w:cs="Times New Roman"/>
          <w:sz w:val="24"/>
          <w:highlight w:val="none"/>
        </w:rPr>
        <w:t>二级证书。</w:t>
      </w:r>
    </w:p>
    <w:p w14:paraId="72718208">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1.3 服务形式：技术咨询、现场评估（前期</w:t>
      </w:r>
      <w:r>
        <w:rPr>
          <w:rFonts w:hint="eastAsia" w:ascii="仿宋" w:hAnsi="仿宋" w:eastAsia="仿宋"/>
          <w:sz w:val="24"/>
          <w:highlight w:val="none"/>
          <w:lang w:eastAsia="zh-CN"/>
        </w:rPr>
        <w:t>诊断策划</w:t>
      </w:r>
      <w:r>
        <w:rPr>
          <w:rFonts w:hint="eastAsia" w:ascii="仿宋" w:hAnsi="仿宋" w:eastAsia="仿宋"/>
          <w:sz w:val="24"/>
          <w:highlight w:val="none"/>
        </w:rPr>
        <w:t>、</w:t>
      </w:r>
      <w:r>
        <w:rPr>
          <w:rFonts w:hint="eastAsia" w:ascii="仿宋" w:hAnsi="仿宋" w:eastAsia="仿宋"/>
          <w:sz w:val="24"/>
          <w:highlight w:val="none"/>
          <w:lang w:eastAsia="zh-CN"/>
        </w:rPr>
        <w:t>体系建立和完善、</w:t>
      </w:r>
      <w:r>
        <w:rPr>
          <w:rFonts w:hint="eastAsia" w:ascii="仿宋" w:hAnsi="仿宋" w:eastAsia="仿宋"/>
          <w:sz w:val="24"/>
          <w:highlight w:val="none"/>
        </w:rPr>
        <w:t>正式评估</w:t>
      </w:r>
      <w:r>
        <w:rPr>
          <w:rFonts w:hint="eastAsia" w:ascii="仿宋" w:hAnsi="仿宋" w:eastAsia="仿宋"/>
          <w:sz w:val="24"/>
          <w:highlight w:val="none"/>
          <w:lang w:eastAsia="zh-CN"/>
        </w:rPr>
        <w:t>、评审修订</w:t>
      </w:r>
      <w:r>
        <w:rPr>
          <w:rFonts w:hint="eastAsia" w:ascii="仿宋" w:hAnsi="仿宋" w:eastAsia="仿宋"/>
          <w:sz w:val="24"/>
          <w:highlight w:val="none"/>
        </w:rPr>
        <w:t>）</w:t>
      </w:r>
      <w:r>
        <w:rPr>
          <w:rFonts w:hint="eastAsia" w:ascii="仿宋" w:hAnsi="仿宋" w:eastAsia="仿宋"/>
          <w:sz w:val="24"/>
          <w:highlight w:val="none"/>
          <w:lang w:eastAsia="zh-CN"/>
        </w:rPr>
        <w:t>、获取证书</w:t>
      </w:r>
      <w:r>
        <w:rPr>
          <w:rFonts w:hint="eastAsia" w:ascii="仿宋" w:hAnsi="仿宋" w:eastAsia="仿宋"/>
          <w:sz w:val="24"/>
          <w:highlight w:val="none"/>
        </w:rPr>
        <w:t>。</w:t>
      </w:r>
    </w:p>
    <w:p w14:paraId="576A88B8">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1.4 服务内容和范围：</w:t>
      </w:r>
    </w:p>
    <w:p w14:paraId="5BD4C214">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1）乙方向甲方提供</w:t>
      </w:r>
      <w:r>
        <w:rPr>
          <w:rFonts w:hint="eastAsia" w:ascii="仿宋" w:hAnsi="仿宋" w:eastAsia="仿宋" w:cs="Times New Roman"/>
          <w:sz w:val="24"/>
          <w:highlight w:val="none"/>
          <w:lang w:val="en-US" w:eastAsia="zh-CN"/>
        </w:rPr>
        <w:t>数据管理能力成熟度二级</w:t>
      </w:r>
      <w:r>
        <w:rPr>
          <w:rFonts w:hint="eastAsia" w:ascii="仿宋" w:hAnsi="仿宋" w:eastAsia="仿宋"/>
          <w:sz w:val="24"/>
          <w:highlight w:val="none"/>
        </w:rPr>
        <w:t>评估及相关咨询服务。</w:t>
      </w:r>
    </w:p>
    <w:p w14:paraId="00F5E899">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2）乙方制定合理的评估内容，能够覆盖甲方的业务范围。</w:t>
      </w:r>
    </w:p>
    <w:p w14:paraId="79B93E6A">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3）乙方为甲方建立规范的</w:t>
      </w:r>
      <w:r>
        <w:rPr>
          <w:rFonts w:hint="eastAsia" w:ascii="仿宋" w:hAnsi="仿宋" w:eastAsia="仿宋" w:cs="Times New Roman"/>
          <w:sz w:val="24"/>
          <w:highlight w:val="none"/>
          <w:lang w:val="en-US" w:eastAsia="zh-CN"/>
        </w:rPr>
        <w:t>数据管理能力成熟度二级</w:t>
      </w:r>
      <w:r>
        <w:rPr>
          <w:rFonts w:hint="eastAsia" w:ascii="仿宋" w:hAnsi="仿宋" w:eastAsia="仿宋"/>
          <w:sz w:val="24"/>
          <w:highlight w:val="none"/>
        </w:rPr>
        <w:t>评估流程。</w:t>
      </w:r>
    </w:p>
    <w:p w14:paraId="4A93A20B">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4）乙方向甲方提供可量化的评估结果，能反映每项评估内容的结果以及整体得分和等级。</w:t>
      </w:r>
    </w:p>
    <w:p w14:paraId="38915816">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5）建立完备的服务团队保障</w:t>
      </w:r>
      <w:r>
        <w:rPr>
          <w:rFonts w:hint="eastAsia" w:ascii="仿宋" w:hAnsi="仿宋" w:eastAsia="仿宋" w:cs="Times New Roman"/>
          <w:sz w:val="24"/>
          <w:highlight w:val="none"/>
          <w:lang w:val="en-US" w:eastAsia="zh-CN"/>
        </w:rPr>
        <w:t>数据管理能力成熟度二级</w:t>
      </w:r>
      <w:r>
        <w:rPr>
          <w:rFonts w:hint="eastAsia" w:ascii="仿宋" w:hAnsi="仿宋" w:eastAsia="仿宋"/>
          <w:sz w:val="24"/>
          <w:highlight w:val="none"/>
        </w:rPr>
        <w:t>评估工作的顺利开展。</w:t>
      </w:r>
    </w:p>
    <w:p w14:paraId="02DC53E8">
      <w:pPr>
        <w:tabs>
          <w:tab w:val="left" w:pos="757"/>
        </w:tabs>
        <w:spacing w:line="360" w:lineRule="auto"/>
        <w:ind w:firstLine="480" w:firstLineChars="200"/>
        <w:jc w:val="both"/>
        <w:rPr>
          <w:rFonts w:hint="eastAsia" w:ascii="仿宋" w:hAnsi="仿宋" w:eastAsia="仿宋"/>
          <w:sz w:val="24"/>
          <w:highlight w:val="none"/>
          <w:lang w:eastAsia="zh-CN"/>
        </w:rPr>
      </w:pPr>
      <w:r>
        <w:rPr>
          <w:rFonts w:hint="eastAsia" w:ascii="仿宋" w:hAnsi="仿宋" w:eastAsia="仿宋"/>
          <w:sz w:val="24"/>
          <w:highlight w:val="none"/>
          <w:lang w:eastAsia="zh-CN"/>
        </w:rPr>
        <w:t>具体服务内容、交付成果物以及节点如下：</w:t>
      </w:r>
    </w:p>
    <w:p w14:paraId="570F3695">
      <w:pPr>
        <w:pStyle w:val="2"/>
        <w:rPr>
          <w:rFonts w:hint="eastAsia" w:ascii="仿宋" w:hAnsi="仿宋" w:eastAsia="仿宋"/>
          <w:sz w:val="24"/>
          <w:highlight w:val="none"/>
          <w:lang w:eastAsia="zh-CN"/>
        </w:rPr>
      </w:pPr>
    </w:p>
    <w:p w14:paraId="19F640B8">
      <w:pPr>
        <w:pStyle w:val="5"/>
        <w:rPr>
          <w:rFonts w:hint="eastAsia"/>
          <w:lang w:eastAsia="zh-CN"/>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0"/>
        <w:gridCol w:w="2707"/>
        <w:gridCol w:w="1997"/>
        <w:gridCol w:w="1997"/>
      </w:tblGrid>
      <w:tr w14:paraId="6DB3D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20" w:type="dxa"/>
            <w:vAlign w:val="center"/>
          </w:tcPr>
          <w:p w14:paraId="7FA51A97">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项目阶段</w:t>
            </w:r>
          </w:p>
        </w:tc>
        <w:tc>
          <w:tcPr>
            <w:tcW w:w="2707" w:type="dxa"/>
            <w:vAlign w:val="center"/>
          </w:tcPr>
          <w:p w14:paraId="1C70F37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工作内容</w:t>
            </w:r>
          </w:p>
        </w:tc>
        <w:tc>
          <w:tcPr>
            <w:tcW w:w="1997" w:type="dxa"/>
            <w:vAlign w:val="center"/>
          </w:tcPr>
          <w:p w14:paraId="771A3A84">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交付物</w:t>
            </w:r>
          </w:p>
        </w:tc>
        <w:tc>
          <w:tcPr>
            <w:tcW w:w="1997" w:type="dxa"/>
            <w:vAlign w:val="center"/>
          </w:tcPr>
          <w:p w14:paraId="5142D46E">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交付时间</w:t>
            </w:r>
          </w:p>
        </w:tc>
      </w:tr>
      <w:tr w14:paraId="7EE2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vAlign w:val="center"/>
          </w:tcPr>
          <w:p w14:paraId="542AFC8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诊断及DCMM整体策划</w:t>
            </w:r>
          </w:p>
        </w:tc>
        <w:tc>
          <w:tcPr>
            <w:tcW w:w="2707" w:type="dxa"/>
            <w:vAlign w:val="center"/>
          </w:tcPr>
          <w:p w14:paraId="56AF67A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项目启动会；</w:t>
            </w:r>
          </w:p>
          <w:p w14:paraId="4003A5A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确定专职人员；</w:t>
            </w:r>
          </w:p>
          <w:p w14:paraId="20559CF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现场调研；</w:t>
            </w:r>
          </w:p>
          <w:p w14:paraId="3839CEB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编写差距分析报告；</w:t>
            </w:r>
          </w:p>
          <w:p w14:paraId="7200EFD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制定DCMM项目实施方案和计划。</w:t>
            </w:r>
          </w:p>
        </w:tc>
        <w:tc>
          <w:tcPr>
            <w:tcW w:w="1997" w:type="dxa"/>
            <w:vAlign w:val="center"/>
          </w:tcPr>
          <w:p w14:paraId="223EA1B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差距分析报告</w:t>
            </w:r>
          </w:p>
          <w:p w14:paraId="33893F5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DCMM项目实施方案</w:t>
            </w:r>
          </w:p>
          <w:p w14:paraId="35BD58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DCMM整体实施计划</w:t>
            </w:r>
          </w:p>
        </w:tc>
        <w:tc>
          <w:tcPr>
            <w:tcW w:w="1997" w:type="dxa"/>
            <w:vAlign w:val="center"/>
          </w:tcPr>
          <w:p w14:paraId="46A253D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lang w:val="en-US" w:eastAsia="zh-CN"/>
              </w:rPr>
              <w:t>2025年6月30日</w:t>
            </w:r>
          </w:p>
        </w:tc>
      </w:tr>
      <w:tr w14:paraId="2EF5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vAlign w:val="center"/>
          </w:tcPr>
          <w:p w14:paraId="47734BA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全业务过程定义与管理体系完善</w:t>
            </w:r>
          </w:p>
        </w:tc>
        <w:tc>
          <w:tcPr>
            <w:tcW w:w="2707" w:type="dxa"/>
            <w:vAlign w:val="center"/>
          </w:tcPr>
          <w:p w14:paraId="5EFA800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指导建立纵向贯穿项目全生命周期，横向覆盖公司各类业务管理体系；</w:t>
            </w:r>
          </w:p>
          <w:p w14:paraId="27CC27A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过程定义阶段性总结。</w:t>
            </w:r>
          </w:p>
        </w:tc>
        <w:tc>
          <w:tcPr>
            <w:tcW w:w="1997" w:type="dxa"/>
            <w:vAlign w:val="center"/>
          </w:tcPr>
          <w:p w14:paraId="1B0C2B3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过程规范文档、表单、模板</w:t>
            </w:r>
          </w:p>
          <w:p w14:paraId="34476AF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管理体系文件发布报告</w:t>
            </w:r>
          </w:p>
          <w:p w14:paraId="264D99E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阶段性总结报告</w:t>
            </w:r>
          </w:p>
        </w:tc>
        <w:tc>
          <w:tcPr>
            <w:tcW w:w="1997" w:type="dxa"/>
            <w:vAlign w:val="center"/>
          </w:tcPr>
          <w:p w14:paraId="43E979A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2025年7月31日</w:t>
            </w:r>
          </w:p>
        </w:tc>
      </w:tr>
      <w:tr w14:paraId="01CC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vAlign w:val="center"/>
          </w:tcPr>
          <w:p w14:paraId="10D6D88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DCMM体系建立</w:t>
            </w:r>
          </w:p>
        </w:tc>
        <w:tc>
          <w:tcPr>
            <w:tcW w:w="2707" w:type="dxa"/>
            <w:vAlign w:val="center"/>
          </w:tcPr>
          <w:p w14:paraId="5787DBC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根据公司目标体系，以及过程性能数据，建立适合的基线和模型；</w:t>
            </w:r>
          </w:p>
          <w:p w14:paraId="2CA3FC2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DCMM体系阶段总结。</w:t>
            </w:r>
          </w:p>
        </w:tc>
        <w:tc>
          <w:tcPr>
            <w:tcW w:w="1997" w:type="dxa"/>
            <w:vAlign w:val="center"/>
          </w:tcPr>
          <w:p w14:paraId="790CD79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数据战略、数据治理、数据架构、数据应用、数据安全、数据质量、数据标准、数据周期制度文件等</w:t>
            </w:r>
          </w:p>
        </w:tc>
        <w:tc>
          <w:tcPr>
            <w:tcW w:w="1997" w:type="dxa"/>
            <w:vAlign w:val="center"/>
          </w:tcPr>
          <w:p w14:paraId="4453D3B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2025年8月31日</w:t>
            </w:r>
          </w:p>
        </w:tc>
      </w:tr>
      <w:tr w14:paraId="6C4F0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vAlign w:val="center"/>
          </w:tcPr>
          <w:p w14:paraId="5B767C9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DCMM 级正式评估</w:t>
            </w:r>
          </w:p>
        </w:tc>
        <w:tc>
          <w:tcPr>
            <w:tcW w:w="2707" w:type="dxa"/>
            <w:vAlign w:val="center"/>
          </w:tcPr>
          <w:p w14:paraId="59AE078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 xml:space="preserve">文档检查和访谈； </w:t>
            </w:r>
          </w:p>
          <w:p w14:paraId="2BB483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 xml:space="preserve">分析、整理、编制评估报告； </w:t>
            </w:r>
          </w:p>
          <w:p w14:paraId="6F778C2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 xml:space="preserve">发布评估报告； </w:t>
            </w:r>
          </w:p>
          <w:p w14:paraId="4B1541B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针对正式评估发现问题进行改善。</w:t>
            </w:r>
          </w:p>
        </w:tc>
        <w:tc>
          <w:tcPr>
            <w:tcW w:w="1997" w:type="dxa"/>
            <w:vAlign w:val="center"/>
          </w:tcPr>
          <w:p w14:paraId="0D2F214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评估计划</w:t>
            </w:r>
          </w:p>
          <w:p w14:paraId="2F983FE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评估报告（初稿）</w:t>
            </w:r>
          </w:p>
        </w:tc>
        <w:tc>
          <w:tcPr>
            <w:tcW w:w="1997" w:type="dxa"/>
            <w:vAlign w:val="center"/>
          </w:tcPr>
          <w:p w14:paraId="1DE9BA8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2025年9月30日</w:t>
            </w:r>
          </w:p>
        </w:tc>
      </w:tr>
      <w:tr w14:paraId="0DED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vAlign w:val="center"/>
          </w:tcPr>
          <w:p w14:paraId="601A723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DCMM 级评审及修订</w:t>
            </w:r>
          </w:p>
        </w:tc>
        <w:tc>
          <w:tcPr>
            <w:tcW w:w="2707" w:type="dxa"/>
            <w:vAlign w:val="center"/>
          </w:tcPr>
          <w:p w14:paraId="414DD21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评审会专家审核；</w:t>
            </w:r>
          </w:p>
          <w:p w14:paraId="333B59A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专家审核完成后进行资料修订。</w:t>
            </w:r>
          </w:p>
        </w:tc>
        <w:tc>
          <w:tcPr>
            <w:tcW w:w="1997" w:type="dxa"/>
            <w:vAlign w:val="center"/>
          </w:tcPr>
          <w:p w14:paraId="5AA660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评估报告（正式）</w:t>
            </w:r>
          </w:p>
        </w:tc>
        <w:tc>
          <w:tcPr>
            <w:tcW w:w="1997" w:type="dxa"/>
            <w:vAlign w:val="center"/>
          </w:tcPr>
          <w:p w14:paraId="49658E4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2025年10月31日</w:t>
            </w:r>
          </w:p>
        </w:tc>
      </w:tr>
      <w:tr w14:paraId="1DD7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vAlign w:val="center"/>
          </w:tcPr>
          <w:p w14:paraId="3E68CAA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获取证书</w:t>
            </w:r>
          </w:p>
        </w:tc>
        <w:tc>
          <w:tcPr>
            <w:tcW w:w="2707" w:type="dxa"/>
            <w:vAlign w:val="center"/>
          </w:tcPr>
          <w:p w14:paraId="6A0492C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跟进评估结果，支撑企业获取认证证书</w:t>
            </w:r>
          </w:p>
        </w:tc>
        <w:tc>
          <w:tcPr>
            <w:tcW w:w="1997" w:type="dxa"/>
            <w:vAlign w:val="center"/>
          </w:tcPr>
          <w:p w14:paraId="17BA5B2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DCMM二级证书</w:t>
            </w:r>
          </w:p>
        </w:tc>
        <w:tc>
          <w:tcPr>
            <w:tcW w:w="1997" w:type="dxa"/>
            <w:vAlign w:val="center"/>
          </w:tcPr>
          <w:p w14:paraId="322955D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2025年12月31日前</w:t>
            </w:r>
          </w:p>
        </w:tc>
      </w:tr>
    </w:tbl>
    <w:p w14:paraId="71CFAC73">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Times New Roman"/>
          <w:b/>
          <w:bCs/>
          <w:sz w:val="24"/>
          <w:highlight w:val="none"/>
        </w:rPr>
      </w:pPr>
      <w:r>
        <w:rPr>
          <w:rFonts w:hint="eastAsia" w:ascii="仿宋" w:hAnsi="仿宋" w:eastAsia="仿宋" w:cs="Times New Roman"/>
          <w:b/>
          <w:bCs/>
          <w:sz w:val="24"/>
          <w:highlight w:val="none"/>
        </w:rPr>
        <w:t>第二条 履行期限、地点和方式</w:t>
      </w:r>
    </w:p>
    <w:p w14:paraId="4E0A0FB0">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2.1项目起止时间:本项目评估服务工作自</w:t>
      </w:r>
      <w:r>
        <w:rPr>
          <w:rFonts w:hint="eastAsia" w:ascii="仿宋" w:hAnsi="仿宋" w:eastAsia="仿宋" w:cs="Times New Roman"/>
          <w:sz w:val="24"/>
          <w:highlight w:val="none"/>
          <w:u w:val="single"/>
          <w:lang w:val="en-US" w:eastAsia="zh-CN"/>
        </w:rPr>
        <w:t>合同签订之日起</w:t>
      </w:r>
      <w:r>
        <w:rPr>
          <w:rFonts w:hint="eastAsia" w:ascii="仿宋" w:hAnsi="仿宋" w:eastAsia="仿宋" w:cs="Times New Roman"/>
          <w:sz w:val="24"/>
          <w:highlight w:val="none"/>
        </w:rPr>
        <w:t>至</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年</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月</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日，乙方应完成评估工作</w:t>
      </w:r>
      <w:r>
        <w:rPr>
          <w:rFonts w:hint="eastAsia" w:ascii="仿宋" w:hAnsi="仿宋" w:eastAsia="仿宋" w:cs="Times New Roman"/>
          <w:sz w:val="24"/>
          <w:highlight w:val="none"/>
          <w:lang w:eastAsia="zh-CN"/>
        </w:rPr>
        <w:t>并</w:t>
      </w:r>
      <w:r>
        <w:rPr>
          <w:rFonts w:hint="eastAsia" w:ascii="仿宋" w:hAnsi="仿宋" w:eastAsia="仿宋" w:cs="Times New Roman"/>
          <w:sz w:val="24"/>
          <w:highlight w:val="none"/>
        </w:rPr>
        <w:t>提交最终工作成果</w:t>
      </w:r>
      <w:r>
        <w:rPr>
          <w:rFonts w:hint="eastAsia" w:ascii="仿宋" w:hAnsi="仿宋" w:eastAsia="仿宋" w:cs="Times New Roman"/>
          <w:sz w:val="24"/>
          <w:highlight w:val="none"/>
          <w:lang w:eastAsia="zh-CN"/>
        </w:rPr>
        <w:t>，支撑甲方取得本合同约定证书</w:t>
      </w:r>
      <w:r>
        <w:rPr>
          <w:rFonts w:hint="eastAsia" w:ascii="仿宋" w:hAnsi="仿宋" w:eastAsia="仿宋" w:cs="Times New Roman"/>
          <w:sz w:val="24"/>
          <w:highlight w:val="none"/>
        </w:rPr>
        <w:t>。</w:t>
      </w:r>
    </w:p>
    <w:p w14:paraId="1CB22911">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2.2项目进度安排：乙方</w:t>
      </w:r>
      <w:r>
        <w:rPr>
          <w:rFonts w:hint="eastAsia" w:ascii="仿宋" w:hAnsi="仿宋" w:eastAsia="仿宋" w:cs="Times New Roman"/>
          <w:sz w:val="24"/>
          <w:highlight w:val="none"/>
          <w:lang w:eastAsia="zh-CN"/>
        </w:rPr>
        <w:t>按本合同约定节点</w:t>
      </w:r>
      <w:r>
        <w:rPr>
          <w:rFonts w:hint="eastAsia" w:ascii="仿宋" w:hAnsi="仿宋" w:eastAsia="仿宋" w:cs="Times New Roman"/>
          <w:sz w:val="24"/>
          <w:highlight w:val="none"/>
        </w:rPr>
        <w:t>制定合理的项目实施计划，开展评估工作并提交相应的成果。</w:t>
      </w:r>
    </w:p>
    <w:p w14:paraId="06DD0C47">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2.3项目履行方式：由甲方提供合同要求协作事项的条件。由乙方向甲方提供</w:t>
      </w:r>
      <w:r>
        <w:rPr>
          <w:rFonts w:hint="eastAsia" w:ascii="仿宋" w:hAnsi="仿宋" w:eastAsia="仿宋" w:cs="Times New Roman"/>
          <w:sz w:val="24"/>
          <w:highlight w:val="none"/>
          <w:lang w:val="en-US" w:eastAsia="zh-CN"/>
        </w:rPr>
        <w:t>数据管理能力成熟度二级</w:t>
      </w:r>
      <w:r>
        <w:rPr>
          <w:rFonts w:hint="eastAsia" w:ascii="仿宋" w:hAnsi="仿宋" w:eastAsia="仿宋" w:cs="Times New Roman"/>
          <w:sz w:val="24"/>
          <w:highlight w:val="none"/>
        </w:rPr>
        <w:t>评估服务，内容包括本合同第一条款所列要求。</w:t>
      </w:r>
    </w:p>
    <w:p w14:paraId="67787FFB">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2.4项目履行地点：</w:t>
      </w:r>
      <w:r>
        <w:rPr>
          <w:rFonts w:hint="eastAsia" w:ascii="仿宋" w:hAnsi="仿宋" w:eastAsia="仿宋" w:cs="Times New Roman"/>
          <w:sz w:val="24"/>
          <w:highlight w:val="none"/>
          <w:lang w:val="en-US" w:eastAsia="zh-CN"/>
        </w:rPr>
        <w:t>xxxx。</w:t>
      </w:r>
    </w:p>
    <w:p w14:paraId="63415FAD">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2.5项目联系人：为执行本项目，</w:t>
      </w:r>
      <w:r>
        <w:rPr>
          <w:rFonts w:hint="eastAsia" w:ascii="仿宋" w:hAnsi="仿宋" w:eastAsia="仿宋" w:cs="Times New Roman"/>
          <w:sz w:val="24"/>
          <w:highlight w:val="none"/>
          <w:lang w:val="en-US" w:eastAsia="zh-CN"/>
        </w:rPr>
        <w:t>甲</w:t>
      </w:r>
      <w:r>
        <w:rPr>
          <w:rFonts w:hint="eastAsia" w:ascii="仿宋" w:hAnsi="仿宋" w:eastAsia="仿宋" w:cs="Times New Roman"/>
          <w:sz w:val="24"/>
          <w:highlight w:val="none"/>
        </w:rPr>
        <w:t>方指定</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为项目</w:t>
      </w:r>
      <w:r>
        <w:rPr>
          <w:rFonts w:hint="eastAsia" w:ascii="仿宋" w:hAnsi="仿宋" w:eastAsia="仿宋" w:cs="Times New Roman"/>
          <w:sz w:val="24"/>
          <w:highlight w:val="none"/>
          <w:lang w:eastAsia="zh-CN"/>
        </w:rPr>
        <w:t>负责人</w:t>
      </w:r>
      <w:r>
        <w:rPr>
          <w:rFonts w:hint="eastAsia" w:ascii="仿宋" w:hAnsi="仿宋" w:eastAsia="仿宋" w:cs="Times New Roman"/>
          <w:sz w:val="24"/>
          <w:highlight w:val="none"/>
        </w:rPr>
        <w:t>，</w:t>
      </w:r>
      <w:r>
        <w:rPr>
          <w:rFonts w:hint="eastAsia" w:ascii="仿宋" w:hAnsi="仿宋" w:eastAsia="仿宋" w:cs="Times New Roman"/>
          <w:sz w:val="24"/>
          <w:highlight w:val="none"/>
          <w:lang w:val="en-US" w:eastAsia="zh-CN"/>
        </w:rPr>
        <w:t>乙</w:t>
      </w:r>
      <w:r>
        <w:rPr>
          <w:rFonts w:hint="eastAsia" w:ascii="仿宋" w:hAnsi="仿宋" w:eastAsia="仿宋" w:cs="Times New Roman"/>
          <w:sz w:val="24"/>
          <w:highlight w:val="none"/>
        </w:rPr>
        <w:t>方指定</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lang w:val="en-US" w:eastAsia="zh-CN"/>
        </w:rPr>
        <w:t>为</w:t>
      </w:r>
      <w:r>
        <w:rPr>
          <w:rFonts w:hint="eastAsia" w:ascii="仿宋" w:hAnsi="仿宋" w:eastAsia="仿宋" w:cs="Times New Roman"/>
          <w:sz w:val="24"/>
          <w:highlight w:val="none"/>
        </w:rPr>
        <w:t>项目</w:t>
      </w:r>
      <w:r>
        <w:rPr>
          <w:rFonts w:hint="eastAsia" w:ascii="仿宋" w:hAnsi="仿宋" w:eastAsia="仿宋" w:cs="Times New Roman"/>
          <w:sz w:val="24"/>
          <w:highlight w:val="none"/>
          <w:lang w:eastAsia="zh-CN"/>
        </w:rPr>
        <w:t>负责人</w:t>
      </w:r>
      <w:r>
        <w:rPr>
          <w:rFonts w:hint="eastAsia" w:ascii="仿宋" w:hAnsi="仿宋" w:eastAsia="仿宋" w:cs="Times New Roman"/>
          <w:sz w:val="24"/>
          <w:highlight w:val="none"/>
        </w:rPr>
        <w:t>，甲乙双方应将上述人员及联系方式在本合同签署时书面通知对方。</w:t>
      </w:r>
    </w:p>
    <w:p w14:paraId="45409479">
      <w:pPr>
        <w:tabs>
          <w:tab w:val="left" w:pos="757"/>
        </w:tabs>
        <w:spacing w:line="360" w:lineRule="auto"/>
        <w:ind w:firstLine="482" w:firstLineChars="200"/>
        <w:jc w:val="both"/>
        <w:rPr>
          <w:rFonts w:hint="eastAsia" w:ascii="仿宋" w:hAnsi="仿宋" w:eastAsia="仿宋" w:cs="Times New Roman"/>
          <w:b/>
          <w:bCs/>
          <w:sz w:val="24"/>
          <w:highlight w:val="none"/>
        </w:rPr>
      </w:pPr>
      <w:r>
        <w:rPr>
          <w:rFonts w:hint="eastAsia" w:ascii="仿宋" w:hAnsi="仿宋" w:eastAsia="仿宋" w:cs="Times New Roman"/>
          <w:b/>
          <w:bCs/>
          <w:sz w:val="24"/>
          <w:highlight w:val="none"/>
        </w:rPr>
        <w:t>第三条 合同金额和支付方式</w:t>
      </w:r>
    </w:p>
    <w:p w14:paraId="00C4878C">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3.1评估委托合同的</w:t>
      </w:r>
      <w:r>
        <w:rPr>
          <w:rFonts w:hint="eastAsia" w:ascii="仿宋" w:hAnsi="仿宋" w:eastAsia="仿宋" w:cs="Times New Roman"/>
          <w:sz w:val="24"/>
          <w:highlight w:val="none"/>
          <w:lang w:eastAsia="zh-CN"/>
        </w:rPr>
        <w:t>服务费含税</w:t>
      </w:r>
      <w:r>
        <w:rPr>
          <w:rFonts w:hint="eastAsia" w:ascii="仿宋" w:hAnsi="仿宋" w:eastAsia="仿宋" w:cs="Times New Roman"/>
          <w:sz w:val="24"/>
          <w:highlight w:val="none"/>
        </w:rPr>
        <w:t>总额为 ￥</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元（大写人民币：</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w:t>
      </w:r>
      <w:r>
        <w:rPr>
          <w:rFonts w:hint="eastAsia" w:ascii="仿宋" w:hAnsi="仿宋" w:eastAsia="仿宋" w:cs="Times New Roman"/>
          <w:sz w:val="24"/>
          <w:highlight w:val="none"/>
          <w:lang w:eastAsia="zh-CN"/>
        </w:rPr>
        <w:t>，税率为</w:t>
      </w:r>
      <w:r>
        <w:rPr>
          <w:rFonts w:hint="eastAsia" w:ascii="仿宋" w:hAnsi="仿宋" w:eastAsia="仿宋" w:cs="Times New Roman"/>
          <w:sz w:val="24"/>
          <w:highlight w:val="none"/>
          <w:u w:val="single"/>
          <w:lang w:val="en-US" w:eastAsia="zh-CN"/>
        </w:rPr>
        <w:t>6</w:t>
      </w:r>
      <w:r>
        <w:rPr>
          <w:rFonts w:hint="eastAsia" w:ascii="仿宋" w:hAnsi="仿宋" w:eastAsia="仿宋" w:cs="Times New Roman"/>
          <w:sz w:val="24"/>
          <w:highlight w:val="none"/>
          <w:lang w:val="en-US" w:eastAsia="zh-CN"/>
        </w:rPr>
        <w:t>%，不含税金额为</w:t>
      </w:r>
      <w:r>
        <w:rPr>
          <w:rFonts w:hint="eastAsia" w:ascii="仿宋" w:hAnsi="仿宋" w:eastAsia="仿宋" w:cs="Times New Roman"/>
          <w:sz w:val="24"/>
          <w:highlight w:val="none"/>
        </w:rPr>
        <w:t>￥</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元</w:t>
      </w:r>
      <w:r>
        <w:rPr>
          <w:rFonts w:hint="eastAsia" w:ascii="仿宋" w:hAnsi="仿宋" w:eastAsia="仿宋" w:cs="Times New Roman"/>
          <w:sz w:val="24"/>
          <w:highlight w:val="none"/>
          <w:lang w:eastAsia="zh-CN"/>
        </w:rPr>
        <w:t>（大写人民币：</w:t>
      </w:r>
      <w:r>
        <w:rPr>
          <w:rFonts w:hint="eastAsia" w:ascii="仿宋" w:hAnsi="仿宋" w:eastAsia="仿宋" w:cs="Times New Roman"/>
          <w:sz w:val="24"/>
          <w:highlight w:val="none"/>
          <w:lang w:val="en-US" w:eastAsia="zh-CN"/>
        </w:rPr>
        <w:t xml:space="preserve">   </w:t>
      </w:r>
      <w:r>
        <w:rPr>
          <w:rFonts w:hint="eastAsia" w:ascii="仿宋" w:hAnsi="仿宋" w:eastAsia="仿宋" w:cs="Times New Roman"/>
          <w:sz w:val="24"/>
          <w:highlight w:val="none"/>
          <w:lang w:eastAsia="zh-CN"/>
        </w:rPr>
        <w:t>）</w:t>
      </w:r>
      <w:r>
        <w:rPr>
          <w:rFonts w:hint="eastAsia" w:ascii="仿宋" w:hAnsi="仿宋" w:eastAsia="仿宋" w:cs="Times New Roman"/>
          <w:sz w:val="24"/>
          <w:highlight w:val="none"/>
        </w:rPr>
        <w:t>。</w:t>
      </w:r>
    </w:p>
    <w:p w14:paraId="363D3D6E">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3.2此次委托</w:t>
      </w:r>
      <w:r>
        <w:rPr>
          <w:rFonts w:hint="eastAsia" w:ascii="仿宋" w:hAnsi="仿宋" w:eastAsia="仿宋" w:cs="Times New Roman"/>
          <w:sz w:val="24"/>
          <w:highlight w:val="none"/>
          <w:lang w:val="en-US" w:eastAsia="zh-CN"/>
        </w:rPr>
        <w:t>咨询、</w:t>
      </w:r>
      <w:r>
        <w:rPr>
          <w:rFonts w:hint="eastAsia" w:ascii="仿宋" w:hAnsi="仿宋" w:eastAsia="仿宋" w:cs="Times New Roman"/>
          <w:sz w:val="24"/>
          <w:highlight w:val="none"/>
        </w:rPr>
        <w:t>评估，乙方派出</w:t>
      </w:r>
      <w:r>
        <w:rPr>
          <w:rFonts w:hint="eastAsia" w:ascii="仿宋" w:hAnsi="仿宋" w:eastAsia="仿宋" w:cs="Times New Roman"/>
          <w:sz w:val="24"/>
          <w:highlight w:val="none"/>
          <w:lang w:eastAsia="zh-CN"/>
        </w:rPr>
        <w:t>咨询</w:t>
      </w:r>
      <w:r>
        <w:rPr>
          <w:rFonts w:hint="eastAsia" w:ascii="仿宋" w:hAnsi="仿宋" w:eastAsia="仿宋" w:cs="Times New Roman"/>
          <w:sz w:val="24"/>
          <w:highlight w:val="none"/>
        </w:rPr>
        <w:t>评估人员的报酬、交通、食宿等费用由乙方负责。</w:t>
      </w:r>
    </w:p>
    <w:p w14:paraId="2240EDF4">
      <w:pPr>
        <w:tabs>
          <w:tab w:val="left" w:pos="757"/>
        </w:tabs>
        <w:spacing w:line="360" w:lineRule="auto"/>
        <w:ind w:firstLine="480" w:firstLineChars="200"/>
        <w:jc w:val="both"/>
        <w:rPr>
          <w:rFonts w:hint="eastAsia" w:ascii="仿宋" w:hAnsi="仿宋" w:eastAsia="仿宋" w:cs="Times New Roman"/>
          <w:sz w:val="24"/>
          <w:highlight w:val="none"/>
          <w:lang w:val="en-US" w:eastAsia="zh-CN"/>
        </w:rPr>
      </w:pPr>
      <w:r>
        <w:rPr>
          <w:rFonts w:hint="eastAsia" w:ascii="仿宋" w:hAnsi="仿宋" w:eastAsia="仿宋" w:cs="Times New Roman"/>
          <w:sz w:val="24"/>
          <w:highlight w:val="none"/>
        </w:rPr>
        <w:t>3.3 合同签署生效后</w:t>
      </w:r>
      <w:r>
        <w:rPr>
          <w:rFonts w:hint="eastAsia" w:ascii="仿宋" w:hAnsi="仿宋" w:eastAsia="仿宋" w:cs="Times New Roman"/>
          <w:sz w:val="24"/>
          <w:highlight w:val="none"/>
          <w:lang w:eastAsia="zh-CN"/>
        </w:rPr>
        <w:t>，乙方向甲方提供合同总金额</w:t>
      </w:r>
      <w:r>
        <w:rPr>
          <w:rFonts w:hint="eastAsia" w:ascii="仿宋" w:hAnsi="仿宋" w:eastAsia="仿宋" w:cs="Times New Roman"/>
          <w:sz w:val="24"/>
          <w:highlight w:val="none"/>
          <w:lang w:val="en-US" w:eastAsia="zh-CN"/>
        </w:rPr>
        <w:t>30%的增值税专用发票，甲方收到发票后15日内向乙方支付合同总金额的30%</w:t>
      </w:r>
      <w:r>
        <w:rPr>
          <w:rFonts w:hint="eastAsia" w:ascii="仿宋" w:hAnsi="仿宋" w:eastAsia="仿宋" w:cs="Times New Roman"/>
          <w:sz w:val="24"/>
          <w:highlight w:val="none"/>
          <w:lang w:eastAsia="zh-CN"/>
        </w:rPr>
        <w:t>；</w:t>
      </w:r>
      <w:r>
        <w:rPr>
          <w:rFonts w:hint="eastAsia" w:ascii="仿宋" w:hAnsi="仿宋" w:eastAsia="仿宋" w:cs="Times New Roman"/>
          <w:sz w:val="24"/>
          <w:highlight w:val="none"/>
          <w:lang w:val="en-US" w:eastAsia="zh-CN"/>
        </w:rPr>
        <w:t>乙方按本合同约定节点开展咨询、评估、评审等工作，保证甲方在2025年12月30日之前取得</w:t>
      </w:r>
      <w:r>
        <w:rPr>
          <w:rFonts w:hint="eastAsia" w:ascii="仿宋_GB2312" w:hAnsi="仿宋_GB2312" w:eastAsia="仿宋_GB2312" w:cs="仿宋_GB2312"/>
          <w:color w:val="444444"/>
          <w:spacing w:val="0"/>
          <w:position w:val="0"/>
          <w:sz w:val="22"/>
          <w:szCs w:val="22"/>
          <w:lang w:val="en-US" w:eastAsia="zh-CN"/>
        </w:rPr>
        <w:t>DCMM</w:t>
      </w:r>
      <w:r>
        <w:rPr>
          <w:rFonts w:hint="eastAsia" w:ascii="仿宋" w:hAnsi="仿宋" w:eastAsia="仿宋" w:cs="Times New Roman"/>
          <w:sz w:val="24"/>
          <w:highlight w:val="none"/>
          <w:lang w:val="en-US" w:eastAsia="zh-CN"/>
        </w:rPr>
        <w:t>二级证书,甲方取得上述证书后，乙方向甲方提供合同总金额70%的增值税专用发票，甲方收到发票后15日内向乙方支付合同总金额的70%。</w:t>
      </w:r>
    </w:p>
    <w:p w14:paraId="0303A0B0">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若甲方未取得该证书，甲方有权按本合同约定单方解除合同，合同自解除通知书面送达之日解除，乙方应在合同解除后3-5个工作日内将已付款全额退还至甲方指定如下银行账户：</w:t>
      </w:r>
    </w:p>
    <w:p w14:paraId="420279F6">
      <w:pPr>
        <w:tabs>
          <w:tab w:val="left" w:pos="757"/>
        </w:tabs>
        <w:spacing w:line="360" w:lineRule="auto"/>
        <w:ind w:firstLine="480" w:firstLineChars="200"/>
        <w:jc w:val="both"/>
        <w:rPr>
          <w:rFonts w:hint="eastAsia"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户    名：</w:t>
      </w:r>
    </w:p>
    <w:p w14:paraId="1F5F89E7">
      <w:pPr>
        <w:tabs>
          <w:tab w:val="left" w:pos="757"/>
        </w:tabs>
        <w:spacing w:line="360" w:lineRule="auto"/>
        <w:ind w:firstLine="480" w:firstLineChars="200"/>
        <w:jc w:val="both"/>
        <w:rPr>
          <w:rFonts w:hint="default"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纳税人识别号：</w:t>
      </w:r>
    </w:p>
    <w:p w14:paraId="1BBA8471">
      <w:pPr>
        <w:tabs>
          <w:tab w:val="left" w:pos="757"/>
        </w:tabs>
        <w:spacing w:line="360" w:lineRule="auto"/>
        <w:ind w:firstLine="480" w:firstLineChars="200"/>
        <w:jc w:val="both"/>
        <w:rPr>
          <w:rFonts w:hint="eastAsia" w:ascii="仿宋" w:hAnsi="仿宋" w:eastAsia="仿宋" w:cs="Times New Roman"/>
          <w:sz w:val="24"/>
          <w:highlight w:val="none"/>
          <w:lang w:eastAsia="zh-CN"/>
        </w:rPr>
      </w:pPr>
      <w:r>
        <w:rPr>
          <w:rFonts w:hint="default" w:ascii="仿宋" w:hAnsi="仿宋" w:eastAsia="仿宋" w:cs="Times New Roman"/>
          <w:sz w:val="24"/>
          <w:highlight w:val="none"/>
        </w:rPr>
        <w:t>开户银行：</w:t>
      </w:r>
    </w:p>
    <w:p w14:paraId="69D03344">
      <w:pPr>
        <w:tabs>
          <w:tab w:val="left" w:pos="757"/>
        </w:tabs>
        <w:spacing w:line="360" w:lineRule="auto"/>
        <w:ind w:firstLine="480" w:firstLineChars="200"/>
        <w:jc w:val="both"/>
        <w:rPr>
          <w:rFonts w:hint="eastAsia" w:ascii="仿宋" w:hAnsi="仿宋" w:eastAsia="仿宋" w:cs="Times New Roman"/>
          <w:sz w:val="24"/>
          <w:highlight w:val="none"/>
        </w:rPr>
      </w:pPr>
      <w:r>
        <w:rPr>
          <w:rFonts w:hint="default" w:ascii="仿宋" w:hAnsi="仿宋" w:eastAsia="仿宋" w:cs="Times New Roman"/>
          <w:sz w:val="24"/>
          <w:highlight w:val="none"/>
        </w:rPr>
        <w:t>账    号：</w:t>
      </w:r>
    </w:p>
    <w:p w14:paraId="35D00807">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3.3甲方以转账方式支付至乙方指定银行账户：</w:t>
      </w:r>
    </w:p>
    <w:p w14:paraId="6E6C430D">
      <w:pPr>
        <w:tabs>
          <w:tab w:val="left" w:pos="757"/>
        </w:tabs>
        <w:spacing w:line="360" w:lineRule="auto"/>
        <w:ind w:firstLine="480" w:firstLineChars="200"/>
        <w:jc w:val="both"/>
        <w:rPr>
          <w:rFonts w:hint="default"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户    名：</w:t>
      </w:r>
      <w:r>
        <w:rPr>
          <w:rFonts w:hint="eastAsia" w:ascii="仿宋" w:hAnsi="仿宋" w:eastAsia="仿宋" w:cs="Times New Roman"/>
          <w:sz w:val="24"/>
          <w:highlight w:val="none"/>
          <w:u w:val="single"/>
          <w:lang w:val="en-US" w:eastAsia="zh-CN"/>
        </w:rPr>
        <w:t xml:space="preserve">                        </w:t>
      </w:r>
    </w:p>
    <w:p w14:paraId="4B36643F">
      <w:pPr>
        <w:tabs>
          <w:tab w:val="left" w:pos="757"/>
        </w:tabs>
        <w:spacing w:line="360" w:lineRule="auto"/>
        <w:ind w:firstLine="480" w:firstLineChars="200"/>
        <w:jc w:val="both"/>
        <w:rPr>
          <w:rFonts w:hint="default"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纳税人识别号：</w:t>
      </w:r>
      <w:r>
        <w:rPr>
          <w:rFonts w:hint="eastAsia" w:ascii="仿宋" w:hAnsi="仿宋" w:eastAsia="仿宋" w:cs="Times New Roman"/>
          <w:sz w:val="24"/>
          <w:highlight w:val="none"/>
          <w:u w:val="single"/>
          <w:lang w:val="en-US" w:eastAsia="zh-CN"/>
        </w:rPr>
        <w:t xml:space="preserve">                    </w:t>
      </w:r>
    </w:p>
    <w:p w14:paraId="55A95A87">
      <w:pPr>
        <w:tabs>
          <w:tab w:val="left" w:pos="757"/>
        </w:tabs>
        <w:spacing w:line="360" w:lineRule="auto"/>
        <w:ind w:firstLine="480" w:firstLineChars="200"/>
        <w:jc w:val="both"/>
        <w:rPr>
          <w:rFonts w:hint="default" w:ascii="仿宋" w:hAnsi="仿宋" w:eastAsia="仿宋" w:cs="Times New Roman"/>
          <w:sz w:val="24"/>
          <w:highlight w:val="none"/>
          <w:lang w:eastAsia="zh-CN"/>
        </w:rPr>
      </w:pPr>
      <w:r>
        <w:rPr>
          <w:rFonts w:hint="default" w:ascii="仿宋" w:hAnsi="仿宋" w:eastAsia="仿宋" w:cs="Times New Roman"/>
          <w:sz w:val="24"/>
          <w:highlight w:val="none"/>
        </w:rPr>
        <w:t>开户银行：</w:t>
      </w:r>
      <w:r>
        <w:rPr>
          <w:rFonts w:hint="eastAsia" w:ascii="仿宋" w:hAnsi="仿宋" w:eastAsia="仿宋" w:cs="Times New Roman"/>
          <w:sz w:val="24"/>
          <w:highlight w:val="none"/>
          <w:u w:val="single"/>
          <w:lang w:val="en-US" w:eastAsia="zh-CN"/>
        </w:rPr>
        <w:t xml:space="preserve">                        </w:t>
      </w:r>
    </w:p>
    <w:p w14:paraId="114355A6">
      <w:pPr>
        <w:tabs>
          <w:tab w:val="left" w:pos="757"/>
        </w:tabs>
        <w:spacing w:line="360" w:lineRule="auto"/>
        <w:ind w:firstLine="480" w:firstLineChars="200"/>
        <w:jc w:val="both"/>
        <w:rPr>
          <w:rFonts w:hint="eastAsia" w:ascii="仿宋" w:hAnsi="仿宋" w:eastAsia="仿宋" w:cs="Times New Roman"/>
          <w:sz w:val="24"/>
          <w:highlight w:val="none"/>
          <w:u w:val="single"/>
          <w:lang w:val="en-US" w:eastAsia="zh-CN"/>
        </w:rPr>
      </w:pPr>
      <w:r>
        <w:rPr>
          <w:rFonts w:hint="default" w:ascii="仿宋" w:hAnsi="仿宋" w:eastAsia="仿宋" w:cs="Times New Roman"/>
          <w:sz w:val="24"/>
          <w:highlight w:val="none"/>
        </w:rPr>
        <w:t>账    号：</w:t>
      </w:r>
      <w:r>
        <w:rPr>
          <w:rFonts w:hint="eastAsia" w:ascii="仿宋" w:hAnsi="仿宋" w:eastAsia="仿宋" w:cs="Times New Roman"/>
          <w:sz w:val="24"/>
          <w:highlight w:val="none"/>
          <w:u w:val="single"/>
          <w:lang w:val="en-US" w:eastAsia="zh-CN"/>
        </w:rPr>
        <w:t xml:space="preserve">                        </w:t>
      </w:r>
    </w:p>
    <w:p w14:paraId="593DD4ED">
      <w:pPr>
        <w:pStyle w:val="2"/>
        <w:keepNext w:val="0"/>
        <w:keepLines w:val="0"/>
        <w:pageBreakBefore w:val="0"/>
        <w:widowControl w:val="0"/>
        <w:kinsoku/>
        <w:wordWrap/>
        <w:overflowPunct w:val="0"/>
        <w:topLinePunct w:val="0"/>
        <w:autoSpaceDE w:val="0"/>
        <w:autoSpaceDN w:val="0"/>
        <w:bidi w:val="0"/>
        <w:adjustRightInd w:val="0"/>
        <w:snapToGrid/>
        <w:spacing w:line="360" w:lineRule="auto"/>
        <w:ind w:firstLine="480" w:firstLineChars="200"/>
        <w:textAlignment w:val="baseline"/>
        <w:rPr>
          <w:rFonts w:hint="default"/>
          <w:u w:val="none"/>
          <w:lang w:val="en-US" w:eastAsia="zh-CN"/>
        </w:rPr>
      </w:pPr>
      <w:r>
        <w:rPr>
          <w:rFonts w:hint="eastAsia" w:ascii="仿宋" w:hAnsi="仿宋" w:eastAsia="仿宋" w:cs="Times New Roman"/>
          <w:sz w:val="24"/>
          <w:highlight w:val="none"/>
          <w:u w:val="none"/>
          <w:lang w:val="en-US" w:eastAsia="zh-CN"/>
        </w:rPr>
        <w:t>3.4 乙方未按本合同约定提供发票的，甲方有权顺延付款期限，相应责任由乙方承担。</w:t>
      </w:r>
    </w:p>
    <w:p w14:paraId="1D04D67D">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Times New Roman"/>
          <w:b/>
          <w:bCs/>
          <w:sz w:val="24"/>
          <w:highlight w:val="none"/>
        </w:rPr>
      </w:pPr>
      <w:r>
        <w:rPr>
          <w:rFonts w:hint="eastAsia" w:ascii="仿宋" w:hAnsi="仿宋" w:eastAsia="仿宋" w:cs="Times New Roman"/>
          <w:b/>
          <w:bCs/>
          <w:sz w:val="24"/>
          <w:highlight w:val="none"/>
        </w:rPr>
        <w:t>第四条 甲方的权利和义务</w:t>
      </w:r>
    </w:p>
    <w:p w14:paraId="40FD7ED7">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4.1 甲方应按本合同约定支付合同价款。</w:t>
      </w:r>
    </w:p>
    <w:p w14:paraId="4665E34E">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4.2 甲方有权随时了解乙方的工作进展情况。</w:t>
      </w:r>
    </w:p>
    <w:p w14:paraId="08368807">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4.3甲方在评估活动中应遵循真实守信原则，不提供虚假信息。</w:t>
      </w:r>
    </w:p>
    <w:p w14:paraId="4739F2F8">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4.4 甲方应提供保障评估活动正常开展的会议室、电源、网络等工作条件。</w:t>
      </w:r>
    </w:p>
    <w:p w14:paraId="38F85960">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4.5 甲方应积极配合乙方评估工作，按计划保障评估时间和参与评估人员，不得影响评估的完整性和公正性。</w:t>
      </w:r>
    </w:p>
    <w:p w14:paraId="37BE7C14">
      <w:pPr>
        <w:tabs>
          <w:tab w:val="left" w:pos="757"/>
        </w:tabs>
        <w:spacing w:line="360" w:lineRule="auto"/>
        <w:ind w:firstLine="482" w:firstLineChars="200"/>
        <w:jc w:val="both"/>
        <w:rPr>
          <w:rFonts w:hint="eastAsia" w:ascii="仿宋" w:hAnsi="仿宋" w:eastAsia="仿宋" w:cs="Times New Roman"/>
          <w:b/>
          <w:bCs/>
          <w:sz w:val="24"/>
          <w:highlight w:val="none"/>
        </w:rPr>
      </w:pPr>
      <w:r>
        <w:rPr>
          <w:rFonts w:hint="eastAsia" w:ascii="仿宋" w:hAnsi="仿宋" w:eastAsia="仿宋" w:cs="Times New Roman"/>
          <w:b/>
          <w:bCs/>
          <w:sz w:val="24"/>
          <w:highlight w:val="none"/>
        </w:rPr>
        <w:t>第五条 乙方的权利和义务</w:t>
      </w:r>
    </w:p>
    <w:p w14:paraId="4EB501C5">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5.1乙方应根据本合同的约定提供服务并提交工作成果。</w:t>
      </w:r>
    </w:p>
    <w:p w14:paraId="7D66A4D0">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5.2 乙方派遣具有相应资格、能够胜任本项目的评估和咨询人员。</w:t>
      </w:r>
    </w:p>
    <w:p w14:paraId="56F7FE88">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5.3乙方应在开展评估前5个工作日将评估计划通知甲方以及被评估企业，并按评估计划实施</w:t>
      </w:r>
      <w:r>
        <w:rPr>
          <w:rFonts w:hint="eastAsia" w:ascii="仿宋" w:hAnsi="仿宋" w:eastAsia="仿宋" w:cs="Times New Roman"/>
          <w:sz w:val="24"/>
          <w:highlight w:val="none"/>
          <w:lang w:val="en-US" w:eastAsia="zh-CN"/>
        </w:rPr>
        <w:t>数据管理能力成熟度二级</w:t>
      </w:r>
      <w:r>
        <w:rPr>
          <w:rFonts w:hint="eastAsia" w:ascii="仿宋" w:hAnsi="仿宋" w:eastAsia="仿宋" w:cs="Times New Roman"/>
          <w:sz w:val="24"/>
          <w:highlight w:val="none"/>
        </w:rPr>
        <w:t>评估工作。</w:t>
      </w:r>
    </w:p>
    <w:p w14:paraId="4007F806">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5.4 乙方应以本合同约定的标准为依据，独立、客观公正的开展评估工作。</w:t>
      </w:r>
    </w:p>
    <w:p w14:paraId="73AE73C3">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5.5乙方应根据评估报告及相关验证结果，结合其他相关信息进行综合评价，给出评定结论。</w:t>
      </w:r>
    </w:p>
    <w:p w14:paraId="162C5AD7">
      <w:pPr>
        <w:tabs>
          <w:tab w:val="left" w:pos="757"/>
        </w:tabs>
        <w:spacing w:line="360" w:lineRule="auto"/>
        <w:ind w:firstLine="480" w:firstLineChars="200"/>
        <w:jc w:val="both"/>
        <w:rPr>
          <w:rFonts w:hint="eastAsia" w:ascii="仿宋" w:hAnsi="仿宋" w:eastAsia="仿宋" w:cs="Times New Roman"/>
          <w:sz w:val="24"/>
          <w:highlight w:val="none"/>
          <w:lang w:eastAsia="zh-CN"/>
        </w:rPr>
      </w:pPr>
      <w:r>
        <w:rPr>
          <w:rFonts w:hint="eastAsia" w:ascii="仿宋" w:hAnsi="仿宋" w:eastAsia="仿宋" w:cs="Times New Roman"/>
          <w:sz w:val="24"/>
          <w:highlight w:val="none"/>
        </w:rPr>
        <w:t>5.6乙方对甲方提供的资料，</w:t>
      </w:r>
      <w:r>
        <w:rPr>
          <w:rFonts w:hint="eastAsia" w:ascii="仿宋" w:hAnsi="仿宋" w:eastAsia="仿宋" w:cs="Times New Roman"/>
          <w:sz w:val="24"/>
          <w:highlight w:val="none"/>
          <w:lang w:eastAsia="zh-Hans"/>
        </w:rPr>
        <w:t>包括不限于</w:t>
      </w:r>
      <w:r>
        <w:rPr>
          <w:rFonts w:hint="eastAsia" w:ascii="仿宋" w:hAnsi="仿宋" w:eastAsia="仿宋" w:cs="Times New Roman"/>
          <w:sz w:val="24"/>
          <w:highlight w:val="none"/>
        </w:rPr>
        <w:t>如企业评估所需的调查数据和企业发展、信息化建设方面的规划材料等，</w:t>
      </w:r>
      <w:r>
        <w:rPr>
          <w:rFonts w:hint="eastAsia" w:ascii="仿宋" w:hAnsi="仿宋" w:eastAsia="仿宋" w:cs="Times New Roman"/>
          <w:sz w:val="24"/>
          <w:highlight w:val="none"/>
          <w:lang w:eastAsia="zh-Hans"/>
        </w:rPr>
        <w:t>未经评估企业书面同意，</w:t>
      </w:r>
      <w:r>
        <w:rPr>
          <w:rFonts w:hint="eastAsia" w:ascii="仿宋" w:hAnsi="仿宋" w:eastAsia="仿宋" w:cs="Times New Roman"/>
          <w:sz w:val="24"/>
          <w:highlight w:val="none"/>
        </w:rPr>
        <w:t>不得向</w:t>
      </w:r>
      <w:r>
        <w:rPr>
          <w:rFonts w:hint="eastAsia" w:ascii="仿宋" w:hAnsi="仿宋" w:eastAsia="仿宋" w:cs="Times New Roman"/>
          <w:sz w:val="24"/>
          <w:highlight w:val="none"/>
          <w:lang w:eastAsia="zh-Hans"/>
        </w:rPr>
        <w:t>任何</w:t>
      </w:r>
      <w:r>
        <w:rPr>
          <w:rFonts w:hint="eastAsia" w:ascii="仿宋" w:hAnsi="仿宋" w:eastAsia="仿宋" w:cs="Times New Roman"/>
          <w:sz w:val="24"/>
          <w:highlight w:val="none"/>
        </w:rPr>
        <w:t>第三方</w:t>
      </w:r>
      <w:r>
        <w:rPr>
          <w:rFonts w:hint="eastAsia" w:ascii="仿宋" w:hAnsi="仿宋" w:eastAsia="仿宋" w:cs="Times New Roman"/>
          <w:sz w:val="24"/>
          <w:highlight w:val="none"/>
          <w:lang w:eastAsia="zh-CN"/>
        </w:rPr>
        <w:t>披露</w:t>
      </w:r>
      <w:r>
        <w:rPr>
          <w:rFonts w:hint="eastAsia" w:ascii="仿宋" w:hAnsi="仿宋" w:eastAsia="仿宋" w:cs="Times New Roman"/>
          <w:sz w:val="24"/>
          <w:highlight w:val="none"/>
        </w:rPr>
        <w:t>，</w:t>
      </w:r>
      <w:r>
        <w:rPr>
          <w:rFonts w:hint="eastAsia" w:ascii="仿宋" w:hAnsi="仿宋" w:eastAsia="仿宋" w:cs="Times New Roman"/>
          <w:sz w:val="24"/>
          <w:highlight w:val="none"/>
          <w:lang w:eastAsia="zh-Hans"/>
        </w:rPr>
        <w:t>不得用于本项目之外其他目的</w:t>
      </w:r>
      <w:r>
        <w:rPr>
          <w:rFonts w:hint="eastAsia" w:ascii="仿宋" w:hAnsi="仿宋" w:eastAsia="仿宋" w:cs="Times New Roman"/>
          <w:sz w:val="24"/>
          <w:highlight w:val="none"/>
        </w:rPr>
        <w:t>。</w:t>
      </w:r>
      <w:r>
        <w:rPr>
          <w:rFonts w:hint="eastAsia" w:ascii="仿宋" w:hAnsi="仿宋" w:eastAsia="仿宋" w:cs="Times New Roman"/>
          <w:sz w:val="24"/>
          <w:highlight w:val="none"/>
          <w:lang w:eastAsia="zh-CN"/>
        </w:rPr>
        <w:t>本条款独立且长期有效，不因本合同解除、终止等原因而失效。</w:t>
      </w:r>
    </w:p>
    <w:p w14:paraId="3A5A6309">
      <w:pPr>
        <w:tabs>
          <w:tab w:val="left" w:pos="757"/>
        </w:tabs>
        <w:spacing w:line="360" w:lineRule="auto"/>
        <w:ind w:firstLine="482" w:firstLineChars="200"/>
        <w:jc w:val="both"/>
        <w:rPr>
          <w:rFonts w:hint="eastAsia" w:ascii="仿宋" w:hAnsi="仿宋" w:eastAsia="仿宋" w:cs="Times New Roman"/>
          <w:b/>
          <w:bCs/>
          <w:sz w:val="24"/>
          <w:highlight w:val="none"/>
          <w:lang w:eastAsia="zh-CN"/>
        </w:rPr>
      </w:pPr>
      <w:r>
        <w:rPr>
          <w:rFonts w:hint="eastAsia" w:ascii="仿宋" w:hAnsi="仿宋" w:eastAsia="仿宋" w:cs="Times New Roman"/>
          <w:b/>
          <w:bCs/>
          <w:sz w:val="24"/>
          <w:highlight w:val="none"/>
        </w:rPr>
        <w:t xml:space="preserve">第六条 </w:t>
      </w:r>
      <w:r>
        <w:rPr>
          <w:rFonts w:hint="eastAsia" w:ascii="仿宋" w:hAnsi="仿宋" w:eastAsia="仿宋" w:cs="Times New Roman"/>
          <w:b/>
          <w:bCs/>
          <w:sz w:val="24"/>
          <w:highlight w:val="none"/>
          <w:lang w:eastAsia="zh-CN"/>
        </w:rPr>
        <w:t>违约责任</w:t>
      </w:r>
    </w:p>
    <w:p w14:paraId="6B2013F6">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Times New Roman"/>
          <w:kern w:val="2"/>
          <w:sz w:val="24"/>
          <w:szCs w:val="24"/>
          <w:highlight w:val="none"/>
          <w:lang w:val="en-US" w:eastAsia="zh-Hans" w:bidi="ar-SA"/>
        </w:rPr>
      </w:pPr>
      <w:r>
        <w:rPr>
          <w:rFonts w:hint="eastAsia" w:ascii="仿宋" w:hAnsi="仿宋" w:eastAsia="仿宋" w:cs="Times New Roman"/>
          <w:kern w:val="2"/>
          <w:sz w:val="24"/>
          <w:szCs w:val="24"/>
          <w:highlight w:val="none"/>
          <w:lang w:val="en-US" w:eastAsia="zh-CN" w:bidi="ar-SA"/>
        </w:rPr>
        <w:t xml:space="preserve">6.1 </w:t>
      </w:r>
      <w:r>
        <w:rPr>
          <w:rFonts w:hint="eastAsia" w:ascii="仿宋" w:hAnsi="仿宋" w:eastAsia="仿宋" w:cs="Times New Roman"/>
          <w:kern w:val="2"/>
          <w:sz w:val="24"/>
          <w:szCs w:val="24"/>
          <w:highlight w:val="none"/>
          <w:lang w:val="en-US" w:eastAsia="zh-Hans" w:bidi="ar-SA"/>
        </w:rPr>
        <w:t>除因甲方或不可抗力外，若乙方未按照合同约定的</w:t>
      </w:r>
      <w:r>
        <w:rPr>
          <w:rFonts w:hint="eastAsia" w:ascii="仿宋" w:hAnsi="仿宋" w:eastAsia="仿宋" w:cs="Times New Roman"/>
          <w:kern w:val="2"/>
          <w:sz w:val="24"/>
          <w:szCs w:val="24"/>
          <w:highlight w:val="none"/>
          <w:lang w:val="en-US" w:eastAsia="zh-CN" w:bidi="ar-SA"/>
        </w:rPr>
        <w:t>里程碑节点完成成果物交付</w:t>
      </w:r>
      <w:r>
        <w:rPr>
          <w:rFonts w:hint="eastAsia" w:ascii="仿宋" w:hAnsi="仿宋" w:eastAsia="仿宋" w:cs="Times New Roman"/>
          <w:kern w:val="2"/>
          <w:sz w:val="24"/>
          <w:szCs w:val="24"/>
          <w:highlight w:val="none"/>
          <w:lang w:val="en-US" w:eastAsia="zh-Hans" w:bidi="ar-SA"/>
        </w:rPr>
        <w:t>，造成甲方无法顺利按期取得证书，每逾期1天，由乙方向甲方支付违约金</w:t>
      </w:r>
      <w:r>
        <w:rPr>
          <w:rFonts w:hint="eastAsia" w:ascii="仿宋" w:hAnsi="仿宋" w:eastAsia="仿宋" w:cs="Times New Roman"/>
          <w:kern w:val="2"/>
          <w:sz w:val="24"/>
          <w:szCs w:val="24"/>
          <w:highlight w:val="none"/>
          <w:lang w:val="en-US" w:eastAsia="zh-CN" w:bidi="ar-SA"/>
        </w:rPr>
        <w:t>500</w:t>
      </w:r>
      <w:r>
        <w:rPr>
          <w:rFonts w:hint="eastAsia" w:ascii="仿宋" w:hAnsi="仿宋" w:eastAsia="仿宋" w:cs="Times New Roman"/>
          <w:kern w:val="2"/>
          <w:sz w:val="24"/>
          <w:szCs w:val="24"/>
          <w:highlight w:val="none"/>
          <w:lang w:val="en-US" w:eastAsia="zh-Hans" w:bidi="ar-SA"/>
        </w:rPr>
        <w:t>元；逾期</w:t>
      </w:r>
      <w:r>
        <w:rPr>
          <w:rFonts w:hint="eastAsia" w:ascii="仿宋" w:hAnsi="仿宋" w:eastAsia="仿宋" w:cs="Times New Roman"/>
          <w:kern w:val="2"/>
          <w:sz w:val="24"/>
          <w:szCs w:val="24"/>
          <w:highlight w:val="none"/>
          <w:lang w:val="en-US" w:eastAsia="zh-CN" w:bidi="ar-SA"/>
        </w:rPr>
        <w:t>超</w:t>
      </w:r>
      <w:r>
        <w:rPr>
          <w:rFonts w:hint="eastAsia" w:ascii="仿宋" w:hAnsi="仿宋" w:eastAsia="仿宋" w:cs="Times New Roman"/>
          <w:kern w:val="2"/>
          <w:sz w:val="24"/>
          <w:szCs w:val="24"/>
          <w:highlight w:val="none"/>
          <w:lang w:val="en-US" w:eastAsia="zh-Hans" w:bidi="ar-SA"/>
        </w:rPr>
        <w:t>10天</w:t>
      </w:r>
      <w:r>
        <w:rPr>
          <w:rFonts w:hint="eastAsia" w:ascii="仿宋" w:hAnsi="仿宋" w:eastAsia="仿宋" w:cs="Times New Roman"/>
          <w:kern w:val="2"/>
          <w:sz w:val="24"/>
          <w:szCs w:val="24"/>
          <w:highlight w:val="none"/>
          <w:lang w:val="en-US" w:eastAsia="zh-CN" w:bidi="ar-SA"/>
        </w:rPr>
        <w:t>的</w:t>
      </w:r>
      <w:r>
        <w:rPr>
          <w:rFonts w:hint="eastAsia" w:ascii="仿宋" w:hAnsi="仿宋" w:eastAsia="仿宋" w:cs="Times New Roman"/>
          <w:kern w:val="2"/>
          <w:sz w:val="24"/>
          <w:szCs w:val="24"/>
          <w:highlight w:val="none"/>
          <w:lang w:val="en-US" w:eastAsia="zh-Hans" w:bidi="ar-SA"/>
        </w:rPr>
        <w:t>，</w:t>
      </w:r>
      <w:r>
        <w:rPr>
          <w:rFonts w:hint="eastAsia" w:ascii="仿宋" w:hAnsi="仿宋" w:eastAsia="仿宋" w:cs="Times New Roman"/>
          <w:kern w:val="2"/>
          <w:sz w:val="24"/>
          <w:szCs w:val="24"/>
          <w:highlight w:val="none"/>
          <w:lang w:val="en-US" w:eastAsia="zh-CN" w:bidi="ar-SA"/>
        </w:rPr>
        <w:t>每天按1000元的标准</w:t>
      </w:r>
      <w:r>
        <w:rPr>
          <w:rFonts w:hint="eastAsia" w:ascii="仿宋" w:hAnsi="仿宋" w:eastAsia="仿宋" w:cs="Times New Roman"/>
          <w:kern w:val="2"/>
          <w:sz w:val="24"/>
          <w:szCs w:val="24"/>
          <w:highlight w:val="none"/>
          <w:lang w:val="en-US" w:eastAsia="zh-Hans" w:bidi="ar-SA"/>
        </w:rPr>
        <w:t>向甲方支付违约金；逾期</w:t>
      </w:r>
      <w:r>
        <w:rPr>
          <w:rFonts w:hint="eastAsia" w:ascii="仿宋" w:hAnsi="仿宋" w:eastAsia="仿宋" w:cs="Times New Roman"/>
          <w:kern w:val="2"/>
          <w:sz w:val="24"/>
          <w:szCs w:val="24"/>
          <w:highlight w:val="none"/>
          <w:lang w:val="en-US" w:eastAsia="zh-CN" w:bidi="ar-SA"/>
        </w:rPr>
        <w:t>超</w:t>
      </w:r>
      <w:r>
        <w:rPr>
          <w:rFonts w:hint="eastAsia" w:ascii="仿宋" w:hAnsi="仿宋" w:eastAsia="仿宋" w:cs="Times New Roman"/>
          <w:kern w:val="2"/>
          <w:sz w:val="24"/>
          <w:szCs w:val="24"/>
          <w:highlight w:val="none"/>
          <w:lang w:val="en-US" w:eastAsia="zh-Hans" w:bidi="ar-SA"/>
        </w:rPr>
        <w:t>15天</w:t>
      </w:r>
      <w:r>
        <w:rPr>
          <w:rFonts w:hint="eastAsia" w:ascii="仿宋" w:hAnsi="仿宋" w:eastAsia="仿宋" w:cs="Times New Roman"/>
          <w:kern w:val="2"/>
          <w:sz w:val="24"/>
          <w:szCs w:val="24"/>
          <w:highlight w:val="none"/>
          <w:lang w:val="en-US" w:eastAsia="zh-CN" w:bidi="ar-SA"/>
        </w:rPr>
        <w:t>的</w:t>
      </w:r>
      <w:r>
        <w:rPr>
          <w:rFonts w:hint="eastAsia" w:ascii="仿宋" w:hAnsi="仿宋" w:eastAsia="仿宋" w:cs="Times New Roman"/>
          <w:kern w:val="2"/>
          <w:sz w:val="24"/>
          <w:szCs w:val="24"/>
          <w:highlight w:val="none"/>
          <w:lang w:val="en-US" w:eastAsia="zh-Hans" w:bidi="ar-SA"/>
        </w:rPr>
        <w:t>，甲方有权单方解除本合同，并由乙方向甲方支付合同总价款20%的违约金。</w:t>
      </w:r>
    </w:p>
    <w:p w14:paraId="5264C803">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Times New Roman"/>
          <w:kern w:val="2"/>
          <w:sz w:val="24"/>
          <w:szCs w:val="24"/>
          <w:highlight w:val="none"/>
          <w:lang w:val="en-US" w:eastAsia="zh-Hans" w:bidi="ar-SA"/>
        </w:rPr>
      </w:pPr>
      <w:r>
        <w:rPr>
          <w:rFonts w:hint="eastAsia" w:ascii="仿宋" w:hAnsi="仿宋" w:eastAsia="仿宋" w:cs="Times New Roman"/>
          <w:kern w:val="2"/>
          <w:sz w:val="24"/>
          <w:szCs w:val="24"/>
          <w:highlight w:val="none"/>
          <w:lang w:val="en-US" w:eastAsia="zh-CN" w:bidi="ar-SA"/>
        </w:rPr>
        <w:t>6.2</w:t>
      </w:r>
      <w:r>
        <w:rPr>
          <w:rFonts w:hint="eastAsia" w:ascii="仿宋" w:hAnsi="仿宋" w:eastAsia="仿宋" w:cs="Times New Roman"/>
          <w:kern w:val="2"/>
          <w:sz w:val="24"/>
          <w:szCs w:val="24"/>
          <w:highlight w:val="none"/>
          <w:lang w:val="en-US" w:eastAsia="zh-Hans" w:bidi="ar-SA"/>
        </w:rPr>
        <w:t>若乙方提供的服务未能达到合同技术要求及标准，</w:t>
      </w:r>
      <w:r>
        <w:rPr>
          <w:rFonts w:hint="eastAsia" w:ascii="仿宋" w:hAnsi="仿宋" w:eastAsia="仿宋" w:cs="Times New Roman"/>
          <w:kern w:val="2"/>
          <w:sz w:val="24"/>
          <w:szCs w:val="24"/>
          <w:highlight w:val="none"/>
          <w:lang w:val="en-US" w:eastAsia="zh-CN" w:bidi="ar-SA"/>
        </w:rPr>
        <w:t>无法取得本合同约定证书，</w:t>
      </w:r>
      <w:r>
        <w:rPr>
          <w:rFonts w:hint="eastAsia" w:ascii="仿宋" w:hAnsi="仿宋" w:eastAsia="仿宋" w:cs="Times New Roman"/>
          <w:kern w:val="2"/>
          <w:sz w:val="24"/>
          <w:szCs w:val="24"/>
          <w:highlight w:val="none"/>
          <w:lang w:val="en-US" w:eastAsia="zh-Hans" w:bidi="ar-SA"/>
        </w:rPr>
        <w:t>甲方有权单方解除本合同</w:t>
      </w:r>
      <w:r>
        <w:rPr>
          <w:rFonts w:hint="eastAsia" w:ascii="仿宋" w:hAnsi="仿宋" w:eastAsia="仿宋" w:cs="Times New Roman"/>
          <w:kern w:val="2"/>
          <w:sz w:val="24"/>
          <w:szCs w:val="24"/>
          <w:highlight w:val="none"/>
          <w:lang w:val="en-US" w:eastAsia="zh-CN" w:bidi="ar-SA"/>
        </w:rPr>
        <w:t>，要求乙方退还已付款项</w:t>
      </w:r>
      <w:r>
        <w:rPr>
          <w:rFonts w:hint="eastAsia" w:ascii="仿宋" w:hAnsi="仿宋" w:eastAsia="仿宋" w:cs="Times New Roman"/>
          <w:kern w:val="2"/>
          <w:sz w:val="24"/>
          <w:szCs w:val="24"/>
          <w:highlight w:val="none"/>
          <w:lang w:val="en-US" w:eastAsia="zh-Hans" w:bidi="ar-SA"/>
        </w:rPr>
        <w:t>，并由乙方向甲方支付合同总价款20%的违约金。</w:t>
      </w:r>
    </w:p>
    <w:p w14:paraId="5DFE8119">
      <w:pPr>
        <w:keepNext w:val="0"/>
        <w:keepLines w:val="0"/>
        <w:pageBreakBefore w:val="0"/>
        <w:widowControl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eastAsia" w:ascii="仿宋" w:hAnsi="仿宋" w:eastAsia="仿宋" w:cs="Times New Roman"/>
          <w:kern w:val="2"/>
          <w:sz w:val="24"/>
          <w:szCs w:val="24"/>
          <w:highlight w:val="none"/>
          <w:lang w:val="en-US" w:eastAsia="zh-Hans" w:bidi="ar-SA"/>
        </w:rPr>
      </w:pPr>
      <w:r>
        <w:rPr>
          <w:rFonts w:hint="eastAsia" w:ascii="仿宋" w:hAnsi="仿宋" w:eastAsia="仿宋" w:cs="Times New Roman"/>
          <w:kern w:val="2"/>
          <w:sz w:val="24"/>
          <w:szCs w:val="24"/>
          <w:highlight w:val="none"/>
          <w:lang w:val="en-US" w:eastAsia="zh-CN" w:bidi="ar-SA"/>
        </w:rPr>
        <w:t xml:space="preserve">6.3 </w:t>
      </w:r>
      <w:r>
        <w:rPr>
          <w:rFonts w:hint="eastAsia" w:ascii="仿宋" w:hAnsi="仿宋" w:eastAsia="仿宋" w:cs="Times New Roman"/>
          <w:kern w:val="2"/>
          <w:sz w:val="24"/>
          <w:szCs w:val="24"/>
          <w:highlight w:val="none"/>
          <w:lang w:val="en-US" w:eastAsia="zh-Hans" w:bidi="ar-SA"/>
        </w:rPr>
        <w:t>除因甲方或不可抗力外，在合同执行过程中，乙方项目组成员应与投标时提供的人员及从业资质一致；若因乙方原因随意更换项目组成员或委派不符合甲方资质要求的人员开展现场审核的，甲方有权单方面解除合同，并由乙方向甲方支付合同总总价款20%的违约金。</w:t>
      </w:r>
    </w:p>
    <w:p w14:paraId="4EB48713">
      <w:pPr>
        <w:pStyle w:val="2"/>
        <w:keepNext w:val="0"/>
        <w:keepLines w:val="0"/>
        <w:pageBreakBefore w:val="0"/>
        <w:widowControl w:val="0"/>
        <w:kinsoku/>
        <w:wordWrap/>
        <w:overflowPunct w:val="0"/>
        <w:topLinePunct w:val="0"/>
        <w:autoSpaceDE w:val="0"/>
        <w:autoSpaceDN w:val="0"/>
        <w:bidi w:val="0"/>
        <w:adjustRightInd w:val="0"/>
        <w:snapToGrid/>
        <w:spacing w:line="360" w:lineRule="auto"/>
        <w:ind w:firstLine="480" w:firstLineChars="200"/>
        <w:textAlignment w:val="baseline"/>
        <w:rPr>
          <w:rFonts w:hint="eastAsia"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4"/>
          <w:highlight w:val="none"/>
          <w:lang w:val="en-US" w:eastAsia="zh-CN" w:bidi="ar-SA"/>
        </w:rPr>
        <w:t>6.4 乙方违反上述约定擅自披露甲方信息资料的，乙方按合同总价款的30%向甲方支付泄密违约金，违约金不足以弥补甲方损失的，还应赔偿甲方损失。</w:t>
      </w:r>
    </w:p>
    <w:p w14:paraId="2CB8F68A">
      <w:pPr>
        <w:pStyle w:val="2"/>
        <w:keepNext w:val="0"/>
        <w:keepLines w:val="0"/>
        <w:pageBreakBefore w:val="0"/>
        <w:widowControl w:val="0"/>
        <w:kinsoku/>
        <w:wordWrap/>
        <w:overflowPunct w:val="0"/>
        <w:topLinePunct w:val="0"/>
        <w:autoSpaceDE w:val="0"/>
        <w:autoSpaceDN w:val="0"/>
        <w:bidi w:val="0"/>
        <w:adjustRightInd w:val="0"/>
        <w:snapToGrid/>
        <w:spacing w:line="360" w:lineRule="auto"/>
        <w:ind w:firstLine="480" w:firstLineChars="200"/>
        <w:textAlignment w:val="baseline"/>
        <w:rPr>
          <w:rFonts w:hint="default"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4"/>
          <w:highlight w:val="none"/>
          <w:lang w:val="en-US" w:eastAsia="zh-CN" w:bidi="ar-SA"/>
        </w:rPr>
        <w:t>6.5 以上违约金及赔偿，甲方有权从未付款中扣除。</w:t>
      </w:r>
    </w:p>
    <w:p w14:paraId="1E6ED608">
      <w:pPr>
        <w:tabs>
          <w:tab w:val="left" w:pos="757"/>
        </w:tabs>
        <w:spacing w:line="360" w:lineRule="auto"/>
        <w:ind w:firstLine="482" w:firstLineChars="200"/>
        <w:jc w:val="both"/>
        <w:rPr>
          <w:rFonts w:hint="eastAsia" w:ascii="仿宋" w:hAnsi="仿宋" w:eastAsia="仿宋" w:cs="Times New Roman"/>
          <w:sz w:val="24"/>
          <w:highlight w:val="none"/>
        </w:rPr>
      </w:pPr>
      <w:r>
        <w:rPr>
          <w:rFonts w:hint="eastAsia" w:ascii="仿宋" w:hAnsi="仿宋" w:eastAsia="仿宋" w:cs="Times New Roman"/>
          <w:b/>
          <w:bCs/>
          <w:sz w:val="24"/>
          <w:highlight w:val="none"/>
          <w:lang w:eastAsia="zh-CN"/>
        </w:rPr>
        <w:t>第七条</w:t>
      </w:r>
      <w:r>
        <w:rPr>
          <w:rFonts w:hint="eastAsia" w:ascii="仿宋" w:hAnsi="仿宋" w:eastAsia="仿宋" w:cs="Times New Roman"/>
          <w:b/>
          <w:bCs/>
          <w:sz w:val="24"/>
          <w:highlight w:val="none"/>
          <w:lang w:val="en-US" w:eastAsia="zh-CN"/>
        </w:rPr>
        <w:t xml:space="preserve"> </w:t>
      </w:r>
      <w:r>
        <w:rPr>
          <w:rFonts w:hint="eastAsia" w:ascii="仿宋" w:hAnsi="仿宋" w:eastAsia="仿宋" w:cs="Times New Roman"/>
          <w:b/>
          <w:bCs/>
          <w:sz w:val="24"/>
          <w:highlight w:val="none"/>
        </w:rPr>
        <w:t>争议的解决</w:t>
      </w:r>
    </w:p>
    <w:p w14:paraId="41A2C618">
      <w:pPr>
        <w:tabs>
          <w:tab w:val="left" w:pos="757"/>
        </w:tabs>
        <w:spacing w:line="360" w:lineRule="auto"/>
        <w:ind w:firstLine="480" w:firstLineChars="200"/>
        <w:jc w:val="both"/>
        <w:rPr>
          <w:rFonts w:hint="eastAsia" w:ascii="仿宋" w:hAnsi="仿宋" w:eastAsia="仿宋" w:cs="Times New Roman"/>
          <w:sz w:val="24"/>
          <w:highlight w:val="none"/>
          <w:lang w:val="zh-CN"/>
        </w:rPr>
      </w:pPr>
      <w:r>
        <w:rPr>
          <w:rFonts w:hint="eastAsia" w:ascii="仿宋" w:hAnsi="仿宋" w:eastAsia="仿宋" w:cs="Times New Roman"/>
          <w:sz w:val="24"/>
          <w:highlight w:val="none"/>
          <w:lang w:val="zh-CN"/>
        </w:rPr>
        <w:t>执行本合同发生争议，由当事人双方协商和解，也可以请求调解。双方当事人和解或调解不成，采用以下第  (二)  种方式解决。</w:t>
      </w:r>
    </w:p>
    <w:p w14:paraId="314B0BD3">
      <w:pPr>
        <w:tabs>
          <w:tab w:val="left" w:pos="757"/>
        </w:tabs>
        <w:spacing w:line="360" w:lineRule="auto"/>
        <w:ind w:firstLine="480" w:firstLineChars="200"/>
        <w:jc w:val="both"/>
        <w:rPr>
          <w:rFonts w:hint="eastAsia" w:ascii="仿宋" w:hAnsi="仿宋" w:eastAsia="仿宋" w:cs="Times New Roman"/>
          <w:sz w:val="24"/>
          <w:highlight w:val="none"/>
          <w:lang w:val="zh-CN"/>
        </w:rPr>
      </w:pPr>
      <w:r>
        <w:rPr>
          <w:rFonts w:hint="eastAsia" w:ascii="仿宋" w:hAnsi="仿宋" w:eastAsia="仿宋" w:cs="Times New Roman"/>
          <w:sz w:val="24"/>
          <w:highlight w:val="none"/>
          <w:lang w:val="zh-CN"/>
        </w:rPr>
        <w:t>（一）双方同意由仲裁委员会仲裁。</w:t>
      </w:r>
    </w:p>
    <w:p w14:paraId="367C787B">
      <w:pPr>
        <w:tabs>
          <w:tab w:val="left" w:pos="757"/>
        </w:tabs>
        <w:spacing w:line="360" w:lineRule="auto"/>
        <w:ind w:firstLine="480" w:firstLineChars="200"/>
        <w:jc w:val="both"/>
        <w:rPr>
          <w:rFonts w:hint="eastAsia" w:ascii="仿宋" w:hAnsi="仿宋" w:eastAsia="仿宋" w:cs="Times New Roman"/>
          <w:sz w:val="24"/>
          <w:highlight w:val="none"/>
          <w:lang w:val="zh-CN"/>
        </w:rPr>
      </w:pPr>
      <w:r>
        <w:rPr>
          <w:rFonts w:hint="eastAsia" w:ascii="仿宋" w:hAnsi="仿宋" w:eastAsia="仿宋" w:cs="Times New Roman"/>
          <w:sz w:val="24"/>
          <w:highlight w:val="none"/>
          <w:lang w:val="zh-CN"/>
        </w:rPr>
        <w:t>（二）向</w:t>
      </w:r>
      <w:r>
        <w:rPr>
          <w:rFonts w:hint="eastAsia" w:ascii="仿宋" w:hAnsi="仿宋" w:eastAsia="仿宋" w:cs="Times New Roman"/>
          <w:sz w:val="24"/>
          <w:highlight w:val="none"/>
          <w:lang w:val="en-US" w:eastAsia="zh-CN"/>
        </w:rPr>
        <w:t>甲</w:t>
      </w:r>
      <w:r>
        <w:rPr>
          <w:rFonts w:hint="eastAsia" w:ascii="仿宋" w:hAnsi="仿宋" w:eastAsia="仿宋" w:cs="Times New Roman"/>
          <w:sz w:val="24"/>
          <w:highlight w:val="none"/>
          <w:lang w:val="zh-CN"/>
        </w:rPr>
        <w:t>方所在地人民法院进行起诉。</w:t>
      </w:r>
    </w:p>
    <w:p w14:paraId="29B3CE7D">
      <w:pPr>
        <w:tabs>
          <w:tab w:val="left" w:pos="757"/>
        </w:tabs>
        <w:spacing w:line="360" w:lineRule="auto"/>
        <w:ind w:firstLine="482" w:firstLineChars="200"/>
        <w:jc w:val="both"/>
        <w:rPr>
          <w:rFonts w:hint="eastAsia" w:ascii="仿宋" w:hAnsi="仿宋" w:eastAsia="仿宋" w:cs="Times New Roman"/>
          <w:b/>
          <w:bCs/>
          <w:sz w:val="24"/>
          <w:highlight w:val="none"/>
        </w:rPr>
      </w:pPr>
      <w:r>
        <w:rPr>
          <w:rFonts w:hint="eastAsia" w:ascii="仿宋" w:hAnsi="仿宋" w:eastAsia="仿宋" w:cs="Times New Roman"/>
          <w:b/>
          <w:bCs/>
          <w:sz w:val="24"/>
          <w:highlight w:val="none"/>
          <w:lang w:eastAsia="zh-CN"/>
        </w:rPr>
        <w:t>第八条</w:t>
      </w:r>
      <w:r>
        <w:rPr>
          <w:rFonts w:hint="eastAsia" w:ascii="仿宋" w:hAnsi="仿宋" w:eastAsia="仿宋" w:cs="Times New Roman"/>
          <w:b/>
          <w:bCs/>
          <w:sz w:val="24"/>
          <w:highlight w:val="none"/>
          <w:lang w:val="en-US" w:eastAsia="zh-CN"/>
        </w:rPr>
        <w:t xml:space="preserve"> </w:t>
      </w:r>
      <w:r>
        <w:rPr>
          <w:rFonts w:hint="eastAsia" w:ascii="仿宋" w:hAnsi="仿宋" w:eastAsia="仿宋" w:cs="Times New Roman"/>
          <w:b/>
          <w:bCs/>
          <w:sz w:val="24"/>
          <w:highlight w:val="none"/>
        </w:rPr>
        <w:t>其他事项</w:t>
      </w:r>
    </w:p>
    <w:p w14:paraId="520F3307">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rPr>
        <w:t>.1除非双方书面同意，任何一方都不得变更、撤销其在本合同中规定的权利或义务。</w:t>
      </w:r>
    </w:p>
    <w:p w14:paraId="3FEA3A34">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rPr>
        <w:t>.2若本合同未尽事宜，经甲乙双方协商同意，由双方另行签字补充协议，补充协议为本合同的组成部分，具有同等法律效力。</w:t>
      </w:r>
    </w:p>
    <w:p w14:paraId="04AF093C">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lang w:eastAsia="zh-Hans"/>
        </w:rPr>
        <w:t>.3</w:t>
      </w:r>
      <w:r>
        <w:rPr>
          <w:rFonts w:hint="eastAsia" w:ascii="仿宋" w:hAnsi="仿宋" w:eastAsia="仿宋" w:cs="Times New Roman"/>
          <w:sz w:val="24"/>
          <w:highlight w:val="none"/>
        </w:rPr>
        <w:t xml:space="preserve"> 本合同项下双方向对方发出的通知、信件、数据电文</w:t>
      </w:r>
      <w:r>
        <w:rPr>
          <w:rFonts w:hint="eastAsia" w:ascii="仿宋" w:hAnsi="仿宋" w:eastAsia="仿宋" w:cs="Times New Roman"/>
          <w:sz w:val="24"/>
          <w:highlight w:val="none"/>
          <w:lang w:eastAsia="zh-CN"/>
        </w:rPr>
        <w:t>以及争议时法律文书送达</w:t>
      </w:r>
      <w:r>
        <w:rPr>
          <w:rFonts w:hint="eastAsia" w:ascii="仿宋" w:hAnsi="仿宋" w:eastAsia="仿宋" w:cs="Times New Roman"/>
          <w:sz w:val="24"/>
          <w:highlight w:val="none"/>
        </w:rPr>
        <w:t>等，应当发送至本合同</w:t>
      </w:r>
      <w:r>
        <w:rPr>
          <w:rFonts w:hint="eastAsia" w:ascii="仿宋" w:hAnsi="仿宋" w:eastAsia="仿宋" w:cs="Times New Roman"/>
          <w:sz w:val="24"/>
          <w:highlight w:val="none"/>
          <w:lang w:eastAsia="zh-CN"/>
        </w:rPr>
        <w:t>落款用印处</w:t>
      </w:r>
      <w:r>
        <w:rPr>
          <w:rFonts w:hint="eastAsia" w:ascii="仿宋" w:hAnsi="仿宋" w:eastAsia="仿宋" w:cs="Times New Roman"/>
          <w:sz w:val="24"/>
          <w:highlight w:val="none"/>
        </w:rPr>
        <w:t>约定的地址、联系人和通信终端，电子送达与书面送达具有同等法律效力。</w:t>
      </w:r>
    </w:p>
    <w:p w14:paraId="190875AC">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lang w:eastAsia="zh-Hans"/>
        </w:rPr>
        <w:t>.4</w:t>
      </w:r>
      <w:r>
        <w:rPr>
          <w:rFonts w:hint="eastAsia" w:ascii="仿宋" w:hAnsi="仿宋" w:eastAsia="仿宋" w:cs="Times New Roman"/>
          <w:sz w:val="24"/>
          <w:highlight w:val="none"/>
        </w:rPr>
        <w:t xml:space="preserve"> 一方当事人变更名称、地址、联系人或通信终端的，应当在变更后及时书面通知对方当事人，否则另一方按照合同约定地址邮寄第3天视为送达，向约定电子邮箱发送成功即为送达。</w:t>
      </w:r>
    </w:p>
    <w:p w14:paraId="0B24C7B3">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8.5</w:t>
      </w:r>
      <w:r>
        <w:rPr>
          <w:rFonts w:hint="eastAsia" w:ascii="仿宋" w:hAnsi="仿宋" w:eastAsia="仿宋" w:cs="Times New Roman"/>
          <w:sz w:val="24"/>
          <w:highlight w:val="none"/>
        </w:rPr>
        <w:t>本合同一式</w:t>
      </w:r>
      <w:r>
        <w:rPr>
          <w:rFonts w:hint="eastAsia" w:ascii="仿宋" w:hAnsi="仿宋" w:eastAsia="仿宋" w:cs="Times New Roman"/>
          <w:sz w:val="24"/>
          <w:highlight w:val="none"/>
          <w:lang w:val="en-US" w:eastAsia="zh-CN"/>
        </w:rPr>
        <w:t>陆</w:t>
      </w:r>
      <w:r>
        <w:rPr>
          <w:rFonts w:hint="eastAsia" w:ascii="仿宋" w:hAnsi="仿宋" w:eastAsia="仿宋" w:cs="Times New Roman"/>
          <w:sz w:val="24"/>
          <w:highlight w:val="none"/>
        </w:rPr>
        <w:t>份，甲方</w:t>
      </w:r>
      <w:r>
        <w:rPr>
          <w:rFonts w:hint="eastAsia" w:ascii="仿宋" w:hAnsi="仿宋" w:eastAsia="仿宋" w:cs="Times New Roman"/>
          <w:sz w:val="24"/>
          <w:highlight w:val="none"/>
          <w:lang w:val="en-US" w:eastAsia="zh-CN"/>
        </w:rPr>
        <w:t>肆</w:t>
      </w:r>
      <w:r>
        <w:rPr>
          <w:rFonts w:hint="eastAsia" w:ascii="仿宋" w:hAnsi="仿宋" w:eastAsia="仿宋" w:cs="Times New Roman"/>
          <w:sz w:val="24"/>
          <w:highlight w:val="none"/>
        </w:rPr>
        <w:t>份，乙方 贰 份，具有同等法律效力。</w:t>
      </w:r>
    </w:p>
    <w:p w14:paraId="002BA031">
      <w:pPr>
        <w:keepNext w:val="0"/>
        <w:keepLines w:val="0"/>
        <w:pageBreakBefore w:val="0"/>
        <w:kinsoku/>
        <w:wordWrap/>
        <w:overflowPunct/>
        <w:topLinePunct w:val="0"/>
        <w:autoSpaceDE/>
        <w:autoSpaceDN/>
        <w:bidi w:val="0"/>
        <w:adjustRightInd/>
        <w:spacing w:line="440" w:lineRule="exact"/>
        <w:ind w:left="0" w:leftChars="0" w:right="0" w:rightChars="0" w:firstLine="640" w:firstLineChars="200"/>
        <w:jc w:val="left"/>
        <w:textAlignment w:val="auto"/>
        <w:rPr>
          <w:rFonts w:hint="default" w:ascii="Times New Roman" w:hAnsi="Times New Roman" w:eastAsia="仿宋_GB2312" w:cs="Times New Roman"/>
          <w:sz w:val="32"/>
          <w:szCs w:val="32"/>
          <w:highlight w:val="none"/>
        </w:rPr>
      </w:pPr>
    </w:p>
    <w:p w14:paraId="0B493EA7">
      <w:pPr>
        <w:wordWrap w:val="0"/>
        <w:adjustRightInd w:val="0"/>
        <w:snapToGrid w:val="0"/>
        <w:spacing w:line="360" w:lineRule="auto"/>
        <w:ind w:firstLine="480" w:firstLineChars="20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（以下无正文）</w:t>
      </w:r>
    </w:p>
    <w:p w14:paraId="756CC61A">
      <w:pPr>
        <w:wordWrap w:val="0"/>
        <w:adjustRightInd w:val="0"/>
        <w:snapToGrid w:val="0"/>
        <w:spacing w:line="360" w:lineRule="auto"/>
        <w:ind w:firstLine="480" w:firstLineChars="200"/>
        <w:rPr>
          <w:rFonts w:hint="eastAsia" w:ascii="Times New Roman" w:hAnsi="Times New Roman" w:eastAsia="仿宋"/>
          <w:color w:val="auto"/>
          <w:sz w:val="24"/>
          <w:highlight w:val="none"/>
        </w:rPr>
        <w:sectPr>
          <w:pgSz w:w="11906" w:h="16838"/>
          <w:pgMar w:top="1440" w:right="1800" w:bottom="1440" w:left="1800" w:header="851" w:footer="992" w:gutter="0"/>
          <w:cols w:space="425" w:num="1"/>
          <w:docGrid w:type="lines" w:linePitch="312" w:charSpace="0"/>
        </w:sectPr>
      </w:pPr>
    </w:p>
    <w:p w14:paraId="558D00D9">
      <w:pPr>
        <w:wordWrap w:val="0"/>
        <w:adjustRightInd w:val="0"/>
        <w:snapToGrid w:val="0"/>
        <w:spacing w:line="360" w:lineRule="auto"/>
        <w:ind w:firstLine="480" w:firstLineChars="200"/>
        <w:rPr>
          <w:rFonts w:hint="eastAsia" w:ascii="Times New Roman" w:hAnsi="Times New Roman" w:eastAsia="仿宋"/>
          <w:color w:val="auto"/>
          <w:sz w:val="24"/>
          <w:highlight w:val="none"/>
        </w:rPr>
      </w:pPr>
    </w:p>
    <w:tbl>
      <w:tblPr>
        <w:tblStyle w:val="27"/>
        <w:tblW w:w="0" w:type="auto"/>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9"/>
        <w:gridCol w:w="4158"/>
      </w:tblGrid>
      <w:tr w14:paraId="44A6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9" w:type="dxa"/>
            <w:noWrap w:val="0"/>
            <w:vAlign w:val="top"/>
          </w:tcPr>
          <w:p w14:paraId="00A34255">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default" w:ascii="Times New Roman" w:hAnsi="Times New Roman" w:eastAsia="仿宋"/>
                <w:color w:val="auto"/>
                <w:sz w:val="24"/>
                <w:highlight w:val="none"/>
              </w:rPr>
              <w:t>甲方：</w:t>
            </w:r>
            <w:r>
              <w:rPr>
                <w:rFonts w:hint="eastAsia" w:eastAsia="仿宋"/>
                <w:color w:val="auto"/>
                <w:sz w:val="24"/>
                <w:highlight w:val="none"/>
                <w:lang w:val="en-US" w:eastAsia="zh-CN"/>
              </w:rPr>
              <w:t xml:space="preserve">        </w:t>
            </w:r>
            <w:r>
              <w:rPr>
                <w:rFonts w:hint="eastAsia" w:ascii="Times New Roman" w:hAnsi="Times New Roman" w:eastAsia="仿宋"/>
                <w:color w:val="auto"/>
                <w:sz w:val="24"/>
                <w:highlight w:val="none"/>
              </w:rPr>
              <w:t>（盖章）</w:t>
            </w:r>
          </w:p>
          <w:p w14:paraId="09061E94">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法定代表人</w:t>
            </w:r>
            <w:r>
              <w:rPr>
                <w:rFonts w:hint="eastAsia" w:ascii="Times New Roman" w:hAnsi="Times New Roman" w:eastAsia="仿宋"/>
                <w:color w:val="auto"/>
                <w:sz w:val="24"/>
                <w:highlight w:val="none"/>
              </w:rPr>
              <w:t>或授权代表</w:t>
            </w:r>
            <w:r>
              <w:rPr>
                <w:rFonts w:hint="default" w:ascii="Times New Roman" w:hAnsi="Times New Roman" w:eastAsia="仿宋"/>
                <w:color w:val="auto"/>
                <w:sz w:val="24"/>
                <w:highlight w:val="none"/>
              </w:rPr>
              <w:t>：</w:t>
            </w:r>
          </w:p>
          <w:p w14:paraId="54B6D3DD">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ascii="Times New Roman" w:hAnsi="Times New Roman" w:eastAsia="仿宋"/>
                <w:color w:val="auto"/>
                <w:sz w:val="24"/>
                <w:highlight w:val="none"/>
              </w:rPr>
              <w:t>（签字或签章）</w:t>
            </w:r>
          </w:p>
          <w:p w14:paraId="33746EE6">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p>
          <w:p w14:paraId="53CB7B53">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地址：</w:t>
            </w:r>
          </w:p>
          <w:p w14:paraId="1C91AF36">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default" w:ascii="Times New Roman" w:hAnsi="Times New Roman" w:eastAsia="仿宋"/>
                <w:color w:val="auto"/>
                <w:sz w:val="24"/>
                <w:highlight w:val="none"/>
              </w:rPr>
              <w:t>开户行：</w:t>
            </w:r>
            <w:r>
              <w:rPr>
                <w:rFonts w:hint="eastAsia" w:eastAsia="仿宋"/>
                <w:color w:val="auto"/>
                <w:sz w:val="24"/>
                <w:highlight w:val="none"/>
                <w:lang w:val="en-US" w:eastAsia="zh-CN"/>
              </w:rPr>
              <w:t xml:space="preserve"> </w:t>
            </w:r>
          </w:p>
          <w:p w14:paraId="6CF6AE0B">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default" w:ascii="Times New Roman" w:hAnsi="Times New Roman" w:eastAsia="仿宋"/>
                <w:color w:val="auto"/>
                <w:sz w:val="24"/>
                <w:highlight w:val="none"/>
              </w:rPr>
              <w:t>账号</w:t>
            </w:r>
            <w:r>
              <w:rPr>
                <w:rFonts w:hint="eastAsia" w:ascii="Times New Roman" w:hAnsi="Times New Roman" w:eastAsia="仿宋"/>
                <w:color w:val="auto"/>
                <w:sz w:val="24"/>
                <w:highlight w:val="none"/>
              </w:rPr>
              <w:t>：</w:t>
            </w:r>
            <w:r>
              <w:rPr>
                <w:rFonts w:hint="eastAsia" w:eastAsia="仿宋"/>
                <w:color w:val="auto"/>
                <w:sz w:val="24"/>
                <w:highlight w:val="none"/>
                <w:lang w:val="en-US" w:eastAsia="zh-CN"/>
              </w:rPr>
              <w:t xml:space="preserve"> </w:t>
            </w:r>
          </w:p>
          <w:p w14:paraId="458CD06A">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税号：</w:t>
            </w:r>
            <w:r>
              <w:rPr>
                <w:rFonts w:hint="eastAsia" w:eastAsia="仿宋"/>
                <w:color w:val="auto"/>
                <w:sz w:val="24"/>
                <w:highlight w:val="none"/>
                <w:lang w:val="en-US" w:eastAsia="zh-CN"/>
              </w:rPr>
              <w:t xml:space="preserve"> </w:t>
            </w:r>
          </w:p>
          <w:p w14:paraId="518C2AEA">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电话：</w:t>
            </w:r>
            <w:r>
              <w:rPr>
                <w:rFonts w:hint="eastAsia" w:eastAsia="仿宋"/>
                <w:color w:val="auto"/>
                <w:sz w:val="24"/>
                <w:highlight w:val="none"/>
                <w:lang w:val="en-US" w:eastAsia="zh-CN"/>
              </w:rPr>
              <w:t xml:space="preserve"> </w:t>
            </w:r>
          </w:p>
          <w:p w14:paraId="4BEA42B2">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项目负责人：</w:t>
            </w:r>
            <w:r>
              <w:rPr>
                <w:rFonts w:hint="eastAsia" w:eastAsia="仿宋"/>
                <w:color w:val="auto"/>
                <w:sz w:val="24"/>
                <w:highlight w:val="none"/>
                <w:lang w:val="en-US" w:eastAsia="zh-CN"/>
              </w:rPr>
              <w:t xml:space="preserve"> </w:t>
            </w:r>
          </w:p>
          <w:p w14:paraId="22562707">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电话：</w:t>
            </w:r>
            <w:r>
              <w:rPr>
                <w:rFonts w:hint="eastAsia" w:eastAsia="仿宋"/>
                <w:color w:val="auto"/>
                <w:sz w:val="24"/>
                <w:highlight w:val="none"/>
                <w:lang w:val="en-US" w:eastAsia="zh-CN"/>
              </w:rPr>
              <w:t xml:space="preserve"> </w:t>
            </w:r>
          </w:p>
          <w:p w14:paraId="0AB774F3">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eastAsia="仿宋"/>
                <w:color w:val="auto"/>
                <w:sz w:val="24"/>
                <w:highlight w:val="none"/>
                <w:lang w:eastAsia="zh-CN"/>
              </w:rPr>
              <w:t>电子邮箱</w:t>
            </w:r>
            <w:r>
              <w:rPr>
                <w:rFonts w:hint="default" w:ascii="Times New Roman" w:hAnsi="Times New Roman" w:eastAsia="仿宋"/>
                <w:color w:val="auto"/>
                <w:sz w:val="24"/>
                <w:highlight w:val="none"/>
              </w:rPr>
              <w:t>：</w:t>
            </w:r>
          </w:p>
          <w:p w14:paraId="3CD91341">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p>
          <w:p w14:paraId="13ED7016">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签订时间：</w:t>
            </w:r>
            <w:r>
              <w:rPr>
                <w:rFonts w:hint="eastAsia" w:ascii="Times New Roman" w:hAnsi="Times New Roman" w:eastAsia="仿宋"/>
                <w:color w:val="auto"/>
                <w:sz w:val="24"/>
                <w:highlight w:val="none"/>
              </w:rPr>
              <w:t xml:space="preserve"> </w:t>
            </w:r>
            <w:r>
              <w:rPr>
                <w:rFonts w:hint="eastAsia" w:ascii="Times New Roman" w:hAnsi="Times New Roman"/>
                <w:color w:val="auto"/>
                <w:sz w:val="24"/>
                <w:highlight w:val="none"/>
              </w:rPr>
              <w:t>202</w:t>
            </w:r>
            <w:r>
              <w:rPr>
                <w:rFonts w:hint="eastAsia" w:ascii="Times New Roman" w:hAnsi="Times New Roman"/>
                <w:color w:val="auto"/>
                <w:sz w:val="24"/>
                <w:highlight w:val="none"/>
                <w:lang w:val="en-US" w:eastAsia="zh-CN"/>
              </w:rPr>
              <w:t>5</w:t>
            </w:r>
            <w:r>
              <w:rPr>
                <w:rFonts w:hint="eastAsia" w:ascii="Times New Roman" w:hAnsi="Times New Roman"/>
                <w:color w:val="auto"/>
                <w:sz w:val="24"/>
                <w:highlight w:val="none"/>
              </w:rPr>
              <w:t xml:space="preserve"> </w:t>
            </w:r>
            <w:r>
              <w:rPr>
                <w:rFonts w:hint="default" w:ascii="Times New Roman" w:hAnsi="Times New Roman" w:eastAsia="仿宋"/>
                <w:color w:val="auto"/>
                <w:sz w:val="24"/>
                <w:highlight w:val="none"/>
              </w:rPr>
              <w:t xml:space="preserve">年   </w:t>
            </w:r>
            <w:r>
              <w:rPr>
                <w:rFonts w:hint="eastAsia" w:ascii="Times New Roman" w:hAnsi="Times New Roman" w:eastAsia="仿宋"/>
                <w:color w:val="auto"/>
                <w:sz w:val="24"/>
                <w:highlight w:val="none"/>
              </w:rPr>
              <w:t xml:space="preserve"> </w:t>
            </w:r>
            <w:r>
              <w:rPr>
                <w:rFonts w:hint="default" w:ascii="Times New Roman" w:hAnsi="Times New Roman" w:eastAsia="仿宋"/>
                <w:color w:val="auto"/>
                <w:sz w:val="24"/>
                <w:highlight w:val="none"/>
              </w:rPr>
              <w:t xml:space="preserve">月   </w:t>
            </w:r>
            <w:r>
              <w:rPr>
                <w:rFonts w:hint="eastAsia" w:ascii="Times New Roman" w:hAnsi="Times New Roman" w:eastAsia="仿宋"/>
                <w:color w:val="auto"/>
                <w:sz w:val="24"/>
                <w:highlight w:val="none"/>
              </w:rPr>
              <w:t xml:space="preserve"> </w:t>
            </w:r>
            <w:r>
              <w:rPr>
                <w:rFonts w:hint="default" w:ascii="Times New Roman" w:hAnsi="Times New Roman" w:eastAsia="仿宋"/>
                <w:color w:val="auto"/>
                <w:sz w:val="24"/>
                <w:highlight w:val="none"/>
              </w:rPr>
              <w:t>日</w:t>
            </w:r>
          </w:p>
        </w:tc>
        <w:tc>
          <w:tcPr>
            <w:tcW w:w="4158" w:type="dxa"/>
            <w:noWrap w:val="0"/>
            <w:vAlign w:val="top"/>
          </w:tcPr>
          <w:p w14:paraId="3FB6B273">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乙</w:t>
            </w:r>
            <w:r>
              <w:rPr>
                <w:rFonts w:hint="default" w:ascii="Times New Roman" w:hAnsi="Times New Roman" w:eastAsia="仿宋"/>
                <w:color w:val="auto"/>
                <w:sz w:val="24"/>
                <w:highlight w:val="none"/>
              </w:rPr>
              <w:t>方：</w:t>
            </w:r>
            <w:r>
              <w:rPr>
                <w:rFonts w:hint="eastAsia" w:ascii="Times New Roman" w:hAnsi="Times New Roman" w:eastAsia="仿宋"/>
                <w:color w:val="auto"/>
                <w:sz w:val="24"/>
                <w:highlight w:val="none"/>
                <w:lang w:val="en-US" w:eastAsia="zh-CN"/>
              </w:rPr>
              <w:t xml:space="preserve">               </w:t>
            </w:r>
            <w:r>
              <w:rPr>
                <w:rFonts w:hint="eastAsia" w:ascii="Times New Roman" w:hAnsi="Times New Roman" w:eastAsia="仿宋"/>
                <w:color w:val="auto"/>
                <w:sz w:val="24"/>
                <w:highlight w:val="none"/>
              </w:rPr>
              <w:t>（盖章）</w:t>
            </w:r>
          </w:p>
          <w:p w14:paraId="2C365085">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default" w:ascii="Times New Roman" w:hAnsi="Times New Roman" w:eastAsia="仿宋"/>
                <w:color w:val="auto"/>
                <w:sz w:val="24"/>
                <w:highlight w:val="none"/>
              </w:rPr>
              <w:t>法定代表人</w:t>
            </w:r>
            <w:r>
              <w:rPr>
                <w:rFonts w:hint="eastAsia" w:ascii="Times New Roman" w:hAnsi="Times New Roman" w:eastAsia="仿宋"/>
                <w:color w:val="auto"/>
                <w:sz w:val="24"/>
                <w:highlight w:val="none"/>
              </w:rPr>
              <w:t>或授权代表</w:t>
            </w:r>
            <w:r>
              <w:rPr>
                <w:rFonts w:hint="default" w:ascii="Times New Roman" w:hAnsi="Times New Roman" w:eastAsia="仿宋"/>
                <w:color w:val="auto"/>
                <w:sz w:val="24"/>
                <w:highlight w:val="none"/>
              </w:rPr>
              <w:t>：</w:t>
            </w:r>
          </w:p>
          <w:p w14:paraId="232C76F9">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（签字或签章）</w:t>
            </w:r>
          </w:p>
          <w:p w14:paraId="5A67A6CE">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p>
          <w:p w14:paraId="0EB8EECA">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地址：</w:t>
            </w:r>
          </w:p>
          <w:p w14:paraId="3E78AC2C">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default" w:ascii="Times New Roman" w:hAnsi="Times New Roman" w:eastAsia="仿宋"/>
                <w:color w:val="auto"/>
                <w:sz w:val="24"/>
                <w:highlight w:val="none"/>
              </w:rPr>
              <w:t>开户行：</w:t>
            </w:r>
          </w:p>
          <w:p w14:paraId="5E52EF50">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账号：</w:t>
            </w:r>
          </w:p>
          <w:p w14:paraId="39CD78EE">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税号：</w:t>
            </w:r>
          </w:p>
          <w:p w14:paraId="366EB448">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电话：</w:t>
            </w:r>
          </w:p>
          <w:p w14:paraId="4DF5A4F1">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项目负责人：</w:t>
            </w:r>
          </w:p>
          <w:p w14:paraId="4021E001">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ascii="Times New Roman" w:hAnsi="Times New Roman" w:eastAsia="仿宋"/>
                <w:color w:val="auto"/>
                <w:sz w:val="24"/>
                <w:highlight w:val="none"/>
              </w:rPr>
              <w:t>电话：</w:t>
            </w:r>
          </w:p>
          <w:p w14:paraId="0CD687ED">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eastAsia="仿宋"/>
                <w:color w:val="auto"/>
                <w:sz w:val="24"/>
                <w:highlight w:val="none"/>
                <w:lang w:eastAsia="zh-CN"/>
              </w:rPr>
              <w:t>电子邮箱</w:t>
            </w:r>
            <w:r>
              <w:rPr>
                <w:rFonts w:hint="default" w:ascii="Times New Roman" w:hAnsi="Times New Roman" w:eastAsia="仿宋"/>
                <w:color w:val="auto"/>
                <w:sz w:val="24"/>
                <w:highlight w:val="none"/>
              </w:rPr>
              <w:t>：</w:t>
            </w:r>
          </w:p>
          <w:p w14:paraId="24E4B9B6">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p>
          <w:p w14:paraId="62BE126A">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签订时间：</w:t>
            </w:r>
            <w:r>
              <w:rPr>
                <w:rFonts w:hint="eastAsia" w:ascii="Times New Roman" w:hAnsi="Times New Roman" w:eastAsia="仿宋"/>
                <w:color w:val="auto"/>
                <w:sz w:val="24"/>
                <w:highlight w:val="none"/>
              </w:rPr>
              <w:t xml:space="preserve"> 202</w:t>
            </w:r>
            <w:r>
              <w:rPr>
                <w:rFonts w:hint="eastAsia" w:ascii="Times New Roman" w:hAnsi="Times New Roman" w:eastAsia="仿宋"/>
                <w:color w:val="auto"/>
                <w:sz w:val="24"/>
                <w:highlight w:val="none"/>
                <w:lang w:val="en-US" w:eastAsia="zh-CN"/>
              </w:rPr>
              <w:t>5</w:t>
            </w:r>
            <w:r>
              <w:rPr>
                <w:rFonts w:hint="default" w:ascii="Times New Roman" w:hAnsi="Times New Roman" w:eastAsia="仿宋"/>
                <w:color w:val="auto"/>
                <w:sz w:val="24"/>
                <w:highlight w:val="none"/>
              </w:rPr>
              <w:t>年</w:t>
            </w:r>
            <w:r>
              <w:rPr>
                <w:rFonts w:hint="eastAsia" w:ascii="Times New Roman" w:hAnsi="Times New Roman" w:eastAsia="仿宋"/>
                <w:color w:val="auto"/>
                <w:sz w:val="24"/>
                <w:highlight w:val="none"/>
                <w:lang w:val="en-US" w:eastAsia="zh-CN"/>
              </w:rPr>
              <w:t xml:space="preserve">    </w:t>
            </w:r>
            <w:r>
              <w:rPr>
                <w:rFonts w:hint="default" w:ascii="Times New Roman" w:hAnsi="Times New Roman" w:eastAsia="仿宋"/>
                <w:color w:val="auto"/>
                <w:sz w:val="24"/>
                <w:highlight w:val="none"/>
              </w:rPr>
              <w:t>月</w:t>
            </w:r>
            <w:r>
              <w:rPr>
                <w:rFonts w:hint="eastAsia" w:ascii="Times New Roman" w:hAnsi="Times New Roman" w:eastAsia="仿宋"/>
                <w:color w:val="auto"/>
                <w:sz w:val="24"/>
                <w:highlight w:val="none"/>
                <w:lang w:val="en-US" w:eastAsia="zh-CN"/>
              </w:rPr>
              <w:t xml:space="preserve">    </w:t>
            </w:r>
            <w:r>
              <w:rPr>
                <w:rFonts w:hint="default" w:ascii="Times New Roman" w:hAnsi="Times New Roman" w:eastAsia="仿宋"/>
                <w:color w:val="auto"/>
                <w:sz w:val="24"/>
                <w:highlight w:val="none"/>
              </w:rPr>
              <w:t>日</w:t>
            </w:r>
          </w:p>
        </w:tc>
      </w:tr>
    </w:tbl>
    <w:p w14:paraId="3ADC95CC">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33510BF6">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02747FCE">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3F225DA7">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181469E4">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1F50C995">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406DC377">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27B1DA57">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284D493E">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4998637C">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486E2483">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37A6BFD7">
      <w:pPr>
        <w:widowControl/>
        <w:jc w:val="both"/>
        <w:rPr>
          <w:rFonts w:hint="eastAsia" w:eastAsia="黑体" w:cs="Times New Roman"/>
          <w:b w:val="0"/>
          <w:bCs/>
          <w:sz w:val="32"/>
          <w:szCs w:val="32"/>
          <w:highlight w:val="none"/>
          <w:lang w:val="en-US" w:eastAsia="zh-CN"/>
        </w:rPr>
      </w:pPr>
      <w:r>
        <w:rPr>
          <w:rFonts w:hint="eastAsia" w:eastAsia="黑体" w:cs="Times New Roman"/>
          <w:b w:val="0"/>
          <w:bCs/>
          <w:sz w:val="32"/>
          <w:szCs w:val="32"/>
          <w:highlight w:val="none"/>
          <w:lang w:val="en-US" w:eastAsia="zh-CN"/>
        </w:rPr>
        <w:t>附件：</w:t>
      </w:r>
      <w:r>
        <w:rPr>
          <w:rFonts w:hint="eastAsia" w:ascii="Times New Roman" w:hAnsi="Times New Roman" w:eastAsia="黑体" w:cs="Times New Roman"/>
          <w:b w:val="0"/>
          <w:bCs/>
          <w:sz w:val="32"/>
          <w:szCs w:val="32"/>
          <w:highlight w:val="none"/>
          <w:lang w:val="en-US" w:eastAsia="zh-CN"/>
        </w:rPr>
        <w:t>合同模板</w:t>
      </w:r>
      <w:r>
        <w:rPr>
          <w:rFonts w:hint="eastAsia" w:eastAsia="黑体" w:cs="Times New Roman"/>
          <w:b w:val="0"/>
          <w:bCs/>
          <w:sz w:val="32"/>
          <w:szCs w:val="32"/>
          <w:highlight w:val="none"/>
          <w:lang w:val="en-US" w:eastAsia="zh-CN"/>
        </w:rPr>
        <w:t>（样本）</w:t>
      </w:r>
    </w:p>
    <w:p w14:paraId="101E215D">
      <w:pPr>
        <w:jc w:val="center"/>
        <w:rPr>
          <w:rFonts w:hint="eastAsia" w:ascii="方正小标宋简体" w:hAnsi="方正小标宋简体" w:eastAsia="方正小标宋简体" w:cs="方正小标宋简体"/>
          <w:b/>
          <w:color w:val="auto"/>
          <w:sz w:val="36"/>
          <w:szCs w:val="44"/>
          <w:highlight w:val="none"/>
        </w:rPr>
      </w:pPr>
      <w:r>
        <w:rPr>
          <w:rFonts w:hint="eastAsia" w:ascii="方正小标宋简体" w:hAnsi="方正小标宋简体" w:eastAsia="方正小标宋简体" w:cs="方正小标宋简体"/>
          <w:b/>
          <w:bCs/>
          <w:color w:val="auto"/>
          <w:sz w:val="36"/>
          <w:szCs w:val="44"/>
          <w:highlight w:val="none"/>
          <w:lang w:val="en-US" w:eastAsia="zh-CN"/>
        </w:rPr>
        <w:t>数字化转型成熟度（</w:t>
      </w:r>
      <w:r>
        <w:rPr>
          <w:rFonts w:hint="eastAsia" w:ascii="方正小标宋简体" w:hAnsi="方正小标宋简体" w:eastAsia="方正小标宋简体" w:cs="方正小标宋简体"/>
          <w:b/>
          <w:bCs/>
          <w:color w:val="auto"/>
          <w:sz w:val="36"/>
          <w:szCs w:val="44"/>
          <w:highlight w:val="none"/>
        </w:rPr>
        <w:t>D</w:t>
      </w:r>
      <w:r>
        <w:rPr>
          <w:rFonts w:hint="eastAsia" w:ascii="方正小标宋简体" w:hAnsi="方正小标宋简体" w:eastAsia="方正小标宋简体" w:cs="方正小标宋简体"/>
          <w:b/>
          <w:bCs/>
          <w:color w:val="auto"/>
          <w:sz w:val="36"/>
          <w:szCs w:val="44"/>
          <w:highlight w:val="none"/>
          <w:lang w:val="en-US" w:eastAsia="zh-CN"/>
        </w:rPr>
        <w:t>T</w:t>
      </w:r>
      <w:r>
        <w:rPr>
          <w:rFonts w:hint="eastAsia" w:ascii="方正小标宋简体" w:hAnsi="方正小标宋简体" w:eastAsia="方正小标宋简体" w:cs="方正小标宋简体"/>
          <w:b/>
          <w:bCs/>
          <w:color w:val="auto"/>
          <w:sz w:val="36"/>
          <w:szCs w:val="44"/>
          <w:highlight w:val="none"/>
        </w:rPr>
        <w:t>MM</w:t>
      </w:r>
      <w:r>
        <w:rPr>
          <w:rFonts w:hint="eastAsia" w:ascii="方正小标宋简体" w:hAnsi="方正小标宋简体" w:eastAsia="方正小标宋简体" w:cs="方正小标宋简体"/>
          <w:b/>
          <w:bCs/>
          <w:color w:val="auto"/>
          <w:sz w:val="36"/>
          <w:szCs w:val="44"/>
          <w:highlight w:val="none"/>
          <w:lang w:val="en-US" w:eastAsia="zh-CN"/>
        </w:rPr>
        <w:t>）三</w:t>
      </w:r>
      <w:r>
        <w:rPr>
          <w:rFonts w:hint="eastAsia" w:ascii="方正小标宋简体" w:hAnsi="方正小标宋简体" w:eastAsia="方正小标宋简体" w:cs="方正小标宋简体"/>
          <w:b/>
          <w:bCs/>
          <w:color w:val="auto"/>
          <w:sz w:val="36"/>
          <w:szCs w:val="44"/>
          <w:highlight w:val="none"/>
        </w:rPr>
        <w:t>级</w:t>
      </w:r>
      <w:r>
        <w:rPr>
          <w:rFonts w:hint="eastAsia" w:ascii="方正小标宋简体" w:hAnsi="方正小标宋简体" w:eastAsia="方正小标宋简体" w:cs="方正小标宋简体"/>
          <w:b/>
          <w:bCs/>
          <w:color w:val="auto"/>
          <w:sz w:val="36"/>
          <w:szCs w:val="44"/>
          <w:highlight w:val="none"/>
          <w:lang w:val="en-US" w:eastAsia="zh-CN"/>
        </w:rPr>
        <w:br w:type="textWrapping"/>
      </w:r>
      <w:r>
        <w:rPr>
          <w:rFonts w:hint="eastAsia" w:ascii="方正小标宋简体" w:hAnsi="方正小标宋简体" w:eastAsia="方正小标宋简体" w:cs="方正小标宋简体"/>
          <w:b/>
          <w:bCs/>
          <w:color w:val="auto"/>
          <w:sz w:val="36"/>
          <w:szCs w:val="44"/>
          <w:highlight w:val="none"/>
        </w:rPr>
        <w:t>咨询评估委托合同</w:t>
      </w:r>
    </w:p>
    <w:p w14:paraId="4B439EEB">
      <w:pPr>
        <w:wordWrap w:val="0"/>
        <w:adjustRightInd w:val="0"/>
        <w:snapToGrid w:val="0"/>
        <w:spacing w:line="360" w:lineRule="auto"/>
        <w:ind w:firstLine="480" w:firstLineChars="200"/>
        <w:rPr>
          <w:rFonts w:ascii="Times New Roman" w:hAnsi="Times New Roman" w:eastAsia="仿宋"/>
          <w:color w:val="auto"/>
          <w:sz w:val="24"/>
          <w:highlight w:val="none"/>
        </w:rPr>
      </w:pPr>
      <w:r>
        <w:rPr>
          <w:rFonts w:ascii="Times New Roman" w:hAnsi="Times New Roman" w:eastAsia="仿宋"/>
          <w:color w:val="auto"/>
          <w:sz w:val="24"/>
          <w:highlight w:val="none"/>
        </w:rPr>
        <w:t xml:space="preserve">                                        </w:t>
      </w:r>
    </w:p>
    <w:p w14:paraId="65770512">
      <w:pPr>
        <w:wordWrap w:val="0"/>
        <w:adjustRightInd w:val="0"/>
        <w:snapToGrid w:val="0"/>
        <w:spacing w:line="360" w:lineRule="auto"/>
        <w:rPr>
          <w:rFonts w:hint="default" w:ascii="Times New Roman" w:hAnsi="Times New Roman" w:eastAsia="仿宋"/>
          <w:color w:val="auto"/>
          <w:sz w:val="24"/>
          <w:highlight w:val="none"/>
          <w:lang w:val="en-US" w:eastAsia="zh-CN"/>
        </w:rPr>
      </w:pPr>
      <w:r>
        <w:rPr>
          <w:rFonts w:ascii="Times New Roman" w:hAnsi="Times New Roman" w:eastAsia="仿宋"/>
          <w:color w:val="auto"/>
          <w:sz w:val="24"/>
          <w:highlight w:val="none"/>
        </w:rPr>
        <w:t>甲方：</w:t>
      </w:r>
      <w:r>
        <w:rPr>
          <w:rFonts w:hint="eastAsia" w:eastAsia="仿宋"/>
          <w:color w:val="auto"/>
          <w:sz w:val="24"/>
          <w:highlight w:val="none"/>
          <w:lang w:val="en-US" w:eastAsia="zh-CN"/>
        </w:rPr>
        <w:t xml:space="preserve">                          </w:t>
      </w:r>
      <w:r>
        <w:rPr>
          <w:rFonts w:ascii="Times New Roman" w:hAnsi="Times New Roman" w:eastAsia="仿宋"/>
          <w:color w:val="auto"/>
          <w:sz w:val="24"/>
          <w:highlight w:val="none"/>
        </w:rPr>
        <w:t xml:space="preserve">    </w:t>
      </w:r>
      <w:r>
        <w:rPr>
          <w:rFonts w:hint="eastAsia" w:ascii="Times New Roman" w:hAnsi="Times New Roman" w:eastAsia="仿宋"/>
          <w:color w:val="auto"/>
          <w:sz w:val="24"/>
          <w:highlight w:val="none"/>
        </w:rPr>
        <w:t xml:space="preserve">       </w:t>
      </w:r>
      <w:r>
        <w:rPr>
          <w:rFonts w:ascii="Times New Roman" w:hAnsi="Times New Roman" w:eastAsia="仿宋"/>
          <w:color w:val="auto"/>
          <w:sz w:val="24"/>
          <w:highlight w:val="none"/>
        </w:rPr>
        <w:t>合同编号：</w:t>
      </w:r>
      <w:r>
        <w:rPr>
          <w:rFonts w:hint="eastAsia" w:ascii="Times New Roman" w:hAnsi="Times New Roman" w:eastAsia="仿宋"/>
          <w:color w:val="auto"/>
          <w:sz w:val="24"/>
          <w:highlight w:val="none"/>
          <w:lang w:val="en-US" w:eastAsia="zh-CN"/>
        </w:rPr>
        <w:t>XXX</w:t>
      </w:r>
    </w:p>
    <w:p w14:paraId="1C16D363">
      <w:pPr>
        <w:wordWrap w:val="0"/>
        <w:adjustRightInd w:val="0"/>
        <w:snapToGrid w:val="0"/>
        <w:spacing w:line="360" w:lineRule="auto"/>
        <w:rPr>
          <w:rFonts w:hint="eastAsia" w:ascii="Times New Roman" w:hAnsi="Times New Roman" w:eastAsia="仿宋"/>
          <w:color w:val="auto"/>
          <w:sz w:val="24"/>
          <w:highlight w:val="none"/>
          <w:lang w:val="en-US" w:eastAsia="zh-CN"/>
        </w:rPr>
      </w:pPr>
      <w:r>
        <w:rPr>
          <w:rFonts w:ascii="Times New Roman" w:hAnsi="Times New Roman" w:eastAsia="仿宋"/>
          <w:color w:val="auto"/>
          <w:sz w:val="24"/>
          <w:highlight w:val="none"/>
        </w:rPr>
        <w:t>乙方：</w:t>
      </w:r>
      <w:r>
        <w:rPr>
          <w:rFonts w:hint="eastAsia" w:ascii="Times New Roman" w:hAnsi="Times New Roman" w:eastAsia="仿宋"/>
          <w:color w:val="auto"/>
          <w:sz w:val="24"/>
          <w:highlight w:val="none"/>
          <w:lang w:val="en-US" w:eastAsia="zh-CN"/>
        </w:rPr>
        <w:t xml:space="preserve">XXX                                </w:t>
      </w:r>
      <w:r>
        <w:rPr>
          <w:rFonts w:hint="eastAsia" w:ascii="Times New Roman" w:hAnsi="Times New Roman" w:eastAsia="仿宋"/>
          <w:color w:val="auto"/>
          <w:sz w:val="24"/>
          <w:highlight w:val="none"/>
        </w:rPr>
        <w:t xml:space="preserve"> </w:t>
      </w:r>
      <w:r>
        <w:rPr>
          <w:rFonts w:ascii="Times New Roman" w:hAnsi="Times New Roman" w:eastAsia="仿宋"/>
          <w:color w:val="auto"/>
          <w:sz w:val="24"/>
          <w:highlight w:val="none"/>
        </w:rPr>
        <w:t>签订地点：</w:t>
      </w:r>
      <w:r>
        <w:rPr>
          <w:rFonts w:hint="eastAsia" w:eastAsia="仿宋"/>
          <w:color w:val="auto"/>
          <w:sz w:val="24"/>
          <w:highlight w:val="none"/>
          <w:lang w:val="en-US" w:eastAsia="zh-CN"/>
        </w:rPr>
        <w:t xml:space="preserve"> </w:t>
      </w:r>
    </w:p>
    <w:p w14:paraId="4B7D4FB6">
      <w:pPr>
        <w:pStyle w:val="12"/>
        <w:rPr>
          <w:rFonts w:hint="eastAsia"/>
          <w:color w:val="auto"/>
          <w:highlight w:val="none"/>
        </w:rPr>
      </w:pPr>
    </w:p>
    <w:p w14:paraId="543400ED">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本合同甲方委托乙方就</w:t>
      </w:r>
      <w:r>
        <w:rPr>
          <w:rFonts w:hint="eastAsia" w:ascii="仿宋" w:hAnsi="仿宋" w:eastAsia="仿宋"/>
          <w:sz w:val="24"/>
          <w:highlight w:val="none"/>
          <w:lang w:val="en-US" w:eastAsia="zh-CN"/>
        </w:rPr>
        <w:t>xx</w:t>
      </w:r>
      <w:r>
        <w:rPr>
          <w:rFonts w:hint="eastAsia" w:ascii="仿宋" w:hAnsi="仿宋" w:eastAsia="仿宋"/>
          <w:sz w:val="24"/>
          <w:highlight w:val="none"/>
        </w:rPr>
        <w:t>公司</w:t>
      </w:r>
      <w:r>
        <w:rPr>
          <w:rFonts w:hint="eastAsia" w:ascii="仿宋" w:hAnsi="仿宋" w:eastAsia="仿宋"/>
          <w:sz w:val="24"/>
          <w:highlight w:val="none"/>
          <w:lang w:val="en-US" w:eastAsia="zh-CN"/>
        </w:rPr>
        <w:t>数字化转型成熟度（</w:t>
      </w:r>
      <w:r>
        <w:rPr>
          <w:rFonts w:hint="eastAsia" w:ascii="仿宋" w:hAnsi="仿宋" w:eastAsia="仿宋"/>
          <w:sz w:val="24"/>
          <w:highlight w:val="none"/>
        </w:rPr>
        <w:t>D</w:t>
      </w:r>
      <w:r>
        <w:rPr>
          <w:rFonts w:hint="eastAsia" w:ascii="仿宋" w:hAnsi="仿宋" w:eastAsia="仿宋"/>
          <w:sz w:val="24"/>
          <w:highlight w:val="none"/>
          <w:lang w:val="en-US" w:eastAsia="zh-CN"/>
        </w:rPr>
        <w:t>T</w:t>
      </w:r>
      <w:r>
        <w:rPr>
          <w:rFonts w:hint="eastAsia" w:ascii="仿宋" w:hAnsi="仿宋" w:eastAsia="仿宋"/>
          <w:sz w:val="24"/>
          <w:highlight w:val="none"/>
        </w:rPr>
        <w:t>MM</w:t>
      </w:r>
      <w:r>
        <w:rPr>
          <w:rFonts w:hint="eastAsia" w:ascii="仿宋" w:hAnsi="仿宋" w:eastAsia="仿宋"/>
          <w:sz w:val="24"/>
          <w:highlight w:val="none"/>
          <w:lang w:val="en-US" w:eastAsia="zh-CN"/>
        </w:rPr>
        <w:t>）三</w:t>
      </w:r>
      <w:r>
        <w:rPr>
          <w:rFonts w:hint="eastAsia" w:ascii="仿宋" w:hAnsi="仿宋" w:eastAsia="仿宋"/>
          <w:sz w:val="24"/>
          <w:highlight w:val="none"/>
        </w:rPr>
        <w:t>级评估项目（以下简称“本项目”）提供技术服务，并支付相应的技术服务报酬。双方在真实、充分地表达各自意愿的基础上，根据《中华人民共和国民法典》、技术合同及其他相关法律法规的规定，经过平等、友好协商，签订本合同，共同信守执行。</w:t>
      </w:r>
    </w:p>
    <w:p w14:paraId="0ECA5430">
      <w:pPr>
        <w:tabs>
          <w:tab w:val="left" w:pos="757"/>
        </w:tabs>
        <w:spacing w:line="360" w:lineRule="auto"/>
        <w:ind w:firstLine="482" w:firstLineChars="200"/>
        <w:jc w:val="both"/>
        <w:rPr>
          <w:rFonts w:hint="eastAsia" w:ascii="仿宋" w:hAnsi="仿宋" w:eastAsia="仿宋"/>
          <w:b/>
          <w:bCs/>
          <w:sz w:val="24"/>
          <w:highlight w:val="none"/>
        </w:rPr>
      </w:pPr>
      <w:r>
        <w:rPr>
          <w:rFonts w:hint="eastAsia" w:ascii="仿宋" w:hAnsi="仿宋" w:eastAsia="仿宋"/>
          <w:b/>
          <w:bCs/>
          <w:sz w:val="24"/>
          <w:highlight w:val="none"/>
        </w:rPr>
        <w:t>第一条 技术服务内容、方式和要求</w:t>
      </w:r>
    </w:p>
    <w:p w14:paraId="74F8B418">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1.1 项目名称：</w:t>
      </w:r>
      <w:r>
        <w:rPr>
          <w:rFonts w:hint="eastAsia" w:ascii="仿宋" w:hAnsi="仿宋" w:eastAsia="仿宋"/>
          <w:sz w:val="24"/>
          <w:highlight w:val="none"/>
          <w:lang w:val="en-US" w:eastAsia="zh-CN"/>
        </w:rPr>
        <w:t>xx数字化转型成熟度（</w:t>
      </w:r>
      <w:r>
        <w:rPr>
          <w:rFonts w:hint="eastAsia" w:ascii="仿宋" w:hAnsi="仿宋" w:eastAsia="仿宋"/>
          <w:sz w:val="24"/>
          <w:highlight w:val="none"/>
        </w:rPr>
        <w:t>D</w:t>
      </w:r>
      <w:r>
        <w:rPr>
          <w:rFonts w:hint="eastAsia" w:ascii="仿宋" w:hAnsi="仿宋" w:eastAsia="仿宋"/>
          <w:sz w:val="24"/>
          <w:highlight w:val="none"/>
          <w:lang w:val="en-US" w:eastAsia="zh-CN"/>
        </w:rPr>
        <w:t>T</w:t>
      </w:r>
      <w:r>
        <w:rPr>
          <w:rFonts w:hint="eastAsia" w:ascii="仿宋" w:hAnsi="仿宋" w:eastAsia="仿宋"/>
          <w:sz w:val="24"/>
          <w:highlight w:val="none"/>
        </w:rPr>
        <w:t>MM</w:t>
      </w:r>
      <w:r>
        <w:rPr>
          <w:rFonts w:hint="eastAsia" w:ascii="仿宋" w:hAnsi="仿宋" w:eastAsia="仿宋"/>
          <w:sz w:val="24"/>
          <w:highlight w:val="none"/>
          <w:lang w:val="en-US" w:eastAsia="zh-CN"/>
        </w:rPr>
        <w:t>）三</w:t>
      </w:r>
      <w:r>
        <w:rPr>
          <w:rFonts w:hint="eastAsia" w:ascii="仿宋" w:hAnsi="仿宋" w:eastAsia="仿宋"/>
          <w:sz w:val="24"/>
          <w:highlight w:val="none"/>
        </w:rPr>
        <w:t>级评估。</w:t>
      </w:r>
    </w:p>
    <w:p w14:paraId="6156F39F">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1.2 项目目标：根据</w:t>
      </w:r>
      <w:r>
        <w:rPr>
          <w:rFonts w:hint="eastAsia" w:ascii="仿宋" w:hAnsi="仿宋" w:eastAsia="仿宋"/>
          <w:sz w:val="24"/>
          <w:highlight w:val="none"/>
          <w:lang w:val="en-US" w:eastAsia="zh-CN"/>
        </w:rPr>
        <w:t>《信息技术服务 数字化转型成熟度模型与评估》GB/T 43439-2023，</w:t>
      </w:r>
      <w:r>
        <w:rPr>
          <w:rFonts w:hint="eastAsia" w:ascii="仿宋" w:hAnsi="仿宋" w:eastAsia="仿宋"/>
          <w:sz w:val="24"/>
          <w:highlight w:val="none"/>
        </w:rPr>
        <w:t>对</w:t>
      </w:r>
      <w:r>
        <w:rPr>
          <w:rFonts w:hint="eastAsia" w:ascii="仿宋" w:hAnsi="仿宋" w:eastAsia="仿宋"/>
          <w:sz w:val="24"/>
          <w:highlight w:val="none"/>
          <w:lang w:val="en-US" w:eastAsia="zh-CN"/>
        </w:rPr>
        <w:t>九洲集团数字化转型标准能力提供评</w:t>
      </w:r>
      <w:r>
        <w:rPr>
          <w:rFonts w:hint="eastAsia" w:ascii="仿宋" w:hAnsi="仿宋" w:eastAsia="仿宋"/>
          <w:sz w:val="24"/>
          <w:highlight w:val="none"/>
        </w:rPr>
        <w:t>估服务工作</w:t>
      </w:r>
      <w:r>
        <w:rPr>
          <w:rFonts w:hint="eastAsia" w:ascii="仿宋" w:hAnsi="仿宋" w:eastAsia="仿宋"/>
          <w:sz w:val="24"/>
          <w:highlight w:val="none"/>
          <w:lang w:eastAsia="zh-CN"/>
        </w:rPr>
        <w:t>，支撑</w:t>
      </w:r>
      <w:r>
        <w:rPr>
          <w:rFonts w:hint="eastAsia" w:ascii="仿宋" w:hAnsi="仿宋" w:eastAsia="仿宋"/>
          <w:sz w:val="24"/>
          <w:highlight w:val="none"/>
          <w:lang w:val="en-US" w:eastAsia="zh-CN"/>
        </w:rPr>
        <w:t>甲方</w:t>
      </w:r>
      <w:r>
        <w:rPr>
          <w:rFonts w:hint="eastAsia" w:ascii="仿宋" w:hAnsi="仿宋" w:eastAsia="仿宋"/>
          <w:sz w:val="24"/>
          <w:highlight w:val="none"/>
        </w:rPr>
        <w:t>取得</w:t>
      </w:r>
      <w:r>
        <w:rPr>
          <w:rFonts w:hint="eastAsia" w:ascii="仿宋" w:hAnsi="仿宋" w:eastAsia="仿宋"/>
          <w:sz w:val="24"/>
          <w:highlight w:val="none"/>
          <w:lang w:val="en-US" w:eastAsia="zh-CN"/>
        </w:rPr>
        <w:t>数字化转型成熟度（</w:t>
      </w:r>
      <w:r>
        <w:rPr>
          <w:rFonts w:hint="eastAsia" w:ascii="仿宋" w:hAnsi="仿宋" w:eastAsia="仿宋"/>
          <w:sz w:val="24"/>
          <w:highlight w:val="none"/>
        </w:rPr>
        <w:t>D</w:t>
      </w:r>
      <w:r>
        <w:rPr>
          <w:rFonts w:hint="eastAsia" w:ascii="仿宋" w:hAnsi="仿宋" w:eastAsia="仿宋"/>
          <w:sz w:val="24"/>
          <w:highlight w:val="none"/>
          <w:lang w:val="en-US" w:eastAsia="zh-CN"/>
        </w:rPr>
        <w:t>T</w:t>
      </w:r>
      <w:r>
        <w:rPr>
          <w:rFonts w:hint="eastAsia" w:ascii="仿宋" w:hAnsi="仿宋" w:eastAsia="仿宋"/>
          <w:sz w:val="24"/>
          <w:highlight w:val="none"/>
        </w:rPr>
        <w:t>MM</w:t>
      </w:r>
      <w:r>
        <w:rPr>
          <w:rFonts w:hint="eastAsia" w:ascii="仿宋" w:hAnsi="仿宋" w:eastAsia="仿宋"/>
          <w:sz w:val="24"/>
          <w:highlight w:val="none"/>
          <w:lang w:val="en-US" w:eastAsia="zh-CN"/>
        </w:rPr>
        <w:t>）三</w:t>
      </w:r>
      <w:r>
        <w:rPr>
          <w:rFonts w:hint="eastAsia" w:ascii="仿宋" w:hAnsi="仿宋" w:eastAsia="仿宋"/>
          <w:sz w:val="24"/>
          <w:highlight w:val="none"/>
        </w:rPr>
        <w:t>级证书。</w:t>
      </w:r>
    </w:p>
    <w:p w14:paraId="4F93BDC3">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1.3 服务形式：技术咨询、现场评估（前期</w:t>
      </w:r>
      <w:r>
        <w:rPr>
          <w:rFonts w:hint="eastAsia" w:ascii="仿宋" w:hAnsi="仿宋" w:eastAsia="仿宋"/>
          <w:sz w:val="24"/>
          <w:highlight w:val="none"/>
          <w:lang w:eastAsia="zh-CN"/>
        </w:rPr>
        <w:t>调研诊断</w:t>
      </w:r>
      <w:r>
        <w:rPr>
          <w:rFonts w:hint="eastAsia" w:ascii="仿宋" w:hAnsi="仿宋" w:eastAsia="仿宋"/>
          <w:sz w:val="24"/>
          <w:highlight w:val="none"/>
        </w:rPr>
        <w:t>、</w:t>
      </w:r>
      <w:r>
        <w:rPr>
          <w:rFonts w:hint="eastAsia" w:ascii="仿宋" w:hAnsi="仿宋" w:eastAsia="仿宋"/>
          <w:sz w:val="24"/>
          <w:highlight w:val="none"/>
          <w:lang w:eastAsia="zh-CN"/>
        </w:rPr>
        <w:t>线上预评估、</w:t>
      </w:r>
      <w:r>
        <w:rPr>
          <w:rFonts w:hint="eastAsia" w:ascii="仿宋" w:hAnsi="仿宋" w:eastAsia="仿宋"/>
          <w:sz w:val="24"/>
          <w:highlight w:val="none"/>
        </w:rPr>
        <w:t>正式评估</w:t>
      </w:r>
      <w:r>
        <w:rPr>
          <w:rFonts w:hint="eastAsia" w:ascii="仿宋" w:hAnsi="仿宋" w:eastAsia="仿宋"/>
          <w:sz w:val="24"/>
          <w:highlight w:val="none"/>
          <w:lang w:eastAsia="zh-CN"/>
        </w:rPr>
        <w:t>、整改检查、专家复核</w:t>
      </w:r>
      <w:r>
        <w:rPr>
          <w:rFonts w:hint="eastAsia" w:ascii="仿宋" w:hAnsi="仿宋" w:eastAsia="仿宋"/>
          <w:sz w:val="24"/>
          <w:highlight w:val="none"/>
        </w:rPr>
        <w:t>）</w:t>
      </w:r>
      <w:r>
        <w:rPr>
          <w:rFonts w:hint="eastAsia" w:ascii="仿宋" w:hAnsi="仿宋" w:eastAsia="仿宋"/>
          <w:sz w:val="24"/>
          <w:highlight w:val="none"/>
          <w:lang w:eastAsia="zh-CN"/>
        </w:rPr>
        <w:t>、获取证书</w:t>
      </w:r>
      <w:r>
        <w:rPr>
          <w:rFonts w:hint="eastAsia" w:ascii="仿宋" w:hAnsi="仿宋" w:eastAsia="仿宋"/>
          <w:sz w:val="24"/>
          <w:highlight w:val="none"/>
        </w:rPr>
        <w:t>。</w:t>
      </w:r>
    </w:p>
    <w:p w14:paraId="02F79582">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1.4 服务内容和范围：</w:t>
      </w:r>
    </w:p>
    <w:p w14:paraId="15904B81">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1）乙方向甲方提供</w:t>
      </w:r>
      <w:r>
        <w:rPr>
          <w:rFonts w:hint="eastAsia" w:ascii="仿宋" w:hAnsi="仿宋" w:eastAsia="仿宋"/>
          <w:sz w:val="24"/>
          <w:highlight w:val="none"/>
          <w:lang w:val="en-US" w:eastAsia="zh-CN"/>
        </w:rPr>
        <w:t>数字化转型成熟度（</w:t>
      </w:r>
      <w:r>
        <w:rPr>
          <w:rFonts w:hint="eastAsia" w:ascii="仿宋" w:hAnsi="仿宋" w:eastAsia="仿宋"/>
          <w:sz w:val="24"/>
          <w:highlight w:val="none"/>
        </w:rPr>
        <w:t>D</w:t>
      </w:r>
      <w:r>
        <w:rPr>
          <w:rFonts w:hint="eastAsia" w:ascii="仿宋" w:hAnsi="仿宋" w:eastAsia="仿宋"/>
          <w:sz w:val="24"/>
          <w:highlight w:val="none"/>
          <w:lang w:val="en-US" w:eastAsia="zh-CN"/>
        </w:rPr>
        <w:t>T</w:t>
      </w:r>
      <w:r>
        <w:rPr>
          <w:rFonts w:hint="eastAsia" w:ascii="仿宋" w:hAnsi="仿宋" w:eastAsia="仿宋"/>
          <w:sz w:val="24"/>
          <w:highlight w:val="none"/>
        </w:rPr>
        <w:t>MM</w:t>
      </w:r>
      <w:r>
        <w:rPr>
          <w:rFonts w:hint="eastAsia" w:ascii="仿宋" w:hAnsi="仿宋" w:eastAsia="仿宋"/>
          <w:sz w:val="24"/>
          <w:highlight w:val="none"/>
          <w:lang w:val="en-US" w:eastAsia="zh-CN"/>
        </w:rPr>
        <w:t>）三</w:t>
      </w:r>
      <w:r>
        <w:rPr>
          <w:rFonts w:hint="eastAsia" w:ascii="仿宋" w:hAnsi="仿宋" w:eastAsia="仿宋"/>
          <w:sz w:val="24"/>
          <w:highlight w:val="none"/>
        </w:rPr>
        <w:t>级评估及相关咨询服务。</w:t>
      </w:r>
    </w:p>
    <w:p w14:paraId="30407316">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2）乙方制定合理的评估内容，能够覆盖甲方的业务范围。</w:t>
      </w:r>
    </w:p>
    <w:p w14:paraId="6C5722C2">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3）乙方为甲方建立规范的</w:t>
      </w:r>
      <w:r>
        <w:rPr>
          <w:rFonts w:hint="eastAsia" w:ascii="仿宋" w:hAnsi="仿宋" w:eastAsia="仿宋"/>
          <w:sz w:val="24"/>
          <w:highlight w:val="none"/>
          <w:lang w:val="en-US" w:eastAsia="zh-CN"/>
        </w:rPr>
        <w:t>数字化转型成熟度（</w:t>
      </w:r>
      <w:r>
        <w:rPr>
          <w:rFonts w:hint="eastAsia" w:ascii="仿宋" w:hAnsi="仿宋" w:eastAsia="仿宋"/>
          <w:sz w:val="24"/>
          <w:highlight w:val="none"/>
        </w:rPr>
        <w:t>D</w:t>
      </w:r>
      <w:r>
        <w:rPr>
          <w:rFonts w:hint="eastAsia" w:ascii="仿宋" w:hAnsi="仿宋" w:eastAsia="仿宋"/>
          <w:sz w:val="24"/>
          <w:highlight w:val="none"/>
          <w:lang w:val="en-US" w:eastAsia="zh-CN"/>
        </w:rPr>
        <w:t>T</w:t>
      </w:r>
      <w:r>
        <w:rPr>
          <w:rFonts w:hint="eastAsia" w:ascii="仿宋" w:hAnsi="仿宋" w:eastAsia="仿宋"/>
          <w:sz w:val="24"/>
          <w:highlight w:val="none"/>
        </w:rPr>
        <w:t>MM</w:t>
      </w:r>
      <w:r>
        <w:rPr>
          <w:rFonts w:hint="eastAsia" w:ascii="仿宋" w:hAnsi="仿宋" w:eastAsia="仿宋"/>
          <w:sz w:val="24"/>
          <w:highlight w:val="none"/>
          <w:lang w:val="en-US" w:eastAsia="zh-CN"/>
        </w:rPr>
        <w:t>）三</w:t>
      </w:r>
      <w:r>
        <w:rPr>
          <w:rFonts w:hint="eastAsia" w:ascii="仿宋" w:hAnsi="仿宋" w:eastAsia="仿宋"/>
          <w:sz w:val="24"/>
          <w:highlight w:val="none"/>
        </w:rPr>
        <w:t>级评估流程。</w:t>
      </w:r>
    </w:p>
    <w:p w14:paraId="7311C88E">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4）乙方向甲方提供可量化的评估结果，能反映每项评估内容的结果以及整体得分和等级。</w:t>
      </w:r>
    </w:p>
    <w:p w14:paraId="594C456D">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5）建立完备的服务团队保障</w:t>
      </w:r>
      <w:r>
        <w:rPr>
          <w:rFonts w:hint="eastAsia" w:ascii="仿宋" w:hAnsi="仿宋" w:eastAsia="仿宋"/>
          <w:sz w:val="24"/>
          <w:highlight w:val="none"/>
          <w:lang w:val="en-US" w:eastAsia="zh-CN"/>
        </w:rPr>
        <w:t>数字化转型成熟度（</w:t>
      </w:r>
      <w:r>
        <w:rPr>
          <w:rFonts w:hint="eastAsia" w:ascii="仿宋" w:hAnsi="仿宋" w:eastAsia="仿宋"/>
          <w:sz w:val="24"/>
          <w:highlight w:val="none"/>
        </w:rPr>
        <w:t>D</w:t>
      </w:r>
      <w:r>
        <w:rPr>
          <w:rFonts w:hint="eastAsia" w:ascii="仿宋" w:hAnsi="仿宋" w:eastAsia="仿宋"/>
          <w:sz w:val="24"/>
          <w:highlight w:val="none"/>
          <w:lang w:val="en-US" w:eastAsia="zh-CN"/>
        </w:rPr>
        <w:t>T</w:t>
      </w:r>
      <w:r>
        <w:rPr>
          <w:rFonts w:hint="eastAsia" w:ascii="仿宋" w:hAnsi="仿宋" w:eastAsia="仿宋"/>
          <w:sz w:val="24"/>
          <w:highlight w:val="none"/>
        </w:rPr>
        <w:t>MM</w:t>
      </w:r>
      <w:r>
        <w:rPr>
          <w:rFonts w:hint="eastAsia" w:ascii="仿宋" w:hAnsi="仿宋" w:eastAsia="仿宋"/>
          <w:sz w:val="24"/>
          <w:highlight w:val="none"/>
          <w:lang w:val="en-US" w:eastAsia="zh-CN"/>
        </w:rPr>
        <w:t>）三</w:t>
      </w:r>
      <w:r>
        <w:rPr>
          <w:rFonts w:hint="eastAsia" w:ascii="仿宋" w:hAnsi="仿宋" w:eastAsia="仿宋"/>
          <w:sz w:val="24"/>
          <w:highlight w:val="none"/>
        </w:rPr>
        <w:t>级评估工作的顺利开展。</w:t>
      </w:r>
    </w:p>
    <w:p w14:paraId="25EB0C8D">
      <w:pPr>
        <w:tabs>
          <w:tab w:val="left" w:pos="757"/>
        </w:tabs>
        <w:spacing w:line="360" w:lineRule="auto"/>
        <w:ind w:firstLine="480" w:firstLineChars="200"/>
        <w:jc w:val="both"/>
        <w:rPr>
          <w:rFonts w:hint="eastAsia" w:ascii="仿宋" w:hAnsi="仿宋" w:eastAsia="仿宋"/>
          <w:sz w:val="24"/>
          <w:highlight w:val="none"/>
          <w:lang w:eastAsia="zh-CN"/>
        </w:rPr>
      </w:pPr>
      <w:r>
        <w:rPr>
          <w:rFonts w:hint="eastAsia" w:ascii="仿宋" w:hAnsi="仿宋" w:eastAsia="仿宋"/>
          <w:sz w:val="24"/>
          <w:highlight w:val="none"/>
          <w:lang w:eastAsia="zh-CN"/>
        </w:rPr>
        <w:t>具体服务内容、交付成果物以及节点如下：</w:t>
      </w:r>
    </w:p>
    <w:p w14:paraId="3FD0626B">
      <w:pPr>
        <w:pStyle w:val="2"/>
        <w:rPr>
          <w:rFonts w:hint="eastAsia" w:ascii="仿宋" w:hAnsi="仿宋" w:eastAsia="仿宋"/>
          <w:sz w:val="24"/>
          <w:highlight w:val="none"/>
          <w:lang w:eastAsia="zh-CN"/>
        </w:rPr>
      </w:pPr>
    </w:p>
    <w:p w14:paraId="7377F7F5">
      <w:pPr>
        <w:pStyle w:val="5"/>
        <w:rPr>
          <w:rFonts w:hint="eastAsia"/>
          <w:lang w:eastAsia="zh-CN"/>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1"/>
        <w:gridCol w:w="2554"/>
        <w:gridCol w:w="2052"/>
        <w:gridCol w:w="2052"/>
      </w:tblGrid>
      <w:tr w14:paraId="7B1B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vAlign w:val="center"/>
          </w:tcPr>
          <w:p w14:paraId="69FCC855">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项目阶段</w:t>
            </w:r>
          </w:p>
        </w:tc>
        <w:tc>
          <w:tcPr>
            <w:tcW w:w="2554" w:type="dxa"/>
            <w:vAlign w:val="center"/>
          </w:tcPr>
          <w:p w14:paraId="5CB8486E">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工作内容</w:t>
            </w:r>
          </w:p>
        </w:tc>
        <w:tc>
          <w:tcPr>
            <w:tcW w:w="2052" w:type="dxa"/>
            <w:vAlign w:val="center"/>
          </w:tcPr>
          <w:p w14:paraId="5F3DFE2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交付物</w:t>
            </w:r>
          </w:p>
        </w:tc>
        <w:tc>
          <w:tcPr>
            <w:tcW w:w="2052" w:type="dxa"/>
            <w:vAlign w:val="center"/>
          </w:tcPr>
          <w:p w14:paraId="02E16E4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交付时间</w:t>
            </w:r>
          </w:p>
        </w:tc>
      </w:tr>
      <w:tr w14:paraId="549A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vAlign w:val="center"/>
          </w:tcPr>
          <w:p w14:paraId="1423CD0B">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项目调研及诊断</w:t>
            </w:r>
          </w:p>
        </w:tc>
        <w:tc>
          <w:tcPr>
            <w:tcW w:w="2554" w:type="dxa"/>
            <w:vAlign w:val="center"/>
          </w:tcPr>
          <w:p w14:paraId="0CDDBC8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项目启动会</w:t>
            </w:r>
          </w:p>
          <w:p w14:paraId="1013A8D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确定专职人员</w:t>
            </w:r>
          </w:p>
          <w:p w14:paraId="2A93E87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现场调研</w:t>
            </w:r>
          </w:p>
          <w:p w14:paraId="3B9CE41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开展自诊断工作</w:t>
            </w:r>
          </w:p>
        </w:tc>
        <w:tc>
          <w:tcPr>
            <w:tcW w:w="2052" w:type="dxa"/>
            <w:vAlign w:val="center"/>
          </w:tcPr>
          <w:p w14:paraId="1D7B842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启动PPT</w:t>
            </w:r>
          </w:p>
          <w:p w14:paraId="1D8393C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DTMM调研计划</w:t>
            </w:r>
          </w:p>
          <w:p w14:paraId="26A56D5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自诊断报告</w:t>
            </w:r>
          </w:p>
        </w:tc>
        <w:tc>
          <w:tcPr>
            <w:tcW w:w="2052" w:type="dxa"/>
            <w:vAlign w:val="center"/>
          </w:tcPr>
          <w:p w14:paraId="1303957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2025年6月20日</w:t>
            </w:r>
          </w:p>
        </w:tc>
      </w:tr>
      <w:tr w14:paraId="4CE2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vAlign w:val="center"/>
          </w:tcPr>
          <w:p w14:paraId="206E75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资料准备及线上预评估</w:t>
            </w:r>
          </w:p>
        </w:tc>
        <w:tc>
          <w:tcPr>
            <w:tcW w:w="2554" w:type="dxa"/>
            <w:vAlign w:val="center"/>
          </w:tcPr>
          <w:p w14:paraId="6669C97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开展预评估：</w:t>
            </w:r>
            <w:r>
              <w:rPr>
                <w:rFonts w:hint="eastAsia" w:ascii="仿宋_GB2312" w:hAnsi="仿宋_GB2312" w:eastAsia="仿宋_GB2312" w:cs="仿宋_GB2312"/>
                <w:color w:val="444444"/>
                <w:spacing w:val="0"/>
                <w:position w:val="0"/>
                <w:sz w:val="22"/>
                <w:szCs w:val="22"/>
                <w:lang w:val="en-US" w:eastAsia="zh-CN"/>
              </w:rPr>
              <w:br w:type="textWrapping"/>
            </w:r>
            <w:r>
              <w:rPr>
                <w:rFonts w:hint="eastAsia" w:ascii="仿宋_GB2312" w:hAnsi="仿宋_GB2312" w:eastAsia="仿宋_GB2312" w:cs="仿宋_GB2312"/>
                <w:color w:val="444444"/>
                <w:spacing w:val="0"/>
                <w:position w:val="0"/>
                <w:sz w:val="22"/>
                <w:szCs w:val="22"/>
                <w:lang w:val="en-US" w:eastAsia="zh-CN"/>
              </w:rPr>
              <w:t>确定评估范围与权重</w:t>
            </w:r>
          </w:p>
          <w:p w14:paraId="302B125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重点环节识别</w:t>
            </w:r>
          </w:p>
          <w:p w14:paraId="6E639C9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文件审查</w:t>
            </w:r>
          </w:p>
          <w:p w14:paraId="256BAAA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信息系统查验</w:t>
            </w:r>
          </w:p>
          <w:p w14:paraId="1E33E8E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现场评估确认</w:t>
            </w:r>
          </w:p>
          <w:p w14:paraId="2FEFD24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给出预评估结论</w:t>
            </w:r>
            <w:r>
              <w:rPr>
                <w:rFonts w:hint="eastAsia" w:ascii="仿宋_GB2312" w:hAnsi="仿宋_GB2312" w:eastAsia="仿宋_GB2312" w:cs="仿宋_GB2312"/>
                <w:color w:val="444444"/>
                <w:spacing w:val="0"/>
                <w:position w:val="0"/>
                <w:sz w:val="22"/>
                <w:szCs w:val="22"/>
                <w:lang w:val="en-US" w:eastAsia="zh-CN"/>
              </w:rPr>
              <w:br w:type="textWrapping"/>
            </w:r>
            <w:r>
              <w:rPr>
                <w:rFonts w:hint="eastAsia" w:ascii="仿宋_GB2312" w:hAnsi="仿宋_GB2312" w:eastAsia="仿宋_GB2312" w:cs="仿宋_GB2312"/>
                <w:color w:val="444444"/>
                <w:spacing w:val="0"/>
                <w:position w:val="0"/>
                <w:sz w:val="22"/>
                <w:szCs w:val="22"/>
                <w:lang w:val="en-US" w:eastAsia="zh-CN"/>
              </w:rPr>
              <w:t>预评估问题关闭验证</w:t>
            </w:r>
          </w:p>
        </w:tc>
        <w:tc>
          <w:tcPr>
            <w:tcW w:w="2052" w:type="dxa"/>
            <w:vAlign w:val="center"/>
          </w:tcPr>
          <w:p w14:paraId="7135B5C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数字化转型成熟度评估申请表</w:t>
            </w:r>
          </w:p>
          <w:p w14:paraId="263A33B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预评估计划</w:t>
            </w:r>
          </w:p>
          <w:p w14:paraId="75C86F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预评估报告</w:t>
            </w:r>
          </w:p>
        </w:tc>
        <w:tc>
          <w:tcPr>
            <w:tcW w:w="2052" w:type="dxa"/>
            <w:vAlign w:val="center"/>
          </w:tcPr>
          <w:p w14:paraId="1D9FC77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2025年7月20日</w:t>
            </w:r>
          </w:p>
        </w:tc>
      </w:tr>
      <w:tr w14:paraId="4C6A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vAlign w:val="center"/>
          </w:tcPr>
          <w:p w14:paraId="40423A8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正式评估</w:t>
            </w:r>
          </w:p>
        </w:tc>
        <w:tc>
          <w:tcPr>
            <w:tcW w:w="2554" w:type="dxa"/>
            <w:vAlign w:val="center"/>
          </w:tcPr>
          <w:p w14:paraId="5AB27DC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正式评估：</w:t>
            </w:r>
            <w:r>
              <w:rPr>
                <w:rFonts w:hint="eastAsia" w:ascii="仿宋_GB2312" w:hAnsi="仿宋_GB2312" w:eastAsia="仿宋_GB2312" w:cs="仿宋_GB2312"/>
                <w:color w:val="444444"/>
                <w:spacing w:val="0"/>
                <w:position w:val="0"/>
                <w:sz w:val="22"/>
                <w:szCs w:val="22"/>
                <w:lang w:val="en-US" w:eastAsia="zh-CN"/>
              </w:rPr>
              <w:br w:type="textWrapping"/>
            </w:r>
            <w:r>
              <w:rPr>
                <w:rFonts w:hint="eastAsia" w:ascii="仿宋_GB2312" w:hAnsi="仿宋_GB2312" w:eastAsia="仿宋_GB2312" w:cs="仿宋_GB2312"/>
                <w:color w:val="444444"/>
                <w:spacing w:val="0"/>
                <w:position w:val="0"/>
                <w:sz w:val="22"/>
                <w:szCs w:val="22"/>
                <w:lang w:val="en-US" w:eastAsia="zh-CN"/>
              </w:rPr>
              <w:t>采集评估证据</w:t>
            </w:r>
          </w:p>
          <w:p w14:paraId="34CD214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形成评估发现</w:t>
            </w:r>
          </w:p>
          <w:p w14:paraId="3D43D76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识别评估弱项</w:t>
            </w:r>
          </w:p>
          <w:p w14:paraId="5A9441D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成熟度等级判定</w:t>
            </w:r>
          </w:p>
          <w:p w14:paraId="4EB864A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形成评估报告</w:t>
            </w:r>
          </w:p>
        </w:tc>
        <w:tc>
          <w:tcPr>
            <w:tcW w:w="2052" w:type="dxa"/>
            <w:vAlign w:val="center"/>
          </w:tcPr>
          <w:p w14:paraId="4B2E8F8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评估计划</w:t>
            </w:r>
          </w:p>
          <w:p w14:paraId="1BB4039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评估报告</w:t>
            </w:r>
          </w:p>
        </w:tc>
        <w:tc>
          <w:tcPr>
            <w:tcW w:w="2052" w:type="dxa"/>
            <w:vAlign w:val="center"/>
          </w:tcPr>
          <w:p w14:paraId="0F82092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2025年9月20日</w:t>
            </w:r>
          </w:p>
        </w:tc>
      </w:tr>
      <w:tr w14:paraId="136C9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vAlign w:val="center"/>
          </w:tcPr>
          <w:p w14:paraId="5A35143D">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弱项整改</w:t>
            </w:r>
          </w:p>
        </w:tc>
        <w:tc>
          <w:tcPr>
            <w:tcW w:w="2554" w:type="dxa"/>
            <w:vAlign w:val="center"/>
          </w:tcPr>
          <w:p w14:paraId="177194E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企业提交弱项整改措施</w:t>
            </w:r>
            <w:r>
              <w:rPr>
                <w:rFonts w:hint="eastAsia" w:ascii="仿宋_GB2312" w:hAnsi="仿宋_GB2312" w:eastAsia="仿宋_GB2312" w:cs="仿宋_GB2312"/>
                <w:color w:val="444444"/>
                <w:spacing w:val="0"/>
                <w:position w:val="0"/>
                <w:sz w:val="22"/>
                <w:szCs w:val="22"/>
                <w:lang w:val="en-US" w:eastAsia="zh-CN"/>
              </w:rPr>
              <w:br w:type="textWrapping"/>
            </w:r>
            <w:r>
              <w:rPr>
                <w:rFonts w:hint="eastAsia" w:ascii="仿宋_GB2312" w:hAnsi="仿宋_GB2312" w:eastAsia="仿宋_GB2312" w:cs="仿宋_GB2312"/>
                <w:color w:val="444444"/>
                <w:spacing w:val="0"/>
                <w:position w:val="0"/>
                <w:sz w:val="22"/>
                <w:szCs w:val="22"/>
                <w:lang w:val="en-US" w:eastAsia="zh-CN"/>
              </w:rPr>
              <w:t>评估组验证弱项整改措施</w:t>
            </w:r>
          </w:p>
        </w:tc>
        <w:tc>
          <w:tcPr>
            <w:tcW w:w="2052" w:type="dxa"/>
            <w:vAlign w:val="center"/>
          </w:tcPr>
          <w:p w14:paraId="2C05415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弱项整改报告</w:t>
            </w:r>
          </w:p>
        </w:tc>
        <w:tc>
          <w:tcPr>
            <w:tcW w:w="2052" w:type="dxa"/>
            <w:vAlign w:val="center"/>
          </w:tcPr>
          <w:p w14:paraId="6C582C8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2025年10月20日</w:t>
            </w:r>
          </w:p>
        </w:tc>
      </w:tr>
      <w:tr w14:paraId="4CFF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vAlign w:val="center"/>
          </w:tcPr>
          <w:p w14:paraId="2778EC64">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专家复核</w:t>
            </w:r>
          </w:p>
        </w:tc>
        <w:tc>
          <w:tcPr>
            <w:tcW w:w="2554" w:type="dxa"/>
            <w:vAlign w:val="center"/>
          </w:tcPr>
          <w:p w14:paraId="3FB26DF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专家委员会对项目评估资料进行复核</w:t>
            </w:r>
          </w:p>
          <w:p w14:paraId="0A43454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作出专家结论</w:t>
            </w:r>
          </w:p>
        </w:tc>
        <w:tc>
          <w:tcPr>
            <w:tcW w:w="2052" w:type="dxa"/>
            <w:vAlign w:val="center"/>
          </w:tcPr>
          <w:p w14:paraId="3162645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跟踪复核结果与公示</w:t>
            </w:r>
          </w:p>
        </w:tc>
        <w:tc>
          <w:tcPr>
            <w:tcW w:w="2052" w:type="dxa"/>
            <w:vAlign w:val="center"/>
          </w:tcPr>
          <w:p w14:paraId="38D2179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2025年10月30日</w:t>
            </w:r>
          </w:p>
        </w:tc>
      </w:tr>
      <w:tr w14:paraId="0EEE1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vAlign w:val="center"/>
          </w:tcPr>
          <w:p w14:paraId="374E4B33">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获取证书</w:t>
            </w:r>
          </w:p>
        </w:tc>
        <w:tc>
          <w:tcPr>
            <w:tcW w:w="2554" w:type="dxa"/>
            <w:vAlign w:val="center"/>
          </w:tcPr>
          <w:p w14:paraId="737EDFE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跟进评估结果，支撑企业获取认证证书</w:t>
            </w:r>
          </w:p>
        </w:tc>
        <w:tc>
          <w:tcPr>
            <w:tcW w:w="2052" w:type="dxa"/>
            <w:vAlign w:val="center"/>
          </w:tcPr>
          <w:p w14:paraId="65F1B39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DTMM三级证书</w:t>
            </w:r>
          </w:p>
        </w:tc>
        <w:tc>
          <w:tcPr>
            <w:tcW w:w="2052" w:type="dxa"/>
            <w:vAlign w:val="center"/>
          </w:tcPr>
          <w:p w14:paraId="2F666D7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2025年12月31日前</w:t>
            </w:r>
          </w:p>
        </w:tc>
      </w:tr>
    </w:tbl>
    <w:p w14:paraId="419913AB">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Times New Roman"/>
          <w:b/>
          <w:bCs/>
          <w:sz w:val="24"/>
          <w:highlight w:val="none"/>
        </w:rPr>
      </w:pPr>
      <w:r>
        <w:rPr>
          <w:rFonts w:hint="eastAsia" w:ascii="仿宋" w:hAnsi="仿宋" w:eastAsia="仿宋" w:cs="Times New Roman"/>
          <w:b/>
          <w:bCs/>
          <w:sz w:val="24"/>
          <w:highlight w:val="none"/>
        </w:rPr>
        <w:t>第二条 履行期限、地点和方式</w:t>
      </w:r>
    </w:p>
    <w:p w14:paraId="3DBA7FC1">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2.1项目起止时间:本项目评估服务工作自</w:t>
      </w:r>
      <w:r>
        <w:rPr>
          <w:rFonts w:hint="eastAsia" w:ascii="仿宋" w:hAnsi="仿宋" w:eastAsia="仿宋" w:cs="Times New Roman"/>
          <w:sz w:val="24"/>
          <w:highlight w:val="none"/>
          <w:u w:val="single"/>
          <w:lang w:val="en-US" w:eastAsia="zh-CN"/>
        </w:rPr>
        <w:t>合同签订之日起</w:t>
      </w:r>
      <w:r>
        <w:rPr>
          <w:rFonts w:hint="eastAsia" w:ascii="仿宋" w:hAnsi="仿宋" w:eastAsia="仿宋" w:cs="Times New Roman"/>
          <w:sz w:val="24"/>
          <w:highlight w:val="none"/>
        </w:rPr>
        <w:t>至</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年</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月</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日，乙方应完成评估工作</w:t>
      </w:r>
      <w:r>
        <w:rPr>
          <w:rFonts w:hint="eastAsia" w:ascii="仿宋" w:hAnsi="仿宋" w:eastAsia="仿宋" w:cs="Times New Roman"/>
          <w:sz w:val="24"/>
          <w:highlight w:val="none"/>
          <w:lang w:eastAsia="zh-CN"/>
        </w:rPr>
        <w:t>并</w:t>
      </w:r>
      <w:r>
        <w:rPr>
          <w:rFonts w:hint="eastAsia" w:ascii="仿宋" w:hAnsi="仿宋" w:eastAsia="仿宋" w:cs="Times New Roman"/>
          <w:sz w:val="24"/>
          <w:highlight w:val="none"/>
        </w:rPr>
        <w:t>提交最终工作成果</w:t>
      </w:r>
      <w:r>
        <w:rPr>
          <w:rFonts w:hint="eastAsia" w:ascii="仿宋" w:hAnsi="仿宋" w:eastAsia="仿宋" w:cs="Times New Roman"/>
          <w:sz w:val="24"/>
          <w:highlight w:val="none"/>
          <w:lang w:eastAsia="zh-CN"/>
        </w:rPr>
        <w:t>，支撑甲方取得本合同约定证书</w:t>
      </w:r>
      <w:r>
        <w:rPr>
          <w:rFonts w:hint="eastAsia" w:ascii="仿宋" w:hAnsi="仿宋" w:eastAsia="仿宋" w:cs="Times New Roman"/>
          <w:sz w:val="24"/>
          <w:highlight w:val="none"/>
        </w:rPr>
        <w:t>。</w:t>
      </w:r>
    </w:p>
    <w:p w14:paraId="2E1DD36C">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2.2项目进度安排：乙方</w:t>
      </w:r>
      <w:r>
        <w:rPr>
          <w:rFonts w:hint="eastAsia" w:ascii="仿宋" w:hAnsi="仿宋" w:eastAsia="仿宋" w:cs="Times New Roman"/>
          <w:sz w:val="24"/>
          <w:highlight w:val="none"/>
          <w:lang w:eastAsia="zh-CN"/>
        </w:rPr>
        <w:t>按本合同约定节点</w:t>
      </w:r>
      <w:r>
        <w:rPr>
          <w:rFonts w:hint="eastAsia" w:ascii="仿宋" w:hAnsi="仿宋" w:eastAsia="仿宋" w:cs="Times New Roman"/>
          <w:sz w:val="24"/>
          <w:highlight w:val="none"/>
        </w:rPr>
        <w:t>制定合理的项目实施计划，开展评估工作并提交相应的成果。</w:t>
      </w:r>
    </w:p>
    <w:p w14:paraId="30F34B5C">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2.3项目履行方式：由甲方提供合同要求协作事项的条件。由乙方向甲方提供</w:t>
      </w:r>
      <w:r>
        <w:rPr>
          <w:rFonts w:hint="eastAsia" w:ascii="仿宋" w:hAnsi="仿宋" w:eastAsia="仿宋"/>
          <w:sz w:val="24"/>
          <w:highlight w:val="none"/>
          <w:lang w:val="en-US" w:eastAsia="zh-CN"/>
        </w:rPr>
        <w:t>数字化转型成熟度（</w:t>
      </w:r>
      <w:r>
        <w:rPr>
          <w:rFonts w:hint="eastAsia" w:ascii="仿宋" w:hAnsi="仿宋" w:eastAsia="仿宋"/>
          <w:sz w:val="24"/>
          <w:highlight w:val="none"/>
        </w:rPr>
        <w:t>D</w:t>
      </w:r>
      <w:r>
        <w:rPr>
          <w:rFonts w:hint="eastAsia" w:ascii="仿宋" w:hAnsi="仿宋" w:eastAsia="仿宋"/>
          <w:sz w:val="24"/>
          <w:highlight w:val="none"/>
          <w:lang w:val="en-US" w:eastAsia="zh-CN"/>
        </w:rPr>
        <w:t>T</w:t>
      </w:r>
      <w:r>
        <w:rPr>
          <w:rFonts w:hint="eastAsia" w:ascii="仿宋" w:hAnsi="仿宋" w:eastAsia="仿宋"/>
          <w:sz w:val="24"/>
          <w:highlight w:val="none"/>
        </w:rPr>
        <w:t>MM</w:t>
      </w:r>
      <w:r>
        <w:rPr>
          <w:rFonts w:hint="eastAsia" w:ascii="仿宋" w:hAnsi="仿宋" w:eastAsia="仿宋"/>
          <w:sz w:val="24"/>
          <w:highlight w:val="none"/>
          <w:lang w:val="en-US" w:eastAsia="zh-CN"/>
        </w:rPr>
        <w:t>）三</w:t>
      </w:r>
      <w:r>
        <w:rPr>
          <w:rFonts w:hint="eastAsia" w:ascii="仿宋" w:hAnsi="仿宋" w:eastAsia="仿宋"/>
          <w:sz w:val="24"/>
          <w:highlight w:val="none"/>
        </w:rPr>
        <w:t>级</w:t>
      </w:r>
      <w:r>
        <w:rPr>
          <w:rFonts w:hint="eastAsia" w:ascii="仿宋" w:hAnsi="仿宋" w:eastAsia="仿宋" w:cs="Times New Roman"/>
          <w:sz w:val="24"/>
          <w:highlight w:val="none"/>
        </w:rPr>
        <w:t>评估服务，内容包括本合同第一条款所列要求。</w:t>
      </w:r>
    </w:p>
    <w:p w14:paraId="57943C88">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2.4项目履行地点：</w:t>
      </w:r>
      <w:r>
        <w:rPr>
          <w:rFonts w:hint="eastAsia" w:ascii="仿宋" w:hAnsi="仿宋" w:eastAsia="仿宋" w:cs="Times New Roman"/>
          <w:sz w:val="24"/>
          <w:highlight w:val="none"/>
          <w:lang w:val="en-US" w:eastAsia="zh-CN"/>
        </w:rPr>
        <w:t>xxxx。</w:t>
      </w:r>
    </w:p>
    <w:p w14:paraId="0917D1C0">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2.5项目联系人：为执行本项目，</w:t>
      </w:r>
      <w:r>
        <w:rPr>
          <w:rFonts w:hint="eastAsia" w:ascii="仿宋" w:hAnsi="仿宋" w:eastAsia="仿宋" w:cs="Times New Roman"/>
          <w:sz w:val="24"/>
          <w:highlight w:val="none"/>
          <w:lang w:val="en-US" w:eastAsia="zh-CN"/>
        </w:rPr>
        <w:t>甲</w:t>
      </w:r>
      <w:r>
        <w:rPr>
          <w:rFonts w:hint="eastAsia" w:ascii="仿宋" w:hAnsi="仿宋" w:eastAsia="仿宋" w:cs="Times New Roman"/>
          <w:sz w:val="24"/>
          <w:highlight w:val="none"/>
        </w:rPr>
        <w:t>方指定</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为项目</w:t>
      </w:r>
      <w:r>
        <w:rPr>
          <w:rFonts w:hint="eastAsia" w:ascii="仿宋" w:hAnsi="仿宋" w:eastAsia="仿宋" w:cs="Times New Roman"/>
          <w:sz w:val="24"/>
          <w:highlight w:val="none"/>
          <w:lang w:eastAsia="zh-CN"/>
        </w:rPr>
        <w:t>负责人</w:t>
      </w:r>
      <w:r>
        <w:rPr>
          <w:rFonts w:hint="eastAsia" w:ascii="仿宋" w:hAnsi="仿宋" w:eastAsia="仿宋" w:cs="Times New Roman"/>
          <w:sz w:val="24"/>
          <w:highlight w:val="none"/>
        </w:rPr>
        <w:t>，</w:t>
      </w:r>
      <w:r>
        <w:rPr>
          <w:rFonts w:hint="eastAsia" w:ascii="仿宋" w:hAnsi="仿宋" w:eastAsia="仿宋" w:cs="Times New Roman"/>
          <w:sz w:val="24"/>
          <w:highlight w:val="none"/>
          <w:lang w:val="en-US" w:eastAsia="zh-CN"/>
        </w:rPr>
        <w:t>乙</w:t>
      </w:r>
      <w:r>
        <w:rPr>
          <w:rFonts w:hint="eastAsia" w:ascii="仿宋" w:hAnsi="仿宋" w:eastAsia="仿宋" w:cs="Times New Roman"/>
          <w:sz w:val="24"/>
          <w:highlight w:val="none"/>
        </w:rPr>
        <w:t>方指定</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lang w:val="en-US" w:eastAsia="zh-CN"/>
        </w:rPr>
        <w:t>为</w:t>
      </w:r>
      <w:r>
        <w:rPr>
          <w:rFonts w:hint="eastAsia" w:ascii="仿宋" w:hAnsi="仿宋" w:eastAsia="仿宋" w:cs="Times New Roman"/>
          <w:sz w:val="24"/>
          <w:highlight w:val="none"/>
        </w:rPr>
        <w:t>项目</w:t>
      </w:r>
      <w:r>
        <w:rPr>
          <w:rFonts w:hint="eastAsia" w:ascii="仿宋" w:hAnsi="仿宋" w:eastAsia="仿宋" w:cs="Times New Roman"/>
          <w:sz w:val="24"/>
          <w:highlight w:val="none"/>
          <w:lang w:eastAsia="zh-CN"/>
        </w:rPr>
        <w:t>负责人</w:t>
      </w:r>
      <w:r>
        <w:rPr>
          <w:rFonts w:hint="eastAsia" w:ascii="仿宋" w:hAnsi="仿宋" w:eastAsia="仿宋" w:cs="Times New Roman"/>
          <w:sz w:val="24"/>
          <w:highlight w:val="none"/>
        </w:rPr>
        <w:t>，甲乙双方应将上述人员及联系方式在本合同签署时书面通知对方。</w:t>
      </w:r>
    </w:p>
    <w:p w14:paraId="2677DBFD">
      <w:pPr>
        <w:tabs>
          <w:tab w:val="left" w:pos="757"/>
        </w:tabs>
        <w:spacing w:line="360" w:lineRule="auto"/>
        <w:ind w:firstLine="482" w:firstLineChars="200"/>
        <w:jc w:val="both"/>
        <w:rPr>
          <w:rFonts w:hint="eastAsia" w:ascii="仿宋" w:hAnsi="仿宋" w:eastAsia="仿宋" w:cs="Times New Roman"/>
          <w:b/>
          <w:bCs/>
          <w:sz w:val="24"/>
          <w:highlight w:val="none"/>
        </w:rPr>
      </w:pPr>
      <w:r>
        <w:rPr>
          <w:rFonts w:hint="eastAsia" w:ascii="仿宋" w:hAnsi="仿宋" w:eastAsia="仿宋" w:cs="Times New Roman"/>
          <w:b/>
          <w:bCs/>
          <w:sz w:val="24"/>
          <w:highlight w:val="none"/>
        </w:rPr>
        <w:t>第三条 合同金额和支付方式</w:t>
      </w:r>
    </w:p>
    <w:p w14:paraId="27D3D5E1">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3.1评估委托合同的</w:t>
      </w:r>
      <w:r>
        <w:rPr>
          <w:rFonts w:hint="eastAsia" w:ascii="仿宋" w:hAnsi="仿宋" w:eastAsia="仿宋" w:cs="Times New Roman"/>
          <w:sz w:val="24"/>
          <w:highlight w:val="none"/>
          <w:lang w:eastAsia="zh-CN"/>
        </w:rPr>
        <w:t>服务费含税</w:t>
      </w:r>
      <w:r>
        <w:rPr>
          <w:rFonts w:hint="eastAsia" w:ascii="仿宋" w:hAnsi="仿宋" w:eastAsia="仿宋" w:cs="Times New Roman"/>
          <w:sz w:val="24"/>
          <w:highlight w:val="none"/>
        </w:rPr>
        <w:t>总额为 ￥</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元（大写人民币：</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w:t>
      </w:r>
      <w:r>
        <w:rPr>
          <w:rFonts w:hint="eastAsia" w:ascii="仿宋" w:hAnsi="仿宋" w:eastAsia="仿宋" w:cs="Times New Roman"/>
          <w:sz w:val="24"/>
          <w:highlight w:val="none"/>
          <w:lang w:eastAsia="zh-CN"/>
        </w:rPr>
        <w:t>，税率为</w:t>
      </w:r>
      <w:r>
        <w:rPr>
          <w:rFonts w:hint="eastAsia" w:ascii="仿宋" w:hAnsi="仿宋" w:eastAsia="仿宋" w:cs="Times New Roman"/>
          <w:sz w:val="24"/>
          <w:highlight w:val="none"/>
          <w:u w:val="single"/>
          <w:lang w:val="en-US" w:eastAsia="zh-CN"/>
        </w:rPr>
        <w:t>6</w:t>
      </w:r>
      <w:r>
        <w:rPr>
          <w:rFonts w:hint="eastAsia" w:ascii="仿宋" w:hAnsi="仿宋" w:eastAsia="仿宋" w:cs="Times New Roman"/>
          <w:sz w:val="24"/>
          <w:highlight w:val="none"/>
          <w:lang w:val="en-US" w:eastAsia="zh-CN"/>
        </w:rPr>
        <w:t>%，不含税金额为</w:t>
      </w:r>
      <w:r>
        <w:rPr>
          <w:rFonts w:hint="eastAsia" w:ascii="仿宋" w:hAnsi="仿宋" w:eastAsia="仿宋" w:cs="Times New Roman"/>
          <w:sz w:val="24"/>
          <w:highlight w:val="none"/>
        </w:rPr>
        <w:t>￥</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元</w:t>
      </w:r>
      <w:r>
        <w:rPr>
          <w:rFonts w:hint="eastAsia" w:ascii="仿宋" w:hAnsi="仿宋" w:eastAsia="仿宋" w:cs="Times New Roman"/>
          <w:sz w:val="24"/>
          <w:highlight w:val="none"/>
          <w:lang w:eastAsia="zh-CN"/>
        </w:rPr>
        <w:t>（大写人民币：</w:t>
      </w:r>
      <w:r>
        <w:rPr>
          <w:rFonts w:hint="eastAsia" w:ascii="仿宋" w:hAnsi="仿宋" w:eastAsia="仿宋" w:cs="Times New Roman"/>
          <w:sz w:val="24"/>
          <w:highlight w:val="none"/>
          <w:lang w:val="en-US" w:eastAsia="zh-CN"/>
        </w:rPr>
        <w:t xml:space="preserve">   </w:t>
      </w:r>
      <w:r>
        <w:rPr>
          <w:rFonts w:hint="eastAsia" w:ascii="仿宋" w:hAnsi="仿宋" w:eastAsia="仿宋" w:cs="Times New Roman"/>
          <w:sz w:val="24"/>
          <w:highlight w:val="none"/>
          <w:lang w:eastAsia="zh-CN"/>
        </w:rPr>
        <w:t>）</w:t>
      </w:r>
      <w:r>
        <w:rPr>
          <w:rFonts w:hint="eastAsia" w:ascii="仿宋" w:hAnsi="仿宋" w:eastAsia="仿宋" w:cs="Times New Roman"/>
          <w:sz w:val="24"/>
          <w:highlight w:val="none"/>
        </w:rPr>
        <w:t>。</w:t>
      </w:r>
    </w:p>
    <w:p w14:paraId="58E1620E">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3.2此次委托</w:t>
      </w:r>
      <w:r>
        <w:rPr>
          <w:rFonts w:hint="eastAsia" w:ascii="仿宋" w:hAnsi="仿宋" w:eastAsia="仿宋" w:cs="Times New Roman"/>
          <w:sz w:val="24"/>
          <w:highlight w:val="none"/>
          <w:lang w:val="en-US" w:eastAsia="zh-CN"/>
        </w:rPr>
        <w:t>咨询、</w:t>
      </w:r>
      <w:r>
        <w:rPr>
          <w:rFonts w:hint="eastAsia" w:ascii="仿宋" w:hAnsi="仿宋" w:eastAsia="仿宋" w:cs="Times New Roman"/>
          <w:sz w:val="24"/>
          <w:highlight w:val="none"/>
        </w:rPr>
        <w:t>评估，乙方派出</w:t>
      </w:r>
      <w:r>
        <w:rPr>
          <w:rFonts w:hint="eastAsia" w:ascii="仿宋" w:hAnsi="仿宋" w:eastAsia="仿宋" w:cs="Times New Roman"/>
          <w:sz w:val="24"/>
          <w:highlight w:val="none"/>
          <w:lang w:eastAsia="zh-CN"/>
        </w:rPr>
        <w:t>咨询</w:t>
      </w:r>
      <w:r>
        <w:rPr>
          <w:rFonts w:hint="eastAsia" w:ascii="仿宋" w:hAnsi="仿宋" w:eastAsia="仿宋" w:cs="Times New Roman"/>
          <w:sz w:val="24"/>
          <w:highlight w:val="none"/>
        </w:rPr>
        <w:t>评估人员的报酬、交通、食宿等费用由乙方负责。</w:t>
      </w:r>
    </w:p>
    <w:p w14:paraId="4817BDA3">
      <w:pPr>
        <w:tabs>
          <w:tab w:val="left" w:pos="757"/>
        </w:tabs>
        <w:spacing w:line="360" w:lineRule="auto"/>
        <w:ind w:firstLine="480" w:firstLineChars="200"/>
        <w:jc w:val="both"/>
        <w:rPr>
          <w:rFonts w:hint="eastAsia" w:ascii="仿宋" w:hAnsi="仿宋" w:eastAsia="仿宋" w:cs="Times New Roman"/>
          <w:sz w:val="24"/>
          <w:highlight w:val="none"/>
          <w:lang w:val="en-US" w:eastAsia="zh-CN"/>
        </w:rPr>
      </w:pPr>
      <w:r>
        <w:rPr>
          <w:rFonts w:hint="eastAsia" w:ascii="仿宋" w:hAnsi="仿宋" w:eastAsia="仿宋" w:cs="Times New Roman"/>
          <w:sz w:val="24"/>
          <w:highlight w:val="none"/>
        </w:rPr>
        <w:t>3.3 合同签署生效后</w:t>
      </w:r>
      <w:r>
        <w:rPr>
          <w:rFonts w:hint="eastAsia" w:ascii="仿宋" w:hAnsi="仿宋" w:eastAsia="仿宋" w:cs="Times New Roman"/>
          <w:sz w:val="24"/>
          <w:highlight w:val="none"/>
          <w:lang w:eastAsia="zh-CN"/>
        </w:rPr>
        <w:t>，乙方向甲方提供合同总金额</w:t>
      </w:r>
      <w:r>
        <w:rPr>
          <w:rFonts w:hint="eastAsia" w:ascii="仿宋" w:hAnsi="仿宋" w:eastAsia="仿宋" w:cs="Times New Roman"/>
          <w:sz w:val="24"/>
          <w:highlight w:val="none"/>
          <w:lang w:val="en-US" w:eastAsia="zh-CN"/>
        </w:rPr>
        <w:t>30%的增值税专用发票，甲方收到发票后15日内向乙方支付合同总金额的30%</w:t>
      </w:r>
      <w:r>
        <w:rPr>
          <w:rFonts w:hint="eastAsia" w:ascii="仿宋" w:hAnsi="仿宋" w:eastAsia="仿宋" w:cs="Times New Roman"/>
          <w:sz w:val="24"/>
          <w:highlight w:val="none"/>
          <w:lang w:eastAsia="zh-CN"/>
        </w:rPr>
        <w:t>；</w:t>
      </w:r>
      <w:r>
        <w:rPr>
          <w:rFonts w:hint="eastAsia" w:ascii="仿宋" w:hAnsi="仿宋" w:eastAsia="仿宋" w:cs="Times New Roman"/>
          <w:sz w:val="24"/>
          <w:highlight w:val="none"/>
          <w:lang w:val="en-US" w:eastAsia="zh-CN"/>
        </w:rPr>
        <w:t>乙方按本合同约定节点开展咨询、预评估、评估、复核等工作，保证甲方在2025年12月30日之前取得</w:t>
      </w:r>
      <w:r>
        <w:rPr>
          <w:rFonts w:hint="eastAsia" w:ascii="仿宋_GB2312" w:hAnsi="仿宋_GB2312" w:eastAsia="仿宋_GB2312" w:cs="仿宋_GB2312"/>
          <w:color w:val="444444"/>
          <w:spacing w:val="0"/>
          <w:position w:val="0"/>
          <w:sz w:val="22"/>
          <w:szCs w:val="22"/>
          <w:lang w:val="en-US" w:eastAsia="zh-CN"/>
        </w:rPr>
        <w:t>DTMM三级</w:t>
      </w:r>
      <w:r>
        <w:rPr>
          <w:rFonts w:hint="eastAsia" w:ascii="仿宋" w:hAnsi="仿宋" w:eastAsia="仿宋" w:cs="Times New Roman"/>
          <w:sz w:val="24"/>
          <w:highlight w:val="none"/>
          <w:lang w:val="en-US" w:eastAsia="zh-CN"/>
        </w:rPr>
        <w:t>证书,甲方取得上述证书后，乙方向甲方提供合同总金额70%的增值税专用发票，甲方收到发票后15日内向乙方支付合同总金额的70%。</w:t>
      </w:r>
    </w:p>
    <w:p w14:paraId="16DEFAE2">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若甲方未取得该证书，甲方有权按本合同约定单方解除合同，合同自解除通知书面送达之日解除，乙方应在合同解除后3-5个工作日内将已付款全额退还至甲方指定如下银行账户：</w:t>
      </w:r>
    </w:p>
    <w:p w14:paraId="6CB56681">
      <w:pPr>
        <w:tabs>
          <w:tab w:val="left" w:pos="757"/>
        </w:tabs>
        <w:spacing w:line="360" w:lineRule="auto"/>
        <w:ind w:firstLine="480" w:firstLineChars="200"/>
        <w:jc w:val="both"/>
        <w:rPr>
          <w:rFonts w:hint="eastAsia"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户    名：</w:t>
      </w:r>
    </w:p>
    <w:p w14:paraId="6DD8227C">
      <w:pPr>
        <w:tabs>
          <w:tab w:val="left" w:pos="757"/>
        </w:tabs>
        <w:spacing w:line="360" w:lineRule="auto"/>
        <w:ind w:firstLine="480" w:firstLineChars="200"/>
        <w:jc w:val="both"/>
        <w:rPr>
          <w:rFonts w:hint="default"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纳税人识别号：</w:t>
      </w:r>
    </w:p>
    <w:p w14:paraId="6364D499">
      <w:pPr>
        <w:tabs>
          <w:tab w:val="left" w:pos="757"/>
        </w:tabs>
        <w:spacing w:line="360" w:lineRule="auto"/>
        <w:ind w:firstLine="480" w:firstLineChars="200"/>
        <w:jc w:val="both"/>
        <w:rPr>
          <w:rFonts w:hint="eastAsia" w:ascii="仿宋" w:hAnsi="仿宋" w:eastAsia="仿宋" w:cs="Times New Roman"/>
          <w:sz w:val="24"/>
          <w:highlight w:val="none"/>
          <w:lang w:eastAsia="zh-CN"/>
        </w:rPr>
      </w:pPr>
      <w:r>
        <w:rPr>
          <w:rFonts w:hint="default" w:ascii="仿宋" w:hAnsi="仿宋" w:eastAsia="仿宋" w:cs="Times New Roman"/>
          <w:sz w:val="24"/>
          <w:highlight w:val="none"/>
        </w:rPr>
        <w:t>开户银行：</w:t>
      </w:r>
    </w:p>
    <w:p w14:paraId="3036291E">
      <w:pPr>
        <w:tabs>
          <w:tab w:val="left" w:pos="757"/>
        </w:tabs>
        <w:spacing w:line="360" w:lineRule="auto"/>
        <w:ind w:firstLine="480" w:firstLineChars="200"/>
        <w:jc w:val="both"/>
        <w:rPr>
          <w:rFonts w:hint="eastAsia" w:ascii="仿宋" w:hAnsi="仿宋" w:eastAsia="仿宋" w:cs="Times New Roman"/>
          <w:sz w:val="24"/>
          <w:highlight w:val="none"/>
        </w:rPr>
      </w:pPr>
      <w:r>
        <w:rPr>
          <w:rFonts w:hint="default" w:ascii="仿宋" w:hAnsi="仿宋" w:eastAsia="仿宋" w:cs="Times New Roman"/>
          <w:sz w:val="24"/>
          <w:highlight w:val="none"/>
        </w:rPr>
        <w:t>账    号：</w:t>
      </w:r>
    </w:p>
    <w:p w14:paraId="6557FE3E">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3.3甲方以转账方式支付至乙方指定银行账户：</w:t>
      </w:r>
    </w:p>
    <w:p w14:paraId="4717F00F">
      <w:pPr>
        <w:tabs>
          <w:tab w:val="left" w:pos="757"/>
        </w:tabs>
        <w:spacing w:line="360" w:lineRule="auto"/>
        <w:ind w:firstLine="480" w:firstLineChars="200"/>
        <w:jc w:val="both"/>
        <w:rPr>
          <w:rFonts w:hint="default"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户    名：</w:t>
      </w:r>
      <w:r>
        <w:rPr>
          <w:rFonts w:hint="eastAsia" w:ascii="仿宋" w:hAnsi="仿宋" w:eastAsia="仿宋" w:cs="Times New Roman"/>
          <w:sz w:val="24"/>
          <w:highlight w:val="none"/>
          <w:u w:val="single"/>
          <w:lang w:val="en-US" w:eastAsia="zh-CN"/>
        </w:rPr>
        <w:t xml:space="preserve">                        </w:t>
      </w:r>
    </w:p>
    <w:p w14:paraId="24605708">
      <w:pPr>
        <w:tabs>
          <w:tab w:val="left" w:pos="757"/>
        </w:tabs>
        <w:spacing w:line="360" w:lineRule="auto"/>
        <w:ind w:firstLine="480" w:firstLineChars="200"/>
        <w:jc w:val="both"/>
        <w:rPr>
          <w:rFonts w:hint="default"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纳税人识别号：</w:t>
      </w:r>
      <w:r>
        <w:rPr>
          <w:rFonts w:hint="eastAsia" w:ascii="仿宋" w:hAnsi="仿宋" w:eastAsia="仿宋" w:cs="Times New Roman"/>
          <w:sz w:val="24"/>
          <w:highlight w:val="none"/>
          <w:u w:val="single"/>
          <w:lang w:val="en-US" w:eastAsia="zh-CN"/>
        </w:rPr>
        <w:t xml:space="preserve">                    </w:t>
      </w:r>
    </w:p>
    <w:p w14:paraId="46CF8BC1">
      <w:pPr>
        <w:tabs>
          <w:tab w:val="left" w:pos="757"/>
        </w:tabs>
        <w:spacing w:line="360" w:lineRule="auto"/>
        <w:ind w:firstLine="480" w:firstLineChars="200"/>
        <w:jc w:val="both"/>
        <w:rPr>
          <w:rFonts w:hint="default" w:ascii="仿宋" w:hAnsi="仿宋" w:eastAsia="仿宋" w:cs="Times New Roman"/>
          <w:sz w:val="24"/>
          <w:highlight w:val="none"/>
          <w:lang w:eastAsia="zh-CN"/>
        </w:rPr>
      </w:pPr>
      <w:r>
        <w:rPr>
          <w:rFonts w:hint="default" w:ascii="仿宋" w:hAnsi="仿宋" w:eastAsia="仿宋" w:cs="Times New Roman"/>
          <w:sz w:val="24"/>
          <w:highlight w:val="none"/>
        </w:rPr>
        <w:t>开户银行：</w:t>
      </w:r>
      <w:r>
        <w:rPr>
          <w:rFonts w:hint="eastAsia" w:ascii="仿宋" w:hAnsi="仿宋" w:eastAsia="仿宋" w:cs="Times New Roman"/>
          <w:sz w:val="24"/>
          <w:highlight w:val="none"/>
          <w:u w:val="single"/>
          <w:lang w:val="en-US" w:eastAsia="zh-CN"/>
        </w:rPr>
        <w:t xml:space="preserve">                        </w:t>
      </w:r>
    </w:p>
    <w:p w14:paraId="3621545F">
      <w:pPr>
        <w:tabs>
          <w:tab w:val="left" w:pos="757"/>
        </w:tabs>
        <w:spacing w:line="360" w:lineRule="auto"/>
        <w:ind w:firstLine="480" w:firstLineChars="200"/>
        <w:jc w:val="both"/>
        <w:rPr>
          <w:rFonts w:hint="eastAsia" w:ascii="仿宋" w:hAnsi="仿宋" w:eastAsia="仿宋" w:cs="Times New Roman"/>
          <w:sz w:val="24"/>
          <w:highlight w:val="none"/>
          <w:u w:val="single"/>
          <w:lang w:val="en-US" w:eastAsia="zh-CN"/>
        </w:rPr>
      </w:pPr>
      <w:r>
        <w:rPr>
          <w:rFonts w:hint="default" w:ascii="仿宋" w:hAnsi="仿宋" w:eastAsia="仿宋" w:cs="Times New Roman"/>
          <w:sz w:val="24"/>
          <w:highlight w:val="none"/>
        </w:rPr>
        <w:t>账    号：</w:t>
      </w:r>
      <w:r>
        <w:rPr>
          <w:rFonts w:hint="eastAsia" w:ascii="仿宋" w:hAnsi="仿宋" w:eastAsia="仿宋" w:cs="Times New Roman"/>
          <w:sz w:val="24"/>
          <w:highlight w:val="none"/>
          <w:u w:val="single"/>
          <w:lang w:val="en-US" w:eastAsia="zh-CN"/>
        </w:rPr>
        <w:t xml:space="preserve">                        </w:t>
      </w:r>
    </w:p>
    <w:p w14:paraId="7B5A5FF6">
      <w:pPr>
        <w:pStyle w:val="2"/>
        <w:keepNext w:val="0"/>
        <w:keepLines w:val="0"/>
        <w:pageBreakBefore w:val="0"/>
        <w:widowControl w:val="0"/>
        <w:kinsoku/>
        <w:wordWrap/>
        <w:overflowPunct w:val="0"/>
        <w:topLinePunct w:val="0"/>
        <w:autoSpaceDE w:val="0"/>
        <w:autoSpaceDN w:val="0"/>
        <w:bidi w:val="0"/>
        <w:adjustRightInd w:val="0"/>
        <w:snapToGrid/>
        <w:spacing w:line="360" w:lineRule="auto"/>
        <w:ind w:firstLine="480" w:firstLineChars="200"/>
        <w:textAlignment w:val="baseline"/>
        <w:rPr>
          <w:rFonts w:hint="eastAsia" w:ascii="仿宋" w:hAnsi="仿宋" w:eastAsia="仿宋" w:cs="Times New Roman"/>
          <w:sz w:val="24"/>
          <w:highlight w:val="none"/>
          <w:u w:val="none"/>
          <w:lang w:val="en-US" w:eastAsia="zh-CN"/>
        </w:rPr>
      </w:pPr>
      <w:r>
        <w:rPr>
          <w:rFonts w:hint="eastAsia" w:ascii="仿宋" w:hAnsi="仿宋" w:eastAsia="仿宋" w:cs="Times New Roman"/>
          <w:sz w:val="24"/>
          <w:highlight w:val="none"/>
          <w:u w:val="none"/>
          <w:lang w:val="en-US" w:eastAsia="zh-CN"/>
        </w:rPr>
        <w:t>3.4 乙方未按本合同约定提供发票的，甲方有权顺延付款期限，相应责任由乙方承担。</w:t>
      </w:r>
    </w:p>
    <w:p w14:paraId="0DC90EF6">
      <w:pPr>
        <w:pStyle w:val="5"/>
        <w:rPr>
          <w:rFonts w:hint="default"/>
          <w:lang w:val="en-US" w:eastAsia="zh-CN"/>
        </w:rPr>
      </w:pPr>
    </w:p>
    <w:p w14:paraId="52D94182">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Times New Roman"/>
          <w:b/>
          <w:bCs/>
          <w:sz w:val="24"/>
          <w:highlight w:val="none"/>
        </w:rPr>
      </w:pPr>
      <w:r>
        <w:rPr>
          <w:rFonts w:hint="eastAsia" w:ascii="仿宋" w:hAnsi="仿宋" w:eastAsia="仿宋" w:cs="Times New Roman"/>
          <w:b/>
          <w:bCs/>
          <w:sz w:val="24"/>
          <w:highlight w:val="none"/>
        </w:rPr>
        <w:t>第四条 甲方的权利和义务</w:t>
      </w:r>
    </w:p>
    <w:p w14:paraId="647082DF">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4.1 甲方应按本合同约定支付合同价款。</w:t>
      </w:r>
    </w:p>
    <w:p w14:paraId="7BD56505">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4.2 甲方有权随时了解乙方的工作进展情况。</w:t>
      </w:r>
    </w:p>
    <w:p w14:paraId="0B6A9BA5">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4.3甲方在评估活动中应遵循真实守信原则，不提供虚假信息。</w:t>
      </w:r>
    </w:p>
    <w:p w14:paraId="56E459E2">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4.4 甲方应提供保障评估活动正常开展的会议室、电源、网络等工作条件。</w:t>
      </w:r>
    </w:p>
    <w:p w14:paraId="6E858511">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4.5 甲方应积极配合乙方评估工作，按计划保障评估时间和参与评估人员，不得影响评估的完整性和公正性。</w:t>
      </w:r>
    </w:p>
    <w:p w14:paraId="4E1D1F88">
      <w:pPr>
        <w:tabs>
          <w:tab w:val="left" w:pos="757"/>
        </w:tabs>
        <w:spacing w:line="360" w:lineRule="auto"/>
        <w:ind w:firstLine="482" w:firstLineChars="200"/>
        <w:jc w:val="both"/>
        <w:rPr>
          <w:rFonts w:hint="eastAsia" w:ascii="仿宋" w:hAnsi="仿宋" w:eastAsia="仿宋" w:cs="Times New Roman"/>
          <w:b/>
          <w:bCs/>
          <w:sz w:val="24"/>
          <w:highlight w:val="none"/>
        </w:rPr>
      </w:pPr>
      <w:r>
        <w:rPr>
          <w:rFonts w:hint="eastAsia" w:ascii="仿宋" w:hAnsi="仿宋" w:eastAsia="仿宋" w:cs="Times New Roman"/>
          <w:b/>
          <w:bCs/>
          <w:sz w:val="24"/>
          <w:highlight w:val="none"/>
        </w:rPr>
        <w:t>第五条 乙方的权利和义务</w:t>
      </w:r>
    </w:p>
    <w:p w14:paraId="41B475D4">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5.1乙方应根据本合同的约定提供服务并提交工作成果。</w:t>
      </w:r>
    </w:p>
    <w:p w14:paraId="305E144C">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5.2 乙方派遣具有相应资格、能够胜任本项目的评估和咨询人员。</w:t>
      </w:r>
    </w:p>
    <w:p w14:paraId="4708096F">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5.3乙方应在开展评估前5个工作日将评估计划通知甲方以及被评估企业，并按评估计划实施</w:t>
      </w:r>
      <w:r>
        <w:rPr>
          <w:rFonts w:hint="eastAsia" w:ascii="仿宋" w:hAnsi="仿宋" w:eastAsia="仿宋"/>
          <w:sz w:val="24"/>
          <w:highlight w:val="none"/>
          <w:lang w:val="en-US" w:eastAsia="zh-CN"/>
        </w:rPr>
        <w:t>数字化转型成熟度（</w:t>
      </w:r>
      <w:r>
        <w:rPr>
          <w:rFonts w:hint="eastAsia" w:ascii="仿宋" w:hAnsi="仿宋" w:eastAsia="仿宋"/>
          <w:sz w:val="24"/>
          <w:highlight w:val="none"/>
        </w:rPr>
        <w:t>D</w:t>
      </w:r>
      <w:r>
        <w:rPr>
          <w:rFonts w:hint="eastAsia" w:ascii="仿宋" w:hAnsi="仿宋" w:eastAsia="仿宋"/>
          <w:sz w:val="24"/>
          <w:highlight w:val="none"/>
          <w:lang w:val="en-US" w:eastAsia="zh-CN"/>
        </w:rPr>
        <w:t>T</w:t>
      </w:r>
      <w:r>
        <w:rPr>
          <w:rFonts w:hint="eastAsia" w:ascii="仿宋" w:hAnsi="仿宋" w:eastAsia="仿宋"/>
          <w:sz w:val="24"/>
          <w:highlight w:val="none"/>
        </w:rPr>
        <w:t>MM</w:t>
      </w:r>
      <w:r>
        <w:rPr>
          <w:rFonts w:hint="eastAsia" w:ascii="仿宋" w:hAnsi="仿宋" w:eastAsia="仿宋"/>
          <w:sz w:val="24"/>
          <w:highlight w:val="none"/>
          <w:lang w:val="en-US" w:eastAsia="zh-CN"/>
        </w:rPr>
        <w:t>）三</w:t>
      </w:r>
      <w:r>
        <w:rPr>
          <w:rFonts w:hint="eastAsia" w:ascii="仿宋" w:hAnsi="仿宋" w:eastAsia="仿宋"/>
          <w:sz w:val="24"/>
          <w:highlight w:val="none"/>
        </w:rPr>
        <w:t>级</w:t>
      </w:r>
      <w:r>
        <w:rPr>
          <w:rFonts w:hint="eastAsia" w:ascii="仿宋" w:hAnsi="仿宋" w:eastAsia="仿宋" w:cs="Times New Roman"/>
          <w:sz w:val="24"/>
          <w:highlight w:val="none"/>
        </w:rPr>
        <w:t>评估工作。</w:t>
      </w:r>
    </w:p>
    <w:p w14:paraId="73CDC49D">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5.4 乙方应以本合同约定的标准为依据，独立、客观公正的开展评估工作。</w:t>
      </w:r>
    </w:p>
    <w:p w14:paraId="1CC3FD9E">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5.5乙方应根据评估报告及相关验证结果，结合其他相关信息进行综合评价，给出评定结论。</w:t>
      </w:r>
    </w:p>
    <w:p w14:paraId="157BA06A">
      <w:pPr>
        <w:tabs>
          <w:tab w:val="left" w:pos="757"/>
        </w:tabs>
        <w:spacing w:line="360" w:lineRule="auto"/>
        <w:ind w:firstLine="480" w:firstLineChars="200"/>
        <w:jc w:val="both"/>
        <w:rPr>
          <w:rFonts w:hint="eastAsia" w:ascii="仿宋" w:hAnsi="仿宋" w:eastAsia="仿宋" w:cs="Times New Roman"/>
          <w:sz w:val="24"/>
          <w:highlight w:val="none"/>
          <w:lang w:eastAsia="zh-CN"/>
        </w:rPr>
      </w:pPr>
      <w:r>
        <w:rPr>
          <w:rFonts w:hint="eastAsia" w:ascii="仿宋" w:hAnsi="仿宋" w:eastAsia="仿宋" w:cs="Times New Roman"/>
          <w:sz w:val="24"/>
          <w:highlight w:val="none"/>
        </w:rPr>
        <w:t>5.6乙方对甲方提供的资料，</w:t>
      </w:r>
      <w:r>
        <w:rPr>
          <w:rFonts w:hint="eastAsia" w:ascii="仿宋" w:hAnsi="仿宋" w:eastAsia="仿宋" w:cs="Times New Roman"/>
          <w:sz w:val="24"/>
          <w:highlight w:val="none"/>
          <w:lang w:eastAsia="zh-Hans"/>
        </w:rPr>
        <w:t>包括不限于</w:t>
      </w:r>
      <w:r>
        <w:rPr>
          <w:rFonts w:hint="eastAsia" w:ascii="仿宋" w:hAnsi="仿宋" w:eastAsia="仿宋" w:cs="Times New Roman"/>
          <w:sz w:val="24"/>
          <w:highlight w:val="none"/>
        </w:rPr>
        <w:t>如企业评估所需的调查数据和企业发展、信息化建设方面的规划材料等，</w:t>
      </w:r>
      <w:r>
        <w:rPr>
          <w:rFonts w:hint="eastAsia" w:ascii="仿宋" w:hAnsi="仿宋" w:eastAsia="仿宋" w:cs="Times New Roman"/>
          <w:sz w:val="24"/>
          <w:highlight w:val="none"/>
          <w:lang w:eastAsia="zh-Hans"/>
        </w:rPr>
        <w:t>未经评估企业书面同意，</w:t>
      </w:r>
      <w:r>
        <w:rPr>
          <w:rFonts w:hint="eastAsia" w:ascii="仿宋" w:hAnsi="仿宋" w:eastAsia="仿宋" w:cs="Times New Roman"/>
          <w:sz w:val="24"/>
          <w:highlight w:val="none"/>
        </w:rPr>
        <w:t>不得向</w:t>
      </w:r>
      <w:r>
        <w:rPr>
          <w:rFonts w:hint="eastAsia" w:ascii="仿宋" w:hAnsi="仿宋" w:eastAsia="仿宋" w:cs="Times New Roman"/>
          <w:sz w:val="24"/>
          <w:highlight w:val="none"/>
          <w:lang w:eastAsia="zh-Hans"/>
        </w:rPr>
        <w:t>任何</w:t>
      </w:r>
      <w:r>
        <w:rPr>
          <w:rFonts w:hint="eastAsia" w:ascii="仿宋" w:hAnsi="仿宋" w:eastAsia="仿宋" w:cs="Times New Roman"/>
          <w:sz w:val="24"/>
          <w:highlight w:val="none"/>
        </w:rPr>
        <w:t>第三方</w:t>
      </w:r>
      <w:r>
        <w:rPr>
          <w:rFonts w:hint="eastAsia" w:ascii="仿宋" w:hAnsi="仿宋" w:eastAsia="仿宋" w:cs="Times New Roman"/>
          <w:sz w:val="24"/>
          <w:highlight w:val="none"/>
          <w:lang w:eastAsia="zh-CN"/>
        </w:rPr>
        <w:t>披露</w:t>
      </w:r>
      <w:r>
        <w:rPr>
          <w:rFonts w:hint="eastAsia" w:ascii="仿宋" w:hAnsi="仿宋" w:eastAsia="仿宋" w:cs="Times New Roman"/>
          <w:sz w:val="24"/>
          <w:highlight w:val="none"/>
        </w:rPr>
        <w:t>，</w:t>
      </w:r>
      <w:r>
        <w:rPr>
          <w:rFonts w:hint="eastAsia" w:ascii="仿宋" w:hAnsi="仿宋" w:eastAsia="仿宋" w:cs="Times New Roman"/>
          <w:sz w:val="24"/>
          <w:highlight w:val="none"/>
          <w:lang w:eastAsia="zh-Hans"/>
        </w:rPr>
        <w:t>不得用于本项目之外其他目的</w:t>
      </w:r>
      <w:r>
        <w:rPr>
          <w:rFonts w:hint="eastAsia" w:ascii="仿宋" w:hAnsi="仿宋" w:eastAsia="仿宋" w:cs="Times New Roman"/>
          <w:sz w:val="24"/>
          <w:highlight w:val="none"/>
        </w:rPr>
        <w:t>。</w:t>
      </w:r>
      <w:r>
        <w:rPr>
          <w:rFonts w:hint="eastAsia" w:ascii="仿宋" w:hAnsi="仿宋" w:eastAsia="仿宋" w:cs="Times New Roman"/>
          <w:sz w:val="24"/>
          <w:highlight w:val="none"/>
          <w:lang w:eastAsia="zh-CN"/>
        </w:rPr>
        <w:t>本条款独立且长期有效，不因本合同解除、终止等原因而失效。</w:t>
      </w:r>
    </w:p>
    <w:p w14:paraId="1478FE0F">
      <w:pPr>
        <w:tabs>
          <w:tab w:val="left" w:pos="757"/>
        </w:tabs>
        <w:spacing w:line="360" w:lineRule="auto"/>
        <w:ind w:firstLine="482" w:firstLineChars="200"/>
        <w:jc w:val="both"/>
        <w:rPr>
          <w:rFonts w:hint="eastAsia" w:ascii="仿宋" w:hAnsi="仿宋" w:eastAsia="仿宋" w:cs="Times New Roman"/>
          <w:b/>
          <w:bCs/>
          <w:sz w:val="24"/>
          <w:highlight w:val="none"/>
          <w:lang w:eastAsia="zh-CN"/>
        </w:rPr>
      </w:pPr>
      <w:r>
        <w:rPr>
          <w:rFonts w:hint="eastAsia" w:ascii="仿宋" w:hAnsi="仿宋" w:eastAsia="仿宋" w:cs="Times New Roman"/>
          <w:b/>
          <w:bCs/>
          <w:sz w:val="24"/>
          <w:highlight w:val="none"/>
        </w:rPr>
        <w:t xml:space="preserve">第六条 </w:t>
      </w:r>
      <w:r>
        <w:rPr>
          <w:rFonts w:hint="eastAsia" w:ascii="仿宋" w:hAnsi="仿宋" w:eastAsia="仿宋" w:cs="Times New Roman"/>
          <w:b/>
          <w:bCs/>
          <w:sz w:val="24"/>
          <w:highlight w:val="none"/>
          <w:lang w:eastAsia="zh-CN"/>
        </w:rPr>
        <w:t>违约责任</w:t>
      </w:r>
    </w:p>
    <w:p w14:paraId="34358A6F">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Times New Roman"/>
          <w:kern w:val="2"/>
          <w:sz w:val="24"/>
          <w:szCs w:val="24"/>
          <w:highlight w:val="none"/>
          <w:lang w:val="en-US" w:eastAsia="zh-Hans" w:bidi="ar-SA"/>
        </w:rPr>
      </w:pPr>
      <w:r>
        <w:rPr>
          <w:rFonts w:hint="eastAsia" w:ascii="仿宋" w:hAnsi="仿宋" w:eastAsia="仿宋" w:cs="Times New Roman"/>
          <w:kern w:val="2"/>
          <w:sz w:val="24"/>
          <w:szCs w:val="24"/>
          <w:highlight w:val="none"/>
          <w:lang w:val="en-US" w:eastAsia="zh-CN" w:bidi="ar-SA"/>
        </w:rPr>
        <w:t xml:space="preserve">6.1 </w:t>
      </w:r>
      <w:r>
        <w:rPr>
          <w:rFonts w:hint="eastAsia" w:ascii="仿宋" w:hAnsi="仿宋" w:eastAsia="仿宋" w:cs="Times New Roman"/>
          <w:kern w:val="2"/>
          <w:sz w:val="24"/>
          <w:szCs w:val="24"/>
          <w:highlight w:val="none"/>
          <w:lang w:val="en-US" w:eastAsia="zh-Hans" w:bidi="ar-SA"/>
        </w:rPr>
        <w:t>除因甲方或不可抗力外，若乙方未按照合同约定的</w:t>
      </w:r>
      <w:r>
        <w:rPr>
          <w:rFonts w:hint="eastAsia" w:ascii="仿宋" w:hAnsi="仿宋" w:eastAsia="仿宋" w:cs="Times New Roman"/>
          <w:kern w:val="2"/>
          <w:sz w:val="24"/>
          <w:szCs w:val="24"/>
          <w:highlight w:val="none"/>
          <w:lang w:val="en-US" w:eastAsia="zh-CN" w:bidi="ar-SA"/>
        </w:rPr>
        <w:t>里程碑节点完成成果物交付</w:t>
      </w:r>
      <w:r>
        <w:rPr>
          <w:rFonts w:hint="eastAsia" w:ascii="仿宋" w:hAnsi="仿宋" w:eastAsia="仿宋" w:cs="Times New Roman"/>
          <w:kern w:val="2"/>
          <w:sz w:val="24"/>
          <w:szCs w:val="24"/>
          <w:highlight w:val="none"/>
          <w:lang w:val="en-US" w:eastAsia="zh-Hans" w:bidi="ar-SA"/>
        </w:rPr>
        <w:t>，造成甲方无法顺利按期取得证书，每逾期1天，由乙方向甲方支付违约金</w:t>
      </w:r>
      <w:r>
        <w:rPr>
          <w:rFonts w:hint="eastAsia" w:ascii="仿宋" w:hAnsi="仿宋" w:eastAsia="仿宋" w:cs="Times New Roman"/>
          <w:kern w:val="2"/>
          <w:sz w:val="24"/>
          <w:szCs w:val="24"/>
          <w:highlight w:val="none"/>
          <w:lang w:val="en-US" w:eastAsia="zh-CN" w:bidi="ar-SA"/>
        </w:rPr>
        <w:t>500</w:t>
      </w:r>
      <w:r>
        <w:rPr>
          <w:rFonts w:hint="eastAsia" w:ascii="仿宋" w:hAnsi="仿宋" w:eastAsia="仿宋" w:cs="Times New Roman"/>
          <w:kern w:val="2"/>
          <w:sz w:val="24"/>
          <w:szCs w:val="24"/>
          <w:highlight w:val="none"/>
          <w:lang w:val="en-US" w:eastAsia="zh-Hans" w:bidi="ar-SA"/>
        </w:rPr>
        <w:t>元；逾期</w:t>
      </w:r>
      <w:r>
        <w:rPr>
          <w:rFonts w:hint="eastAsia" w:ascii="仿宋" w:hAnsi="仿宋" w:eastAsia="仿宋" w:cs="Times New Roman"/>
          <w:kern w:val="2"/>
          <w:sz w:val="24"/>
          <w:szCs w:val="24"/>
          <w:highlight w:val="none"/>
          <w:lang w:val="en-US" w:eastAsia="zh-CN" w:bidi="ar-SA"/>
        </w:rPr>
        <w:t>超</w:t>
      </w:r>
      <w:r>
        <w:rPr>
          <w:rFonts w:hint="eastAsia" w:ascii="仿宋" w:hAnsi="仿宋" w:eastAsia="仿宋" w:cs="Times New Roman"/>
          <w:kern w:val="2"/>
          <w:sz w:val="24"/>
          <w:szCs w:val="24"/>
          <w:highlight w:val="none"/>
          <w:lang w:val="en-US" w:eastAsia="zh-Hans" w:bidi="ar-SA"/>
        </w:rPr>
        <w:t>10天</w:t>
      </w:r>
      <w:r>
        <w:rPr>
          <w:rFonts w:hint="eastAsia" w:ascii="仿宋" w:hAnsi="仿宋" w:eastAsia="仿宋" w:cs="Times New Roman"/>
          <w:kern w:val="2"/>
          <w:sz w:val="24"/>
          <w:szCs w:val="24"/>
          <w:highlight w:val="none"/>
          <w:lang w:val="en-US" w:eastAsia="zh-CN" w:bidi="ar-SA"/>
        </w:rPr>
        <w:t>的</w:t>
      </w:r>
      <w:r>
        <w:rPr>
          <w:rFonts w:hint="eastAsia" w:ascii="仿宋" w:hAnsi="仿宋" w:eastAsia="仿宋" w:cs="Times New Roman"/>
          <w:kern w:val="2"/>
          <w:sz w:val="24"/>
          <w:szCs w:val="24"/>
          <w:highlight w:val="none"/>
          <w:lang w:val="en-US" w:eastAsia="zh-Hans" w:bidi="ar-SA"/>
        </w:rPr>
        <w:t>，</w:t>
      </w:r>
      <w:r>
        <w:rPr>
          <w:rFonts w:hint="eastAsia" w:ascii="仿宋" w:hAnsi="仿宋" w:eastAsia="仿宋" w:cs="Times New Roman"/>
          <w:kern w:val="2"/>
          <w:sz w:val="24"/>
          <w:szCs w:val="24"/>
          <w:highlight w:val="none"/>
          <w:lang w:val="en-US" w:eastAsia="zh-CN" w:bidi="ar-SA"/>
        </w:rPr>
        <w:t>每天按1000元的标准</w:t>
      </w:r>
      <w:r>
        <w:rPr>
          <w:rFonts w:hint="eastAsia" w:ascii="仿宋" w:hAnsi="仿宋" w:eastAsia="仿宋" w:cs="Times New Roman"/>
          <w:kern w:val="2"/>
          <w:sz w:val="24"/>
          <w:szCs w:val="24"/>
          <w:highlight w:val="none"/>
          <w:lang w:val="en-US" w:eastAsia="zh-Hans" w:bidi="ar-SA"/>
        </w:rPr>
        <w:t>向甲方支付违约金；逾期</w:t>
      </w:r>
      <w:r>
        <w:rPr>
          <w:rFonts w:hint="eastAsia" w:ascii="仿宋" w:hAnsi="仿宋" w:eastAsia="仿宋" w:cs="Times New Roman"/>
          <w:kern w:val="2"/>
          <w:sz w:val="24"/>
          <w:szCs w:val="24"/>
          <w:highlight w:val="none"/>
          <w:lang w:val="en-US" w:eastAsia="zh-CN" w:bidi="ar-SA"/>
        </w:rPr>
        <w:t>超</w:t>
      </w:r>
      <w:r>
        <w:rPr>
          <w:rFonts w:hint="eastAsia" w:ascii="仿宋" w:hAnsi="仿宋" w:eastAsia="仿宋" w:cs="Times New Roman"/>
          <w:kern w:val="2"/>
          <w:sz w:val="24"/>
          <w:szCs w:val="24"/>
          <w:highlight w:val="none"/>
          <w:lang w:val="en-US" w:eastAsia="zh-Hans" w:bidi="ar-SA"/>
        </w:rPr>
        <w:t>15天</w:t>
      </w:r>
      <w:r>
        <w:rPr>
          <w:rFonts w:hint="eastAsia" w:ascii="仿宋" w:hAnsi="仿宋" w:eastAsia="仿宋" w:cs="Times New Roman"/>
          <w:kern w:val="2"/>
          <w:sz w:val="24"/>
          <w:szCs w:val="24"/>
          <w:highlight w:val="none"/>
          <w:lang w:val="en-US" w:eastAsia="zh-CN" w:bidi="ar-SA"/>
        </w:rPr>
        <w:t>的</w:t>
      </w:r>
      <w:r>
        <w:rPr>
          <w:rFonts w:hint="eastAsia" w:ascii="仿宋" w:hAnsi="仿宋" w:eastAsia="仿宋" w:cs="Times New Roman"/>
          <w:kern w:val="2"/>
          <w:sz w:val="24"/>
          <w:szCs w:val="24"/>
          <w:highlight w:val="none"/>
          <w:lang w:val="en-US" w:eastAsia="zh-Hans" w:bidi="ar-SA"/>
        </w:rPr>
        <w:t>，甲方有权单方解除本合同，并由乙方向甲方支付合同总价款20%的违约金。</w:t>
      </w:r>
    </w:p>
    <w:p w14:paraId="63D109CA">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Times New Roman"/>
          <w:kern w:val="2"/>
          <w:sz w:val="24"/>
          <w:szCs w:val="24"/>
          <w:highlight w:val="none"/>
          <w:lang w:val="en-US" w:eastAsia="zh-Hans" w:bidi="ar-SA"/>
        </w:rPr>
      </w:pPr>
      <w:r>
        <w:rPr>
          <w:rFonts w:hint="eastAsia" w:ascii="仿宋" w:hAnsi="仿宋" w:eastAsia="仿宋" w:cs="Times New Roman"/>
          <w:kern w:val="2"/>
          <w:sz w:val="24"/>
          <w:szCs w:val="24"/>
          <w:highlight w:val="none"/>
          <w:lang w:val="en-US" w:eastAsia="zh-CN" w:bidi="ar-SA"/>
        </w:rPr>
        <w:t>6.2</w:t>
      </w:r>
      <w:r>
        <w:rPr>
          <w:rFonts w:hint="eastAsia" w:ascii="仿宋" w:hAnsi="仿宋" w:eastAsia="仿宋" w:cs="Times New Roman"/>
          <w:kern w:val="2"/>
          <w:sz w:val="24"/>
          <w:szCs w:val="24"/>
          <w:highlight w:val="none"/>
          <w:lang w:val="en-US" w:eastAsia="zh-Hans" w:bidi="ar-SA"/>
        </w:rPr>
        <w:t>若乙方提供的服务未能达到合同技术要求及标准，</w:t>
      </w:r>
      <w:r>
        <w:rPr>
          <w:rFonts w:hint="eastAsia" w:ascii="仿宋" w:hAnsi="仿宋" w:eastAsia="仿宋" w:cs="Times New Roman"/>
          <w:kern w:val="2"/>
          <w:sz w:val="24"/>
          <w:szCs w:val="24"/>
          <w:highlight w:val="none"/>
          <w:lang w:val="en-US" w:eastAsia="zh-CN" w:bidi="ar-SA"/>
        </w:rPr>
        <w:t>无法取得本合同约定证书，</w:t>
      </w:r>
      <w:r>
        <w:rPr>
          <w:rFonts w:hint="eastAsia" w:ascii="仿宋" w:hAnsi="仿宋" w:eastAsia="仿宋" w:cs="Times New Roman"/>
          <w:kern w:val="2"/>
          <w:sz w:val="24"/>
          <w:szCs w:val="24"/>
          <w:highlight w:val="none"/>
          <w:lang w:val="en-US" w:eastAsia="zh-Hans" w:bidi="ar-SA"/>
        </w:rPr>
        <w:t>甲方有权单方解除本合同</w:t>
      </w:r>
      <w:r>
        <w:rPr>
          <w:rFonts w:hint="eastAsia" w:ascii="仿宋" w:hAnsi="仿宋" w:eastAsia="仿宋" w:cs="Times New Roman"/>
          <w:kern w:val="2"/>
          <w:sz w:val="24"/>
          <w:szCs w:val="24"/>
          <w:highlight w:val="none"/>
          <w:lang w:val="en-US" w:eastAsia="zh-CN" w:bidi="ar-SA"/>
        </w:rPr>
        <w:t>，要求乙方退还已付款项</w:t>
      </w:r>
      <w:r>
        <w:rPr>
          <w:rFonts w:hint="eastAsia" w:ascii="仿宋" w:hAnsi="仿宋" w:eastAsia="仿宋" w:cs="Times New Roman"/>
          <w:kern w:val="2"/>
          <w:sz w:val="24"/>
          <w:szCs w:val="24"/>
          <w:highlight w:val="none"/>
          <w:lang w:val="en-US" w:eastAsia="zh-Hans" w:bidi="ar-SA"/>
        </w:rPr>
        <w:t>，并由乙方向甲方支付合同总价款20%的违约金。</w:t>
      </w:r>
    </w:p>
    <w:p w14:paraId="537F2550">
      <w:pPr>
        <w:keepNext w:val="0"/>
        <w:keepLines w:val="0"/>
        <w:pageBreakBefore w:val="0"/>
        <w:widowControl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eastAsia" w:ascii="仿宋" w:hAnsi="仿宋" w:eastAsia="仿宋" w:cs="Times New Roman"/>
          <w:kern w:val="2"/>
          <w:sz w:val="24"/>
          <w:szCs w:val="24"/>
          <w:highlight w:val="none"/>
          <w:lang w:val="en-US" w:eastAsia="zh-Hans" w:bidi="ar-SA"/>
        </w:rPr>
      </w:pPr>
      <w:r>
        <w:rPr>
          <w:rFonts w:hint="eastAsia" w:ascii="仿宋" w:hAnsi="仿宋" w:eastAsia="仿宋" w:cs="Times New Roman"/>
          <w:kern w:val="2"/>
          <w:sz w:val="24"/>
          <w:szCs w:val="24"/>
          <w:highlight w:val="none"/>
          <w:lang w:val="en-US" w:eastAsia="zh-CN" w:bidi="ar-SA"/>
        </w:rPr>
        <w:t xml:space="preserve">6.3 </w:t>
      </w:r>
      <w:r>
        <w:rPr>
          <w:rFonts w:hint="eastAsia" w:ascii="仿宋" w:hAnsi="仿宋" w:eastAsia="仿宋" w:cs="Times New Roman"/>
          <w:kern w:val="2"/>
          <w:sz w:val="24"/>
          <w:szCs w:val="24"/>
          <w:highlight w:val="none"/>
          <w:lang w:val="en-US" w:eastAsia="zh-Hans" w:bidi="ar-SA"/>
        </w:rPr>
        <w:t>除因甲方或不可抗力外，在合同执行过程中，乙方项目组成员应与投标时提供的人员及从业资质一致；若因乙方原因随意更换项目组成员或委派不符合甲方资质要求的人员开展现场审核的，甲方有权单方面解除合同，并由乙方向甲方支付合同总总价款20%的违约金。</w:t>
      </w:r>
    </w:p>
    <w:p w14:paraId="4F4F8D0A">
      <w:pPr>
        <w:pStyle w:val="2"/>
        <w:keepNext w:val="0"/>
        <w:keepLines w:val="0"/>
        <w:pageBreakBefore w:val="0"/>
        <w:widowControl w:val="0"/>
        <w:kinsoku/>
        <w:wordWrap/>
        <w:overflowPunct w:val="0"/>
        <w:topLinePunct w:val="0"/>
        <w:autoSpaceDE w:val="0"/>
        <w:autoSpaceDN w:val="0"/>
        <w:bidi w:val="0"/>
        <w:adjustRightInd w:val="0"/>
        <w:snapToGrid/>
        <w:spacing w:line="360" w:lineRule="auto"/>
        <w:ind w:firstLine="480" w:firstLineChars="200"/>
        <w:textAlignment w:val="baseline"/>
        <w:rPr>
          <w:rFonts w:hint="eastAsia"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4"/>
          <w:highlight w:val="none"/>
          <w:lang w:val="en-US" w:eastAsia="zh-CN" w:bidi="ar-SA"/>
        </w:rPr>
        <w:t>6.4 乙方违反上述约定擅自披露甲方信息资料的，乙方按合同总价款的30%向甲方支付泄密违约金，违约金不足以弥补甲方损失的，还应赔偿甲方损失。</w:t>
      </w:r>
    </w:p>
    <w:p w14:paraId="61AB5D80">
      <w:pPr>
        <w:pStyle w:val="2"/>
        <w:keepNext w:val="0"/>
        <w:keepLines w:val="0"/>
        <w:pageBreakBefore w:val="0"/>
        <w:widowControl w:val="0"/>
        <w:kinsoku/>
        <w:wordWrap/>
        <w:overflowPunct w:val="0"/>
        <w:topLinePunct w:val="0"/>
        <w:autoSpaceDE w:val="0"/>
        <w:autoSpaceDN w:val="0"/>
        <w:bidi w:val="0"/>
        <w:adjustRightInd w:val="0"/>
        <w:snapToGrid/>
        <w:spacing w:line="360" w:lineRule="auto"/>
        <w:ind w:firstLine="480" w:firstLineChars="200"/>
        <w:textAlignment w:val="baseline"/>
        <w:rPr>
          <w:rFonts w:hint="default"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4"/>
          <w:highlight w:val="none"/>
          <w:lang w:val="en-US" w:eastAsia="zh-CN" w:bidi="ar-SA"/>
        </w:rPr>
        <w:t>6.5 以上违约金及赔偿，甲方有权从未付款中扣除。</w:t>
      </w:r>
    </w:p>
    <w:p w14:paraId="5C1E4E13">
      <w:pPr>
        <w:tabs>
          <w:tab w:val="left" w:pos="757"/>
        </w:tabs>
        <w:spacing w:line="360" w:lineRule="auto"/>
        <w:ind w:firstLine="482" w:firstLineChars="200"/>
        <w:jc w:val="both"/>
        <w:rPr>
          <w:rFonts w:hint="eastAsia" w:ascii="仿宋" w:hAnsi="仿宋" w:eastAsia="仿宋" w:cs="Times New Roman"/>
          <w:sz w:val="24"/>
          <w:highlight w:val="none"/>
        </w:rPr>
      </w:pPr>
      <w:r>
        <w:rPr>
          <w:rFonts w:hint="eastAsia" w:ascii="仿宋" w:hAnsi="仿宋" w:eastAsia="仿宋" w:cs="Times New Roman"/>
          <w:b/>
          <w:bCs/>
          <w:sz w:val="24"/>
          <w:highlight w:val="none"/>
          <w:lang w:eastAsia="zh-CN"/>
        </w:rPr>
        <w:t>第七条</w:t>
      </w:r>
      <w:r>
        <w:rPr>
          <w:rFonts w:hint="eastAsia" w:ascii="仿宋" w:hAnsi="仿宋" w:eastAsia="仿宋" w:cs="Times New Roman"/>
          <w:b/>
          <w:bCs/>
          <w:sz w:val="24"/>
          <w:highlight w:val="none"/>
          <w:lang w:val="en-US" w:eastAsia="zh-CN"/>
        </w:rPr>
        <w:t xml:space="preserve"> </w:t>
      </w:r>
      <w:r>
        <w:rPr>
          <w:rFonts w:hint="eastAsia" w:ascii="仿宋" w:hAnsi="仿宋" w:eastAsia="仿宋" w:cs="Times New Roman"/>
          <w:b/>
          <w:bCs/>
          <w:sz w:val="24"/>
          <w:highlight w:val="none"/>
        </w:rPr>
        <w:t>争议的解决</w:t>
      </w:r>
    </w:p>
    <w:p w14:paraId="7DDD009C">
      <w:pPr>
        <w:tabs>
          <w:tab w:val="left" w:pos="757"/>
        </w:tabs>
        <w:spacing w:line="360" w:lineRule="auto"/>
        <w:ind w:firstLine="480" w:firstLineChars="200"/>
        <w:jc w:val="both"/>
        <w:rPr>
          <w:rFonts w:hint="eastAsia" w:ascii="仿宋" w:hAnsi="仿宋" w:eastAsia="仿宋" w:cs="Times New Roman"/>
          <w:sz w:val="24"/>
          <w:highlight w:val="none"/>
          <w:lang w:val="zh-CN"/>
        </w:rPr>
      </w:pPr>
      <w:r>
        <w:rPr>
          <w:rFonts w:hint="eastAsia" w:ascii="仿宋" w:hAnsi="仿宋" w:eastAsia="仿宋" w:cs="Times New Roman"/>
          <w:sz w:val="24"/>
          <w:highlight w:val="none"/>
          <w:lang w:val="zh-CN"/>
        </w:rPr>
        <w:t>执行本合同发生争议，由当事人双方协商和解，也可以请求调解。双方当事人和解或调解不成，采用以下第  (二)  种方式解决。</w:t>
      </w:r>
    </w:p>
    <w:p w14:paraId="2FFB66D4">
      <w:pPr>
        <w:tabs>
          <w:tab w:val="left" w:pos="757"/>
        </w:tabs>
        <w:spacing w:line="360" w:lineRule="auto"/>
        <w:ind w:firstLine="480" w:firstLineChars="200"/>
        <w:jc w:val="both"/>
        <w:rPr>
          <w:rFonts w:hint="eastAsia" w:ascii="仿宋" w:hAnsi="仿宋" w:eastAsia="仿宋" w:cs="Times New Roman"/>
          <w:sz w:val="24"/>
          <w:highlight w:val="none"/>
          <w:lang w:val="zh-CN"/>
        </w:rPr>
      </w:pPr>
      <w:r>
        <w:rPr>
          <w:rFonts w:hint="eastAsia" w:ascii="仿宋" w:hAnsi="仿宋" w:eastAsia="仿宋" w:cs="Times New Roman"/>
          <w:sz w:val="24"/>
          <w:highlight w:val="none"/>
          <w:lang w:val="zh-CN"/>
        </w:rPr>
        <w:t>（一）双方同意由仲裁委员会仲裁。</w:t>
      </w:r>
    </w:p>
    <w:p w14:paraId="277A654F">
      <w:pPr>
        <w:tabs>
          <w:tab w:val="left" w:pos="757"/>
        </w:tabs>
        <w:spacing w:line="360" w:lineRule="auto"/>
        <w:ind w:firstLine="480" w:firstLineChars="200"/>
        <w:jc w:val="both"/>
        <w:rPr>
          <w:rFonts w:hint="eastAsia" w:ascii="仿宋" w:hAnsi="仿宋" w:eastAsia="仿宋" w:cs="Times New Roman"/>
          <w:sz w:val="24"/>
          <w:highlight w:val="none"/>
          <w:lang w:val="zh-CN"/>
        </w:rPr>
      </w:pPr>
      <w:r>
        <w:rPr>
          <w:rFonts w:hint="eastAsia" w:ascii="仿宋" w:hAnsi="仿宋" w:eastAsia="仿宋" w:cs="Times New Roman"/>
          <w:sz w:val="24"/>
          <w:highlight w:val="none"/>
          <w:lang w:val="zh-CN"/>
        </w:rPr>
        <w:t>（二）向</w:t>
      </w:r>
      <w:r>
        <w:rPr>
          <w:rFonts w:hint="eastAsia" w:ascii="仿宋" w:hAnsi="仿宋" w:eastAsia="仿宋" w:cs="Times New Roman"/>
          <w:sz w:val="24"/>
          <w:highlight w:val="none"/>
          <w:lang w:val="en-US" w:eastAsia="zh-CN"/>
        </w:rPr>
        <w:t>甲</w:t>
      </w:r>
      <w:r>
        <w:rPr>
          <w:rFonts w:hint="eastAsia" w:ascii="仿宋" w:hAnsi="仿宋" w:eastAsia="仿宋" w:cs="Times New Roman"/>
          <w:sz w:val="24"/>
          <w:highlight w:val="none"/>
          <w:lang w:val="zh-CN"/>
        </w:rPr>
        <w:t>方所在地人民法院进行起诉。</w:t>
      </w:r>
    </w:p>
    <w:p w14:paraId="364A3358">
      <w:pPr>
        <w:tabs>
          <w:tab w:val="left" w:pos="757"/>
        </w:tabs>
        <w:spacing w:line="360" w:lineRule="auto"/>
        <w:ind w:firstLine="482" w:firstLineChars="200"/>
        <w:jc w:val="both"/>
        <w:rPr>
          <w:rFonts w:hint="eastAsia" w:ascii="仿宋" w:hAnsi="仿宋" w:eastAsia="仿宋" w:cs="Times New Roman"/>
          <w:b/>
          <w:bCs/>
          <w:sz w:val="24"/>
          <w:highlight w:val="none"/>
        </w:rPr>
      </w:pPr>
      <w:r>
        <w:rPr>
          <w:rFonts w:hint="eastAsia" w:ascii="仿宋" w:hAnsi="仿宋" w:eastAsia="仿宋" w:cs="Times New Roman"/>
          <w:b/>
          <w:bCs/>
          <w:sz w:val="24"/>
          <w:highlight w:val="none"/>
          <w:lang w:eastAsia="zh-CN"/>
        </w:rPr>
        <w:t>第八条</w:t>
      </w:r>
      <w:r>
        <w:rPr>
          <w:rFonts w:hint="eastAsia" w:ascii="仿宋" w:hAnsi="仿宋" w:eastAsia="仿宋" w:cs="Times New Roman"/>
          <w:b/>
          <w:bCs/>
          <w:sz w:val="24"/>
          <w:highlight w:val="none"/>
          <w:lang w:val="en-US" w:eastAsia="zh-CN"/>
        </w:rPr>
        <w:t xml:space="preserve"> </w:t>
      </w:r>
      <w:r>
        <w:rPr>
          <w:rFonts w:hint="eastAsia" w:ascii="仿宋" w:hAnsi="仿宋" w:eastAsia="仿宋" w:cs="Times New Roman"/>
          <w:b/>
          <w:bCs/>
          <w:sz w:val="24"/>
          <w:highlight w:val="none"/>
        </w:rPr>
        <w:t>其他事项</w:t>
      </w:r>
    </w:p>
    <w:p w14:paraId="75030A91">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rPr>
        <w:t>.1除非双方书面同意，任何一方都不得变更、撤销其在本合同中规定的权利或义务。</w:t>
      </w:r>
    </w:p>
    <w:p w14:paraId="5A3374C2">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rPr>
        <w:t>.2若本合同未尽事宜，经甲乙双方协商同意，由双方另行签字补充协议，补充协议为本合同的组成部分，具有同等法律效力。</w:t>
      </w:r>
    </w:p>
    <w:p w14:paraId="1CC4E97C">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lang w:eastAsia="zh-Hans"/>
        </w:rPr>
        <w:t>.3</w:t>
      </w:r>
      <w:r>
        <w:rPr>
          <w:rFonts w:hint="eastAsia" w:ascii="仿宋" w:hAnsi="仿宋" w:eastAsia="仿宋" w:cs="Times New Roman"/>
          <w:sz w:val="24"/>
          <w:highlight w:val="none"/>
        </w:rPr>
        <w:t xml:space="preserve"> 本合同项下双方向对方发出的通知、信件、数据电文</w:t>
      </w:r>
      <w:r>
        <w:rPr>
          <w:rFonts w:hint="eastAsia" w:ascii="仿宋" w:hAnsi="仿宋" w:eastAsia="仿宋" w:cs="Times New Roman"/>
          <w:sz w:val="24"/>
          <w:highlight w:val="none"/>
          <w:lang w:eastAsia="zh-CN"/>
        </w:rPr>
        <w:t>以及争议时法律文书送达</w:t>
      </w:r>
      <w:r>
        <w:rPr>
          <w:rFonts w:hint="eastAsia" w:ascii="仿宋" w:hAnsi="仿宋" w:eastAsia="仿宋" w:cs="Times New Roman"/>
          <w:sz w:val="24"/>
          <w:highlight w:val="none"/>
        </w:rPr>
        <w:t>等，应当发送至本合同</w:t>
      </w:r>
      <w:r>
        <w:rPr>
          <w:rFonts w:hint="eastAsia" w:ascii="仿宋" w:hAnsi="仿宋" w:eastAsia="仿宋" w:cs="Times New Roman"/>
          <w:sz w:val="24"/>
          <w:highlight w:val="none"/>
          <w:lang w:eastAsia="zh-CN"/>
        </w:rPr>
        <w:t>落款用印处</w:t>
      </w:r>
      <w:r>
        <w:rPr>
          <w:rFonts w:hint="eastAsia" w:ascii="仿宋" w:hAnsi="仿宋" w:eastAsia="仿宋" w:cs="Times New Roman"/>
          <w:sz w:val="24"/>
          <w:highlight w:val="none"/>
        </w:rPr>
        <w:t>约定的地址、联系人和通信终端，电子送达与书面送达具有同等法律效力。</w:t>
      </w:r>
    </w:p>
    <w:p w14:paraId="6C88B816">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lang w:eastAsia="zh-Hans"/>
        </w:rPr>
        <w:t>.4</w:t>
      </w:r>
      <w:r>
        <w:rPr>
          <w:rFonts w:hint="eastAsia" w:ascii="仿宋" w:hAnsi="仿宋" w:eastAsia="仿宋" w:cs="Times New Roman"/>
          <w:sz w:val="24"/>
          <w:highlight w:val="none"/>
        </w:rPr>
        <w:t xml:space="preserve"> 一方当事人变更名称、地址、联系人或通信终端的，应当在变更后及时书面通知对方当事人，否则另一方按照合同约定地址邮寄第3天视为送达，向约定电子邮箱发送成功即为送达。</w:t>
      </w:r>
    </w:p>
    <w:p w14:paraId="77BE996C">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8.5</w:t>
      </w:r>
      <w:r>
        <w:rPr>
          <w:rFonts w:hint="eastAsia" w:ascii="仿宋" w:hAnsi="仿宋" w:eastAsia="仿宋" w:cs="Times New Roman"/>
          <w:sz w:val="24"/>
          <w:highlight w:val="none"/>
        </w:rPr>
        <w:t>本合同一式</w:t>
      </w:r>
      <w:r>
        <w:rPr>
          <w:rFonts w:hint="eastAsia" w:ascii="仿宋" w:hAnsi="仿宋" w:eastAsia="仿宋" w:cs="Times New Roman"/>
          <w:sz w:val="24"/>
          <w:highlight w:val="none"/>
          <w:lang w:val="en-US" w:eastAsia="zh-CN"/>
        </w:rPr>
        <w:t>陆</w:t>
      </w:r>
      <w:r>
        <w:rPr>
          <w:rFonts w:hint="eastAsia" w:ascii="仿宋" w:hAnsi="仿宋" w:eastAsia="仿宋" w:cs="Times New Roman"/>
          <w:sz w:val="24"/>
          <w:highlight w:val="none"/>
        </w:rPr>
        <w:t>份，甲方</w:t>
      </w:r>
      <w:r>
        <w:rPr>
          <w:rFonts w:hint="eastAsia" w:ascii="仿宋" w:hAnsi="仿宋" w:eastAsia="仿宋" w:cs="Times New Roman"/>
          <w:sz w:val="24"/>
          <w:highlight w:val="none"/>
          <w:lang w:val="en-US" w:eastAsia="zh-CN"/>
        </w:rPr>
        <w:t>肆</w:t>
      </w:r>
      <w:r>
        <w:rPr>
          <w:rFonts w:hint="eastAsia" w:ascii="仿宋" w:hAnsi="仿宋" w:eastAsia="仿宋" w:cs="Times New Roman"/>
          <w:sz w:val="24"/>
          <w:highlight w:val="none"/>
        </w:rPr>
        <w:t>份，乙方 贰 份，具有同等法律效力。</w:t>
      </w:r>
    </w:p>
    <w:p w14:paraId="62494C58">
      <w:pPr>
        <w:keepNext w:val="0"/>
        <w:keepLines w:val="0"/>
        <w:pageBreakBefore w:val="0"/>
        <w:kinsoku/>
        <w:wordWrap/>
        <w:overflowPunct/>
        <w:topLinePunct w:val="0"/>
        <w:autoSpaceDE/>
        <w:autoSpaceDN/>
        <w:bidi w:val="0"/>
        <w:adjustRightInd/>
        <w:spacing w:line="440" w:lineRule="exact"/>
        <w:ind w:left="0" w:leftChars="0" w:right="0" w:rightChars="0" w:firstLine="640" w:firstLineChars="200"/>
        <w:jc w:val="left"/>
        <w:textAlignment w:val="auto"/>
        <w:rPr>
          <w:rFonts w:hint="default" w:ascii="Times New Roman" w:hAnsi="Times New Roman" w:eastAsia="仿宋_GB2312" w:cs="Times New Roman"/>
          <w:sz w:val="32"/>
          <w:szCs w:val="32"/>
          <w:highlight w:val="none"/>
        </w:rPr>
      </w:pPr>
    </w:p>
    <w:p w14:paraId="379DE4D3">
      <w:pPr>
        <w:wordWrap w:val="0"/>
        <w:adjustRightInd w:val="0"/>
        <w:snapToGrid w:val="0"/>
        <w:spacing w:line="360" w:lineRule="auto"/>
        <w:ind w:firstLine="480" w:firstLineChars="20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（以下无正文）</w:t>
      </w:r>
    </w:p>
    <w:p w14:paraId="18E5792C">
      <w:pPr>
        <w:wordWrap w:val="0"/>
        <w:adjustRightInd w:val="0"/>
        <w:snapToGrid w:val="0"/>
        <w:spacing w:line="360" w:lineRule="auto"/>
        <w:ind w:firstLine="480" w:firstLineChars="200"/>
        <w:rPr>
          <w:rFonts w:hint="eastAsia" w:ascii="Times New Roman" w:hAnsi="Times New Roman" w:eastAsia="仿宋"/>
          <w:color w:val="auto"/>
          <w:sz w:val="24"/>
          <w:highlight w:val="none"/>
        </w:rPr>
        <w:sectPr>
          <w:pgSz w:w="11906" w:h="16838"/>
          <w:pgMar w:top="1440" w:right="1800" w:bottom="1440" w:left="1800" w:header="851" w:footer="992" w:gutter="0"/>
          <w:cols w:space="425" w:num="1"/>
          <w:docGrid w:type="lines" w:linePitch="312" w:charSpace="0"/>
        </w:sectPr>
      </w:pPr>
    </w:p>
    <w:p w14:paraId="27A6B897">
      <w:pPr>
        <w:wordWrap w:val="0"/>
        <w:adjustRightInd w:val="0"/>
        <w:snapToGrid w:val="0"/>
        <w:spacing w:line="360" w:lineRule="auto"/>
        <w:ind w:firstLine="480" w:firstLineChars="200"/>
        <w:rPr>
          <w:rFonts w:hint="eastAsia" w:ascii="Times New Roman" w:hAnsi="Times New Roman" w:eastAsia="仿宋"/>
          <w:color w:val="auto"/>
          <w:sz w:val="24"/>
          <w:highlight w:val="none"/>
        </w:rPr>
      </w:pPr>
    </w:p>
    <w:tbl>
      <w:tblPr>
        <w:tblStyle w:val="27"/>
        <w:tblW w:w="0" w:type="auto"/>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9"/>
        <w:gridCol w:w="4158"/>
      </w:tblGrid>
      <w:tr w14:paraId="76E2E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9" w:type="dxa"/>
            <w:noWrap w:val="0"/>
            <w:vAlign w:val="top"/>
          </w:tcPr>
          <w:p w14:paraId="6D5487FB">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default" w:ascii="Times New Roman" w:hAnsi="Times New Roman" w:eastAsia="仿宋"/>
                <w:color w:val="auto"/>
                <w:sz w:val="24"/>
                <w:highlight w:val="none"/>
              </w:rPr>
              <w:t>甲方：</w:t>
            </w:r>
            <w:r>
              <w:rPr>
                <w:rFonts w:hint="eastAsia" w:eastAsia="仿宋"/>
                <w:color w:val="auto"/>
                <w:sz w:val="24"/>
                <w:highlight w:val="none"/>
                <w:lang w:val="en-US" w:eastAsia="zh-CN"/>
              </w:rPr>
              <w:t xml:space="preserve">        </w:t>
            </w:r>
            <w:r>
              <w:rPr>
                <w:rFonts w:hint="eastAsia" w:ascii="Times New Roman" w:hAnsi="Times New Roman" w:eastAsia="仿宋"/>
                <w:color w:val="auto"/>
                <w:sz w:val="24"/>
                <w:highlight w:val="none"/>
              </w:rPr>
              <w:t>（盖章）</w:t>
            </w:r>
          </w:p>
          <w:p w14:paraId="5E66B7AB">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法定代表人</w:t>
            </w:r>
            <w:r>
              <w:rPr>
                <w:rFonts w:hint="eastAsia" w:ascii="Times New Roman" w:hAnsi="Times New Roman" w:eastAsia="仿宋"/>
                <w:color w:val="auto"/>
                <w:sz w:val="24"/>
                <w:highlight w:val="none"/>
              </w:rPr>
              <w:t>或授权代表</w:t>
            </w:r>
            <w:r>
              <w:rPr>
                <w:rFonts w:hint="default" w:ascii="Times New Roman" w:hAnsi="Times New Roman" w:eastAsia="仿宋"/>
                <w:color w:val="auto"/>
                <w:sz w:val="24"/>
                <w:highlight w:val="none"/>
              </w:rPr>
              <w:t>：</w:t>
            </w:r>
          </w:p>
          <w:p w14:paraId="7304E35F">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ascii="Times New Roman" w:hAnsi="Times New Roman" w:eastAsia="仿宋"/>
                <w:color w:val="auto"/>
                <w:sz w:val="24"/>
                <w:highlight w:val="none"/>
              </w:rPr>
              <w:t>（签字或签章）</w:t>
            </w:r>
          </w:p>
          <w:p w14:paraId="025577F3">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p>
          <w:p w14:paraId="2D88B418">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地址：</w:t>
            </w:r>
          </w:p>
          <w:p w14:paraId="087D573D">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default" w:ascii="Times New Roman" w:hAnsi="Times New Roman" w:eastAsia="仿宋"/>
                <w:color w:val="auto"/>
                <w:sz w:val="24"/>
                <w:highlight w:val="none"/>
              </w:rPr>
              <w:t>开户行：</w:t>
            </w:r>
            <w:r>
              <w:rPr>
                <w:rFonts w:hint="eastAsia" w:eastAsia="仿宋"/>
                <w:color w:val="auto"/>
                <w:sz w:val="24"/>
                <w:highlight w:val="none"/>
                <w:lang w:val="en-US" w:eastAsia="zh-CN"/>
              </w:rPr>
              <w:t xml:space="preserve"> </w:t>
            </w:r>
          </w:p>
          <w:p w14:paraId="7240E481">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default" w:ascii="Times New Roman" w:hAnsi="Times New Roman" w:eastAsia="仿宋"/>
                <w:color w:val="auto"/>
                <w:sz w:val="24"/>
                <w:highlight w:val="none"/>
              </w:rPr>
              <w:t>账号</w:t>
            </w:r>
            <w:r>
              <w:rPr>
                <w:rFonts w:hint="eastAsia" w:ascii="Times New Roman" w:hAnsi="Times New Roman" w:eastAsia="仿宋"/>
                <w:color w:val="auto"/>
                <w:sz w:val="24"/>
                <w:highlight w:val="none"/>
              </w:rPr>
              <w:t>：</w:t>
            </w:r>
            <w:r>
              <w:rPr>
                <w:rFonts w:hint="eastAsia" w:eastAsia="仿宋"/>
                <w:color w:val="auto"/>
                <w:sz w:val="24"/>
                <w:highlight w:val="none"/>
                <w:lang w:val="en-US" w:eastAsia="zh-CN"/>
              </w:rPr>
              <w:t xml:space="preserve"> </w:t>
            </w:r>
          </w:p>
          <w:p w14:paraId="436E6851">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税号：</w:t>
            </w:r>
            <w:r>
              <w:rPr>
                <w:rFonts w:hint="eastAsia" w:eastAsia="仿宋"/>
                <w:color w:val="auto"/>
                <w:sz w:val="24"/>
                <w:highlight w:val="none"/>
                <w:lang w:val="en-US" w:eastAsia="zh-CN"/>
              </w:rPr>
              <w:t xml:space="preserve"> </w:t>
            </w:r>
          </w:p>
          <w:p w14:paraId="3ACCD13B">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电话：</w:t>
            </w:r>
            <w:r>
              <w:rPr>
                <w:rFonts w:hint="eastAsia" w:eastAsia="仿宋"/>
                <w:color w:val="auto"/>
                <w:sz w:val="24"/>
                <w:highlight w:val="none"/>
                <w:lang w:val="en-US" w:eastAsia="zh-CN"/>
              </w:rPr>
              <w:t xml:space="preserve"> </w:t>
            </w:r>
          </w:p>
          <w:p w14:paraId="054D9D72">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项目负责人：</w:t>
            </w:r>
            <w:r>
              <w:rPr>
                <w:rFonts w:hint="eastAsia" w:eastAsia="仿宋"/>
                <w:color w:val="auto"/>
                <w:sz w:val="24"/>
                <w:highlight w:val="none"/>
                <w:lang w:val="en-US" w:eastAsia="zh-CN"/>
              </w:rPr>
              <w:t xml:space="preserve"> </w:t>
            </w:r>
          </w:p>
          <w:p w14:paraId="1A04F43A">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电话：</w:t>
            </w:r>
            <w:r>
              <w:rPr>
                <w:rFonts w:hint="eastAsia" w:eastAsia="仿宋"/>
                <w:color w:val="auto"/>
                <w:sz w:val="24"/>
                <w:highlight w:val="none"/>
                <w:lang w:val="en-US" w:eastAsia="zh-CN"/>
              </w:rPr>
              <w:t xml:space="preserve"> </w:t>
            </w:r>
          </w:p>
          <w:p w14:paraId="382495A3">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eastAsia="仿宋"/>
                <w:color w:val="auto"/>
                <w:sz w:val="24"/>
                <w:highlight w:val="none"/>
                <w:lang w:eastAsia="zh-CN"/>
              </w:rPr>
              <w:t>电子邮箱</w:t>
            </w:r>
            <w:r>
              <w:rPr>
                <w:rFonts w:hint="default" w:ascii="Times New Roman" w:hAnsi="Times New Roman" w:eastAsia="仿宋"/>
                <w:color w:val="auto"/>
                <w:sz w:val="24"/>
                <w:highlight w:val="none"/>
              </w:rPr>
              <w:t>：</w:t>
            </w:r>
          </w:p>
          <w:p w14:paraId="1F334F2A">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p>
          <w:p w14:paraId="70C39317">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签订时间：</w:t>
            </w:r>
            <w:r>
              <w:rPr>
                <w:rFonts w:hint="eastAsia" w:ascii="Times New Roman" w:hAnsi="Times New Roman" w:eastAsia="仿宋"/>
                <w:color w:val="auto"/>
                <w:sz w:val="24"/>
                <w:highlight w:val="none"/>
              </w:rPr>
              <w:t xml:space="preserve"> </w:t>
            </w:r>
            <w:r>
              <w:rPr>
                <w:rFonts w:hint="eastAsia" w:ascii="Times New Roman" w:hAnsi="Times New Roman"/>
                <w:color w:val="auto"/>
                <w:sz w:val="24"/>
                <w:highlight w:val="none"/>
              </w:rPr>
              <w:t>202</w:t>
            </w:r>
            <w:r>
              <w:rPr>
                <w:rFonts w:hint="eastAsia" w:ascii="Times New Roman" w:hAnsi="Times New Roman"/>
                <w:color w:val="auto"/>
                <w:sz w:val="24"/>
                <w:highlight w:val="none"/>
                <w:lang w:val="en-US" w:eastAsia="zh-CN"/>
              </w:rPr>
              <w:t>5</w:t>
            </w:r>
            <w:r>
              <w:rPr>
                <w:rFonts w:hint="eastAsia" w:ascii="Times New Roman" w:hAnsi="Times New Roman"/>
                <w:color w:val="auto"/>
                <w:sz w:val="24"/>
                <w:highlight w:val="none"/>
              </w:rPr>
              <w:t xml:space="preserve"> </w:t>
            </w:r>
            <w:r>
              <w:rPr>
                <w:rFonts w:hint="default" w:ascii="Times New Roman" w:hAnsi="Times New Roman" w:eastAsia="仿宋"/>
                <w:color w:val="auto"/>
                <w:sz w:val="24"/>
                <w:highlight w:val="none"/>
              </w:rPr>
              <w:t xml:space="preserve">年   </w:t>
            </w:r>
            <w:r>
              <w:rPr>
                <w:rFonts w:hint="eastAsia" w:ascii="Times New Roman" w:hAnsi="Times New Roman" w:eastAsia="仿宋"/>
                <w:color w:val="auto"/>
                <w:sz w:val="24"/>
                <w:highlight w:val="none"/>
              </w:rPr>
              <w:t xml:space="preserve"> </w:t>
            </w:r>
            <w:r>
              <w:rPr>
                <w:rFonts w:hint="default" w:ascii="Times New Roman" w:hAnsi="Times New Roman" w:eastAsia="仿宋"/>
                <w:color w:val="auto"/>
                <w:sz w:val="24"/>
                <w:highlight w:val="none"/>
              </w:rPr>
              <w:t xml:space="preserve">月   </w:t>
            </w:r>
            <w:r>
              <w:rPr>
                <w:rFonts w:hint="eastAsia" w:ascii="Times New Roman" w:hAnsi="Times New Roman" w:eastAsia="仿宋"/>
                <w:color w:val="auto"/>
                <w:sz w:val="24"/>
                <w:highlight w:val="none"/>
              </w:rPr>
              <w:t xml:space="preserve"> </w:t>
            </w:r>
            <w:r>
              <w:rPr>
                <w:rFonts w:hint="default" w:ascii="Times New Roman" w:hAnsi="Times New Roman" w:eastAsia="仿宋"/>
                <w:color w:val="auto"/>
                <w:sz w:val="24"/>
                <w:highlight w:val="none"/>
              </w:rPr>
              <w:t>日</w:t>
            </w:r>
          </w:p>
        </w:tc>
        <w:tc>
          <w:tcPr>
            <w:tcW w:w="4158" w:type="dxa"/>
            <w:noWrap w:val="0"/>
            <w:vAlign w:val="top"/>
          </w:tcPr>
          <w:p w14:paraId="727C53C9">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乙</w:t>
            </w:r>
            <w:r>
              <w:rPr>
                <w:rFonts w:hint="default" w:ascii="Times New Roman" w:hAnsi="Times New Roman" w:eastAsia="仿宋"/>
                <w:color w:val="auto"/>
                <w:sz w:val="24"/>
                <w:highlight w:val="none"/>
              </w:rPr>
              <w:t>方：</w:t>
            </w:r>
            <w:r>
              <w:rPr>
                <w:rFonts w:hint="eastAsia" w:ascii="Times New Roman" w:hAnsi="Times New Roman" w:eastAsia="仿宋"/>
                <w:color w:val="auto"/>
                <w:sz w:val="24"/>
                <w:highlight w:val="none"/>
                <w:lang w:val="en-US" w:eastAsia="zh-CN"/>
              </w:rPr>
              <w:t xml:space="preserve">               </w:t>
            </w:r>
            <w:r>
              <w:rPr>
                <w:rFonts w:hint="eastAsia" w:ascii="Times New Roman" w:hAnsi="Times New Roman" w:eastAsia="仿宋"/>
                <w:color w:val="auto"/>
                <w:sz w:val="24"/>
                <w:highlight w:val="none"/>
              </w:rPr>
              <w:t>（盖章）</w:t>
            </w:r>
          </w:p>
          <w:p w14:paraId="655AFBFD">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default" w:ascii="Times New Roman" w:hAnsi="Times New Roman" w:eastAsia="仿宋"/>
                <w:color w:val="auto"/>
                <w:sz w:val="24"/>
                <w:highlight w:val="none"/>
              </w:rPr>
              <w:t>法定代表人</w:t>
            </w:r>
            <w:r>
              <w:rPr>
                <w:rFonts w:hint="eastAsia" w:ascii="Times New Roman" w:hAnsi="Times New Roman" w:eastAsia="仿宋"/>
                <w:color w:val="auto"/>
                <w:sz w:val="24"/>
                <w:highlight w:val="none"/>
              </w:rPr>
              <w:t>或授权代表</w:t>
            </w:r>
            <w:r>
              <w:rPr>
                <w:rFonts w:hint="default" w:ascii="Times New Roman" w:hAnsi="Times New Roman" w:eastAsia="仿宋"/>
                <w:color w:val="auto"/>
                <w:sz w:val="24"/>
                <w:highlight w:val="none"/>
              </w:rPr>
              <w:t>：</w:t>
            </w:r>
          </w:p>
          <w:p w14:paraId="46BEF72F">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（签字或签章）</w:t>
            </w:r>
          </w:p>
          <w:p w14:paraId="55E8E29A">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p>
          <w:p w14:paraId="67754D1D">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地址：</w:t>
            </w:r>
          </w:p>
          <w:p w14:paraId="23F86536">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default" w:ascii="Times New Roman" w:hAnsi="Times New Roman" w:eastAsia="仿宋"/>
                <w:color w:val="auto"/>
                <w:sz w:val="24"/>
                <w:highlight w:val="none"/>
              </w:rPr>
              <w:t>开户行：</w:t>
            </w:r>
          </w:p>
          <w:p w14:paraId="67035BF0">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账号：</w:t>
            </w:r>
          </w:p>
          <w:p w14:paraId="32D303EF">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税号：</w:t>
            </w:r>
          </w:p>
          <w:p w14:paraId="39FC5B63">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电话：</w:t>
            </w:r>
          </w:p>
          <w:p w14:paraId="7AAE9A29">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项目负责人：</w:t>
            </w:r>
          </w:p>
          <w:p w14:paraId="7A4B164B">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ascii="Times New Roman" w:hAnsi="Times New Roman" w:eastAsia="仿宋"/>
                <w:color w:val="auto"/>
                <w:sz w:val="24"/>
                <w:highlight w:val="none"/>
              </w:rPr>
              <w:t>电话：</w:t>
            </w:r>
          </w:p>
          <w:p w14:paraId="5C11355C">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eastAsia="仿宋"/>
                <w:color w:val="auto"/>
                <w:sz w:val="24"/>
                <w:highlight w:val="none"/>
                <w:lang w:eastAsia="zh-CN"/>
              </w:rPr>
              <w:t>电子邮箱</w:t>
            </w:r>
            <w:r>
              <w:rPr>
                <w:rFonts w:hint="default" w:ascii="Times New Roman" w:hAnsi="Times New Roman" w:eastAsia="仿宋"/>
                <w:color w:val="auto"/>
                <w:sz w:val="24"/>
                <w:highlight w:val="none"/>
              </w:rPr>
              <w:t>：</w:t>
            </w:r>
          </w:p>
          <w:p w14:paraId="22C992EE">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p>
          <w:p w14:paraId="6A2BEFD9">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签订时间：</w:t>
            </w:r>
            <w:r>
              <w:rPr>
                <w:rFonts w:hint="eastAsia" w:ascii="Times New Roman" w:hAnsi="Times New Roman" w:eastAsia="仿宋"/>
                <w:color w:val="auto"/>
                <w:sz w:val="24"/>
                <w:highlight w:val="none"/>
              </w:rPr>
              <w:t xml:space="preserve"> 202</w:t>
            </w:r>
            <w:r>
              <w:rPr>
                <w:rFonts w:hint="eastAsia" w:ascii="Times New Roman" w:hAnsi="Times New Roman" w:eastAsia="仿宋"/>
                <w:color w:val="auto"/>
                <w:sz w:val="24"/>
                <w:highlight w:val="none"/>
                <w:lang w:val="en-US" w:eastAsia="zh-CN"/>
              </w:rPr>
              <w:t>5</w:t>
            </w:r>
            <w:r>
              <w:rPr>
                <w:rFonts w:hint="default" w:ascii="Times New Roman" w:hAnsi="Times New Roman" w:eastAsia="仿宋"/>
                <w:color w:val="auto"/>
                <w:sz w:val="24"/>
                <w:highlight w:val="none"/>
              </w:rPr>
              <w:t>年</w:t>
            </w:r>
            <w:r>
              <w:rPr>
                <w:rFonts w:hint="eastAsia" w:ascii="Times New Roman" w:hAnsi="Times New Roman" w:eastAsia="仿宋"/>
                <w:color w:val="auto"/>
                <w:sz w:val="24"/>
                <w:highlight w:val="none"/>
                <w:lang w:val="en-US" w:eastAsia="zh-CN"/>
              </w:rPr>
              <w:t xml:space="preserve">    </w:t>
            </w:r>
            <w:r>
              <w:rPr>
                <w:rFonts w:hint="default" w:ascii="Times New Roman" w:hAnsi="Times New Roman" w:eastAsia="仿宋"/>
                <w:color w:val="auto"/>
                <w:sz w:val="24"/>
                <w:highlight w:val="none"/>
              </w:rPr>
              <w:t>月</w:t>
            </w:r>
            <w:r>
              <w:rPr>
                <w:rFonts w:hint="eastAsia" w:ascii="Times New Roman" w:hAnsi="Times New Roman" w:eastAsia="仿宋"/>
                <w:color w:val="auto"/>
                <w:sz w:val="24"/>
                <w:highlight w:val="none"/>
                <w:lang w:val="en-US" w:eastAsia="zh-CN"/>
              </w:rPr>
              <w:t xml:space="preserve">    </w:t>
            </w:r>
            <w:r>
              <w:rPr>
                <w:rFonts w:hint="default" w:ascii="Times New Roman" w:hAnsi="Times New Roman" w:eastAsia="仿宋"/>
                <w:color w:val="auto"/>
                <w:sz w:val="24"/>
                <w:highlight w:val="none"/>
              </w:rPr>
              <w:t>日</w:t>
            </w:r>
          </w:p>
        </w:tc>
      </w:tr>
    </w:tbl>
    <w:p w14:paraId="2DBE5603">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2F1FEBE0">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168B654D">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2FDC8B9B">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01305EC9">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7FF32B5A">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0D6D97DC">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7608B29A">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3A2F52D7">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764F26D6">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62D349B0">
      <w:pPr>
        <w:pStyle w:val="53"/>
        <w:pageBreakBefore w:val="0"/>
        <w:wordWrap/>
        <w:topLinePunct w:val="0"/>
        <w:bidi w:val="0"/>
        <w:adjustRightInd w:val="0"/>
        <w:snapToGrid w:val="0"/>
        <w:spacing w:beforeLines="0" w:after="0" w:afterLines="0" w:line="560" w:lineRule="exact"/>
        <w:ind w:firstLine="0"/>
        <w:jc w:val="left"/>
        <w:rPr>
          <w:rFonts w:hint="eastAsia" w:ascii="仿宋_GB2312" w:hAnsi="仿宋_GB2312" w:eastAsia="仿宋" w:cs="仿宋_GB2312"/>
          <w:b w:val="0"/>
          <w:bCs w:val="0"/>
          <w:color w:val="auto"/>
          <w:sz w:val="32"/>
          <w:szCs w:val="32"/>
          <w:highlight w:val="none"/>
          <w:lang w:eastAsia="zh-CN"/>
        </w:rPr>
      </w:pPr>
    </w:p>
    <w:p w14:paraId="5E570823">
      <w:pPr>
        <w:widowControl/>
        <w:jc w:val="both"/>
        <w:rPr>
          <w:rFonts w:hint="eastAsia" w:eastAsia="黑体" w:cs="Times New Roman"/>
          <w:b w:val="0"/>
          <w:bCs/>
          <w:sz w:val="32"/>
          <w:szCs w:val="32"/>
          <w:highlight w:val="none"/>
          <w:lang w:val="en-US" w:eastAsia="zh-CN"/>
        </w:rPr>
      </w:pPr>
      <w:r>
        <w:rPr>
          <w:rFonts w:hint="eastAsia" w:eastAsia="黑体" w:cs="Times New Roman"/>
          <w:b w:val="0"/>
          <w:bCs/>
          <w:sz w:val="32"/>
          <w:szCs w:val="32"/>
          <w:highlight w:val="none"/>
          <w:lang w:val="en-US" w:eastAsia="zh-CN"/>
        </w:rPr>
        <w:t>附件：</w:t>
      </w:r>
      <w:r>
        <w:rPr>
          <w:rFonts w:hint="eastAsia" w:ascii="Times New Roman" w:hAnsi="Times New Roman" w:eastAsia="黑体" w:cs="Times New Roman"/>
          <w:b w:val="0"/>
          <w:bCs/>
          <w:sz w:val="32"/>
          <w:szCs w:val="32"/>
          <w:highlight w:val="none"/>
          <w:lang w:val="en-US" w:eastAsia="zh-CN"/>
        </w:rPr>
        <w:t>合同模板</w:t>
      </w:r>
      <w:r>
        <w:rPr>
          <w:rFonts w:hint="eastAsia" w:eastAsia="黑体" w:cs="Times New Roman"/>
          <w:b w:val="0"/>
          <w:bCs/>
          <w:sz w:val="32"/>
          <w:szCs w:val="32"/>
          <w:highlight w:val="none"/>
          <w:lang w:val="en-US" w:eastAsia="zh-CN"/>
        </w:rPr>
        <w:t>（样本）</w:t>
      </w:r>
    </w:p>
    <w:p w14:paraId="3810D67A">
      <w:pPr>
        <w:jc w:val="center"/>
        <w:rPr>
          <w:rFonts w:hint="eastAsia" w:ascii="方正小标宋简体" w:hAnsi="方正小标宋简体" w:eastAsia="方正小标宋简体" w:cs="方正小标宋简体"/>
          <w:b/>
          <w:color w:val="auto"/>
          <w:sz w:val="36"/>
          <w:szCs w:val="44"/>
          <w:highlight w:val="none"/>
        </w:rPr>
      </w:pPr>
      <w:r>
        <w:rPr>
          <w:rFonts w:hint="eastAsia" w:ascii="方正小标宋简体" w:hAnsi="方正小标宋简体" w:eastAsia="方正小标宋简体" w:cs="方正小标宋简体"/>
          <w:b/>
          <w:bCs/>
          <w:color w:val="auto"/>
          <w:sz w:val="36"/>
          <w:szCs w:val="44"/>
          <w:highlight w:val="none"/>
        </w:rPr>
        <w:t>智能制造能力成熟度模型（CMMM）三级</w:t>
      </w:r>
      <w:r>
        <w:rPr>
          <w:rFonts w:hint="eastAsia" w:ascii="方正小标宋简体" w:hAnsi="方正小标宋简体" w:eastAsia="方正小标宋简体" w:cs="方正小标宋简体"/>
          <w:b/>
          <w:bCs/>
          <w:color w:val="auto"/>
          <w:sz w:val="36"/>
          <w:szCs w:val="44"/>
          <w:highlight w:val="none"/>
          <w:lang w:val="en-US" w:eastAsia="zh-CN"/>
        </w:rPr>
        <w:br w:type="textWrapping"/>
      </w:r>
      <w:r>
        <w:rPr>
          <w:rFonts w:hint="eastAsia" w:ascii="方正小标宋简体" w:hAnsi="方正小标宋简体" w:eastAsia="方正小标宋简体" w:cs="方正小标宋简体"/>
          <w:b/>
          <w:bCs/>
          <w:color w:val="auto"/>
          <w:sz w:val="36"/>
          <w:szCs w:val="44"/>
          <w:highlight w:val="none"/>
        </w:rPr>
        <w:t>咨询评估委托合同</w:t>
      </w:r>
    </w:p>
    <w:p w14:paraId="7A3021B2">
      <w:pPr>
        <w:wordWrap w:val="0"/>
        <w:adjustRightInd w:val="0"/>
        <w:snapToGrid w:val="0"/>
        <w:spacing w:line="360" w:lineRule="auto"/>
        <w:ind w:firstLine="480" w:firstLineChars="200"/>
        <w:rPr>
          <w:rFonts w:ascii="Times New Roman" w:hAnsi="Times New Roman" w:eastAsia="仿宋"/>
          <w:color w:val="auto"/>
          <w:sz w:val="24"/>
          <w:highlight w:val="none"/>
        </w:rPr>
      </w:pPr>
      <w:r>
        <w:rPr>
          <w:rFonts w:ascii="Times New Roman" w:hAnsi="Times New Roman" w:eastAsia="仿宋"/>
          <w:color w:val="auto"/>
          <w:sz w:val="24"/>
          <w:highlight w:val="none"/>
        </w:rPr>
        <w:t xml:space="preserve">                                        </w:t>
      </w:r>
    </w:p>
    <w:p w14:paraId="3B1B6F94">
      <w:pPr>
        <w:wordWrap w:val="0"/>
        <w:adjustRightInd w:val="0"/>
        <w:snapToGrid w:val="0"/>
        <w:spacing w:line="360" w:lineRule="auto"/>
        <w:rPr>
          <w:rFonts w:hint="default" w:ascii="Times New Roman" w:hAnsi="Times New Roman" w:eastAsia="仿宋"/>
          <w:color w:val="auto"/>
          <w:sz w:val="24"/>
          <w:highlight w:val="none"/>
          <w:lang w:val="en-US" w:eastAsia="zh-CN"/>
        </w:rPr>
      </w:pPr>
      <w:r>
        <w:rPr>
          <w:rFonts w:ascii="Times New Roman" w:hAnsi="Times New Roman" w:eastAsia="仿宋"/>
          <w:color w:val="auto"/>
          <w:sz w:val="24"/>
          <w:highlight w:val="none"/>
        </w:rPr>
        <w:t>甲方：</w:t>
      </w:r>
      <w:r>
        <w:rPr>
          <w:rFonts w:hint="eastAsia" w:eastAsia="仿宋"/>
          <w:color w:val="auto"/>
          <w:sz w:val="24"/>
          <w:highlight w:val="none"/>
          <w:lang w:val="en-US" w:eastAsia="zh-CN"/>
        </w:rPr>
        <w:t xml:space="preserve">                          </w:t>
      </w:r>
      <w:r>
        <w:rPr>
          <w:rFonts w:ascii="Times New Roman" w:hAnsi="Times New Roman" w:eastAsia="仿宋"/>
          <w:color w:val="auto"/>
          <w:sz w:val="24"/>
          <w:highlight w:val="none"/>
        </w:rPr>
        <w:t xml:space="preserve">    </w:t>
      </w:r>
      <w:r>
        <w:rPr>
          <w:rFonts w:hint="eastAsia" w:ascii="Times New Roman" w:hAnsi="Times New Roman" w:eastAsia="仿宋"/>
          <w:color w:val="auto"/>
          <w:sz w:val="24"/>
          <w:highlight w:val="none"/>
        </w:rPr>
        <w:t xml:space="preserve">       </w:t>
      </w:r>
      <w:r>
        <w:rPr>
          <w:rFonts w:ascii="Times New Roman" w:hAnsi="Times New Roman" w:eastAsia="仿宋"/>
          <w:color w:val="auto"/>
          <w:sz w:val="24"/>
          <w:highlight w:val="none"/>
        </w:rPr>
        <w:t>合同编号：</w:t>
      </w:r>
      <w:r>
        <w:rPr>
          <w:rFonts w:hint="eastAsia" w:ascii="Times New Roman" w:hAnsi="Times New Roman" w:eastAsia="仿宋"/>
          <w:color w:val="auto"/>
          <w:sz w:val="24"/>
          <w:highlight w:val="none"/>
          <w:lang w:val="en-US" w:eastAsia="zh-CN"/>
        </w:rPr>
        <w:t>XXX</w:t>
      </w:r>
    </w:p>
    <w:p w14:paraId="21211C8F">
      <w:pPr>
        <w:wordWrap w:val="0"/>
        <w:adjustRightInd w:val="0"/>
        <w:snapToGrid w:val="0"/>
        <w:spacing w:line="360" w:lineRule="auto"/>
        <w:rPr>
          <w:rFonts w:hint="eastAsia" w:ascii="Times New Roman" w:hAnsi="Times New Roman" w:eastAsia="仿宋"/>
          <w:color w:val="auto"/>
          <w:sz w:val="24"/>
          <w:highlight w:val="none"/>
          <w:lang w:val="en-US" w:eastAsia="zh-CN"/>
        </w:rPr>
      </w:pPr>
      <w:r>
        <w:rPr>
          <w:rFonts w:ascii="Times New Roman" w:hAnsi="Times New Roman" w:eastAsia="仿宋"/>
          <w:color w:val="auto"/>
          <w:sz w:val="24"/>
          <w:highlight w:val="none"/>
        </w:rPr>
        <w:t>乙方：</w:t>
      </w:r>
      <w:r>
        <w:rPr>
          <w:rFonts w:hint="eastAsia" w:ascii="Times New Roman" w:hAnsi="Times New Roman" w:eastAsia="仿宋"/>
          <w:color w:val="auto"/>
          <w:sz w:val="24"/>
          <w:highlight w:val="none"/>
          <w:lang w:val="en-US" w:eastAsia="zh-CN"/>
        </w:rPr>
        <w:t xml:space="preserve">XXX                                </w:t>
      </w:r>
      <w:r>
        <w:rPr>
          <w:rFonts w:hint="eastAsia" w:ascii="Times New Roman" w:hAnsi="Times New Roman" w:eastAsia="仿宋"/>
          <w:color w:val="auto"/>
          <w:sz w:val="24"/>
          <w:highlight w:val="none"/>
        </w:rPr>
        <w:t xml:space="preserve"> </w:t>
      </w:r>
      <w:r>
        <w:rPr>
          <w:rFonts w:ascii="Times New Roman" w:hAnsi="Times New Roman" w:eastAsia="仿宋"/>
          <w:color w:val="auto"/>
          <w:sz w:val="24"/>
          <w:highlight w:val="none"/>
        </w:rPr>
        <w:t>签订地点：</w:t>
      </w:r>
      <w:r>
        <w:rPr>
          <w:rFonts w:hint="eastAsia" w:eastAsia="仿宋"/>
          <w:color w:val="auto"/>
          <w:sz w:val="24"/>
          <w:highlight w:val="none"/>
          <w:lang w:val="en-US" w:eastAsia="zh-CN"/>
        </w:rPr>
        <w:t xml:space="preserve"> </w:t>
      </w:r>
    </w:p>
    <w:p w14:paraId="3A8A1579">
      <w:pPr>
        <w:pStyle w:val="12"/>
        <w:rPr>
          <w:rFonts w:hint="eastAsia"/>
          <w:color w:val="auto"/>
          <w:highlight w:val="none"/>
        </w:rPr>
      </w:pPr>
    </w:p>
    <w:p w14:paraId="3E587D5D">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本合同甲方委托乙方就</w:t>
      </w:r>
      <w:r>
        <w:rPr>
          <w:rFonts w:hint="eastAsia" w:ascii="仿宋" w:hAnsi="仿宋" w:eastAsia="仿宋"/>
          <w:sz w:val="24"/>
          <w:highlight w:val="none"/>
          <w:lang w:val="en-US" w:eastAsia="zh-CN"/>
        </w:rPr>
        <w:t>xx</w:t>
      </w:r>
      <w:r>
        <w:rPr>
          <w:rFonts w:hint="eastAsia" w:ascii="仿宋" w:hAnsi="仿宋" w:eastAsia="仿宋"/>
          <w:sz w:val="24"/>
          <w:highlight w:val="none"/>
        </w:rPr>
        <w:t>公司智能制造能力成熟度模型（CMMM）三级评估项目（以下简称“本项目”）提供技术服务，并支付相应的技术服务报酬。双方在真实、充分地表达各自意愿的基础上，根据《中华人民共和国民法典》、技术合同及其他相关法律法规的规定，经过平等、友好协商，签订本合同，共同信守执行。</w:t>
      </w:r>
    </w:p>
    <w:p w14:paraId="76B63DA1">
      <w:pPr>
        <w:tabs>
          <w:tab w:val="left" w:pos="757"/>
        </w:tabs>
        <w:spacing w:line="360" w:lineRule="auto"/>
        <w:ind w:firstLine="482" w:firstLineChars="200"/>
        <w:jc w:val="both"/>
        <w:rPr>
          <w:rFonts w:hint="eastAsia" w:ascii="仿宋" w:hAnsi="仿宋" w:eastAsia="仿宋"/>
          <w:b/>
          <w:bCs/>
          <w:sz w:val="24"/>
          <w:highlight w:val="none"/>
        </w:rPr>
      </w:pPr>
      <w:r>
        <w:rPr>
          <w:rFonts w:hint="eastAsia" w:ascii="仿宋" w:hAnsi="仿宋" w:eastAsia="仿宋"/>
          <w:b/>
          <w:bCs/>
          <w:sz w:val="24"/>
          <w:highlight w:val="none"/>
        </w:rPr>
        <w:t>第一条 技术服务内容、方式和要求</w:t>
      </w:r>
    </w:p>
    <w:p w14:paraId="1A732D5C">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1.1 项目名称：</w:t>
      </w:r>
      <w:r>
        <w:rPr>
          <w:rFonts w:hint="eastAsia" w:ascii="仿宋" w:hAnsi="仿宋" w:eastAsia="仿宋"/>
          <w:sz w:val="24"/>
          <w:highlight w:val="none"/>
          <w:lang w:val="en-US" w:eastAsia="zh-CN"/>
        </w:rPr>
        <w:t>xx</w:t>
      </w:r>
      <w:r>
        <w:rPr>
          <w:rFonts w:hint="eastAsia" w:ascii="仿宋" w:hAnsi="仿宋" w:eastAsia="仿宋"/>
          <w:sz w:val="24"/>
          <w:highlight w:val="none"/>
        </w:rPr>
        <w:t>智能制造能力成熟度模型（CMMM）三级评估。</w:t>
      </w:r>
    </w:p>
    <w:p w14:paraId="6C79FBE2">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1.2 项目目标：依据《智能制造能力成熟度模型》(GB/T 39116-2020)和《智能制造能力成熟度评估方法》(GB/T 39117-2020)两项国家标准开展评估，</w:t>
      </w:r>
      <w:r>
        <w:rPr>
          <w:rFonts w:hint="eastAsia" w:ascii="仿宋" w:hAnsi="仿宋" w:eastAsia="仿宋"/>
          <w:sz w:val="24"/>
          <w:highlight w:val="none"/>
          <w:lang w:eastAsia="zh-CN"/>
        </w:rPr>
        <w:t>支撑甲方</w:t>
      </w:r>
      <w:r>
        <w:rPr>
          <w:rFonts w:hint="eastAsia" w:ascii="仿宋" w:hAnsi="仿宋" w:eastAsia="仿宋"/>
          <w:sz w:val="24"/>
          <w:highlight w:val="none"/>
        </w:rPr>
        <w:t>取得智能制造能力成熟度模型（CMMM）三级证书。</w:t>
      </w:r>
    </w:p>
    <w:p w14:paraId="272BADD8">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1.3 服务形式：技术咨询、现场评估（前期</w:t>
      </w:r>
      <w:r>
        <w:rPr>
          <w:rFonts w:hint="eastAsia" w:ascii="仿宋" w:hAnsi="仿宋" w:eastAsia="仿宋"/>
          <w:sz w:val="24"/>
          <w:highlight w:val="none"/>
          <w:lang w:eastAsia="zh-CN"/>
        </w:rPr>
        <w:t>调研诊断</w:t>
      </w:r>
      <w:r>
        <w:rPr>
          <w:rFonts w:hint="eastAsia" w:ascii="仿宋" w:hAnsi="仿宋" w:eastAsia="仿宋"/>
          <w:sz w:val="24"/>
          <w:highlight w:val="none"/>
        </w:rPr>
        <w:t>、</w:t>
      </w:r>
      <w:r>
        <w:rPr>
          <w:rFonts w:hint="eastAsia" w:ascii="仿宋" w:hAnsi="仿宋" w:eastAsia="仿宋"/>
          <w:sz w:val="24"/>
          <w:highlight w:val="none"/>
          <w:lang w:eastAsia="zh-CN"/>
        </w:rPr>
        <w:t>线上预评估、</w:t>
      </w:r>
      <w:r>
        <w:rPr>
          <w:rFonts w:hint="eastAsia" w:ascii="仿宋" w:hAnsi="仿宋" w:eastAsia="仿宋"/>
          <w:sz w:val="24"/>
          <w:highlight w:val="none"/>
        </w:rPr>
        <w:t>正式评估</w:t>
      </w:r>
      <w:r>
        <w:rPr>
          <w:rFonts w:hint="eastAsia" w:ascii="仿宋" w:hAnsi="仿宋" w:eastAsia="仿宋"/>
          <w:sz w:val="24"/>
          <w:highlight w:val="none"/>
          <w:lang w:eastAsia="zh-CN"/>
        </w:rPr>
        <w:t>、整改检查、专家复核</w:t>
      </w:r>
      <w:r>
        <w:rPr>
          <w:rFonts w:hint="eastAsia" w:ascii="仿宋" w:hAnsi="仿宋" w:eastAsia="仿宋"/>
          <w:sz w:val="24"/>
          <w:highlight w:val="none"/>
        </w:rPr>
        <w:t>）</w:t>
      </w:r>
      <w:r>
        <w:rPr>
          <w:rFonts w:hint="eastAsia" w:ascii="仿宋" w:hAnsi="仿宋" w:eastAsia="仿宋"/>
          <w:sz w:val="24"/>
          <w:highlight w:val="none"/>
          <w:lang w:eastAsia="zh-CN"/>
        </w:rPr>
        <w:t>、获取证书</w:t>
      </w:r>
      <w:r>
        <w:rPr>
          <w:rFonts w:hint="eastAsia" w:ascii="仿宋" w:hAnsi="仿宋" w:eastAsia="仿宋"/>
          <w:sz w:val="24"/>
          <w:highlight w:val="none"/>
        </w:rPr>
        <w:t>。</w:t>
      </w:r>
    </w:p>
    <w:p w14:paraId="2F170153">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1.4 服务内容和范围：</w:t>
      </w:r>
    </w:p>
    <w:p w14:paraId="3145A745">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1）乙方向甲方提供智能制造能力成熟度模型（CMMM）三级评估及相关咨询服务。</w:t>
      </w:r>
    </w:p>
    <w:p w14:paraId="7996D894">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2）乙方制定合理的评估内容，能够覆盖甲方的业务范围。</w:t>
      </w:r>
    </w:p>
    <w:p w14:paraId="1FC9E1DB">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3）乙方为甲方建立规范的智能制造能力成熟度模型（CMMM）三级评估流程。</w:t>
      </w:r>
    </w:p>
    <w:p w14:paraId="6917578B">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4）乙方向甲方提供可量化的评估结果，能反映每项评估内容的结果以及整体得分和等级。</w:t>
      </w:r>
    </w:p>
    <w:p w14:paraId="58739847">
      <w:pPr>
        <w:tabs>
          <w:tab w:val="left" w:pos="757"/>
        </w:tabs>
        <w:spacing w:line="360" w:lineRule="auto"/>
        <w:ind w:firstLine="480" w:firstLineChars="200"/>
        <w:jc w:val="both"/>
        <w:rPr>
          <w:rFonts w:hint="eastAsia" w:ascii="仿宋" w:hAnsi="仿宋" w:eastAsia="仿宋"/>
          <w:sz w:val="24"/>
          <w:highlight w:val="none"/>
        </w:rPr>
      </w:pPr>
      <w:r>
        <w:rPr>
          <w:rFonts w:hint="eastAsia" w:ascii="仿宋" w:hAnsi="仿宋" w:eastAsia="仿宋"/>
          <w:sz w:val="24"/>
          <w:highlight w:val="none"/>
        </w:rPr>
        <w:t>5）建立完备的服务团队保障智能制造能力成熟度模型（CMMM）三级评估工作的顺利开展。</w:t>
      </w:r>
    </w:p>
    <w:p w14:paraId="300D9589">
      <w:pPr>
        <w:tabs>
          <w:tab w:val="left" w:pos="757"/>
        </w:tabs>
        <w:spacing w:line="360" w:lineRule="auto"/>
        <w:ind w:firstLine="480" w:firstLineChars="200"/>
        <w:jc w:val="both"/>
        <w:rPr>
          <w:rFonts w:hint="eastAsia"/>
          <w:lang w:eastAsia="zh-CN"/>
        </w:rPr>
      </w:pPr>
      <w:r>
        <w:rPr>
          <w:rFonts w:hint="eastAsia" w:ascii="仿宋" w:hAnsi="仿宋" w:eastAsia="仿宋"/>
          <w:sz w:val="24"/>
          <w:highlight w:val="none"/>
          <w:lang w:eastAsia="zh-CN"/>
        </w:rPr>
        <w:t>具体服务内容、交付成果物以及节点如下：</w:t>
      </w:r>
    </w:p>
    <w:tbl>
      <w:tblPr>
        <w:tblStyle w:val="27"/>
        <w:tblW w:w="8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3"/>
        <w:gridCol w:w="2377"/>
        <w:gridCol w:w="2190"/>
        <w:gridCol w:w="2190"/>
      </w:tblGrid>
      <w:tr w14:paraId="5919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blHeader/>
          <w:jc w:val="center"/>
        </w:trPr>
        <w:tc>
          <w:tcPr>
            <w:tcW w:w="1813" w:type="dxa"/>
            <w:shd w:val="clear" w:color="auto" w:fill="FFFFFF"/>
            <w:noWrap w:val="0"/>
            <w:vAlign w:val="center"/>
          </w:tcPr>
          <w:p w14:paraId="29B436C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项目阶段</w:t>
            </w:r>
          </w:p>
        </w:tc>
        <w:tc>
          <w:tcPr>
            <w:tcW w:w="2377" w:type="dxa"/>
            <w:shd w:val="clear" w:color="auto" w:fill="FFFFFF"/>
            <w:noWrap w:val="0"/>
            <w:vAlign w:val="center"/>
          </w:tcPr>
          <w:p w14:paraId="4F654A7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工作内容</w:t>
            </w:r>
          </w:p>
        </w:tc>
        <w:tc>
          <w:tcPr>
            <w:tcW w:w="2190" w:type="dxa"/>
            <w:shd w:val="clear" w:color="auto" w:fill="FFFFFF"/>
            <w:noWrap w:val="0"/>
            <w:vAlign w:val="center"/>
          </w:tcPr>
          <w:p w14:paraId="12CBB087">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交付物</w:t>
            </w:r>
          </w:p>
        </w:tc>
        <w:tc>
          <w:tcPr>
            <w:tcW w:w="2190" w:type="dxa"/>
            <w:shd w:val="clear" w:color="auto" w:fill="FFFFFF"/>
            <w:noWrap w:val="0"/>
            <w:vAlign w:val="center"/>
          </w:tcPr>
          <w:p w14:paraId="189F9B8F">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交付时间</w:t>
            </w:r>
          </w:p>
        </w:tc>
      </w:tr>
      <w:tr w14:paraId="4A8C7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1" w:hRule="atLeast"/>
          <w:jc w:val="center"/>
        </w:trPr>
        <w:tc>
          <w:tcPr>
            <w:tcW w:w="1813" w:type="dxa"/>
            <w:noWrap w:val="0"/>
            <w:vAlign w:val="center"/>
          </w:tcPr>
          <w:p w14:paraId="02DAC87E">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项目调研及诊断</w:t>
            </w:r>
          </w:p>
        </w:tc>
        <w:tc>
          <w:tcPr>
            <w:tcW w:w="2377" w:type="dxa"/>
            <w:noWrap w:val="0"/>
            <w:vAlign w:val="center"/>
          </w:tcPr>
          <w:p w14:paraId="51261FD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项目启动会</w:t>
            </w:r>
          </w:p>
          <w:p w14:paraId="597F1F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确定专职人员</w:t>
            </w:r>
          </w:p>
          <w:p w14:paraId="4A61F3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现场调研</w:t>
            </w:r>
          </w:p>
          <w:p w14:paraId="1C0511B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开展自诊断工作</w:t>
            </w:r>
          </w:p>
        </w:tc>
        <w:tc>
          <w:tcPr>
            <w:tcW w:w="2190" w:type="dxa"/>
            <w:noWrap w:val="0"/>
            <w:vAlign w:val="center"/>
          </w:tcPr>
          <w:p w14:paraId="26784BC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启动PPT</w:t>
            </w:r>
          </w:p>
          <w:p w14:paraId="082F86B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智能制造调研计划</w:t>
            </w:r>
          </w:p>
          <w:p w14:paraId="1D42505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自诊断报告</w:t>
            </w:r>
          </w:p>
        </w:tc>
        <w:tc>
          <w:tcPr>
            <w:tcW w:w="2190" w:type="dxa"/>
            <w:noWrap w:val="0"/>
            <w:vAlign w:val="center"/>
          </w:tcPr>
          <w:p w14:paraId="0833268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2025年5月31日</w:t>
            </w:r>
          </w:p>
        </w:tc>
      </w:tr>
      <w:tr w14:paraId="1E673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813" w:type="dxa"/>
            <w:noWrap w:val="0"/>
            <w:vAlign w:val="center"/>
          </w:tcPr>
          <w:p w14:paraId="2271EE40">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资料准备及线上预评估</w:t>
            </w:r>
          </w:p>
        </w:tc>
        <w:tc>
          <w:tcPr>
            <w:tcW w:w="2377" w:type="dxa"/>
            <w:noWrap w:val="0"/>
            <w:vAlign w:val="center"/>
          </w:tcPr>
          <w:p w14:paraId="2187EF8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开展预评估：</w:t>
            </w:r>
            <w:r>
              <w:rPr>
                <w:rFonts w:hint="eastAsia" w:ascii="仿宋_GB2312" w:hAnsi="仿宋_GB2312" w:eastAsia="仿宋_GB2312" w:cs="仿宋_GB2312"/>
                <w:color w:val="444444"/>
                <w:spacing w:val="0"/>
                <w:position w:val="0"/>
                <w:sz w:val="22"/>
                <w:szCs w:val="22"/>
                <w:lang w:val="en-US" w:eastAsia="zh-CN"/>
              </w:rPr>
              <w:br w:type="textWrapping"/>
            </w:r>
            <w:r>
              <w:rPr>
                <w:rFonts w:hint="eastAsia" w:ascii="仿宋_GB2312" w:hAnsi="仿宋_GB2312" w:eastAsia="仿宋_GB2312" w:cs="仿宋_GB2312"/>
                <w:color w:val="444444"/>
                <w:spacing w:val="0"/>
                <w:position w:val="0"/>
                <w:sz w:val="22"/>
                <w:szCs w:val="22"/>
                <w:lang w:val="en-US" w:eastAsia="zh-CN"/>
              </w:rPr>
              <w:t>确定评估范围与权重</w:t>
            </w:r>
          </w:p>
          <w:p w14:paraId="03869EA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重点环节识别</w:t>
            </w:r>
          </w:p>
          <w:p w14:paraId="393067D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文件审查</w:t>
            </w:r>
          </w:p>
          <w:p w14:paraId="12C4758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信息系统查验</w:t>
            </w:r>
          </w:p>
          <w:p w14:paraId="1E325BA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现场评估确认</w:t>
            </w:r>
          </w:p>
          <w:p w14:paraId="0748CAC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给出预评估结论</w:t>
            </w:r>
            <w:r>
              <w:rPr>
                <w:rFonts w:hint="eastAsia" w:ascii="仿宋_GB2312" w:hAnsi="仿宋_GB2312" w:eastAsia="仿宋_GB2312" w:cs="仿宋_GB2312"/>
                <w:color w:val="444444"/>
                <w:spacing w:val="0"/>
                <w:position w:val="0"/>
                <w:sz w:val="22"/>
                <w:szCs w:val="22"/>
                <w:lang w:val="en-US" w:eastAsia="zh-CN"/>
              </w:rPr>
              <w:br w:type="textWrapping"/>
            </w:r>
            <w:r>
              <w:rPr>
                <w:rFonts w:hint="eastAsia" w:ascii="仿宋_GB2312" w:hAnsi="仿宋_GB2312" w:eastAsia="仿宋_GB2312" w:cs="仿宋_GB2312"/>
                <w:color w:val="444444"/>
                <w:spacing w:val="0"/>
                <w:position w:val="0"/>
                <w:sz w:val="22"/>
                <w:szCs w:val="22"/>
                <w:lang w:val="en-US" w:eastAsia="zh-CN"/>
              </w:rPr>
              <w:t>预评估问题关闭验证</w:t>
            </w:r>
          </w:p>
        </w:tc>
        <w:tc>
          <w:tcPr>
            <w:tcW w:w="2190" w:type="dxa"/>
            <w:noWrap w:val="0"/>
            <w:vAlign w:val="center"/>
          </w:tcPr>
          <w:p w14:paraId="7F9833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预评估计划</w:t>
            </w:r>
          </w:p>
          <w:p w14:paraId="5B3C729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预评估报告</w:t>
            </w:r>
          </w:p>
        </w:tc>
        <w:tc>
          <w:tcPr>
            <w:tcW w:w="2190" w:type="dxa"/>
            <w:noWrap w:val="0"/>
            <w:vAlign w:val="center"/>
          </w:tcPr>
          <w:p w14:paraId="184AB8D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2025年7月31日</w:t>
            </w:r>
          </w:p>
        </w:tc>
      </w:tr>
      <w:tr w14:paraId="33269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813" w:type="dxa"/>
            <w:noWrap w:val="0"/>
            <w:vAlign w:val="center"/>
          </w:tcPr>
          <w:p w14:paraId="44C74E1E">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正式评估</w:t>
            </w:r>
          </w:p>
        </w:tc>
        <w:tc>
          <w:tcPr>
            <w:tcW w:w="2377" w:type="dxa"/>
            <w:noWrap w:val="0"/>
            <w:vAlign w:val="center"/>
          </w:tcPr>
          <w:p w14:paraId="29CFB7C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正式评估：</w:t>
            </w:r>
            <w:r>
              <w:rPr>
                <w:rFonts w:hint="eastAsia" w:ascii="仿宋_GB2312" w:hAnsi="仿宋_GB2312" w:eastAsia="仿宋_GB2312" w:cs="仿宋_GB2312"/>
                <w:color w:val="444444"/>
                <w:spacing w:val="0"/>
                <w:position w:val="0"/>
                <w:sz w:val="22"/>
                <w:szCs w:val="22"/>
                <w:lang w:val="en-US" w:eastAsia="zh-CN"/>
              </w:rPr>
              <w:br w:type="textWrapping"/>
            </w:r>
            <w:r>
              <w:rPr>
                <w:rFonts w:hint="eastAsia" w:ascii="仿宋_GB2312" w:hAnsi="仿宋_GB2312" w:eastAsia="仿宋_GB2312" w:cs="仿宋_GB2312"/>
                <w:color w:val="444444"/>
                <w:spacing w:val="0"/>
                <w:position w:val="0"/>
                <w:sz w:val="22"/>
                <w:szCs w:val="22"/>
                <w:lang w:val="en-US" w:eastAsia="zh-CN"/>
              </w:rPr>
              <w:t>采集评估证据</w:t>
            </w:r>
          </w:p>
          <w:p w14:paraId="446E12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形成评估发现</w:t>
            </w:r>
          </w:p>
          <w:p w14:paraId="107F596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识别评估弱项</w:t>
            </w:r>
          </w:p>
          <w:p w14:paraId="363ADE5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成熟度等级判定</w:t>
            </w:r>
          </w:p>
          <w:p w14:paraId="617D32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形成评估报告</w:t>
            </w:r>
          </w:p>
        </w:tc>
        <w:tc>
          <w:tcPr>
            <w:tcW w:w="2190" w:type="dxa"/>
            <w:noWrap w:val="0"/>
            <w:vAlign w:val="center"/>
          </w:tcPr>
          <w:p w14:paraId="69A99A9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正式评估计划</w:t>
            </w:r>
          </w:p>
          <w:p w14:paraId="414DD0F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正式评估报告</w:t>
            </w:r>
          </w:p>
        </w:tc>
        <w:tc>
          <w:tcPr>
            <w:tcW w:w="2190" w:type="dxa"/>
            <w:noWrap w:val="0"/>
            <w:vAlign w:val="center"/>
          </w:tcPr>
          <w:p w14:paraId="1E7598D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2025年8月31日</w:t>
            </w:r>
          </w:p>
        </w:tc>
      </w:tr>
      <w:tr w14:paraId="46E0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1813" w:type="dxa"/>
            <w:noWrap w:val="0"/>
            <w:vAlign w:val="center"/>
          </w:tcPr>
          <w:p w14:paraId="2C8BC5EA">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弱项整改</w:t>
            </w:r>
          </w:p>
        </w:tc>
        <w:tc>
          <w:tcPr>
            <w:tcW w:w="2377" w:type="dxa"/>
            <w:noWrap w:val="0"/>
            <w:vAlign w:val="center"/>
          </w:tcPr>
          <w:p w14:paraId="52D668D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企业提交弱项整改措施</w:t>
            </w:r>
            <w:r>
              <w:rPr>
                <w:rFonts w:hint="eastAsia" w:ascii="仿宋_GB2312" w:hAnsi="仿宋_GB2312" w:eastAsia="仿宋_GB2312" w:cs="仿宋_GB2312"/>
                <w:color w:val="444444"/>
                <w:spacing w:val="0"/>
                <w:position w:val="0"/>
                <w:sz w:val="22"/>
                <w:szCs w:val="22"/>
                <w:lang w:val="en-US" w:eastAsia="zh-CN"/>
              </w:rPr>
              <w:br w:type="textWrapping"/>
            </w:r>
            <w:r>
              <w:rPr>
                <w:rFonts w:hint="eastAsia" w:ascii="仿宋_GB2312" w:hAnsi="仿宋_GB2312" w:eastAsia="仿宋_GB2312" w:cs="仿宋_GB2312"/>
                <w:color w:val="444444"/>
                <w:spacing w:val="0"/>
                <w:position w:val="0"/>
                <w:sz w:val="22"/>
                <w:szCs w:val="22"/>
                <w:lang w:val="en-US" w:eastAsia="zh-CN"/>
              </w:rPr>
              <w:t>评估组验证弱项整改措施</w:t>
            </w:r>
          </w:p>
        </w:tc>
        <w:tc>
          <w:tcPr>
            <w:tcW w:w="2190" w:type="dxa"/>
            <w:noWrap w:val="0"/>
            <w:vAlign w:val="center"/>
          </w:tcPr>
          <w:p w14:paraId="6EB6EBF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弱项整改培训</w:t>
            </w:r>
          </w:p>
          <w:p w14:paraId="138BEB9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弱项整改报告</w:t>
            </w:r>
          </w:p>
        </w:tc>
        <w:tc>
          <w:tcPr>
            <w:tcW w:w="2190" w:type="dxa"/>
            <w:noWrap w:val="0"/>
            <w:vAlign w:val="center"/>
          </w:tcPr>
          <w:p w14:paraId="3855798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2025年9月30日</w:t>
            </w:r>
          </w:p>
        </w:tc>
      </w:tr>
      <w:tr w14:paraId="023E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813" w:type="dxa"/>
            <w:noWrap w:val="0"/>
            <w:vAlign w:val="center"/>
          </w:tcPr>
          <w:p w14:paraId="570EF958">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专家复核</w:t>
            </w:r>
          </w:p>
        </w:tc>
        <w:tc>
          <w:tcPr>
            <w:tcW w:w="2377" w:type="dxa"/>
            <w:noWrap w:val="0"/>
            <w:vAlign w:val="center"/>
          </w:tcPr>
          <w:p w14:paraId="0DD8B2E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专家委员会对项目评估资料进行复核，作出专家结论</w:t>
            </w:r>
          </w:p>
        </w:tc>
        <w:tc>
          <w:tcPr>
            <w:tcW w:w="2190" w:type="dxa"/>
            <w:noWrap w:val="0"/>
            <w:vAlign w:val="center"/>
          </w:tcPr>
          <w:p w14:paraId="0C32013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跟踪复核结果与公示</w:t>
            </w:r>
          </w:p>
        </w:tc>
        <w:tc>
          <w:tcPr>
            <w:tcW w:w="2190" w:type="dxa"/>
            <w:noWrap w:val="0"/>
            <w:vAlign w:val="center"/>
          </w:tcPr>
          <w:p w14:paraId="4C2CD48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2025年10月31日</w:t>
            </w:r>
          </w:p>
        </w:tc>
      </w:tr>
      <w:tr w14:paraId="0608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813" w:type="dxa"/>
            <w:noWrap w:val="0"/>
            <w:vAlign w:val="center"/>
          </w:tcPr>
          <w:p w14:paraId="2598F591">
            <w:pPr>
              <w:keepNext w:val="0"/>
              <w:keepLines w:val="0"/>
              <w:pageBreakBefore w:val="0"/>
              <w:numPr>
                <w:ilvl w:val="0"/>
                <w:numId w:val="0"/>
              </w:numPr>
              <w:suppressLineNumbers w:val="0"/>
              <w:kinsoku/>
              <w:wordWrap/>
              <w:overflowPunct/>
              <w:topLinePunct w:val="0"/>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获取证书</w:t>
            </w:r>
          </w:p>
        </w:tc>
        <w:tc>
          <w:tcPr>
            <w:tcW w:w="2377" w:type="dxa"/>
            <w:noWrap w:val="0"/>
            <w:vAlign w:val="center"/>
          </w:tcPr>
          <w:p w14:paraId="171CE44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跟进评估结果，协助企业获取认证证书</w:t>
            </w:r>
          </w:p>
        </w:tc>
        <w:tc>
          <w:tcPr>
            <w:tcW w:w="2190" w:type="dxa"/>
            <w:noWrap w:val="0"/>
            <w:vAlign w:val="center"/>
          </w:tcPr>
          <w:p w14:paraId="1716645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eastAsia"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智能制造能力成熟度模型（CMMM）三级证书</w:t>
            </w:r>
          </w:p>
        </w:tc>
        <w:tc>
          <w:tcPr>
            <w:tcW w:w="2190" w:type="dxa"/>
            <w:noWrap w:val="0"/>
            <w:vAlign w:val="center"/>
          </w:tcPr>
          <w:p w14:paraId="2B4FC02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rPr>
                <w:rFonts w:hint="default" w:ascii="仿宋_GB2312" w:hAnsi="仿宋_GB2312" w:eastAsia="仿宋_GB2312" w:cs="仿宋_GB2312"/>
                <w:color w:val="444444"/>
                <w:spacing w:val="0"/>
                <w:position w:val="0"/>
                <w:sz w:val="22"/>
                <w:szCs w:val="22"/>
                <w:lang w:val="en-US" w:eastAsia="zh-CN"/>
              </w:rPr>
            </w:pPr>
            <w:r>
              <w:rPr>
                <w:rFonts w:hint="eastAsia" w:ascii="仿宋_GB2312" w:hAnsi="仿宋_GB2312" w:eastAsia="仿宋_GB2312" w:cs="仿宋_GB2312"/>
                <w:color w:val="444444"/>
                <w:spacing w:val="0"/>
                <w:position w:val="0"/>
                <w:sz w:val="22"/>
                <w:szCs w:val="22"/>
                <w:lang w:val="en-US" w:eastAsia="zh-CN"/>
              </w:rPr>
              <w:t>2025年12月31日前</w:t>
            </w:r>
          </w:p>
        </w:tc>
      </w:tr>
    </w:tbl>
    <w:p w14:paraId="7A59FF56">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Times New Roman"/>
          <w:b/>
          <w:bCs/>
          <w:sz w:val="24"/>
          <w:highlight w:val="none"/>
        </w:rPr>
      </w:pPr>
      <w:r>
        <w:rPr>
          <w:rFonts w:hint="eastAsia" w:ascii="仿宋" w:hAnsi="仿宋" w:eastAsia="仿宋" w:cs="Times New Roman"/>
          <w:b/>
          <w:bCs/>
          <w:sz w:val="24"/>
          <w:highlight w:val="none"/>
        </w:rPr>
        <w:t>第二条 履行期限、地点和方式</w:t>
      </w:r>
    </w:p>
    <w:p w14:paraId="67719377">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2.1项目起止时间:本项目评估服务工作自</w:t>
      </w:r>
      <w:r>
        <w:rPr>
          <w:rFonts w:hint="eastAsia" w:ascii="仿宋" w:hAnsi="仿宋" w:eastAsia="仿宋" w:cs="Times New Roman"/>
          <w:sz w:val="24"/>
          <w:highlight w:val="none"/>
          <w:u w:val="single"/>
          <w:lang w:val="en-US" w:eastAsia="zh-CN"/>
        </w:rPr>
        <w:t>合同签订之日起</w:t>
      </w:r>
      <w:r>
        <w:rPr>
          <w:rFonts w:hint="eastAsia" w:ascii="仿宋" w:hAnsi="仿宋" w:eastAsia="仿宋" w:cs="Times New Roman"/>
          <w:sz w:val="24"/>
          <w:highlight w:val="none"/>
        </w:rPr>
        <w:t>至</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年</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月</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日，乙方应完成评估工作</w:t>
      </w:r>
      <w:r>
        <w:rPr>
          <w:rFonts w:hint="eastAsia" w:ascii="仿宋" w:hAnsi="仿宋" w:eastAsia="仿宋" w:cs="Times New Roman"/>
          <w:sz w:val="24"/>
          <w:highlight w:val="none"/>
          <w:lang w:eastAsia="zh-CN"/>
        </w:rPr>
        <w:t>并</w:t>
      </w:r>
      <w:r>
        <w:rPr>
          <w:rFonts w:hint="eastAsia" w:ascii="仿宋" w:hAnsi="仿宋" w:eastAsia="仿宋" w:cs="Times New Roman"/>
          <w:sz w:val="24"/>
          <w:highlight w:val="none"/>
        </w:rPr>
        <w:t>提交最终工作成果</w:t>
      </w:r>
      <w:r>
        <w:rPr>
          <w:rFonts w:hint="eastAsia" w:ascii="仿宋" w:hAnsi="仿宋" w:eastAsia="仿宋" w:cs="Times New Roman"/>
          <w:sz w:val="24"/>
          <w:highlight w:val="none"/>
          <w:lang w:eastAsia="zh-CN"/>
        </w:rPr>
        <w:t>，支撑甲方取得本合同约定证书</w:t>
      </w:r>
      <w:r>
        <w:rPr>
          <w:rFonts w:hint="eastAsia" w:ascii="仿宋" w:hAnsi="仿宋" w:eastAsia="仿宋" w:cs="Times New Roman"/>
          <w:sz w:val="24"/>
          <w:highlight w:val="none"/>
        </w:rPr>
        <w:t>。</w:t>
      </w:r>
    </w:p>
    <w:p w14:paraId="5E83CF89">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2.2项目进度安排：乙方</w:t>
      </w:r>
      <w:r>
        <w:rPr>
          <w:rFonts w:hint="eastAsia" w:ascii="仿宋" w:hAnsi="仿宋" w:eastAsia="仿宋" w:cs="Times New Roman"/>
          <w:sz w:val="24"/>
          <w:highlight w:val="none"/>
          <w:lang w:eastAsia="zh-CN"/>
        </w:rPr>
        <w:t>按本合同约定节点</w:t>
      </w:r>
      <w:r>
        <w:rPr>
          <w:rFonts w:hint="eastAsia" w:ascii="仿宋" w:hAnsi="仿宋" w:eastAsia="仿宋" w:cs="Times New Roman"/>
          <w:sz w:val="24"/>
          <w:highlight w:val="none"/>
        </w:rPr>
        <w:t>制定合理的项目实施计划，开展评估工作并提交相应的成果。</w:t>
      </w:r>
    </w:p>
    <w:p w14:paraId="36845ECE">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2.3项目履行方式：由甲方提供合同要求协作事项的条件。由乙方向甲方提供</w:t>
      </w:r>
      <w:r>
        <w:rPr>
          <w:rFonts w:hint="eastAsia" w:ascii="仿宋" w:hAnsi="仿宋" w:eastAsia="仿宋"/>
          <w:sz w:val="24"/>
          <w:highlight w:val="none"/>
        </w:rPr>
        <w:t>智能制造能力成熟度模型（CMMM）三级</w:t>
      </w:r>
      <w:r>
        <w:rPr>
          <w:rFonts w:hint="eastAsia" w:ascii="仿宋" w:hAnsi="仿宋" w:eastAsia="仿宋" w:cs="Times New Roman"/>
          <w:sz w:val="24"/>
          <w:highlight w:val="none"/>
        </w:rPr>
        <w:t>评估服务，内容包括本合同第一条款所列要求。</w:t>
      </w:r>
    </w:p>
    <w:p w14:paraId="3D38225A">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2.4项目履行地点：</w:t>
      </w:r>
      <w:r>
        <w:rPr>
          <w:rFonts w:hint="eastAsia" w:ascii="仿宋" w:hAnsi="仿宋" w:eastAsia="仿宋" w:cs="Times New Roman"/>
          <w:sz w:val="24"/>
          <w:highlight w:val="none"/>
          <w:lang w:val="en-US" w:eastAsia="zh-CN"/>
        </w:rPr>
        <w:t>xxxx。</w:t>
      </w:r>
    </w:p>
    <w:p w14:paraId="78DE0500">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2.5项目联系人：为执行本项目，</w:t>
      </w:r>
      <w:r>
        <w:rPr>
          <w:rFonts w:hint="eastAsia" w:ascii="仿宋" w:hAnsi="仿宋" w:eastAsia="仿宋" w:cs="Times New Roman"/>
          <w:sz w:val="24"/>
          <w:highlight w:val="none"/>
          <w:lang w:val="en-US" w:eastAsia="zh-CN"/>
        </w:rPr>
        <w:t>甲</w:t>
      </w:r>
      <w:r>
        <w:rPr>
          <w:rFonts w:hint="eastAsia" w:ascii="仿宋" w:hAnsi="仿宋" w:eastAsia="仿宋" w:cs="Times New Roman"/>
          <w:sz w:val="24"/>
          <w:highlight w:val="none"/>
        </w:rPr>
        <w:t>方指定</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为项目</w:t>
      </w:r>
      <w:r>
        <w:rPr>
          <w:rFonts w:hint="eastAsia" w:ascii="仿宋" w:hAnsi="仿宋" w:eastAsia="仿宋" w:cs="Times New Roman"/>
          <w:sz w:val="24"/>
          <w:highlight w:val="none"/>
          <w:lang w:eastAsia="zh-CN"/>
        </w:rPr>
        <w:t>负责人</w:t>
      </w:r>
      <w:r>
        <w:rPr>
          <w:rFonts w:hint="eastAsia" w:ascii="仿宋" w:hAnsi="仿宋" w:eastAsia="仿宋" w:cs="Times New Roman"/>
          <w:sz w:val="24"/>
          <w:highlight w:val="none"/>
        </w:rPr>
        <w:t>，</w:t>
      </w:r>
      <w:r>
        <w:rPr>
          <w:rFonts w:hint="eastAsia" w:ascii="仿宋" w:hAnsi="仿宋" w:eastAsia="仿宋" w:cs="Times New Roman"/>
          <w:sz w:val="24"/>
          <w:highlight w:val="none"/>
          <w:lang w:val="en-US" w:eastAsia="zh-CN"/>
        </w:rPr>
        <w:t>乙</w:t>
      </w:r>
      <w:r>
        <w:rPr>
          <w:rFonts w:hint="eastAsia" w:ascii="仿宋" w:hAnsi="仿宋" w:eastAsia="仿宋" w:cs="Times New Roman"/>
          <w:sz w:val="24"/>
          <w:highlight w:val="none"/>
        </w:rPr>
        <w:t>方指定</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lang w:val="en-US" w:eastAsia="zh-CN"/>
        </w:rPr>
        <w:t>为</w:t>
      </w:r>
      <w:r>
        <w:rPr>
          <w:rFonts w:hint="eastAsia" w:ascii="仿宋" w:hAnsi="仿宋" w:eastAsia="仿宋" w:cs="Times New Roman"/>
          <w:sz w:val="24"/>
          <w:highlight w:val="none"/>
        </w:rPr>
        <w:t>项目</w:t>
      </w:r>
      <w:r>
        <w:rPr>
          <w:rFonts w:hint="eastAsia" w:ascii="仿宋" w:hAnsi="仿宋" w:eastAsia="仿宋" w:cs="Times New Roman"/>
          <w:sz w:val="24"/>
          <w:highlight w:val="none"/>
          <w:lang w:eastAsia="zh-CN"/>
        </w:rPr>
        <w:t>负责人</w:t>
      </w:r>
      <w:r>
        <w:rPr>
          <w:rFonts w:hint="eastAsia" w:ascii="仿宋" w:hAnsi="仿宋" w:eastAsia="仿宋" w:cs="Times New Roman"/>
          <w:sz w:val="24"/>
          <w:highlight w:val="none"/>
        </w:rPr>
        <w:t>，甲乙双方应将上述人员及联系方式在本合同签署时书面通知对方。</w:t>
      </w:r>
    </w:p>
    <w:p w14:paraId="257E8C9C">
      <w:pPr>
        <w:tabs>
          <w:tab w:val="left" w:pos="757"/>
        </w:tabs>
        <w:spacing w:line="360" w:lineRule="auto"/>
        <w:ind w:firstLine="482" w:firstLineChars="200"/>
        <w:jc w:val="both"/>
        <w:rPr>
          <w:rFonts w:hint="eastAsia" w:ascii="仿宋" w:hAnsi="仿宋" w:eastAsia="仿宋" w:cs="Times New Roman"/>
          <w:b/>
          <w:bCs/>
          <w:sz w:val="24"/>
          <w:highlight w:val="none"/>
        </w:rPr>
      </w:pPr>
      <w:r>
        <w:rPr>
          <w:rFonts w:hint="eastAsia" w:ascii="仿宋" w:hAnsi="仿宋" w:eastAsia="仿宋" w:cs="Times New Roman"/>
          <w:b/>
          <w:bCs/>
          <w:sz w:val="24"/>
          <w:highlight w:val="none"/>
        </w:rPr>
        <w:t>第三条 合同金额和支付方式</w:t>
      </w:r>
    </w:p>
    <w:p w14:paraId="451ADAB0">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3.1评估委托合同的</w:t>
      </w:r>
      <w:r>
        <w:rPr>
          <w:rFonts w:hint="eastAsia" w:ascii="仿宋" w:hAnsi="仿宋" w:eastAsia="仿宋" w:cs="Times New Roman"/>
          <w:sz w:val="24"/>
          <w:highlight w:val="none"/>
          <w:lang w:eastAsia="zh-CN"/>
        </w:rPr>
        <w:t>服务费含税</w:t>
      </w:r>
      <w:r>
        <w:rPr>
          <w:rFonts w:hint="eastAsia" w:ascii="仿宋" w:hAnsi="仿宋" w:eastAsia="仿宋" w:cs="Times New Roman"/>
          <w:sz w:val="24"/>
          <w:highlight w:val="none"/>
        </w:rPr>
        <w:t>总额为 ￥</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元（大写人民币：</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w:t>
      </w:r>
      <w:r>
        <w:rPr>
          <w:rFonts w:hint="eastAsia" w:ascii="仿宋" w:hAnsi="仿宋" w:eastAsia="仿宋" w:cs="Times New Roman"/>
          <w:sz w:val="24"/>
          <w:highlight w:val="none"/>
          <w:lang w:eastAsia="zh-CN"/>
        </w:rPr>
        <w:t>，税率为</w:t>
      </w:r>
      <w:r>
        <w:rPr>
          <w:rFonts w:hint="eastAsia" w:ascii="仿宋" w:hAnsi="仿宋" w:eastAsia="仿宋" w:cs="Times New Roman"/>
          <w:sz w:val="24"/>
          <w:highlight w:val="none"/>
          <w:u w:val="single"/>
          <w:lang w:val="en-US" w:eastAsia="zh-CN"/>
        </w:rPr>
        <w:t>6</w:t>
      </w:r>
      <w:r>
        <w:rPr>
          <w:rFonts w:hint="eastAsia" w:ascii="仿宋" w:hAnsi="仿宋" w:eastAsia="仿宋" w:cs="Times New Roman"/>
          <w:sz w:val="24"/>
          <w:highlight w:val="none"/>
          <w:lang w:val="en-US" w:eastAsia="zh-CN"/>
        </w:rPr>
        <w:t>%，不含税金额为</w:t>
      </w:r>
      <w:r>
        <w:rPr>
          <w:rFonts w:hint="eastAsia" w:ascii="仿宋" w:hAnsi="仿宋" w:eastAsia="仿宋" w:cs="Times New Roman"/>
          <w:sz w:val="24"/>
          <w:highlight w:val="none"/>
        </w:rPr>
        <w:t>￥</w:t>
      </w:r>
      <w:r>
        <w:rPr>
          <w:rFonts w:hint="eastAsia" w:ascii="仿宋" w:hAnsi="仿宋" w:eastAsia="仿宋" w:cs="Times New Roman"/>
          <w:sz w:val="24"/>
          <w:highlight w:val="none"/>
          <w:u w:val="single"/>
          <w:lang w:val="en-US" w:eastAsia="zh-CN"/>
        </w:rPr>
        <w:t xml:space="preserve">    </w:t>
      </w:r>
      <w:r>
        <w:rPr>
          <w:rFonts w:hint="eastAsia" w:ascii="仿宋" w:hAnsi="仿宋" w:eastAsia="仿宋" w:cs="Times New Roman"/>
          <w:sz w:val="24"/>
          <w:highlight w:val="none"/>
        </w:rPr>
        <w:t>元</w:t>
      </w:r>
      <w:r>
        <w:rPr>
          <w:rFonts w:hint="eastAsia" w:ascii="仿宋" w:hAnsi="仿宋" w:eastAsia="仿宋" w:cs="Times New Roman"/>
          <w:sz w:val="24"/>
          <w:highlight w:val="none"/>
          <w:lang w:eastAsia="zh-CN"/>
        </w:rPr>
        <w:t>（大写人民币：</w:t>
      </w:r>
      <w:r>
        <w:rPr>
          <w:rFonts w:hint="eastAsia" w:ascii="仿宋" w:hAnsi="仿宋" w:eastAsia="仿宋" w:cs="Times New Roman"/>
          <w:sz w:val="24"/>
          <w:highlight w:val="none"/>
          <w:lang w:val="en-US" w:eastAsia="zh-CN"/>
        </w:rPr>
        <w:t xml:space="preserve">   </w:t>
      </w:r>
      <w:r>
        <w:rPr>
          <w:rFonts w:hint="eastAsia" w:ascii="仿宋" w:hAnsi="仿宋" w:eastAsia="仿宋" w:cs="Times New Roman"/>
          <w:sz w:val="24"/>
          <w:highlight w:val="none"/>
          <w:lang w:eastAsia="zh-CN"/>
        </w:rPr>
        <w:t>）</w:t>
      </w:r>
      <w:r>
        <w:rPr>
          <w:rFonts w:hint="eastAsia" w:ascii="仿宋" w:hAnsi="仿宋" w:eastAsia="仿宋" w:cs="Times New Roman"/>
          <w:sz w:val="24"/>
          <w:highlight w:val="none"/>
        </w:rPr>
        <w:t>。</w:t>
      </w:r>
    </w:p>
    <w:p w14:paraId="37DBACAB">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3.2此次委托</w:t>
      </w:r>
      <w:r>
        <w:rPr>
          <w:rFonts w:hint="eastAsia" w:ascii="仿宋" w:hAnsi="仿宋" w:eastAsia="仿宋" w:cs="Times New Roman"/>
          <w:sz w:val="24"/>
          <w:highlight w:val="none"/>
          <w:lang w:val="en-US" w:eastAsia="zh-CN"/>
        </w:rPr>
        <w:t>咨询、</w:t>
      </w:r>
      <w:r>
        <w:rPr>
          <w:rFonts w:hint="eastAsia" w:ascii="仿宋" w:hAnsi="仿宋" w:eastAsia="仿宋" w:cs="Times New Roman"/>
          <w:sz w:val="24"/>
          <w:highlight w:val="none"/>
        </w:rPr>
        <w:t>评估，乙方派出</w:t>
      </w:r>
      <w:r>
        <w:rPr>
          <w:rFonts w:hint="eastAsia" w:ascii="仿宋" w:hAnsi="仿宋" w:eastAsia="仿宋" w:cs="Times New Roman"/>
          <w:sz w:val="24"/>
          <w:highlight w:val="none"/>
          <w:lang w:eastAsia="zh-CN"/>
        </w:rPr>
        <w:t>咨询</w:t>
      </w:r>
      <w:r>
        <w:rPr>
          <w:rFonts w:hint="eastAsia" w:ascii="仿宋" w:hAnsi="仿宋" w:eastAsia="仿宋" w:cs="Times New Roman"/>
          <w:sz w:val="24"/>
          <w:highlight w:val="none"/>
        </w:rPr>
        <w:t>评估人员的报酬、交通、食宿等费用由乙方负责。</w:t>
      </w:r>
    </w:p>
    <w:p w14:paraId="35132AC3">
      <w:pPr>
        <w:tabs>
          <w:tab w:val="left" w:pos="757"/>
        </w:tabs>
        <w:spacing w:line="360" w:lineRule="auto"/>
        <w:ind w:firstLine="480" w:firstLineChars="200"/>
        <w:jc w:val="both"/>
        <w:rPr>
          <w:rFonts w:hint="eastAsia" w:ascii="仿宋" w:hAnsi="仿宋" w:eastAsia="仿宋" w:cs="Times New Roman"/>
          <w:sz w:val="24"/>
          <w:highlight w:val="none"/>
          <w:lang w:val="en-US" w:eastAsia="zh-CN"/>
        </w:rPr>
      </w:pPr>
      <w:r>
        <w:rPr>
          <w:rFonts w:hint="eastAsia" w:ascii="仿宋" w:hAnsi="仿宋" w:eastAsia="仿宋" w:cs="Times New Roman"/>
          <w:sz w:val="24"/>
          <w:highlight w:val="none"/>
        </w:rPr>
        <w:t>3.3 合同签署生效后</w:t>
      </w:r>
      <w:r>
        <w:rPr>
          <w:rFonts w:hint="eastAsia" w:ascii="仿宋" w:hAnsi="仿宋" w:eastAsia="仿宋" w:cs="Times New Roman"/>
          <w:sz w:val="24"/>
          <w:highlight w:val="none"/>
          <w:lang w:eastAsia="zh-CN"/>
        </w:rPr>
        <w:t>，乙方向甲方提供合同总金额</w:t>
      </w:r>
      <w:r>
        <w:rPr>
          <w:rFonts w:hint="eastAsia" w:ascii="仿宋" w:hAnsi="仿宋" w:eastAsia="仿宋" w:cs="Times New Roman"/>
          <w:sz w:val="24"/>
          <w:highlight w:val="none"/>
          <w:lang w:val="en-US" w:eastAsia="zh-CN"/>
        </w:rPr>
        <w:t>30%的增值税专用发票，甲方收到发票后15日内向乙方支付合同总金额的30%</w:t>
      </w:r>
      <w:r>
        <w:rPr>
          <w:rFonts w:hint="eastAsia" w:ascii="仿宋" w:hAnsi="仿宋" w:eastAsia="仿宋" w:cs="Times New Roman"/>
          <w:sz w:val="24"/>
          <w:highlight w:val="none"/>
          <w:lang w:eastAsia="zh-CN"/>
        </w:rPr>
        <w:t>；</w:t>
      </w:r>
      <w:r>
        <w:rPr>
          <w:rFonts w:hint="eastAsia" w:ascii="仿宋" w:hAnsi="仿宋" w:eastAsia="仿宋" w:cs="Times New Roman"/>
          <w:sz w:val="24"/>
          <w:highlight w:val="none"/>
          <w:lang w:val="en-US" w:eastAsia="zh-CN"/>
        </w:rPr>
        <w:t>乙方按本合同约定节点开展咨询、预评估、评估、复核等工作，保证甲方在2025年12月30日之前取得</w:t>
      </w:r>
      <w:r>
        <w:rPr>
          <w:rFonts w:hint="eastAsia" w:ascii="仿宋_GB2312" w:hAnsi="仿宋_GB2312" w:eastAsia="仿宋_GB2312" w:cs="仿宋_GB2312"/>
          <w:color w:val="444444"/>
          <w:spacing w:val="0"/>
          <w:position w:val="0"/>
          <w:sz w:val="22"/>
          <w:szCs w:val="22"/>
          <w:lang w:val="en-US" w:eastAsia="zh-CN"/>
        </w:rPr>
        <w:t>CMMM三级</w:t>
      </w:r>
      <w:r>
        <w:rPr>
          <w:rFonts w:hint="eastAsia" w:ascii="仿宋" w:hAnsi="仿宋" w:eastAsia="仿宋" w:cs="Times New Roman"/>
          <w:sz w:val="24"/>
          <w:highlight w:val="none"/>
          <w:lang w:val="en-US" w:eastAsia="zh-CN"/>
        </w:rPr>
        <w:t>证书,甲方取得上述证书后，乙方向甲方提供合同总金额70%的增值税专用发票，甲方收到发票后15日内向乙方支付合同总金额的70%。</w:t>
      </w:r>
    </w:p>
    <w:p w14:paraId="7160F73D">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若甲方未取得该证书，乙方需在2025年12月30日之后3至5个工作日内把甲方已付款全额退还至甲方指定如下银行账户：</w:t>
      </w:r>
    </w:p>
    <w:p w14:paraId="1842C494">
      <w:pPr>
        <w:tabs>
          <w:tab w:val="left" w:pos="757"/>
        </w:tabs>
        <w:spacing w:line="360" w:lineRule="auto"/>
        <w:ind w:firstLine="480" w:firstLineChars="200"/>
        <w:jc w:val="both"/>
        <w:rPr>
          <w:rFonts w:hint="eastAsia"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户    名：</w:t>
      </w:r>
    </w:p>
    <w:p w14:paraId="154435EB">
      <w:pPr>
        <w:tabs>
          <w:tab w:val="left" w:pos="757"/>
        </w:tabs>
        <w:spacing w:line="360" w:lineRule="auto"/>
        <w:ind w:firstLine="480" w:firstLineChars="200"/>
        <w:jc w:val="both"/>
        <w:rPr>
          <w:rFonts w:hint="default"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纳税人识别号：</w:t>
      </w:r>
    </w:p>
    <w:p w14:paraId="02E94BEE">
      <w:pPr>
        <w:tabs>
          <w:tab w:val="left" w:pos="757"/>
        </w:tabs>
        <w:spacing w:line="360" w:lineRule="auto"/>
        <w:ind w:firstLine="480" w:firstLineChars="200"/>
        <w:jc w:val="both"/>
        <w:rPr>
          <w:rFonts w:hint="eastAsia" w:ascii="仿宋" w:hAnsi="仿宋" w:eastAsia="仿宋" w:cs="Times New Roman"/>
          <w:sz w:val="24"/>
          <w:highlight w:val="none"/>
          <w:lang w:eastAsia="zh-CN"/>
        </w:rPr>
      </w:pPr>
      <w:r>
        <w:rPr>
          <w:rFonts w:hint="default" w:ascii="仿宋" w:hAnsi="仿宋" w:eastAsia="仿宋" w:cs="Times New Roman"/>
          <w:sz w:val="24"/>
          <w:highlight w:val="none"/>
        </w:rPr>
        <w:t>开户银行：</w:t>
      </w:r>
    </w:p>
    <w:p w14:paraId="07E67511">
      <w:pPr>
        <w:tabs>
          <w:tab w:val="left" w:pos="757"/>
        </w:tabs>
        <w:spacing w:line="360" w:lineRule="auto"/>
        <w:ind w:firstLine="480" w:firstLineChars="200"/>
        <w:jc w:val="both"/>
        <w:rPr>
          <w:rFonts w:hint="eastAsia" w:ascii="仿宋" w:hAnsi="仿宋" w:eastAsia="仿宋" w:cs="Times New Roman"/>
          <w:sz w:val="24"/>
          <w:highlight w:val="none"/>
        </w:rPr>
      </w:pPr>
      <w:r>
        <w:rPr>
          <w:rFonts w:hint="default" w:ascii="仿宋" w:hAnsi="仿宋" w:eastAsia="仿宋" w:cs="Times New Roman"/>
          <w:sz w:val="24"/>
          <w:highlight w:val="none"/>
        </w:rPr>
        <w:t>账    号：</w:t>
      </w:r>
    </w:p>
    <w:p w14:paraId="20515A39">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3.3甲方以转账方式支付至乙方指定银行账户：</w:t>
      </w:r>
    </w:p>
    <w:p w14:paraId="551ECF4C">
      <w:pPr>
        <w:tabs>
          <w:tab w:val="left" w:pos="757"/>
        </w:tabs>
        <w:spacing w:line="360" w:lineRule="auto"/>
        <w:ind w:firstLine="480" w:firstLineChars="200"/>
        <w:jc w:val="both"/>
        <w:rPr>
          <w:rFonts w:hint="default"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户    名：</w:t>
      </w:r>
      <w:r>
        <w:rPr>
          <w:rFonts w:hint="eastAsia" w:ascii="仿宋" w:hAnsi="仿宋" w:eastAsia="仿宋" w:cs="Times New Roman"/>
          <w:sz w:val="24"/>
          <w:highlight w:val="none"/>
          <w:u w:val="single"/>
          <w:lang w:val="en-US" w:eastAsia="zh-CN"/>
        </w:rPr>
        <w:t xml:space="preserve">                        </w:t>
      </w:r>
    </w:p>
    <w:p w14:paraId="3F2A42B3">
      <w:pPr>
        <w:tabs>
          <w:tab w:val="left" w:pos="757"/>
        </w:tabs>
        <w:spacing w:line="360" w:lineRule="auto"/>
        <w:ind w:firstLine="480" w:firstLineChars="200"/>
        <w:jc w:val="both"/>
        <w:rPr>
          <w:rFonts w:hint="default" w:ascii="仿宋" w:hAnsi="仿宋" w:eastAsia="仿宋" w:cs="Times New Roman"/>
          <w:sz w:val="24"/>
          <w:highlight w:val="none"/>
          <w:lang w:val="en-US" w:eastAsia="zh-CN"/>
        </w:rPr>
      </w:pPr>
      <w:r>
        <w:rPr>
          <w:rFonts w:hint="default" w:ascii="仿宋" w:hAnsi="仿宋" w:eastAsia="仿宋" w:cs="Times New Roman"/>
          <w:sz w:val="24"/>
          <w:highlight w:val="none"/>
          <w:lang w:val="en-US" w:eastAsia="zh-CN"/>
        </w:rPr>
        <w:t>纳税人识别号：</w:t>
      </w:r>
      <w:r>
        <w:rPr>
          <w:rFonts w:hint="eastAsia" w:ascii="仿宋" w:hAnsi="仿宋" w:eastAsia="仿宋" w:cs="Times New Roman"/>
          <w:sz w:val="24"/>
          <w:highlight w:val="none"/>
          <w:u w:val="single"/>
          <w:lang w:val="en-US" w:eastAsia="zh-CN"/>
        </w:rPr>
        <w:t xml:space="preserve">                    </w:t>
      </w:r>
    </w:p>
    <w:p w14:paraId="6BA96074">
      <w:pPr>
        <w:tabs>
          <w:tab w:val="left" w:pos="757"/>
        </w:tabs>
        <w:spacing w:line="360" w:lineRule="auto"/>
        <w:ind w:firstLine="480" w:firstLineChars="200"/>
        <w:jc w:val="both"/>
        <w:rPr>
          <w:rFonts w:hint="default" w:ascii="仿宋" w:hAnsi="仿宋" w:eastAsia="仿宋" w:cs="Times New Roman"/>
          <w:sz w:val="24"/>
          <w:highlight w:val="none"/>
          <w:lang w:eastAsia="zh-CN"/>
        </w:rPr>
      </w:pPr>
      <w:r>
        <w:rPr>
          <w:rFonts w:hint="default" w:ascii="仿宋" w:hAnsi="仿宋" w:eastAsia="仿宋" w:cs="Times New Roman"/>
          <w:sz w:val="24"/>
          <w:highlight w:val="none"/>
        </w:rPr>
        <w:t>开户银行：</w:t>
      </w:r>
      <w:r>
        <w:rPr>
          <w:rFonts w:hint="eastAsia" w:ascii="仿宋" w:hAnsi="仿宋" w:eastAsia="仿宋" w:cs="Times New Roman"/>
          <w:sz w:val="24"/>
          <w:highlight w:val="none"/>
          <w:u w:val="single"/>
          <w:lang w:val="en-US" w:eastAsia="zh-CN"/>
        </w:rPr>
        <w:t xml:space="preserve">                        </w:t>
      </w:r>
    </w:p>
    <w:p w14:paraId="2DFAB9C8">
      <w:pPr>
        <w:tabs>
          <w:tab w:val="left" w:pos="757"/>
        </w:tabs>
        <w:spacing w:line="360" w:lineRule="auto"/>
        <w:ind w:firstLine="480" w:firstLineChars="200"/>
        <w:jc w:val="both"/>
        <w:rPr>
          <w:rFonts w:hint="eastAsia" w:ascii="仿宋" w:hAnsi="仿宋" w:eastAsia="仿宋" w:cs="Times New Roman"/>
          <w:sz w:val="24"/>
          <w:highlight w:val="none"/>
          <w:u w:val="single"/>
          <w:lang w:val="en-US" w:eastAsia="zh-CN"/>
        </w:rPr>
      </w:pPr>
      <w:r>
        <w:rPr>
          <w:rFonts w:hint="default" w:ascii="仿宋" w:hAnsi="仿宋" w:eastAsia="仿宋" w:cs="Times New Roman"/>
          <w:sz w:val="24"/>
          <w:highlight w:val="none"/>
        </w:rPr>
        <w:t>账    号：</w:t>
      </w:r>
      <w:r>
        <w:rPr>
          <w:rFonts w:hint="eastAsia" w:ascii="仿宋" w:hAnsi="仿宋" w:eastAsia="仿宋" w:cs="Times New Roman"/>
          <w:sz w:val="24"/>
          <w:highlight w:val="none"/>
          <w:u w:val="single"/>
          <w:lang w:val="en-US" w:eastAsia="zh-CN"/>
        </w:rPr>
        <w:t xml:space="preserve">                        </w:t>
      </w:r>
    </w:p>
    <w:p w14:paraId="616C2FCB">
      <w:pPr>
        <w:pStyle w:val="2"/>
        <w:keepNext w:val="0"/>
        <w:keepLines w:val="0"/>
        <w:pageBreakBefore w:val="0"/>
        <w:widowControl w:val="0"/>
        <w:kinsoku/>
        <w:wordWrap/>
        <w:overflowPunct w:val="0"/>
        <w:topLinePunct w:val="0"/>
        <w:autoSpaceDE w:val="0"/>
        <w:autoSpaceDN w:val="0"/>
        <w:bidi w:val="0"/>
        <w:adjustRightInd w:val="0"/>
        <w:snapToGrid/>
        <w:spacing w:line="360" w:lineRule="auto"/>
        <w:ind w:firstLine="480" w:firstLineChars="200"/>
        <w:textAlignment w:val="baseline"/>
        <w:rPr>
          <w:rFonts w:hint="default"/>
          <w:u w:val="none"/>
          <w:lang w:val="en-US" w:eastAsia="zh-CN"/>
        </w:rPr>
      </w:pPr>
      <w:r>
        <w:rPr>
          <w:rFonts w:hint="eastAsia" w:ascii="仿宋" w:hAnsi="仿宋" w:eastAsia="仿宋" w:cs="Times New Roman"/>
          <w:sz w:val="24"/>
          <w:highlight w:val="none"/>
          <w:u w:val="none"/>
          <w:lang w:val="en-US" w:eastAsia="zh-CN"/>
        </w:rPr>
        <w:t>3.4 乙方未按本合同约定提供发票的，甲方有权顺延付款期限，相应责任由乙方承担。</w:t>
      </w:r>
    </w:p>
    <w:p w14:paraId="2F16A897">
      <w:pPr>
        <w:keepNext w:val="0"/>
        <w:keepLines w:val="0"/>
        <w:pageBreakBefore w:val="0"/>
        <w:widowControl w:val="0"/>
        <w:tabs>
          <w:tab w:val="left" w:pos="757"/>
        </w:tabs>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Times New Roman"/>
          <w:b/>
          <w:bCs/>
          <w:sz w:val="24"/>
          <w:highlight w:val="none"/>
        </w:rPr>
      </w:pPr>
      <w:r>
        <w:rPr>
          <w:rFonts w:hint="eastAsia" w:ascii="仿宋" w:hAnsi="仿宋" w:eastAsia="仿宋" w:cs="Times New Roman"/>
          <w:b/>
          <w:bCs/>
          <w:sz w:val="24"/>
          <w:highlight w:val="none"/>
        </w:rPr>
        <w:t>第四条 甲方的权利和义务</w:t>
      </w:r>
    </w:p>
    <w:p w14:paraId="30E11715">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4.1 甲方应按本合同约定支付合同价款。</w:t>
      </w:r>
    </w:p>
    <w:p w14:paraId="12D893BD">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4.2 甲方有权随时了解乙方的工作进展情况。</w:t>
      </w:r>
    </w:p>
    <w:p w14:paraId="56512705">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4.3甲方在评估活动中应遵循真实守信原则，不提供虚假信息。</w:t>
      </w:r>
    </w:p>
    <w:p w14:paraId="3F2C62EB">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4.4 甲方应提供保障评估活动正常开展的会议室、电源、网络等工作条件。</w:t>
      </w:r>
    </w:p>
    <w:p w14:paraId="718A7288">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4.5 甲方应积极配合乙方评估工作，按计划保障评估时间和参与评估人员，不得影响评估的完整性和公正性。</w:t>
      </w:r>
    </w:p>
    <w:p w14:paraId="7DE59E22">
      <w:pPr>
        <w:tabs>
          <w:tab w:val="left" w:pos="757"/>
        </w:tabs>
        <w:spacing w:line="360" w:lineRule="auto"/>
        <w:ind w:firstLine="482" w:firstLineChars="200"/>
        <w:jc w:val="both"/>
        <w:rPr>
          <w:rFonts w:hint="eastAsia" w:ascii="仿宋" w:hAnsi="仿宋" w:eastAsia="仿宋" w:cs="Times New Roman"/>
          <w:b/>
          <w:bCs/>
          <w:sz w:val="24"/>
          <w:highlight w:val="none"/>
        </w:rPr>
      </w:pPr>
      <w:r>
        <w:rPr>
          <w:rFonts w:hint="eastAsia" w:ascii="仿宋" w:hAnsi="仿宋" w:eastAsia="仿宋" w:cs="Times New Roman"/>
          <w:b/>
          <w:bCs/>
          <w:sz w:val="24"/>
          <w:highlight w:val="none"/>
        </w:rPr>
        <w:t>第五条 乙方的权利和义务</w:t>
      </w:r>
    </w:p>
    <w:p w14:paraId="51803FEC">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5.1乙方应根据本合同的约定提供服务并提交工作成果。</w:t>
      </w:r>
    </w:p>
    <w:p w14:paraId="5DA6A65A">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5.2 乙方派遣具有相应资格、能够胜任本项目的评估和咨询人员。</w:t>
      </w:r>
    </w:p>
    <w:p w14:paraId="48593B73">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5.3乙方应在开展评估前5个工作日将评估计划通知甲方以及被评估企业，并按评估计划实施</w:t>
      </w:r>
      <w:r>
        <w:rPr>
          <w:rFonts w:hint="eastAsia" w:ascii="仿宋" w:hAnsi="仿宋" w:eastAsia="仿宋"/>
          <w:sz w:val="24"/>
          <w:highlight w:val="none"/>
        </w:rPr>
        <w:t>智能制造能力成熟度模型（CMMM）三级</w:t>
      </w:r>
      <w:r>
        <w:rPr>
          <w:rFonts w:hint="eastAsia" w:ascii="仿宋" w:hAnsi="仿宋" w:eastAsia="仿宋" w:cs="Times New Roman"/>
          <w:sz w:val="24"/>
          <w:highlight w:val="none"/>
        </w:rPr>
        <w:t>评估工作。</w:t>
      </w:r>
    </w:p>
    <w:p w14:paraId="707F3CF6">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5.4 乙方应以本合同约定的标准为依据，独立、客观公正的开展评估工作。</w:t>
      </w:r>
    </w:p>
    <w:p w14:paraId="126291FE">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rPr>
        <w:t>5.5乙方应根据评估报告及相关验证结果，结合其他相关信息进行综合评价，给出评定结论。</w:t>
      </w:r>
    </w:p>
    <w:p w14:paraId="003B4083">
      <w:pPr>
        <w:tabs>
          <w:tab w:val="left" w:pos="757"/>
        </w:tabs>
        <w:spacing w:line="360" w:lineRule="auto"/>
        <w:ind w:firstLine="480" w:firstLineChars="200"/>
        <w:jc w:val="both"/>
        <w:rPr>
          <w:rFonts w:hint="eastAsia" w:ascii="仿宋" w:hAnsi="仿宋" w:eastAsia="仿宋" w:cs="Times New Roman"/>
          <w:sz w:val="24"/>
          <w:highlight w:val="none"/>
          <w:lang w:eastAsia="zh-CN"/>
        </w:rPr>
      </w:pPr>
      <w:r>
        <w:rPr>
          <w:rFonts w:hint="eastAsia" w:ascii="仿宋" w:hAnsi="仿宋" w:eastAsia="仿宋" w:cs="Times New Roman"/>
          <w:sz w:val="24"/>
          <w:highlight w:val="none"/>
        </w:rPr>
        <w:t>5.6乙方对甲方提供的资料，</w:t>
      </w:r>
      <w:r>
        <w:rPr>
          <w:rFonts w:hint="eastAsia" w:ascii="仿宋" w:hAnsi="仿宋" w:eastAsia="仿宋" w:cs="Times New Roman"/>
          <w:sz w:val="24"/>
          <w:highlight w:val="none"/>
          <w:lang w:eastAsia="zh-Hans"/>
        </w:rPr>
        <w:t>包括不限于</w:t>
      </w:r>
      <w:r>
        <w:rPr>
          <w:rFonts w:hint="eastAsia" w:ascii="仿宋" w:hAnsi="仿宋" w:eastAsia="仿宋" w:cs="Times New Roman"/>
          <w:sz w:val="24"/>
          <w:highlight w:val="none"/>
        </w:rPr>
        <w:t>如企业评估所需的调查数据和企业发展、信息化建设方面的规划材料等，</w:t>
      </w:r>
      <w:r>
        <w:rPr>
          <w:rFonts w:hint="eastAsia" w:ascii="仿宋" w:hAnsi="仿宋" w:eastAsia="仿宋" w:cs="Times New Roman"/>
          <w:sz w:val="24"/>
          <w:highlight w:val="none"/>
          <w:lang w:eastAsia="zh-Hans"/>
        </w:rPr>
        <w:t>未经评估企业书面同意，</w:t>
      </w:r>
      <w:r>
        <w:rPr>
          <w:rFonts w:hint="eastAsia" w:ascii="仿宋" w:hAnsi="仿宋" w:eastAsia="仿宋" w:cs="Times New Roman"/>
          <w:sz w:val="24"/>
          <w:highlight w:val="none"/>
        </w:rPr>
        <w:t>不得向</w:t>
      </w:r>
      <w:r>
        <w:rPr>
          <w:rFonts w:hint="eastAsia" w:ascii="仿宋" w:hAnsi="仿宋" w:eastAsia="仿宋" w:cs="Times New Roman"/>
          <w:sz w:val="24"/>
          <w:highlight w:val="none"/>
          <w:lang w:eastAsia="zh-Hans"/>
        </w:rPr>
        <w:t>任何</w:t>
      </w:r>
      <w:r>
        <w:rPr>
          <w:rFonts w:hint="eastAsia" w:ascii="仿宋" w:hAnsi="仿宋" w:eastAsia="仿宋" w:cs="Times New Roman"/>
          <w:sz w:val="24"/>
          <w:highlight w:val="none"/>
        </w:rPr>
        <w:t>第三方</w:t>
      </w:r>
      <w:r>
        <w:rPr>
          <w:rFonts w:hint="eastAsia" w:ascii="仿宋" w:hAnsi="仿宋" w:eastAsia="仿宋" w:cs="Times New Roman"/>
          <w:sz w:val="24"/>
          <w:highlight w:val="none"/>
          <w:lang w:eastAsia="zh-CN"/>
        </w:rPr>
        <w:t>披露</w:t>
      </w:r>
      <w:r>
        <w:rPr>
          <w:rFonts w:hint="eastAsia" w:ascii="仿宋" w:hAnsi="仿宋" w:eastAsia="仿宋" w:cs="Times New Roman"/>
          <w:sz w:val="24"/>
          <w:highlight w:val="none"/>
        </w:rPr>
        <w:t>，</w:t>
      </w:r>
      <w:r>
        <w:rPr>
          <w:rFonts w:hint="eastAsia" w:ascii="仿宋" w:hAnsi="仿宋" w:eastAsia="仿宋" w:cs="Times New Roman"/>
          <w:sz w:val="24"/>
          <w:highlight w:val="none"/>
          <w:lang w:eastAsia="zh-Hans"/>
        </w:rPr>
        <w:t>不得用于本项目之外其他目的</w:t>
      </w:r>
      <w:r>
        <w:rPr>
          <w:rFonts w:hint="eastAsia" w:ascii="仿宋" w:hAnsi="仿宋" w:eastAsia="仿宋" w:cs="Times New Roman"/>
          <w:sz w:val="24"/>
          <w:highlight w:val="none"/>
        </w:rPr>
        <w:t>。</w:t>
      </w:r>
      <w:r>
        <w:rPr>
          <w:rFonts w:hint="eastAsia" w:ascii="仿宋" w:hAnsi="仿宋" w:eastAsia="仿宋" w:cs="Times New Roman"/>
          <w:sz w:val="24"/>
          <w:highlight w:val="none"/>
          <w:lang w:eastAsia="zh-CN"/>
        </w:rPr>
        <w:t>本条款独立且长期有效，不因本合同解除、终止等原因而失效。</w:t>
      </w:r>
    </w:p>
    <w:p w14:paraId="37E88738">
      <w:pPr>
        <w:tabs>
          <w:tab w:val="left" w:pos="757"/>
        </w:tabs>
        <w:spacing w:line="360" w:lineRule="auto"/>
        <w:ind w:firstLine="482" w:firstLineChars="200"/>
        <w:jc w:val="both"/>
        <w:rPr>
          <w:rFonts w:hint="eastAsia" w:ascii="仿宋" w:hAnsi="仿宋" w:eastAsia="仿宋" w:cs="Times New Roman"/>
          <w:b/>
          <w:bCs/>
          <w:sz w:val="24"/>
          <w:highlight w:val="none"/>
          <w:lang w:eastAsia="zh-CN"/>
        </w:rPr>
      </w:pPr>
      <w:r>
        <w:rPr>
          <w:rFonts w:hint="eastAsia" w:ascii="仿宋" w:hAnsi="仿宋" w:eastAsia="仿宋" w:cs="Times New Roman"/>
          <w:b/>
          <w:bCs/>
          <w:sz w:val="24"/>
          <w:highlight w:val="none"/>
        </w:rPr>
        <w:t xml:space="preserve">第六条 </w:t>
      </w:r>
      <w:r>
        <w:rPr>
          <w:rFonts w:hint="eastAsia" w:ascii="仿宋" w:hAnsi="仿宋" w:eastAsia="仿宋" w:cs="Times New Roman"/>
          <w:b/>
          <w:bCs/>
          <w:sz w:val="24"/>
          <w:highlight w:val="none"/>
          <w:lang w:eastAsia="zh-CN"/>
        </w:rPr>
        <w:t>违约责任</w:t>
      </w:r>
    </w:p>
    <w:p w14:paraId="1B5E5022">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Times New Roman"/>
          <w:kern w:val="2"/>
          <w:sz w:val="24"/>
          <w:szCs w:val="24"/>
          <w:highlight w:val="none"/>
          <w:lang w:val="en-US" w:eastAsia="zh-Hans" w:bidi="ar-SA"/>
        </w:rPr>
      </w:pPr>
      <w:r>
        <w:rPr>
          <w:rFonts w:hint="eastAsia" w:ascii="仿宋" w:hAnsi="仿宋" w:eastAsia="仿宋" w:cs="Times New Roman"/>
          <w:kern w:val="2"/>
          <w:sz w:val="24"/>
          <w:szCs w:val="24"/>
          <w:highlight w:val="none"/>
          <w:lang w:val="en-US" w:eastAsia="zh-CN" w:bidi="ar-SA"/>
        </w:rPr>
        <w:t xml:space="preserve">6.1 </w:t>
      </w:r>
      <w:r>
        <w:rPr>
          <w:rFonts w:hint="eastAsia" w:ascii="仿宋" w:hAnsi="仿宋" w:eastAsia="仿宋" w:cs="Times New Roman"/>
          <w:kern w:val="2"/>
          <w:sz w:val="24"/>
          <w:szCs w:val="24"/>
          <w:highlight w:val="none"/>
          <w:lang w:val="en-US" w:eastAsia="zh-Hans" w:bidi="ar-SA"/>
        </w:rPr>
        <w:t>除因甲方或不可抗力外，若乙方未按照合同约定的</w:t>
      </w:r>
      <w:r>
        <w:rPr>
          <w:rFonts w:hint="eastAsia" w:ascii="仿宋" w:hAnsi="仿宋" w:eastAsia="仿宋" w:cs="Times New Roman"/>
          <w:kern w:val="2"/>
          <w:sz w:val="24"/>
          <w:szCs w:val="24"/>
          <w:highlight w:val="none"/>
          <w:lang w:val="en-US" w:eastAsia="zh-CN" w:bidi="ar-SA"/>
        </w:rPr>
        <w:t>里程碑节点完成成果物交付</w:t>
      </w:r>
      <w:r>
        <w:rPr>
          <w:rFonts w:hint="eastAsia" w:ascii="仿宋" w:hAnsi="仿宋" w:eastAsia="仿宋" w:cs="Times New Roman"/>
          <w:kern w:val="2"/>
          <w:sz w:val="24"/>
          <w:szCs w:val="24"/>
          <w:highlight w:val="none"/>
          <w:lang w:val="en-US" w:eastAsia="zh-Hans" w:bidi="ar-SA"/>
        </w:rPr>
        <w:t>，造成甲方无法顺利按期取得证书，每逾期1天，由乙方向甲方支付违约金</w:t>
      </w:r>
      <w:r>
        <w:rPr>
          <w:rFonts w:hint="eastAsia" w:ascii="仿宋" w:hAnsi="仿宋" w:eastAsia="仿宋" w:cs="Times New Roman"/>
          <w:kern w:val="2"/>
          <w:sz w:val="24"/>
          <w:szCs w:val="24"/>
          <w:highlight w:val="none"/>
          <w:lang w:val="en-US" w:eastAsia="zh-CN" w:bidi="ar-SA"/>
        </w:rPr>
        <w:t>500</w:t>
      </w:r>
      <w:r>
        <w:rPr>
          <w:rFonts w:hint="eastAsia" w:ascii="仿宋" w:hAnsi="仿宋" w:eastAsia="仿宋" w:cs="Times New Roman"/>
          <w:kern w:val="2"/>
          <w:sz w:val="24"/>
          <w:szCs w:val="24"/>
          <w:highlight w:val="none"/>
          <w:lang w:val="en-US" w:eastAsia="zh-Hans" w:bidi="ar-SA"/>
        </w:rPr>
        <w:t>元；逾期</w:t>
      </w:r>
      <w:r>
        <w:rPr>
          <w:rFonts w:hint="eastAsia" w:ascii="仿宋" w:hAnsi="仿宋" w:eastAsia="仿宋" w:cs="Times New Roman"/>
          <w:kern w:val="2"/>
          <w:sz w:val="24"/>
          <w:szCs w:val="24"/>
          <w:highlight w:val="none"/>
          <w:lang w:val="en-US" w:eastAsia="zh-CN" w:bidi="ar-SA"/>
        </w:rPr>
        <w:t>超</w:t>
      </w:r>
      <w:r>
        <w:rPr>
          <w:rFonts w:hint="eastAsia" w:ascii="仿宋" w:hAnsi="仿宋" w:eastAsia="仿宋" w:cs="Times New Roman"/>
          <w:kern w:val="2"/>
          <w:sz w:val="24"/>
          <w:szCs w:val="24"/>
          <w:highlight w:val="none"/>
          <w:lang w:val="en-US" w:eastAsia="zh-Hans" w:bidi="ar-SA"/>
        </w:rPr>
        <w:t>10天</w:t>
      </w:r>
      <w:r>
        <w:rPr>
          <w:rFonts w:hint="eastAsia" w:ascii="仿宋" w:hAnsi="仿宋" w:eastAsia="仿宋" w:cs="Times New Roman"/>
          <w:kern w:val="2"/>
          <w:sz w:val="24"/>
          <w:szCs w:val="24"/>
          <w:highlight w:val="none"/>
          <w:lang w:val="en-US" w:eastAsia="zh-CN" w:bidi="ar-SA"/>
        </w:rPr>
        <w:t>的</w:t>
      </w:r>
      <w:r>
        <w:rPr>
          <w:rFonts w:hint="eastAsia" w:ascii="仿宋" w:hAnsi="仿宋" w:eastAsia="仿宋" w:cs="Times New Roman"/>
          <w:kern w:val="2"/>
          <w:sz w:val="24"/>
          <w:szCs w:val="24"/>
          <w:highlight w:val="none"/>
          <w:lang w:val="en-US" w:eastAsia="zh-Hans" w:bidi="ar-SA"/>
        </w:rPr>
        <w:t>，</w:t>
      </w:r>
      <w:r>
        <w:rPr>
          <w:rFonts w:hint="eastAsia" w:ascii="仿宋" w:hAnsi="仿宋" w:eastAsia="仿宋" w:cs="Times New Roman"/>
          <w:kern w:val="2"/>
          <w:sz w:val="24"/>
          <w:szCs w:val="24"/>
          <w:highlight w:val="none"/>
          <w:lang w:val="en-US" w:eastAsia="zh-CN" w:bidi="ar-SA"/>
        </w:rPr>
        <w:t>每天按1000元的标准</w:t>
      </w:r>
      <w:r>
        <w:rPr>
          <w:rFonts w:hint="eastAsia" w:ascii="仿宋" w:hAnsi="仿宋" w:eastAsia="仿宋" w:cs="Times New Roman"/>
          <w:kern w:val="2"/>
          <w:sz w:val="24"/>
          <w:szCs w:val="24"/>
          <w:highlight w:val="none"/>
          <w:lang w:val="en-US" w:eastAsia="zh-Hans" w:bidi="ar-SA"/>
        </w:rPr>
        <w:t>向甲方支付违约金；逾期</w:t>
      </w:r>
      <w:r>
        <w:rPr>
          <w:rFonts w:hint="eastAsia" w:ascii="仿宋" w:hAnsi="仿宋" w:eastAsia="仿宋" w:cs="Times New Roman"/>
          <w:kern w:val="2"/>
          <w:sz w:val="24"/>
          <w:szCs w:val="24"/>
          <w:highlight w:val="none"/>
          <w:lang w:val="en-US" w:eastAsia="zh-CN" w:bidi="ar-SA"/>
        </w:rPr>
        <w:t>超</w:t>
      </w:r>
      <w:r>
        <w:rPr>
          <w:rFonts w:hint="eastAsia" w:ascii="仿宋" w:hAnsi="仿宋" w:eastAsia="仿宋" w:cs="Times New Roman"/>
          <w:kern w:val="2"/>
          <w:sz w:val="24"/>
          <w:szCs w:val="24"/>
          <w:highlight w:val="none"/>
          <w:lang w:val="en-US" w:eastAsia="zh-Hans" w:bidi="ar-SA"/>
        </w:rPr>
        <w:t>15天</w:t>
      </w:r>
      <w:r>
        <w:rPr>
          <w:rFonts w:hint="eastAsia" w:ascii="仿宋" w:hAnsi="仿宋" w:eastAsia="仿宋" w:cs="Times New Roman"/>
          <w:kern w:val="2"/>
          <w:sz w:val="24"/>
          <w:szCs w:val="24"/>
          <w:highlight w:val="none"/>
          <w:lang w:val="en-US" w:eastAsia="zh-CN" w:bidi="ar-SA"/>
        </w:rPr>
        <w:t>的</w:t>
      </w:r>
      <w:r>
        <w:rPr>
          <w:rFonts w:hint="eastAsia" w:ascii="仿宋" w:hAnsi="仿宋" w:eastAsia="仿宋" w:cs="Times New Roman"/>
          <w:kern w:val="2"/>
          <w:sz w:val="24"/>
          <w:szCs w:val="24"/>
          <w:highlight w:val="none"/>
          <w:lang w:val="en-US" w:eastAsia="zh-Hans" w:bidi="ar-SA"/>
        </w:rPr>
        <w:t>，甲方有权单方解除本合同，并由乙方向甲方支付合同总价款20%的违约金。</w:t>
      </w:r>
    </w:p>
    <w:p w14:paraId="7D0D7B76">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Times New Roman"/>
          <w:kern w:val="2"/>
          <w:sz w:val="24"/>
          <w:szCs w:val="24"/>
          <w:highlight w:val="none"/>
          <w:lang w:val="en-US" w:eastAsia="zh-Hans" w:bidi="ar-SA"/>
        </w:rPr>
      </w:pPr>
      <w:r>
        <w:rPr>
          <w:rFonts w:hint="eastAsia" w:ascii="仿宋" w:hAnsi="仿宋" w:eastAsia="仿宋" w:cs="Times New Roman"/>
          <w:kern w:val="2"/>
          <w:sz w:val="24"/>
          <w:szCs w:val="24"/>
          <w:highlight w:val="none"/>
          <w:lang w:val="en-US" w:eastAsia="zh-CN" w:bidi="ar-SA"/>
        </w:rPr>
        <w:t>6.2</w:t>
      </w:r>
      <w:r>
        <w:rPr>
          <w:rFonts w:hint="eastAsia" w:ascii="仿宋" w:hAnsi="仿宋" w:eastAsia="仿宋" w:cs="Times New Roman"/>
          <w:kern w:val="2"/>
          <w:sz w:val="24"/>
          <w:szCs w:val="24"/>
          <w:highlight w:val="none"/>
          <w:lang w:val="en-US" w:eastAsia="zh-Hans" w:bidi="ar-SA"/>
        </w:rPr>
        <w:t>若乙方提供的服务未能达到合同技术要求及标准，</w:t>
      </w:r>
      <w:r>
        <w:rPr>
          <w:rFonts w:hint="eastAsia" w:ascii="仿宋" w:hAnsi="仿宋" w:eastAsia="仿宋" w:cs="Times New Roman"/>
          <w:kern w:val="2"/>
          <w:sz w:val="24"/>
          <w:szCs w:val="24"/>
          <w:highlight w:val="none"/>
          <w:lang w:val="en-US" w:eastAsia="zh-CN" w:bidi="ar-SA"/>
        </w:rPr>
        <w:t>无法取得本合同约定证书，</w:t>
      </w:r>
      <w:r>
        <w:rPr>
          <w:rFonts w:hint="eastAsia" w:ascii="仿宋" w:hAnsi="仿宋" w:eastAsia="仿宋" w:cs="Times New Roman"/>
          <w:kern w:val="2"/>
          <w:sz w:val="24"/>
          <w:szCs w:val="24"/>
          <w:highlight w:val="none"/>
          <w:lang w:val="en-US" w:eastAsia="zh-Hans" w:bidi="ar-SA"/>
        </w:rPr>
        <w:t>甲方有权单方解除本合同</w:t>
      </w:r>
      <w:r>
        <w:rPr>
          <w:rFonts w:hint="eastAsia" w:ascii="仿宋" w:hAnsi="仿宋" w:eastAsia="仿宋" w:cs="Times New Roman"/>
          <w:kern w:val="2"/>
          <w:sz w:val="24"/>
          <w:szCs w:val="24"/>
          <w:highlight w:val="none"/>
          <w:lang w:val="en-US" w:eastAsia="zh-CN" w:bidi="ar-SA"/>
        </w:rPr>
        <w:t>，要求乙方退还已付款项</w:t>
      </w:r>
      <w:r>
        <w:rPr>
          <w:rFonts w:hint="eastAsia" w:ascii="仿宋" w:hAnsi="仿宋" w:eastAsia="仿宋" w:cs="Times New Roman"/>
          <w:kern w:val="2"/>
          <w:sz w:val="24"/>
          <w:szCs w:val="24"/>
          <w:highlight w:val="none"/>
          <w:lang w:val="en-US" w:eastAsia="zh-Hans" w:bidi="ar-SA"/>
        </w:rPr>
        <w:t>，并由乙方向甲方支付合同总价款20%的违约金。</w:t>
      </w:r>
    </w:p>
    <w:p w14:paraId="5F637483">
      <w:pPr>
        <w:keepNext w:val="0"/>
        <w:keepLines w:val="0"/>
        <w:pageBreakBefore w:val="0"/>
        <w:widowControl w:val="0"/>
        <w:suppressLineNumbers w:val="0"/>
        <w:kinsoku/>
        <w:wordWrap/>
        <w:topLinePunct w:val="0"/>
        <w:bidi w:val="0"/>
        <w:adjustRightInd w:val="0"/>
        <w:snapToGrid w:val="0"/>
        <w:spacing w:before="0" w:beforeAutospacing="0" w:after="0" w:afterAutospacing="0" w:line="360" w:lineRule="auto"/>
        <w:ind w:left="0" w:right="0" w:firstLine="480" w:firstLineChars="200"/>
        <w:jc w:val="left"/>
        <w:rPr>
          <w:rFonts w:hint="eastAsia" w:ascii="仿宋" w:hAnsi="仿宋" w:eastAsia="仿宋" w:cs="Times New Roman"/>
          <w:kern w:val="2"/>
          <w:sz w:val="24"/>
          <w:szCs w:val="24"/>
          <w:highlight w:val="none"/>
          <w:lang w:val="en-US" w:eastAsia="zh-Hans" w:bidi="ar-SA"/>
        </w:rPr>
      </w:pPr>
      <w:r>
        <w:rPr>
          <w:rFonts w:hint="eastAsia" w:ascii="仿宋" w:hAnsi="仿宋" w:eastAsia="仿宋" w:cs="Times New Roman"/>
          <w:kern w:val="2"/>
          <w:sz w:val="24"/>
          <w:szCs w:val="24"/>
          <w:highlight w:val="none"/>
          <w:lang w:val="en-US" w:eastAsia="zh-CN" w:bidi="ar-SA"/>
        </w:rPr>
        <w:t xml:space="preserve">6.3 </w:t>
      </w:r>
      <w:r>
        <w:rPr>
          <w:rFonts w:hint="eastAsia" w:ascii="仿宋" w:hAnsi="仿宋" w:eastAsia="仿宋" w:cs="Times New Roman"/>
          <w:kern w:val="2"/>
          <w:sz w:val="24"/>
          <w:szCs w:val="24"/>
          <w:highlight w:val="none"/>
          <w:lang w:val="en-US" w:eastAsia="zh-Hans" w:bidi="ar-SA"/>
        </w:rPr>
        <w:t>除因甲方或不可抗力外，在合同执行过程中，乙方项目组成员应与投标时提供的人员及从业资质一致；若因乙方原因随意更换项目组成员或委派不符合甲方资质要求的人员开展现场审核的，甲方有权单方面解除合同，并由乙方向甲方支付合同总总价款20%的违约金。</w:t>
      </w:r>
    </w:p>
    <w:p w14:paraId="028B09E3">
      <w:pPr>
        <w:pStyle w:val="2"/>
        <w:keepNext w:val="0"/>
        <w:keepLines w:val="0"/>
        <w:pageBreakBefore w:val="0"/>
        <w:widowControl w:val="0"/>
        <w:kinsoku/>
        <w:wordWrap/>
        <w:overflowPunct w:val="0"/>
        <w:topLinePunct w:val="0"/>
        <w:autoSpaceDE w:val="0"/>
        <w:autoSpaceDN w:val="0"/>
        <w:bidi w:val="0"/>
        <w:adjustRightInd w:val="0"/>
        <w:snapToGrid/>
        <w:spacing w:line="360" w:lineRule="auto"/>
        <w:ind w:firstLine="480" w:firstLineChars="200"/>
        <w:jc w:val="left"/>
        <w:textAlignment w:val="baseline"/>
        <w:rPr>
          <w:rFonts w:hint="eastAsia"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4"/>
          <w:highlight w:val="none"/>
          <w:lang w:val="en-US" w:eastAsia="zh-CN" w:bidi="ar-SA"/>
        </w:rPr>
        <w:t>6.4 乙方违反上述约定擅自披露甲方信息资料的，乙方按合同总价款的30%向甲方支付泄密违约金，违约金不足以弥补甲方损失的，还应赔偿甲方损失。</w:t>
      </w:r>
    </w:p>
    <w:p w14:paraId="5E88CE88">
      <w:pPr>
        <w:pStyle w:val="2"/>
        <w:keepNext w:val="0"/>
        <w:keepLines w:val="0"/>
        <w:pageBreakBefore w:val="0"/>
        <w:widowControl w:val="0"/>
        <w:kinsoku/>
        <w:wordWrap/>
        <w:overflowPunct w:val="0"/>
        <w:topLinePunct w:val="0"/>
        <w:autoSpaceDE w:val="0"/>
        <w:autoSpaceDN w:val="0"/>
        <w:bidi w:val="0"/>
        <w:adjustRightInd w:val="0"/>
        <w:snapToGrid/>
        <w:spacing w:line="360" w:lineRule="auto"/>
        <w:ind w:firstLine="480" w:firstLineChars="200"/>
        <w:jc w:val="left"/>
        <w:textAlignment w:val="baseline"/>
        <w:rPr>
          <w:rFonts w:hint="default"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4"/>
          <w:highlight w:val="none"/>
          <w:lang w:val="en-US" w:eastAsia="zh-CN" w:bidi="ar-SA"/>
        </w:rPr>
        <w:t>6.5 以上违约金及赔偿，甲方有权从未付款中扣除。</w:t>
      </w:r>
    </w:p>
    <w:p w14:paraId="6E5F6DFE">
      <w:pPr>
        <w:keepNext w:val="0"/>
        <w:keepLines w:val="0"/>
        <w:pageBreakBefore w:val="0"/>
        <w:widowControl w:val="0"/>
        <w:tabs>
          <w:tab w:val="left" w:pos="757"/>
        </w:tabs>
        <w:kinsoku/>
        <w:wordWrap/>
        <w:topLinePunct w:val="0"/>
        <w:bidi w:val="0"/>
        <w:spacing w:line="360" w:lineRule="auto"/>
        <w:ind w:firstLine="482" w:firstLineChars="200"/>
        <w:jc w:val="left"/>
        <w:rPr>
          <w:rFonts w:hint="eastAsia" w:ascii="仿宋" w:hAnsi="仿宋" w:eastAsia="仿宋" w:cs="Times New Roman"/>
          <w:sz w:val="24"/>
          <w:highlight w:val="none"/>
        </w:rPr>
      </w:pPr>
      <w:r>
        <w:rPr>
          <w:rFonts w:hint="eastAsia" w:ascii="仿宋" w:hAnsi="仿宋" w:eastAsia="仿宋" w:cs="Times New Roman"/>
          <w:b/>
          <w:bCs/>
          <w:sz w:val="24"/>
          <w:highlight w:val="none"/>
          <w:lang w:eastAsia="zh-CN"/>
        </w:rPr>
        <w:t>第七条</w:t>
      </w:r>
      <w:r>
        <w:rPr>
          <w:rFonts w:hint="eastAsia" w:ascii="仿宋" w:hAnsi="仿宋" w:eastAsia="仿宋" w:cs="Times New Roman"/>
          <w:b/>
          <w:bCs/>
          <w:sz w:val="24"/>
          <w:highlight w:val="none"/>
          <w:lang w:val="en-US" w:eastAsia="zh-CN"/>
        </w:rPr>
        <w:t xml:space="preserve"> </w:t>
      </w:r>
      <w:r>
        <w:rPr>
          <w:rFonts w:hint="eastAsia" w:ascii="仿宋" w:hAnsi="仿宋" w:eastAsia="仿宋" w:cs="Times New Roman"/>
          <w:b/>
          <w:bCs/>
          <w:sz w:val="24"/>
          <w:highlight w:val="none"/>
        </w:rPr>
        <w:t>争议的解决</w:t>
      </w:r>
    </w:p>
    <w:p w14:paraId="43DBE0CA">
      <w:pPr>
        <w:keepNext w:val="0"/>
        <w:keepLines w:val="0"/>
        <w:pageBreakBefore w:val="0"/>
        <w:widowControl w:val="0"/>
        <w:tabs>
          <w:tab w:val="left" w:pos="757"/>
        </w:tabs>
        <w:kinsoku/>
        <w:wordWrap/>
        <w:topLinePunct w:val="0"/>
        <w:bidi w:val="0"/>
        <w:spacing w:line="360" w:lineRule="auto"/>
        <w:ind w:firstLine="480" w:firstLineChars="200"/>
        <w:jc w:val="left"/>
        <w:rPr>
          <w:rFonts w:hint="eastAsia" w:ascii="仿宋" w:hAnsi="仿宋" w:eastAsia="仿宋" w:cs="Times New Roman"/>
          <w:sz w:val="24"/>
          <w:highlight w:val="none"/>
          <w:lang w:val="zh-CN"/>
        </w:rPr>
      </w:pPr>
      <w:r>
        <w:rPr>
          <w:rFonts w:hint="eastAsia" w:ascii="仿宋" w:hAnsi="仿宋" w:eastAsia="仿宋" w:cs="Times New Roman"/>
          <w:sz w:val="24"/>
          <w:highlight w:val="none"/>
          <w:lang w:val="zh-CN"/>
        </w:rPr>
        <w:t>执行本合同发生争议，由当事人双方协商和解，也可以请求调解。双方当事人和解或调解不成，采用以下第  (二)  种方式解决。</w:t>
      </w:r>
    </w:p>
    <w:p w14:paraId="22625C16">
      <w:pPr>
        <w:keepNext w:val="0"/>
        <w:keepLines w:val="0"/>
        <w:pageBreakBefore w:val="0"/>
        <w:widowControl w:val="0"/>
        <w:tabs>
          <w:tab w:val="left" w:pos="757"/>
        </w:tabs>
        <w:kinsoku/>
        <w:wordWrap/>
        <w:topLinePunct w:val="0"/>
        <w:bidi w:val="0"/>
        <w:spacing w:line="360" w:lineRule="auto"/>
        <w:ind w:firstLine="480" w:firstLineChars="200"/>
        <w:jc w:val="left"/>
        <w:rPr>
          <w:rFonts w:hint="eastAsia" w:ascii="仿宋" w:hAnsi="仿宋" w:eastAsia="仿宋" w:cs="Times New Roman"/>
          <w:sz w:val="24"/>
          <w:highlight w:val="none"/>
          <w:lang w:val="zh-CN"/>
        </w:rPr>
      </w:pPr>
      <w:r>
        <w:rPr>
          <w:rFonts w:hint="eastAsia" w:ascii="仿宋" w:hAnsi="仿宋" w:eastAsia="仿宋" w:cs="Times New Roman"/>
          <w:sz w:val="24"/>
          <w:highlight w:val="none"/>
          <w:lang w:val="zh-CN"/>
        </w:rPr>
        <w:t>（一）双方同意由仲裁委员会仲裁。</w:t>
      </w:r>
    </w:p>
    <w:p w14:paraId="442F74EA">
      <w:pPr>
        <w:keepNext w:val="0"/>
        <w:keepLines w:val="0"/>
        <w:pageBreakBefore w:val="0"/>
        <w:widowControl w:val="0"/>
        <w:tabs>
          <w:tab w:val="left" w:pos="757"/>
        </w:tabs>
        <w:kinsoku/>
        <w:wordWrap/>
        <w:topLinePunct w:val="0"/>
        <w:bidi w:val="0"/>
        <w:spacing w:line="360" w:lineRule="auto"/>
        <w:ind w:firstLine="480" w:firstLineChars="200"/>
        <w:jc w:val="left"/>
        <w:rPr>
          <w:rFonts w:hint="eastAsia" w:ascii="仿宋" w:hAnsi="仿宋" w:eastAsia="仿宋" w:cs="Times New Roman"/>
          <w:sz w:val="24"/>
          <w:highlight w:val="none"/>
          <w:lang w:val="zh-CN"/>
        </w:rPr>
      </w:pPr>
      <w:r>
        <w:rPr>
          <w:rFonts w:hint="eastAsia" w:ascii="仿宋" w:hAnsi="仿宋" w:eastAsia="仿宋" w:cs="Times New Roman"/>
          <w:sz w:val="24"/>
          <w:highlight w:val="none"/>
          <w:lang w:val="zh-CN"/>
        </w:rPr>
        <w:t>（二）向</w:t>
      </w:r>
      <w:r>
        <w:rPr>
          <w:rFonts w:hint="eastAsia" w:ascii="仿宋" w:hAnsi="仿宋" w:eastAsia="仿宋" w:cs="Times New Roman"/>
          <w:sz w:val="24"/>
          <w:highlight w:val="none"/>
          <w:lang w:val="en-US" w:eastAsia="zh-CN"/>
        </w:rPr>
        <w:t>甲</w:t>
      </w:r>
      <w:r>
        <w:rPr>
          <w:rFonts w:hint="eastAsia" w:ascii="仿宋" w:hAnsi="仿宋" w:eastAsia="仿宋" w:cs="Times New Roman"/>
          <w:sz w:val="24"/>
          <w:highlight w:val="none"/>
          <w:lang w:val="zh-CN"/>
        </w:rPr>
        <w:t>方所在地人民法院进行起诉。</w:t>
      </w:r>
    </w:p>
    <w:p w14:paraId="451D87E2">
      <w:pPr>
        <w:tabs>
          <w:tab w:val="left" w:pos="757"/>
        </w:tabs>
        <w:spacing w:line="360" w:lineRule="auto"/>
        <w:ind w:firstLine="482" w:firstLineChars="200"/>
        <w:jc w:val="both"/>
        <w:rPr>
          <w:rFonts w:hint="eastAsia" w:ascii="仿宋" w:hAnsi="仿宋" w:eastAsia="仿宋" w:cs="Times New Roman"/>
          <w:b/>
          <w:bCs/>
          <w:sz w:val="24"/>
          <w:highlight w:val="none"/>
        </w:rPr>
      </w:pPr>
      <w:r>
        <w:rPr>
          <w:rFonts w:hint="eastAsia" w:ascii="仿宋" w:hAnsi="仿宋" w:eastAsia="仿宋" w:cs="Times New Roman"/>
          <w:b/>
          <w:bCs/>
          <w:sz w:val="24"/>
          <w:highlight w:val="none"/>
          <w:lang w:eastAsia="zh-CN"/>
        </w:rPr>
        <w:t>第八条</w:t>
      </w:r>
      <w:r>
        <w:rPr>
          <w:rFonts w:hint="eastAsia" w:ascii="仿宋" w:hAnsi="仿宋" w:eastAsia="仿宋" w:cs="Times New Roman"/>
          <w:b/>
          <w:bCs/>
          <w:sz w:val="24"/>
          <w:highlight w:val="none"/>
          <w:lang w:val="en-US" w:eastAsia="zh-CN"/>
        </w:rPr>
        <w:t xml:space="preserve"> </w:t>
      </w:r>
      <w:r>
        <w:rPr>
          <w:rFonts w:hint="eastAsia" w:ascii="仿宋" w:hAnsi="仿宋" w:eastAsia="仿宋" w:cs="Times New Roman"/>
          <w:b/>
          <w:bCs/>
          <w:sz w:val="24"/>
          <w:highlight w:val="none"/>
        </w:rPr>
        <w:t>其他事项</w:t>
      </w:r>
    </w:p>
    <w:p w14:paraId="2C4892F1">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rPr>
        <w:t>.1除非双方书面同意，任何一方都不得变更、撤销其在本合同中规定的权利或义务。</w:t>
      </w:r>
    </w:p>
    <w:p w14:paraId="4729D609">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rPr>
        <w:t>.2若本合同未尽事宜，经甲乙双方协商同意，由双方另行签字补充协议，补充协议为本合同的组成部分，具有同等法律效力。</w:t>
      </w:r>
    </w:p>
    <w:p w14:paraId="59D14FFC">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lang w:eastAsia="zh-Hans"/>
        </w:rPr>
        <w:t>.3</w:t>
      </w:r>
      <w:r>
        <w:rPr>
          <w:rFonts w:hint="eastAsia" w:ascii="仿宋" w:hAnsi="仿宋" w:eastAsia="仿宋" w:cs="Times New Roman"/>
          <w:sz w:val="24"/>
          <w:highlight w:val="none"/>
        </w:rPr>
        <w:t xml:space="preserve"> 本合同项下双方向对方发出的通知、信件、数据电文</w:t>
      </w:r>
      <w:r>
        <w:rPr>
          <w:rFonts w:hint="eastAsia" w:ascii="仿宋" w:hAnsi="仿宋" w:eastAsia="仿宋" w:cs="Times New Roman"/>
          <w:sz w:val="24"/>
          <w:highlight w:val="none"/>
          <w:lang w:eastAsia="zh-CN"/>
        </w:rPr>
        <w:t>以及争议时法律文书送达</w:t>
      </w:r>
      <w:r>
        <w:rPr>
          <w:rFonts w:hint="eastAsia" w:ascii="仿宋" w:hAnsi="仿宋" w:eastAsia="仿宋" w:cs="Times New Roman"/>
          <w:sz w:val="24"/>
          <w:highlight w:val="none"/>
        </w:rPr>
        <w:t>等，应当发送至本合同</w:t>
      </w:r>
      <w:r>
        <w:rPr>
          <w:rFonts w:hint="eastAsia" w:ascii="仿宋" w:hAnsi="仿宋" w:eastAsia="仿宋" w:cs="Times New Roman"/>
          <w:sz w:val="24"/>
          <w:highlight w:val="none"/>
          <w:lang w:eastAsia="zh-CN"/>
        </w:rPr>
        <w:t>落款用印处</w:t>
      </w:r>
      <w:r>
        <w:rPr>
          <w:rFonts w:hint="eastAsia" w:ascii="仿宋" w:hAnsi="仿宋" w:eastAsia="仿宋" w:cs="Times New Roman"/>
          <w:sz w:val="24"/>
          <w:highlight w:val="none"/>
        </w:rPr>
        <w:t>约定的地址、联系人和通信终端，电子送达与书面送达具有同等法律效力。</w:t>
      </w:r>
    </w:p>
    <w:p w14:paraId="23104F44">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w:t>
      </w:r>
      <w:r>
        <w:rPr>
          <w:rFonts w:hint="eastAsia" w:ascii="仿宋" w:hAnsi="仿宋" w:eastAsia="仿宋" w:cs="Times New Roman"/>
          <w:sz w:val="24"/>
          <w:highlight w:val="none"/>
          <w:lang w:eastAsia="zh-Hans"/>
        </w:rPr>
        <w:t>.4</w:t>
      </w:r>
      <w:r>
        <w:rPr>
          <w:rFonts w:hint="eastAsia" w:ascii="仿宋" w:hAnsi="仿宋" w:eastAsia="仿宋" w:cs="Times New Roman"/>
          <w:sz w:val="24"/>
          <w:highlight w:val="none"/>
        </w:rPr>
        <w:t xml:space="preserve"> 一方当事人变更名称、地址、联系人或通信终端的，应当在变更后及时书面通知对方当事人，否则另一方按照合同约定地址邮寄第3天视为送达，向约定电子邮箱发送成功即为送达。</w:t>
      </w:r>
    </w:p>
    <w:p w14:paraId="25AE47B5">
      <w:pPr>
        <w:tabs>
          <w:tab w:val="left" w:pos="757"/>
        </w:tabs>
        <w:spacing w:line="360" w:lineRule="auto"/>
        <w:ind w:firstLine="480" w:firstLineChars="200"/>
        <w:jc w:val="both"/>
        <w:rPr>
          <w:rFonts w:hint="eastAsia" w:ascii="仿宋" w:hAnsi="仿宋" w:eastAsia="仿宋" w:cs="Times New Roman"/>
          <w:sz w:val="24"/>
          <w:highlight w:val="none"/>
        </w:rPr>
      </w:pPr>
      <w:r>
        <w:rPr>
          <w:rFonts w:hint="eastAsia" w:ascii="仿宋" w:hAnsi="仿宋" w:eastAsia="仿宋" w:cs="Times New Roman"/>
          <w:sz w:val="24"/>
          <w:highlight w:val="none"/>
          <w:lang w:val="en-US" w:eastAsia="zh-CN"/>
        </w:rPr>
        <w:t>8.5</w:t>
      </w:r>
      <w:r>
        <w:rPr>
          <w:rFonts w:hint="eastAsia" w:ascii="仿宋" w:hAnsi="仿宋" w:eastAsia="仿宋" w:cs="Times New Roman"/>
          <w:sz w:val="24"/>
          <w:highlight w:val="none"/>
        </w:rPr>
        <w:t>本合同一式</w:t>
      </w:r>
      <w:r>
        <w:rPr>
          <w:rFonts w:hint="eastAsia" w:ascii="仿宋" w:hAnsi="仿宋" w:eastAsia="仿宋" w:cs="Times New Roman"/>
          <w:sz w:val="24"/>
          <w:highlight w:val="none"/>
          <w:lang w:val="en-US" w:eastAsia="zh-CN"/>
        </w:rPr>
        <w:t>陆</w:t>
      </w:r>
      <w:r>
        <w:rPr>
          <w:rFonts w:hint="eastAsia" w:ascii="仿宋" w:hAnsi="仿宋" w:eastAsia="仿宋" w:cs="Times New Roman"/>
          <w:sz w:val="24"/>
          <w:highlight w:val="none"/>
        </w:rPr>
        <w:t>份，甲方</w:t>
      </w:r>
      <w:r>
        <w:rPr>
          <w:rFonts w:hint="eastAsia" w:ascii="仿宋" w:hAnsi="仿宋" w:eastAsia="仿宋" w:cs="Times New Roman"/>
          <w:sz w:val="24"/>
          <w:highlight w:val="none"/>
          <w:lang w:val="en-US" w:eastAsia="zh-CN"/>
        </w:rPr>
        <w:t>肆</w:t>
      </w:r>
      <w:r>
        <w:rPr>
          <w:rFonts w:hint="eastAsia" w:ascii="仿宋" w:hAnsi="仿宋" w:eastAsia="仿宋" w:cs="Times New Roman"/>
          <w:sz w:val="24"/>
          <w:highlight w:val="none"/>
        </w:rPr>
        <w:t>份，乙方 贰 份，具有同等法律效力。</w:t>
      </w:r>
    </w:p>
    <w:p w14:paraId="6017CC23">
      <w:pPr>
        <w:keepNext w:val="0"/>
        <w:keepLines w:val="0"/>
        <w:pageBreakBefore w:val="0"/>
        <w:kinsoku/>
        <w:wordWrap/>
        <w:overflowPunct/>
        <w:topLinePunct w:val="0"/>
        <w:autoSpaceDE/>
        <w:autoSpaceDN/>
        <w:bidi w:val="0"/>
        <w:adjustRightInd/>
        <w:spacing w:line="440" w:lineRule="exact"/>
        <w:ind w:left="0" w:leftChars="0" w:right="0" w:rightChars="0" w:firstLine="640" w:firstLineChars="200"/>
        <w:jc w:val="left"/>
        <w:textAlignment w:val="auto"/>
        <w:rPr>
          <w:rFonts w:hint="default" w:ascii="Times New Roman" w:hAnsi="Times New Roman" w:eastAsia="仿宋_GB2312" w:cs="Times New Roman"/>
          <w:sz w:val="32"/>
          <w:szCs w:val="32"/>
          <w:highlight w:val="none"/>
        </w:rPr>
      </w:pPr>
    </w:p>
    <w:p w14:paraId="075FBCFB">
      <w:pPr>
        <w:wordWrap w:val="0"/>
        <w:adjustRightInd w:val="0"/>
        <w:snapToGrid w:val="0"/>
        <w:spacing w:line="360" w:lineRule="auto"/>
        <w:ind w:firstLine="480" w:firstLineChars="20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（以下无正文）</w:t>
      </w:r>
    </w:p>
    <w:p w14:paraId="5EE892D3">
      <w:pPr>
        <w:wordWrap w:val="0"/>
        <w:adjustRightInd w:val="0"/>
        <w:snapToGrid w:val="0"/>
        <w:spacing w:line="360" w:lineRule="auto"/>
        <w:ind w:firstLine="480" w:firstLineChars="200"/>
        <w:rPr>
          <w:rFonts w:hint="eastAsia" w:ascii="Times New Roman" w:hAnsi="Times New Roman" w:eastAsia="仿宋"/>
          <w:color w:val="auto"/>
          <w:sz w:val="24"/>
          <w:highlight w:val="none"/>
        </w:rPr>
        <w:sectPr>
          <w:pgSz w:w="11906" w:h="16838"/>
          <w:pgMar w:top="1440" w:right="1800" w:bottom="1440" w:left="1800" w:header="851" w:footer="992" w:gutter="0"/>
          <w:cols w:space="425" w:num="1"/>
          <w:docGrid w:type="lines" w:linePitch="312" w:charSpace="0"/>
        </w:sectPr>
      </w:pPr>
    </w:p>
    <w:p w14:paraId="107F304B">
      <w:pPr>
        <w:wordWrap w:val="0"/>
        <w:adjustRightInd w:val="0"/>
        <w:snapToGrid w:val="0"/>
        <w:spacing w:line="360" w:lineRule="auto"/>
        <w:ind w:firstLine="480" w:firstLineChars="200"/>
        <w:rPr>
          <w:rFonts w:hint="eastAsia" w:ascii="Times New Roman" w:hAnsi="Times New Roman" w:eastAsia="仿宋"/>
          <w:color w:val="auto"/>
          <w:sz w:val="24"/>
          <w:highlight w:val="none"/>
        </w:rPr>
      </w:pPr>
    </w:p>
    <w:tbl>
      <w:tblPr>
        <w:tblStyle w:val="27"/>
        <w:tblW w:w="8317"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59"/>
        <w:gridCol w:w="4158"/>
      </w:tblGrid>
      <w:tr w14:paraId="783B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9" w:type="dxa"/>
            <w:noWrap w:val="0"/>
            <w:vAlign w:val="top"/>
          </w:tcPr>
          <w:p w14:paraId="32F725C4">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default" w:ascii="Times New Roman" w:hAnsi="Times New Roman" w:eastAsia="仿宋"/>
                <w:color w:val="auto"/>
                <w:sz w:val="24"/>
                <w:highlight w:val="none"/>
              </w:rPr>
              <w:t>甲方：</w:t>
            </w:r>
            <w:r>
              <w:rPr>
                <w:rFonts w:hint="eastAsia" w:eastAsia="仿宋"/>
                <w:color w:val="auto"/>
                <w:sz w:val="24"/>
                <w:highlight w:val="none"/>
                <w:lang w:val="en-US" w:eastAsia="zh-CN"/>
              </w:rPr>
              <w:t xml:space="preserve">        </w:t>
            </w:r>
            <w:r>
              <w:rPr>
                <w:rFonts w:hint="eastAsia" w:ascii="Times New Roman" w:hAnsi="Times New Roman" w:eastAsia="仿宋"/>
                <w:color w:val="auto"/>
                <w:sz w:val="24"/>
                <w:highlight w:val="none"/>
              </w:rPr>
              <w:t>（盖章）</w:t>
            </w:r>
          </w:p>
          <w:p w14:paraId="222ED094">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法定代表人</w:t>
            </w:r>
            <w:r>
              <w:rPr>
                <w:rFonts w:hint="eastAsia" w:ascii="Times New Roman" w:hAnsi="Times New Roman" w:eastAsia="仿宋"/>
                <w:color w:val="auto"/>
                <w:sz w:val="24"/>
                <w:highlight w:val="none"/>
              </w:rPr>
              <w:t>或授权代表</w:t>
            </w:r>
            <w:r>
              <w:rPr>
                <w:rFonts w:hint="default" w:ascii="Times New Roman" w:hAnsi="Times New Roman" w:eastAsia="仿宋"/>
                <w:color w:val="auto"/>
                <w:sz w:val="24"/>
                <w:highlight w:val="none"/>
              </w:rPr>
              <w:t>：</w:t>
            </w:r>
          </w:p>
          <w:p w14:paraId="71FCBC9F">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ascii="Times New Roman" w:hAnsi="Times New Roman" w:eastAsia="仿宋"/>
                <w:color w:val="auto"/>
                <w:sz w:val="24"/>
                <w:highlight w:val="none"/>
              </w:rPr>
              <w:t>（签字或签章）</w:t>
            </w:r>
          </w:p>
          <w:p w14:paraId="090E5096">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p>
          <w:p w14:paraId="57AF6EF4">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地址：</w:t>
            </w:r>
          </w:p>
          <w:p w14:paraId="1E6F2E6C">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default" w:ascii="Times New Roman" w:hAnsi="Times New Roman" w:eastAsia="仿宋"/>
                <w:color w:val="auto"/>
                <w:sz w:val="24"/>
                <w:highlight w:val="none"/>
              </w:rPr>
              <w:t>开户行：</w:t>
            </w:r>
            <w:r>
              <w:rPr>
                <w:rFonts w:hint="eastAsia" w:eastAsia="仿宋"/>
                <w:color w:val="auto"/>
                <w:sz w:val="24"/>
                <w:highlight w:val="none"/>
                <w:lang w:val="en-US" w:eastAsia="zh-CN"/>
              </w:rPr>
              <w:t xml:space="preserve"> </w:t>
            </w:r>
          </w:p>
          <w:p w14:paraId="39FA2C35">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default" w:ascii="Times New Roman" w:hAnsi="Times New Roman" w:eastAsia="仿宋"/>
                <w:color w:val="auto"/>
                <w:sz w:val="24"/>
                <w:highlight w:val="none"/>
              </w:rPr>
              <w:t>账号</w:t>
            </w:r>
            <w:r>
              <w:rPr>
                <w:rFonts w:hint="eastAsia" w:ascii="Times New Roman" w:hAnsi="Times New Roman" w:eastAsia="仿宋"/>
                <w:color w:val="auto"/>
                <w:sz w:val="24"/>
                <w:highlight w:val="none"/>
              </w:rPr>
              <w:t>：</w:t>
            </w:r>
            <w:r>
              <w:rPr>
                <w:rFonts w:hint="eastAsia" w:eastAsia="仿宋"/>
                <w:color w:val="auto"/>
                <w:sz w:val="24"/>
                <w:highlight w:val="none"/>
                <w:lang w:val="en-US" w:eastAsia="zh-CN"/>
              </w:rPr>
              <w:t xml:space="preserve"> </w:t>
            </w:r>
          </w:p>
          <w:p w14:paraId="35F2A7A6">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税号：</w:t>
            </w:r>
            <w:r>
              <w:rPr>
                <w:rFonts w:hint="eastAsia" w:eastAsia="仿宋"/>
                <w:color w:val="auto"/>
                <w:sz w:val="24"/>
                <w:highlight w:val="none"/>
                <w:lang w:val="en-US" w:eastAsia="zh-CN"/>
              </w:rPr>
              <w:t xml:space="preserve"> </w:t>
            </w:r>
          </w:p>
          <w:p w14:paraId="47F022B4">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电话：</w:t>
            </w:r>
            <w:r>
              <w:rPr>
                <w:rFonts w:hint="eastAsia" w:eastAsia="仿宋"/>
                <w:color w:val="auto"/>
                <w:sz w:val="24"/>
                <w:highlight w:val="none"/>
                <w:lang w:val="en-US" w:eastAsia="zh-CN"/>
              </w:rPr>
              <w:t xml:space="preserve"> </w:t>
            </w:r>
          </w:p>
          <w:p w14:paraId="09242B28">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项目负责人：</w:t>
            </w:r>
            <w:r>
              <w:rPr>
                <w:rFonts w:hint="eastAsia" w:eastAsia="仿宋"/>
                <w:color w:val="auto"/>
                <w:sz w:val="24"/>
                <w:highlight w:val="none"/>
                <w:lang w:val="en-US" w:eastAsia="zh-CN"/>
              </w:rPr>
              <w:t xml:space="preserve"> </w:t>
            </w:r>
          </w:p>
          <w:p w14:paraId="407C8E9E">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电话：</w:t>
            </w:r>
            <w:r>
              <w:rPr>
                <w:rFonts w:hint="eastAsia" w:eastAsia="仿宋"/>
                <w:color w:val="auto"/>
                <w:sz w:val="24"/>
                <w:highlight w:val="none"/>
                <w:lang w:val="en-US" w:eastAsia="zh-CN"/>
              </w:rPr>
              <w:t xml:space="preserve"> </w:t>
            </w:r>
          </w:p>
          <w:p w14:paraId="3E2E7D07">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eastAsia="仿宋"/>
                <w:color w:val="auto"/>
                <w:sz w:val="24"/>
                <w:highlight w:val="none"/>
                <w:lang w:eastAsia="zh-CN"/>
              </w:rPr>
              <w:t>电子邮箱</w:t>
            </w:r>
            <w:r>
              <w:rPr>
                <w:rFonts w:hint="default" w:ascii="Times New Roman" w:hAnsi="Times New Roman" w:eastAsia="仿宋"/>
                <w:color w:val="auto"/>
                <w:sz w:val="24"/>
                <w:highlight w:val="none"/>
              </w:rPr>
              <w:t>：</w:t>
            </w:r>
          </w:p>
          <w:p w14:paraId="489AA5EF">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p>
          <w:p w14:paraId="7377BBCE">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签订时间：</w:t>
            </w:r>
            <w:r>
              <w:rPr>
                <w:rFonts w:hint="eastAsia" w:ascii="Times New Roman" w:hAnsi="Times New Roman" w:eastAsia="仿宋"/>
                <w:color w:val="auto"/>
                <w:sz w:val="24"/>
                <w:highlight w:val="none"/>
              </w:rPr>
              <w:t xml:space="preserve"> </w:t>
            </w:r>
            <w:r>
              <w:rPr>
                <w:rFonts w:hint="eastAsia" w:ascii="Times New Roman" w:hAnsi="Times New Roman"/>
                <w:color w:val="auto"/>
                <w:sz w:val="24"/>
                <w:highlight w:val="none"/>
              </w:rPr>
              <w:t>202</w:t>
            </w:r>
            <w:r>
              <w:rPr>
                <w:rFonts w:hint="eastAsia" w:ascii="Times New Roman" w:hAnsi="Times New Roman"/>
                <w:color w:val="auto"/>
                <w:sz w:val="24"/>
                <w:highlight w:val="none"/>
                <w:lang w:val="en-US" w:eastAsia="zh-CN"/>
              </w:rPr>
              <w:t>5</w:t>
            </w:r>
            <w:r>
              <w:rPr>
                <w:rFonts w:hint="eastAsia" w:ascii="Times New Roman" w:hAnsi="Times New Roman"/>
                <w:color w:val="auto"/>
                <w:sz w:val="24"/>
                <w:highlight w:val="none"/>
              </w:rPr>
              <w:t xml:space="preserve"> </w:t>
            </w:r>
            <w:r>
              <w:rPr>
                <w:rFonts w:hint="default" w:ascii="Times New Roman" w:hAnsi="Times New Roman" w:eastAsia="仿宋"/>
                <w:color w:val="auto"/>
                <w:sz w:val="24"/>
                <w:highlight w:val="none"/>
              </w:rPr>
              <w:t xml:space="preserve">年   </w:t>
            </w:r>
            <w:r>
              <w:rPr>
                <w:rFonts w:hint="eastAsia" w:ascii="Times New Roman" w:hAnsi="Times New Roman" w:eastAsia="仿宋"/>
                <w:color w:val="auto"/>
                <w:sz w:val="24"/>
                <w:highlight w:val="none"/>
              </w:rPr>
              <w:t xml:space="preserve"> </w:t>
            </w:r>
            <w:r>
              <w:rPr>
                <w:rFonts w:hint="default" w:ascii="Times New Roman" w:hAnsi="Times New Roman" w:eastAsia="仿宋"/>
                <w:color w:val="auto"/>
                <w:sz w:val="24"/>
                <w:highlight w:val="none"/>
              </w:rPr>
              <w:t xml:space="preserve">月   </w:t>
            </w:r>
            <w:r>
              <w:rPr>
                <w:rFonts w:hint="eastAsia" w:ascii="Times New Roman" w:hAnsi="Times New Roman" w:eastAsia="仿宋"/>
                <w:color w:val="auto"/>
                <w:sz w:val="24"/>
                <w:highlight w:val="none"/>
              </w:rPr>
              <w:t xml:space="preserve"> </w:t>
            </w:r>
            <w:r>
              <w:rPr>
                <w:rFonts w:hint="default" w:ascii="Times New Roman" w:hAnsi="Times New Roman" w:eastAsia="仿宋"/>
                <w:color w:val="auto"/>
                <w:sz w:val="24"/>
                <w:highlight w:val="none"/>
              </w:rPr>
              <w:t>日</w:t>
            </w:r>
          </w:p>
        </w:tc>
        <w:tc>
          <w:tcPr>
            <w:tcW w:w="4158" w:type="dxa"/>
            <w:noWrap w:val="0"/>
            <w:vAlign w:val="top"/>
          </w:tcPr>
          <w:p w14:paraId="3DDA4873">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乙</w:t>
            </w:r>
            <w:r>
              <w:rPr>
                <w:rFonts w:hint="default" w:ascii="Times New Roman" w:hAnsi="Times New Roman" w:eastAsia="仿宋"/>
                <w:color w:val="auto"/>
                <w:sz w:val="24"/>
                <w:highlight w:val="none"/>
              </w:rPr>
              <w:t>方：</w:t>
            </w:r>
            <w:r>
              <w:rPr>
                <w:rFonts w:hint="eastAsia" w:ascii="Times New Roman" w:hAnsi="Times New Roman" w:eastAsia="仿宋"/>
                <w:color w:val="auto"/>
                <w:sz w:val="24"/>
                <w:highlight w:val="none"/>
                <w:lang w:val="en-US" w:eastAsia="zh-CN"/>
              </w:rPr>
              <w:t xml:space="preserve">               </w:t>
            </w:r>
            <w:r>
              <w:rPr>
                <w:rFonts w:hint="eastAsia" w:ascii="Times New Roman" w:hAnsi="Times New Roman" w:eastAsia="仿宋"/>
                <w:color w:val="auto"/>
                <w:sz w:val="24"/>
                <w:highlight w:val="none"/>
              </w:rPr>
              <w:t>（盖章）</w:t>
            </w:r>
          </w:p>
          <w:p w14:paraId="38D72A47">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default" w:ascii="Times New Roman" w:hAnsi="Times New Roman" w:eastAsia="仿宋"/>
                <w:color w:val="auto"/>
                <w:sz w:val="24"/>
                <w:highlight w:val="none"/>
              </w:rPr>
              <w:t>法定代表人</w:t>
            </w:r>
            <w:r>
              <w:rPr>
                <w:rFonts w:hint="eastAsia" w:ascii="Times New Roman" w:hAnsi="Times New Roman" w:eastAsia="仿宋"/>
                <w:color w:val="auto"/>
                <w:sz w:val="24"/>
                <w:highlight w:val="none"/>
              </w:rPr>
              <w:t>或授权代表</w:t>
            </w:r>
            <w:r>
              <w:rPr>
                <w:rFonts w:hint="default" w:ascii="Times New Roman" w:hAnsi="Times New Roman" w:eastAsia="仿宋"/>
                <w:color w:val="auto"/>
                <w:sz w:val="24"/>
                <w:highlight w:val="none"/>
              </w:rPr>
              <w:t>：</w:t>
            </w:r>
          </w:p>
          <w:p w14:paraId="0BF328F4">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（签字或签章）</w:t>
            </w:r>
          </w:p>
          <w:p w14:paraId="3D851661">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p>
          <w:p w14:paraId="33497492">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地址：</w:t>
            </w:r>
          </w:p>
          <w:p w14:paraId="47AE08E7">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default" w:ascii="Times New Roman" w:hAnsi="Times New Roman" w:eastAsia="仿宋"/>
                <w:color w:val="auto"/>
                <w:sz w:val="24"/>
                <w:highlight w:val="none"/>
              </w:rPr>
              <w:t>开户行：</w:t>
            </w:r>
          </w:p>
          <w:p w14:paraId="7D5D6B90">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账号：</w:t>
            </w:r>
          </w:p>
          <w:p w14:paraId="257EA066">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税号：</w:t>
            </w:r>
          </w:p>
          <w:p w14:paraId="3A57B8EF">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电话：</w:t>
            </w:r>
          </w:p>
          <w:p w14:paraId="39BB2797">
            <w:pPr>
              <w:keepNext w:val="0"/>
              <w:keepLines w:val="0"/>
              <w:suppressLineNumbers w:val="0"/>
              <w:adjustRightInd w:val="0"/>
              <w:snapToGrid w:val="0"/>
              <w:spacing w:before="0" w:beforeAutospacing="0" w:after="0" w:afterAutospacing="0" w:line="360" w:lineRule="auto"/>
              <w:ind w:left="0" w:right="0"/>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项目负责人：</w:t>
            </w:r>
          </w:p>
          <w:p w14:paraId="61D16ABD">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ascii="Times New Roman" w:hAnsi="Times New Roman" w:eastAsia="仿宋"/>
                <w:color w:val="auto"/>
                <w:sz w:val="24"/>
                <w:highlight w:val="none"/>
              </w:rPr>
              <w:t>电话：</w:t>
            </w:r>
          </w:p>
          <w:p w14:paraId="205992EE">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eastAsia" w:eastAsia="仿宋"/>
                <w:color w:val="auto"/>
                <w:sz w:val="24"/>
                <w:highlight w:val="none"/>
                <w:lang w:eastAsia="zh-CN"/>
              </w:rPr>
              <w:t>电子邮箱</w:t>
            </w:r>
            <w:r>
              <w:rPr>
                <w:rFonts w:hint="default" w:ascii="Times New Roman" w:hAnsi="Times New Roman" w:eastAsia="仿宋"/>
                <w:color w:val="auto"/>
                <w:sz w:val="24"/>
                <w:highlight w:val="none"/>
              </w:rPr>
              <w:t>：</w:t>
            </w:r>
          </w:p>
          <w:p w14:paraId="6C90F967">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p>
          <w:p w14:paraId="6EF93286">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仿宋"/>
                <w:color w:val="auto"/>
                <w:sz w:val="24"/>
                <w:highlight w:val="none"/>
              </w:rPr>
            </w:pPr>
            <w:r>
              <w:rPr>
                <w:rFonts w:hint="default" w:ascii="Times New Roman" w:hAnsi="Times New Roman" w:eastAsia="仿宋"/>
                <w:color w:val="auto"/>
                <w:sz w:val="24"/>
                <w:highlight w:val="none"/>
              </w:rPr>
              <w:t>签订时间：</w:t>
            </w:r>
            <w:r>
              <w:rPr>
                <w:rFonts w:hint="eastAsia" w:ascii="Times New Roman" w:hAnsi="Times New Roman" w:eastAsia="仿宋"/>
                <w:color w:val="auto"/>
                <w:sz w:val="24"/>
                <w:highlight w:val="none"/>
              </w:rPr>
              <w:t xml:space="preserve"> 202</w:t>
            </w:r>
            <w:r>
              <w:rPr>
                <w:rFonts w:hint="eastAsia" w:ascii="Times New Roman" w:hAnsi="Times New Roman" w:eastAsia="仿宋"/>
                <w:color w:val="auto"/>
                <w:sz w:val="24"/>
                <w:highlight w:val="none"/>
                <w:lang w:val="en-US" w:eastAsia="zh-CN"/>
              </w:rPr>
              <w:t>5</w:t>
            </w:r>
            <w:r>
              <w:rPr>
                <w:rFonts w:hint="default" w:ascii="Times New Roman" w:hAnsi="Times New Roman" w:eastAsia="仿宋"/>
                <w:color w:val="auto"/>
                <w:sz w:val="24"/>
                <w:highlight w:val="none"/>
              </w:rPr>
              <w:t>年</w:t>
            </w:r>
            <w:r>
              <w:rPr>
                <w:rFonts w:hint="eastAsia" w:ascii="Times New Roman" w:hAnsi="Times New Roman" w:eastAsia="仿宋"/>
                <w:color w:val="auto"/>
                <w:sz w:val="24"/>
                <w:highlight w:val="none"/>
                <w:lang w:val="en-US" w:eastAsia="zh-CN"/>
              </w:rPr>
              <w:t xml:space="preserve">    </w:t>
            </w:r>
            <w:r>
              <w:rPr>
                <w:rFonts w:hint="default" w:ascii="Times New Roman" w:hAnsi="Times New Roman" w:eastAsia="仿宋"/>
                <w:color w:val="auto"/>
                <w:sz w:val="24"/>
                <w:highlight w:val="none"/>
              </w:rPr>
              <w:t>月</w:t>
            </w:r>
            <w:r>
              <w:rPr>
                <w:rFonts w:hint="eastAsia" w:ascii="Times New Roman" w:hAnsi="Times New Roman" w:eastAsia="仿宋"/>
                <w:color w:val="auto"/>
                <w:sz w:val="24"/>
                <w:highlight w:val="none"/>
                <w:lang w:val="en-US" w:eastAsia="zh-CN"/>
              </w:rPr>
              <w:t xml:space="preserve">    </w:t>
            </w:r>
            <w:r>
              <w:rPr>
                <w:rFonts w:hint="default" w:ascii="Times New Roman" w:hAnsi="Times New Roman" w:eastAsia="仿宋"/>
                <w:color w:val="auto"/>
                <w:sz w:val="24"/>
                <w:highlight w:val="none"/>
              </w:rPr>
              <w:t>日</w:t>
            </w:r>
          </w:p>
        </w:tc>
      </w:tr>
    </w:tbl>
    <w:p w14:paraId="53939A6F">
      <w:pPr>
        <w:rPr>
          <w:rFonts w:hint="eastAsia" w:ascii="仿宋_GB2312" w:hAnsi="仿宋_GB2312" w:eastAsia="仿宋" w:cs="仿宋_GB2312"/>
          <w:b w:val="0"/>
          <w:bCs w:val="0"/>
          <w:color w:val="auto"/>
          <w:sz w:val="32"/>
          <w:szCs w:val="32"/>
          <w:highlight w:val="none"/>
          <w:lang w:eastAsia="zh-CN"/>
        </w:rPr>
      </w:pPr>
    </w:p>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00"/>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QisiAaBanSong">
    <w:panose1 w:val="00020600040101010101"/>
    <w:charset w:val="80"/>
    <w:family w:val="roman"/>
    <w:pitch w:val="default"/>
    <w:sig w:usb0="80000283" w:usb1="180FFC70" w:usb2="00000016" w:usb3="00000000" w:csb0="60020001" w:csb1="C0D6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F2223">
    <w:pPr>
      <w:pStyle w:val="1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DE7F87">
                          <w:pPr>
                            <w:pStyle w:val="17"/>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4"/>
                              <w:szCs w:val="28"/>
                            </w:rPr>
                            <w:t>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28</w:t>
                          </w:r>
                          <w:r>
                            <w:rPr>
                              <w:rFonts w:hint="eastAsia" w:ascii="宋体" w:hAnsi="宋体" w:eastAsia="宋体" w:cs="宋体"/>
                              <w:sz w:val="28"/>
                              <w:szCs w:val="28"/>
                            </w:rPr>
                            <w:fldChar w:fldCharType="end"/>
                          </w:r>
                          <w:r>
                            <w:rPr>
                              <w:rFonts w:hint="eastAsia" w:ascii="宋体" w:hAnsi="宋体" w:eastAsia="宋体" w:cs="宋体"/>
                              <w:sz w:val="24"/>
                              <w:szCs w:val="28"/>
                            </w:rPr>
                            <w:t>　</w:t>
                          </w:r>
                          <w:r>
                            <w:rPr>
                              <w:rFonts w:hint="eastAsia" w:ascii="宋体" w:hAnsi="宋体" w:eastAsia="宋体" w:cs="宋体"/>
                              <w:sz w:val="28"/>
                              <w:szCs w:val="28"/>
                            </w:rPr>
                            <w:t>—</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14:paraId="07DE7F87">
                    <w:pPr>
                      <w:pStyle w:val="17"/>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4"/>
                        <w:szCs w:val="28"/>
                      </w:rPr>
                      <w:t>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28</w:t>
                    </w:r>
                    <w:r>
                      <w:rPr>
                        <w:rFonts w:hint="eastAsia" w:ascii="宋体" w:hAnsi="宋体" w:eastAsia="宋体" w:cs="宋体"/>
                        <w:sz w:val="28"/>
                        <w:szCs w:val="28"/>
                      </w:rPr>
                      <w:fldChar w:fldCharType="end"/>
                    </w:r>
                    <w:r>
                      <w:rPr>
                        <w:rFonts w:hint="eastAsia" w:ascii="宋体" w:hAnsi="宋体" w:eastAsia="宋体" w:cs="宋体"/>
                        <w:sz w:val="24"/>
                        <w:szCs w:val="28"/>
                      </w:rPr>
                      <w:t>　</w:t>
                    </w:r>
                    <w:r>
                      <w:rPr>
                        <w:rFonts w:hint="eastAsia" w:ascii="宋体" w:hAnsi="宋体" w:eastAsia="宋体" w:cs="宋体"/>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95AAD">
    <w:pPr>
      <w:pStyle w:val="18"/>
      <w:pBdr>
        <w:bottom w:val="none" w:color="auto" w:sz="0" w:space="1"/>
      </w:pBdr>
      <w:spacing w:line="300" w:lineRule="exact"/>
      <w:jc w:val="right"/>
      <w:rPr>
        <w:rFonts w:hint="eastAsia" w:ascii="QisiAaBanSong" w:hAnsi="QisiAaBanSong" w:eastAsia="QisiAaBanSong" w:cs="QisiAaBanSong"/>
        <w:b/>
        <w:color w:val="637B9B"/>
        <w:spacing w:val="-20"/>
        <w:sz w:val="21"/>
        <w:szCs w:val="21"/>
      </w:rPr>
    </w:pPr>
    <w:r>
      <w:rPr>
        <w:rFonts w:hint="eastAsia" w:ascii="QisiAaBanSong" w:hAnsi="QisiAaBanSong" w:eastAsia="QisiAaBanSong" w:cs="QisiAaBanSong"/>
        <w:bCs/>
        <w:color w:val="FF0000"/>
        <w:spacing w:val="-20"/>
        <w:sz w:val="22"/>
        <w:szCs w:val="22"/>
      </w:rPr>
      <w:t xml:space="preserve">     </w:t>
    </w:r>
    <w:r>
      <w:rPr>
        <w:rFonts w:hint="eastAsia" w:ascii="仿宋_GB2312" w:hAnsi="仿宋_GB2312" w:eastAsia="仿宋_GB2312" w:cs="仿宋_GB2312"/>
        <w:b/>
        <w:color w:val="637B9B"/>
        <w:spacing w:val="-20"/>
        <w:sz w:val="21"/>
        <w:szCs w:val="21"/>
      </w:rPr>
      <w:t>客户第一  奋斗为本</w:t>
    </w:r>
  </w:p>
  <w:p w14:paraId="5480C9BC">
    <w:pPr>
      <w:pStyle w:val="18"/>
      <w:pBdr>
        <w:bottom w:val="none" w:color="auto" w:sz="0" w:space="1"/>
      </w:pBdr>
      <w:spacing w:line="300" w:lineRule="exact"/>
      <w:rPr>
        <w:rFonts w:hint="eastAsia" w:ascii="仿宋_GB2312" w:hAnsi="仿宋_GB2312" w:eastAsia="仿宋_GB2312" w:cs="仿宋_GB2312"/>
        <w:bCs/>
        <w:color w:val="637B9B"/>
        <w:spacing w:val="-20"/>
        <w:sz w:val="21"/>
        <w:szCs w:val="21"/>
      </w:rPr>
    </w:pPr>
    <w:r>
      <w:rPr>
        <w:rFonts w:hint="eastAsia" w:ascii="华文新魏" w:hAnsi="Times New Roman" w:eastAsia="华文新魏"/>
        <w:b/>
        <w:color w:val="FF0000"/>
        <w:spacing w:val="-20"/>
        <w:sz w:val="44"/>
        <w:szCs w:val="44"/>
      </w:rPr>
      <w:drawing>
        <wp:anchor distT="0" distB="0" distL="114300" distR="114300" simplePos="0" relativeHeight="251660288" behindDoc="1" locked="0" layoutInCell="1" allowOverlap="1">
          <wp:simplePos x="0" y="0"/>
          <wp:positionH relativeFrom="column">
            <wp:posOffset>-29210</wp:posOffset>
          </wp:positionH>
          <wp:positionV relativeFrom="paragraph">
            <wp:posOffset>10795</wp:posOffset>
          </wp:positionV>
          <wp:extent cx="1913890" cy="241935"/>
          <wp:effectExtent l="0" t="0" r="6350" b="1905"/>
          <wp:wrapTight wrapText="bothSides">
            <wp:wrapPolygon>
              <wp:start x="21592" y="-2"/>
              <wp:lineTo x="0" y="0"/>
              <wp:lineTo x="0" y="21600"/>
              <wp:lineTo x="21592" y="21602"/>
              <wp:lineTo x="8" y="21602"/>
              <wp:lineTo x="21600" y="21600"/>
              <wp:lineTo x="21600" y="0"/>
              <wp:lineTo x="8" y="-2"/>
              <wp:lineTo x="21592" y="-2"/>
            </wp:wrapPolygon>
          </wp:wrapTight>
          <wp:docPr id="2" name="图片 1"/>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Cs/>
        <w:color w:val="637B9B"/>
        <w:spacing w:val="-20"/>
        <w:sz w:val="21"/>
        <w:szCs w:val="21"/>
      </w:rPr>
      <w:t xml:space="preserve">                                                                                                                 </w:t>
    </w:r>
    <w:r>
      <w:rPr>
        <w:rFonts w:hint="eastAsia" w:ascii="仿宋_GB2312" w:hAnsi="仿宋_GB2312" w:eastAsia="仿宋_GB2312" w:cs="仿宋_GB2312"/>
        <w:b/>
        <w:color w:val="637B9B"/>
        <w:spacing w:val="-20"/>
        <w:sz w:val="21"/>
        <w:szCs w:val="21"/>
      </w:rPr>
      <w:t>整体至上  团结协作</w:t>
    </w:r>
  </w:p>
  <w:p w14:paraId="68C43D69">
    <w:pPr>
      <w:pStyle w:val="18"/>
      <w:pBdr>
        <w:bottom w:val="single" w:color="auto" w:sz="4" w:space="1"/>
      </w:pBdr>
      <w:spacing w:line="300" w:lineRule="exact"/>
      <w:jc w:val="right"/>
    </w:pPr>
    <w:r>
      <w:rPr>
        <w:rFonts w:hint="eastAsia" w:ascii="仿宋_GB2312" w:hAnsi="仿宋_GB2312" w:eastAsia="仿宋_GB2312" w:cs="仿宋_GB2312"/>
        <w:b/>
        <w:color w:val="637B9B"/>
        <w:spacing w:val="-20"/>
        <w:sz w:val="21"/>
        <w:szCs w:val="21"/>
      </w:rPr>
      <w:t>自我革新  开放包容</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EC08DE"/>
    <w:multiLevelType w:val="singleLevel"/>
    <w:tmpl w:val="95EC08DE"/>
    <w:lvl w:ilvl="0" w:tentative="0">
      <w:start w:val="1"/>
      <w:numFmt w:val="decimal"/>
      <w:lvlText w:val="%1."/>
      <w:lvlJc w:val="left"/>
      <w:pPr>
        <w:ind w:left="425" w:hanging="425"/>
      </w:pPr>
      <w:rPr>
        <w:rFonts w:hint="default"/>
        <w:b w:val="0"/>
        <w:bCs w:val="0"/>
      </w:rPr>
    </w:lvl>
  </w:abstractNum>
  <w:abstractNum w:abstractNumId="1">
    <w:nsid w:val="9AB188B6"/>
    <w:multiLevelType w:val="singleLevel"/>
    <w:tmpl w:val="9AB188B6"/>
    <w:lvl w:ilvl="0" w:tentative="0">
      <w:start w:val="1"/>
      <w:numFmt w:val="decimal"/>
      <w:lvlText w:val="%1."/>
      <w:lvlJc w:val="left"/>
      <w:pPr>
        <w:tabs>
          <w:tab w:val="left" w:pos="312"/>
        </w:tabs>
      </w:pPr>
    </w:lvl>
  </w:abstractNum>
  <w:abstractNum w:abstractNumId="2">
    <w:nsid w:val="9C971DE6"/>
    <w:multiLevelType w:val="singleLevel"/>
    <w:tmpl w:val="9C971DE6"/>
    <w:lvl w:ilvl="0" w:tentative="0">
      <w:start w:val="1"/>
      <w:numFmt w:val="chineseCounting"/>
      <w:suff w:val="nothing"/>
      <w:lvlText w:val="（%1）"/>
      <w:lvlJc w:val="left"/>
      <w:rPr>
        <w:rFonts w:hint="eastAsia"/>
      </w:rPr>
    </w:lvl>
  </w:abstractNum>
  <w:abstractNum w:abstractNumId="3">
    <w:nsid w:val="9CB18DDC"/>
    <w:multiLevelType w:val="singleLevel"/>
    <w:tmpl w:val="9CB18DDC"/>
    <w:lvl w:ilvl="0" w:tentative="0">
      <w:start w:val="1"/>
      <w:numFmt w:val="decimal"/>
      <w:suff w:val="space"/>
      <w:lvlText w:val="%1."/>
      <w:lvlJc w:val="left"/>
    </w:lvl>
  </w:abstractNum>
  <w:abstractNum w:abstractNumId="4">
    <w:nsid w:val="9E43EBD1"/>
    <w:multiLevelType w:val="singleLevel"/>
    <w:tmpl w:val="9E43EBD1"/>
    <w:lvl w:ilvl="0" w:tentative="0">
      <w:start w:val="1"/>
      <w:numFmt w:val="decimal"/>
      <w:suff w:val="space"/>
      <w:lvlText w:val="%1."/>
      <w:lvlJc w:val="left"/>
    </w:lvl>
  </w:abstractNum>
  <w:abstractNum w:abstractNumId="5">
    <w:nsid w:val="A76944A5"/>
    <w:multiLevelType w:val="singleLevel"/>
    <w:tmpl w:val="A76944A5"/>
    <w:lvl w:ilvl="0" w:tentative="0">
      <w:start w:val="6"/>
      <w:numFmt w:val="chineseCounting"/>
      <w:suff w:val="space"/>
      <w:lvlText w:val="第%1章"/>
      <w:lvlJc w:val="left"/>
      <w:rPr>
        <w:rFonts w:hint="eastAsia"/>
      </w:rPr>
    </w:lvl>
  </w:abstractNum>
  <w:abstractNum w:abstractNumId="6">
    <w:nsid w:val="A85B336B"/>
    <w:multiLevelType w:val="singleLevel"/>
    <w:tmpl w:val="A85B336B"/>
    <w:lvl w:ilvl="0" w:tentative="0">
      <w:start w:val="1"/>
      <w:numFmt w:val="decimal"/>
      <w:lvlText w:val="%1."/>
      <w:lvlJc w:val="left"/>
      <w:pPr>
        <w:tabs>
          <w:tab w:val="left" w:pos="312"/>
        </w:tabs>
      </w:pPr>
    </w:lvl>
  </w:abstractNum>
  <w:abstractNum w:abstractNumId="7">
    <w:nsid w:val="AC5A9015"/>
    <w:multiLevelType w:val="singleLevel"/>
    <w:tmpl w:val="AC5A9015"/>
    <w:lvl w:ilvl="0" w:tentative="0">
      <w:start w:val="1"/>
      <w:numFmt w:val="decimal"/>
      <w:suff w:val="space"/>
      <w:lvlText w:val="%1."/>
      <w:lvlJc w:val="left"/>
    </w:lvl>
  </w:abstractNum>
  <w:abstractNum w:abstractNumId="8">
    <w:nsid w:val="BB2A1836"/>
    <w:multiLevelType w:val="singleLevel"/>
    <w:tmpl w:val="BB2A1836"/>
    <w:lvl w:ilvl="0" w:tentative="0">
      <w:start w:val="1"/>
      <w:numFmt w:val="decimal"/>
      <w:suff w:val="space"/>
      <w:lvlText w:val="%1."/>
      <w:lvlJc w:val="left"/>
    </w:lvl>
  </w:abstractNum>
  <w:abstractNum w:abstractNumId="9">
    <w:nsid w:val="CBAFFF59"/>
    <w:multiLevelType w:val="singleLevel"/>
    <w:tmpl w:val="CBAFFF59"/>
    <w:lvl w:ilvl="0" w:tentative="0">
      <w:start w:val="1"/>
      <w:numFmt w:val="chineseCounting"/>
      <w:suff w:val="nothing"/>
      <w:lvlText w:val="%1、"/>
      <w:lvlJc w:val="left"/>
      <w:rPr>
        <w:rFonts w:hint="eastAsia"/>
      </w:rPr>
    </w:lvl>
  </w:abstractNum>
  <w:abstractNum w:abstractNumId="10">
    <w:nsid w:val="D5B007D4"/>
    <w:multiLevelType w:val="singleLevel"/>
    <w:tmpl w:val="D5B007D4"/>
    <w:lvl w:ilvl="0" w:tentative="0">
      <w:start w:val="1"/>
      <w:numFmt w:val="decimal"/>
      <w:suff w:val="space"/>
      <w:lvlText w:val="%1."/>
      <w:lvlJc w:val="left"/>
    </w:lvl>
  </w:abstractNum>
  <w:abstractNum w:abstractNumId="11">
    <w:nsid w:val="DBF032A4"/>
    <w:multiLevelType w:val="multilevel"/>
    <w:tmpl w:val="DBF032A4"/>
    <w:lvl w:ilvl="0" w:tentative="0">
      <w:start w:val="1"/>
      <w:numFmt w:val="chineseCounting"/>
      <w:suff w:val="nothing"/>
      <w:lvlText w:val="%1、"/>
      <w:lvlJc w:val="left"/>
      <w:pPr>
        <w:ind w:left="410" w:firstLine="420"/>
      </w:pPr>
      <w:rPr>
        <w:rFonts w:hint="eastAsia" w:ascii="黑体" w:hAnsi="黑体" w:eastAsia="黑体" w:cs="黑体"/>
        <w:b w:val="0"/>
        <w:bCs w:val="0"/>
        <w:sz w:val="32"/>
        <w:szCs w:val="32"/>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E2D4217A"/>
    <w:multiLevelType w:val="singleLevel"/>
    <w:tmpl w:val="E2D4217A"/>
    <w:lvl w:ilvl="0" w:tentative="0">
      <w:start w:val="1"/>
      <w:numFmt w:val="chineseCounting"/>
      <w:suff w:val="nothing"/>
      <w:lvlText w:val="（%1）"/>
      <w:lvlJc w:val="left"/>
      <w:pPr>
        <w:ind w:left="0" w:firstLine="420"/>
      </w:pPr>
      <w:rPr>
        <w:rFonts w:hint="eastAsia"/>
      </w:rPr>
    </w:lvl>
  </w:abstractNum>
  <w:abstractNum w:abstractNumId="13">
    <w:nsid w:val="E361A018"/>
    <w:multiLevelType w:val="singleLevel"/>
    <w:tmpl w:val="E361A018"/>
    <w:lvl w:ilvl="0" w:tentative="0">
      <w:start w:val="1"/>
      <w:numFmt w:val="decimal"/>
      <w:lvlText w:val="%1."/>
      <w:lvlJc w:val="left"/>
      <w:pPr>
        <w:tabs>
          <w:tab w:val="left" w:pos="312"/>
        </w:tabs>
      </w:pPr>
    </w:lvl>
  </w:abstractNum>
  <w:abstractNum w:abstractNumId="14">
    <w:nsid w:val="E9940343"/>
    <w:multiLevelType w:val="singleLevel"/>
    <w:tmpl w:val="E9940343"/>
    <w:lvl w:ilvl="0" w:tentative="0">
      <w:start w:val="1"/>
      <w:numFmt w:val="decimal"/>
      <w:lvlText w:val="%1."/>
      <w:lvlJc w:val="left"/>
      <w:pPr>
        <w:tabs>
          <w:tab w:val="left" w:pos="312"/>
        </w:tabs>
      </w:pPr>
    </w:lvl>
  </w:abstractNum>
  <w:abstractNum w:abstractNumId="15">
    <w:nsid w:val="E9E473A6"/>
    <w:multiLevelType w:val="singleLevel"/>
    <w:tmpl w:val="E9E473A6"/>
    <w:lvl w:ilvl="0" w:tentative="0">
      <w:start w:val="1"/>
      <w:numFmt w:val="decimal"/>
      <w:suff w:val="space"/>
      <w:lvlText w:val="%1."/>
      <w:lvlJc w:val="left"/>
    </w:lvl>
  </w:abstractNum>
  <w:abstractNum w:abstractNumId="16">
    <w:nsid w:val="EB8EC219"/>
    <w:multiLevelType w:val="singleLevel"/>
    <w:tmpl w:val="EB8EC219"/>
    <w:lvl w:ilvl="0" w:tentative="0">
      <w:start w:val="1"/>
      <w:numFmt w:val="decimal"/>
      <w:suff w:val="space"/>
      <w:lvlText w:val="%1."/>
      <w:lvlJc w:val="left"/>
    </w:lvl>
  </w:abstractNum>
  <w:abstractNum w:abstractNumId="17">
    <w:nsid w:val="ECFB7618"/>
    <w:multiLevelType w:val="singleLevel"/>
    <w:tmpl w:val="ECFB7618"/>
    <w:lvl w:ilvl="0" w:tentative="0">
      <w:start w:val="1"/>
      <w:numFmt w:val="decimal"/>
      <w:lvlText w:val="%1."/>
      <w:lvlJc w:val="left"/>
      <w:pPr>
        <w:tabs>
          <w:tab w:val="left" w:pos="312"/>
        </w:tabs>
      </w:pPr>
    </w:lvl>
  </w:abstractNum>
  <w:abstractNum w:abstractNumId="18">
    <w:nsid w:val="F0ECD183"/>
    <w:multiLevelType w:val="singleLevel"/>
    <w:tmpl w:val="F0ECD183"/>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19">
    <w:nsid w:val="F25935AD"/>
    <w:multiLevelType w:val="singleLevel"/>
    <w:tmpl w:val="F25935AD"/>
    <w:lvl w:ilvl="0" w:tentative="0">
      <w:start w:val="1"/>
      <w:numFmt w:val="decimal"/>
      <w:lvlText w:val="%1."/>
      <w:lvlJc w:val="left"/>
      <w:pPr>
        <w:tabs>
          <w:tab w:val="left" w:pos="312"/>
        </w:tabs>
      </w:pPr>
    </w:lvl>
  </w:abstractNum>
  <w:abstractNum w:abstractNumId="20">
    <w:nsid w:val="F4744882"/>
    <w:multiLevelType w:val="singleLevel"/>
    <w:tmpl w:val="F4744882"/>
    <w:lvl w:ilvl="0" w:tentative="0">
      <w:start w:val="1"/>
      <w:numFmt w:val="decimal"/>
      <w:suff w:val="space"/>
      <w:lvlText w:val="%1."/>
      <w:lvlJc w:val="left"/>
    </w:lvl>
  </w:abstractNum>
  <w:abstractNum w:abstractNumId="21">
    <w:nsid w:val="FB779908"/>
    <w:multiLevelType w:val="singleLevel"/>
    <w:tmpl w:val="FB779908"/>
    <w:lvl w:ilvl="0" w:tentative="0">
      <w:start w:val="1"/>
      <w:numFmt w:val="chineseCounting"/>
      <w:suff w:val="nothing"/>
      <w:lvlText w:val="%1、"/>
      <w:lvlJc w:val="left"/>
      <w:pPr>
        <w:ind w:left="210" w:firstLine="0"/>
      </w:pPr>
      <w:rPr>
        <w:rFonts w:hint="eastAsia" w:ascii="黑体" w:hAnsi="黑体" w:eastAsia="黑体" w:cs="黑体"/>
        <w:b w:val="0"/>
        <w:bCs w:val="0"/>
      </w:rPr>
    </w:lvl>
  </w:abstractNum>
  <w:abstractNum w:abstractNumId="22">
    <w:nsid w:val="FBA5BB2F"/>
    <w:multiLevelType w:val="singleLevel"/>
    <w:tmpl w:val="FBA5BB2F"/>
    <w:lvl w:ilvl="0" w:tentative="0">
      <w:start w:val="1"/>
      <w:numFmt w:val="decimal"/>
      <w:suff w:val="space"/>
      <w:lvlText w:val="%1."/>
      <w:lvlJc w:val="left"/>
    </w:lvl>
  </w:abstractNum>
  <w:abstractNum w:abstractNumId="23">
    <w:nsid w:val="FCF91E49"/>
    <w:multiLevelType w:val="singleLevel"/>
    <w:tmpl w:val="FCF91E49"/>
    <w:lvl w:ilvl="0" w:tentative="0">
      <w:start w:val="1"/>
      <w:numFmt w:val="decimal"/>
      <w:suff w:val="nothing"/>
      <w:lvlText w:val="%1、"/>
      <w:lvlJc w:val="left"/>
    </w:lvl>
  </w:abstractNum>
  <w:abstractNum w:abstractNumId="24">
    <w:nsid w:val="FEFF03AA"/>
    <w:multiLevelType w:val="singleLevel"/>
    <w:tmpl w:val="FEFF03AA"/>
    <w:lvl w:ilvl="0" w:tentative="0">
      <w:start w:val="1"/>
      <w:numFmt w:val="decimal"/>
      <w:lvlText w:val="%1."/>
      <w:lvlJc w:val="left"/>
      <w:pPr>
        <w:tabs>
          <w:tab w:val="left" w:pos="312"/>
        </w:tabs>
      </w:pPr>
    </w:lvl>
  </w:abstractNum>
  <w:abstractNum w:abstractNumId="25">
    <w:nsid w:val="08E2797C"/>
    <w:multiLevelType w:val="multilevel"/>
    <w:tmpl w:val="08E2797C"/>
    <w:lvl w:ilvl="0" w:tentative="0">
      <w:start w:val="1"/>
      <w:numFmt w:val="decimal"/>
      <w:pStyle w:val="55"/>
      <w:lvlText w:val="（%1）"/>
      <w:lvlJc w:val="left"/>
      <w:pPr>
        <w:tabs>
          <w:tab w:val="left" w:pos="1134"/>
        </w:tabs>
        <w:ind w:left="1134" w:hanging="567"/>
      </w:pPr>
      <w:rPr>
        <w:rFonts w:hint="default" w:ascii="Arial" w:hAnsi="Arial" w:eastAsia="楷体_GB2312"/>
        <w:sz w:val="24"/>
        <w:szCs w:val="24"/>
      </w:rPr>
    </w:lvl>
    <w:lvl w:ilvl="1" w:tentative="0">
      <w:start w:val="1"/>
      <w:numFmt w:val="lowerLetter"/>
      <w:lvlText w:val="%2)"/>
      <w:lvlJc w:val="left"/>
      <w:pPr>
        <w:tabs>
          <w:tab w:val="left" w:pos="2126"/>
        </w:tabs>
        <w:ind w:left="2126" w:hanging="567"/>
      </w:pPr>
      <w:rPr>
        <w:rFonts w:hint="default" w:ascii="Arial" w:hAnsi="Arial"/>
        <w:sz w:val="20"/>
      </w:rPr>
    </w:lvl>
    <w:lvl w:ilvl="2" w:tentative="0">
      <w:start w:val="1"/>
      <w:numFmt w:val="lowerRoman"/>
      <w:lvlText w:val="%3."/>
      <w:lvlJc w:val="left"/>
      <w:pPr>
        <w:tabs>
          <w:tab w:val="left" w:pos="2693"/>
        </w:tabs>
        <w:ind w:left="2693" w:hanging="567"/>
      </w:pPr>
      <w:rPr>
        <w:rFonts w:hint="default" w:ascii="Arial" w:hAnsi="Arial"/>
        <w:sz w:val="20"/>
      </w:rPr>
    </w:lvl>
    <w:lvl w:ilvl="3" w:tentative="0">
      <w:start w:val="1"/>
      <w:numFmt w:val="none"/>
      <w:lvlText w:val=""/>
      <w:lvlJc w:val="left"/>
      <w:pPr>
        <w:tabs>
          <w:tab w:val="left" w:pos="2693"/>
        </w:tabs>
        <w:ind w:left="2693" w:hanging="567"/>
      </w:pPr>
      <w:rPr>
        <w:rFonts w:hint="eastAsia"/>
      </w:rPr>
    </w:lvl>
    <w:lvl w:ilvl="4" w:tentative="0">
      <w:start w:val="1"/>
      <w:numFmt w:val="none"/>
      <w:lvlText w:val=""/>
      <w:lvlJc w:val="left"/>
      <w:pPr>
        <w:tabs>
          <w:tab w:val="left" w:pos="2693"/>
        </w:tabs>
        <w:ind w:left="2693" w:hanging="567"/>
      </w:pPr>
      <w:rPr>
        <w:rFonts w:hint="eastAsia"/>
      </w:rPr>
    </w:lvl>
    <w:lvl w:ilvl="5" w:tentative="0">
      <w:start w:val="1"/>
      <w:numFmt w:val="none"/>
      <w:lvlText w:val=""/>
      <w:lvlJc w:val="left"/>
      <w:pPr>
        <w:tabs>
          <w:tab w:val="left" w:pos="2693"/>
        </w:tabs>
        <w:ind w:left="2693" w:hanging="567"/>
      </w:pPr>
      <w:rPr>
        <w:rFonts w:hint="eastAsia"/>
      </w:rPr>
    </w:lvl>
    <w:lvl w:ilvl="6" w:tentative="0">
      <w:start w:val="1"/>
      <w:numFmt w:val="none"/>
      <w:lvlText w:val=""/>
      <w:lvlJc w:val="left"/>
      <w:pPr>
        <w:tabs>
          <w:tab w:val="left" w:pos="2693"/>
        </w:tabs>
        <w:ind w:left="2693" w:hanging="567"/>
      </w:pPr>
      <w:rPr>
        <w:rFonts w:hint="eastAsia"/>
      </w:rPr>
    </w:lvl>
    <w:lvl w:ilvl="7" w:tentative="0">
      <w:start w:val="1"/>
      <w:numFmt w:val="none"/>
      <w:lvlText w:val=""/>
      <w:lvlJc w:val="left"/>
      <w:pPr>
        <w:tabs>
          <w:tab w:val="left" w:pos="2693"/>
        </w:tabs>
        <w:ind w:left="2693" w:hanging="567"/>
      </w:pPr>
      <w:rPr>
        <w:rFonts w:hint="eastAsia"/>
      </w:rPr>
    </w:lvl>
    <w:lvl w:ilvl="8" w:tentative="0">
      <w:start w:val="1"/>
      <w:numFmt w:val="none"/>
      <w:lvlText w:val=""/>
      <w:lvlJc w:val="left"/>
      <w:pPr>
        <w:tabs>
          <w:tab w:val="left" w:pos="2693"/>
        </w:tabs>
        <w:ind w:left="2693" w:hanging="567"/>
      </w:pPr>
      <w:rPr>
        <w:rFonts w:hint="eastAsia"/>
      </w:rPr>
    </w:lvl>
  </w:abstractNum>
  <w:abstractNum w:abstractNumId="26">
    <w:nsid w:val="0AAC43DD"/>
    <w:multiLevelType w:val="singleLevel"/>
    <w:tmpl w:val="0AAC43DD"/>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27">
    <w:nsid w:val="0B3E73A3"/>
    <w:multiLevelType w:val="multilevel"/>
    <w:tmpl w:val="0B3E73A3"/>
    <w:lvl w:ilvl="0" w:tentative="0">
      <w:start w:val="1"/>
      <w:numFmt w:val="chineseCountingThousand"/>
      <w:pStyle w:val="57"/>
      <w:lvlText w:val="%1、"/>
      <w:lvlJc w:val="left"/>
      <w:pPr>
        <w:tabs>
          <w:tab w:val="left" w:pos="567"/>
        </w:tabs>
        <w:ind w:left="567" w:hanging="567"/>
      </w:pPr>
      <w:rPr>
        <w:rFonts w:hint="default" w:ascii="Arial" w:hAnsi="Arial" w:eastAsia="楷体_GB2312"/>
      </w:rPr>
    </w:lvl>
    <w:lvl w:ilvl="1" w:tentative="0">
      <w:start w:val="1"/>
      <w:numFmt w:val="decimal"/>
      <w:pStyle w:val="56"/>
      <w:lvlText w:val="%2."/>
      <w:lvlJc w:val="left"/>
      <w:pPr>
        <w:tabs>
          <w:tab w:val="left" w:pos="1134"/>
        </w:tabs>
        <w:ind w:left="1134" w:hanging="567"/>
      </w:pPr>
      <w:rPr>
        <w:rFonts w:hint="eastAsia"/>
      </w:rPr>
    </w:lvl>
    <w:lvl w:ilvl="2" w:tentative="0">
      <w:start w:val="1"/>
      <w:numFmt w:val="lowerLetter"/>
      <w:pStyle w:val="58"/>
      <w:lvlText w:val="(%3)"/>
      <w:lvlJc w:val="left"/>
      <w:pPr>
        <w:tabs>
          <w:tab w:val="left" w:pos="1701"/>
        </w:tabs>
        <w:ind w:left="1701" w:hanging="567"/>
      </w:pPr>
      <w:rPr>
        <w:rFonts w:hint="default" w:ascii="Arial" w:hAnsi="Arial"/>
        <w:sz w:val="24"/>
        <w:szCs w:val="24"/>
      </w:rPr>
    </w:lvl>
    <w:lvl w:ilvl="3" w:tentative="0">
      <w:start w:val="1"/>
      <w:numFmt w:val="lowerRoman"/>
      <w:lvlText w:val="(%4)"/>
      <w:lvlJc w:val="left"/>
      <w:pPr>
        <w:tabs>
          <w:tab w:val="left" w:pos="2268"/>
        </w:tabs>
        <w:ind w:left="2268" w:hanging="567"/>
      </w:pPr>
      <w:rPr>
        <w:rFonts w:hint="default" w:ascii="Arial" w:hAnsi="Arial"/>
        <w:b w:val="0"/>
        <w:i w:val="0"/>
        <w:sz w:val="20"/>
      </w:rPr>
    </w:lvl>
    <w:lvl w:ilvl="4" w:tentative="0">
      <w:start w:val="1"/>
      <w:numFmt w:val="upperLetter"/>
      <w:lvlText w:val="(%5)"/>
      <w:lvlJc w:val="left"/>
      <w:pPr>
        <w:tabs>
          <w:tab w:val="left" w:pos="2835"/>
        </w:tabs>
        <w:ind w:left="2835" w:hanging="567"/>
      </w:pPr>
      <w:rPr>
        <w:rFonts w:hint="default" w:ascii="Arial" w:hAnsi="Arial"/>
        <w:sz w:val="20"/>
      </w:rPr>
    </w:lvl>
    <w:lvl w:ilvl="5" w:tentative="0">
      <w:start w:val="1"/>
      <w:numFmt w:val="chineseCountingThousand"/>
      <w:lvlText w:val="附录 %6"/>
      <w:lvlJc w:val="left"/>
      <w:pPr>
        <w:tabs>
          <w:tab w:val="left" w:pos="567"/>
        </w:tabs>
        <w:ind w:left="567" w:hanging="567"/>
      </w:pPr>
      <w:rPr>
        <w:rFonts w:hint="eastAsia"/>
      </w:rPr>
    </w:lvl>
    <w:lvl w:ilvl="6" w:tentative="0">
      <w:start w:val="1"/>
      <w:numFmt w:val="decimal"/>
      <w:lvlText w:val="%7"/>
      <w:lvlJc w:val="left"/>
      <w:pPr>
        <w:tabs>
          <w:tab w:val="left" w:pos="567"/>
        </w:tabs>
        <w:ind w:left="1134" w:hanging="567"/>
      </w:pPr>
      <w:rPr>
        <w:rFonts w:hint="eastAsia"/>
      </w:rPr>
    </w:lvl>
    <w:lvl w:ilvl="7" w:tentative="0">
      <w:start w:val="1"/>
      <w:numFmt w:val="upperLetter"/>
      <w:lvlText w:val="附件 %8"/>
      <w:lvlJc w:val="left"/>
      <w:pPr>
        <w:tabs>
          <w:tab w:val="left" w:pos="567"/>
        </w:tabs>
        <w:ind w:left="0" w:firstLine="0"/>
      </w:pPr>
      <w:rPr>
        <w:rFonts w:hint="eastAsia"/>
      </w:rPr>
    </w:lvl>
    <w:lvl w:ilvl="8" w:tentative="0">
      <w:start w:val="1"/>
      <w:numFmt w:val="chineseCountingThousand"/>
      <w:lvlText w:val="第%9部分"/>
      <w:lvlJc w:val="left"/>
      <w:pPr>
        <w:tabs>
          <w:tab w:val="left" w:pos="567"/>
        </w:tabs>
        <w:ind w:left="567" w:hanging="567"/>
      </w:pPr>
      <w:rPr>
        <w:rFonts w:hint="eastAsia"/>
      </w:rPr>
    </w:lvl>
  </w:abstractNum>
  <w:abstractNum w:abstractNumId="28">
    <w:nsid w:val="0D1811A3"/>
    <w:multiLevelType w:val="singleLevel"/>
    <w:tmpl w:val="0D1811A3"/>
    <w:lvl w:ilvl="0" w:tentative="0">
      <w:start w:val="1"/>
      <w:numFmt w:val="decimal"/>
      <w:suff w:val="space"/>
      <w:lvlText w:val="%1."/>
      <w:lvlJc w:val="left"/>
    </w:lvl>
  </w:abstractNum>
  <w:abstractNum w:abstractNumId="29">
    <w:nsid w:val="1420C494"/>
    <w:multiLevelType w:val="singleLevel"/>
    <w:tmpl w:val="1420C494"/>
    <w:lvl w:ilvl="0" w:tentative="0">
      <w:start w:val="1"/>
      <w:numFmt w:val="chineseCounting"/>
      <w:suff w:val="nothing"/>
      <w:lvlText w:val="%1、"/>
      <w:lvlJc w:val="left"/>
      <w:pPr>
        <w:ind w:left="0" w:firstLine="420"/>
      </w:pPr>
      <w:rPr>
        <w:rFonts w:hint="eastAsia"/>
      </w:rPr>
    </w:lvl>
  </w:abstractNum>
  <w:abstractNum w:abstractNumId="30">
    <w:nsid w:val="16A09F2A"/>
    <w:multiLevelType w:val="singleLevel"/>
    <w:tmpl w:val="16A09F2A"/>
    <w:lvl w:ilvl="0" w:tentative="0">
      <w:start w:val="1"/>
      <w:numFmt w:val="decimal"/>
      <w:suff w:val="space"/>
      <w:lvlText w:val="%1."/>
      <w:lvlJc w:val="left"/>
    </w:lvl>
  </w:abstractNum>
  <w:abstractNum w:abstractNumId="31">
    <w:nsid w:val="18188381"/>
    <w:multiLevelType w:val="singleLevel"/>
    <w:tmpl w:val="18188381"/>
    <w:lvl w:ilvl="0" w:tentative="0">
      <w:start w:val="1"/>
      <w:numFmt w:val="decimal"/>
      <w:suff w:val="space"/>
      <w:lvlText w:val="%1."/>
      <w:lvlJc w:val="left"/>
    </w:lvl>
  </w:abstractNum>
  <w:abstractNum w:abstractNumId="32">
    <w:nsid w:val="1845B21A"/>
    <w:multiLevelType w:val="singleLevel"/>
    <w:tmpl w:val="1845B21A"/>
    <w:lvl w:ilvl="0" w:tentative="0">
      <w:start w:val="1"/>
      <w:numFmt w:val="decimal"/>
      <w:suff w:val="space"/>
      <w:lvlText w:val="%1."/>
      <w:lvlJc w:val="left"/>
    </w:lvl>
  </w:abstractNum>
  <w:abstractNum w:abstractNumId="33">
    <w:nsid w:val="1B6D4A25"/>
    <w:multiLevelType w:val="multilevel"/>
    <w:tmpl w:val="1B6D4A25"/>
    <w:lvl w:ilvl="0" w:tentative="0">
      <w:start w:val="1"/>
      <w:numFmt w:val="chineseCountingThousand"/>
      <w:suff w:val="space"/>
      <w:lvlText w:val="第%1章"/>
      <w:lvlJc w:val="left"/>
      <w:pPr>
        <w:ind w:left="0" w:firstLine="0"/>
      </w:pPr>
      <w:rPr>
        <w:rFonts w:hint="eastAsia" w:ascii="黑体" w:hAnsi="黑体" w:eastAsia="黑体"/>
        <w:sz w:val="32"/>
        <w:szCs w:val="32"/>
      </w:rPr>
    </w:lvl>
    <w:lvl w:ilvl="1" w:tentative="0">
      <w:start w:val="1"/>
      <w:numFmt w:val="chineseCountingThousand"/>
      <w:pStyle w:val="41"/>
      <w:suff w:val="space"/>
      <w:lvlText w:val="%2、"/>
      <w:lvlJc w:val="left"/>
      <w:pPr>
        <w:ind w:left="0" w:firstLine="0"/>
      </w:pPr>
      <w:rPr>
        <w:rFonts w:hint="eastAsia" w:ascii="楷体_GB2312" w:hAnsi="楷体_GB2312" w:eastAsia="楷体_GB2312" w:cs="楷体_GB2312"/>
        <w:sz w:val="32"/>
        <w:szCs w:val="32"/>
      </w:rPr>
    </w:lvl>
    <w:lvl w:ilvl="2" w:tentative="0">
      <w:start w:val="1"/>
      <w:numFmt w:val="decimal"/>
      <w:pStyle w:val="44"/>
      <w:suff w:val="space"/>
      <w:lvlText w:val="%3."/>
      <w:lvlJc w:val="left"/>
      <w:pPr>
        <w:ind w:left="4430" w:hanging="440"/>
      </w:pPr>
      <w:rPr>
        <w:rFonts w:hint="eastAsia" w:ascii="仿宋" w:hAnsi="仿宋" w:eastAsia="仿宋"/>
      </w:rPr>
    </w:lvl>
    <w:lvl w:ilvl="3" w:tentative="0">
      <w:start w:val="1"/>
      <w:numFmt w:val="decimal"/>
      <w:isLgl/>
      <w:lvlText w:val="%1.%2.%3.%4"/>
      <w:lvlJc w:val="left"/>
      <w:pPr>
        <w:ind w:left="864" w:hanging="864"/>
      </w:pPr>
      <w:rPr>
        <w:rFonts w:hint="eastAsia" w:ascii="仿宋" w:hAnsi="仿宋" w:eastAsia="仿宋"/>
        <w:sz w:val="24"/>
        <w:szCs w:val="24"/>
      </w:rPr>
    </w:lvl>
    <w:lvl w:ilvl="4" w:tentative="0">
      <w:start w:val="1"/>
      <w:numFmt w:val="decimal"/>
      <w:isLg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34">
    <w:nsid w:val="1FC3E5BD"/>
    <w:multiLevelType w:val="singleLevel"/>
    <w:tmpl w:val="1FC3E5BD"/>
    <w:lvl w:ilvl="0" w:tentative="0">
      <w:start w:val="1"/>
      <w:numFmt w:val="decimal"/>
      <w:lvlText w:val="%1."/>
      <w:lvlJc w:val="left"/>
      <w:pPr>
        <w:ind w:left="425" w:hanging="425"/>
      </w:pPr>
      <w:rPr>
        <w:rFonts w:hint="default"/>
        <w:b w:val="0"/>
        <w:bCs w:val="0"/>
      </w:rPr>
    </w:lvl>
  </w:abstractNum>
  <w:abstractNum w:abstractNumId="35">
    <w:nsid w:val="233E7DA0"/>
    <w:multiLevelType w:val="singleLevel"/>
    <w:tmpl w:val="233E7DA0"/>
    <w:lvl w:ilvl="0" w:tentative="0">
      <w:start w:val="1"/>
      <w:numFmt w:val="decimal"/>
      <w:suff w:val="space"/>
      <w:lvlText w:val="%1."/>
      <w:lvlJc w:val="left"/>
    </w:lvl>
  </w:abstractNum>
  <w:abstractNum w:abstractNumId="36">
    <w:nsid w:val="303C87EE"/>
    <w:multiLevelType w:val="singleLevel"/>
    <w:tmpl w:val="303C87EE"/>
    <w:lvl w:ilvl="0" w:tentative="0">
      <w:start w:val="1"/>
      <w:numFmt w:val="chineseCounting"/>
      <w:suff w:val="nothing"/>
      <w:lvlText w:val="（%1）"/>
      <w:lvlJc w:val="left"/>
      <w:pPr>
        <w:ind w:left="0" w:firstLine="420"/>
      </w:pPr>
      <w:rPr>
        <w:rFonts w:hint="eastAsia"/>
      </w:rPr>
    </w:lvl>
  </w:abstractNum>
  <w:abstractNum w:abstractNumId="37">
    <w:nsid w:val="30923756"/>
    <w:multiLevelType w:val="singleLevel"/>
    <w:tmpl w:val="30923756"/>
    <w:lvl w:ilvl="0" w:tentative="0">
      <w:start w:val="1"/>
      <w:numFmt w:val="decimal"/>
      <w:suff w:val="space"/>
      <w:lvlText w:val="%1."/>
      <w:lvlJc w:val="left"/>
    </w:lvl>
  </w:abstractNum>
  <w:abstractNum w:abstractNumId="38">
    <w:nsid w:val="322DD283"/>
    <w:multiLevelType w:val="singleLevel"/>
    <w:tmpl w:val="322DD283"/>
    <w:lvl w:ilvl="0" w:tentative="0">
      <w:start w:val="1"/>
      <w:numFmt w:val="decimal"/>
      <w:lvlText w:val="%1."/>
      <w:lvlJc w:val="left"/>
      <w:pPr>
        <w:tabs>
          <w:tab w:val="left" w:pos="312"/>
        </w:tabs>
      </w:pPr>
    </w:lvl>
  </w:abstractNum>
  <w:abstractNum w:abstractNumId="39">
    <w:nsid w:val="375D54F5"/>
    <w:multiLevelType w:val="singleLevel"/>
    <w:tmpl w:val="375D54F5"/>
    <w:lvl w:ilvl="0" w:tentative="0">
      <w:start w:val="1"/>
      <w:numFmt w:val="decimal"/>
      <w:suff w:val="space"/>
      <w:lvlText w:val="%1."/>
      <w:lvlJc w:val="left"/>
    </w:lvl>
  </w:abstractNum>
  <w:abstractNum w:abstractNumId="40">
    <w:nsid w:val="3AFEF3C4"/>
    <w:multiLevelType w:val="singleLevel"/>
    <w:tmpl w:val="3AFEF3C4"/>
    <w:lvl w:ilvl="0" w:tentative="0">
      <w:start w:val="1"/>
      <w:numFmt w:val="decimal"/>
      <w:lvlText w:val="%1."/>
      <w:lvlJc w:val="left"/>
      <w:pPr>
        <w:tabs>
          <w:tab w:val="left" w:pos="312"/>
        </w:tabs>
      </w:pPr>
    </w:lvl>
  </w:abstractNum>
  <w:abstractNum w:abstractNumId="41">
    <w:nsid w:val="410E04A9"/>
    <w:multiLevelType w:val="singleLevel"/>
    <w:tmpl w:val="410E04A9"/>
    <w:lvl w:ilvl="0" w:tentative="0">
      <w:start w:val="1"/>
      <w:numFmt w:val="decimal"/>
      <w:suff w:val="space"/>
      <w:lvlText w:val="%1."/>
      <w:lvlJc w:val="left"/>
    </w:lvl>
  </w:abstractNum>
  <w:abstractNum w:abstractNumId="42">
    <w:nsid w:val="4169C737"/>
    <w:multiLevelType w:val="singleLevel"/>
    <w:tmpl w:val="4169C737"/>
    <w:lvl w:ilvl="0" w:tentative="0">
      <w:start w:val="1"/>
      <w:numFmt w:val="chineseCounting"/>
      <w:suff w:val="nothing"/>
      <w:lvlText w:val="（%1）"/>
      <w:lvlJc w:val="left"/>
      <w:pPr>
        <w:ind w:left="0" w:firstLine="420"/>
      </w:pPr>
      <w:rPr>
        <w:rFonts w:hint="eastAsia"/>
        <w:sz w:val="32"/>
        <w:szCs w:val="32"/>
      </w:rPr>
    </w:lvl>
  </w:abstractNum>
  <w:abstractNum w:abstractNumId="43">
    <w:nsid w:val="4A908655"/>
    <w:multiLevelType w:val="singleLevel"/>
    <w:tmpl w:val="4A908655"/>
    <w:lvl w:ilvl="0" w:tentative="0">
      <w:start w:val="1"/>
      <w:numFmt w:val="decimal"/>
      <w:suff w:val="space"/>
      <w:lvlText w:val="%1."/>
      <w:lvlJc w:val="left"/>
    </w:lvl>
  </w:abstractNum>
  <w:abstractNum w:abstractNumId="44">
    <w:nsid w:val="56E0D956"/>
    <w:multiLevelType w:val="singleLevel"/>
    <w:tmpl w:val="56E0D956"/>
    <w:lvl w:ilvl="0" w:tentative="0">
      <w:start w:val="1"/>
      <w:numFmt w:val="decimal"/>
      <w:suff w:val="nothing"/>
      <w:lvlText w:val="%1．"/>
      <w:lvlJc w:val="left"/>
      <w:pPr>
        <w:ind w:left="0" w:firstLine="400"/>
      </w:pPr>
      <w:rPr>
        <w:rFonts w:hint="default"/>
      </w:rPr>
    </w:lvl>
  </w:abstractNum>
  <w:abstractNum w:abstractNumId="45">
    <w:nsid w:val="57ED2E8E"/>
    <w:multiLevelType w:val="singleLevel"/>
    <w:tmpl w:val="57ED2E8E"/>
    <w:lvl w:ilvl="0" w:tentative="0">
      <w:start w:val="1"/>
      <w:numFmt w:val="decimal"/>
      <w:suff w:val="space"/>
      <w:lvlText w:val="%1."/>
      <w:lvlJc w:val="left"/>
    </w:lvl>
  </w:abstractNum>
  <w:abstractNum w:abstractNumId="46">
    <w:nsid w:val="5834BFBD"/>
    <w:multiLevelType w:val="singleLevel"/>
    <w:tmpl w:val="5834BFBD"/>
    <w:lvl w:ilvl="0" w:tentative="0">
      <w:start w:val="1"/>
      <w:numFmt w:val="decimal"/>
      <w:suff w:val="space"/>
      <w:lvlText w:val="%1."/>
      <w:lvlJc w:val="left"/>
    </w:lvl>
  </w:abstractNum>
  <w:abstractNum w:abstractNumId="47">
    <w:nsid w:val="5A84D5AC"/>
    <w:multiLevelType w:val="singleLevel"/>
    <w:tmpl w:val="5A84D5AC"/>
    <w:lvl w:ilvl="0" w:tentative="0">
      <w:start w:val="1"/>
      <w:numFmt w:val="chineseCounting"/>
      <w:suff w:val="nothing"/>
      <w:lvlText w:val="（%1）"/>
      <w:lvlJc w:val="left"/>
      <w:pPr>
        <w:ind w:left="0" w:firstLine="420"/>
      </w:pPr>
      <w:rPr>
        <w:rFonts w:hint="eastAsia" w:ascii="仿宋_GB2312" w:hAnsi="仿宋_GB2312" w:eastAsia="仿宋_GB2312" w:cs="仿宋_GB2312"/>
        <w:b w:val="0"/>
        <w:bCs w:val="0"/>
      </w:rPr>
    </w:lvl>
  </w:abstractNum>
  <w:abstractNum w:abstractNumId="48">
    <w:nsid w:val="5C0ADC39"/>
    <w:multiLevelType w:val="singleLevel"/>
    <w:tmpl w:val="5C0ADC39"/>
    <w:lvl w:ilvl="0" w:tentative="0">
      <w:start w:val="1"/>
      <w:numFmt w:val="chineseCounting"/>
      <w:suff w:val="nothing"/>
      <w:lvlText w:val="%1、"/>
      <w:lvlJc w:val="left"/>
      <w:pPr>
        <w:ind w:left="0" w:firstLine="420"/>
      </w:pPr>
      <w:rPr>
        <w:rFonts w:hint="eastAsia"/>
      </w:rPr>
    </w:lvl>
  </w:abstractNum>
  <w:abstractNum w:abstractNumId="49">
    <w:nsid w:val="62435AB4"/>
    <w:multiLevelType w:val="singleLevel"/>
    <w:tmpl w:val="62435AB4"/>
    <w:lvl w:ilvl="0" w:tentative="0">
      <w:start w:val="1"/>
      <w:numFmt w:val="chineseCounting"/>
      <w:suff w:val="nothing"/>
      <w:lvlText w:val="%1、"/>
      <w:lvlJc w:val="left"/>
      <w:pPr>
        <w:ind w:left="0" w:firstLine="420"/>
      </w:pPr>
      <w:rPr>
        <w:rFonts w:hint="eastAsia"/>
      </w:rPr>
    </w:lvl>
  </w:abstractNum>
  <w:abstractNum w:abstractNumId="50">
    <w:nsid w:val="6A6576E7"/>
    <w:multiLevelType w:val="multilevel"/>
    <w:tmpl w:val="6A6576E7"/>
    <w:lvl w:ilvl="0" w:tentative="0">
      <w:start w:val="1"/>
      <w:numFmt w:val="decimal"/>
      <w:suff w:val="space"/>
      <w:lvlText w:val="%1."/>
      <w:lvlJc w:val="left"/>
      <w:pPr>
        <w:ind w:left="987" w:hanging="420"/>
      </w:pPr>
      <w:rPr>
        <w:rFonts w:hint="default" w:ascii="仿宋_GB2312" w:hAnsi="仿宋_GB2312" w:eastAsia="仿宋_GB2312" w:cs="仿宋_GB2312"/>
        <w:b w:val="0"/>
        <w:bCs w:val="0"/>
      </w:rPr>
    </w:lvl>
    <w:lvl w:ilvl="1" w:tentative="0">
      <w:start w:val="1"/>
      <w:numFmt w:val="lowerLetter"/>
      <w:lvlText w:val="%2)"/>
      <w:lvlJc w:val="left"/>
      <w:pPr>
        <w:ind w:left="847" w:hanging="420"/>
      </w:pPr>
    </w:lvl>
    <w:lvl w:ilvl="2" w:tentative="0">
      <w:start w:val="1"/>
      <w:numFmt w:val="lowerRoman"/>
      <w:lvlText w:val="%3."/>
      <w:lvlJc w:val="right"/>
      <w:pPr>
        <w:ind w:left="1267" w:hanging="420"/>
      </w:pPr>
    </w:lvl>
    <w:lvl w:ilvl="3" w:tentative="0">
      <w:start w:val="1"/>
      <w:numFmt w:val="decimal"/>
      <w:lvlText w:val="%4."/>
      <w:lvlJc w:val="left"/>
      <w:pPr>
        <w:ind w:left="1687" w:hanging="420"/>
      </w:pPr>
    </w:lvl>
    <w:lvl w:ilvl="4" w:tentative="0">
      <w:start w:val="1"/>
      <w:numFmt w:val="lowerLetter"/>
      <w:lvlText w:val="%5)"/>
      <w:lvlJc w:val="left"/>
      <w:pPr>
        <w:ind w:left="2107" w:hanging="420"/>
      </w:pPr>
    </w:lvl>
    <w:lvl w:ilvl="5" w:tentative="0">
      <w:start w:val="1"/>
      <w:numFmt w:val="lowerRoman"/>
      <w:lvlText w:val="%6."/>
      <w:lvlJc w:val="right"/>
      <w:pPr>
        <w:ind w:left="2527" w:hanging="420"/>
      </w:pPr>
    </w:lvl>
    <w:lvl w:ilvl="6" w:tentative="0">
      <w:start w:val="1"/>
      <w:numFmt w:val="decimal"/>
      <w:lvlText w:val="%7."/>
      <w:lvlJc w:val="left"/>
      <w:pPr>
        <w:ind w:left="2947" w:hanging="420"/>
      </w:pPr>
    </w:lvl>
    <w:lvl w:ilvl="7" w:tentative="0">
      <w:start w:val="1"/>
      <w:numFmt w:val="lowerLetter"/>
      <w:lvlText w:val="%8)"/>
      <w:lvlJc w:val="left"/>
      <w:pPr>
        <w:ind w:left="3367" w:hanging="420"/>
      </w:pPr>
    </w:lvl>
    <w:lvl w:ilvl="8" w:tentative="0">
      <w:start w:val="1"/>
      <w:numFmt w:val="lowerRoman"/>
      <w:lvlText w:val="%9."/>
      <w:lvlJc w:val="right"/>
      <w:pPr>
        <w:ind w:left="3787" w:hanging="420"/>
      </w:pPr>
    </w:lvl>
  </w:abstractNum>
  <w:abstractNum w:abstractNumId="51">
    <w:nsid w:val="718C3367"/>
    <w:multiLevelType w:val="singleLevel"/>
    <w:tmpl w:val="718C3367"/>
    <w:lvl w:ilvl="0" w:tentative="0">
      <w:start w:val="1"/>
      <w:numFmt w:val="decimal"/>
      <w:lvlText w:val="%1."/>
      <w:lvlJc w:val="left"/>
      <w:pPr>
        <w:ind w:left="425" w:hanging="425"/>
      </w:pPr>
      <w:rPr>
        <w:rFonts w:hint="default"/>
      </w:rPr>
    </w:lvl>
  </w:abstractNum>
  <w:abstractNum w:abstractNumId="52">
    <w:nsid w:val="76E7AD67"/>
    <w:multiLevelType w:val="singleLevel"/>
    <w:tmpl w:val="76E7AD67"/>
    <w:lvl w:ilvl="0" w:tentative="0">
      <w:start w:val="1"/>
      <w:numFmt w:val="decimal"/>
      <w:suff w:val="space"/>
      <w:lvlText w:val="%1."/>
      <w:lvlJc w:val="left"/>
    </w:lvl>
  </w:abstractNum>
  <w:num w:numId="1">
    <w:abstractNumId w:val="33"/>
  </w:num>
  <w:num w:numId="2">
    <w:abstractNumId w:val="25"/>
  </w:num>
  <w:num w:numId="3">
    <w:abstractNumId w:val="27"/>
  </w:num>
  <w:num w:numId="4">
    <w:abstractNumId w:val="29"/>
  </w:num>
  <w:num w:numId="5">
    <w:abstractNumId w:val="47"/>
  </w:num>
  <w:num w:numId="6">
    <w:abstractNumId w:val="42"/>
  </w:num>
  <w:num w:numId="7">
    <w:abstractNumId w:val="49"/>
  </w:num>
  <w:num w:numId="8">
    <w:abstractNumId w:val="44"/>
  </w:num>
  <w:num w:numId="9">
    <w:abstractNumId w:val="38"/>
  </w:num>
  <w:num w:numId="10">
    <w:abstractNumId w:val="50"/>
  </w:num>
  <w:num w:numId="11">
    <w:abstractNumId w:val="48"/>
  </w:num>
  <w:num w:numId="12">
    <w:abstractNumId w:val="18"/>
  </w:num>
  <w:num w:numId="13">
    <w:abstractNumId w:val="23"/>
  </w:num>
  <w:num w:numId="14">
    <w:abstractNumId w:val="11"/>
  </w:num>
  <w:num w:numId="15">
    <w:abstractNumId w:val="24"/>
  </w:num>
  <w:num w:numId="16">
    <w:abstractNumId w:val="0"/>
  </w:num>
  <w:num w:numId="17">
    <w:abstractNumId w:val="34"/>
  </w:num>
  <w:num w:numId="18">
    <w:abstractNumId w:val="46"/>
  </w:num>
  <w:num w:numId="19">
    <w:abstractNumId w:val="10"/>
  </w:num>
  <w:num w:numId="20">
    <w:abstractNumId w:val="41"/>
  </w:num>
  <w:num w:numId="21">
    <w:abstractNumId w:val="45"/>
  </w:num>
  <w:num w:numId="22">
    <w:abstractNumId w:val="16"/>
  </w:num>
  <w:num w:numId="23">
    <w:abstractNumId w:val="4"/>
  </w:num>
  <w:num w:numId="24">
    <w:abstractNumId w:val="26"/>
  </w:num>
  <w:num w:numId="25">
    <w:abstractNumId w:val="51"/>
  </w:num>
  <w:num w:numId="26">
    <w:abstractNumId w:val="17"/>
  </w:num>
  <w:num w:numId="27">
    <w:abstractNumId w:val="8"/>
  </w:num>
  <w:num w:numId="28">
    <w:abstractNumId w:val="20"/>
  </w:num>
  <w:num w:numId="29">
    <w:abstractNumId w:val="32"/>
  </w:num>
  <w:num w:numId="30">
    <w:abstractNumId w:val="3"/>
  </w:num>
  <w:num w:numId="31">
    <w:abstractNumId w:val="19"/>
  </w:num>
  <w:num w:numId="32">
    <w:abstractNumId w:val="15"/>
  </w:num>
  <w:num w:numId="33">
    <w:abstractNumId w:val="28"/>
  </w:num>
  <w:num w:numId="34">
    <w:abstractNumId w:val="43"/>
  </w:num>
  <w:num w:numId="35">
    <w:abstractNumId w:val="52"/>
  </w:num>
  <w:num w:numId="36">
    <w:abstractNumId w:val="40"/>
  </w:num>
  <w:num w:numId="37">
    <w:abstractNumId w:val="14"/>
  </w:num>
  <w:num w:numId="38">
    <w:abstractNumId w:val="37"/>
  </w:num>
  <w:num w:numId="39">
    <w:abstractNumId w:val="39"/>
  </w:num>
  <w:num w:numId="40">
    <w:abstractNumId w:val="31"/>
  </w:num>
  <w:num w:numId="41">
    <w:abstractNumId w:val="30"/>
  </w:num>
  <w:num w:numId="42">
    <w:abstractNumId w:val="1"/>
  </w:num>
  <w:num w:numId="43">
    <w:abstractNumId w:val="13"/>
  </w:num>
  <w:num w:numId="44">
    <w:abstractNumId w:val="35"/>
  </w:num>
  <w:num w:numId="45">
    <w:abstractNumId w:val="22"/>
  </w:num>
  <w:num w:numId="46">
    <w:abstractNumId w:val="7"/>
  </w:num>
  <w:num w:numId="47">
    <w:abstractNumId w:val="6"/>
  </w:num>
  <w:num w:numId="48">
    <w:abstractNumId w:val="21"/>
  </w:num>
  <w:num w:numId="49">
    <w:abstractNumId w:val="2"/>
  </w:num>
  <w:num w:numId="50">
    <w:abstractNumId w:val="36"/>
  </w:num>
  <w:num w:numId="51">
    <w:abstractNumId w:val="9"/>
  </w:num>
  <w:num w:numId="52">
    <w:abstractNumId w:val="12"/>
  </w:num>
  <w:num w:numId="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8"/>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zUxNzUyMzAyMTczN2ZkMzNkYjM4OWIyNzc4YmMifQ=="/>
  </w:docVars>
  <w:rsids>
    <w:rsidRoot w:val="006D0ADB"/>
    <w:rsid w:val="0004769E"/>
    <w:rsid w:val="00095909"/>
    <w:rsid w:val="000A4E5F"/>
    <w:rsid w:val="000A7274"/>
    <w:rsid w:val="000D1CC7"/>
    <w:rsid w:val="001073CD"/>
    <w:rsid w:val="00120CB1"/>
    <w:rsid w:val="00121098"/>
    <w:rsid w:val="001B75C0"/>
    <w:rsid w:val="002722E3"/>
    <w:rsid w:val="002852B0"/>
    <w:rsid w:val="0029630E"/>
    <w:rsid w:val="002B7824"/>
    <w:rsid w:val="00305371"/>
    <w:rsid w:val="00384580"/>
    <w:rsid w:val="00386E7C"/>
    <w:rsid w:val="003B3039"/>
    <w:rsid w:val="003D61B7"/>
    <w:rsid w:val="00423968"/>
    <w:rsid w:val="00424AB4"/>
    <w:rsid w:val="00446EE0"/>
    <w:rsid w:val="00457B7C"/>
    <w:rsid w:val="004727F5"/>
    <w:rsid w:val="004C2A4E"/>
    <w:rsid w:val="00527F31"/>
    <w:rsid w:val="0054547C"/>
    <w:rsid w:val="00563961"/>
    <w:rsid w:val="00576B45"/>
    <w:rsid w:val="005939DB"/>
    <w:rsid w:val="005A0E56"/>
    <w:rsid w:val="005A32E8"/>
    <w:rsid w:val="00697226"/>
    <w:rsid w:val="006C0373"/>
    <w:rsid w:val="006D0289"/>
    <w:rsid w:val="006D0ADB"/>
    <w:rsid w:val="006E7104"/>
    <w:rsid w:val="00705CE0"/>
    <w:rsid w:val="007B6B5B"/>
    <w:rsid w:val="007E5515"/>
    <w:rsid w:val="008548ED"/>
    <w:rsid w:val="008B06E6"/>
    <w:rsid w:val="00994AEF"/>
    <w:rsid w:val="009C080E"/>
    <w:rsid w:val="009D508D"/>
    <w:rsid w:val="009E445B"/>
    <w:rsid w:val="009E7EAD"/>
    <w:rsid w:val="009F2F29"/>
    <w:rsid w:val="00A050BB"/>
    <w:rsid w:val="00A07532"/>
    <w:rsid w:val="00A42231"/>
    <w:rsid w:val="00A70531"/>
    <w:rsid w:val="00A818FD"/>
    <w:rsid w:val="00A8697A"/>
    <w:rsid w:val="00AE7F77"/>
    <w:rsid w:val="00B02367"/>
    <w:rsid w:val="00B3527B"/>
    <w:rsid w:val="00B45828"/>
    <w:rsid w:val="00B92057"/>
    <w:rsid w:val="00BA2822"/>
    <w:rsid w:val="00C22038"/>
    <w:rsid w:val="00C36B5B"/>
    <w:rsid w:val="00C37D18"/>
    <w:rsid w:val="00C4024D"/>
    <w:rsid w:val="00DF669C"/>
    <w:rsid w:val="00E14964"/>
    <w:rsid w:val="00E459FF"/>
    <w:rsid w:val="00E605E7"/>
    <w:rsid w:val="00E776D2"/>
    <w:rsid w:val="00E9035E"/>
    <w:rsid w:val="00EA3E1E"/>
    <w:rsid w:val="00EC2E1D"/>
    <w:rsid w:val="00EF58C5"/>
    <w:rsid w:val="00F14DE0"/>
    <w:rsid w:val="00F27AC9"/>
    <w:rsid w:val="00F742F1"/>
    <w:rsid w:val="00F87C95"/>
    <w:rsid w:val="00FA656C"/>
    <w:rsid w:val="00FB0A53"/>
    <w:rsid w:val="00FE6843"/>
    <w:rsid w:val="01136B4E"/>
    <w:rsid w:val="011E1FE4"/>
    <w:rsid w:val="013013C1"/>
    <w:rsid w:val="01347A59"/>
    <w:rsid w:val="01453A14"/>
    <w:rsid w:val="01687703"/>
    <w:rsid w:val="017C3CAE"/>
    <w:rsid w:val="01810A9D"/>
    <w:rsid w:val="018112F0"/>
    <w:rsid w:val="0187374A"/>
    <w:rsid w:val="0191588C"/>
    <w:rsid w:val="01A22C15"/>
    <w:rsid w:val="01B13D9D"/>
    <w:rsid w:val="01CA5CC8"/>
    <w:rsid w:val="01D16F19"/>
    <w:rsid w:val="01DF6F78"/>
    <w:rsid w:val="01E0166C"/>
    <w:rsid w:val="01EB26E9"/>
    <w:rsid w:val="01F7077C"/>
    <w:rsid w:val="02035323"/>
    <w:rsid w:val="021D06BE"/>
    <w:rsid w:val="022D4557"/>
    <w:rsid w:val="02431CA7"/>
    <w:rsid w:val="024C0DD3"/>
    <w:rsid w:val="027938CF"/>
    <w:rsid w:val="027F313D"/>
    <w:rsid w:val="028D2941"/>
    <w:rsid w:val="028D5673"/>
    <w:rsid w:val="029702A0"/>
    <w:rsid w:val="02BF20BE"/>
    <w:rsid w:val="02C87C2B"/>
    <w:rsid w:val="02E35293"/>
    <w:rsid w:val="02ED7C80"/>
    <w:rsid w:val="02F122EA"/>
    <w:rsid w:val="02FD6A79"/>
    <w:rsid w:val="031D3262"/>
    <w:rsid w:val="033F01D3"/>
    <w:rsid w:val="037979A5"/>
    <w:rsid w:val="03882868"/>
    <w:rsid w:val="039E1C00"/>
    <w:rsid w:val="03B06ED6"/>
    <w:rsid w:val="03B125B6"/>
    <w:rsid w:val="03B86187"/>
    <w:rsid w:val="03C913C3"/>
    <w:rsid w:val="03FB7EB5"/>
    <w:rsid w:val="03FD4143"/>
    <w:rsid w:val="040973C8"/>
    <w:rsid w:val="040D42FA"/>
    <w:rsid w:val="0414142C"/>
    <w:rsid w:val="04270245"/>
    <w:rsid w:val="044F7553"/>
    <w:rsid w:val="048F4493"/>
    <w:rsid w:val="04AD3DAA"/>
    <w:rsid w:val="04C04D11"/>
    <w:rsid w:val="04CE3D21"/>
    <w:rsid w:val="04D47E5C"/>
    <w:rsid w:val="04D650A3"/>
    <w:rsid w:val="04DF2CD9"/>
    <w:rsid w:val="04E43544"/>
    <w:rsid w:val="04E80947"/>
    <w:rsid w:val="04E935F8"/>
    <w:rsid w:val="0523406D"/>
    <w:rsid w:val="052B63F5"/>
    <w:rsid w:val="052E3E78"/>
    <w:rsid w:val="05332781"/>
    <w:rsid w:val="054A2234"/>
    <w:rsid w:val="0557179A"/>
    <w:rsid w:val="05573D16"/>
    <w:rsid w:val="055C30DB"/>
    <w:rsid w:val="05940AC6"/>
    <w:rsid w:val="05B335B2"/>
    <w:rsid w:val="05B6183C"/>
    <w:rsid w:val="05B82E19"/>
    <w:rsid w:val="05C27390"/>
    <w:rsid w:val="05C869C2"/>
    <w:rsid w:val="05DC3A1A"/>
    <w:rsid w:val="05E756D7"/>
    <w:rsid w:val="05ED10C0"/>
    <w:rsid w:val="05FF1421"/>
    <w:rsid w:val="06154BB6"/>
    <w:rsid w:val="06316315"/>
    <w:rsid w:val="06361B7E"/>
    <w:rsid w:val="064E5EB1"/>
    <w:rsid w:val="06553588"/>
    <w:rsid w:val="06636219"/>
    <w:rsid w:val="066B0C3D"/>
    <w:rsid w:val="06773260"/>
    <w:rsid w:val="0688208A"/>
    <w:rsid w:val="068F57ED"/>
    <w:rsid w:val="06B96917"/>
    <w:rsid w:val="06E3232C"/>
    <w:rsid w:val="06F449D1"/>
    <w:rsid w:val="07040272"/>
    <w:rsid w:val="07217384"/>
    <w:rsid w:val="072440CC"/>
    <w:rsid w:val="07341AD0"/>
    <w:rsid w:val="073A38EF"/>
    <w:rsid w:val="073C36CD"/>
    <w:rsid w:val="07434552"/>
    <w:rsid w:val="07666FDA"/>
    <w:rsid w:val="07736EFA"/>
    <w:rsid w:val="078911E8"/>
    <w:rsid w:val="078C1D6D"/>
    <w:rsid w:val="0792524C"/>
    <w:rsid w:val="07B92E8A"/>
    <w:rsid w:val="07CA150B"/>
    <w:rsid w:val="07E05166"/>
    <w:rsid w:val="08202FD7"/>
    <w:rsid w:val="0825201D"/>
    <w:rsid w:val="08392283"/>
    <w:rsid w:val="08805345"/>
    <w:rsid w:val="08836BD0"/>
    <w:rsid w:val="088C6919"/>
    <w:rsid w:val="08A20174"/>
    <w:rsid w:val="08C57954"/>
    <w:rsid w:val="08E915FF"/>
    <w:rsid w:val="08FF1E76"/>
    <w:rsid w:val="090811BB"/>
    <w:rsid w:val="091A1AB2"/>
    <w:rsid w:val="09624235"/>
    <w:rsid w:val="09766C7C"/>
    <w:rsid w:val="098E18B6"/>
    <w:rsid w:val="09A3577C"/>
    <w:rsid w:val="09B57937"/>
    <w:rsid w:val="09B65387"/>
    <w:rsid w:val="09D973F0"/>
    <w:rsid w:val="09EA7182"/>
    <w:rsid w:val="09F2400E"/>
    <w:rsid w:val="0A072F1E"/>
    <w:rsid w:val="0A177570"/>
    <w:rsid w:val="0A1977EC"/>
    <w:rsid w:val="0A285CBA"/>
    <w:rsid w:val="0A316E3A"/>
    <w:rsid w:val="0A33367C"/>
    <w:rsid w:val="0A3740BB"/>
    <w:rsid w:val="0A3D5178"/>
    <w:rsid w:val="0A52795C"/>
    <w:rsid w:val="0A577EA6"/>
    <w:rsid w:val="0A6B3FA9"/>
    <w:rsid w:val="0A742C74"/>
    <w:rsid w:val="0A89138A"/>
    <w:rsid w:val="0A914CEF"/>
    <w:rsid w:val="0A9B5134"/>
    <w:rsid w:val="0AA8258D"/>
    <w:rsid w:val="0AB94B2B"/>
    <w:rsid w:val="0AC13C8C"/>
    <w:rsid w:val="0AD2130E"/>
    <w:rsid w:val="0AD23AA8"/>
    <w:rsid w:val="0AD80A8E"/>
    <w:rsid w:val="0AE27547"/>
    <w:rsid w:val="0AE71E82"/>
    <w:rsid w:val="0AED16EA"/>
    <w:rsid w:val="0AF049F1"/>
    <w:rsid w:val="0AF13704"/>
    <w:rsid w:val="0B002E68"/>
    <w:rsid w:val="0B144004"/>
    <w:rsid w:val="0B2A0442"/>
    <w:rsid w:val="0B375B6A"/>
    <w:rsid w:val="0B3A088F"/>
    <w:rsid w:val="0B585E5D"/>
    <w:rsid w:val="0B5C4D27"/>
    <w:rsid w:val="0B717C6B"/>
    <w:rsid w:val="0B7A42BB"/>
    <w:rsid w:val="0B8273F7"/>
    <w:rsid w:val="0B971913"/>
    <w:rsid w:val="0BA13F3D"/>
    <w:rsid w:val="0BA53A2D"/>
    <w:rsid w:val="0BB670AB"/>
    <w:rsid w:val="0BBF548E"/>
    <w:rsid w:val="0BCB377E"/>
    <w:rsid w:val="0BCC37C1"/>
    <w:rsid w:val="0BE304FC"/>
    <w:rsid w:val="0C061EAD"/>
    <w:rsid w:val="0C0F3335"/>
    <w:rsid w:val="0C3B6F34"/>
    <w:rsid w:val="0C3C57A2"/>
    <w:rsid w:val="0C487B89"/>
    <w:rsid w:val="0C5108D7"/>
    <w:rsid w:val="0C5A2267"/>
    <w:rsid w:val="0C630629"/>
    <w:rsid w:val="0C7E2917"/>
    <w:rsid w:val="0C7FAB74"/>
    <w:rsid w:val="0CA5180B"/>
    <w:rsid w:val="0CB47CA0"/>
    <w:rsid w:val="0CD9248C"/>
    <w:rsid w:val="0D265591"/>
    <w:rsid w:val="0D350DE1"/>
    <w:rsid w:val="0D6C4CD9"/>
    <w:rsid w:val="0D701C55"/>
    <w:rsid w:val="0D76388D"/>
    <w:rsid w:val="0D7734F6"/>
    <w:rsid w:val="0D774651"/>
    <w:rsid w:val="0D780CCE"/>
    <w:rsid w:val="0D966B56"/>
    <w:rsid w:val="0D9E321C"/>
    <w:rsid w:val="0DA970D9"/>
    <w:rsid w:val="0DB81E5A"/>
    <w:rsid w:val="0DCD365A"/>
    <w:rsid w:val="0DED5D54"/>
    <w:rsid w:val="0DF93BBD"/>
    <w:rsid w:val="0E4F7C80"/>
    <w:rsid w:val="0E5B6625"/>
    <w:rsid w:val="0E7D368B"/>
    <w:rsid w:val="0EA55AF2"/>
    <w:rsid w:val="0EAE6746"/>
    <w:rsid w:val="0EB51DB2"/>
    <w:rsid w:val="0EB6260B"/>
    <w:rsid w:val="0ECA5069"/>
    <w:rsid w:val="0ED504A7"/>
    <w:rsid w:val="0ED92CE9"/>
    <w:rsid w:val="0EF56BB3"/>
    <w:rsid w:val="0F012CE8"/>
    <w:rsid w:val="0F27642E"/>
    <w:rsid w:val="0F2A5804"/>
    <w:rsid w:val="0F44530B"/>
    <w:rsid w:val="0F4862CF"/>
    <w:rsid w:val="0F4C2412"/>
    <w:rsid w:val="0F5117D6"/>
    <w:rsid w:val="0F582722"/>
    <w:rsid w:val="0F5F2145"/>
    <w:rsid w:val="0F607C6B"/>
    <w:rsid w:val="0F657446"/>
    <w:rsid w:val="0F6A0165"/>
    <w:rsid w:val="0F7521C0"/>
    <w:rsid w:val="0F934BED"/>
    <w:rsid w:val="0FA34C58"/>
    <w:rsid w:val="0FA66950"/>
    <w:rsid w:val="0FAE4CD8"/>
    <w:rsid w:val="0FC1070A"/>
    <w:rsid w:val="0FE97876"/>
    <w:rsid w:val="0FF52AA9"/>
    <w:rsid w:val="0FFA787D"/>
    <w:rsid w:val="10100615"/>
    <w:rsid w:val="10117E98"/>
    <w:rsid w:val="10233173"/>
    <w:rsid w:val="10287165"/>
    <w:rsid w:val="104E729A"/>
    <w:rsid w:val="10642A58"/>
    <w:rsid w:val="10686DD7"/>
    <w:rsid w:val="10727C56"/>
    <w:rsid w:val="107E65FB"/>
    <w:rsid w:val="1081433D"/>
    <w:rsid w:val="10B913D6"/>
    <w:rsid w:val="10C15491"/>
    <w:rsid w:val="10CA7A92"/>
    <w:rsid w:val="10D27424"/>
    <w:rsid w:val="10E12347"/>
    <w:rsid w:val="10E41199"/>
    <w:rsid w:val="10FD5A6C"/>
    <w:rsid w:val="11010537"/>
    <w:rsid w:val="11051F92"/>
    <w:rsid w:val="11290C5D"/>
    <w:rsid w:val="11BC2870"/>
    <w:rsid w:val="11C75D80"/>
    <w:rsid w:val="11E04D48"/>
    <w:rsid w:val="11E601BB"/>
    <w:rsid w:val="11EC6A3B"/>
    <w:rsid w:val="11FE6839"/>
    <w:rsid w:val="120D4754"/>
    <w:rsid w:val="12151669"/>
    <w:rsid w:val="12197E83"/>
    <w:rsid w:val="121A12F9"/>
    <w:rsid w:val="121A6EC9"/>
    <w:rsid w:val="121F24F0"/>
    <w:rsid w:val="12307DC9"/>
    <w:rsid w:val="124B71F4"/>
    <w:rsid w:val="124C3826"/>
    <w:rsid w:val="126C64CD"/>
    <w:rsid w:val="127A580F"/>
    <w:rsid w:val="129654FC"/>
    <w:rsid w:val="12AB56A1"/>
    <w:rsid w:val="12B33EBF"/>
    <w:rsid w:val="12C96834"/>
    <w:rsid w:val="12DC2D06"/>
    <w:rsid w:val="12EC0CD6"/>
    <w:rsid w:val="130354DD"/>
    <w:rsid w:val="130B2A63"/>
    <w:rsid w:val="1325766F"/>
    <w:rsid w:val="133D02DB"/>
    <w:rsid w:val="13400775"/>
    <w:rsid w:val="13511DA5"/>
    <w:rsid w:val="13525B1D"/>
    <w:rsid w:val="135E6CD6"/>
    <w:rsid w:val="137F7E01"/>
    <w:rsid w:val="13883B51"/>
    <w:rsid w:val="13937098"/>
    <w:rsid w:val="13A2126D"/>
    <w:rsid w:val="13B92A72"/>
    <w:rsid w:val="13D053C0"/>
    <w:rsid w:val="13FA068E"/>
    <w:rsid w:val="140B7660"/>
    <w:rsid w:val="14172FEE"/>
    <w:rsid w:val="14311734"/>
    <w:rsid w:val="1444250F"/>
    <w:rsid w:val="14515D13"/>
    <w:rsid w:val="14541AC6"/>
    <w:rsid w:val="14743C40"/>
    <w:rsid w:val="14A625C4"/>
    <w:rsid w:val="14B34934"/>
    <w:rsid w:val="14B4791B"/>
    <w:rsid w:val="14BC3B96"/>
    <w:rsid w:val="14C1413B"/>
    <w:rsid w:val="14CD7B51"/>
    <w:rsid w:val="14D41776"/>
    <w:rsid w:val="14D726AF"/>
    <w:rsid w:val="15107A3E"/>
    <w:rsid w:val="15127938"/>
    <w:rsid w:val="15162637"/>
    <w:rsid w:val="152B78F9"/>
    <w:rsid w:val="15360A41"/>
    <w:rsid w:val="153C0500"/>
    <w:rsid w:val="15471435"/>
    <w:rsid w:val="158F12AA"/>
    <w:rsid w:val="15A148B2"/>
    <w:rsid w:val="15A832D6"/>
    <w:rsid w:val="15AA1C40"/>
    <w:rsid w:val="15B15BBF"/>
    <w:rsid w:val="15CC6F67"/>
    <w:rsid w:val="15E476A1"/>
    <w:rsid w:val="15E92769"/>
    <w:rsid w:val="15EA600D"/>
    <w:rsid w:val="15EF3AF7"/>
    <w:rsid w:val="16421142"/>
    <w:rsid w:val="165F6ECF"/>
    <w:rsid w:val="16893F4C"/>
    <w:rsid w:val="16C17241"/>
    <w:rsid w:val="16CF7BB0"/>
    <w:rsid w:val="16F55342"/>
    <w:rsid w:val="17171557"/>
    <w:rsid w:val="17260D8F"/>
    <w:rsid w:val="17301B73"/>
    <w:rsid w:val="17500939"/>
    <w:rsid w:val="17620A24"/>
    <w:rsid w:val="176F4EEF"/>
    <w:rsid w:val="177A2AE5"/>
    <w:rsid w:val="17832749"/>
    <w:rsid w:val="178A2532"/>
    <w:rsid w:val="179B3F36"/>
    <w:rsid w:val="17B27401"/>
    <w:rsid w:val="17B76FB8"/>
    <w:rsid w:val="17DB3A40"/>
    <w:rsid w:val="17F10771"/>
    <w:rsid w:val="17FA6EAF"/>
    <w:rsid w:val="18267CA4"/>
    <w:rsid w:val="18273B81"/>
    <w:rsid w:val="18395834"/>
    <w:rsid w:val="183E6121"/>
    <w:rsid w:val="184622E0"/>
    <w:rsid w:val="186166C6"/>
    <w:rsid w:val="1872175C"/>
    <w:rsid w:val="18823244"/>
    <w:rsid w:val="18864849"/>
    <w:rsid w:val="189460FA"/>
    <w:rsid w:val="18A7271C"/>
    <w:rsid w:val="18C55B1C"/>
    <w:rsid w:val="18D70712"/>
    <w:rsid w:val="18E4170B"/>
    <w:rsid w:val="18EB2C9C"/>
    <w:rsid w:val="18FE07FD"/>
    <w:rsid w:val="191D1A17"/>
    <w:rsid w:val="1922719B"/>
    <w:rsid w:val="193018AA"/>
    <w:rsid w:val="196467E6"/>
    <w:rsid w:val="19686B01"/>
    <w:rsid w:val="19692B2C"/>
    <w:rsid w:val="199F5CEA"/>
    <w:rsid w:val="19AE61A3"/>
    <w:rsid w:val="19BF6F98"/>
    <w:rsid w:val="19DF2905"/>
    <w:rsid w:val="19F87749"/>
    <w:rsid w:val="1A58610F"/>
    <w:rsid w:val="1A5B637F"/>
    <w:rsid w:val="1A815150"/>
    <w:rsid w:val="1A9D1EA6"/>
    <w:rsid w:val="1AAF5A94"/>
    <w:rsid w:val="1AC757D1"/>
    <w:rsid w:val="1AC80EB8"/>
    <w:rsid w:val="1AE16104"/>
    <w:rsid w:val="1AFE8F32"/>
    <w:rsid w:val="1B09585B"/>
    <w:rsid w:val="1B166451"/>
    <w:rsid w:val="1B19722C"/>
    <w:rsid w:val="1B272CE8"/>
    <w:rsid w:val="1B474778"/>
    <w:rsid w:val="1B522E66"/>
    <w:rsid w:val="1B5678DF"/>
    <w:rsid w:val="1B5971D6"/>
    <w:rsid w:val="1B7C3304"/>
    <w:rsid w:val="1B867470"/>
    <w:rsid w:val="1B8B6070"/>
    <w:rsid w:val="1BA367AA"/>
    <w:rsid w:val="1BB74E12"/>
    <w:rsid w:val="1BD21181"/>
    <w:rsid w:val="1BD512CB"/>
    <w:rsid w:val="1BF12377"/>
    <w:rsid w:val="1BF4564D"/>
    <w:rsid w:val="1BF61431"/>
    <w:rsid w:val="1C0140F5"/>
    <w:rsid w:val="1C067E7F"/>
    <w:rsid w:val="1C156084"/>
    <w:rsid w:val="1C1B3898"/>
    <w:rsid w:val="1C204D7C"/>
    <w:rsid w:val="1C4B73A7"/>
    <w:rsid w:val="1C513414"/>
    <w:rsid w:val="1C7716CA"/>
    <w:rsid w:val="1C8911FE"/>
    <w:rsid w:val="1C967D13"/>
    <w:rsid w:val="1CA73EBC"/>
    <w:rsid w:val="1CAC629E"/>
    <w:rsid w:val="1CB20ABB"/>
    <w:rsid w:val="1CB810E7"/>
    <w:rsid w:val="1CF32D5E"/>
    <w:rsid w:val="1CFD33A7"/>
    <w:rsid w:val="1CFD5058"/>
    <w:rsid w:val="1CFF7424"/>
    <w:rsid w:val="1D0D6BCC"/>
    <w:rsid w:val="1D1125A5"/>
    <w:rsid w:val="1D181B85"/>
    <w:rsid w:val="1D1E410E"/>
    <w:rsid w:val="1D287463"/>
    <w:rsid w:val="1D497F91"/>
    <w:rsid w:val="1D4E3998"/>
    <w:rsid w:val="1D563A76"/>
    <w:rsid w:val="1D5F5A06"/>
    <w:rsid w:val="1D84721B"/>
    <w:rsid w:val="1D9E2C02"/>
    <w:rsid w:val="1DBA13AB"/>
    <w:rsid w:val="1DBA2C3C"/>
    <w:rsid w:val="1DC73F89"/>
    <w:rsid w:val="1DD66F4C"/>
    <w:rsid w:val="1DDA6E3B"/>
    <w:rsid w:val="1DEF5BC2"/>
    <w:rsid w:val="1DF70D09"/>
    <w:rsid w:val="1DFE2E4D"/>
    <w:rsid w:val="1E122A78"/>
    <w:rsid w:val="1E146329"/>
    <w:rsid w:val="1E285DF8"/>
    <w:rsid w:val="1E306F6B"/>
    <w:rsid w:val="1E347E7C"/>
    <w:rsid w:val="1E3D5D47"/>
    <w:rsid w:val="1E510C38"/>
    <w:rsid w:val="1E544FDD"/>
    <w:rsid w:val="1E6804BC"/>
    <w:rsid w:val="1ECC7CDD"/>
    <w:rsid w:val="1ED146E2"/>
    <w:rsid w:val="1ED32387"/>
    <w:rsid w:val="1ED66619"/>
    <w:rsid w:val="1EEB57A3"/>
    <w:rsid w:val="1EEF0538"/>
    <w:rsid w:val="1EF00207"/>
    <w:rsid w:val="1EF06916"/>
    <w:rsid w:val="1EF15E4E"/>
    <w:rsid w:val="1EFE5B5B"/>
    <w:rsid w:val="1F163296"/>
    <w:rsid w:val="1F1A7A1E"/>
    <w:rsid w:val="1F1C5C48"/>
    <w:rsid w:val="1F275A65"/>
    <w:rsid w:val="1F345594"/>
    <w:rsid w:val="1F7D2046"/>
    <w:rsid w:val="1F811C64"/>
    <w:rsid w:val="1F8D53C1"/>
    <w:rsid w:val="1F8F4478"/>
    <w:rsid w:val="1F924B9A"/>
    <w:rsid w:val="1FAD7149"/>
    <w:rsid w:val="1FC23AB2"/>
    <w:rsid w:val="1FC27FF5"/>
    <w:rsid w:val="1FC61926"/>
    <w:rsid w:val="1FDC50EC"/>
    <w:rsid w:val="1FDF0B09"/>
    <w:rsid w:val="1FE43497"/>
    <w:rsid w:val="1FEB3581"/>
    <w:rsid w:val="1FF31B4D"/>
    <w:rsid w:val="201721F5"/>
    <w:rsid w:val="20580C17"/>
    <w:rsid w:val="20610166"/>
    <w:rsid w:val="208A1031"/>
    <w:rsid w:val="20A976C4"/>
    <w:rsid w:val="20B217E7"/>
    <w:rsid w:val="20BC50D1"/>
    <w:rsid w:val="20BE2B36"/>
    <w:rsid w:val="20DB25D3"/>
    <w:rsid w:val="20E478EC"/>
    <w:rsid w:val="20F27AF9"/>
    <w:rsid w:val="21036295"/>
    <w:rsid w:val="21092637"/>
    <w:rsid w:val="21121408"/>
    <w:rsid w:val="212C3E51"/>
    <w:rsid w:val="21313803"/>
    <w:rsid w:val="21350F58"/>
    <w:rsid w:val="21652854"/>
    <w:rsid w:val="217F7C02"/>
    <w:rsid w:val="21807318"/>
    <w:rsid w:val="219E7A29"/>
    <w:rsid w:val="21A600E0"/>
    <w:rsid w:val="21A8625D"/>
    <w:rsid w:val="21BE558F"/>
    <w:rsid w:val="21C52DB7"/>
    <w:rsid w:val="21C60DCB"/>
    <w:rsid w:val="21CE6CB6"/>
    <w:rsid w:val="21DA5F65"/>
    <w:rsid w:val="21E60529"/>
    <w:rsid w:val="21E834B8"/>
    <w:rsid w:val="21F817B3"/>
    <w:rsid w:val="22021C82"/>
    <w:rsid w:val="2210726F"/>
    <w:rsid w:val="223F6C96"/>
    <w:rsid w:val="22450D8A"/>
    <w:rsid w:val="226A4C31"/>
    <w:rsid w:val="226B5476"/>
    <w:rsid w:val="227C1FD8"/>
    <w:rsid w:val="227F715F"/>
    <w:rsid w:val="228B08AF"/>
    <w:rsid w:val="229063A2"/>
    <w:rsid w:val="229B7A15"/>
    <w:rsid w:val="22A61DF3"/>
    <w:rsid w:val="22B17977"/>
    <w:rsid w:val="22B42350"/>
    <w:rsid w:val="22C152C6"/>
    <w:rsid w:val="23152122"/>
    <w:rsid w:val="233C232C"/>
    <w:rsid w:val="23533917"/>
    <w:rsid w:val="2363054C"/>
    <w:rsid w:val="239039DD"/>
    <w:rsid w:val="2396337A"/>
    <w:rsid w:val="239F40BC"/>
    <w:rsid w:val="23BA7CC4"/>
    <w:rsid w:val="23DA5DE6"/>
    <w:rsid w:val="23DC1B5F"/>
    <w:rsid w:val="23EB6A35"/>
    <w:rsid w:val="2402279F"/>
    <w:rsid w:val="24162AFE"/>
    <w:rsid w:val="241C2A6F"/>
    <w:rsid w:val="24585BAE"/>
    <w:rsid w:val="24727DCD"/>
    <w:rsid w:val="24785A5A"/>
    <w:rsid w:val="247E6772"/>
    <w:rsid w:val="248C70E1"/>
    <w:rsid w:val="248D53F8"/>
    <w:rsid w:val="249266C1"/>
    <w:rsid w:val="24A5167F"/>
    <w:rsid w:val="24AC1531"/>
    <w:rsid w:val="24B2466D"/>
    <w:rsid w:val="24B72B25"/>
    <w:rsid w:val="24F00B4F"/>
    <w:rsid w:val="252A170C"/>
    <w:rsid w:val="252C08C4"/>
    <w:rsid w:val="254D59AE"/>
    <w:rsid w:val="25506360"/>
    <w:rsid w:val="257E6963"/>
    <w:rsid w:val="25AE53CA"/>
    <w:rsid w:val="25CE6061"/>
    <w:rsid w:val="25FF4C90"/>
    <w:rsid w:val="26155DC9"/>
    <w:rsid w:val="261D2D5B"/>
    <w:rsid w:val="262113FD"/>
    <w:rsid w:val="26437BD8"/>
    <w:rsid w:val="26627AE0"/>
    <w:rsid w:val="268D32DE"/>
    <w:rsid w:val="26983D97"/>
    <w:rsid w:val="26986640"/>
    <w:rsid w:val="26A520EC"/>
    <w:rsid w:val="26AC3A6A"/>
    <w:rsid w:val="26AE08E6"/>
    <w:rsid w:val="26AF4FF1"/>
    <w:rsid w:val="26B33A53"/>
    <w:rsid w:val="26B90FF7"/>
    <w:rsid w:val="26BD5C77"/>
    <w:rsid w:val="26C134E5"/>
    <w:rsid w:val="26C63CC7"/>
    <w:rsid w:val="26C708A4"/>
    <w:rsid w:val="26D1527F"/>
    <w:rsid w:val="26D47846"/>
    <w:rsid w:val="26EA00F3"/>
    <w:rsid w:val="26F40C37"/>
    <w:rsid w:val="270530D8"/>
    <w:rsid w:val="277872CD"/>
    <w:rsid w:val="278F4A5D"/>
    <w:rsid w:val="27AE0637"/>
    <w:rsid w:val="27B54BA0"/>
    <w:rsid w:val="27DF3F1F"/>
    <w:rsid w:val="27EC4921"/>
    <w:rsid w:val="27EE1E60"/>
    <w:rsid w:val="27F43BF6"/>
    <w:rsid w:val="27F9553B"/>
    <w:rsid w:val="281A2C55"/>
    <w:rsid w:val="281A59F3"/>
    <w:rsid w:val="28210CC5"/>
    <w:rsid w:val="28411398"/>
    <w:rsid w:val="28472C02"/>
    <w:rsid w:val="284C07C8"/>
    <w:rsid w:val="2855554A"/>
    <w:rsid w:val="28584F2A"/>
    <w:rsid w:val="285E3EC7"/>
    <w:rsid w:val="28697739"/>
    <w:rsid w:val="287165AA"/>
    <w:rsid w:val="288A717C"/>
    <w:rsid w:val="289742A6"/>
    <w:rsid w:val="289749E4"/>
    <w:rsid w:val="28A10C81"/>
    <w:rsid w:val="28A64521"/>
    <w:rsid w:val="28C037FD"/>
    <w:rsid w:val="28D160A9"/>
    <w:rsid w:val="28E34CED"/>
    <w:rsid w:val="291463CF"/>
    <w:rsid w:val="292505F5"/>
    <w:rsid w:val="2927562A"/>
    <w:rsid w:val="293B7327"/>
    <w:rsid w:val="294F53D5"/>
    <w:rsid w:val="296B7B29"/>
    <w:rsid w:val="29777C8D"/>
    <w:rsid w:val="29895DF8"/>
    <w:rsid w:val="298F31CF"/>
    <w:rsid w:val="299E621D"/>
    <w:rsid w:val="29C95709"/>
    <w:rsid w:val="29DB25DC"/>
    <w:rsid w:val="29F2340B"/>
    <w:rsid w:val="2A014B61"/>
    <w:rsid w:val="2A0F5DF4"/>
    <w:rsid w:val="2A1C6254"/>
    <w:rsid w:val="2A2C366A"/>
    <w:rsid w:val="2A3E6D14"/>
    <w:rsid w:val="2A614B6C"/>
    <w:rsid w:val="2A662B70"/>
    <w:rsid w:val="2A7C5DA5"/>
    <w:rsid w:val="2A8A4B43"/>
    <w:rsid w:val="2A8D5101"/>
    <w:rsid w:val="2A9A5B9B"/>
    <w:rsid w:val="2A9E1053"/>
    <w:rsid w:val="2AA1765E"/>
    <w:rsid w:val="2AAB3585"/>
    <w:rsid w:val="2AAD7A6D"/>
    <w:rsid w:val="2AAE4183"/>
    <w:rsid w:val="2AC5088D"/>
    <w:rsid w:val="2AC950E5"/>
    <w:rsid w:val="2ACE63B1"/>
    <w:rsid w:val="2AD4533E"/>
    <w:rsid w:val="2B08148B"/>
    <w:rsid w:val="2B3D65D7"/>
    <w:rsid w:val="2B4A3852"/>
    <w:rsid w:val="2B5A68ED"/>
    <w:rsid w:val="2B721DA5"/>
    <w:rsid w:val="2B724B56"/>
    <w:rsid w:val="2B76727E"/>
    <w:rsid w:val="2B7F6702"/>
    <w:rsid w:val="2B8779A8"/>
    <w:rsid w:val="2B951686"/>
    <w:rsid w:val="2B9C099F"/>
    <w:rsid w:val="2BD355F5"/>
    <w:rsid w:val="2BD804A6"/>
    <w:rsid w:val="2BDA324C"/>
    <w:rsid w:val="2BF482CA"/>
    <w:rsid w:val="2C1C6AEC"/>
    <w:rsid w:val="2C464DA5"/>
    <w:rsid w:val="2C51094C"/>
    <w:rsid w:val="2C88091E"/>
    <w:rsid w:val="2C8C5658"/>
    <w:rsid w:val="2CA40D8B"/>
    <w:rsid w:val="2CA638D3"/>
    <w:rsid w:val="2CB13E7C"/>
    <w:rsid w:val="2CC747A1"/>
    <w:rsid w:val="2CE061DD"/>
    <w:rsid w:val="2CF829AE"/>
    <w:rsid w:val="2D2307FE"/>
    <w:rsid w:val="2D2F2B07"/>
    <w:rsid w:val="2D50015E"/>
    <w:rsid w:val="2D684238"/>
    <w:rsid w:val="2D8E27AF"/>
    <w:rsid w:val="2DA11031"/>
    <w:rsid w:val="2DFA1B43"/>
    <w:rsid w:val="2E0135EF"/>
    <w:rsid w:val="2E04418C"/>
    <w:rsid w:val="2E0B6DED"/>
    <w:rsid w:val="2E143041"/>
    <w:rsid w:val="2E382087"/>
    <w:rsid w:val="2E3F6F72"/>
    <w:rsid w:val="2E55311B"/>
    <w:rsid w:val="2E785A98"/>
    <w:rsid w:val="2E7B1F74"/>
    <w:rsid w:val="2E7F1B10"/>
    <w:rsid w:val="2E7F23D8"/>
    <w:rsid w:val="2EA1315F"/>
    <w:rsid w:val="2EB057CA"/>
    <w:rsid w:val="2EC11B82"/>
    <w:rsid w:val="2F080C4D"/>
    <w:rsid w:val="2F140124"/>
    <w:rsid w:val="2F1E6861"/>
    <w:rsid w:val="2F260132"/>
    <w:rsid w:val="2F634EE2"/>
    <w:rsid w:val="2F997E43"/>
    <w:rsid w:val="2FA76849"/>
    <w:rsid w:val="2FCA6D0F"/>
    <w:rsid w:val="2FD36D7C"/>
    <w:rsid w:val="2FD91DF2"/>
    <w:rsid w:val="2FE668F8"/>
    <w:rsid w:val="2FE73D65"/>
    <w:rsid w:val="2FF91103"/>
    <w:rsid w:val="30104713"/>
    <w:rsid w:val="301139A3"/>
    <w:rsid w:val="30150E10"/>
    <w:rsid w:val="30393E95"/>
    <w:rsid w:val="30484034"/>
    <w:rsid w:val="306969A6"/>
    <w:rsid w:val="308C66BA"/>
    <w:rsid w:val="3096300C"/>
    <w:rsid w:val="30BF3162"/>
    <w:rsid w:val="30D136AE"/>
    <w:rsid w:val="30D82A88"/>
    <w:rsid w:val="30E26EB5"/>
    <w:rsid w:val="313005F4"/>
    <w:rsid w:val="315424AC"/>
    <w:rsid w:val="315A719D"/>
    <w:rsid w:val="3195740F"/>
    <w:rsid w:val="31CC3212"/>
    <w:rsid w:val="31E03230"/>
    <w:rsid w:val="31EE13DB"/>
    <w:rsid w:val="31EF56CB"/>
    <w:rsid w:val="31F14A27"/>
    <w:rsid w:val="320835C1"/>
    <w:rsid w:val="32115901"/>
    <w:rsid w:val="321E3342"/>
    <w:rsid w:val="3244712A"/>
    <w:rsid w:val="32463124"/>
    <w:rsid w:val="324E00CB"/>
    <w:rsid w:val="324E1E79"/>
    <w:rsid w:val="32580B66"/>
    <w:rsid w:val="32616DB8"/>
    <w:rsid w:val="3264169D"/>
    <w:rsid w:val="32690A61"/>
    <w:rsid w:val="326D4E6E"/>
    <w:rsid w:val="32917FB8"/>
    <w:rsid w:val="329A3442"/>
    <w:rsid w:val="32EF7FD9"/>
    <w:rsid w:val="33053872"/>
    <w:rsid w:val="33134E71"/>
    <w:rsid w:val="331A61FF"/>
    <w:rsid w:val="331E2064"/>
    <w:rsid w:val="331F4B13"/>
    <w:rsid w:val="332538B5"/>
    <w:rsid w:val="33323549"/>
    <w:rsid w:val="3351311A"/>
    <w:rsid w:val="33564BC5"/>
    <w:rsid w:val="335C4463"/>
    <w:rsid w:val="335F38F4"/>
    <w:rsid w:val="336E2B17"/>
    <w:rsid w:val="33A71C67"/>
    <w:rsid w:val="33A76168"/>
    <w:rsid w:val="33CF0877"/>
    <w:rsid w:val="33D07012"/>
    <w:rsid w:val="34015BA1"/>
    <w:rsid w:val="340B617A"/>
    <w:rsid w:val="34323451"/>
    <w:rsid w:val="343878F4"/>
    <w:rsid w:val="343C67E7"/>
    <w:rsid w:val="344E7504"/>
    <w:rsid w:val="34770C6D"/>
    <w:rsid w:val="34787185"/>
    <w:rsid w:val="34862DA0"/>
    <w:rsid w:val="34995133"/>
    <w:rsid w:val="34A12C3B"/>
    <w:rsid w:val="34C04B85"/>
    <w:rsid w:val="34C603ED"/>
    <w:rsid w:val="34CC342B"/>
    <w:rsid w:val="34CF33B5"/>
    <w:rsid w:val="34E129F3"/>
    <w:rsid w:val="34E377AD"/>
    <w:rsid w:val="34ED399D"/>
    <w:rsid w:val="3506045A"/>
    <w:rsid w:val="351753C6"/>
    <w:rsid w:val="351C0631"/>
    <w:rsid w:val="3529091B"/>
    <w:rsid w:val="353166D1"/>
    <w:rsid w:val="353D0DF5"/>
    <w:rsid w:val="35452F07"/>
    <w:rsid w:val="354C267B"/>
    <w:rsid w:val="35603BCD"/>
    <w:rsid w:val="35734D1C"/>
    <w:rsid w:val="357764FF"/>
    <w:rsid w:val="35936F98"/>
    <w:rsid w:val="359F4C2D"/>
    <w:rsid w:val="35B91B17"/>
    <w:rsid w:val="35EA1EB9"/>
    <w:rsid w:val="35ED3757"/>
    <w:rsid w:val="35FE115C"/>
    <w:rsid w:val="36065BAE"/>
    <w:rsid w:val="360A0E41"/>
    <w:rsid w:val="360F3D97"/>
    <w:rsid w:val="361104EB"/>
    <w:rsid w:val="36422592"/>
    <w:rsid w:val="36625EF3"/>
    <w:rsid w:val="36660711"/>
    <w:rsid w:val="36662C9B"/>
    <w:rsid w:val="367F6311"/>
    <w:rsid w:val="369A6CA3"/>
    <w:rsid w:val="36B10CBA"/>
    <w:rsid w:val="36F75D32"/>
    <w:rsid w:val="37040C72"/>
    <w:rsid w:val="37152F66"/>
    <w:rsid w:val="3715505E"/>
    <w:rsid w:val="3720167A"/>
    <w:rsid w:val="373356FD"/>
    <w:rsid w:val="373A058C"/>
    <w:rsid w:val="373B026B"/>
    <w:rsid w:val="37460BE1"/>
    <w:rsid w:val="375A4E1C"/>
    <w:rsid w:val="37935C24"/>
    <w:rsid w:val="37941FB8"/>
    <w:rsid w:val="37AE6F16"/>
    <w:rsid w:val="37D84936"/>
    <w:rsid w:val="37E919B2"/>
    <w:rsid w:val="37ED3EE3"/>
    <w:rsid w:val="37FBCE6A"/>
    <w:rsid w:val="38312021"/>
    <w:rsid w:val="38680BCC"/>
    <w:rsid w:val="388022E3"/>
    <w:rsid w:val="388C16BA"/>
    <w:rsid w:val="38A22F48"/>
    <w:rsid w:val="38C24AD1"/>
    <w:rsid w:val="38C579F0"/>
    <w:rsid w:val="38D5149B"/>
    <w:rsid w:val="38DE58CE"/>
    <w:rsid w:val="38FC3713"/>
    <w:rsid w:val="38FE72BC"/>
    <w:rsid w:val="390058AF"/>
    <w:rsid w:val="39557E41"/>
    <w:rsid w:val="395F2F89"/>
    <w:rsid w:val="39A64349"/>
    <w:rsid w:val="39BE061D"/>
    <w:rsid w:val="39C57535"/>
    <w:rsid w:val="39C90037"/>
    <w:rsid w:val="39D41F37"/>
    <w:rsid w:val="39D52E80"/>
    <w:rsid w:val="39DD3AE3"/>
    <w:rsid w:val="3A274BDC"/>
    <w:rsid w:val="3A323528"/>
    <w:rsid w:val="3A3D1521"/>
    <w:rsid w:val="3A487FB1"/>
    <w:rsid w:val="3A4B69B7"/>
    <w:rsid w:val="3A6B10EF"/>
    <w:rsid w:val="3A777A93"/>
    <w:rsid w:val="3A7C2137"/>
    <w:rsid w:val="3A887BF2"/>
    <w:rsid w:val="3ABE3C19"/>
    <w:rsid w:val="3AED718E"/>
    <w:rsid w:val="3B0D1FEA"/>
    <w:rsid w:val="3B143CD5"/>
    <w:rsid w:val="3B1A6A83"/>
    <w:rsid w:val="3B1D688D"/>
    <w:rsid w:val="3B1E10A0"/>
    <w:rsid w:val="3B40257B"/>
    <w:rsid w:val="3B451940"/>
    <w:rsid w:val="3B4E2EEA"/>
    <w:rsid w:val="3B52179B"/>
    <w:rsid w:val="3B564F1D"/>
    <w:rsid w:val="3B601BF5"/>
    <w:rsid w:val="3B660234"/>
    <w:rsid w:val="3B6F56CC"/>
    <w:rsid w:val="3B7C5166"/>
    <w:rsid w:val="3B801B99"/>
    <w:rsid w:val="3B80524B"/>
    <w:rsid w:val="3B824942"/>
    <w:rsid w:val="3B9562B5"/>
    <w:rsid w:val="3B975E17"/>
    <w:rsid w:val="3B9E3454"/>
    <w:rsid w:val="3BA05DDE"/>
    <w:rsid w:val="3BAF0E59"/>
    <w:rsid w:val="3BB31CE7"/>
    <w:rsid w:val="3BBA423D"/>
    <w:rsid w:val="3BD93C4B"/>
    <w:rsid w:val="3BDA477E"/>
    <w:rsid w:val="3BE6266D"/>
    <w:rsid w:val="3BE92B6C"/>
    <w:rsid w:val="3BF009BD"/>
    <w:rsid w:val="3BF5061A"/>
    <w:rsid w:val="3C0C354E"/>
    <w:rsid w:val="3C42725E"/>
    <w:rsid w:val="3C522566"/>
    <w:rsid w:val="3C6FE193"/>
    <w:rsid w:val="3CB556E3"/>
    <w:rsid w:val="3CC21C50"/>
    <w:rsid w:val="3CDA360C"/>
    <w:rsid w:val="3D137F1D"/>
    <w:rsid w:val="3D1B5254"/>
    <w:rsid w:val="3D27296B"/>
    <w:rsid w:val="3D3D5F91"/>
    <w:rsid w:val="3D4A1610"/>
    <w:rsid w:val="3D5129C1"/>
    <w:rsid w:val="3D6C1E29"/>
    <w:rsid w:val="3D737192"/>
    <w:rsid w:val="3D7E264E"/>
    <w:rsid w:val="3D7F3BCA"/>
    <w:rsid w:val="3D8D43BC"/>
    <w:rsid w:val="3DA63CBD"/>
    <w:rsid w:val="3DAA4291"/>
    <w:rsid w:val="3DB36F5D"/>
    <w:rsid w:val="3DBB2B97"/>
    <w:rsid w:val="3DBE3697"/>
    <w:rsid w:val="3DC72AE0"/>
    <w:rsid w:val="3DD86EA7"/>
    <w:rsid w:val="3DDA6CB7"/>
    <w:rsid w:val="3DDDF33D"/>
    <w:rsid w:val="3DDF607B"/>
    <w:rsid w:val="3DE03E9E"/>
    <w:rsid w:val="3DEE7E6D"/>
    <w:rsid w:val="3DF83A1F"/>
    <w:rsid w:val="3E111FAD"/>
    <w:rsid w:val="3E272242"/>
    <w:rsid w:val="3E295549"/>
    <w:rsid w:val="3E2D55BB"/>
    <w:rsid w:val="3E3C527C"/>
    <w:rsid w:val="3E5F38E3"/>
    <w:rsid w:val="3E650803"/>
    <w:rsid w:val="3E775132"/>
    <w:rsid w:val="3E7A1A99"/>
    <w:rsid w:val="3E7D2F21"/>
    <w:rsid w:val="3E7F9587"/>
    <w:rsid w:val="3E900295"/>
    <w:rsid w:val="3E952BDE"/>
    <w:rsid w:val="3E952EF4"/>
    <w:rsid w:val="3E9E62E3"/>
    <w:rsid w:val="3EA72461"/>
    <w:rsid w:val="3EC05F4F"/>
    <w:rsid w:val="3EDBEB8C"/>
    <w:rsid w:val="3EE14075"/>
    <w:rsid w:val="3EE53E9C"/>
    <w:rsid w:val="3EEB7D9D"/>
    <w:rsid w:val="3EF26282"/>
    <w:rsid w:val="3EFC4A0B"/>
    <w:rsid w:val="3F122816"/>
    <w:rsid w:val="3F15211D"/>
    <w:rsid w:val="3F2709B2"/>
    <w:rsid w:val="3F2F426A"/>
    <w:rsid w:val="3F37655A"/>
    <w:rsid w:val="3F432DA5"/>
    <w:rsid w:val="3F443026"/>
    <w:rsid w:val="3F536D21"/>
    <w:rsid w:val="3F5B0076"/>
    <w:rsid w:val="3F7C4A37"/>
    <w:rsid w:val="3F7D3D9E"/>
    <w:rsid w:val="3F7F6990"/>
    <w:rsid w:val="3FA1447B"/>
    <w:rsid w:val="3FAFA4D1"/>
    <w:rsid w:val="3FC44B4F"/>
    <w:rsid w:val="3FD2A0E5"/>
    <w:rsid w:val="3FD772DD"/>
    <w:rsid w:val="3FDE05F2"/>
    <w:rsid w:val="3FE61C22"/>
    <w:rsid w:val="3FF83636"/>
    <w:rsid w:val="3FF92FBE"/>
    <w:rsid w:val="3FFF8B30"/>
    <w:rsid w:val="3FFFE23E"/>
    <w:rsid w:val="40035447"/>
    <w:rsid w:val="401A0E93"/>
    <w:rsid w:val="401D4D6C"/>
    <w:rsid w:val="4021744A"/>
    <w:rsid w:val="40504AEE"/>
    <w:rsid w:val="406A49B7"/>
    <w:rsid w:val="407639FE"/>
    <w:rsid w:val="408646D4"/>
    <w:rsid w:val="40AB1B69"/>
    <w:rsid w:val="40C520B7"/>
    <w:rsid w:val="41276C38"/>
    <w:rsid w:val="412A6206"/>
    <w:rsid w:val="41493626"/>
    <w:rsid w:val="41557755"/>
    <w:rsid w:val="415C2F7F"/>
    <w:rsid w:val="41624346"/>
    <w:rsid w:val="41B15F81"/>
    <w:rsid w:val="41D67795"/>
    <w:rsid w:val="41DD5AFE"/>
    <w:rsid w:val="41F536B3"/>
    <w:rsid w:val="41F963F7"/>
    <w:rsid w:val="420E653E"/>
    <w:rsid w:val="4212359F"/>
    <w:rsid w:val="422B50E0"/>
    <w:rsid w:val="42317B69"/>
    <w:rsid w:val="423E36D7"/>
    <w:rsid w:val="424B6CFD"/>
    <w:rsid w:val="424C71B7"/>
    <w:rsid w:val="424E7E61"/>
    <w:rsid w:val="42541E6D"/>
    <w:rsid w:val="425863FC"/>
    <w:rsid w:val="425E2EC4"/>
    <w:rsid w:val="426A276D"/>
    <w:rsid w:val="42763FC1"/>
    <w:rsid w:val="42895CBA"/>
    <w:rsid w:val="429A30FB"/>
    <w:rsid w:val="429A76AC"/>
    <w:rsid w:val="42A251A5"/>
    <w:rsid w:val="42A918A2"/>
    <w:rsid w:val="42AE1D7D"/>
    <w:rsid w:val="42C5117B"/>
    <w:rsid w:val="42C71E45"/>
    <w:rsid w:val="42EA799C"/>
    <w:rsid w:val="431B49F0"/>
    <w:rsid w:val="4326474D"/>
    <w:rsid w:val="432D089A"/>
    <w:rsid w:val="43364990"/>
    <w:rsid w:val="433867EA"/>
    <w:rsid w:val="43552699"/>
    <w:rsid w:val="435611FD"/>
    <w:rsid w:val="4369127F"/>
    <w:rsid w:val="43761B25"/>
    <w:rsid w:val="4381366D"/>
    <w:rsid w:val="439146DC"/>
    <w:rsid w:val="4391606A"/>
    <w:rsid w:val="439B0141"/>
    <w:rsid w:val="43B95616"/>
    <w:rsid w:val="43D13DD9"/>
    <w:rsid w:val="43D56927"/>
    <w:rsid w:val="43D77215"/>
    <w:rsid w:val="43DB577F"/>
    <w:rsid w:val="43F01847"/>
    <w:rsid w:val="43F646D3"/>
    <w:rsid w:val="43FF118F"/>
    <w:rsid w:val="4416090F"/>
    <w:rsid w:val="441A7E0D"/>
    <w:rsid w:val="441B2AC5"/>
    <w:rsid w:val="442353F7"/>
    <w:rsid w:val="442B201A"/>
    <w:rsid w:val="444924A1"/>
    <w:rsid w:val="444C01E3"/>
    <w:rsid w:val="446D3B38"/>
    <w:rsid w:val="447959F5"/>
    <w:rsid w:val="448D669E"/>
    <w:rsid w:val="44924A18"/>
    <w:rsid w:val="449A424B"/>
    <w:rsid w:val="449D72FA"/>
    <w:rsid w:val="44A17B2B"/>
    <w:rsid w:val="44A469F6"/>
    <w:rsid w:val="44AC1B36"/>
    <w:rsid w:val="44BD7696"/>
    <w:rsid w:val="44CA3141"/>
    <w:rsid w:val="44D76555"/>
    <w:rsid w:val="44E32CCD"/>
    <w:rsid w:val="44EF4E10"/>
    <w:rsid w:val="45032B22"/>
    <w:rsid w:val="4508235C"/>
    <w:rsid w:val="451873F5"/>
    <w:rsid w:val="453E5132"/>
    <w:rsid w:val="455123E0"/>
    <w:rsid w:val="45570B10"/>
    <w:rsid w:val="45596713"/>
    <w:rsid w:val="458A52C8"/>
    <w:rsid w:val="458D0AB3"/>
    <w:rsid w:val="45943BEF"/>
    <w:rsid w:val="45972D31"/>
    <w:rsid w:val="45AF4DCC"/>
    <w:rsid w:val="45BEDD9A"/>
    <w:rsid w:val="46190340"/>
    <w:rsid w:val="463B406B"/>
    <w:rsid w:val="46502789"/>
    <w:rsid w:val="465A6EEE"/>
    <w:rsid w:val="4671328C"/>
    <w:rsid w:val="468C6634"/>
    <w:rsid w:val="46A04313"/>
    <w:rsid w:val="46B11232"/>
    <w:rsid w:val="46C24EAF"/>
    <w:rsid w:val="46CC1A13"/>
    <w:rsid w:val="46DD13C5"/>
    <w:rsid w:val="46E71784"/>
    <w:rsid w:val="47355DE4"/>
    <w:rsid w:val="47487198"/>
    <w:rsid w:val="47556806"/>
    <w:rsid w:val="47571A81"/>
    <w:rsid w:val="4769239A"/>
    <w:rsid w:val="47856785"/>
    <w:rsid w:val="47861474"/>
    <w:rsid w:val="47871DF4"/>
    <w:rsid w:val="47A11D27"/>
    <w:rsid w:val="47B265AF"/>
    <w:rsid w:val="47CD1EF8"/>
    <w:rsid w:val="47D66741"/>
    <w:rsid w:val="47E33B32"/>
    <w:rsid w:val="47F43405"/>
    <w:rsid w:val="47F60B91"/>
    <w:rsid w:val="47F941DE"/>
    <w:rsid w:val="4801081A"/>
    <w:rsid w:val="484946C4"/>
    <w:rsid w:val="484D0A0E"/>
    <w:rsid w:val="487B19AB"/>
    <w:rsid w:val="487D1FC8"/>
    <w:rsid w:val="48A409B6"/>
    <w:rsid w:val="48C32166"/>
    <w:rsid w:val="490A67FA"/>
    <w:rsid w:val="492139A3"/>
    <w:rsid w:val="4937303A"/>
    <w:rsid w:val="49373D46"/>
    <w:rsid w:val="49402818"/>
    <w:rsid w:val="49424633"/>
    <w:rsid w:val="49460550"/>
    <w:rsid w:val="494A4D12"/>
    <w:rsid w:val="49543DC1"/>
    <w:rsid w:val="496B5E53"/>
    <w:rsid w:val="49706FD0"/>
    <w:rsid w:val="497475CD"/>
    <w:rsid w:val="497F51B4"/>
    <w:rsid w:val="49803C84"/>
    <w:rsid w:val="49813EF8"/>
    <w:rsid w:val="49920446"/>
    <w:rsid w:val="49A32B11"/>
    <w:rsid w:val="49AD1724"/>
    <w:rsid w:val="49B62248"/>
    <w:rsid w:val="49B67B35"/>
    <w:rsid w:val="49BD6667"/>
    <w:rsid w:val="49C1190D"/>
    <w:rsid w:val="49D345CC"/>
    <w:rsid w:val="49D62A28"/>
    <w:rsid w:val="49DB3AFA"/>
    <w:rsid w:val="49FB11F2"/>
    <w:rsid w:val="4A0542FE"/>
    <w:rsid w:val="4A154E19"/>
    <w:rsid w:val="4A165C32"/>
    <w:rsid w:val="4A3F13CF"/>
    <w:rsid w:val="4A5E1AE4"/>
    <w:rsid w:val="4A6A4F1F"/>
    <w:rsid w:val="4A7B75C1"/>
    <w:rsid w:val="4A7C1915"/>
    <w:rsid w:val="4A8075B5"/>
    <w:rsid w:val="4A815081"/>
    <w:rsid w:val="4A851968"/>
    <w:rsid w:val="4A887BF8"/>
    <w:rsid w:val="4A8978D5"/>
    <w:rsid w:val="4A8D3982"/>
    <w:rsid w:val="4A8E64D2"/>
    <w:rsid w:val="4AAA4DFF"/>
    <w:rsid w:val="4AC9433B"/>
    <w:rsid w:val="4AD24216"/>
    <w:rsid w:val="4ADF55D9"/>
    <w:rsid w:val="4B3E325D"/>
    <w:rsid w:val="4B5C6F5D"/>
    <w:rsid w:val="4B6444D1"/>
    <w:rsid w:val="4B776A9A"/>
    <w:rsid w:val="4B906C07"/>
    <w:rsid w:val="4B9A55B3"/>
    <w:rsid w:val="4BA601D9"/>
    <w:rsid w:val="4BCC03F6"/>
    <w:rsid w:val="4BD95A48"/>
    <w:rsid w:val="4BEE4235"/>
    <w:rsid w:val="4BF159C5"/>
    <w:rsid w:val="4BFC429C"/>
    <w:rsid w:val="4C07295A"/>
    <w:rsid w:val="4C107D48"/>
    <w:rsid w:val="4C1C28D7"/>
    <w:rsid w:val="4C207F8B"/>
    <w:rsid w:val="4C313A58"/>
    <w:rsid w:val="4C3954F1"/>
    <w:rsid w:val="4C4F0CB6"/>
    <w:rsid w:val="4C650674"/>
    <w:rsid w:val="4C7E4FA4"/>
    <w:rsid w:val="4C8C5620"/>
    <w:rsid w:val="4C8D6337"/>
    <w:rsid w:val="4C90746A"/>
    <w:rsid w:val="4CA12631"/>
    <w:rsid w:val="4CB608EF"/>
    <w:rsid w:val="4CCF418E"/>
    <w:rsid w:val="4CDB1297"/>
    <w:rsid w:val="4CDE012A"/>
    <w:rsid w:val="4CF4298D"/>
    <w:rsid w:val="4D014AD4"/>
    <w:rsid w:val="4D0D2696"/>
    <w:rsid w:val="4D1833EC"/>
    <w:rsid w:val="4D243AAB"/>
    <w:rsid w:val="4D3A711C"/>
    <w:rsid w:val="4D5E45D7"/>
    <w:rsid w:val="4D655DE7"/>
    <w:rsid w:val="4D804EFD"/>
    <w:rsid w:val="4D8D78A2"/>
    <w:rsid w:val="4DB84033"/>
    <w:rsid w:val="4DC622D9"/>
    <w:rsid w:val="4DC66910"/>
    <w:rsid w:val="4DDD755C"/>
    <w:rsid w:val="4E076467"/>
    <w:rsid w:val="4E181C50"/>
    <w:rsid w:val="4E1B0BCB"/>
    <w:rsid w:val="4E1C43C6"/>
    <w:rsid w:val="4E1E2C51"/>
    <w:rsid w:val="4E324D12"/>
    <w:rsid w:val="4E632512"/>
    <w:rsid w:val="4E6420A1"/>
    <w:rsid w:val="4E6D53ED"/>
    <w:rsid w:val="4E825E9F"/>
    <w:rsid w:val="4E897428"/>
    <w:rsid w:val="4EB010F4"/>
    <w:rsid w:val="4ED60DE4"/>
    <w:rsid w:val="4EE26804"/>
    <w:rsid w:val="4EE56128"/>
    <w:rsid w:val="4EEE72A9"/>
    <w:rsid w:val="4EEF1C58"/>
    <w:rsid w:val="4F0B3174"/>
    <w:rsid w:val="4F0B5612"/>
    <w:rsid w:val="4F144374"/>
    <w:rsid w:val="4F344F58"/>
    <w:rsid w:val="4F527E92"/>
    <w:rsid w:val="4F5326A3"/>
    <w:rsid w:val="4F636A92"/>
    <w:rsid w:val="4F755D2B"/>
    <w:rsid w:val="4F83534C"/>
    <w:rsid w:val="4F8C2951"/>
    <w:rsid w:val="4F8C6B6C"/>
    <w:rsid w:val="4F93025E"/>
    <w:rsid w:val="4F951303"/>
    <w:rsid w:val="4FBF7ABB"/>
    <w:rsid w:val="4FC07309"/>
    <w:rsid w:val="4FEB5300"/>
    <w:rsid w:val="4FF02231"/>
    <w:rsid w:val="4FFFA62D"/>
    <w:rsid w:val="502A43A8"/>
    <w:rsid w:val="50655137"/>
    <w:rsid w:val="506A2FF6"/>
    <w:rsid w:val="506B4CFC"/>
    <w:rsid w:val="508B257B"/>
    <w:rsid w:val="509251CF"/>
    <w:rsid w:val="50AA076B"/>
    <w:rsid w:val="50B84DFB"/>
    <w:rsid w:val="50D751C8"/>
    <w:rsid w:val="50EB5658"/>
    <w:rsid w:val="5105410D"/>
    <w:rsid w:val="51254295"/>
    <w:rsid w:val="51404C2B"/>
    <w:rsid w:val="514E07A1"/>
    <w:rsid w:val="51544BA0"/>
    <w:rsid w:val="51546295"/>
    <w:rsid w:val="516B7A51"/>
    <w:rsid w:val="51845EC8"/>
    <w:rsid w:val="51917235"/>
    <w:rsid w:val="519E7FF6"/>
    <w:rsid w:val="51A72EFC"/>
    <w:rsid w:val="51CD17A9"/>
    <w:rsid w:val="51D5783D"/>
    <w:rsid w:val="51D80C32"/>
    <w:rsid w:val="51DB43E6"/>
    <w:rsid w:val="51EA6B35"/>
    <w:rsid w:val="51EB5087"/>
    <w:rsid w:val="51F063B2"/>
    <w:rsid w:val="51FF57FB"/>
    <w:rsid w:val="52171E30"/>
    <w:rsid w:val="52263E21"/>
    <w:rsid w:val="524A3FB4"/>
    <w:rsid w:val="52664AE9"/>
    <w:rsid w:val="52742B7A"/>
    <w:rsid w:val="52754DA9"/>
    <w:rsid w:val="52790026"/>
    <w:rsid w:val="527C6137"/>
    <w:rsid w:val="528A5CF5"/>
    <w:rsid w:val="52AD6558"/>
    <w:rsid w:val="52BF0090"/>
    <w:rsid w:val="52C13B4A"/>
    <w:rsid w:val="52CA71A4"/>
    <w:rsid w:val="52CC2C1B"/>
    <w:rsid w:val="52D07091"/>
    <w:rsid w:val="52ED241A"/>
    <w:rsid w:val="52F4683E"/>
    <w:rsid w:val="53071EA5"/>
    <w:rsid w:val="531B2676"/>
    <w:rsid w:val="532319B6"/>
    <w:rsid w:val="53253C8A"/>
    <w:rsid w:val="53285A20"/>
    <w:rsid w:val="532B2D7C"/>
    <w:rsid w:val="533414F2"/>
    <w:rsid w:val="533D7674"/>
    <w:rsid w:val="53421DE2"/>
    <w:rsid w:val="5385101B"/>
    <w:rsid w:val="53917208"/>
    <w:rsid w:val="53BD0BDC"/>
    <w:rsid w:val="53BE2E57"/>
    <w:rsid w:val="53BE4FF6"/>
    <w:rsid w:val="53C9715A"/>
    <w:rsid w:val="53F061CF"/>
    <w:rsid w:val="53F64465"/>
    <w:rsid w:val="541C7648"/>
    <w:rsid w:val="54330B94"/>
    <w:rsid w:val="543F649E"/>
    <w:rsid w:val="54594828"/>
    <w:rsid w:val="545D2A43"/>
    <w:rsid w:val="54646E83"/>
    <w:rsid w:val="547B3B34"/>
    <w:rsid w:val="549B1263"/>
    <w:rsid w:val="54C979F3"/>
    <w:rsid w:val="54E5072B"/>
    <w:rsid w:val="54F2623D"/>
    <w:rsid w:val="5517482F"/>
    <w:rsid w:val="552167E4"/>
    <w:rsid w:val="55381463"/>
    <w:rsid w:val="554E7BA3"/>
    <w:rsid w:val="555420CC"/>
    <w:rsid w:val="55735558"/>
    <w:rsid w:val="557422B1"/>
    <w:rsid w:val="557F3782"/>
    <w:rsid w:val="558442A1"/>
    <w:rsid w:val="55A47409"/>
    <w:rsid w:val="55A51501"/>
    <w:rsid w:val="55AD03B6"/>
    <w:rsid w:val="55BF2A09"/>
    <w:rsid w:val="55CD2F96"/>
    <w:rsid w:val="560E19C7"/>
    <w:rsid w:val="562A0595"/>
    <w:rsid w:val="56357FF4"/>
    <w:rsid w:val="5647080A"/>
    <w:rsid w:val="56530653"/>
    <w:rsid w:val="56580552"/>
    <w:rsid w:val="566157E7"/>
    <w:rsid w:val="566703F9"/>
    <w:rsid w:val="569577C7"/>
    <w:rsid w:val="569F35BB"/>
    <w:rsid w:val="56A21099"/>
    <w:rsid w:val="56C6732D"/>
    <w:rsid w:val="56C85EF8"/>
    <w:rsid w:val="56D77DE0"/>
    <w:rsid w:val="57050F8C"/>
    <w:rsid w:val="570710D0"/>
    <w:rsid w:val="570D55B0"/>
    <w:rsid w:val="570E0B93"/>
    <w:rsid w:val="573E3A6A"/>
    <w:rsid w:val="57533531"/>
    <w:rsid w:val="57545367"/>
    <w:rsid w:val="57650F48"/>
    <w:rsid w:val="576617E2"/>
    <w:rsid w:val="576F5B40"/>
    <w:rsid w:val="577943F2"/>
    <w:rsid w:val="577D1CA4"/>
    <w:rsid w:val="57A8352A"/>
    <w:rsid w:val="57CA44D7"/>
    <w:rsid w:val="57E02CC4"/>
    <w:rsid w:val="57E336D3"/>
    <w:rsid w:val="57EB69B5"/>
    <w:rsid w:val="57F21DDC"/>
    <w:rsid w:val="57F606DA"/>
    <w:rsid w:val="57F85640"/>
    <w:rsid w:val="57FF16D7"/>
    <w:rsid w:val="57FF75EE"/>
    <w:rsid w:val="582C7DD4"/>
    <w:rsid w:val="583152B4"/>
    <w:rsid w:val="58452815"/>
    <w:rsid w:val="58466FCB"/>
    <w:rsid w:val="587647D5"/>
    <w:rsid w:val="58856E8C"/>
    <w:rsid w:val="588742EE"/>
    <w:rsid w:val="588840E5"/>
    <w:rsid w:val="588B1710"/>
    <w:rsid w:val="588B2E2C"/>
    <w:rsid w:val="58A20B51"/>
    <w:rsid w:val="58AF7F55"/>
    <w:rsid w:val="58B77EC9"/>
    <w:rsid w:val="58B8154B"/>
    <w:rsid w:val="58B83E8A"/>
    <w:rsid w:val="58BE2E58"/>
    <w:rsid w:val="58D75E75"/>
    <w:rsid w:val="58DA5965"/>
    <w:rsid w:val="58E660B8"/>
    <w:rsid w:val="5906609D"/>
    <w:rsid w:val="59129C07"/>
    <w:rsid w:val="5928008E"/>
    <w:rsid w:val="59293C5F"/>
    <w:rsid w:val="593AC528"/>
    <w:rsid w:val="59560362"/>
    <w:rsid w:val="597E77CF"/>
    <w:rsid w:val="598C3C46"/>
    <w:rsid w:val="598F4D7B"/>
    <w:rsid w:val="59A53A45"/>
    <w:rsid w:val="59AD0395"/>
    <w:rsid w:val="59C87F23"/>
    <w:rsid w:val="59CB0727"/>
    <w:rsid w:val="59CC4A3A"/>
    <w:rsid w:val="59DC04FE"/>
    <w:rsid w:val="59DE60F4"/>
    <w:rsid w:val="59EC032B"/>
    <w:rsid w:val="5A0209A2"/>
    <w:rsid w:val="5A0C4EF7"/>
    <w:rsid w:val="5A156018"/>
    <w:rsid w:val="5A1F7AD4"/>
    <w:rsid w:val="5A24386A"/>
    <w:rsid w:val="5A34516E"/>
    <w:rsid w:val="5A347325"/>
    <w:rsid w:val="5A403EEE"/>
    <w:rsid w:val="5A4536A8"/>
    <w:rsid w:val="5A6E6B8A"/>
    <w:rsid w:val="5A7479F2"/>
    <w:rsid w:val="5A9B0354"/>
    <w:rsid w:val="5AA7451D"/>
    <w:rsid w:val="5AB53E76"/>
    <w:rsid w:val="5AC54BBA"/>
    <w:rsid w:val="5AC93B09"/>
    <w:rsid w:val="5B1104DF"/>
    <w:rsid w:val="5B397D4D"/>
    <w:rsid w:val="5B3F6646"/>
    <w:rsid w:val="5B4330E5"/>
    <w:rsid w:val="5B55190F"/>
    <w:rsid w:val="5B633E15"/>
    <w:rsid w:val="5B6C61DD"/>
    <w:rsid w:val="5B75B214"/>
    <w:rsid w:val="5B7A6DE9"/>
    <w:rsid w:val="5B841BB9"/>
    <w:rsid w:val="5B8F35F5"/>
    <w:rsid w:val="5B91741B"/>
    <w:rsid w:val="5BA75A34"/>
    <w:rsid w:val="5BB3CD20"/>
    <w:rsid w:val="5BBB5E85"/>
    <w:rsid w:val="5BE138A7"/>
    <w:rsid w:val="5BEE3C53"/>
    <w:rsid w:val="5BF07652"/>
    <w:rsid w:val="5C062D4E"/>
    <w:rsid w:val="5C0D12E4"/>
    <w:rsid w:val="5C166CB5"/>
    <w:rsid w:val="5C320B69"/>
    <w:rsid w:val="5C3F712C"/>
    <w:rsid w:val="5C6D2586"/>
    <w:rsid w:val="5C6E2DE7"/>
    <w:rsid w:val="5C771547"/>
    <w:rsid w:val="5CAE1144"/>
    <w:rsid w:val="5CC27DF7"/>
    <w:rsid w:val="5CD34BA6"/>
    <w:rsid w:val="5CF51353"/>
    <w:rsid w:val="5D0946FC"/>
    <w:rsid w:val="5D1F7DEB"/>
    <w:rsid w:val="5D51028F"/>
    <w:rsid w:val="5D521F6E"/>
    <w:rsid w:val="5D5D1835"/>
    <w:rsid w:val="5D6D0500"/>
    <w:rsid w:val="5D8B1942"/>
    <w:rsid w:val="5D927CD9"/>
    <w:rsid w:val="5DB26EB1"/>
    <w:rsid w:val="5DC8059A"/>
    <w:rsid w:val="5DEF1EB3"/>
    <w:rsid w:val="5DF356C5"/>
    <w:rsid w:val="5DF603D5"/>
    <w:rsid w:val="5DFF6C26"/>
    <w:rsid w:val="5E52358F"/>
    <w:rsid w:val="5E5252BB"/>
    <w:rsid w:val="5E565A8E"/>
    <w:rsid w:val="5E574964"/>
    <w:rsid w:val="5E6A5ACD"/>
    <w:rsid w:val="5E8343A9"/>
    <w:rsid w:val="5E9F04F8"/>
    <w:rsid w:val="5EA4274E"/>
    <w:rsid w:val="5EB6477F"/>
    <w:rsid w:val="5EBC257D"/>
    <w:rsid w:val="5EBF43F7"/>
    <w:rsid w:val="5EC46D1E"/>
    <w:rsid w:val="5ED4433C"/>
    <w:rsid w:val="5EDA0854"/>
    <w:rsid w:val="5EED40BC"/>
    <w:rsid w:val="5EFA699D"/>
    <w:rsid w:val="5F132D32"/>
    <w:rsid w:val="5F1D6AF9"/>
    <w:rsid w:val="5F2E2F07"/>
    <w:rsid w:val="5F2F459B"/>
    <w:rsid w:val="5F3926B3"/>
    <w:rsid w:val="5F573BD3"/>
    <w:rsid w:val="5F66742B"/>
    <w:rsid w:val="5F68009E"/>
    <w:rsid w:val="5F994729"/>
    <w:rsid w:val="5F9A5E4E"/>
    <w:rsid w:val="5FA23E41"/>
    <w:rsid w:val="5FAC64DA"/>
    <w:rsid w:val="5FC44C79"/>
    <w:rsid w:val="5FCB2971"/>
    <w:rsid w:val="5FED574A"/>
    <w:rsid w:val="60310DB9"/>
    <w:rsid w:val="603B6CF6"/>
    <w:rsid w:val="604373BF"/>
    <w:rsid w:val="60593313"/>
    <w:rsid w:val="60671426"/>
    <w:rsid w:val="609C2D01"/>
    <w:rsid w:val="609F5D5B"/>
    <w:rsid w:val="60B131DE"/>
    <w:rsid w:val="60B839C2"/>
    <w:rsid w:val="60DC3816"/>
    <w:rsid w:val="60DF618D"/>
    <w:rsid w:val="610477C7"/>
    <w:rsid w:val="61432AC0"/>
    <w:rsid w:val="61897577"/>
    <w:rsid w:val="61A31655"/>
    <w:rsid w:val="620A0821"/>
    <w:rsid w:val="620E470A"/>
    <w:rsid w:val="623052EC"/>
    <w:rsid w:val="62347E94"/>
    <w:rsid w:val="62383F5E"/>
    <w:rsid w:val="62464689"/>
    <w:rsid w:val="624D0E68"/>
    <w:rsid w:val="62621AF5"/>
    <w:rsid w:val="62720D03"/>
    <w:rsid w:val="628249E7"/>
    <w:rsid w:val="62A77381"/>
    <w:rsid w:val="62B334AF"/>
    <w:rsid w:val="62C146F7"/>
    <w:rsid w:val="62CB14D4"/>
    <w:rsid w:val="62D022B3"/>
    <w:rsid w:val="62D17DD9"/>
    <w:rsid w:val="62F37D50"/>
    <w:rsid w:val="62FD4B17"/>
    <w:rsid w:val="6347009B"/>
    <w:rsid w:val="63543D3D"/>
    <w:rsid w:val="635D3352"/>
    <w:rsid w:val="63647F52"/>
    <w:rsid w:val="636903B1"/>
    <w:rsid w:val="639C58B9"/>
    <w:rsid w:val="639F3A33"/>
    <w:rsid w:val="63AC4A36"/>
    <w:rsid w:val="63CD67F3"/>
    <w:rsid w:val="64352090"/>
    <w:rsid w:val="64362523"/>
    <w:rsid w:val="64395C36"/>
    <w:rsid w:val="64604419"/>
    <w:rsid w:val="649A007F"/>
    <w:rsid w:val="64C80D68"/>
    <w:rsid w:val="65001AE0"/>
    <w:rsid w:val="650765BC"/>
    <w:rsid w:val="652601C1"/>
    <w:rsid w:val="652A5DF5"/>
    <w:rsid w:val="652C579B"/>
    <w:rsid w:val="65735165"/>
    <w:rsid w:val="65887E73"/>
    <w:rsid w:val="659548B7"/>
    <w:rsid w:val="65AC2438"/>
    <w:rsid w:val="65C455B9"/>
    <w:rsid w:val="65C63624"/>
    <w:rsid w:val="65CC2E04"/>
    <w:rsid w:val="65D4797F"/>
    <w:rsid w:val="65ED6FA3"/>
    <w:rsid w:val="66153663"/>
    <w:rsid w:val="663C10FB"/>
    <w:rsid w:val="664408C2"/>
    <w:rsid w:val="665C20B0"/>
    <w:rsid w:val="666A3E65"/>
    <w:rsid w:val="667E02F6"/>
    <w:rsid w:val="668138C4"/>
    <w:rsid w:val="66A355E9"/>
    <w:rsid w:val="66AE1ABB"/>
    <w:rsid w:val="66AF3CCD"/>
    <w:rsid w:val="66C832A1"/>
    <w:rsid w:val="66CB5109"/>
    <w:rsid w:val="66E37D12"/>
    <w:rsid w:val="66E520A5"/>
    <w:rsid w:val="66FB5F61"/>
    <w:rsid w:val="67081B02"/>
    <w:rsid w:val="672C0E64"/>
    <w:rsid w:val="673538F4"/>
    <w:rsid w:val="674217B7"/>
    <w:rsid w:val="67507FCC"/>
    <w:rsid w:val="675A18E7"/>
    <w:rsid w:val="67606DAF"/>
    <w:rsid w:val="677D4C69"/>
    <w:rsid w:val="67907E34"/>
    <w:rsid w:val="67BC1058"/>
    <w:rsid w:val="67CC6EE9"/>
    <w:rsid w:val="67CD5013"/>
    <w:rsid w:val="67D374AA"/>
    <w:rsid w:val="67D71D5D"/>
    <w:rsid w:val="67DD1581"/>
    <w:rsid w:val="67E010DA"/>
    <w:rsid w:val="67F61D1D"/>
    <w:rsid w:val="67FD72D4"/>
    <w:rsid w:val="68062C23"/>
    <w:rsid w:val="680E1AE4"/>
    <w:rsid w:val="6827107F"/>
    <w:rsid w:val="68535FEC"/>
    <w:rsid w:val="688B1BF3"/>
    <w:rsid w:val="68904066"/>
    <w:rsid w:val="68970ED8"/>
    <w:rsid w:val="68BA5634"/>
    <w:rsid w:val="68DF055F"/>
    <w:rsid w:val="68E02B1B"/>
    <w:rsid w:val="68F15D41"/>
    <w:rsid w:val="691C56AB"/>
    <w:rsid w:val="69436D2B"/>
    <w:rsid w:val="69BA3375"/>
    <w:rsid w:val="69C1443B"/>
    <w:rsid w:val="69C51D1A"/>
    <w:rsid w:val="69F07DED"/>
    <w:rsid w:val="69F86E09"/>
    <w:rsid w:val="69FB06D2"/>
    <w:rsid w:val="6A125A1A"/>
    <w:rsid w:val="6A215E05"/>
    <w:rsid w:val="6A3A6264"/>
    <w:rsid w:val="6A4C5F97"/>
    <w:rsid w:val="6A5A6906"/>
    <w:rsid w:val="6A5C115B"/>
    <w:rsid w:val="6A6257BB"/>
    <w:rsid w:val="6A66623D"/>
    <w:rsid w:val="6A6663D9"/>
    <w:rsid w:val="6A69499A"/>
    <w:rsid w:val="6AA212E0"/>
    <w:rsid w:val="6AB85550"/>
    <w:rsid w:val="6ADB5CE4"/>
    <w:rsid w:val="6AFF73FB"/>
    <w:rsid w:val="6B1A0313"/>
    <w:rsid w:val="6B58453B"/>
    <w:rsid w:val="6B5D5029"/>
    <w:rsid w:val="6B5E243D"/>
    <w:rsid w:val="6B6071FF"/>
    <w:rsid w:val="6B6E46BF"/>
    <w:rsid w:val="6B7D47F3"/>
    <w:rsid w:val="6B8311ED"/>
    <w:rsid w:val="6B8B5808"/>
    <w:rsid w:val="6B982677"/>
    <w:rsid w:val="6B9C539F"/>
    <w:rsid w:val="6BA02A3F"/>
    <w:rsid w:val="6BA95681"/>
    <w:rsid w:val="6BB380A0"/>
    <w:rsid w:val="6BC07C08"/>
    <w:rsid w:val="6BC41976"/>
    <w:rsid w:val="6BD33215"/>
    <w:rsid w:val="6BD75CEB"/>
    <w:rsid w:val="6BE15020"/>
    <w:rsid w:val="6BEF7D45"/>
    <w:rsid w:val="6C0D348F"/>
    <w:rsid w:val="6C2F359D"/>
    <w:rsid w:val="6C6B1E1B"/>
    <w:rsid w:val="6C710103"/>
    <w:rsid w:val="6C9F50EE"/>
    <w:rsid w:val="6CA91F70"/>
    <w:rsid w:val="6CB15D44"/>
    <w:rsid w:val="6CC3278E"/>
    <w:rsid w:val="6CC54110"/>
    <w:rsid w:val="6CDB3D9C"/>
    <w:rsid w:val="6CE510E7"/>
    <w:rsid w:val="6CEF1361"/>
    <w:rsid w:val="6CEF23BC"/>
    <w:rsid w:val="6CF17B19"/>
    <w:rsid w:val="6D0F7C5F"/>
    <w:rsid w:val="6D2C08E1"/>
    <w:rsid w:val="6D2E6110"/>
    <w:rsid w:val="6D4F2EDA"/>
    <w:rsid w:val="6D7952F5"/>
    <w:rsid w:val="6DA926D7"/>
    <w:rsid w:val="6DB36A59"/>
    <w:rsid w:val="6DB91AE6"/>
    <w:rsid w:val="6DBE54D9"/>
    <w:rsid w:val="6DD469CF"/>
    <w:rsid w:val="6DD8026E"/>
    <w:rsid w:val="6DDA0DBC"/>
    <w:rsid w:val="6DDB1B0C"/>
    <w:rsid w:val="6DE06953"/>
    <w:rsid w:val="6DE0700D"/>
    <w:rsid w:val="6DE15268"/>
    <w:rsid w:val="6DF10CFC"/>
    <w:rsid w:val="6E176E25"/>
    <w:rsid w:val="6E4475D4"/>
    <w:rsid w:val="6E5042A8"/>
    <w:rsid w:val="6E576182"/>
    <w:rsid w:val="6E9F5EF0"/>
    <w:rsid w:val="6EB011EB"/>
    <w:rsid w:val="6EB04D47"/>
    <w:rsid w:val="6EC6062C"/>
    <w:rsid w:val="6ECC75E9"/>
    <w:rsid w:val="6EDD1095"/>
    <w:rsid w:val="6EFF1F1D"/>
    <w:rsid w:val="6F0532E4"/>
    <w:rsid w:val="6F0631DE"/>
    <w:rsid w:val="6F1D10D4"/>
    <w:rsid w:val="6F2B3E20"/>
    <w:rsid w:val="6F3A1147"/>
    <w:rsid w:val="6F4D02D8"/>
    <w:rsid w:val="6F4D07E7"/>
    <w:rsid w:val="6F5170D4"/>
    <w:rsid w:val="6F6067FD"/>
    <w:rsid w:val="6F902FA4"/>
    <w:rsid w:val="6F9208F0"/>
    <w:rsid w:val="6F926B42"/>
    <w:rsid w:val="6FB45770"/>
    <w:rsid w:val="6FB8477A"/>
    <w:rsid w:val="6FBB5D43"/>
    <w:rsid w:val="6FC511CA"/>
    <w:rsid w:val="6FDD52B5"/>
    <w:rsid w:val="6FF16963"/>
    <w:rsid w:val="6FF24749"/>
    <w:rsid w:val="6FFD3C9D"/>
    <w:rsid w:val="70080E00"/>
    <w:rsid w:val="701979B8"/>
    <w:rsid w:val="702533F2"/>
    <w:rsid w:val="7039230A"/>
    <w:rsid w:val="704A25DB"/>
    <w:rsid w:val="705B6C0C"/>
    <w:rsid w:val="705F6A24"/>
    <w:rsid w:val="7060202B"/>
    <w:rsid w:val="70635729"/>
    <w:rsid w:val="706C6D08"/>
    <w:rsid w:val="706D2B87"/>
    <w:rsid w:val="707433F2"/>
    <w:rsid w:val="70913791"/>
    <w:rsid w:val="70A52A6E"/>
    <w:rsid w:val="70B66B39"/>
    <w:rsid w:val="70BA4772"/>
    <w:rsid w:val="70C61EDE"/>
    <w:rsid w:val="70CD0533"/>
    <w:rsid w:val="70F67498"/>
    <w:rsid w:val="710577CE"/>
    <w:rsid w:val="711D50CE"/>
    <w:rsid w:val="71313140"/>
    <w:rsid w:val="713203BE"/>
    <w:rsid w:val="717C73D0"/>
    <w:rsid w:val="71B15F38"/>
    <w:rsid w:val="71E53017"/>
    <w:rsid w:val="7207458D"/>
    <w:rsid w:val="723143F0"/>
    <w:rsid w:val="724570B2"/>
    <w:rsid w:val="724843A4"/>
    <w:rsid w:val="725F1FC5"/>
    <w:rsid w:val="7286182A"/>
    <w:rsid w:val="729D3DE8"/>
    <w:rsid w:val="72C2364B"/>
    <w:rsid w:val="72D86BD3"/>
    <w:rsid w:val="72E74AAF"/>
    <w:rsid w:val="72E87BDE"/>
    <w:rsid w:val="730E1312"/>
    <w:rsid w:val="732267F0"/>
    <w:rsid w:val="733F1ACC"/>
    <w:rsid w:val="73566B78"/>
    <w:rsid w:val="736600CA"/>
    <w:rsid w:val="736B1B84"/>
    <w:rsid w:val="7386251A"/>
    <w:rsid w:val="7387087E"/>
    <w:rsid w:val="738C31B5"/>
    <w:rsid w:val="73915B90"/>
    <w:rsid w:val="7393528A"/>
    <w:rsid w:val="739B5A38"/>
    <w:rsid w:val="73BF77DA"/>
    <w:rsid w:val="73BFF873"/>
    <w:rsid w:val="73C117A4"/>
    <w:rsid w:val="73CB2591"/>
    <w:rsid w:val="73D010EE"/>
    <w:rsid w:val="73E10E87"/>
    <w:rsid w:val="73EAAFE3"/>
    <w:rsid w:val="73FA4018"/>
    <w:rsid w:val="740A6CA7"/>
    <w:rsid w:val="741713C4"/>
    <w:rsid w:val="742052E2"/>
    <w:rsid w:val="742073B0"/>
    <w:rsid w:val="742F05DD"/>
    <w:rsid w:val="744F76F3"/>
    <w:rsid w:val="74586714"/>
    <w:rsid w:val="74931089"/>
    <w:rsid w:val="74C44EDA"/>
    <w:rsid w:val="74EC0AA3"/>
    <w:rsid w:val="74F97A49"/>
    <w:rsid w:val="750232A8"/>
    <w:rsid w:val="75116278"/>
    <w:rsid w:val="751C1529"/>
    <w:rsid w:val="752B5794"/>
    <w:rsid w:val="754E1C16"/>
    <w:rsid w:val="754F6060"/>
    <w:rsid w:val="755521A4"/>
    <w:rsid w:val="755F7CA1"/>
    <w:rsid w:val="757321C6"/>
    <w:rsid w:val="7595605D"/>
    <w:rsid w:val="75997BB3"/>
    <w:rsid w:val="75AC113C"/>
    <w:rsid w:val="75AF3FAA"/>
    <w:rsid w:val="75BF6B87"/>
    <w:rsid w:val="75D10E2B"/>
    <w:rsid w:val="75E73FD4"/>
    <w:rsid w:val="75EB6CA8"/>
    <w:rsid w:val="75F145C2"/>
    <w:rsid w:val="75F7140D"/>
    <w:rsid w:val="761262E7"/>
    <w:rsid w:val="762D5669"/>
    <w:rsid w:val="763233EB"/>
    <w:rsid w:val="76461BA1"/>
    <w:rsid w:val="7692440F"/>
    <w:rsid w:val="76AB4E87"/>
    <w:rsid w:val="76BC4EA3"/>
    <w:rsid w:val="76C37A5C"/>
    <w:rsid w:val="76C63866"/>
    <w:rsid w:val="76CA3D36"/>
    <w:rsid w:val="76F94A23"/>
    <w:rsid w:val="770964AB"/>
    <w:rsid w:val="7716116C"/>
    <w:rsid w:val="773A3CEA"/>
    <w:rsid w:val="77534E09"/>
    <w:rsid w:val="775C76F1"/>
    <w:rsid w:val="777CF0F3"/>
    <w:rsid w:val="777E020D"/>
    <w:rsid w:val="77883DE2"/>
    <w:rsid w:val="7790064A"/>
    <w:rsid w:val="77A6318B"/>
    <w:rsid w:val="77A94A29"/>
    <w:rsid w:val="77AA2EC6"/>
    <w:rsid w:val="77B12103"/>
    <w:rsid w:val="77B4311F"/>
    <w:rsid w:val="77B51A58"/>
    <w:rsid w:val="77B70A7C"/>
    <w:rsid w:val="77BDDF59"/>
    <w:rsid w:val="77D358B0"/>
    <w:rsid w:val="77D86782"/>
    <w:rsid w:val="77DA1887"/>
    <w:rsid w:val="77FB7D1E"/>
    <w:rsid w:val="780817BD"/>
    <w:rsid w:val="78175E36"/>
    <w:rsid w:val="782D565A"/>
    <w:rsid w:val="783F79A3"/>
    <w:rsid w:val="78544E39"/>
    <w:rsid w:val="786077DD"/>
    <w:rsid w:val="786A41B8"/>
    <w:rsid w:val="789F2830"/>
    <w:rsid w:val="78A771BA"/>
    <w:rsid w:val="78B16511"/>
    <w:rsid w:val="78BE0E43"/>
    <w:rsid w:val="78D0351E"/>
    <w:rsid w:val="78DF5458"/>
    <w:rsid w:val="78E64587"/>
    <w:rsid w:val="79082ABF"/>
    <w:rsid w:val="79325E83"/>
    <w:rsid w:val="79507FD7"/>
    <w:rsid w:val="79621333"/>
    <w:rsid w:val="797E490C"/>
    <w:rsid w:val="79907C4E"/>
    <w:rsid w:val="79926165"/>
    <w:rsid w:val="79977039"/>
    <w:rsid w:val="79A82748"/>
    <w:rsid w:val="79A848F4"/>
    <w:rsid w:val="79B132B5"/>
    <w:rsid w:val="79BD7ABA"/>
    <w:rsid w:val="79C56983"/>
    <w:rsid w:val="79D044EF"/>
    <w:rsid w:val="79EE1609"/>
    <w:rsid w:val="7A006087"/>
    <w:rsid w:val="7A1920C3"/>
    <w:rsid w:val="7A2031A8"/>
    <w:rsid w:val="7A2C6420"/>
    <w:rsid w:val="7A314B43"/>
    <w:rsid w:val="7A3777BA"/>
    <w:rsid w:val="7A3F030A"/>
    <w:rsid w:val="7A43234E"/>
    <w:rsid w:val="7A5DCA08"/>
    <w:rsid w:val="7A644118"/>
    <w:rsid w:val="7A680BCB"/>
    <w:rsid w:val="7A792ACC"/>
    <w:rsid w:val="7A897247"/>
    <w:rsid w:val="7AA76AC2"/>
    <w:rsid w:val="7AA96B5D"/>
    <w:rsid w:val="7AAA11E4"/>
    <w:rsid w:val="7AB23009"/>
    <w:rsid w:val="7AB4796D"/>
    <w:rsid w:val="7AC73B44"/>
    <w:rsid w:val="7ACE4ED2"/>
    <w:rsid w:val="7AEC35AA"/>
    <w:rsid w:val="7AF34EF8"/>
    <w:rsid w:val="7B1120D2"/>
    <w:rsid w:val="7B2E38D8"/>
    <w:rsid w:val="7B3A9487"/>
    <w:rsid w:val="7B3F5DCD"/>
    <w:rsid w:val="7B4F1751"/>
    <w:rsid w:val="7B5B38A1"/>
    <w:rsid w:val="7B6C0247"/>
    <w:rsid w:val="7B7066F4"/>
    <w:rsid w:val="7B7F094F"/>
    <w:rsid w:val="7B916448"/>
    <w:rsid w:val="7B9652C4"/>
    <w:rsid w:val="7BAFE911"/>
    <w:rsid w:val="7BB55DBF"/>
    <w:rsid w:val="7BD36518"/>
    <w:rsid w:val="7BE71143"/>
    <w:rsid w:val="7BF070CA"/>
    <w:rsid w:val="7BFE670D"/>
    <w:rsid w:val="7C246D2E"/>
    <w:rsid w:val="7C252E05"/>
    <w:rsid w:val="7C304CB3"/>
    <w:rsid w:val="7C326D40"/>
    <w:rsid w:val="7C3811D7"/>
    <w:rsid w:val="7C5068CB"/>
    <w:rsid w:val="7C69082B"/>
    <w:rsid w:val="7C6A1491"/>
    <w:rsid w:val="7C712F69"/>
    <w:rsid w:val="7C7C417B"/>
    <w:rsid w:val="7C98423B"/>
    <w:rsid w:val="7CA74EDD"/>
    <w:rsid w:val="7CB64453"/>
    <w:rsid w:val="7CD21CFD"/>
    <w:rsid w:val="7CDE3EF7"/>
    <w:rsid w:val="7CEA1D6C"/>
    <w:rsid w:val="7CF132DD"/>
    <w:rsid w:val="7CFE3C55"/>
    <w:rsid w:val="7D114AE8"/>
    <w:rsid w:val="7D1E3B38"/>
    <w:rsid w:val="7D2A660C"/>
    <w:rsid w:val="7D3DC2DB"/>
    <w:rsid w:val="7D49751C"/>
    <w:rsid w:val="7D505CA8"/>
    <w:rsid w:val="7D51471D"/>
    <w:rsid w:val="7D7F0706"/>
    <w:rsid w:val="7DBF0B02"/>
    <w:rsid w:val="7DBF3002"/>
    <w:rsid w:val="7DC41B80"/>
    <w:rsid w:val="7DC600E3"/>
    <w:rsid w:val="7DC86ACB"/>
    <w:rsid w:val="7DD00F61"/>
    <w:rsid w:val="7DFF7ECB"/>
    <w:rsid w:val="7E0E4770"/>
    <w:rsid w:val="7E37BB12"/>
    <w:rsid w:val="7E4A726E"/>
    <w:rsid w:val="7E63BC26"/>
    <w:rsid w:val="7E757118"/>
    <w:rsid w:val="7E7C4172"/>
    <w:rsid w:val="7EB82E4F"/>
    <w:rsid w:val="7ECB042D"/>
    <w:rsid w:val="7EE66813"/>
    <w:rsid w:val="7EEB4282"/>
    <w:rsid w:val="7EFDB3E5"/>
    <w:rsid w:val="7EFEB1F0"/>
    <w:rsid w:val="7EFF19B2"/>
    <w:rsid w:val="7F064759"/>
    <w:rsid w:val="7F18437E"/>
    <w:rsid w:val="7F19282F"/>
    <w:rsid w:val="7F1F548C"/>
    <w:rsid w:val="7F233313"/>
    <w:rsid w:val="7F2466FF"/>
    <w:rsid w:val="7F370CAE"/>
    <w:rsid w:val="7F390F10"/>
    <w:rsid w:val="7F475253"/>
    <w:rsid w:val="7F5E259D"/>
    <w:rsid w:val="7F6557A5"/>
    <w:rsid w:val="7F76EA7C"/>
    <w:rsid w:val="7F7BC583"/>
    <w:rsid w:val="7F8A69E7"/>
    <w:rsid w:val="7F8F5CCA"/>
    <w:rsid w:val="7F960EDC"/>
    <w:rsid w:val="7F975B7E"/>
    <w:rsid w:val="7F9F64A4"/>
    <w:rsid w:val="7FAE6278"/>
    <w:rsid w:val="7FBE2CAD"/>
    <w:rsid w:val="7FC57DE6"/>
    <w:rsid w:val="7FCA378E"/>
    <w:rsid w:val="7FCF8C08"/>
    <w:rsid w:val="7FD4480B"/>
    <w:rsid w:val="7FD67603"/>
    <w:rsid w:val="7FEEBB3A"/>
    <w:rsid w:val="7FF7AA59"/>
    <w:rsid w:val="7FFA22C6"/>
    <w:rsid w:val="7FFAF9E5"/>
    <w:rsid w:val="7FFD669A"/>
    <w:rsid w:val="7FFF3CEB"/>
    <w:rsid w:val="7FFF5B2E"/>
    <w:rsid w:val="7FFFFC5A"/>
    <w:rsid w:val="8DFF314C"/>
    <w:rsid w:val="996FE985"/>
    <w:rsid w:val="9B7FE1C2"/>
    <w:rsid w:val="9FF33427"/>
    <w:rsid w:val="A9DF366F"/>
    <w:rsid w:val="ABEF6A7D"/>
    <w:rsid w:val="AF7FC061"/>
    <w:rsid w:val="AFFF21D8"/>
    <w:rsid w:val="B4EF7441"/>
    <w:rsid w:val="B4F55803"/>
    <w:rsid w:val="B6CF7A44"/>
    <w:rsid w:val="B7CE055A"/>
    <w:rsid w:val="B7D596D0"/>
    <w:rsid w:val="BA7F18DB"/>
    <w:rsid w:val="BBEEFABB"/>
    <w:rsid w:val="BBFCBD61"/>
    <w:rsid w:val="BBFF62BE"/>
    <w:rsid w:val="BD5555CF"/>
    <w:rsid w:val="BDAFA679"/>
    <w:rsid w:val="BDFF0ABF"/>
    <w:rsid w:val="BE4F2DB5"/>
    <w:rsid w:val="BECB1BCA"/>
    <w:rsid w:val="BEFF3D06"/>
    <w:rsid w:val="BF73CCAA"/>
    <w:rsid w:val="BF7FC6EC"/>
    <w:rsid w:val="C3DF4CB6"/>
    <w:rsid w:val="CB4FB6EC"/>
    <w:rsid w:val="CB678B8C"/>
    <w:rsid w:val="CBF95849"/>
    <w:rsid w:val="CDF7B894"/>
    <w:rsid w:val="CF7F9568"/>
    <w:rsid w:val="D5AF54D0"/>
    <w:rsid w:val="D5F01174"/>
    <w:rsid w:val="D77BD9CC"/>
    <w:rsid w:val="D7BD18D6"/>
    <w:rsid w:val="D7F712DE"/>
    <w:rsid w:val="DB7F701A"/>
    <w:rsid w:val="DBFF1A84"/>
    <w:rsid w:val="DFAFAF6C"/>
    <w:rsid w:val="DFE78354"/>
    <w:rsid w:val="E4FFAA1B"/>
    <w:rsid w:val="E73B1233"/>
    <w:rsid w:val="E7BA46DC"/>
    <w:rsid w:val="E7EF196E"/>
    <w:rsid w:val="E7FD457F"/>
    <w:rsid w:val="E7FF5815"/>
    <w:rsid w:val="EAFB9898"/>
    <w:rsid w:val="EB72D0AF"/>
    <w:rsid w:val="EBEF9FD0"/>
    <w:rsid w:val="EBFD06B5"/>
    <w:rsid w:val="EC3FCE44"/>
    <w:rsid w:val="EDEFC8B8"/>
    <w:rsid w:val="EDFF05D4"/>
    <w:rsid w:val="EEFB550B"/>
    <w:rsid w:val="EEFE67B6"/>
    <w:rsid w:val="EF53C50B"/>
    <w:rsid w:val="EFDF4650"/>
    <w:rsid w:val="F37A5A99"/>
    <w:rsid w:val="F3FD221C"/>
    <w:rsid w:val="F3FF12DF"/>
    <w:rsid w:val="F3FF14DE"/>
    <w:rsid w:val="F4EFC19B"/>
    <w:rsid w:val="F5D7A1F3"/>
    <w:rsid w:val="F5FD42F0"/>
    <w:rsid w:val="F6777D45"/>
    <w:rsid w:val="F6E3633C"/>
    <w:rsid w:val="F6FDF5FA"/>
    <w:rsid w:val="F76772AF"/>
    <w:rsid w:val="F76E9A04"/>
    <w:rsid w:val="F7E7F3DD"/>
    <w:rsid w:val="F7F3A73D"/>
    <w:rsid w:val="FA36EFEA"/>
    <w:rsid w:val="FAF9E35C"/>
    <w:rsid w:val="FAFB4774"/>
    <w:rsid w:val="FB2F642B"/>
    <w:rsid w:val="FB77EE30"/>
    <w:rsid w:val="FBD6EB18"/>
    <w:rsid w:val="FBD76E36"/>
    <w:rsid w:val="FBFB3FD2"/>
    <w:rsid w:val="FBFD561A"/>
    <w:rsid w:val="FBFF75BF"/>
    <w:rsid w:val="FCE3911C"/>
    <w:rsid w:val="FDBE9A62"/>
    <w:rsid w:val="FDD693D8"/>
    <w:rsid w:val="FDFE3E9C"/>
    <w:rsid w:val="FE351DEF"/>
    <w:rsid w:val="FE8D754E"/>
    <w:rsid w:val="FEF564BE"/>
    <w:rsid w:val="FEFF9E09"/>
    <w:rsid w:val="FF57A5D1"/>
    <w:rsid w:val="FF5F009E"/>
    <w:rsid w:val="FF7F795C"/>
    <w:rsid w:val="FF961B4D"/>
    <w:rsid w:val="FFBE63CA"/>
    <w:rsid w:val="FFC24AC2"/>
    <w:rsid w:val="FFD7D35D"/>
    <w:rsid w:val="FFEEC5A5"/>
    <w:rsid w:val="FFF1EBF4"/>
    <w:rsid w:val="FFFB6811"/>
    <w:rsid w:val="FFFE3C60"/>
    <w:rsid w:val="FFFFA7A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sz w:val="21"/>
      <w:szCs w:val="22"/>
      <w:lang w:val="en-US" w:eastAsia="zh-CN" w:bidi="ar-SA"/>
    </w:rPr>
  </w:style>
  <w:style w:type="paragraph" w:styleId="9">
    <w:name w:val="heading 1"/>
    <w:basedOn w:val="1"/>
    <w:next w:val="1"/>
    <w:link w:val="33"/>
    <w:qFormat/>
    <w:uiPriority w:val="9"/>
    <w:pPr>
      <w:keepNext/>
      <w:keepLines/>
      <w:spacing w:before="340" w:after="330" w:line="578" w:lineRule="auto"/>
      <w:outlineLvl w:val="0"/>
    </w:pPr>
    <w:rPr>
      <w:b/>
      <w:bCs/>
      <w:kern w:val="44"/>
      <w:sz w:val="32"/>
      <w:szCs w:val="44"/>
    </w:rPr>
  </w:style>
  <w:style w:type="paragraph" w:styleId="10">
    <w:name w:val="heading 2"/>
    <w:basedOn w:val="1"/>
    <w:next w:val="1"/>
    <w:qFormat/>
    <w:uiPriority w:val="0"/>
    <w:pPr>
      <w:keepNext/>
      <w:keepLines/>
      <w:jc w:val="left"/>
      <w:outlineLvl w:val="1"/>
    </w:pPr>
    <w:rPr>
      <w:rFonts w:ascii="等线" w:hAnsi="等线"/>
      <w:b/>
      <w:szCs w:val="44"/>
    </w:rPr>
  </w:style>
  <w:style w:type="paragraph" w:styleId="11">
    <w:name w:val="heading 3"/>
    <w:basedOn w:val="1"/>
    <w:next w:val="1"/>
    <w:qFormat/>
    <w:uiPriority w:val="0"/>
    <w:pPr>
      <w:keepNext/>
      <w:keepLines/>
      <w:spacing w:before="50" w:beforeLines="50" w:after="50" w:afterLines="50"/>
      <w:jc w:val="left"/>
      <w:outlineLvl w:val="2"/>
    </w:pPr>
    <w:rPr>
      <w:rFonts w:ascii="Arial" w:hAnsi="Arial" w:eastAsia="黑体" w:cs="Times New Roman"/>
      <w:bCs/>
      <w:sz w:val="32"/>
      <w:szCs w:val="32"/>
      <w:lang w:val="zh-CN"/>
    </w:rPr>
  </w:style>
  <w:style w:type="character" w:default="1" w:styleId="29">
    <w:name w:val="Default Paragraph Font"/>
    <w:unhideWhenUsed/>
    <w:qFormat/>
    <w:uiPriority w:val="1"/>
  </w:style>
  <w:style w:type="table" w:default="1" w:styleId="27">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Default"/>
    <w:basedOn w:val="3"/>
    <w:next w:val="5"/>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3">
    <w:name w:val="Plain Text"/>
    <w:basedOn w:val="1"/>
    <w:next w:val="4"/>
    <w:qFormat/>
    <w:uiPriority w:val="99"/>
    <w:pPr>
      <w:widowControl/>
      <w:overflowPunct w:val="0"/>
      <w:autoSpaceDE w:val="0"/>
      <w:autoSpaceDN w:val="0"/>
      <w:adjustRightInd w:val="0"/>
      <w:jc w:val="left"/>
      <w:textAlignment w:val="baseline"/>
    </w:pPr>
    <w:rPr>
      <w:rFonts w:ascii="宋体"/>
      <w:kern w:val="0"/>
      <w:szCs w:val="20"/>
    </w:rPr>
  </w:style>
  <w:style w:type="paragraph" w:styleId="4">
    <w:name w:val="Body Text"/>
    <w:basedOn w:val="1"/>
    <w:next w:val="2"/>
    <w:qFormat/>
    <w:uiPriority w:val="1"/>
    <w:rPr>
      <w:sz w:val="31"/>
      <w:szCs w:val="31"/>
    </w:rPr>
  </w:style>
  <w:style w:type="paragraph" w:customStyle="1" w:styleId="5">
    <w:name w:val="Char Char10 Char Char Char Char"/>
    <w:basedOn w:val="1"/>
    <w:next w:val="6"/>
    <w:qFormat/>
    <w:uiPriority w:val="0"/>
    <w:rPr>
      <w:rFonts w:ascii="Calibri" w:hAnsi="Calibri"/>
      <w:kern w:val="0"/>
    </w:rPr>
  </w:style>
  <w:style w:type="paragraph" w:customStyle="1" w:styleId="6">
    <w:name w:val="xl87"/>
    <w:basedOn w:val="1"/>
    <w:next w:val="7"/>
    <w:qFormat/>
    <w:uiPriority w:val="0"/>
    <w:pPr>
      <w:widowControl/>
      <w:shd w:val="clear" w:color="FFFFFF" w:fill="FFFFFF"/>
      <w:spacing w:before="280" w:after="280"/>
      <w:jc w:val="right"/>
    </w:pPr>
    <w:rPr>
      <w:rFonts w:ascii="宋体" w:hAnsi="Calibri"/>
      <w:kern w:val="0"/>
      <w:sz w:val="24"/>
    </w:rPr>
  </w:style>
  <w:style w:type="paragraph" w:customStyle="1" w:styleId="7">
    <w:name w:val="xl72"/>
    <w:basedOn w:val="1"/>
    <w:next w:val="8"/>
    <w:qFormat/>
    <w:uiPriority w:val="0"/>
    <w:pPr>
      <w:widowControl/>
      <w:shd w:val="clear" w:color="FFFFFF" w:fill="FFFFFF"/>
      <w:spacing w:before="280" w:after="280"/>
      <w:jc w:val="right"/>
    </w:pPr>
    <w:rPr>
      <w:rFonts w:ascii="宋体" w:hAnsi="Calibri"/>
      <w:kern w:val="0"/>
      <w:sz w:val="24"/>
    </w:rPr>
  </w:style>
  <w:style w:type="paragraph" w:styleId="8">
    <w:name w:val="Date"/>
    <w:basedOn w:val="1"/>
    <w:next w:val="1"/>
    <w:qFormat/>
    <w:uiPriority w:val="0"/>
    <w:pPr>
      <w:ind w:left="2500" w:leftChars="2500"/>
    </w:pPr>
  </w:style>
  <w:style w:type="paragraph" w:styleId="12">
    <w:name w:val="Normal Indent"/>
    <w:basedOn w:val="1"/>
    <w:qFormat/>
    <w:uiPriority w:val="0"/>
    <w:pPr>
      <w:ind w:firstLine="420" w:firstLineChars="200"/>
    </w:pPr>
  </w:style>
  <w:style w:type="paragraph" w:styleId="13">
    <w:name w:val="index 5"/>
    <w:basedOn w:val="1"/>
    <w:next w:val="1"/>
    <w:qFormat/>
    <w:uiPriority w:val="0"/>
    <w:pPr>
      <w:ind w:left="1680"/>
    </w:pPr>
  </w:style>
  <w:style w:type="paragraph" w:styleId="14">
    <w:name w:val="annotation text"/>
    <w:basedOn w:val="1"/>
    <w:qFormat/>
    <w:uiPriority w:val="0"/>
    <w:pPr>
      <w:keepNext w:val="0"/>
      <w:keepLines w:val="0"/>
      <w:widowControl w:val="0"/>
      <w:suppressLineNumbers w:val="0"/>
      <w:adjustRightInd w:val="0"/>
      <w:spacing w:before="0" w:beforeAutospacing="0" w:after="0" w:afterAutospacing="0" w:line="312" w:lineRule="atLeast"/>
      <w:ind w:left="0" w:right="0"/>
      <w:jc w:val="left"/>
      <w:textAlignment w:val="baseline"/>
    </w:pPr>
    <w:rPr>
      <w:rFonts w:hint="default" w:ascii="Times New Roman" w:hAnsi="Times New Roman" w:eastAsia="宋体" w:cs="Times New Roman"/>
      <w:kern w:val="0"/>
      <w:sz w:val="21"/>
      <w:szCs w:val="21"/>
      <w:lang w:val="en-US" w:eastAsia="zh-CN" w:bidi="ar"/>
    </w:rPr>
  </w:style>
  <w:style w:type="paragraph" w:styleId="15">
    <w:name w:val="Body Text Indent"/>
    <w:basedOn w:val="1"/>
    <w:qFormat/>
    <w:uiPriority w:val="0"/>
    <w:pPr>
      <w:tabs>
        <w:tab w:val="left" w:pos="0"/>
      </w:tabs>
      <w:adjustRightInd w:val="0"/>
      <w:snapToGrid w:val="0"/>
      <w:spacing w:line="240" w:lineRule="auto"/>
      <w:ind w:right="160" w:rightChars="50" w:firstLine="320" w:firstLineChars="100"/>
      <w:jc w:val="left"/>
    </w:pPr>
  </w:style>
  <w:style w:type="paragraph" w:styleId="16">
    <w:name w:val="Body Text Indent 2"/>
    <w:basedOn w:val="1"/>
    <w:qFormat/>
    <w:uiPriority w:val="0"/>
    <w:pPr>
      <w:spacing w:after="120" w:line="480" w:lineRule="auto"/>
      <w:ind w:left="420" w:leftChars="200"/>
    </w:pPr>
  </w:style>
  <w:style w:type="paragraph" w:styleId="17">
    <w:name w:val="footer"/>
    <w:basedOn w:val="1"/>
    <w:unhideWhenUsed/>
    <w:qFormat/>
    <w:uiPriority w:val="99"/>
    <w:pPr>
      <w:tabs>
        <w:tab w:val="center" w:pos="4153"/>
        <w:tab w:val="right" w:pos="8306"/>
      </w:tabs>
    </w:pPr>
    <w:rPr>
      <w:sz w:val="18"/>
      <w:szCs w:val="18"/>
    </w:rPr>
  </w:style>
  <w:style w:type="paragraph" w:styleId="18">
    <w:name w:val="header"/>
    <w:basedOn w:val="1"/>
    <w:link w:val="34"/>
    <w:qFormat/>
    <w:uiPriority w:val="0"/>
    <w:pPr>
      <w:pBdr>
        <w:bottom w:val="single" w:color="auto" w:sz="6" w:space="1"/>
      </w:pBdr>
      <w:tabs>
        <w:tab w:val="center" w:pos="4153"/>
        <w:tab w:val="right" w:pos="8306"/>
      </w:tabs>
      <w:snapToGrid w:val="0"/>
      <w:jc w:val="center"/>
    </w:pPr>
    <w:rPr>
      <w:sz w:val="18"/>
      <w:szCs w:val="18"/>
    </w:rPr>
  </w:style>
  <w:style w:type="paragraph" w:styleId="19">
    <w:name w:val="Signature"/>
    <w:basedOn w:val="1"/>
    <w:semiHidden/>
    <w:qFormat/>
    <w:uiPriority w:val="0"/>
    <w:pPr>
      <w:ind w:left="4252"/>
    </w:pPr>
  </w:style>
  <w:style w:type="paragraph" w:styleId="20">
    <w:name w:val="toc 1"/>
    <w:basedOn w:val="1"/>
    <w:next w:val="1"/>
    <w:qFormat/>
    <w:uiPriority w:val="0"/>
  </w:style>
  <w:style w:type="paragraph" w:styleId="21">
    <w:name w:val="footnote text"/>
    <w:basedOn w:val="1"/>
    <w:qFormat/>
    <w:uiPriority w:val="0"/>
    <w:pPr>
      <w:snapToGrid w:val="0"/>
      <w:jc w:val="left"/>
    </w:pPr>
    <w:rPr>
      <w:sz w:val="18"/>
    </w:rPr>
  </w:style>
  <w:style w:type="paragraph" w:styleId="22">
    <w:name w:val="Body Text 2"/>
    <w:basedOn w:val="1"/>
    <w:qFormat/>
    <w:uiPriority w:val="0"/>
    <w:pPr>
      <w:widowControl w:val="0"/>
      <w:kinsoku/>
      <w:autoSpaceDE/>
      <w:autoSpaceDN/>
      <w:spacing w:line="600" w:lineRule="exact"/>
      <w:ind w:left="1280" w:hanging="1280" w:hangingChars="400"/>
      <w:textAlignment w:val="auto"/>
    </w:pPr>
  </w:style>
  <w:style w:type="paragraph" w:styleId="2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4">
    <w:name w:val="Normal (Web)"/>
    <w:basedOn w:val="1"/>
    <w:qFormat/>
    <w:uiPriority w:val="0"/>
    <w:rPr>
      <w:sz w:val="24"/>
    </w:rPr>
  </w:style>
  <w:style w:type="paragraph" w:styleId="25">
    <w:name w:val="Title"/>
    <w:basedOn w:val="1"/>
    <w:next w:val="1"/>
    <w:qFormat/>
    <w:uiPriority w:val="0"/>
    <w:pPr>
      <w:spacing w:before="240" w:after="60"/>
      <w:jc w:val="center"/>
      <w:outlineLvl w:val="0"/>
    </w:pPr>
    <w:rPr>
      <w:rFonts w:ascii="等线 Light" w:hAnsi="等线 Light" w:eastAsia="宋体" w:cs="Times New Roman"/>
      <w:b/>
      <w:bCs/>
      <w:szCs w:val="32"/>
    </w:rPr>
  </w:style>
  <w:style w:type="paragraph" w:styleId="26">
    <w:name w:val="Body Text First Indent"/>
    <w:basedOn w:val="4"/>
    <w:unhideWhenUsed/>
    <w:qFormat/>
    <w:uiPriority w:val="99"/>
    <w:pPr>
      <w:widowControl w:val="0"/>
      <w:spacing w:line="360" w:lineRule="auto"/>
      <w:ind w:firstLine="420" w:firstLineChars="100"/>
      <w:jc w:val="both"/>
    </w:pPr>
    <w:rPr>
      <w:rFonts w:ascii="Calibri" w:hAnsi="Calibri" w:eastAsia="宋体" w:cs="Times New Roman"/>
      <w:kern w:val="2"/>
      <w:sz w:val="21"/>
      <w:szCs w:val="21"/>
    </w:rPr>
  </w:style>
  <w:style w:type="table" w:styleId="28">
    <w:name w:val="Table Grid"/>
    <w:basedOn w:val="27"/>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qFormat/>
    <w:uiPriority w:val="0"/>
    <w:rPr>
      <w:b/>
    </w:rPr>
  </w:style>
  <w:style w:type="character" w:styleId="31">
    <w:name w:val="page number"/>
    <w:qFormat/>
    <w:uiPriority w:val="0"/>
    <w:rPr>
      <w:rFonts w:ascii="Arial" w:hAnsi="Arial"/>
      <w:color w:val="333333"/>
      <w:sz w:val="18"/>
    </w:rPr>
  </w:style>
  <w:style w:type="character" w:styleId="32">
    <w:name w:val="Hyperlink"/>
    <w:basedOn w:val="29"/>
    <w:qFormat/>
    <w:uiPriority w:val="0"/>
    <w:rPr>
      <w:color w:val="0000FF"/>
      <w:u w:val="single"/>
    </w:rPr>
  </w:style>
  <w:style w:type="character" w:customStyle="1" w:styleId="33">
    <w:name w:val="标题 1 Char"/>
    <w:link w:val="9"/>
    <w:qFormat/>
    <w:uiPriority w:val="9"/>
    <w:rPr>
      <w:b/>
      <w:bCs/>
      <w:kern w:val="44"/>
      <w:sz w:val="32"/>
      <w:szCs w:val="44"/>
    </w:rPr>
  </w:style>
  <w:style w:type="character" w:customStyle="1" w:styleId="34">
    <w:name w:val="页眉 字符"/>
    <w:link w:val="18"/>
    <w:qFormat/>
    <w:uiPriority w:val="0"/>
    <w:rPr>
      <w:sz w:val="18"/>
      <w:szCs w:val="18"/>
    </w:rPr>
  </w:style>
  <w:style w:type="paragraph" w:styleId="35">
    <w:name w:val="List Paragraph"/>
    <w:basedOn w:val="1"/>
    <w:qFormat/>
    <w:uiPriority w:val="34"/>
    <w:pPr>
      <w:ind w:firstLine="420" w:firstLineChars="200"/>
    </w:pPr>
  </w:style>
  <w:style w:type="paragraph" w:customStyle="1" w:styleId="36">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7">
    <w:name w:val="null3"/>
    <w:qFormat/>
    <w:uiPriority w:val="0"/>
    <w:rPr>
      <w:rFonts w:hint="eastAsia" w:ascii="Calibri" w:hAnsi="Calibri" w:eastAsia="宋体" w:cs="Times New Roman"/>
      <w:lang w:val="en-US" w:eastAsia="zh-Hans" w:bidi="ar-SA"/>
    </w:rPr>
  </w:style>
  <w:style w:type="paragraph" w:customStyle="1" w:styleId="38">
    <w:name w:val="WPSOffice手动目录 1"/>
    <w:qFormat/>
    <w:uiPriority w:val="0"/>
    <w:pPr>
      <w:ind w:leftChars="0"/>
    </w:pPr>
    <w:rPr>
      <w:rFonts w:ascii="Times New Roman" w:hAnsi="Times New Roman" w:eastAsia="宋体" w:cs="Times New Roman"/>
      <w:sz w:val="20"/>
      <w:szCs w:val="20"/>
    </w:rPr>
  </w:style>
  <w:style w:type="paragraph" w:customStyle="1" w:styleId="39">
    <w:name w:val="正文-Y"/>
    <w:basedOn w:val="1"/>
    <w:link w:val="40"/>
    <w:qFormat/>
    <w:uiPriority w:val="0"/>
    <w:pPr>
      <w:ind w:firstLine="560" w:firstLineChars="200"/>
    </w:pPr>
    <w:rPr>
      <w:rFonts w:ascii="Times New Roman" w:hAnsi="Times New Roman" w:eastAsia="仿宋" w:cs="方正仿宋_GB2312"/>
      <w:kern w:val="32"/>
      <w:sz w:val="28"/>
      <w:szCs w:val="32"/>
    </w:rPr>
  </w:style>
  <w:style w:type="character" w:customStyle="1" w:styleId="40">
    <w:name w:val="正文-Y 字符"/>
    <w:basedOn w:val="29"/>
    <w:link w:val="39"/>
    <w:qFormat/>
    <w:uiPriority w:val="0"/>
    <w:rPr>
      <w:rFonts w:ascii="Times New Roman" w:hAnsi="Times New Roman" w:eastAsia="仿宋" w:cs="方正仿宋_GB2312"/>
      <w:kern w:val="32"/>
      <w:sz w:val="28"/>
      <w:szCs w:val="32"/>
    </w:rPr>
  </w:style>
  <w:style w:type="paragraph" w:customStyle="1" w:styleId="41">
    <w:name w:val="标题2-Y"/>
    <w:basedOn w:val="10"/>
    <w:qFormat/>
    <w:uiPriority w:val="1"/>
    <w:pPr>
      <w:numPr>
        <w:ilvl w:val="1"/>
        <w:numId w:val="1"/>
      </w:numPr>
    </w:pPr>
    <w:rPr>
      <w:rFonts w:ascii="黑体"/>
      <w:sz w:val="30"/>
    </w:rPr>
  </w:style>
  <w:style w:type="paragraph" w:customStyle="1" w:styleId="42">
    <w:name w:val="表格-w"/>
    <w:basedOn w:val="1"/>
    <w:qFormat/>
    <w:uiPriority w:val="0"/>
    <w:pPr>
      <w:jc w:val="left"/>
    </w:pPr>
    <w:rPr>
      <w:rFonts w:ascii="仿宋" w:hAnsi="仿宋" w:eastAsia="仿宋"/>
      <w:sz w:val="24"/>
    </w:rPr>
  </w:style>
  <w:style w:type="paragraph" w:customStyle="1" w:styleId="43">
    <w:name w:val="正文首行缩进两字符"/>
    <w:basedOn w:val="1"/>
    <w:qFormat/>
    <w:uiPriority w:val="0"/>
    <w:pPr>
      <w:ind w:firstLine="200" w:firstLineChars="200"/>
    </w:pPr>
    <w:rPr>
      <w:rFonts w:ascii="Calibri" w:hAnsi="Calibri" w:eastAsia="宋体" w:cs="Times New Roman"/>
    </w:rPr>
  </w:style>
  <w:style w:type="paragraph" w:customStyle="1" w:styleId="44">
    <w:name w:val="标题3-Y"/>
    <w:basedOn w:val="11"/>
    <w:qFormat/>
    <w:uiPriority w:val="1"/>
    <w:pPr>
      <w:numPr>
        <w:ilvl w:val="2"/>
        <w:numId w:val="1"/>
      </w:numPr>
    </w:pPr>
    <w:rPr>
      <w:rFonts w:ascii="黑体" w:eastAsia="仿宋"/>
      <w:b/>
      <w:sz w:val="28"/>
    </w:rPr>
  </w:style>
  <w:style w:type="character" w:customStyle="1" w:styleId="45">
    <w:name w:val="15"/>
    <w:basedOn w:val="29"/>
    <w:qFormat/>
    <w:uiPriority w:val="0"/>
    <w:rPr>
      <w:rFonts w:hint="default" w:ascii="Calibri" w:hAnsi="Calibri" w:cs="Times New Roman"/>
    </w:rPr>
  </w:style>
  <w:style w:type="paragraph" w:customStyle="1" w:styleId="46">
    <w:name w:val="List Paragraph1"/>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eastAsia="宋体" w:cs="Times New Roman"/>
      <w:kern w:val="2"/>
      <w:sz w:val="21"/>
      <w:szCs w:val="21"/>
      <w:lang w:val="en-US" w:eastAsia="zh-CN" w:bidi="ar"/>
    </w:rPr>
  </w:style>
  <w:style w:type="paragraph" w:customStyle="1" w:styleId="47">
    <w:name w:val="NT二级目录"/>
    <w:basedOn w:val="1"/>
    <w:qFormat/>
    <w:uiPriority w:val="0"/>
    <w:pPr>
      <w:keepNext w:val="0"/>
      <w:keepLines w:val="0"/>
      <w:widowControl/>
      <w:suppressLineNumbers w:val="0"/>
      <w:adjustRightInd/>
      <w:spacing w:afterLines="20" w:afterAutospacing="0" w:line="480" w:lineRule="exact"/>
      <w:ind w:left="720" w:hanging="720"/>
      <w:jc w:val="both"/>
      <w:textAlignment w:val="auto"/>
    </w:pPr>
    <w:rPr>
      <w:rFonts w:hint="default" w:ascii="华文细黑" w:hAnsi="华文细黑" w:eastAsia="华文细黑" w:cs="华文细黑"/>
      <w:kern w:val="2"/>
      <w:sz w:val="22"/>
      <w:szCs w:val="22"/>
      <w:lang w:val="en-US" w:eastAsia="zh-CN" w:bidi="ar"/>
    </w:rPr>
  </w:style>
  <w:style w:type="character" w:customStyle="1" w:styleId="48">
    <w:name w:val="10"/>
    <w:basedOn w:val="29"/>
    <w:qFormat/>
    <w:uiPriority w:val="0"/>
    <w:rPr>
      <w:rFonts w:hint="default" w:ascii="Times New Roman" w:hAnsi="Times New Roman" w:cs="Times New Roman"/>
    </w:rPr>
  </w:style>
  <w:style w:type="paragraph" w:customStyle="1" w:styleId="49">
    <w:name w:val="FWB_L4"/>
    <w:basedOn w:val="1"/>
    <w:qFormat/>
    <w:uiPriority w:val="0"/>
    <w:pPr>
      <w:keepNext w:val="0"/>
      <w:keepLines w:val="0"/>
      <w:widowControl/>
      <w:suppressLineNumbers w:val="0"/>
      <w:adjustRightInd/>
      <w:spacing w:after="240" w:afterAutospacing="0" w:line="240" w:lineRule="auto"/>
      <w:ind w:left="1440" w:hanging="216"/>
      <w:jc w:val="both"/>
      <w:textAlignment w:val="auto"/>
    </w:pPr>
    <w:rPr>
      <w:rFonts w:hint="default" w:ascii="Times New Roman" w:hAnsi="Times New Roman" w:eastAsia="宋体" w:cs="Times New Roman"/>
      <w:smallCaps/>
      <w:kern w:val="0"/>
      <w:sz w:val="24"/>
      <w:szCs w:val="24"/>
      <w:lang w:val="en-US" w:eastAsia="zh-CN" w:bidi="ar"/>
    </w:rPr>
  </w:style>
  <w:style w:type="paragraph" w:customStyle="1" w:styleId="50">
    <w:name w:val="Level 2"/>
    <w:basedOn w:val="1"/>
    <w:qFormat/>
    <w:uiPriority w:val="0"/>
    <w:pPr>
      <w:keepNext w:val="0"/>
      <w:keepLines w:val="0"/>
      <w:widowControl w:val="0"/>
      <w:suppressLineNumbers w:val="0"/>
      <w:adjustRightInd/>
      <w:spacing w:line="360" w:lineRule="auto"/>
      <w:ind w:left="624" w:hanging="624"/>
      <w:jc w:val="both"/>
      <w:textAlignment w:val="auto"/>
      <w:outlineLvl w:val="1"/>
    </w:pPr>
    <w:rPr>
      <w:rFonts w:hint="default" w:ascii="Arial" w:hAnsi="Arial" w:eastAsia="宋体" w:cs="Times New Roman"/>
      <w:kern w:val="20"/>
      <w:sz w:val="24"/>
      <w:szCs w:val="24"/>
      <w:lang w:val="en-US" w:eastAsia="zh-CN" w:bidi="ar"/>
    </w:rPr>
  </w:style>
  <w:style w:type="paragraph" w:customStyle="1" w:styleId="51">
    <w:name w:val="Deed_Heading"/>
    <w:basedOn w:val="1"/>
    <w:qFormat/>
    <w:uiPriority w:val="0"/>
    <w:pPr>
      <w:pBdr>
        <w:top w:val="single" w:color="auto" w:sz="12" w:space="7"/>
      </w:pBdr>
      <w:spacing w:line="440" w:lineRule="exact"/>
    </w:pPr>
    <w:rPr>
      <w:rFonts w:ascii="Arial Black" w:hAnsi="Arial Black"/>
      <w:b/>
      <w:sz w:val="44"/>
    </w:rPr>
  </w:style>
  <w:style w:type="paragraph" w:customStyle="1" w:styleId="52">
    <w:name w:val="Deed_SubHeading"/>
    <w:basedOn w:val="1"/>
    <w:qFormat/>
    <w:uiPriority w:val="0"/>
    <w:pPr>
      <w:spacing w:before="120" w:line="440" w:lineRule="exact"/>
    </w:pPr>
    <w:rPr>
      <w:b/>
      <w:sz w:val="36"/>
    </w:rPr>
  </w:style>
  <w:style w:type="paragraph" w:customStyle="1" w:styleId="53">
    <w:name w:val="K&amp;W Body text"/>
    <w:basedOn w:val="54"/>
    <w:qFormat/>
    <w:uiPriority w:val="0"/>
    <w:pPr>
      <w:ind w:firstLine="567"/>
    </w:pPr>
    <w:rPr>
      <w:color w:val="auto"/>
    </w:rPr>
  </w:style>
  <w:style w:type="paragraph" w:customStyle="1" w:styleId="54">
    <w:name w:val="K&amp;W Normal"/>
    <w:qFormat/>
    <w:uiPriority w:val="0"/>
    <w:pPr>
      <w:spacing w:after="360" w:line="320" w:lineRule="atLeast"/>
      <w:jc w:val="both"/>
    </w:pPr>
    <w:rPr>
      <w:rFonts w:ascii="Arial" w:hAnsi="Arial" w:eastAsia="楷体_GB2312" w:cs="Times New Roman"/>
      <w:color w:val="000000"/>
      <w:sz w:val="24"/>
      <w:lang w:val="en-US" w:eastAsia="en-US" w:bidi="ar-SA"/>
    </w:rPr>
  </w:style>
  <w:style w:type="paragraph" w:customStyle="1" w:styleId="55">
    <w:name w:val="K&amp;W List Number"/>
    <w:basedOn w:val="54"/>
    <w:qFormat/>
    <w:uiPriority w:val="0"/>
    <w:pPr>
      <w:numPr>
        <w:ilvl w:val="0"/>
        <w:numId w:val="2"/>
      </w:numPr>
      <w:spacing w:line="320" w:lineRule="exact"/>
    </w:pPr>
  </w:style>
  <w:style w:type="paragraph" w:customStyle="1" w:styleId="56">
    <w:name w:val="K&amp;W heading 2"/>
    <w:basedOn w:val="54"/>
    <w:qFormat/>
    <w:uiPriority w:val="0"/>
    <w:pPr>
      <w:widowControl w:val="0"/>
      <w:numPr>
        <w:ilvl w:val="1"/>
        <w:numId w:val="3"/>
      </w:numPr>
      <w:tabs>
        <w:tab w:val="left" w:pos="567"/>
      </w:tabs>
      <w:spacing w:line="320" w:lineRule="exact"/>
      <w:outlineLvl w:val="1"/>
    </w:pPr>
    <w:rPr>
      <w:color w:val="auto"/>
    </w:rPr>
  </w:style>
  <w:style w:type="paragraph" w:customStyle="1" w:styleId="57">
    <w:name w:val="K&amp;W heading 1"/>
    <w:basedOn w:val="54"/>
    <w:next w:val="56"/>
    <w:qFormat/>
    <w:uiPriority w:val="0"/>
    <w:pPr>
      <w:widowControl w:val="0"/>
      <w:numPr>
        <w:ilvl w:val="0"/>
        <w:numId w:val="3"/>
      </w:numPr>
      <w:spacing w:line="320" w:lineRule="exact"/>
      <w:outlineLvl w:val="0"/>
    </w:pPr>
    <w:rPr>
      <w:b/>
      <w:color w:val="auto"/>
      <w:sz w:val="28"/>
    </w:rPr>
  </w:style>
  <w:style w:type="paragraph" w:customStyle="1" w:styleId="58">
    <w:name w:val="K&amp;W heading 3"/>
    <w:basedOn w:val="54"/>
    <w:qFormat/>
    <w:uiPriority w:val="0"/>
    <w:pPr>
      <w:numPr>
        <w:ilvl w:val="2"/>
        <w:numId w:val="3"/>
      </w:numPr>
      <w:tabs>
        <w:tab w:val="left" w:pos="567"/>
      </w:tabs>
      <w:spacing w:line="320" w:lineRule="exact"/>
      <w:outlineLvl w:val="2"/>
    </w:pPr>
    <w:rPr>
      <w:color w:val="auto"/>
    </w:rPr>
  </w:style>
  <w:style w:type="paragraph" w:customStyle="1" w:styleId="59">
    <w:name w:val="Style"/>
    <w:next w:val="21"/>
    <w:qFormat/>
    <w:uiPriority w:val="0"/>
    <w:pPr>
      <w:widowControl w:val="0"/>
      <w:adjustRightInd w:val="0"/>
      <w:snapToGrid w:val="0"/>
      <w:spacing w:line="360" w:lineRule="auto"/>
      <w:ind w:firstLine="200" w:firstLineChars="200"/>
      <w:jc w:val="both"/>
    </w:pPr>
    <w:rPr>
      <w:rFonts w:ascii="Times New Roman" w:hAnsi="Times New Roman" w:eastAsia="宋体" w:cs="Times New Roman"/>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96</Pages>
  <Words>8855</Words>
  <Characters>9320</Characters>
  <Lines>1</Lines>
  <Paragraphs>1</Paragraphs>
  <TotalTime>2</TotalTime>
  <ScaleCrop>false</ScaleCrop>
  <LinksUpToDate>false</LinksUpToDate>
  <CharactersWithSpaces>9412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2024-10-06T03:22:00Z</dcterms:created>
  <dc:creator>XHB</dc:creator>
  <cp:lastModifiedBy>taoli</cp:lastModifiedBy>
  <cp:lastPrinted>2024-08-23T01:17:00Z</cp:lastPrinted>
  <dcterms:modified xsi:type="dcterms:W3CDTF">2025-04-30T08:59:11Z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A28A313638B04D29853A8FE9D26BC754_13</vt:lpwstr>
  </property>
  <property fmtid="{D5CDD505-2E9C-101B-9397-08002B2CF9AE}" pid="4" name="KSOTemplateDocerSaveRecord">
    <vt:lpwstr>eyJoZGlkIjoiYjVlNDgyYWY3ZmYxMzFlYmJkMTU3MDQwMWVlM2RiYzkiLCJ1c2VySWQiOiI2ODQ1MjQ3MjMifQ==</vt:lpwstr>
  </property>
</Properties>
</file>