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CAAD3">
      <w:pPr>
        <w:keepNext w:val="0"/>
        <w:keepLines w:val="0"/>
        <w:pageBreakBefore w:val="0"/>
        <w:widowControl w:val="0"/>
        <w:kinsoku/>
        <w:wordWrap/>
        <w:overflowPunct/>
        <w:topLinePunct w:val="0"/>
        <w:autoSpaceDE/>
        <w:autoSpaceDN/>
        <w:bidi w:val="0"/>
        <w:adjustRightInd w:val="0"/>
        <w:snapToGrid w:val="0"/>
        <w:spacing w:before="0" w:line="520" w:lineRule="exact"/>
        <w:ind w:right="0"/>
        <w:jc w:val="center"/>
        <w:textAlignment w:val="auto"/>
        <w:outlineLvl w:val="9"/>
        <w:rPr>
          <w:rFonts w:hint="eastAsia" w:ascii="方正小标宋简体" w:hAnsi="方正小标宋简体" w:eastAsia="方正小标宋简体" w:cs="方正小标宋简体"/>
          <w:b w:val="0"/>
          <w:bCs w:val="0"/>
          <w:snapToGrid/>
          <w:spacing w:val="0"/>
          <w:kern w:val="2"/>
          <w:sz w:val="44"/>
          <w:szCs w:val="22"/>
          <w:highlight w:val="none"/>
          <w:lang w:val="en-US" w:eastAsia="zh-CN"/>
        </w:rPr>
      </w:pPr>
      <w:r>
        <w:rPr>
          <w:rFonts w:hint="eastAsia" w:ascii="方正小标宋简体" w:hAnsi="方正小标宋简体" w:eastAsia="方正小标宋简体" w:cs="方正小标宋简体"/>
          <w:b w:val="0"/>
          <w:bCs w:val="0"/>
          <w:snapToGrid/>
          <w:spacing w:val="0"/>
          <w:kern w:val="2"/>
          <w:sz w:val="44"/>
          <w:szCs w:val="22"/>
          <w:highlight w:val="none"/>
          <w:lang w:val="en-US" w:eastAsia="zh-CN"/>
        </w:rPr>
        <w:t>四川九洲后勤服务有限责任公司</w:t>
      </w:r>
    </w:p>
    <w:p w14:paraId="0491CEFA">
      <w:pPr>
        <w:keepNext w:val="0"/>
        <w:keepLines w:val="0"/>
        <w:pageBreakBefore w:val="0"/>
        <w:widowControl w:val="0"/>
        <w:kinsoku/>
        <w:wordWrap/>
        <w:overflowPunct/>
        <w:topLinePunct w:val="0"/>
        <w:autoSpaceDE/>
        <w:autoSpaceDN/>
        <w:bidi w:val="0"/>
        <w:adjustRightInd w:val="0"/>
        <w:snapToGrid w:val="0"/>
        <w:spacing w:before="0" w:line="520" w:lineRule="exact"/>
        <w:ind w:right="0"/>
        <w:jc w:val="center"/>
        <w:textAlignment w:val="auto"/>
        <w:outlineLvl w:val="9"/>
        <w:rPr>
          <w:rFonts w:hint="default" w:ascii="方正小标宋简体" w:hAnsi="方正小标宋简体" w:eastAsia="方正小标宋简体" w:cs="方正小标宋简体"/>
          <w:snapToGrid/>
          <w:kern w:val="2"/>
          <w:sz w:val="44"/>
          <w:szCs w:val="22"/>
          <w:highlight w:val="none"/>
          <w:lang w:val="en-US" w:eastAsia="zh-CN"/>
        </w:rPr>
      </w:pPr>
      <w:r>
        <w:rPr>
          <w:rFonts w:hint="eastAsia" w:ascii="方正小标宋简体" w:hAnsi="方正小标宋简体" w:eastAsia="方正小标宋简体" w:cs="方正小标宋简体"/>
          <w:b w:val="0"/>
          <w:bCs w:val="0"/>
          <w:snapToGrid/>
          <w:spacing w:val="0"/>
          <w:kern w:val="2"/>
          <w:sz w:val="44"/>
          <w:szCs w:val="22"/>
          <w:highlight w:val="none"/>
          <w:lang w:val="en-US" w:eastAsia="zh-CN"/>
        </w:rPr>
        <w:t>环保锡渣处置方案</w:t>
      </w:r>
    </w:p>
    <w:p w14:paraId="0F628D6A">
      <w:pPr>
        <w:keepNext w:val="0"/>
        <w:keepLines w:val="0"/>
        <w:pageBreakBefore w:val="0"/>
        <w:wordWrap/>
        <w:overflowPunct/>
        <w:topLinePunct w:val="0"/>
        <w:bidi w:val="0"/>
        <w:adjustRightInd w:val="0"/>
        <w:snapToGrid w:val="0"/>
        <w:spacing w:line="520" w:lineRule="exact"/>
        <w:ind w:firstLine="420" w:firstLineChars="200"/>
        <w:jc w:val="both"/>
        <w:rPr>
          <w:rFonts w:ascii="Arial"/>
          <w:sz w:val="21"/>
        </w:rPr>
      </w:pPr>
    </w:p>
    <w:p w14:paraId="126759E4">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0" w:line="520" w:lineRule="exact"/>
        <w:ind w:left="0" w:leftChars="0" w:firstLine="576" w:firstLineChars="200"/>
        <w:jc w:val="both"/>
        <w:textAlignment w:val="baseline"/>
        <w:outlineLvl w:val="0"/>
        <w:rPr>
          <w:rFonts w:hint="eastAsia" w:ascii="黑体" w:hAnsi="黑体" w:eastAsia="黑体" w:cs="黑体"/>
          <w:sz w:val="32"/>
          <w:szCs w:val="32"/>
        </w:rPr>
      </w:pPr>
      <w:r>
        <w:rPr>
          <w:rFonts w:hint="eastAsia" w:ascii="黑体" w:hAnsi="黑体" w:eastAsia="黑体" w:cs="黑体"/>
          <w:b w:val="0"/>
          <w:bCs w:val="0"/>
          <w:spacing w:val="-16"/>
          <w:sz w:val="32"/>
          <w:szCs w:val="32"/>
        </w:rPr>
        <w:t>处置背景</w:t>
      </w:r>
    </w:p>
    <w:p w14:paraId="28581EFD">
      <w:pPr>
        <w:pStyle w:val="2"/>
        <w:keepNext w:val="0"/>
        <w:keepLines w:val="0"/>
        <w:pageBreakBefore w:val="0"/>
        <w:widowControl/>
        <w:kinsoku w:val="0"/>
        <w:wordWrap/>
        <w:overflowPunct/>
        <w:topLinePunct w:val="0"/>
        <w:autoSpaceDE w:val="0"/>
        <w:autoSpaceDN w:val="0"/>
        <w:bidi w:val="0"/>
        <w:adjustRightInd w:val="0"/>
        <w:snapToGrid w:val="0"/>
        <w:spacing w:before="0" w:line="520" w:lineRule="exact"/>
        <w:ind w:right="0"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四川九洲后勤服务有限责任公司（以下简称“九洲后勤”）受四川九州电子科技股份有限公司（以下简称“九州科技”）委托处置其在插件焊接环节产生的环保锡渣，其主要成分为金属锡。</w:t>
      </w:r>
    </w:p>
    <w:p w14:paraId="6D83A14B">
      <w:pPr>
        <w:pStyle w:val="2"/>
        <w:keepNext w:val="0"/>
        <w:keepLines w:val="0"/>
        <w:pageBreakBefore w:val="0"/>
        <w:widowControl/>
        <w:kinsoku w:val="0"/>
        <w:wordWrap/>
        <w:overflowPunct/>
        <w:topLinePunct w:val="0"/>
        <w:autoSpaceDE w:val="0"/>
        <w:autoSpaceDN w:val="0"/>
        <w:bidi w:val="0"/>
        <w:adjustRightInd w:val="0"/>
        <w:snapToGrid w:val="0"/>
        <w:spacing w:before="0" w:line="520" w:lineRule="exact"/>
        <w:ind w:right="0" w:firstLine="640" w:firstLineChars="200"/>
        <w:jc w:val="both"/>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确保环保锡渣处置的时效性、合规性及经济性，避免环保锡渣堆积而产生安全隐患，影响生产进度。九洲后勤根据九州科技的要求和《四川九洲投资控股集团有限公司资产管理办法（暂行）》（九洲财务〔2026〕114号）相关规定制定了环保锡渣处置方案，在该期限内由九洲后勤按该方案分批次对环保锡渣进行公开处置。</w:t>
      </w:r>
    </w:p>
    <w:p w14:paraId="69C0090C">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0" w:line="520" w:lineRule="exact"/>
        <w:ind w:left="0" w:leftChars="0" w:firstLine="576" w:firstLineChars="200"/>
        <w:jc w:val="both"/>
        <w:textAlignment w:val="baseline"/>
        <w:outlineLvl w:val="0"/>
        <w:rPr>
          <w:rFonts w:hint="eastAsia" w:ascii="黑体" w:hAnsi="黑体" w:eastAsia="黑体" w:cs="黑体"/>
          <w:b w:val="0"/>
          <w:bCs w:val="0"/>
          <w:spacing w:val="-16"/>
          <w:sz w:val="32"/>
          <w:szCs w:val="32"/>
          <w:lang w:val="en-US" w:eastAsia="zh-CN"/>
        </w:rPr>
      </w:pPr>
      <w:r>
        <w:rPr>
          <w:rFonts w:hint="eastAsia" w:ascii="黑体" w:hAnsi="黑体" w:eastAsia="黑体" w:cs="黑体"/>
          <w:b w:val="0"/>
          <w:bCs w:val="0"/>
          <w:spacing w:val="-16"/>
          <w:sz w:val="32"/>
          <w:szCs w:val="32"/>
        </w:rPr>
        <w:t>拟处置资产情况</w:t>
      </w:r>
    </w:p>
    <w:tbl>
      <w:tblPr>
        <w:tblStyle w:val="4"/>
        <w:tblW w:w="52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51" w:type="dxa"/>
          <w:bottom w:w="0" w:type="dxa"/>
          <w:right w:w="51" w:type="dxa"/>
        </w:tblCellMar>
      </w:tblPr>
      <w:tblGrid>
        <w:gridCol w:w="547"/>
        <w:gridCol w:w="611"/>
        <w:gridCol w:w="1749"/>
        <w:gridCol w:w="1184"/>
        <w:gridCol w:w="1857"/>
        <w:gridCol w:w="1637"/>
        <w:gridCol w:w="1807"/>
      </w:tblGrid>
      <w:tr w14:paraId="41D59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1" w:type="dxa"/>
            <w:bottom w:w="0" w:type="dxa"/>
            <w:right w:w="51" w:type="dxa"/>
          </w:tblCellMar>
        </w:tblPrEx>
        <w:trPr>
          <w:trHeight w:val="795" w:hRule="atLeast"/>
          <w:jc w:val="center"/>
        </w:trPr>
        <w:tc>
          <w:tcPr>
            <w:tcW w:w="291" w:type="pct"/>
            <w:shd w:val="clear" w:color="auto" w:fill="auto"/>
            <w:vAlign w:val="center"/>
          </w:tcPr>
          <w:p w14:paraId="62CDA93A">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sz w:val="24"/>
                <w:szCs w:val="24"/>
                <w:u w:val="none"/>
                <w:lang w:val="en-US" w:eastAsia="zh-CN"/>
              </w:rPr>
              <w:t>序号</w:t>
            </w:r>
          </w:p>
        </w:tc>
        <w:tc>
          <w:tcPr>
            <w:tcW w:w="325" w:type="pct"/>
            <w:shd w:val="clear" w:color="auto" w:fill="auto"/>
            <w:vAlign w:val="center"/>
          </w:tcPr>
          <w:p w14:paraId="22C6DED1">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sz w:val="24"/>
                <w:szCs w:val="24"/>
                <w:u w:val="none"/>
                <w:lang w:val="en-US" w:eastAsia="zh-CN"/>
              </w:rPr>
              <w:t>名称</w:t>
            </w:r>
          </w:p>
        </w:tc>
        <w:tc>
          <w:tcPr>
            <w:tcW w:w="931" w:type="pct"/>
            <w:shd w:val="clear" w:color="auto" w:fill="auto"/>
            <w:vAlign w:val="center"/>
          </w:tcPr>
          <w:p w14:paraId="01740F00">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default" w:ascii="仿宋_GB2312" w:hAnsi="仿宋_GB2312" w:eastAsia="仿宋_GB2312" w:cs="仿宋_GB2312"/>
                <w:b w:val="0"/>
                <w:bCs w:val="0"/>
                <w:i w:val="0"/>
                <w:iCs w:val="0"/>
                <w:color w:val="000000"/>
                <w:sz w:val="24"/>
                <w:szCs w:val="24"/>
                <w:u w:val="none"/>
                <w:lang w:val="en-US"/>
              </w:rPr>
            </w:pPr>
            <w:r>
              <w:rPr>
                <w:rFonts w:hint="eastAsia" w:ascii="仿宋_GB2312" w:hAnsi="仿宋_GB2312" w:eastAsia="仿宋_GB2312" w:cs="仿宋_GB2312"/>
                <w:b w:val="0"/>
                <w:bCs w:val="0"/>
                <w:i w:val="0"/>
                <w:iCs w:val="0"/>
                <w:color w:val="000000"/>
                <w:sz w:val="24"/>
                <w:szCs w:val="24"/>
                <w:u w:val="none"/>
                <w:lang w:val="en-US" w:eastAsia="zh-CN"/>
              </w:rPr>
              <w:t>物资类别</w:t>
            </w:r>
          </w:p>
        </w:tc>
        <w:tc>
          <w:tcPr>
            <w:tcW w:w="630" w:type="pct"/>
            <w:shd w:val="clear" w:color="auto" w:fill="auto"/>
            <w:vAlign w:val="center"/>
          </w:tcPr>
          <w:p w14:paraId="18EF74D4">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sz w:val="24"/>
                <w:szCs w:val="24"/>
                <w:u w:val="none"/>
              </w:rPr>
              <w:t>主要</w:t>
            </w:r>
          </w:p>
          <w:p w14:paraId="43613E07">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rPr>
              <w:t>材质</w:t>
            </w:r>
          </w:p>
        </w:tc>
        <w:tc>
          <w:tcPr>
            <w:tcW w:w="988" w:type="pct"/>
            <w:shd w:val="clear" w:color="auto" w:fill="auto"/>
            <w:vAlign w:val="center"/>
          </w:tcPr>
          <w:p w14:paraId="1871927D">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default"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资产位置</w:t>
            </w:r>
          </w:p>
        </w:tc>
        <w:tc>
          <w:tcPr>
            <w:tcW w:w="871" w:type="pct"/>
            <w:shd w:val="clear" w:color="auto" w:fill="auto"/>
            <w:vAlign w:val="center"/>
          </w:tcPr>
          <w:p w14:paraId="2BBF04B9">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default" w:ascii="仿宋_GB2312" w:hAnsi="仿宋_GB2312" w:eastAsia="仿宋_GB2312" w:cs="仿宋_GB2312"/>
                <w:b w:val="0"/>
                <w:bCs w:val="0"/>
                <w:i w:val="0"/>
                <w:iCs w:val="0"/>
                <w:color w:val="000000"/>
                <w:sz w:val="24"/>
                <w:szCs w:val="24"/>
                <w:u w:val="none"/>
                <w:lang w:val="en-US"/>
              </w:rPr>
            </w:pPr>
            <w:r>
              <w:rPr>
                <w:rFonts w:hint="eastAsia" w:ascii="仿宋_GB2312" w:hAnsi="仿宋_GB2312" w:eastAsia="仿宋_GB2312" w:cs="仿宋_GB2312"/>
                <w:b w:val="0"/>
                <w:bCs w:val="0"/>
                <w:i w:val="0"/>
                <w:iCs w:val="0"/>
                <w:color w:val="000000"/>
                <w:sz w:val="24"/>
                <w:szCs w:val="24"/>
                <w:u w:val="none"/>
                <w:lang w:val="en-US" w:eastAsia="zh-CN"/>
              </w:rPr>
              <w:t>2026年6月至12月预计处置数量（吨）</w:t>
            </w:r>
          </w:p>
        </w:tc>
        <w:tc>
          <w:tcPr>
            <w:tcW w:w="961" w:type="pct"/>
            <w:shd w:val="clear" w:color="auto" w:fill="auto"/>
            <w:vAlign w:val="center"/>
          </w:tcPr>
          <w:p w14:paraId="3F95677F">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2026年6月至12月预估处置收入（万元）</w:t>
            </w:r>
          </w:p>
        </w:tc>
      </w:tr>
      <w:tr w14:paraId="2DD8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51" w:type="dxa"/>
            <w:bottom w:w="0" w:type="dxa"/>
            <w:right w:w="51" w:type="dxa"/>
          </w:tblCellMar>
        </w:tblPrEx>
        <w:trPr>
          <w:trHeight w:val="955" w:hRule="atLeast"/>
          <w:jc w:val="center"/>
        </w:trPr>
        <w:tc>
          <w:tcPr>
            <w:tcW w:w="291" w:type="pct"/>
            <w:shd w:val="clear" w:color="auto" w:fill="auto"/>
            <w:noWrap/>
            <w:vAlign w:val="center"/>
          </w:tcPr>
          <w:p w14:paraId="04C3C4A0">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1</w:t>
            </w:r>
          </w:p>
        </w:tc>
        <w:tc>
          <w:tcPr>
            <w:tcW w:w="325" w:type="pct"/>
            <w:shd w:val="clear" w:color="auto" w:fill="auto"/>
            <w:noWrap/>
            <w:vAlign w:val="center"/>
          </w:tcPr>
          <w:p w14:paraId="4CEAD5FA">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default"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环保锡渣</w:t>
            </w:r>
          </w:p>
        </w:tc>
        <w:tc>
          <w:tcPr>
            <w:tcW w:w="931" w:type="pct"/>
            <w:shd w:val="clear" w:color="auto" w:fill="auto"/>
            <w:noWrap/>
            <w:vAlign w:val="center"/>
          </w:tcPr>
          <w:p w14:paraId="41EE3FEB">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生产废弃物类</w:t>
            </w:r>
          </w:p>
          <w:p w14:paraId="4686ECFA">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default"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（金属）</w:t>
            </w:r>
          </w:p>
        </w:tc>
        <w:tc>
          <w:tcPr>
            <w:tcW w:w="630" w:type="pct"/>
            <w:shd w:val="clear" w:color="auto" w:fill="auto"/>
            <w:noWrap/>
            <w:vAlign w:val="center"/>
          </w:tcPr>
          <w:p w14:paraId="2F66142B">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sz w:val="24"/>
                <w:szCs w:val="24"/>
                <w:u w:val="none"/>
              </w:rPr>
              <w:t>金属锡</w:t>
            </w:r>
          </w:p>
        </w:tc>
        <w:tc>
          <w:tcPr>
            <w:tcW w:w="988" w:type="pct"/>
            <w:shd w:val="clear" w:color="auto" w:fill="auto"/>
            <w:noWrap/>
            <w:vAlign w:val="center"/>
          </w:tcPr>
          <w:p w14:paraId="40D94A3A">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sz w:val="24"/>
                <w:szCs w:val="24"/>
                <w:u w:val="none"/>
              </w:rPr>
              <w:t>绵阳市科创园区九洲大道259号</w:t>
            </w:r>
          </w:p>
        </w:tc>
        <w:tc>
          <w:tcPr>
            <w:tcW w:w="871" w:type="pct"/>
            <w:shd w:val="clear" w:color="auto" w:fill="auto"/>
            <w:noWrap/>
            <w:vAlign w:val="center"/>
          </w:tcPr>
          <w:p w14:paraId="031FB985">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default"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约20</w:t>
            </w:r>
          </w:p>
        </w:tc>
        <w:tc>
          <w:tcPr>
            <w:tcW w:w="961" w:type="pct"/>
            <w:shd w:val="clear" w:color="auto" w:fill="auto"/>
            <w:noWrap/>
            <w:vAlign w:val="center"/>
          </w:tcPr>
          <w:p w14:paraId="0A959751">
            <w:pPr>
              <w:keepNext w:val="0"/>
              <w:keepLines w:val="0"/>
              <w:pageBreakBefore w:val="0"/>
              <w:widowControl w:val="0"/>
              <w:suppressLineNumbers w:val="0"/>
              <w:kinsoku w:val="0"/>
              <w:wordWrap/>
              <w:overflowPunct/>
              <w:topLinePunct w:val="0"/>
              <w:autoSpaceDE w:val="0"/>
              <w:autoSpaceDN w:val="0"/>
              <w:bidi w:val="0"/>
              <w:adjustRightInd w:val="0"/>
              <w:snapToGrid w:val="0"/>
              <w:spacing w:line="240" w:lineRule="auto"/>
              <w:jc w:val="center"/>
              <w:textAlignment w:val="center"/>
              <w:rPr>
                <w:rFonts w:hint="default" w:ascii="仿宋_GB2312" w:hAnsi="仿宋_GB2312" w:eastAsia="仿宋_GB2312" w:cs="仿宋_GB2312"/>
                <w:b w:val="0"/>
                <w:bCs w:val="0"/>
                <w:i w:val="0"/>
                <w:iCs w:val="0"/>
                <w:color w:val="000000"/>
                <w:sz w:val="24"/>
                <w:szCs w:val="24"/>
                <w:u w:val="none"/>
                <w:lang w:val="en-US" w:eastAsia="zh-CN"/>
              </w:rPr>
            </w:pPr>
            <w:r>
              <w:rPr>
                <w:rFonts w:hint="eastAsia" w:ascii="仿宋_GB2312" w:hAnsi="仿宋_GB2312" w:eastAsia="仿宋_GB2312" w:cs="仿宋_GB2312"/>
                <w:b w:val="0"/>
                <w:bCs w:val="0"/>
                <w:i w:val="0"/>
                <w:iCs w:val="0"/>
                <w:color w:val="000000"/>
                <w:sz w:val="24"/>
                <w:szCs w:val="24"/>
                <w:u w:val="none"/>
                <w:lang w:val="en-US" w:eastAsia="zh-CN"/>
              </w:rPr>
              <w:t>600</w:t>
            </w:r>
          </w:p>
        </w:tc>
      </w:tr>
    </w:tbl>
    <w:p w14:paraId="355C7923">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0" w:line="520" w:lineRule="exact"/>
        <w:ind w:left="0" w:leftChars="0" w:firstLine="576" w:firstLineChars="200"/>
        <w:jc w:val="both"/>
        <w:textAlignment w:val="baseline"/>
        <w:outlineLvl w:val="0"/>
        <w:rPr>
          <w:rFonts w:hint="eastAsia" w:ascii="黑体" w:hAnsi="黑体" w:eastAsia="黑体" w:cs="黑体"/>
          <w:b w:val="0"/>
          <w:bCs w:val="0"/>
          <w:spacing w:val="-16"/>
          <w:sz w:val="32"/>
          <w:szCs w:val="32"/>
          <w:lang w:val="en-US" w:eastAsia="zh-CN"/>
        </w:rPr>
      </w:pPr>
      <w:r>
        <w:rPr>
          <w:rFonts w:hint="eastAsia" w:ascii="黑体" w:hAnsi="黑体" w:eastAsia="黑体" w:cs="黑体"/>
          <w:b w:val="0"/>
          <w:bCs w:val="0"/>
          <w:spacing w:val="-16"/>
          <w:sz w:val="32"/>
          <w:szCs w:val="32"/>
        </w:rPr>
        <w:t>处置频率</w:t>
      </w:r>
    </w:p>
    <w:p w14:paraId="325DAD93">
      <w:pPr>
        <w:pStyle w:val="2"/>
        <w:keepNext w:val="0"/>
        <w:keepLines w:val="0"/>
        <w:pageBreakBefore w:val="0"/>
        <w:wordWrap/>
        <w:overflowPunct/>
        <w:topLinePunct w:val="0"/>
        <w:bidi w:val="0"/>
        <w:adjustRightInd w:val="0"/>
        <w:snapToGrid w:val="0"/>
        <w:spacing w:before="0" w:line="520" w:lineRule="exact"/>
        <w:ind w:right="0"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九州科技每日将产生环保锡渣约100千克，约30日堆满环保锡渣专用废品库（最大可堆积3000千克环保锡渣）</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故</w:t>
      </w:r>
      <w:r>
        <w:rPr>
          <w:rFonts w:hint="eastAsia" w:ascii="仿宋_GB2312" w:hAnsi="仿宋_GB2312" w:eastAsia="仿宋_GB2312" w:cs="仿宋_GB2312"/>
          <w:sz w:val="32"/>
          <w:szCs w:val="32"/>
        </w:rPr>
        <w:t>拟按月进行处置。</w:t>
      </w:r>
    </w:p>
    <w:p w14:paraId="03D204B8">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before="0" w:line="520" w:lineRule="exact"/>
        <w:ind w:left="0" w:leftChars="0" w:firstLine="576" w:firstLineChars="200"/>
        <w:jc w:val="both"/>
        <w:textAlignment w:val="baseline"/>
        <w:outlineLvl w:val="0"/>
        <w:rPr>
          <w:rFonts w:hint="eastAsia" w:ascii="黑体" w:hAnsi="黑体" w:eastAsia="黑体" w:cs="黑体"/>
          <w:b w:val="0"/>
          <w:bCs w:val="0"/>
          <w:spacing w:val="-16"/>
          <w:sz w:val="32"/>
          <w:szCs w:val="32"/>
          <w:lang w:val="en-US" w:eastAsia="zh-CN"/>
        </w:rPr>
      </w:pPr>
      <w:r>
        <w:rPr>
          <w:rFonts w:hint="eastAsia" w:ascii="黑体" w:hAnsi="黑体" w:eastAsia="黑体" w:cs="黑体"/>
          <w:b w:val="0"/>
          <w:bCs w:val="0"/>
          <w:spacing w:val="-16"/>
          <w:sz w:val="32"/>
          <w:szCs w:val="32"/>
          <w:lang w:val="en-US" w:eastAsia="zh-CN"/>
        </w:rPr>
        <w:t>方案要点</w:t>
      </w:r>
    </w:p>
    <w:p w14:paraId="1B2D666A">
      <w:pPr>
        <w:pStyle w:val="2"/>
        <w:keepNext w:val="0"/>
        <w:keepLines w:val="0"/>
        <w:pageBreakBefore w:val="0"/>
        <w:widowControl w:val="0"/>
        <w:kinsoku/>
        <w:wordWrap/>
        <w:overflowPunct/>
        <w:topLinePunct w:val="0"/>
        <w:autoSpaceDE/>
        <w:autoSpaceDN/>
        <w:bidi w:val="0"/>
        <w:adjustRightInd/>
        <w:snapToGrid w:val="0"/>
        <w:spacing w:after="0" w:line="520"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1．处置原则：</w:t>
      </w:r>
      <w:r>
        <w:rPr>
          <w:rFonts w:hint="eastAsia" w:ascii="仿宋_GB2312" w:hAnsi="仿宋_GB2312" w:eastAsia="仿宋_GB2312" w:cs="仿宋_GB2312"/>
          <w:sz w:val="32"/>
          <w:szCs w:val="32"/>
        </w:rPr>
        <w:t>遵循依法合规，利益最大化原则。</w:t>
      </w:r>
    </w:p>
    <w:p w14:paraId="06C531F7">
      <w:pPr>
        <w:pStyle w:val="2"/>
        <w:keepNext w:val="0"/>
        <w:keepLines w:val="0"/>
        <w:pageBreakBefore w:val="0"/>
        <w:widowControl w:val="0"/>
        <w:kinsoku/>
        <w:wordWrap/>
        <w:overflowPunct/>
        <w:topLinePunct w:val="0"/>
        <w:autoSpaceDE/>
        <w:autoSpaceDN/>
        <w:bidi w:val="0"/>
        <w:adjustRightInd/>
        <w:snapToGrid w:val="0"/>
        <w:spacing w:after="0" w:line="520" w:lineRule="exact"/>
        <w:ind w:firstLine="643" w:firstLineChars="200"/>
        <w:textAlignment w:val="auto"/>
        <w:rPr>
          <w:rFonts w:ascii="仿宋_GB2312" w:hAnsi="仿宋_GB2312" w:eastAsia="仿宋_GB2312" w:cs="仿宋_GB2312"/>
          <w:sz w:val="32"/>
          <w:szCs w:val="32"/>
        </w:rPr>
      </w:pPr>
      <w:r>
        <w:rPr>
          <w:rFonts w:ascii="仿宋_GB2312" w:hAnsi="仿宋_GB2312" w:eastAsia="仿宋_GB2312" w:cs="仿宋_GB2312"/>
          <w:b/>
          <w:bCs/>
          <w:sz w:val="32"/>
          <w:szCs w:val="32"/>
        </w:rPr>
        <w:t>2．</w:t>
      </w:r>
      <w:r>
        <w:rPr>
          <w:rFonts w:hint="eastAsia" w:ascii="仿宋_GB2312" w:hAnsi="仿宋_GB2312" w:eastAsia="仿宋_GB2312" w:cs="仿宋_GB2312"/>
          <w:b/>
          <w:bCs/>
          <w:sz w:val="32"/>
          <w:szCs w:val="32"/>
        </w:rPr>
        <w:t>意向受让方应具备的条件：</w:t>
      </w:r>
      <w:r>
        <w:rPr>
          <w:rFonts w:hint="eastAsia" w:ascii="仿宋_GB2312" w:hAnsi="仿宋_GB2312" w:eastAsia="仿宋_GB2312" w:cs="仿宋_GB2312"/>
          <w:sz w:val="32"/>
          <w:szCs w:val="32"/>
          <w:lang w:val="en-US" w:eastAsia="zh-CN"/>
        </w:rPr>
        <w:t>应具有相应回收资质。</w:t>
      </w:r>
    </w:p>
    <w:p w14:paraId="04230F99">
      <w:pPr>
        <w:keepNext w:val="0"/>
        <w:keepLines w:val="0"/>
        <w:pageBreakBefore w:val="0"/>
        <w:widowControl w:val="0"/>
        <w:numPr>
          <w:ilvl w:val="255"/>
          <w:numId w:val="0"/>
        </w:numPr>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snapToGrid w:val="0"/>
          <w:color w:val="000000"/>
          <w:kern w:val="0"/>
          <w:sz w:val="32"/>
          <w:szCs w:val="32"/>
          <w:lang w:val="en-US" w:eastAsia="zh-CN" w:bidi="ar-SA"/>
        </w:rPr>
      </w:pPr>
      <w:r>
        <w:rPr>
          <w:rFonts w:hint="eastAsia" w:ascii="仿宋_GB2312" w:hAnsi="仿宋_GB2312" w:eastAsia="仿宋_GB2312" w:cs="仿宋_GB2312"/>
          <w:b/>
          <w:bCs/>
          <w:kern w:val="0"/>
          <w:sz w:val="32"/>
          <w:szCs w:val="32"/>
        </w:rPr>
        <w:t>3．计价方式：</w:t>
      </w:r>
      <w:r>
        <w:rPr>
          <w:rFonts w:hint="eastAsia" w:ascii="仿宋_GB2312" w:hAnsi="仿宋_GB2312" w:eastAsia="仿宋_GB2312" w:cs="仿宋_GB2312"/>
          <w:snapToGrid w:val="0"/>
          <w:color w:val="000000"/>
          <w:kern w:val="0"/>
          <w:sz w:val="32"/>
          <w:szCs w:val="32"/>
          <w:lang w:val="en-US" w:eastAsia="zh-CN" w:bidi="ar-SA"/>
        </w:rPr>
        <w:t>称重计价（含装卸、运输、再加工等全部相关费用）。</w:t>
      </w:r>
    </w:p>
    <w:p w14:paraId="50072309">
      <w:pPr>
        <w:keepNext w:val="0"/>
        <w:keepLines w:val="0"/>
        <w:pageBreakBefore w:val="0"/>
        <w:widowControl w:val="0"/>
        <w:numPr>
          <w:ilvl w:val="255"/>
          <w:numId w:val="0"/>
        </w:numPr>
        <w:kinsoku/>
        <w:wordWrap/>
        <w:overflowPunct/>
        <w:topLinePunct w:val="0"/>
        <w:autoSpaceDE/>
        <w:autoSpaceDN/>
        <w:bidi w:val="0"/>
        <w:adjustRightInd/>
        <w:snapToGrid w:val="0"/>
        <w:spacing w:line="520" w:lineRule="exact"/>
        <w:ind w:firstLine="643" w:firstLineChars="200"/>
        <w:textAlignment w:val="auto"/>
        <w:rPr>
          <w:rFonts w:hint="default"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4</w:t>
      </w:r>
      <w:bookmarkStart w:id="0" w:name="OLE_LINK1"/>
      <w:r>
        <w:rPr>
          <w:rFonts w:hint="eastAsia" w:ascii="仿宋_GB2312" w:hAnsi="仿宋_GB2312" w:eastAsia="仿宋_GB2312" w:cs="仿宋_GB2312"/>
          <w:b/>
          <w:bCs/>
          <w:kern w:val="0"/>
          <w:sz w:val="32"/>
          <w:szCs w:val="32"/>
        </w:rPr>
        <w:t>．</w:t>
      </w:r>
      <w:bookmarkEnd w:id="0"/>
      <w:r>
        <w:rPr>
          <w:rFonts w:hint="eastAsia" w:ascii="仿宋_GB2312" w:hAnsi="仿宋_GB2312" w:eastAsia="仿宋_GB2312" w:cs="仿宋_GB2312"/>
          <w:b/>
          <w:bCs/>
          <w:snapToGrid w:val="0"/>
          <w:color w:val="000000"/>
          <w:kern w:val="0"/>
          <w:sz w:val="32"/>
          <w:szCs w:val="32"/>
          <w:lang w:val="en-US" w:eastAsia="zh-CN" w:bidi="ar-SA"/>
        </w:rPr>
        <w:t>处置周期：</w:t>
      </w:r>
      <w:r>
        <w:rPr>
          <w:rFonts w:hint="eastAsia" w:ascii="仿宋_GB2312" w:hAnsi="仿宋_GB2312" w:eastAsia="仿宋_GB2312" w:cs="仿宋_GB2312"/>
          <w:b w:val="0"/>
          <w:bCs w:val="0"/>
          <w:snapToGrid w:val="0"/>
          <w:color w:val="000000"/>
          <w:kern w:val="0"/>
          <w:sz w:val="32"/>
          <w:szCs w:val="32"/>
          <w:lang w:val="en-US" w:eastAsia="zh-CN" w:bidi="ar-SA"/>
        </w:rPr>
        <w:t>根据九州科技与九洲后勤签订的《环保锡渣委托管理合同》约定，处置周期：2026年6月至2028年5月。</w:t>
      </w:r>
    </w:p>
    <w:p w14:paraId="7E536223">
      <w:pPr>
        <w:keepNext w:val="0"/>
        <w:keepLines w:val="0"/>
        <w:pageBreakBefore w:val="0"/>
        <w:widowControl w:val="0"/>
        <w:numPr>
          <w:ilvl w:val="255"/>
          <w:numId w:val="0"/>
        </w:numPr>
        <w:kinsoku/>
        <w:wordWrap/>
        <w:overflowPunct/>
        <w:topLinePunct w:val="0"/>
        <w:autoSpaceDE/>
        <w:autoSpaceDN/>
        <w:bidi w:val="0"/>
        <w:adjustRightInd/>
        <w:snapToGrid w:val="0"/>
        <w:spacing w:line="520" w:lineRule="exact"/>
        <w:ind w:firstLine="643" w:firstLineChars="200"/>
        <w:textAlignment w:val="auto"/>
        <w:rPr>
          <w:rFonts w:hint="default" w:ascii="仿宋_GB2312" w:hAnsi="仿宋_GB2312" w:eastAsia="仿宋_GB2312" w:cs="仿宋_GB2312"/>
          <w:b/>
          <w:bCs/>
          <w:snapToGrid w:val="0"/>
          <w:color w:val="000000"/>
          <w:kern w:val="0"/>
          <w:sz w:val="32"/>
          <w:szCs w:val="32"/>
          <w:lang w:val="en-US" w:eastAsia="zh-CN" w:bidi="ar-SA"/>
        </w:rPr>
      </w:pPr>
      <w:r>
        <w:rPr>
          <w:rFonts w:hint="eastAsia" w:ascii="仿宋_GB2312" w:hAnsi="仿宋_GB2312" w:eastAsia="仿宋_GB2312" w:cs="仿宋_GB2312"/>
          <w:b/>
          <w:bCs/>
          <w:snapToGrid w:val="0"/>
          <w:color w:val="000000"/>
          <w:kern w:val="0"/>
          <w:sz w:val="32"/>
          <w:szCs w:val="32"/>
          <w:lang w:val="en-US" w:eastAsia="zh-CN" w:bidi="ar-SA"/>
        </w:rPr>
        <w:t>5</w:t>
      </w:r>
      <w:r>
        <w:rPr>
          <w:rFonts w:hint="eastAsia" w:ascii="仿宋_GB2312" w:hAnsi="仿宋_GB2312" w:eastAsia="仿宋_GB2312" w:cs="仿宋_GB2312"/>
          <w:b/>
          <w:bCs/>
          <w:kern w:val="0"/>
          <w:sz w:val="32"/>
          <w:szCs w:val="32"/>
        </w:rPr>
        <w:t>．</w:t>
      </w:r>
      <w:r>
        <w:rPr>
          <w:rFonts w:hint="eastAsia" w:ascii="仿宋_GB2312" w:hAnsi="仿宋_GB2312" w:eastAsia="仿宋_GB2312" w:cs="仿宋_GB2312"/>
          <w:b/>
          <w:bCs/>
          <w:snapToGrid w:val="0"/>
          <w:color w:val="000000"/>
          <w:kern w:val="0"/>
          <w:sz w:val="32"/>
          <w:szCs w:val="32"/>
          <w:lang w:val="en-US" w:eastAsia="zh-CN" w:bidi="ar-SA"/>
        </w:rPr>
        <w:t>处置底价：</w:t>
      </w:r>
      <w:r>
        <w:rPr>
          <w:rFonts w:hint="eastAsia" w:ascii="仿宋_GB2312" w:hAnsi="仿宋_GB2312" w:eastAsia="仿宋_GB2312" w:cs="仿宋_GB2312"/>
          <w:b w:val="0"/>
          <w:bCs w:val="0"/>
          <w:snapToGrid w:val="0"/>
          <w:color w:val="000000"/>
          <w:kern w:val="0"/>
          <w:sz w:val="32"/>
          <w:szCs w:val="32"/>
          <w:lang w:val="en-US" w:eastAsia="zh-CN" w:bidi="ar-SA"/>
        </w:rPr>
        <w:t>拟处置物资为高价值生产性废旧金属,其市场回收价格波动较大。每次开展公开处置环保锡渣前，九州科技向九洲后勤出具调研价格，作为当次环保锡渣处置控制底价。</w:t>
      </w:r>
    </w:p>
    <w:p w14:paraId="38BBDF3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kern w:val="0"/>
          <w:sz w:val="32"/>
          <w:szCs w:val="32"/>
          <w:lang w:val="en-US" w:eastAsia="zh-CN"/>
        </w:rPr>
        <w:t>6</w:t>
      </w:r>
      <w:r>
        <w:rPr>
          <w:rFonts w:hint="eastAsia" w:ascii="仿宋_GB2312" w:hAnsi="仿宋_GB2312" w:eastAsia="仿宋_GB2312" w:cs="仿宋_GB2312"/>
          <w:b/>
          <w:bCs/>
          <w:kern w:val="0"/>
          <w:sz w:val="32"/>
          <w:szCs w:val="32"/>
        </w:rPr>
        <w:t>．处置方式：</w:t>
      </w:r>
      <w:r>
        <w:rPr>
          <w:rFonts w:hint="eastAsia" w:ascii="仿宋_GB2312" w:hAnsi="仿宋_GB2312" w:eastAsia="仿宋_GB2312" w:cs="仿宋_GB2312"/>
          <w:b w:val="0"/>
          <w:bCs w:val="0"/>
          <w:kern w:val="0"/>
          <w:sz w:val="32"/>
          <w:szCs w:val="32"/>
        </w:rPr>
        <w:t>在处置周期内根据处置频率进行公开处置。</w:t>
      </w:r>
      <w:r>
        <w:rPr>
          <w:rFonts w:hint="eastAsia" w:ascii="仿宋_GB2312" w:hAnsi="仿宋_GB2312" w:eastAsia="仿宋_GB2312" w:cs="仿宋_GB2312"/>
          <w:b w:val="0"/>
          <w:bCs w:val="0"/>
          <w:kern w:val="0"/>
          <w:sz w:val="32"/>
          <w:szCs w:val="32"/>
          <w:lang w:val="en-US" w:eastAsia="zh-CN"/>
        </w:rPr>
        <w:t>每次处置均需</w:t>
      </w:r>
      <w:r>
        <w:rPr>
          <w:rFonts w:hint="eastAsia" w:ascii="仿宋_GB2312" w:hAnsi="仿宋_GB2312" w:eastAsia="仿宋_GB2312" w:cs="仿宋_GB2312"/>
          <w:bCs w:val="0"/>
          <w:color w:val="000000"/>
          <w:sz w:val="32"/>
          <w:szCs w:val="32"/>
          <w:lang w:val="en-US" w:eastAsia="zh-CN"/>
        </w:rPr>
        <w:t>在线上通过九洲官网公示处置信息</w:t>
      </w:r>
      <w:r>
        <w:rPr>
          <w:rFonts w:hint="eastAsia" w:ascii="仿宋_GB2312" w:hAnsi="仿宋_GB2312" w:eastAsia="仿宋_GB2312" w:cs="仿宋_GB2312"/>
          <w:sz w:val="32"/>
          <w:szCs w:val="32"/>
        </w:rPr>
        <w:t>。在线下广泛通知信用记录良好的资源回收方（预计不低于</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家）参与竞价。</w:t>
      </w:r>
    </w:p>
    <w:p w14:paraId="39058820">
      <w:pPr>
        <w:keepNext w:val="0"/>
        <w:keepLines w:val="0"/>
        <w:pageBreakBefore w:val="0"/>
        <w:widowControl w:val="0"/>
        <w:numPr>
          <w:ilvl w:val="255"/>
          <w:numId w:val="0"/>
        </w:numPr>
        <w:kinsoku/>
        <w:wordWrap/>
        <w:overflowPunct/>
        <w:topLinePunct w:val="0"/>
        <w:autoSpaceDE/>
        <w:autoSpaceDN/>
        <w:bidi w:val="0"/>
        <w:adjustRightInd/>
        <w:snapToGrid w:val="0"/>
        <w:spacing w:line="520" w:lineRule="exact"/>
        <w:ind w:firstLine="643" w:firstLineChars="200"/>
        <w:textAlignment w:val="auto"/>
        <w:rPr>
          <w:rFonts w:ascii="仿宋_GB2312" w:hAnsi="仿宋_GB2312" w:eastAsia="仿宋_GB2312" w:cs="仿宋_GB2312"/>
          <w:spacing w:val="0"/>
          <w:sz w:val="32"/>
          <w:szCs w:val="32"/>
        </w:rPr>
      </w:pP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pacing w:val="-11"/>
          <w:sz w:val="32"/>
          <w:szCs w:val="32"/>
        </w:rPr>
        <w:t>受让方确定方式：</w:t>
      </w:r>
      <w:r>
        <w:rPr>
          <w:rFonts w:hint="eastAsia" w:ascii="仿宋_GB2312" w:hAnsi="仿宋_GB2312" w:eastAsia="仿宋_GB2312" w:cs="仿宋_GB2312"/>
          <w:b w:val="0"/>
          <w:bCs w:val="0"/>
          <w:spacing w:val="-11"/>
          <w:sz w:val="32"/>
          <w:szCs w:val="32"/>
          <w:lang w:val="en-US" w:eastAsia="zh-CN"/>
        </w:rPr>
        <w:t>在处置周期内，由九洲后勤</w:t>
      </w:r>
      <w:r>
        <w:rPr>
          <w:rFonts w:hint="eastAsia" w:ascii="仿宋_GB2312" w:hAnsi="仿宋_GB2312" w:eastAsia="仿宋_GB2312" w:cs="仿宋_GB2312"/>
          <w:bCs w:val="0"/>
          <w:color w:val="000000"/>
          <w:sz w:val="32"/>
          <w:szCs w:val="32"/>
          <w:lang w:val="en-US" w:eastAsia="zh-CN"/>
        </w:rPr>
        <w:t>采用现场二轮暗标竞价方式，以报价不低于底价且最高者作为最终中选人；若第二轮出现报价并列第一的情况，则再次以现场书面暗标竞价，直至出现最高报价，作为最终中选人。</w:t>
      </w:r>
    </w:p>
    <w:p w14:paraId="198E6989">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8</w:t>
      </w:r>
      <w:r>
        <w:rPr>
          <w:rFonts w:hint="eastAsia" w:ascii="仿宋_GB2312" w:hAnsi="仿宋_GB2312" w:eastAsia="仿宋_GB2312" w:cs="仿宋_GB2312"/>
          <w:b/>
          <w:bCs/>
          <w:sz w:val="32"/>
          <w:szCs w:val="32"/>
        </w:rPr>
        <w:t>．付款方式：</w:t>
      </w:r>
      <w:r>
        <w:rPr>
          <w:rFonts w:hint="eastAsia" w:ascii="仿宋_GB2312" w:hAnsi="仿宋_GB2312" w:eastAsia="仿宋_GB2312" w:cs="仿宋_GB2312"/>
          <w:bCs w:val="0"/>
          <w:color w:val="000000"/>
          <w:sz w:val="32"/>
          <w:szCs w:val="32"/>
          <w:lang w:val="en-US" w:eastAsia="zh-CN"/>
        </w:rPr>
        <w:t>一次性付清全部处置款项后，方可进行环保锡渣清运。</w:t>
      </w:r>
    </w:p>
    <w:p w14:paraId="63E442B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9</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交易</w:t>
      </w:r>
      <w:r>
        <w:rPr>
          <w:rFonts w:hint="eastAsia" w:ascii="仿宋_GB2312" w:hAnsi="仿宋_GB2312" w:eastAsia="仿宋_GB2312" w:cs="仿宋_GB2312"/>
          <w:b/>
          <w:bCs/>
          <w:sz w:val="32"/>
          <w:szCs w:val="32"/>
        </w:rPr>
        <w:t>保证金：</w:t>
      </w:r>
      <w:r>
        <w:rPr>
          <w:rFonts w:hint="eastAsia" w:ascii="仿宋_GB2312" w:hAnsi="仿宋_GB2312" w:eastAsia="仿宋_GB2312" w:cs="仿宋_GB2312"/>
          <w:bCs w:val="0"/>
          <w:color w:val="000000"/>
          <w:sz w:val="32"/>
          <w:szCs w:val="32"/>
          <w:lang w:val="en-US" w:eastAsia="zh-CN"/>
        </w:rPr>
        <w:t>200000元（大写：贰拾万元整），根据《企业国有资产交易操作规则》（国资发产权规〔2025〕17号）文件规定，“第十一条 转让方除按照《办法》第十五条相关规定披露信息外，正式信息披露公告中还应当就转让标的在评估基准日后发生的重大事项、交易保证金交纳要求等内容进行披露。涉及交纳交易保证金的，金额一般不超过转让底价的30％”。</w:t>
      </w:r>
    </w:p>
    <w:p w14:paraId="74AA3B9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p>
    <w:p w14:paraId="0CE33A7F">
      <w:pPr>
        <w:pStyle w:val="2"/>
        <w:keepNext w:val="0"/>
        <w:keepLines w:val="0"/>
        <w:pageBreakBefore w:val="0"/>
        <w:wordWrap/>
        <w:overflowPunct/>
        <w:topLinePunct w:val="0"/>
        <w:bidi w:val="0"/>
        <w:adjustRightInd w:val="0"/>
        <w:snapToGrid w:val="0"/>
        <w:spacing w:before="0" w:line="520" w:lineRule="exact"/>
        <w:ind w:right="0" w:firstLine="640" w:firstLineChars="200"/>
        <w:jc w:val="both"/>
        <w:rPr>
          <w:rFonts w:hint="eastAsia" w:ascii="仿宋_GB2312" w:hAnsi="仿宋_GB2312" w:eastAsia="仿宋_GB2312" w:cs="仿宋_GB2312"/>
          <w:sz w:val="32"/>
          <w:szCs w:val="32"/>
          <w:lang w:val="en-US" w:eastAsia="zh-CN"/>
        </w:rPr>
      </w:pPr>
    </w:p>
    <w:p w14:paraId="19D36020">
      <w:pPr>
        <w:pStyle w:val="2"/>
        <w:keepNext w:val="0"/>
        <w:keepLines w:val="0"/>
        <w:pageBreakBefore w:val="0"/>
        <w:wordWrap/>
        <w:overflowPunct/>
        <w:topLinePunct w:val="0"/>
        <w:bidi w:val="0"/>
        <w:adjustRightInd w:val="0"/>
        <w:snapToGrid w:val="0"/>
        <w:spacing w:before="0" w:line="520" w:lineRule="exact"/>
        <w:ind w:right="0" w:firstLine="640" w:firstLineChars="200"/>
        <w:jc w:val="both"/>
        <w:rPr>
          <w:rFonts w:hint="eastAsia" w:ascii="仿宋_GB2312" w:hAnsi="仿宋_GB2312" w:eastAsia="仿宋_GB2312" w:cs="仿宋_GB2312"/>
          <w:sz w:val="32"/>
          <w:szCs w:val="32"/>
          <w:lang w:val="en-US" w:eastAsia="zh-CN"/>
        </w:rPr>
      </w:pPr>
    </w:p>
    <w:p w14:paraId="42B27F1C">
      <w:pPr>
        <w:rPr>
          <w:rFonts w:hint="eastAsia" w:ascii="仿宋_GB2312" w:hAnsi="仿宋_GB2312" w:eastAsia="仿宋_GB2312" w:cs="仿宋_GB2312"/>
          <w:sz w:val="32"/>
          <w:szCs w:val="32"/>
          <w:lang w:val="en-US" w:eastAsia="zh-CN"/>
        </w:rPr>
      </w:pPr>
    </w:p>
    <w:p w14:paraId="2F02EEC4">
      <w:pPr>
        <w:pStyle w:val="2"/>
        <w:keepNext w:val="0"/>
        <w:keepLines w:val="0"/>
        <w:pageBreakBefore w:val="0"/>
        <w:wordWrap/>
        <w:overflowPunct/>
        <w:topLinePunct w:val="0"/>
        <w:bidi w:val="0"/>
        <w:adjustRightInd w:val="0"/>
        <w:snapToGrid w:val="0"/>
        <w:spacing w:before="0" w:line="520" w:lineRule="exact"/>
        <w:ind w:right="0" w:firstLine="640" w:firstLineChars="200"/>
        <w:jc w:val="both"/>
        <w:rPr>
          <w:rFonts w:hint="default" w:ascii="仿宋_GB2312" w:hAnsi="仿宋_GB2312" w:eastAsia="仿宋_GB2312" w:cs="仿宋_GB2312"/>
          <w:sz w:val="32"/>
          <w:szCs w:val="32"/>
          <w:lang w:val="en-US" w:eastAsia="zh-CN"/>
        </w:rPr>
      </w:pPr>
    </w:p>
    <w:p w14:paraId="0624D2DB">
      <w:pPr>
        <w:pStyle w:val="2"/>
        <w:keepNext w:val="0"/>
        <w:keepLines w:val="0"/>
        <w:pageBreakBefore w:val="0"/>
        <w:wordWrap/>
        <w:overflowPunct/>
        <w:topLinePunct w:val="0"/>
        <w:bidi w:val="0"/>
        <w:adjustRightInd w:val="0"/>
        <w:snapToGrid w:val="0"/>
        <w:spacing w:before="0" w:line="520" w:lineRule="exact"/>
        <w:ind w:right="0" w:firstLine="2937" w:firstLineChars="918"/>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四川九洲后勤服务有限责任公司</w:t>
      </w:r>
    </w:p>
    <w:p w14:paraId="4D31CCA2">
      <w:pPr>
        <w:pStyle w:val="2"/>
        <w:keepNext w:val="0"/>
        <w:keepLines w:val="0"/>
        <w:pageBreakBefore w:val="0"/>
        <w:wordWrap/>
        <w:overflowPunct/>
        <w:topLinePunct w:val="0"/>
        <w:bidi w:val="0"/>
        <w:adjustRightInd w:val="0"/>
        <w:snapToGrid w:val="0"/>
        <w:spacing w:before="0" w:line="520" w:lineRule="exact"/>
        <w:ind w:right="0" w:firstLine="4198" w:firstLineChars="1312"/>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2026年6月12</w:t>
      </w:r>
      <w:bookmarkStart w:id="1" w:name="_GoBack"/>
      <w:bookmarkEnd w:id="1"/>
      <w:r>
        <w:rPr>
          <w:rFonts w:hint="eastAsia" w:ascii="仿宋_GB2312" w:hAnsi="仿宋_GB2312" w:eastAsia="仿宋_GB2312" w:cs="仿宋_GB2312"/>
          <w:sz w:val="32"/>
          <w:szCs w:val="32"/>
          <w:lang w:val="en-US" w:eastAsia="zh-CN"/>
        </w:rPr>
        <w:t>日</w:t>
      </w:r>
    </w:p>
    <w:p w14:paraId="343C16E9">
      <w:pPr>
        <w:keepNext w:val="0"/>
        <w:keepLines w:val="0"/>
        <w:pageBreakBefore w:val="0"/>
        <w:widowControl/>
        <w:kinsoku w:val="0"/>
        <w:wordWrap/>
        <w:overflowPunct/>
        <w:topLinePunct w:val="0"/>
        <w:autoSpaceDE/>
        <w:autoSpaceDN/>
        <w:bidi w:val="0"/>
        <w:adjustRightInd w:val="0"/>
        <w:snapToGrid w:val="0"/>
        <w:spacing w:line="560" w:lineRule="exact"/>
        <w:ind w:right="0" w:rightChars="0" w:firstLine="0" w:firstLineChars="0"/>
        <w:jc w:val="right"/>
        <w:textAlignment w:val="baseline"/>
        <w:rPr>
          <w:rFonts w:hint="eastAsia" w:ascii="仿宋_GB2312" w:hAnsi="仿宋_GB2312" w:eastAsia="仿宋_GB2312" w:cs="仿宋_GB2312"/>
          <w:b w:val="0"/>
          <w:bCs w:val="0"/>
          <w:snapToGrid w:val="0"/>
          <w:color w:val="000000"/>
          <w:spacing w:val="1"/>
          <w:kern w:val="0"/>
          <w:sz w:val="32"/>
          <w:szCs w:val="32"/>
          <w:lang w:val="en-US" w:eastAsia="zh-CN" w:bidi="ar-SA"/>
        </w:rPr>
      </w:pPr>
    </w:p>
    <w:p w14:paraId="3762373A">
      <w:pPr>
        <w:ind w:right="1050" w:rightChars="500"/>
        <w:jc w:val="both"/>
        <w:rPr>
          <w:rFonts w:hint="default" w:ascii="仿宋_GB2312" w:hAnsi="仿宋_GB2312" w:eastAsia="仿宋_GB2312" w:cs="仿宋_GB2312"/>
          <w:sz w:val="32"/>
          <w:szCs w:val="32"/>
          <w:lang w:val="en-US" w:eastAsia="zh-CN"/>
        </w:rPr>
      </w:pPr>
    </w:p>
    <w:sectPr>
      <w:pgSz w:w="11900" w:h="16840"/>
      <w:pgMar w:top="2098" w:right="1474" w:bottom="1984" w:left="158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8EFF4D"/>
    <w:multiLevelType w:val="singleLevel"/>
    <w:tmpl w:val="308EFF4D"/>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revisionView w:markup="0"/>
  <w:trackRevisions w:val="1"/>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GYwNTdiMDA2MTU0NjRjMmM1NTg4ODk2MzRhNTkzOWUifQ=="/>
  </w:docVars>
  <w:rsids>
    <w:rsidRoot w:val="00000000"/>
    <w:rsid w:val="00502D19"/>
    <w:rsid w:val="00A16BE5"/>
    <w:rsid w:val="00D24EE8"/>
    <w:rsid w:val="01D725EF"/>
    <w:rsid w:val="01DB7918"/>
    <w:rsid w:val="01E25714"/>
    <w:rsid w:val="02E609E3"/>
    <w:rsid w:val="03546191"/>
    <w:rsid w:val="04762137"/>
    <w:rsid w:val="05E41A4E"/>
    <w:rsid w:val="06CE0008"/>
    <w:rsid w:val="074309F6"/>
    <w:rsid w:val="079528D4"/>
    <w:rsid w:val="0802440D"/>
    <w:rsid w:val="08641C7A"/>
    <w:rsid w:val="08766BA9"/>
    <w:rsid w:val="08E104C7"/>
    <w:rsid w:val="091A7A1D"/>
    <w:rsid w:val="0AB44837"/>
    <w:rsid w:val="0B097861"/>
    <w:rsid w:val="0B52745A"/>
    <w:rsid w:val="0BAD643E"/>
    <w:rsid w:val="0BFC1173"/>
    <w:rsid w:val="0D0A78C0"/>
    <w:rsid w:val="0D4A120C"/>
    <w:rsid w:val="0F8120BC"/>
    <w:rsid w:val="104F3F68"/>
    <w:rsid w:val="11274EE5"/>
    <w:rsid w:val="114E06C3"/>
    <w:rsid w:val="116E2B13"/>
    <w:rsid w:val="11C97D4A"/>
    <w:rsid w:val="12356DB5"/>
    <w:rsid w:val="12435D4E"/>
    <w:rsid w:val="13A9348B"/>
    <w:rsid w:val="150D23FC"/>
    <w:rsid w:val="15A20FDE"/>
    <w:rsid w:val="16567748"/>
    <w:rsid w:val="166B13D0"/>
    <w:rsid w:val="167C35DD"/>
    <w:rsid w:val="16C32FBA"/>
    <w:rsid w:val="16CB00C0"/>
    <w:rsid w:val="176A78D9"/>
    <w:rsid w:val="17E30AB0"/>
    <w:rsid w:val="185529B0"/>
    <w:rsid w:val="18F3727C"/>
    <w:rsid w:val="198D5B01"/>
    <w:rsid w:val="1AA80E44"/>
    <w:rsid w:val="1AC36D5D"/>
    <w:rsid w:val="1B9E5DA3"/>
    <w:rsid w:val="1BF920E7"/>
    <w:rsid w:val="1C71170A"/>
    <w:rsid w:val="1E334EC9"/>
    <w:rsid w:val="1EE7180F"/>
    <w:rsid w:val="1F066139"/>
    <w:rsid w:val="1F75506D"/>
    <w:rsid w:val="1FA31BDA"/>
    <w:rsid w:val="1FD57DEB"/>
    <w:rsid w:val="212D7486"/>
    <w:rsid w:val="216329EA"/>
    <w:rsid w:val="21801AD0"/>
    <w:rsid w:val="21A019AE"/>
    <w:rsid w:val="21FA5CFD"/>
    <w:rsid w:val="23A6613D"/>
    <w:rsid w:val="23F73406"/>
    <w:rsid w:val="24F96B7D"/>
    <w:rsid w:val="25585215"/>
    <w:rsid w:val="25FC5A7F"/>
    <w:rsid w:val="26050375"/>
    <w:rsid w:val="26AA1AA0"/>
    <w:rsid w:val="26B15C75"/>
    <w:rsid w:val="27E20F00"/>
    <w:rsid w:val="29791BFE"/>
    <w:rsid w:val="29A13969"/>
    <w:rsid w:val="29C410CB"/>
    <w:rsid w:val="2AC450FA"/>
    <w:rsid w:val="2B057BED"/>
    <w:rsid w:val="2B77216D"/>
    <w:rsid w:val="2C5801F0"/>
    <w:rsid w:val="2C5A7AC4"/>
    <w:rsid w:val="2E750BE6"/>
    <w:rsid w:val="2E755089"/>
    <w:rsid w:val="31A55C86"/>
    <w:rsid w:val="32002EBC"/>
    <w:rsid w:val="3273368E"/>
    <w:rsid w:val="327E2F0A"/>
    <w:rsid w:val="33634C7E"/>
    <w:rsid w:val="33F374F1"/>
    <w:rsid w:val="34DA79F4"/>
    <w:rsid w:val="34E56399"/>
    <w:rsid w:val="35683252"/>
    <w:rsid w:val="37737C8C"/>
    <w:rsid w:val="37CF0055"/>
    <w:rsid w:val="37F054DF"/>
    <w:rsid w:val="388D4D7E"/>
    <w:rsid w:val="39F90B2D"/>
    <w:rsid w:val="3A306DC6"/>
    <w:rsid w:val="3AB30A8A"/>
    <w:rsid w:val="3B561D9F"/>
    <w:rsid w:val="3D622601"/>
    <w:rsid w:val="3DF633C5"/>
    <w:rsid w:val="3EA6303D"/>
    <w:rsid w:val="3EFF0886"/>
    <w:rsid w:val="3F3423F7"/>
    <w:rsid w:val="3FAE4FD7"/>
    <w:rsid w:val="417E5BAB"/>
    <w:rsid w:val="41962BCF"/>
    <w:rsid w:val="41A03D74"/>
    <w:rsid w:val="423F17DF"/>
    <w:rsid w:val="427E0E35"/>
    <w:rsid w:val="43B228DE"/>
    <w:rsid w:val="43CA332A"/>
    <w:rsid w:val="45280176"/>
    <w:rsid w:val="461B0FCF"/>
    <w:rsid w:val="46274184"/>
    <w:rsid w:val="465675BC"/>
    <w:rsid w:val="47E81FD1"/>
    <w:rsid w:val="486D24D6"/>
    <w:rsid w:val="48CD3679"/>
    <w:rsid w:val="49117305"/>
    <w:rsid w:val="49A60395"/>
    <w:rsid w:val="4A161077"/>
    <w:rsid w:val="4A203CA4"/>
    <w:rsid w:val="4A7E7E53"/>
    <w:rsid w:val="4AAC151D"/>
    <w:rsid w:val="4B7C315C"/>
    <w:rsid w:val="4B9E7D0E"/>
    <w:rsid w:val="4C2A0E0A"/>
    <w:rsid w:val="4D800973"/>
    <w:rsid w:val="4DD70B1D"/>
    <w:rsid w:val="4E37780E"/>
    <w:rsid w:val="4F7C3032"/>
    <w:rsid w:val="4F930FDA"/>
    <w:rsid w:val="4FAB04B3"/>
    <w:rsid w:val="4FD572DE"/>
    <w:rsid w:val="501716A5"/>
    <w:rsid w:val="50FE2865"/>
    <w:rsid w:val="513F36DC"/>
    <w:rsid w:val="518A7C57"/>
    <w:rsid w:val="51A41018"/>
    <w:rsid w:val="51A64C73"/>
    <w:rsid w:val="5248023B"/>
    <w:rsid w:val="52514EE6"/>
    <w:rsid w:val="52A86F2C"/>
    <w:rsid w:val="52C04276"/>
    <w:rsid w:val="53270749"/>
    <w:rsid w:val="53DC40CB"/>
    <w:rsid w:val="54F16968"/>
    <w:rsid w:val="55200FFC"/>
    <w:rsid w:val="57E04A72"/>
    <w:rsid w:val="59205A6E"/>
    <w:rsid w:val="59505C28"/>
    <w:rsid w:val="59B853BE"/>
    <w:rsid w:val="59E7033A"/>
    <w:rsid w:val="5A292701"/>
    <w:rsid w:val="5AE42ACB"/>
    <w:rsid w:val="5CE84AF5"/>
    <w:rsid w:val="5DDB01B6"/>
    <w:rsid w:val="5E5F7C5B"/>
    <w:rsid w:val="5FD61D35"/>
    <w:rsid w:val="60A30D33"/>
    <w:rsid w:val="61673224"/>
    <w:rsid w:val="62410803"/>
    <w:rsid w:val="63705AE8"/>
    <w:rsid w:val="63A05D85"/>
    <w:rsid w:val="63C90AB0"/>
    <w:rsid w:val="64630F05"/>
    <w:rsid w:val="64A55079"/>
    <w:rsid w:val="651B4BA8"/>
    <w:rsid w:val="66301F86"/>
    <w:rsid w:val="66774E5D"/>
    <w:rsid w:val="66EE712C"/>
    <w:rsid w:val="676034DA"/>
    <w:rsid w:val="677222A3"/>
    <w:rsid w:val="691D3AE3"/>
    <w:rsid w:val="6A276531"/>
    <w:rsid w:val="6A9877EF"/>
    <w:rsid w:val="6AEA560B"/>
    <w:rsid w:val="6B3D700E"/>
    <w:rsid w:val="6DAF51BB"/>
    <w:rsid w:val="6DB8406F"/>
    <w:rsid w:val="6E747592"/>
    <w:rsid w:val="6F0D3F47"/>
    <w:rsid w:val="70C8281B"/>
    <w:rsid w:val="7137174F"/>
    <w:rsid w:val="71493231"/>
    <w:rsid w:val="71830812"/>
    <w:rsid w:val="71CB037D"/>
    <w:rsid w:val="734D358F"/>
    <w:rsid w:val="737E5413"/>
    <w:rsid w:val="73B827D7"/>
    <w:rsid w:val="73CE7C17"/>
    <w:rsid w:val="743B0D92"/>
    <w:rsid w:val="74DA2E09"/>
    <w:rsid w:val="74EA0887"/>
    <w:rsid w:val="752D5343"/>
    <w:rsid w:val="764741E2"/>
    <w:rsid w:val="76F53C3E"/>
    <w:rsid w:val="774F3615"/>
    <w:rsid w:val="777234E1"/>
    <w:rsid w:val="78CF43F6"/>
    <w:rsid w:val="79684D71"/>
    <w:rsid w:val="79701CA2"/>
    <w:rsid w:val="7A4F6AAB"/>
    <w:rsid w:val="7AD93877"/>
    <w:rsid w:val="7C0300A3"/>
    <w:rsid w:val="7C286864"/>
    <w:rsid w:val="7DE06CCB"/>
    <w:rsid w:val="7F0D3AEF"/>
    <w:rsid w:val="7F236DCF"/>
    <w:rsid w:val="7F8A51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semiHidden/>
    <w:qFormat/>
    <w:uiPriority w:val="0"/>
    <w:rPr>
      <w:rFonts w:ascii="仿宋" w:hAnsi="仿宋" w:eastAsia="仿宋" w:cs="仿宋"/>
      <w:sz w:val="26"/>
      <w:szCs w:val="26"/>
      <w:lang w:val="en-US" w:eastAsia="en-US" w:bidi="ar-SA"/>
    </w:rPr>
  </w:style>
  <w:style w:type="paragraph" w:styleId="3">
    <w:name w:val="Body Text 2"/>
    <w:basedOn w:val="1"/>
    <w:autoRedefine/>
    <w:qFormat/>
    <w:uiPriority w:val="0"/>
    <w:pPr>
      <w:spacing w:line="600" w:lineRule="exact"/>
      <w:ind w:left="1280" w:hanging="1280" w:hangingChars="400"/>
    </w:p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autoRedefine/>
    <w:qFormat/>
    <w:uiPriority w:val="0"/>
    <w:rPr>
      <w:b/>
    </w:rPr>
  </w:style>
  <w:style w:type="table" w:customStyle="1" w:styleId="8">
    <w:name w:val="Table Normal"/>
    <w:autoRedefine/>
    <w:semiHidden/>
    <w:unhideWhenUsed/>
    <w:qFormat/>
    <w:uiPriority w:val="0"/>
    <w:tblPr>
      <w:tblCellMar>
        <w:top w:w="0" w:type="dxa"/>
        <w:left w:w="0" w:type="dxa"/>
        <w:bottom w:w="0" w:type="dxa"/>
        <w:right w:w="0" w:type="dxa"/>
      </w:tblCellMar>
    </w:tblPr>
  </w:style>
  <w:style w:type="paragraph" w:customStyle="1" w:styleId="9">
    <w:name w:val="Table Text"/>
    <w:basedOn w:val="1"/>
    <w:autoRedefine/>
    <w:semiHidden/>
    <w:qFormat/>
    <w:uiPriority w:val="0"/>
    <w:rPr>
      <w:rFonts w:ascii="宋体" w:hAnsi="宋体" w:eastAsia="宋体" w:cs="宋体"/>
      <w:sz w:val="18"/>
      <w:szCs w:val="18"/>
      <w:lang w:val="en-US" w:eastAsia="en-US" w:bidi="ar-SA"/>
    </w:rPr>
  </w:style>
  <w:style w:type="paragraph" w:styleId="10">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1cd5e43a-caf6-4a7d-8bf1-2a450314fa05</errorID>
      <errorWord>超</errorWord>
      <group>L1_Word</group>
      <groupName>字词问题</groupName>
      <ability>L2_Typo</ability>
      <abilityName>字词错误</abilityName>
      <candidateList>
        <item>超过</item>
      </candidateList>
      <explain/>
      <paraID>58160D94</paraID>
      <start>48</start>
      <end>49</end>
      <status>unmodified</status>
      <modifiedWord/>
      <trackRevisions>false</trackRevisions>
    </reviewItem>
    <reviewItem>
      <errorID>6a74aea7-9d5a-4f8a-884c-077c70ae6653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529102CD</paraID>
      <start>0</start>
      <end>2</end>
      <status>unmodified</status>
      <modifiedWord/>
      <trackRevisions>false</trackRevisions>
    </reviewItem>
    <reviewItem>
      <errorID>cc818089-72d1-4f65-bd03-9122866731e5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1FF1CA18</paraID>
      <start>0</start>
      <end>2</end>
      <status>unmodified</status>
      <modifiedWord/>
      <trackRevisions>false</trackRevisions>
    </reviewItem>
    <reviewItem>
      <errorID>b1317093-3381-4d5d-90fb-df834cd3265a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493E1134</paraID>
      <start>0</start>
      <end>2</end>
      <status>unmodified</status>
      <modifiedWord/>
      <trackRevisions>false</trackRevisions>
    </reviewItem>
    <reviewItem>
      <errorID>bb4b6483-b563-4012-be11-e70321e5adf5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75A15FB6</paraID>
      <start>0</start>
      <end>2</end>
      <status>unmodified</status>
      <modifiedWord/>
      <trackRevisions>false</trackRevisions>
    </reviewItem>
    <reviewItem>
      <errorID>b515b4f9-eb38-4db5-9e21-23c31050184e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4B1F785B</paraID>
      <start>0</start>
      <end>2</end>
      <status>unmodified</status>
      <modifiedWord/>
      <trackRevisions>false</trackRevisions>
    </reviewItem>
    <reviewItem>
      <errorID>b2aeebcc-da82-4541-abed-9af2bd417f02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6552DAA0</paraID>
      <start>0</start>
      <end>2</end>
      <status>unmodified</status>
      <modifiedWord/>
      <trackRevisions>false</trackRevisions>
    </reviewItem>
    <reviewItem>
      <errorID>b38e3f5f-9d29-4c19-8984-4f4da068af6c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40258496</paraID>
      <start>0</start>
      <end>2</end>
      <status>unmodified</status>
      <modifiedWord/>
      <trackRevisions>false</trackRevisions>
    </reviewItem>
    <reviewItem>
      <errorID>d6ae4047-4fb8-4c9b-b3a2-5fc7eac7a3f9</errorID>
      <errorWord>(</errorWord>
      <group>L1_Format</group>
      <groupName>格式问题</groupName>
      <ability>L2_HalfPunc</ability>
      <abilityName>全半角检查</abilityName>
      <candidateList>
        <item>（</item>
      </candidateList>
      <explain>文本全半角错误。</explain>
      <paraID>11F0F2D7</paraID>
      <start>12</start>
      <end>13</end>
      <status>unmodified</status>
      <modifiedWord/>
      <trackRevisions>false</trackRevisions>
    </reviewItem>
  </reviewItems>
  <config/>
</contractReview>
</file>

<file path=customXml/itemProps1.xml><?xml version="1.0" encoding="utf-8"?>
<ds:datastoreItem xmlns:ds="http://schemas.openxmlformats.org/officeDocument/2006/customXml" ds:itemID="{bd1ac9c4-945a-4357-8d02-3166614f21ce}">
  <ds:schemaRefs/>
</ds:datastoreItem>
</file>

<file path=docProps/app.xml><?xml version="1.0" encoding="utf-8"?>
<Properties xmlns="http://schemas.openxmlformats.org/officeDocument/2006/extended-properties" xmlns:vt="http://schemas.openxmlformats.org/officeDocument/2006/docPropsVTypes">
  <Pages>3</Pages>
  <Words>1021</Words>
  <Characters>1069</Characters>
  <TotalTime>6</TotalTime>
  <ScaleCrop>false</ScaleCrop>
  <LinksUpToDate>false</LinksUpToDate>
  <CharactersWithSpaces>1070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2025-04-17T19:55:00Z</dcterms:created>
  <dc:creator>admin</dc:creator>
  <cp:lastModifiedBy>大话英雄</cp:lastModifiedBy>
  <dcterms:modified xsi:type="dcterms:W3CDTF">2026-06-17T01:22:16Z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2025-04-17T19:55:55Z</vt:filetime>
  </property>
  <property fmtid="{D5CDD505-2E9C-101B-9397-08002B2CF9AE}" pid="4" name="UsrData">
    <vt:lpwstr>6800ec48da9aad00209c5a48wl</vt:lpwstr>
  </property>
  <property fmtid="{D5CDD505-2E9C-101B-9397-08002B2CF9AE}" pid="5" name="KSOProductBuildVer">
    <vt:lpwstr>2052-12.1.0.26895</vt:lpwstr>
  </property>
  <property fmtid="{D5CDD505-2E9C-101B-9397-08002B2CF9AE}" pid="6" name="ICV">
    <vt:lpwstr>8AE3D57C40DA47D6A73BF81DAE2E7763_13</vt:lpwstr>
  </property>
  <property fmtid="{D5CDD505-2E9C-101B-9397-08002B2CF9AE}" pid="7" name="KSOTemplateDocerSaveRecord">
    <vt:lpwstr>eyJoZGlkIjoiZjA0MDViMjRlZDUyMGU5OWE2YWIzYmU2MDZmZjI4NDYiLCJ1c2VySWQiOiIzMDc2NTEzNjUifQ==</vt:lpwstr>
  </property>
</Properties>
</file>