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81227">
      <w:pPr>
        <w:tabs>
          <w:tab w:val="left" w:pos="2505"/>
          <w:tab w:val="center" w:pos="4204"/>
        </w:tabs>
        <w:adjustRightInd w:val="0"/>
        <w:snapToGrid w:val="0"/>
        <w:spacing w:line="360" w:lineRule="auto"/>
        <w:jc w:val="center"/>
        <w:rPr>
          <w:rFonts w:hint="eastAsia" w:ascii="仿宋" w:hAnsi="仿宋" w:eastAsia="仿宋" w:cs="仿宋_GB2312"/>
          <w:b/>
          <w:sz w:val="48"/>
          <w:szCs w:val="48"/>
        </w:rPr>
      </w:pPr>
      <w:r>
        <w:rPr>
          <w:rFonts w:hint="eastAsia" w:ascii="仿宋" w:hAnsi="仿宋" w:eastAsia="仿宋" w:cs="仿宋_GB2312"/>
          <w:b/>
          <w:sz w:val="48"/>
          <w:szCs w:val="48"/>
        </w:rPr>
        <w:t>重庆九洲智造科技有限公司</w:t>
      </w:r>
    </w:p>
    <w:p w14:paraId="380D974F">
      <w:pPr>
        <w:spacing w:line="640" w:lineRule="exact"/>
        <w:jc w:val="center"/>
        <w:rPr>
          <w:rFonts w:hint="eastAsia" w:ascii="仿宋_GB2312" w:hAnsi="仿宋_GB2312" w:eastAsia="仿宋_GB2312" w:cs="仿宋_GB2312"/>
          <w:spacing w:val="-28"/>
          <w:sz w:val="44"/>
          <w:szCs w:val="44"/>
          <w:lang w:eastAsia="zh-CN"/>
        </w:rPr>
      </w:pPr>
      <w:r>
        <w:rPr>
          <w:rFonts w:hint="eastAsia" w:ascii="仿宋_GB2312" w:hAnsi="仿宋_GB2312" w:eastAsia="仿宋_GB2312" w:cs="仿宋_GB2312"/>
          <w:b/>
          <w:bCs/>
          <w:spacing w:val="-28"/>
          <w:sz w:val="44"/>
          <w:szCs w:val="44"/>
          <w:lang w:eastAsia="zh-CN"/>
        </w:rPr>
        <w:t>固废物资回收服务采购项目</w:t>
      </w:r>
    </w:p>
    <w:p w14:paraId="188CB74E">
      <w:pPr>
        <w:spacing w:line="640" w:lineRule="exact"/>
        <w:jc w:val="center"/>
        <w:rPr>
          <w:rFonts w:ascii="方正小标宋简体" w:hAnsi="方正小标宋简体" w:eastAsia="方正小标宋简体" w:cs="宋体"/>
          <w:sz w:val="44"/>
          <w:szCs w:val="44"/>
        </w:rPr>
      </w:pPr>
      <w:r>
        <w:rPr>
          <w:rFonts w:hint="eastAsia" w:ascii="方正小标宋简体" w:hAnsi="方正小标宋简体" w:eastAsia="方正小标宋简体" w:cs="宋体"/>
          <w:sz w:val="44"/>
          <w:szCs w:val="44"/>
          <w:lang w:val="en-US" w:eastAsia="zh-CN"/>
        </w:rPr>
        <w:t>询比</w:t>
      </w:r>
      <w:r>
        <w:rPr>
          <w:rFonts w:hint="eastAsia" w:ascii="方正小标宋简体" w:hAnsi="方正小标宋简体" w:eastAsia="方正小标宋简体" w:cs="宋体"/>
          <w:sz w:val="44"/>
          <w:szCs w:val="44"/>
        </w:rPr>
        <w:t>公告</w:t>
      </w:r>
    </w:p>
    <w:p w14:paraId="6960DC56">
      <w:pPr>
        <w:spacing w:line="560" w:lineRule="exact"/>
        <w:ind w:firstLine="640" w:firstLineChars="200"/>
        <w:jc w:val="left"/>
        <w:rPr>
          <w:rFonts w:hint="eastAsia" w:ascii="仿宋_GB2312" w:hAnsi="宋体" w:eastAsia="仿宋_GB2312" w:cs="宋体"/>
          <w:sz w:val="32"/>
          <w:szCs w:val="32"/>
          <w:lang w:val="en-US" w:eastAsia="zh-CN"/>
        </w:rPr>
      </w:pPr>
      <w:bookmarkStart w:id="0" w:name="_Hlk170043939"/>
      <w:r>
        <w:rPr>
          <w:rFonts w:hint="eastAsia" w:ascii="仿宋" w:hAnsi="仿宋" w:eastAsia="仿宋" w:cs="仿宋"/>
          <w:sz w:val="32"/>
          <w:szCs w:val="32"/>
          <w:lang w:val="en-US" w:eastAsia="zh-CN"/>
        </w:rPr>
        <w:t>重庆九洲智造科技有限公司固废物资回收服务需求</w:t>
      </w:r>
      <w:r>
        <w:rPr>
          <w:rFonts w:hint="eastAsia" w:ascii="仿宋" w:hAnsi="仿宋" w:eastAsia="仿宋" w:cs="仿宋"/>
          <w:bCs/>
          <w:sz w:val="32"/>
          <w:szCs w:val="32"/>
          <w:u w:val="none"/>
        </w:rPr>
        <w:t>采购项目</w:t>
      </w:r>
      <w:r>
        <w:rPr>
          <w:rFonts w:hint="eastAsia" w:ascii="仿宋" w:hAnsi="仿宋" w:eastAsia="仿宋" w:cs="仿宋"/>
          <w:sz w:val="32"/>
          <w:szCs w:val="32"/>
          <w:lang w:val="en-US" w:eastAsia="zh-CN"/>
        </w:rPr>
        <w:t>，相关事项公告如下：</w:t>
      </w:r>
    </w:p>
    <w:bookmarkEnd w:id="0"/>
    <w:p w14:paraId="43F1C781">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一、项目概况</w:t>
      </w:r>
    </w:p>
    <w:p w14:paraId="2D7F67CC">
      <w:pPr>
        <w:spacing w:line="560" w:lineRule="exact"/>
        <w:ind w:firstLine="643" w:firstLineChars="200"/>
        <w:jc w:val="left"/>
        <w:rPr>
          <w:rFonts w:ascii="楷体_GB2312" w:hAnsi="宋体" w:eastAsia="楷体_GB2312" w:cs="宋体"/>
          <w:b/>
          <w:bCs/>
          <w:sz w:val="32"/>
          <w:szCs w:val="32"/>
        </w:rPr>
      </w:pPr>
      <w:r>
        <w:rPr>
          <w:rFonts w:hint="eastAsia" w:ascii="楷体_GB2312" w:hAnsi="宋体" w:eastAsia="楷体_GB2312" w:cs="宋体"/>
          <w:b/>
          <w:bCs/>
          <w:sz w:val="32"/>
          <w:szCs w:val="32"/>
          <w:lang w:val="en-US" w:eastAsia="zh-CN"/>
        </w:rPr>
        <w:t>1.</w:t>
      </w:r>
      <w:r>
        <w:rPr>
          <w:rFonts w:hint="eastAsia" w:ascii="楷体_GB2312" w:hAnsi="宋体" w:eastAsia="楷体_GB2312" w:cs="宋体"/>
          <w:b/>
          <w:bCs/>
          <w:sz w:val="32"/>
          <w:szCs w:val="32"/>
        </w:rPr>
        <w:t>项目名称</w:t>
      </w:r>
    </w:p>
    <w:p w14:paraId="0BBDBEFA">
      <w:pPr>
        <w:spacing w:line="560" w:lineRule="exact"/>
        <w:ind w:firstLine="640" w:firstLineChars="200"/>
        <w:jc w:val="left"/>
        <w:rPr>
          <w:rFonts w:hint="eastAsia" w:ascii="仿宋_GB2312" w:hAnsi="宋体" w:eastAsia="仿宋_GB2312" w:cs="宋体"/>
          <w:sz w:val="32"/>
          <w:szCs w:val="32"/>
          <w:lang w:val="en-US" w:eastAsia="zh-CN"/>
        </w:rPr>
      </w:pPr>
      <w:r>
        <w:rPr>
          <w:rFonts w:hint="eastAsia" w:ascii="仿宋" w:hAnsi="仿宋" w:eastAsia="仿宋" w:cs="仿宋"/>
          <w:bCs/>
          <w:sz w:val="32"/>
          <w:szCs w:val="32"/>
          <w:u w:val="none"/>
          <w:lang w:eastAsia="zh-CN"/>
        </w:rPr>
        <w:t>固废物资回收服务</w:t>
      </w:r>
      <w:r>
        <w:rPr>
          <w:rFonts w:hint="eastAsia" w:ascii="仿宋" w:hAnsi="仿宋" w:eastAsia="仿宋" w:cs="仿宋"/>
          <w:bCs/>
          <w:sz w:val="32"/>
          <w:szCs w:val="32"/>
          <w:u w:val="none"/>
        </w:rPr>
        <w:t>采购项目</w:t>
      </w:r>
      <w:r>
        <w:rPr>
          <w:rFonts w:hint="eastAsia" w:ascii="仿宋" w:hAnsi="仿宋" w:eastAsia="仿宋" w:cs="仿宋"/>
          <w:sz w:val="32"/>
          <w:szCs w:val="32"/>
          <w:lang w:val="en-US" w:eastAsia="zh-CN"/>
        </w:rPr>
        <w:t>。</w:t>
      </w:r>
    </w:p>
    <w:p w14:paraId="389B9796">
      <w:pPr>
        <w:numPr>
          <w:ilvl w:val="0"/>
          <w:numId w:val="0"/>
        </w:numPr>
        <w:spacing w:line="560" w:lineRule="exact"/>
        <w:ind w:firstLine="643" w:firstLineChars="200"/>
        <w:jc w:val="left"/>
        <w:rPr>
          <w:rFonts w:hint="eastAsia" w:ascii="楷体_GB2312" w:hAnsi="宋体" w:eastAsia="楷体_GB2312" w:cs="宋体"/>
          <w:b/>
          <w:bCs/>
          <w:sz w:val="32"/>
          <w:szCs w:val="32"/>
          <w:lang w:val="en-US" w:eastAsia="zh-CN"/>
        </w:rPr>
      </w:pPr>
      <w:r>
        <w:rPr>
          <w:rFonts w:hint="eastAsia" w:ascii="楷体_GB2312" w:hAnsi="宋体" w:eastAsia="楷体_GB2312" w:cs="宋体"/>
          <w:b/>
          <w:bCs/>
          <w:sz w:val="32"/>
          <w:szCs w:val="32"/>
          <w:lang w:val="en-US" w:eastAsia="zh-CN"/>
        </w:rPr>
        <w:t>2.内容：</w:t>
      </w:r>
    </w:p>
    <w:p w14:paraId="7D3389FC">
      <w:pPr>
        <w:spacing w:line="56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重庆九洲智造科技有限公司现阶段未规划专用废品库，而日常生产活动产生的废弃物规模较大，致使临时堆放点一般在2至3天内即达承载上限。为维持生产区域物流的高效与畅通，避免废弃物无序堆积干扰物料的正常收发流程以及运输通道的通行能力，现特此要求回收服务单位按照既定标准和时间要求，及时开展废弃物清运工作。本次询比评选范围如下表所示：</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5"/>
        <w:gridCol w:w="981"/>
        <w:gridCol w:w="1193"/>
        <w:gridCol w:w="937"/>
        <w:gridCol w:w="1270"/>
        <w:gridCol w:w="1270"/>
        <w:gridCol w:w="1398"/>
        <w:gridCol w:w="2189"/>
      </w:tblGrid>
      <w:tr w14:paraId="04525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45" w:type="dxa"/>
            <w:tcBorders>
              <w:top w:val="single" w:color="000000" w:sz="4" w:space="0"/>
              <w:left w:val="single" w:color="000000" w:sz="4" w:space="0"/>
              <w:bottom w:val="single" w:color="000000" w:sz="4" w:space="0"/>
              <w:right w:val="single" w:color="000000" w:sz="4" w:space="0"/>
            </w:tcBorders>
            <w:noWrap/>
            <w:vAlign w:val="center"/>
          </w:tcPr>
          <w:p w14:paraId="0294796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981" w:type="dxa"/>
            <w:tcBorders>
              <w:top w:val="single" w:color="000000" w:sz="4" w:space="0"/>
              <w:left w:val="single" w:color="000000" w:sz="4" w:space="0"/>
              <w:bottom w:val="single" w:color="000000" w:sz="4" w:space="0"/>
              <w:right w:val="single" w:color="000000" w:sz="4" w:space="0"/>
            </w:tcBorders>
            <w:noWrap/>
            <w:vAlign w:val="center"/>
          </w:tcPr>
          <w:p w14:paraId="3DE6114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资产名称</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3E0FAEA">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主要材质</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1E6ECE9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25年预估重量</w:t>
            </w:r>
          </w:p>
          <w:p w14:paraId="527C13CB">
            <w:pPr>
              <w:pStyle w:val="2"/>
              <w:jc w:val="center"/>
              <w:rPr>
                <w:rFonts w:hint="default" w:ascii="Times New Roman" w:hAnsi="Times New Roman" w:eastAsia="宋体" w:cs="Times New Roman"/>
                <w:b w:val="0"/>
                <w:bCs w:val="0"/>
                <w:i w:val="0"/>
                <w:iCs w:val="0"/>
                <w:sz w:val="21"/>
                <w:szCs w:val="24"/>
                <w:u w:val="none"/>
              </w:rPr>
            </w:pPr>
            <w:r>
              <w:rPr>
                <w:rFonts w:hint="eastAsia" w:ascii="仿宋_GB2312" w:hAnsi="仿宋_GB2312" w:eastAsia="仿宋_GB2312" w:cs="仿宋_GB2312"/>
                <w:b/>
                <w:bCs/>
                <w:i w:val="0"/>
                <w:iCs w:val="0"/>
                <w:color w:val="000000"/>
                <w:kern w:val="0"/>
                <w:sz w:val="21"/>
                <w:szCs w:val="21"/>
                <w:u w:val="none"/>
                <w:lang w:val="en-US" w:eastAsia="zh-CN" w:bidi="ar"/>
              </w:rPr>
              <w:t>（吨）</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2D455FD8">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总重量占比（%）</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43327A9C">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最低限价</w:t>
            </w:r>
          </w:p>
          <w:p w14:paraId="22AEB2D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元/吨（含税）</w:t>
            </w:r>
          </w:p>
        </w:tc>
        <w:tc>
          <w:tcPr>
            <w:tcW w:w="1398" w:type="dxa"/>
            <w:tcBorders>
              <w:top w:val="single" w:color="000000" w:sz="4" w:space="0"/>
              <w:left w:val="single" w:color="000000" w:sz="4" w:space="0"/>
              <w:bottom w:val="single" w:color="000000" w:sz="4" w:space="0"/>
              <w:right w:val="single" w:color="000000" w:sz="4" w:space="0"/>
            </w:tcBorders>
            <w:noWrap/>
            <w:vAlign w:val="center"/>
          </w:tcPr>
          <w:p w14:paraId="40EE336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备注</w:t>
            </w:r>
          </w:p>
        </w:tc>
        <w:tc>
          <w:tcPr>
            <w:tcW w:w="2189" w:type="dxa"/>
            <w:tcBorders>
              <w:top w:val="single" w:color="000000" w:sz="4" w:space="0"/>
              <w:left w:val="single" w:color="000000" w:sz="4" w:space="0"/>
              <w:bottom w:val="single" w:color="000000" w:sz="4" w:space="0"/>
              <w:right w:val="single" w:color="000000" w:sz="4" w:space="0"/>
            </w:tcBorders>
            <w:noWrap/>
            <w:vAlign w:val="center"/>
          </w:tcPr>
          <w:p w14:paraId="2E76C00A">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实物附图</w:t>
            </w:r>
          </w:p>
        </w:tc>
      </w:tr>
      <w:tr w14:paraId="62250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1" w:hRule="atLeast"/>
          <w:jc w:val="center"/>
        </w:trPr>
        <w:tc>
          <w:tcPr>
            <w:tcW w:w="545" w:type="dxa"/>
            <w:tcBorders>
              <w:top w:val="single" w:color="000000" w:sz="4" w:space="0"/>
              <w:left w:val="single" w:color="000000" w:sz="4" w:space="0"/>
              <w:bottom w:val="single" w:color="000000" w:sz="4" w:space="0"/>
              <w:right w:val="single" w:color="000000" w:sz="4" w:space="0"/>
            </w:tcBorders>
            <w:noWrap/>
            <w:vAlign w:val="center"/>
          </w:tcPr>
          <w:p w14:paraId="44496DD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981" w:type="dxa"/>
            <w:tcBorders>
              <w:top w:val="single" w:color="000000" w:sz="4" w:space="0"/>
              <w:left w:val="single" w:color="000000" w:sz="4" w:space="0"/>
              <w:bottom w:val="single" w:color="000000" w:sz="4" w:space="0"/>
              <w:right w:val="single" w:color="000000" w:sz="4" w:space="0"/>
            </w:tcBorders>
            <w:noWrap/>
            <w:vAlign w:val="center"/>
          </w:tcPr>
          <w:p w14:paraId="7A53D927">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废铁桶</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4C6C16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废铁</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14E509F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3.744</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18102F52">
            <w:pPr>
              <w:jc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1.48</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56499A42">
            <w:pPr>
              <w:jc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2,170.00 </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45E4246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生产中干燥剂的包装箱，每日约产生12千克。</w:t>
            </w:r>
          </w:p>
        </w:tc>
        <w:tc>
          <w:tcPr>
            <w:tcW w:w="2189" w:type="dxa"/>
            <w:tcBorders>
              <w:top w:val="single" w:color="000000" w:sz="4" w:space="0"/>
              <w:left w:val="single" w:color="000000" w:sz="4" w:space="0"/>
              <w:bottom w:val="single" w:color="000000" w:sz="4" w:space="0"/>
              <w:right w:val="single" w:color="000000" w:sz="4" w:space="0"/>
            </w:tcBorders>
            <w:noWrap w:val="0"/>
            <w:vAlign w:val="center"/>
          </w:tcPr>
          <w:p w14:paraId="4F51B55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drawing>
                <wp:inline distT="0" distB="0" distL="114300" distR="114300">
                  <wp:extent cx="1008380" cy="838835"/>
                  <wp:effectExtent l="0" t="0" r="1270" b="8890"/>
                  <wp:docPr id="6" name="图片 1"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NULL"/>
                          <pic:cNvPicPr>
                            <a:picLocks noChangeAspect="1"/>
                          </pic:cNvPicPr>
                        </pic:nvPicPr>
                        <pic:blipFill>
                          <a:blip r:embed="rId7"/>
                          <a:stretch>
                            <a:fillRect/>
                          </a:stretch>
                        </pic:blipFill>
                        <pic:spPr>
                          <a:xfrm>
                            <a:off x="0" y="0"/>
                            <a:ext cx="1008380" cy="838835"/>
                          </a:xfrm>
                          <a:prstGeom prst="rect">
                            <a:avLst/>
                          </a:prstGeom>
                          <a:noFill/>
                          <a:ln>
                            <a:noFill/>
                          </a:ln>
                        </pic:spPr>
                      </pic:pic>
                    </a:graphicData>
                  </a:graphic>
                </wp:inline>
              </w:drawing>
            </w:r>
          </w:p>
        </w:tc>
      </w:tr>
      <w:tr w14:paraId="22B04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45" w:type="dxa"/>
            <w:tcBorders>
              <w:top w:val="single" w:color="000000" w:sz="4" w:space="0"/>
              <w:left w:val="single" w:color="000000" w:sz="4" w:space="0"/>
              <w:bottom w:val="single" w:color="000000" w:sz="4" w:space="0"/>
              <w:right w:val="single" w:color="000000" w:sz="4" w:space="0"/>
            </w:tcBorders>
            <w:noWrap/>
            <w:vAlign w:val="center"/>
          </w:tcPr>
          <w:p w14:paraId="7D1598B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981" w:type="dxa"/>
            <w:tcBorders>
              <w:top w:val="single" w:color="000000" w:sz="4" w:space="0"/>
              <w:left w:val="single" w:color="000000" w:sz="4" w:space="0"/>
              <w:bottom w:val="single" w:color="000000" w:sz="4" w:space="0"/>
              <w:right w:val="single" w:color="000000" w:sz="4" w:space="0"/>
            </w:tcBorders>
            <w:noWrap/>
            <w:vAlign w:val="center"/>
          </w:tcPr>
          <w:p w14:paraId="187D622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废纸箱</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BEC8AB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植物纤维</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79B289D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124.8</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293061B5">
            <w:pPr>
              <w:jc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49.49</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3449FA0E">
            <w:pPr>
              <w:jc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1,300.00 </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031F069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每日约产生400KG</w:t>
            </w:r>
            <w:r>
              <w:rPr>
                <w:rFonts w:hint="eastAsia" w:ascii="仿宋_GB2312" w:hAnsi="仿宋_GB2312" w:eastAsia="仿宋_GB2312" w:cs="仿宋_GB2312"/>
                <w:i w:val="0"/>
                <w:iCs w:val="0"/>
                <w:color w:val="000000"/>
                <w:sz w:val="21"/>
                <w:szCs w:val="21"/>
                <w:u w:val="none"/>
                <w:lang w:eastAsia="zh-CN"/>
              </w:rPr>
              <w:t>。</w:t>
            </w:r>
          </w:p>
        </w:tc>
        <w:tc>
          <w:tcPr>
            <w:tcW w:w="2189" w:type="dxa"/>
            <w:tcBorders>
              <w:top w:val="single" w:color="000000" w:sz="4" w:space="0"/>
              <w:left w:val="single" w:color="000000" w:sz="4" w:space="0"/>
              <w:bottom w:val="single" w:color="000000" w:sz="4" w:space="0"/>
              <w:right w:val="single" w:color="000000" w:sz="4" w:space="0"/>
            </w:tcBorders>
            <w:noWrap w:val="0"/>
            <w:vAlign w:val="center"/>
          </w:tcPr>
          <w:p w14:paraId="4C4C126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drawing>
                <wp:inline distT="0" distB="0" distL="114300" distR="114300">
                  <wp:extent cx="1021715" cy="703580"/>
                  <wp:effectExtent l="0" t="0" r="6985" b="1270"/>
                  <wp:docPr id="2" name="图片 2"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NULL"/>
                          <pic:cNvPicPr>
                            <a:picLocks noChangeAspect="1"/>
                          </pic:cNvPicPr>
                        </pic:nvPicPr>
                        <pic:blipFill>
                          <a:blip r:embed="rId8"/>
                          <a:stretch>
                            <a:fillRect/>
                          </a:stretch>
                        </pic:blipFill>
                        <pic:spPr>
                          <a:xfrm>
                            <a:off x="0" y="0"/>
                            <a:ext cx="1021715" cy="703580"/>
                          </a:xfrm>
                          <a:prstGeom prst="rect">
                            <a:avLst/>
                          </a:prstGeom>
                          <a:noFill/>
                          <a:ln>
                            <a:noFill/>
                          </a:ln>
                        </pic:spPr>
                      </pic:pic>
                    </a:graphicData>
                  </a:graphic>
                </wp:inline>
              </w:drawing>
            </w:r>
          </w:p>
        </w:tc>
      </w:tr>
      <w:tr w14:paraId="49B0A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45" w:type="dxa"/>
            <w:tcBorders>
              <w:top w:val="single" w:color="000000" w:sz="4" w:space="0"/>
              <w:left w:val="single" w:color="000000" w:sz="4" w:space="0"/>
              <w:bottom w:val="single" w:color="000000" w:sz="4" w:space="0"/>
              <w:right w:val="single" w:color="000000" w:sz="4" w:space="0"/>
            </w:tcBorders>
            <w:noWrap/>
            <w:vAlign w:val="center"/>
          </w:tcPr>
          <w:p w14:paraId="3400D48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981" w:type="dxa"/>
            <w:tcBorders>
              <w:top w:val="single" w:color="000000" w:sz="4" w:space="0"/>
              <w:left w:val="single" w:color="000000" w:sz="4" w:space="0"/>
              <w:bottom w:val="single" w:color="000000" w:sz="4" w:space="0"/>
              <w:right w:val="single" w:color="000000" w:sz="4" w:space="0"/>
            </w:tcBorders>
            <w:noWrap/>
            <w:vAlign w:val="center"/>
          </w:tcPr>
          <w:p w14:paraId="77B0927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废木箱</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8F3013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木材</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3EA5EC8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42.744</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2676C810">
            <w:pPr>
              <w:jc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16.93</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132D16A0">
            <w:pPr>
              <w:jc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200.00 </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0C7077B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供应商送货木栈板，每日约产生137KG</w:t>
            </w:r>
            <w:r>
              <w:rPr>
                <w:rFonts w:hint="eastAsia" w:ascii="仿宋_GB2312" w:hAnsi="仿宋_GB2312" w:eastAsia="仿宋_GB2312" w:cs="仿宋_GB2312"/>
                <w:i w:val="0"/>
                <w:iCs w:val="0"/>
                <w:color w:val="000000"/>
                <w:sz w:val="21"/>
                <w:szCs w:val="21"/>
                <w:u w:val="none"/>
                <w:lang w:eastAsia="zh-CN"/>
              </w:rPr>
              <w:t>。</w:t>
            </w:r>
          </w:p>
        </w:tc>
        <w:tc>
          <w:tcPr>
            <w:tcW w:w="2189" w:type="dxa"/>
            <w:tcBorders>
              <w:top w:val="single" w:color="000000" w:sz="4" w:space="0"/>
              <w:left w:val="single" w:color="000000" w:sz="4" w:space="0"/>
              <w:bottom w:val="single" w:color="000000" w:sz="4" w:space="0"/>
              <w:right w:val="single" w:color="000000" w:sz="4" w:space="0"/>
            </w:tcBorders>
            <w:noWrap w:val="0"/>
            <w:vAlign w:val="center"/>
          </w:tcPr>
          <w:p w14:paraId="3163599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drawing>
                <wp:inline distT="0" distB="0" distL="114300" distR="114300">
                  <wp:extent cx="1036320" cy="909955"/>
                  <wp:effectExtent l="0" t="0" r="1905" b="4445"/>
                  <wp:docPr id="5" name="图片 3"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NULL"/>
                          <pic:cNvPicPr>
                            <a:picLocks noChangeAspect="1"/>
                          </pic:cNvPicPr>
                        </pic:nvPicPr>
                        <pic:blipFill>
                          <a:blip r:embed="rId9"/>
                          <a:stretch>
                            <a:fillRect/>
                          </a:stretch>
                        </pic:blipFill>
                        <pic:spPr>
                          <a:xfrm>
                            <a:off x="0" y="0"/>
                            <a:ext cx="1036320" cy="909955"/>
                          </a:xfrm>
                          <a:prstGeom prst="rect">
                            <a:avLst/>
                          </a:prstGeom>
                          <a:noFill/>
                          <a:ln>
                            <a:noFill/>
                          </a:ln>
                        </pic:spPr>
                      </pic:pic>
                    </a:graphicData>
                  </a:graphic>
                </wp:inline>
              </w:drawing>
            </w:r>
          </w:p>
        </w:tc>
      </w:tr>
      <w:tr w14:paraId="043AA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5B6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4</w:t>
            </w:r>
          </w:p>
        </w:tc>
        <w:tc>
          <w:tcPr>
            <w:tcW w:w="981" w:type="dxa"/>
            <w:tcBorders>
              <w:top w:val="single" w:color="000000" w:sz="4" w:space="0"/>
              <w:left w:val="single" w:color="000000" w:sz="4" w:space="0"/>
              <w:bottom w:val="single" w:color="000000" w:sz="4" w:space="0"/>
              <w:right w:val="single" w:color="000000" w:sz="4" w:space="0"/>
            </w:tcBorders>
            <w:shd w:val="clear" w:color="auto" w:fill="F8F9FA"/>
            <w:noWrap/>
            <w:vAlign w:val="center"/>
          </w:tcPr>
          <w:p w14:paraId="0977FF7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废塑料</w:t>
            </w:r>
          </w:p>
        </w:tc>
        <w:tc>
          <w:tcPr>
            <w:tcW w:w="1193" w:type="dxa"/>
            <w:tcBorders>
              <w:top w:val="single" w:color="000000" w:sz="4" w:space="0"/>
              <w:left w:val="single" w:color="000000" w:sz="4" w:space="0"/>
              <w:bottom w:val="single" w:color="000000" w:sz="4" w:space="0"/>
              <w:right w:val="single" w:color="000000" w:sz="4" w:space="0"/>
            </w:tcBorders>
            <w:shd w:val="clear" w:color="auto" w:fill="F8F9FA"/>
            <w:noWrap w:val="0"/>
            <w:vAlign w:val="center"/>
          </w:tcPr>
          <w:p w14:paraId="651F45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塑料</w:t>
            </w:r>
          </w:p>
        </w:tc>
        <w:tc>
          <w:tcPr>
            <w:tcW w:w="937" w:type="dxa"/>
            <w:tcBorders>
              <w:top w:val="single" w:color="000000" w:sz="4" w:space="0"/>
              <w:left w:val="single" w:color="000000" w:sz="4" w:space="0"/>
              <w:bottom w:val="single" w:color="000000" w:sz="4" w:space="0"/>
              <w:right w:val="single" w:color="000000" w:sz="4" w:space="0"/>
            </w:tcBorders>
            <w:shd w:val="clear" w:color="auto" w:fill="F8F9FA"/>
            <w:noWrap w:val="0"/>
            <w:vAlign w:val="center"/>
          </w:tcPr>
          <w:p w14:paraId="14F30E7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31.2</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4CB1A">
            <w:pPr>
              <w:jc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12.3</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A17A5">
            <w:pPr>
              <w:jc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1,900.00 </w:t>
            </w:r>
          </w:p>
        </w:tc>
        <w:tc>
          <w:tcPr>
            <w:tcW w:w="1398" w:type="dxa"/>
            <w:tcBorders>
              <w:top w:val="single" w:color="000000" w:sz="4" w:space="0"/>
              <w:left w:val="single" w:color="000000" w:sz="4" w:space="0"/>
              <w:bottom w:val="single" w:color="000000" w:sz="4" w:space="0"/>
              <w:right w:val="single" w:color="000000" w:sz="4" w:space="0"/>
            </w:tcBorders>
            <w:shd w:val="clear" w:color="auto" w:fill="F8F9FA"/>
            <w:noWrap w:val="0"/>
            <w:vAlign w:val="center"/>
          </w:tcPr>
          <w:p w14:paraId="038BAF7E">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生产中以塑料为主要成分的废弃边角料、废弃塑料包装等，每日约产生100KG</w:t>
            </w:r>
            <w:r>
              <w:rPr>
                <w:rFonts w:hint="eastAsia" w:ascii="仿宋_GB2312" w:hAnsi="仿宋_GB2312" w:eastAsia="仿宋_GB2312" w:cs="仿宋_GB2312"/>
                <w:i w:val="0"/>
                <w:iCs w:val="0"/>
                <w:color w:val="000000"/>
                <w:sz w:val="21"/>
                <w:szCs w:val="21"/>
                <w:u w:val="none"/>
                <w:lang w:eastAsia="zh-CN"/>
              </w:rPr>
              <w:t>。</w:t>
            </w:r>
          </w:p>
        </w:tc>
        <w:tc>
          <w:tcPr>
            <w:tcW w:w="2189" w:type="dxa"/>
            <w:tcBorders>
              <w:top w:val="single" w:color="000000" w:sz="4" w:space="0"/>
              <w:left w:val="single" w:color="000000" w:sz="4" w:space="0"/>
              <w:bottom w:val="single" w:color="000000" w:sz="4" w:space="0"/>
              <w:right w:val="single" w:color="000000" w:sz="4" w:space="0"/>
            </w:tcBorders>
            <w:shd w:val="clear" w:color="auto" w:fill="F8F9FA"/>
            <w:noWrap w:val="0"/>
            <w:vAlign w:val="center"/>
          </w:tcPr>
          <w:p w14:paraId="431D670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drawing>
                <wp:inline distT="0" distB="0" distL="114300" distR="114300">
                  <wp:extent cx="1226820" cy="577215"/>
                  <wp:effectExtent l="0" t="0" r="1905" b="381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0"/>
                          <a:stretch>
                            <a:fillRect/>
                          </a:stretch>
                        </pic:blipFill>
                        <pic:spPr>
                          <a:xfrm>
                            <a:off x="0" y="0"/>
                            <a:ext cx="1226820" cy="577215"/>
                          </a:xfrm>
                          <a:prstGeom prst="rect">
                            <a:avLst/>
                          </a:prstGeom>
                          <a:noFill/>
                          <a:ln>
                            <a:noFill/>
                          </a:ln>
                        </pic:spPr>
                      </pic:pic>
                    </a:graphicData>
                  </a:graphic>
                </wp:inline>
              </w:drawing>
            </w:r>
            <w:r>
              <w:drawing>
                <wp:inline distT="0" distB="0" distL="114300" distR="114300">
                  <wp:extent cx="1203960" cy="499745"/>
                  <wp:effectExtent l="0" t="0" r="5715" b="508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1203960" cy="499745"/>
                          </a:xfrm>
                          <a:prstGeom prst="rect">
                            <a:avLst/>
                          </a:prstGeom>
                          <a:noFill/>
                          <a:ln>
                            <a:noFill/>
                          </a:ln>
                        </pic:spPr>
                      </pic:pic>
                    </a:graphicData>
                  </a:graphic>
                </wp:inline>
              </w:drawing>
            </w:r>
          </w:p>
        </w:tc>
      </w:tr>
      <w:tr w14:paraId="6F5C2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45" w:type="dxa"/>
            <w:tcBorders>
              <w:top w:val="single" w:color="000000" w:sz="4" w:space="0"/>
              <w:left w:val="single" w:color="000000" w:sz="4" w:space="0"/>
              <w:bottom w:val="single" w:color="000000" w:sz="4" w:space="0"/>
              <w:right w:val="single" w:color="000000" w:sz="4" w:space="0"/>
            </w:tcBorders>
            <w:noWrap/>
            <w:vAlign w:val="center"/>
          </w:tcPr>
          <w:p w14:paraId="5953389C">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5</w:t>
            </w:r>
          </w:p>
        </w:tc>
        <w:tc>
          <w:tcPr>
            <w:tcW w:w="981" w:type="dxa"/>
            <w:tcBorders>
              <w:top w:val="single" w:color="000000" w:sz="4" w:space="0"/>
              <w:left w:val="single" w:color="000000" w:sz="4" w:space="0"/>
              <w:bottom w:val="single" w:color="000000" w:sz="4" w:space="0"/>
              <w:right w:val="single" w:color="000000" w:sz="4" w:space="0"/>
            </w:tcBorders>
            <w:noWrap/>
            <w:vAlign w:val="center"/>
          </w:tcPr>
          <w:p w14:paraId="602E3ACB">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废泡沫棉</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922082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泡沫棉</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7C11436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24.96</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4D74401B">
            <w:pPr>
              <w:jc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9.9</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72F79B33">
            <w:pPr>
              <w:jc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120.00 </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40ABAA5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物料包装里面的泡棉，每日约产生80KG</w:t>
            </w:r>
            <w:r>
              <w:rPr>
                <w:rFonts w:hint="eastAsia" w:ascii="仿宋_GB2312" w:hAnsi="仿宋_GB2312" w:eastAsia="仿宋_GB2312" w:cs="仿宋_GB2312"/>
                <w:i w:val="0"/>
                <w:iCs w:val="0"/>
                <w:color w:val="000000"/>
                <w:sz w:val="21"/>
                <w:szCs w:val="21"/>
                <w:u w:val="none"/>
                <w:lang w:eastAsia="zh-CN"/>
              </w:rPr>
              <w:t>。</w:t>
            </w:r>
          </w:p>
        </w:tc>
        <w:tc>
          <w:tcPr>
            <w:tcW w:w="2189" w:type="dxa"/>
            <w:tcBorders>
              <w:top w:val="single" w:color="000000" w:sz="4" w:space="0"/>
              <w:left w:val="single" w:color="000000" w:sz="4" w:space="0"/>
              <w:bottom w:val="single" w:color="000000" w:sz="4" w:space="0"/>
              <w:right w:val="single" w:color="000000" w:sz="4" w:space="0"/>
            </w:tcBorders>
            <w:noWrap w:val="0"/>
            <w:vAlign w:val="center"/>
          </w:tcPr>
          <w:p w14:paraId="631732A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drawing>
                <wp:inline distT="0" distB="0" distL="114300" distR="114300">
                  <wp:extent cx="1212850" cy="854075"/>
                  <wp:effectExtent l="0" t="0" r="6350" b="317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12"/>
                          <a:stretch>
                            <a:fillRect/>
                          </a:stretch>
                        </pic:blipFill>
                        <pic:spPr>
                          <a:xfrm>
                            <a:off x="0" y="0"/>
                            <a:ext cx="1212850" cy="854075"/>
                          </a:xfrm>
                          <a:prstGeom prst="rect">
                            <a:avLst/>
                          </a:prstGeom>
                          <a:noFill/>
                          <a:ln>
                            <a:noFill/>
                          </a:ln>
                        </pic:spPr>
                      </pic:pic>
                    </a:graphicData>
                  </a:graphic>
                </wp:inline>
              </w:drawing>
            </w:r>
          </w:p>
        </w:tc>
      </w:tr>
      <w:tr w14:paraId="55297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45" w:type="dxa"/>
            <w:tcBorders>
              <w:top w:val="single" w:color="000000" w:sz="4" w:space="0"/>
              <w:left w:val="single" w:color="000000" w:sz="4" w:space="0"/>
              <w:bottom w:val="single" w:color="000000" w:sz="4" w:space="0"/>
              <w:right w:val="single" w:color="000000" w:sz="4" w:space="0"/>
            </w:tcBorders>
            <w:noWrap/>
            <w:vAlign w:val="center"/>
          </w:tcPr>
          <w:p w14:paraId="68839A5F">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6</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7E7FFE0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废吸塑盘</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5106E9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塑料</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4E96380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24.96</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130267C7">
            <w:pPr>
              <w:jc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9.9</w:t>
            </w:r>
          </w:p>
        </w:tc>
        <w:tc>
          <w:tcPr>
            <w:tcW w:w="1270" w:type="dxa"/>
            <w:tcBorders>
              <w:top w:val="single" w:color="000000" w:sz="4" w:space="0"/>
              <w:left w:val="single" w:color="000000" w:sz="4" w:space="0"/>
              <w:bottom w:val="single" w:color="000000" w:sz="4" w:space="0"/>
              <w:right w:val="single" w:color="000000" w:sz="4" w:space="0"/>
            </w:tcBorders>
            <w:noWrap w:val="0"/>
            <w:vAlign w:val="center"/>
          </w:tcPr>
          <w:p w14:paraId="6FD980BB">
            <w:pPr>
              <w:jc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2,190.00 </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09E3C04D">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物料包装里面的吸塑盘，每日约产生80KG</w:t>
            </w:r>
            <w:r>
              <w:rPr>
                <w:rFonts w:hint="eastAsia" w:ascii="仿宋_GB2312" w:hAnsi="仿宋_GB2312" w:eastAsia="仿宋_GB2312" w:cs="仿宋_GB2312"/>
                <w:i w:val="0"/>
                <w:iCs w:val="0"/>
                <w:color w:val="000000"/>
                <w:sz w:val="21"/>
                <w:szCs w:val="21"/>
                <w:u w:val="none"/>
                <w:lang w:eastAsia="zh-CN"/>
              </w:rPr>
              <w:t>。</w:t>
            </w:r>
          </w:p>
        </w:tc>
        <w:tc>
          <w:tcPr>
            <w:tcW w:w="2189" w:type="dxa"/>
            <w:tcBorders>
              <w:top w:val="single" w:color="000000" w:sz="4" w:space="0"/>
              <w:left w:val="single" w:color="000000" w:sz="4" w:space="0"/>
              <w:bottom w:val="single" w:color="000000" w:sz="4" w:space="0"/>
              <w:right w:val="single" w:color="000000" w:sz="4" w:space="0"/>
            </w:tcBorders>
            <w:noWrap w:val="0"/>
            <w:vAlign w:val="center"/>
          </w:tcPr>
          <w:p w14:paraId="3DBA412A">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drawing>
                <wp:inline distT="0" distB="0" distL="114300" distR="114300">
                  <wp:extent cx="1181735" cy="918845"/>
                  <wp:effectExtent l="0" t="0" r="8890" b="5080"/>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pic:cNvPicPr>
                        </pic:nvPicPr>
                        <pic:blipFill>
                          <a:blip r:embed="rId13"/>
                          <a:stretch>
                            <a:fillRect/>
                          </a:stretch>
                        </pic:blipFill>
                        <pic:spPr>
                          <a:xfrm>
                            <a:off x="0" y="0"/>
                            <a:ext cx="1181735" cy="918845"/>
                          </a:xfrm>
                          <a:prstGeom prst="rect">
                            <a:avLst/>
                          </a:prstGeom>
                          <a:noFill/>
                          <a:ln>
                            <a:noFill/>
                          </a:ln>
                        </pic:spPr>
                      </pic:pic>
                    </a:graphicData>
                  </a:graphic>
                </wp:inline>
              </w:drawing>
            </w:r>
          </w:p>
        </w:tc>
      </w:tr>
      <w:tr w14:paraId="43FD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783" w:type="dxa"/>
            <w:gridSpan w:val="8"/>
            <w:tcBorders>
              <w:top w:val="single" w:color="000000" w:sz="4" w:space="0"/>
              <w:left w:val="single" w:color="000000" w:sz="4" w:space="0"/>
              <w:bottom w:val="single" w:color="000000" w:sz="4" w:space="0"/>
              <w:right w:val="single" w:color="000000" w:sz="4" w:space="0"/>
            </w:tcBorders>
            <w:noWrap/>
            <w:vAlign w:val="center"/>
          </w:tcPr>
          <w:p w14:paraId="601CF58D">
            <w:pPr>
              <w:keepNext w:val="0"/>
              <w:keepLines w:val="0"/>
              <w:widowControl/>
              <w:suppressLineNumbers w:val="0"/>
              <w:jc w:val="left"/>
              <w:textAlignment w:val="center"/>
            </w:pPr>
            <w:r>
              <w:rPr>
                <w:rFonts w:hint="eastAsia" w:ascii="微软雅黑" w:hAnsi="微软雅黑" w:eastAsia="微软雅黑" w:cs="微软雅黑"/>
                <w:b/>
                <w:bCs/>
                <w:i w:val="0"/>
                <w:iCs w:val="0"/>
                <w:color w:val="000000"/>
                <w:kern w:val="0"/>
                <w:sz w:val="24"/>
                <w:szCs w:val="24"/>
                <w:u w:val="none"/>
                <w:lang w:val="en-US" w:eastAsia="zh-CN" w:bidi="ar"/>
              </w:rPr>
              <w:t>以上服务需中选人到采购人指定地点进行固废整理并打包运输，</w:t>
            </w:r>
            <w:r>
              <w:rPr>
                <w:rFonts w:hint="default" w:ascii="微软雅黑" w:hAnsi="微软雅黑" w:eastAsia="微软雅黑" w:cs="微软雅黑"/>
                <w:b/>
                <w:bCs/>
                <w:i w:val="0"/>
                <w:iCs w:val="0"/>
                <w:color w:val="000000"/>
                <w:kern w:val="0"/>
                <w:sz w:val="24"/>
                <w:szCs w:val="24"/>
                <w:u w:val="none"/>
                <w:lang w:val="en-US" w:eastAsia="zh-CN" w:bidi="ar"/>
              </w:rPr>
              <w:t>采购</w:t>
            </w:r>
            <w:r>
              <w:rPr>
                <w:rFonts w:hint="eastAsia" w:ascii="微软雅黑" w:hAnsi="微软雅黑" w:eastAsia="微软雅黑" w:cs="微软雅黑"/>
                <w:b/>
                <w:bCs/>
                <w:i w:val="0"/>
                <w:iCs w:val="0"/>
                <w:color w:val="000000"/>
                <w:kern w:val="0"/>
                <w:sz w:val="24"/>
                <w:szCs w:val="24"/>
                <w:u w:val="none"/>
                <w:lang w:val="en-US" w:eastAsia="zh-CN" w:bidi="ar"/>
              </w:rPr>
              <w:t>人开具13%增值税发票公对公汇款。</w:t>
            </w:r>
          </w:p>
        </w:tc>
      </w:tr>
      <w:tr w14:paraId="79919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783" w:type="dxa"/>
            <w:gridSpan w:val="8"/>
            <w:tcBorders>
              <w:top w:val="single" w:color="000000" w:sz="4" w:space="0"/>
              <w:left w:val="single" w:color="000000" w:sz="4" w:space="0"/>
              <w:bottom w:val="single" w:color="000000" w:sz="4" w:space="0"/>
              <w:right w:val="single" w:color="000000" w:sz="4" w:space="0"/>
            </w:tcBorders>
            <w:noWrap/>
            <w:vAlign w:val="center"/>
          </w:tcPr>
          <w:p w14:paraId="62650144">
            <w:pPr>
              <w:keepNext w:val="0"/>
              <w:keepLines w:val="0"/>
              <w:widowControl/>
              <w:suppressLineNumbers w:val="0"/>
              <w:jc w:val="left"/>
              <w:textAlignment w:val="center"/>
            </w:pPr>
            <w:r>
              <w:rPr>
                <w:rFonts w:hint="eastAsia" w:ascii="微软雅黑" w:hAnsi="微软雅黑" w:eastAsia="微软雅黑" w:cs="微软雅黑"/>
                <w:b/>
                <w:bCs/>
                <w:i w:val="0"/>
                <w:iCs w:val="0"/>
                <w:color w:val="000000"/>
                <w:kern w:val="0"/>
                <w:sz w:val="24"/>
                <w:szCs w:val="24"/>
                <w:u w:val="none"/>
                <w:lang w:val="en-US" w:eastAsia="zh-CN" w:bidi="ar"/>
              </w:rPr>
              <w:t>备注：1.具体金额以实际结算为准；2.本项目废旧物资（不包含危险废物）处理所涉及一切费用，包括人员、整理、分拣、打包、装车、运输等相关费用，由中选人自行负责。</w:t>
            </w:r>
          </w:p>
        </w:tc>
      </w:tr>
    </w:tbl>
    <w:p w14:paraId="538EFD11">
      <w:pPr>
        <w:spacing w:line="560" w:lineRule="exact"/>
        <w:jc w:val="left"/>
        <w:rPr>
          <w:rFonts w:hint="eastAsia" w:ascii="仿宋" w:hAnsi="仿宋" w:eastAsia="仿宋" w:cs="仿宋"/>
          <w:b w:val="0"/>
          <w:bCs w:val="0"/>
          <w:sz w:val="32"/>
          <w:szCs w:val="32"/>
          <w:lang w:val="en-US" w:eastAsia="zh-CN"/>
        </w:rPr>
      </w:pPr>
    </w:p>
    <w:p w14:paraId="3B13809F">
      <w:pPr>
        <w:spacing w:line="560" w:lineRule="exact"/>
        <w:ind w:firstLine="643" w:firstLineChars="200"/>
        <w:jc w:val="left"/>
        <w:rPr>
          <w:rFonts w:hint="eastAsia" w:ascii="仿宋" w:hAnsi="仿宋" w:eastAsia="仿宋" w:cs="仿宋_GB2312"/>
          <w:bCs/>
          <w:sz w:val="32"/>
          <w:szCs w:val="32"/>
        </w:rPr>
      </w:pPr>
      <w:r>
        <w:rPr>
          <w:rFonts w:hint="eastAsia" w:ascii="楷体_GB2312" w:hAnsi="宋体" w:eastAsia="楷体_GB2312" w:cs="宋体"/>
          <w:b/>
          <w:bCs/>
          <w:sz w:val="32"/>
          <w:szCs w:val="32"/>
          <w:lang w:val="en-US" w:eastAsia="zh-CN"/>
        </w:rPr>
        <w:t>3.</w:t>
      </w:r>
      <w:r>
        <w:rPr>
          <w:rFonts w:hint="eastAsia" w:ascii="仿宋_GB2312" w:hAnsi="仿宋_GB2312" w:eastAsia="仿宋_GB2312" w:cs="仿宋_GB2312"/>
          <w:b/>
          <w:sz w:val="32"/>
          <w:szCs w:val="32"/>
        </w:rPr>
        <w:t>项目实施周期</w:t>
      </w:r>
    </w:p>
    <w:p w14:paraId="2FE4B7A6">
      <w:pPr>
        <w:spacing w:line="5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1年。</w:t>
      </w:r>
    </w:p>
    <w:p w14:paraId="724CC5E8">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二、</w:t>
      </w:r>
      <w:r>
        <w:rPr>
          <w:rFonts w:hint="eastAsia" w:ascii="黑体" w:hAnsi="黑体" w:eastAsia="黑体" w:cs="宋体"/>
          <w:sz w:val="32"/>
          <w:szCs w:val="32"/>
          <w:lang w:val="en-US" w:eastAsia="zh-CN"/>
        </w:rPr>
        <w:t>询比申请人资格要求</w:t>
      </w:r>
    </w:p>
    <w:p w14:paraId="0CE8400B">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1）具备能够独立承担民事责任能力的企业法人资格，并具备国家认证的生产性废旧金属回收,再生资源回收(除生产性废旧金属),再生资源加工经营许可证等资质证书（提供营业执照及相关证书复印件）；</w:t>
      </w:r>
    </w:p>
    <w:p w14:paraId="22D28CCC">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2）遵守有关的国家法律、法令和条例，具有良好的商业信誉和健全的财务会计制度，近三年经营活动无重大违法声明，未被列入“信用中国”的“严重失信”名单及“严重失信主体名单”（提供证明材料、财务报表复印件）；</w:t>
      </w:r>
    </w:p>
    <w:p w14:paraId="52C7A6C2">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 xml:space="preserve">3）需提供至少1份近三年内类似生产性废旧金属回收或再生资源回收(除生产性废旧金属)业绩合同（复印件），以证明其具备相应的经验和能力‌； </w:t>
      </w:r>
    </w:p>
    <w:p w14:paraId="2FE79BD0">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 xml:space="preserve">4）具备重庆市寸滩保税港区确认的《中华人民共和国海关报关单位注册登记证书》或备案登记； </w:t>
      </w:r>
    </w:p>
    <w:p w14:paraId="0F518BA6">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5）近1年营业额200万元及以上（提供财务报表复印件）；</w:t>
      </w:r>
    </w:p>
    <w:p w14:paraId="69F8917F">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6）具有依法缴纳税收和社会保障资金的记录（提供近半年内的缴税及参保证明复印件）；</w:t>
      </w:r>
    </w:p>
    <w:p w14:paraId="1593E2F8">
      <w:pPr>
        <w:spacing w:line="560" w:lineRule="exact"/>
        <w:ind w:firstLine="640" w:firstLineChars="200"/>
        <w:jc w:val="lef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7）法律、行政法规规定的其他条件。</w:t>
      </w:r>
    </w:p>
    <w:p w14:paraId="357BE212">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三、</w:t>
      </w:r>
      <w:r>
        <w:rPr>
          <w:rFonts w:hint="eastAsia" w:ascii="黑体" w:hAnsi="黑体" w:eastAsia="黑体" w:cs="宋体"/>
          <w:sz w:val="32"/>
          <w:szCs w:val="32"/>
          <w:lang w:val="en-US" w:eastAsia="zh-CN"/>
        </w:rPr>
        <w:t>评选</w:t>
      </w:r>
      <w:r>
        <w:rPr>
          <w:rFonts w:hint="eastAsia" w:ascii="黑体" w:hAnsi="黑体" w:eastAsia="黑体" w:cs="宋体"/>
          <w:sz w:val="32"/>
          <w:szCs w:val="32"/>
        </w:rPr>
        <w:t>时间和地点</w:t>
      </w:r>
    </w:p>
    <w:p w14:paraId="1B9C7C96">
      <w:pPr>
        <w:spacing w:line="560" w:lineRule="exact"/>
        <w:ind w:firstLine="643" w:firstLineChars="200"/>
        <w:jc w:val="left"/>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1.谈判评选</w:t>
      </w:r>
      <w:r>
        <w:rPr>
          <w:rFonts w:hint="eastAsia" w:ascii="仿宋" w:hAnsi="仿宋" w:eastAsia="仿宋" w:cs="仿宋"/>
          <w:sz w:val="32"/>
          <w:szCs w:val="32"/>
          <w:highlight w:val="none"/>
        </w:rPr>
        <w:t>时间：</w:t>
      </w:r>
      <w:r>
        <w:rPr>
          <w:rFonts w:hint="eastAsia" w:ascii="仿宋" w:hAnsi="仿宋" w:eastAsia="仿宋" w:cs="仿宋"/>
          <w:b/>
          <w:bCs/>
          <w:sz w:val="32"/>
          <w:szCs w:val="32"/>
        </w:rPr>
        <w:t>202</w:t>
      </w: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年</w:t>
      </w: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月</w:t>
      </w:r>
      <w:r>
        <w:rPr>
          <w:rFonts w:hint="eastAsia" w:ascii="仿宋" w:hAnsi="仿宋" w:eastAsia="仿宋" w:cs="仿宋"/>
          <w:b/>
          <w:bCs/>
          <w:sz w:val="32"/>
          <w:szCs w:val="32"/>
          <w:lang w:val="en-US" w:eastAsia="zh-CN"/>
        </w:rPr>
        <w:t>30</w:t>
      </w:r>
      <w:r>
        <w:rPr>
          <w:rFonts w:hint="eastAsia" w:ascii="仿宋" w:hAnsi="仿宋" w:eastAsia="仿宋" w:cs="仿宋"/>
          <w:b/>
          <w:bCs/>
          <w:sz w:val="32"/>
          <w:szCs w:val="32"/>
        </w:rPr>
        <w:t>日</w:t>
      </w:r>
      <w:r>
        <w:rPr>
          <w:rFonts w:hint="eastAsia" w:ascii="仿宋" w:hAnsi="仿宋" w:eastAsia="仿宋" w:cs="仿宋"/>
          <w:b/>
          <w:bCs/>
          <w:sz w:val="32"/>
          <w:szCs w:val="32"/>
          <w:lang w:val="en-US" w:eastAsia="zh-CN"/>
        </w:rPr>
        <w:t>10</w:t>
      </w:r>
      <w:r>
        <w:rPr>
          <w:rFonts w:hint="eastAsia" w:ascii="仿宋" w:hAnsi="仿宋" w:eastAsia="仿宋" w:cs="仿宋"/>
          <w:b/>
          <w:bCs/>
          <w:sz w:val="32"/>
          <w:szCs w:val="32"/>
        </w:rPr>
        <w:t>:00时</w:t>
      </w:r>
      <w:r>
        <w:rPr>
          <w:rFonts w:hint="eastAsia" w:ascii="仿宋" w:hAnsi="仿宋" w:eastAsia="仿宋" w:cs="仿宋"/>
          <w:sz w:val="32"/>
          <w:szCs w:val="32"/>
        </w:rPr>
        <w:t>（北京时间）</w:t>
      </w:r>
    </w:p>
    <w:p w14:paraId="4E01476E">
      <w:pPr>
        <w:spacing w:line="560" w:lineRule="exact"/>
        <w:ind w:firstLine="643" w:firstLineChars="200"/>
        <w:jc w:val="left"/>
        <w:rPr>
          <w:rFonts w:ascii="仿宋_GB2312" w:hAnsi="宋体" w:eastAsia="仿宋_GB2312" w:cs="宋体"/>
          <w:sz w:val="32"/>
          <w:szCs w:val="32"/>
        </w:rPr>
      </w:pPr>
      <w:r>
        <w:rPr>
          <w:rFonts w:hint="eastAsia" w:ascii="仿宋" w:hAnsi="仿宋" w:eastAsia="仿宋" w:cs="仿宋"/>
          <w:b/>
          <w:bCs/>
          <w:sz w:val="32"/>
          <w:szCs w:val="32"/>
          <w:lang w:val="en-US" w:eastAsia="zh-CN"/>
        </w:rPr>
        <w:t>2.谈判评选</w:t>
      </w:r>
      <w:r>
        <w:rPr>
          <w:rFonts w:hint="eastAsia" w:ascii="仿宋" w:hAnsi="仿宋" w:eastAsia="仿宋" w:cs="仿宋"/>
          <w:sz w:val="32"/>
          <w:szCs w:val="32"/>
        </w:rPr>
        <w:t>地点：</w:t>
      </w:r>
      <w:r>
        <w:rPr>
          <w:rFonts w:hint="eastAsia" w:ascii="仿宋" w:hAnsi="仿宋" w:eastAsia="仿宋" w:cs="仿宋"/>
          <w:b/>
          <w:sz w:val="32"/>
          <w:szCs w:val="32"/>
        </w:rPr>
        <w:t>重庆市两江新区王家街道重庆市渝北区两路寸滩保税港区空港功能 G区瑞月南路101</w:t>
      </w:r>
      <w:r>
        <w:rPr>
          <w:rFonts w:hint="eastAsia" w:ascii="仿宋" w:hAnsi="仿宋" w:eastAsia="仿宋" w:cs="仿宋"/>
          <w:b/>
          <w:sz w:val="32"/>
          <w:szCs w:val="32"/>
          <w:lang w:val="en-US" w:eastAsia="zh-CN"/>
        </w:rPr>
        <w:t>号</w:t>
      </w:r>
      <w:r>
        <w:rPr>
          <w:rFonts w:hint="eastAsia" w:ascii="仿宋" w:hAnsi="仿宋" w:eastAsia="仿宋" w:cs="仿宋"/>
          <w:b/>
          <w:sz w:val="32"/>
          <w:szCs w:val="32"/>
        </w:rPr>
        <w:t xml:space="preserve"> </w:t>
      </w:r>
      <w:r>
        <w:rPr>
          <w:rFonts w:hint="eastAsia" w:ascii="仿宋_GB2312" w:hAnsi="宋体" w:eastAsia="仿宋_GB2312" w:cs="宋体"/>
          <w:sz w:val="32"/>
          <w:szCs w:val="32"/>
        </w:rPr>
        <w:t>。</w:t>
      </w:r>
    </w:p>
    <w:p w14:paraId="41A5E56B">
      <w:pPr>
        <w:spacing w:line="560" w:lineRule="exact"/>
        <w:ind w:firstLine="640" w:firstLineChars="200"/>
        <w:jc w:val="left"/>
        <w:rPr>
          <w:rFonts w:hint="eastAsia" w:ascii="黑体" w:hAnsi="黑体" w:eastAsia="黑体" w:cs="宋体"/>
          <w:sz w:val="32"/>
          <w:szCs w:val="32"/>
        </w:rPr>
      </w:pPr>
      <w:r>
        <w:rPr>
          <w:rFonts w:hint="eastAsia" w:ascii="黑体" w:hAnsi="黑体" w:eastAsia="黑体" w:cs="宋体"/>
          <w:sz w:val="32"/>
          <w:szCs w:val="32"/>
          <w:lang w:val="en-US" w:eastAsia="zh-CN"/>
        </w:rPr>
        <w:t>四</w:t>
      </w:r>
      <w:r>
        <w:rPr>
          <w:rFonts w:hint="eastAsia" w:ascii="黑体" w:hAnsi="黑体" w:eastAsia="黑体" w:cs="宋体"/>
          <w:sz w:val="32"/>
          <w:szCs w:val="32"/>
        </w:rPr>
        <w:t>、</w:t>
      </w:r>
      <w:r>
        <w:rPr>
          <w:rFonts w:hint="eastAsia" w:ascii="黑体" w:hAnsi="黑体" w:eastAsia="黑体" w:cs="宋体"/>
          <w:sz w:val="32"/>
          <w:szCs w:val="32"/>
          <w:lang w:val="en-US" w:eastAsia="zh-CN"/>
        </w:rPr>
        <w:t>谈判</w:t>
      </w:r>
      <w:r>
        <w:rPr>
          <w:rFonts w:hint="eastAsia" w:ascii="黑体" w:hAnsi="黑体" w:eastAsia="黑体" w:cs="宋体"/>
          <w:sz w:val="32"/>
          <w:szCs w:val="32"/>
        </w:rPr>
        <w:t>文件获取</w:t>
      </w:r>
    </w:p>
    <w:p w14:paraId="117D6270">
      <w:pPr>
        <w:spacing w:line="560" w:lineRule="exact"/>
        <w:ind w:firstLine="643" w:firstLineChars="200"/>
        <w:jc w:val="left"/>
        <w:rPr>
          <w:rFonts w:hint="eastAsia" w:ascii="仿宋" w:hAnsi="仿宋" w:eastAsia="仿宋" w:cs="仿宋"/>
          <w:sz w:val="32"/>
          <w:szCs w:val="32"/>
          <w:highlight w:val="none"/>
        </w:rPr>
      </w:pPr>
      <w:r>
        <w:rPr>
          <w:rFonts w:hint="eastAsia" w:ascii="仿宋" w:hAnsi="仿宋" w:eastAsia="仿宋" w:cs="仿宋"/>
          <w:b/>
          <w:bCs/>
          <w:sz w:val="32"/>
          <w:szCs w:val="32"/>
          <w:lang w:val="en-US" w:eastAsia="zh-CN"/>
        </w:rPr>
        <w:t>1.</w:t>
      </w:r>
      <w:r>
        <w:rPr>
          <w:rFonts w:hint="eastAsia" w:ascii="仿宋" w:hAnsi="仿宋" w:eastAsia="仿宋" w:cs="仿宋"/>
          <w:sz w:val="32"/>
          <w:szCs w:val="32"/>
        </w:rPr>
        <w:t>获取时间：</w:t>
      </w:r>
      <w:r>
        <w:rPr>
          <w:rFonts w:hint="eastAsia" w:ascii="仿宋" w:hAnsi="仿宋" w:eastAsia="仿宋" w:cs="仿宋"/>
          <w:sz w:val="32"/>
          <w:szCs w:val="32"/>
          <w:highlight w:val="none"/>
        </w:rPr>
        <w:t>自</w:t>
      </w:r>
      <w:r>
        <w:rPr>
          <w:rFonts w:hint="eastAsia" w:ascii="仿宋" w:hAnsi="仿宋" w:eastAsia="仿宋" w:cs="仿宋"/>
          <w:color w:val="000000"/>
          <w:kern w:val="0"/>
          <w:sz w:val="31"/>
          <w:szCs w:val="31"/>
          <w:lang w:val="en-US" w:eastAsia="zh-CN" w:bidi="ar"/>
        </w:rPr>
        <w:t>2025 年5月27日至 2025年5月29日</w:t>
      </w:r>
      <w:r>
        <w:rPr>
          <w:rFonts w:hint="eastAsia" w:ascii="仿宋" w:hAnsi="仿宋" w:eastAsia="仿宋" w:cs="仿宋"/>
          <w:sz w:val="32"/>
          <w:szCs w:val="32"/>
          <w:highlight w:val="none"/>
        </w:rPr>
        <w:t>。</w:t>
      </w:r>
    </w:p>
    <w:p w14:paraId="405451F5">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val="0"/>
          <w:bCs w:val="0"/>
          <w:sz w:val="32"/>
          <w:szCs w:val="32"/>
          <w:lang w:val="en-US" w:eastAsia="zh-CN"/>
        </w:rPr>
        <w:t>响应人</w:t>
      </w:r>
      <w:r>
        <w:rPr>
          <w:rFonts w:hint="eastAsia" w:ascii="仿宋" w:hAnsi="仿宋" w:eastAsia="仿宋" w:cs="仿宋"/>
          <w:sz w:val="32"/>
          <w:szCs w:val="32"/>
        </w:rPr>
        <w:t>报名需提供：</w:t>
      </w:r>
    </w:p>
    <w:p w14:paraId="4ED6B2F3">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（1）有效的营业执照复印件； </w:t>
      </w:r>
    </w:p>
    <w:p w14:paraId="0974C5D6">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（2）法定代表人授权委托书及委托代理人身份证复印 </w:t>
      </w:r>
    </w:p>
    <w:p w14:paraId="4C0C390D">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件； </w:t>
      </w:r>
    </w:p>
    <w:p w14:paraId="1FCBB2E8">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（3）响应人资质资格要求中所需提供的相关业绩合同及资质资格证书；</w:t>
      </w:r>
    </w:p>
    <w:p w14:paraId="76D2A117">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（4）响应申请书。</w:t>
      </w:r>
    </w:p>
    <w:p w14:paraId="3A4D0DC7">
      <w:pPr>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响应人</w:t>
      </w:r>
      <w:r>
        <w:rPr>
          <w:rFonts w:hint="eastAsia" w:ascii="仿宋" w:hAnsi="仿宋" w:eastAsia="仿宋" w:cs="仿宋"/>
          <w:sz w:val="32"/>
          <w:szCs w:val="32"/>
        </w:rPr>
        <w:t>须将上述报名材料盖章扫描后的PDF版本，发送至</w:t>
      </w:r>
      <w:r>
        <w:rPr>
          <w:rFonts w:hint="eastAsia" w:ascii="仿宋" w:hAnsi="仿宋" w:eastAsia="仿宋" w:cs="仿宋"/>
          <w:sz w:val="32"/>
          <w:szCs w:val="32"/>
          <w:lang w:val="en-US" w:eastAsia="zh-CN"/>
        </w:rPr>
        <w:t>谈判人</w:t>
      </w:r>
      <w:r>
        <w:rPr>
          <w:rFonts w:hint="eastAsia" w:ascii="仿宋" w:hAnsi="仿宋" w:eastAsia="仿宋" w:cs="仿宋"/>
          <w:sz w:val="32"/>
          <w:szCs w:val="32"/>
        </w:rPr>
        <w:t>邮箱leili@jezetek.cc进行报名。</w:t>
      </w:r>
    </w:p>
    <w:p w14:paraId="280F7397">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五、</w:t>
      </w:r>
      <w:r>
        <w:rPr>
          <w:rFonts w:hint="eastAsia" w:ascii="黑体" w:hAnsi="黑体" w:eastAsia="黑体" w:cs="宋体"/>
          <w:sz w:val="32"/>
          <w:szCs w:val="32"/>
          <w:lang w:val="en-US" w:eastAsia="zh-CN"/>
        </w:rPr>
        <w:t>响应</w:t>
      </w:r>
      <w:r>
        <w:rPr>
          <w:rFonts w:hint="eastAsia" w:ascii="黑体" w:hAnsi="黑体" w:eastAsia="黑体" w:cs="宋体"/>
          <w:sz w:val="32"/>
          <w:szCs w:val="32"/>
          <w:lang w:eastAsia="zh-CN"/>
        </w:rPr>
        <w:t>文件</w:t>
      </w:r>
      <w:r>
        <w:rPr>
          <w:rFonts w:hint="eastAsia" w:ascii="黑体" w:hAnsi="黑体" w:eastAsia="黑体" w:cs="宋体"/>
          <w:sz w:val="32"/>
          <w:szCs w:val="32"/>
        </w:rPr>
        <w:t>递交时间</w:t>
      </w:r>
    </w:p>
    <w:p w14:paraId="60D681E0">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1.</w:t>
      </w:r>
      <w:r>
        <w:rPr>
          <w:rFonts w:hint="eastAsia" w:ascii="仿宋" w:hAnsi="仿宋" w:eastAsia="仿宋" w:cs="仿宋"/>
          <w:sz w:val="32"/>
          <w:szCs w:val="32"/>
          <w:lang w:val="en-US" w:eastAsia="zh-CN"/>
        </w:rPr>
        <w:t>报名成功</w:t>
      </w:r>
      <w:r>
        <w:rPr>
          <w:rFonts w:hint="eastAsia" w:ascii="仿宋" w:hAnsi="仿宋" w:eastAsia="仿宋" w:cs="仿宋"/>
          <w:sz w:val="32"/>
          <w:szCs w:val="32"/>
        </w:rPr>
        <w:t>的</w:t>
      </w:r>
      <w:r>
        <w:rPr>
          <w:rFonts w:hint="eastAsia" w:ascii="仿宋" w:hAnsi="仿宋" w:eastAsia="仿宋" w:cs="仿宋"/>
          <w:sz w:val="32"/>
          <w:szCs w:val="32"/>
          <w:lang w:val="en-US" w:eastAsia="zh-CN"/>
        </w:rPr>
        <w:t>响应人</w:t>
      </w:r>
      <w:r>
        <w:rPr>
          <w:rFonts w:hint="eastAsia" w:ascii="仿宋" w:hAnsi="仿宋" w:eastAsia="仿宋" w:cs="仿宋"/>
          <w:sz w:val="32"/>
          <w:szCs w:val="32"/>
        </w:rPr>
        <w:t>,将</w:t>
      </w:r>
      <w:r>
        <w:rPr>
          <w:rFonts w:hint="eastAsia" w:ascii="仿宋" w:hAnsi="仿宋" w:eastAsia="仿宋" w:cs="仿宋"/>
          <w:sz w:val="32"/>
          <w:szCs w:val="32"/>
          <w:lang w:val="en-US" w:eastAsia="zh-CN"/>
        </w:rPr>
        <w:t>谈判</w:t>
      </w:r>
      <w:r>
        <w:rPr>
          <w:rFonts w:hint="eastAsia" w:ascii="仿宋" w:hAnsi="仿宋" w:eastAsia="仿宋" w:cs="仿宋"/>
          <w:sz w:val="32"/>
          <w:szCs w:val="32"/>
        </w:rPr>
        <w:t>文件密封，在</w:t>
      </w:r>
      <w:r>
        <w:rPr>
          <w:rFonts w:hint="eastAsia" w:ascii="仿宋" w:hAnsi="仿宋" w:eastAsia="仿宋" w:cs="仿宋"/>
          <w:sz w:val="32"/>
          <w:szCs w:val="32"/>
          <w:lang w:val="en-US" w:eastAsia="zh-CN"/>
        </w:rPr>
        <w:t>谈判</w:t>
      </w:r>
      <w:r>
        <w:rPr>
          <w:rFonts w:hint="eastAsia" w:ascii="仿宋" w:hAnsi="仿宋" w:eastAsia="仿宋" w:cs="仿宋"/>
          <w:sz w:val="32"/>
          <w:szCs w:val="32"/>
        </w:rPr>
        <w:t>地点当面递交</w:t>
      </w:r>
      <w:r>
        <w:rPr>
          <w:rFonts w:hint="eastAsia" w:ascii="仿宋" w:hAnsi="仿宋" w:eastAsia="仿宋" w:cs="仿宋"/>
          <w:sz w:val="32"/>
          <w:szCs w:val="32"/>
          <w:lang w:val="en-US"/>
        </w:rPr>
        <w:t>,</w:t>
      </w:r>
      <w:r>
        <w:rPr>
          <w:rFonts w:hint="eastAsia" w:ascii="仿宋" w:hAnsi="仿宋" w:eastAsia="仿宋" w:cs="仿宋"/>
          <w:sz w:val="32"/>
          <w:szCs w:val="32"/>
        </w:rPr>
        <w:t>提交截止时间202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30</w:t>
      </w:r>
      <w:r>
        <w:rPr>
          <w:rFonts w:hint="eastAsia" w:ascii="仿宋" w:hAnsi="仿宋" w:eastAsia="仿宋" w:cs="仿宋"/>
          <w:sz w:val="32"/>
          <w:szCs w:val="32"/>
        </w:rPr>
        <w:t>日</w:t>
      </w:r>
      <w:r>
        <w:rPr>
          <w:rFonts w:hint="eastAsia" w:ascii="仿宋" w:hAnsi="仿宋" w:eastAsia="仿宋" w:cs="仿宋"/>
          <w:sz w:val="32"/>
          <w:szCs w:val="32"/>
          <w:lang w:val="en-US"/>
        </w:rPr>
        <w:t>1</w:t>
      </w:r>
      <w:r>
        <w:rPr>
          <w:rFonts w:hint="eastAsia" w:ascii="仿宋" w:hAnsi="仿宋" w:eastAsia="仿宋" w:cs="仿宋"/>
          <w:sz w:val="32"/>
          <w:szCs w:val="32"/>
          <w:lang w:val="en-US" w:eastAsia="zh-CN"/>
        </w:rPr>
        <w:t>0</w:t>
      </w:r>
      <w:r>
        <w:rPr>
          <w:rFonts w:hint="eastAsia" w:ascii="仿宋" w:hAnsi="仿宋" w:eastAsia="仿宋" w:cs="仿宋"/>
          <w:sz w:val="32"/>
          <w:szCs w:val="32"/>
        </w:rPr>
        <w:t>时,逾期提交的不予受理。</w:t>
      </w:r>
    </w:p>
    <w:p w14:paraId="20414837">
      <w:pPr>
        <w:spacing w:line="560" w:lineRule="exact"/>
        <w:ind w:firstLine="643" w:firstLineChars="200"/>
        <w:jc w:val="left"/>
        <w:rPr>
          <w:rFonts w:hint="eastAsia" w:ascii="仿宋" w:hAnsi="仿宋" w:eastAsia="仿宋" w:cs="仿宋"/>
          <w:sz w:val="32"/>
          <w:szCs w:val="32"/>
          <w:highlight w:val="yellow"/>
        </w:rPr>
      </w:pPr>
      <w:r>
        <w:rPr>
          <w:rFonts w:hint="eastAsia" w:ascii="仿宋" w:hAnsi="仿宋" w:eastAsia="仿宋" w:cs="仿宋"/>
          <w:b/>
          <w:bCs/>
          <w:sz w:val="32"/>
          <w:szCs w:val="32"/>
          <w:lang w:val="en-US" w:eastAsia="zh-CN"/>
        </w:rPr>
        <w:t>2.</w:t>
      </w:r>
      <w:r>
        <w:rPr>
          <w:rFonts w:hint="eastAsia" w:ascii="仿宋" w:hAnsi="仿宋" w:eastAsia="仿宋" w:cs="仿宋"/>
          <w:b w:val="0"/>
          <w:bCs w:val="0"/>
          <w:sz w:val="32"/>
          <w:szCs w:val="32"/>
          <w:lang w:val="en-US" w:eastAsia="zh-CN"/>
        </w:rPr>
        <w:t>谈判文件</w:t>
      </w:r>
      <w:r>
        <w:rPr>
          <w:rFonts w:hint="eastAsia" w:ascii="仿宋" w:hAnsi="仿宋" w:eastAsia="仿宋" w:cs="仿宋"/>
          <w:sz w:val="32"/>
          <w:szCs w:val="32"/>
        </w:rPr>
        <w:t>的份数：正本1份,副本</w:t>
      </w:r>
      <w:r>
        <w:rPr>
          <w:rFonts w:hint="eastAsia" w:ascii="仿宋" w:hAnsi="仿宋" w:eastAsia="仿宋" w:cs="仿宋"/>
          <w:sz w:val="32"/>
          <w:szCs w:val="32"/>
          <w:lang w:val="en-US" w:eastAsia="zh-CN"/>
        </w:rPr>
        <w:t>3</w:t>
      </w:r>
      <w:r>
        <w:rPr>
          <w:rFonts w:hint="eastAsia" w:ascii="仿宋" w:hAnsi="仿宋" w:eastAsia="仿宋" w:cs="仿宋"/>
          <w:sz w:val="32"/>
          <w:szCs w:val="32"/>
        </w:rPr>
        <w:t>份。</w:t>
      </w:r>
    </w:p>
    <w:p w14:paraId="037C37A8">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3.</w:t>
      </w:r>
      <w:r>
        <w:rPr>
          <w:rFonts w:hint="eastAsia" w:ascii="仿宋" w:hAnsi="仿宋" w:eastAsia="仿宋" w:cs="仿宋"/>
        </w:rPr>
        <w:fldChar w:fldCharType="begin"/>
      </w:r>
      <w:r>
        <w:rPr>
          <w:rFonts w:hint="eastAsia" w:ascii="仿宋" w:hAnsi="仿宋" w:eastAsia="仿宋" w:cs="仿宋"/>
        </w:rPr>
        <w:instrText xml:space="preserve"> HYPERLINK "mailto:参选文件必须在截止时间前送达，未密封、逾期送达或未送达指定地点的参选文件视为自动弃权。若因不可抗力因素影响导致纸质参选文件无法按时送达的，可在参选文件递交截止时间前以PDF文档（盖章版）加密形式，通过邮件发送至比选人邮箱jzzbbx@jiuzhoutech.com，并在开选时将密码提供给比选人。" </w:instrText>
      </w:r>
      <w:r>
        <w:rPr>
          <w:rFonts w:hint="eastAsia" w:ascii="仿宋" w:hAnsi="仿宋" w:eastAsia="仿宋" w:cs="仿宋"/>
        </w:rPr>
        <w:fldChar w:fldCharType="separate"/>
      </w:r>
      <w:r>
        <w:rPr>
          <w:rFonts w:hint="eastAsia" w:ascii="仿宋" w:hAnsi="仿宋" w:eastAsia="仿宋" w:cs="仿宋"/>
          <w:sz w:val="32"/>
          <w:szCs w:val="32"/>
          <w:lang w:eastAsia="zh-CN"/>
        </w:rPr>
        <w:t>谈判文件</w:t>
      </w:r>
      <w:r>
        <w:rPr>
          <w:rFonts w:hint="eastAsia" w:ascii="仿宋" w:hAnsi="仿宋" w:eastAsia="仿宋" w:cs="仿宋"/>
          <w:sz w:val="32"/>
          <w:szCs w:val="32"/>
        </w:rPr>
        <w:t>必须在截止时间前送达，未密封、逾期送达或未送达指定地点的</w:t>
      </w:r>
      <w:r>
        <w:rPr>
          <w:rFonts w:hint="eastAsia" w:ascii="仿宋" w:hAnsi="仿宋" w:eastAsia="仿宋" w:cs="仿宋"/>
          <w:sz w:val="32"/>
          <w:szCs w:val="32"/>
          <w:lang w:eastAsia="zh-CN"/>
        </w:rPr>
        <w:t>谈判文件</w:t>
      </w:r>
      <w:r>
        <w:rPr>
          <w:rFonts w:hint="eastAsia" w:ascii="仿宋" w:hAnsi="仿宋" w:eastAsia="仿宋" w:cs="仿宋"/>
          <w:sz w:val="32"/>
          <w:szCs w:val="32"/>
        </w:rPr>
        <w:t>视为自动弃权。若因</w:t>
      </w:r>
      <w:r>
        <w:rPr>
          <w:rFonts w:hint="eastAsia" w:ascii="仿宋" w:hAnsi="仿宋" w:eastAsia="仿宋" w:cs="仿宋"/>
          <w:sz w:val="32"/>
          <w:szCs w:val="32"/>
          <w:lang w:val="en-US" w:eastAsia="zh-CN"/>
        </w:rPr>
        <w:t>特殊原因</w:t>
      </w:r>
      <w:r>
        <w:rPr>
          <w:rFonts w:hint="eastAsia" w:ascii="仿宋" w:hAnsi="仿宋" w:eastAsia="仿宋" w:cs="仿宋"/>
          <w:sz w:val="32"/>
          <w:szCs w:val="32"/>
        </w:rPr>
        <w:t>导致纸质</w:t>
      </w:r>
      <w:r>
        <w:rPr>
          <w:rFonts w:hint="eastAsia" w:ascii="仿宋" w:hAnsi="仿宋" w:eastAsia="仿宋" w:cs="仿宋"/>
          <w:sz w:val="32"/>
          <w:szCs w:val="32"/>
          <w:lang w:eastAsia="zh-CN"/>
        </w:rPr>
        <w:t>谈判文件</w:t>
      </w:r>
      <w:r>
        <w:rPr>
          <w:rFonts w:hint="eastAsia" w:ascii="仿宋" w:hAnsi="仿宋" w:eastAsia="仿宋" w:cs="仿宋"/>
          <w:sz w:val="32"/>
          <w:szCs w:val="32"/>
        </w:rPr>
        <w:t>无法按时送达的，可在</w:t>
      </w:r>
      <w:r>
        <w:rPr>
          <w:rFonts w:hint="eastAsia" w:ascii="仿宋" w:hAnsi="仿宋" w:eastAsia="仿宋" w:cs="仿宋"/>
          <w:sz w:val="32"/>
          <w:szCs w:val="32"/>
          <w:lang w:eastAsia="zh-CN"/>
        </w:rPr>
        <w:t>谈判文件</w:t>
      </w:r>
      <w:r>
        <w:rPr>
          <w:rFonts w:hint="eastAsia" w:ascii="仿宋" w:hAnsi="仿宋" w:eastAsia="仿宋" w:cs="仿宋"/>
          <w:sz w:val="32"/>
          <w:szCs w:val="32"/>
        </w:rPr>
        <w:t>递交截止时间前以PDF文档(盖章版)加密形式，通过邮件发送至</w:t>
      </w:r>
      <w:r>
        <w:rPr>
          <w:rFonts w:hint="eastAsia" w:ascii="仿宋" w:hAnsi="仿宋" w:eastAsia="仿宋" w:cs="仿宋"/>
          <w:sz w:val="32"/>
          <w:szCs w:val="32"/>
          <w:lang w:val="en-US" w:eastAsia="zh-CN"/>
        </w:rPr>
        <w:t>谈判人</w:t>
      </w:r>
      <w:r>
        <w:rPr>
          <w:rFonts w:hint="eastAsia" w:ascii="仿宋" w:hAnsi="仿宋" w:eastAsia="仿宋" w:cs="仿宋"/>
          <w:sz w:val="32"/>
          <w:szCs w:val="32"/>
        </w:rPr>
        <w:t>邮箱jzzbbx@jiuzhoutech.com，并在</w:t>
      </w:r>
      <w:r>
        <w:rPr>
          <w:rFonts w:hint="eastAsia" w:ascii="仿宋" w:hAnsi="仿宋" w:eastAsia="仿宋" w:cs="仿宋"/>
          <w:sz w:val="32"/>
          <w:szCs w:val="32"/>
          <w:lang w:val="en-US" w:eastAsia="zh-CN"/>
        </w:rPr>
        <w:t>开选</w:t>
      </w:r>
      <w:r>
        <w:rPr>
          <w:rFonts w:hint="eastAsia" w:ascii="仿宋" w:hAnsi="仿宋" w:eastAsia="仿宋" w:cs="仿宋"/>
          <w:sz w:val="32"/>
          <w:szCs w:val="32"/>
        </w:rPr>
        <w:t>时将密码提供给</w:t>
      </w:r>
      <w:r>
        <w:rPr>
          <w:rFonts w:hint="eastAsia" w:ascii="仿宋" w:hAnsi="仿宋" w:eastAsia="仿宋" w:cs="仿宋"/>
          <w:sz w:val="32"/>
          <w:szCs w:val="32"/>
          <w:lang w:val="en-US" w:eastAsia="zh-CN"/>
        </w:rPr>
        <w:t>谈判</w:t>
      </w:r>
      <w:r>
        <w:rPr>
          <w:rFonts w:hint="eastAsia" w:ascii="仿宋" w:hAnsi="仿宋" w:eastAsia="仿宋" w:cs="仿宋"/>
          <w:sz w:val="32"/>
          <w:szCs w:val="32"/>
        </w:rPr>
        <w:t>人。</w:t>
      </w:r>
      <w:r>
        <w:rPr>
          <w:rFonts w:hint="eastAsia" w:ascii="仿宋" w:hAnsi="仿宋" w:eastAsia="仿宋" w:cs="仿宋"/>
          <w:sz w:val="32"/>
          <w:szCs w:val="32"/>
        </w:rPr>
        <w:fldChar w:fldCharType="end"/>
      </w:r>
    </w:p>
    <w:p w14:paraId="73338B2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收件地址：重庆市两江新区王家街道重庆市渝北区两路寸滩保税港区空港功能 G区瑞月南路101号 </w:t>
      </w:r>
    </w:p>
    <w:p w14:paraId="6129AA3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收件单位：重庆九洲智造科技</w:t>
      </w:r>
      <w:r>
        <w:rPr>
          <w:rFonts w:hint="eastAsia" w:ascii="仿宋" w:hAnsi="仿宋" w:eastAsia="仿宋" w:cs="仿宋"/>
          <w:sz w:val="32"/>
          <w:szCs w:val="32"/>
        </w:rPr>
        <w:t>有限公司</w:t>
      </w:r>
      <w:r>
        <w:rPr>
          <w:rFonts w:hint="eastAsia" w:ascii="仿宋" w:hAnsi="仿宋" w:eastAsia="仿宋" w:cs="仿宋"/>
          <w:sz w:val="32"/>
          <w:szCs w:val="32"/>
          <w:lang w:val="en-US" w:eastAsia="zh-CN"/>
        </w:rPr>
        <w:t>财务部</w:t>
      </w:r>
    </w:p>
    <w:p w14:paraId="43B852B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收件人：苏亚18717009262</w:t>
      </w:r>
    </w:p>
    <w:p w14:paraId="4F6FDB0F">
      <w:pPr>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val="en-US" w:eastAsia="zh-CN"/>
        </w:rPr>
        <w:t>4.</w:t>
      </w:r>
      <w:bookmarkStart w:id="1" w:name="_Hlk170044793"/>
      <w:r>
        <w:rPr>
          <w:rFonts w:hint="eastAsia" w:ascii="仿宋" w:hAnsi="仿宋" w:eastAsia="仿宋" w:cs="仿宋"/>
          <w:sz w:val="32"/>
          <w:szCs w:val="32"/>
        </w:rPr>
        <w:t>通过资格资质审查的</w:t>
      </w:r>
      <w:r>
        <w:rPr>
          <w:rFonts w:hint="eastAsia" w:ascii="仿宋" w:hAnsi="仿宋" w:eastAsia="仿宋" w:cs="仿宋"/>
          <w:sz w:val="32"/>
          <w:szCs w:val="32"/>
          <w:lang w:val="en-US" w:eastAsia="zh-CN"/>
        </w:rPr>
        <w:t>响应人</w:t>
      </w:r>
      <w:r>
        <w:rPr>
          <w:rFonts w:hint="eastAsia" w:ascii="仿宋" w:hAnsi="仿宋" w:eastAsia="仿宋" w:cs="仿宋"/>
          <w:sz w:val="32"/>
          <w:szCs w:val="32"/>
        </w:rPr>
        <w:t>少于三家的，</w:t>
      </w:r>
      <w:r>
        <w:rPr>
          <w:rFonts w:hint="eastAsia" w:ascii="仿宋" w:hAnsi="仿宋" w:eastAsia="仿宋" w:cs="仿宋"/>
          <w:sz w:val="32"/>
          <w:szCs w:val="32"/>
          <w:lang w:val="en-US" w:eastAsia="zh-CN"/>
        </w:rPr>
        <w:t>采购</w:t>
      </w:r>
      <w:r>
        <w:rPr>
          <w:rFonts w:hint="eastAsia" w:ascii="仿宋" w:hAnsi="仿宋" w:eastAsia="仿宋" w:cs="仿宋"/>
          <w:sz w:val="32"/>
          <w:szCs w:val="32"/>
        </w:rPr>
        <w:t>人有权重新组织</w:t>
      </w:r>
      <w:r>
        <w:rPr>
          <w:rFonts w:hint="eastAsia" w:ascii="仿宋" w:hAnsi="仿宋" w:eastAsia="仿宋" w:cs="仿宋"/>
          <w:sz w:val="32"/>
          <w:szCs w:val="32"/>
          <w:lang w:val="en-US" w:eastAsia="zh-CN"/>
        </w:rPr>
        <w:t>询比</w:t>
      </w:r>
      <w:r>
        <w:rPr>
          <w:rFonts w:hint="eastAsia" w:ascii="仿宋" w:hAnsi="仿宋" w:eastAsia="仿宋" w:cs="仿宋"/>
          <w:sz w:val="32"/>
          <w:szCs w:val="32"/>
        </w:rPr>
        <w:t>。</w:t>
      </w:r>
    </w:p>
    <w:bookmarkEnd w:id="1"/>
    <w:p w14:paraId="11339CAD">
      <w:pPr>
        <w:spacing w:line="560" w:lineRule="exact"/>
        <w:ind w:firstLine="640" w:firstLineChars="200"/>
        <w:jc w:val="left"/>
        <w:rPr>
          <w:rFonts w:hint="default" w:ascii="黑体" w:hAnsi="黑体" w:eastAsia="黑体" w:cs="宋体"/>
          <w:sz w:val="32"/>
          <w:szCs w:val="32"/>
          <w:lang w:val="en-US" w:eastAsia="zh-CN"/>
        </w:rPr>
      </w:pPr>
      <w:r>
        <w:rPr>
          <w:rFonts w:hint="eastAsia" w:ascii="黑体" w:hAnsi="黑体" w:eastAsia="黑体" w:cs="宋体"/>
          <w:sz w:val="32"/>
          <w:szCs w:val="32"/>
        </w:rPr>
        <w:t>六、</w:t>
      </w:r>
      <w:r>
        <w:rPr>
          <w:rFonts w:hint="eastAsia" w:ascii="黑体" w:hAnsi="黑体" w:eastAsia="黑体" w:cs="宋体"/>
          <w:sz w:val="32"/>
          <w:szCs w:val="32"/>
          <w:lang w:val="en-US" w:eastAsia="zh-CN"/>
        </w:rPr>
        <w:t>定选方式</w:t>
      </w:r>
    </w:p>
    <w:p w14:paraId="2EAB9049">
      <w:pPr>
        <w:spacing w:line="560" w:lineRule="exact"/>
        <w:ind w:firstLine="640" w:firstLineChars="200"/>
        <w:jc w:val="left"/>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本项目采用综合评分法确定中选候选人，综合得分最高者中选</w:t>
      </w:r>
      <w:r>
        <w:rPr>
          <w:rFonts w:hint="eastAsia" w:ascii="仿宋" w:hAnsi="仿宋" w:eastAsia="仿宋" w:cs="仿宋"/>
          <w:b w:val="0"/>
          <w:bCs w:val="0"/>
          <w:sz w:val="32"/>
          <w:szCs w:val="32"/>
          <w:lang w:val="en-US" w:eastAsia="zh-CN"/>
        </w:rPr>
        <w:t>。</w:t>
      </w:r>
    </w:p>
    <w:p w14:paraId="0F1412EC">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七、成交标准</w:t>
      </w:r>
    </w:p>
    <w:p w14:paraId="10269704">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当响应人在资质、技术、商务等主要条件均满足响应文件要求时，以评选小组评定的降幅比例由高到低的响应人作为中选候选人。</w:t>
      </w:r>
    </w:p>
    <w:p w14:paraId="337C3F88">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八、发布公告</w:t>
      </w:r>
    </w:p>
    <w:p w14:paraId="6370981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本次谈判公告在四川九洲投资控股集团有限公司网站 </w:t>
      </w:r>
    </w:p>
    <w:p w14:paraId="409E1E6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(https://www.jezetek.cc/)、重庆华龙网（https://www.cqnews.net/）上发布。对于因其他网站转载并发布的非完整版或修改版公告，而导致误报名或无效报名的情形，谈判人不予承担责任。</w:t>
      </w:r>
    </w:p>
    <w:p w14:paraId="0D00E84E">
      <w:pPr>
        <w:spacing w:line="56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九、公告期限</w:t>
      </w:r>
    </w:p>
    <w:p w14:paraId="76DCA31E">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自本公告发布之日起</w:t>
      </w:r>
      <w:r>
        <w:rPr>
          <w:rFonts w:hint="eastAsia" w:ascii="仿宋_GB2312" w:hAnsi="宋体" w:eastAsia="仿宋_GB2312" w:cs="宋体"/>
          <w:sz w:val="32"/>
          <w:szCs w:val="32"/>
          <w:lang w:val="en-US" w:eastAsia="zh-CN"/>
        </w:rPr>
        <w:t>3日</w:t>
      </w:r>
      <w:r>
        <w:rPr>
          <w:rFonts w:hint="eastAsia" w:ascii="仿宋_GB2312" w:hAnsi="宋体" w:eastAsia="仿宋_GB2312" w:cs="宋体"/>
          <w:sz w:val="32"/>
          <w:szCs w:val="32"/>
        </w:rPr>
        <w:t>。</w:t>
      </w:r>
    </w:p>
    <w:p w14:paraId="096AAB3D">
      <w:pPr>
        <w:spacing w:line="52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十、联系方式</w:t>
      </w:r>
    </w:p>
    <w:p w14:paraId="642C152F">
      <w:pPr>
        <w:spacing w:line="520" w:lineRule="exact"/>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采购</w:t>
      </w:r>
      <w:r>
        <w:rPr>
          <w:rFonts w:hint="eastAsia" w:ascii="仿宋_GB2312" w:hAnsi="宋体" w:eastAsia="仿宋_GB2312" w:cs="宋体"/>
          <w:sz w:val="32"/>
          <w:szCs w:val="32"/>
        </w:rPr>
        <w:t>人：</w:t>
      </w:r>
      <w:r>
        <w:rPr>
          <w:rFonts w:hint="eastAsia" w:ascii="仿宋_GB2312" w:hAnsi="宋体" w:eastAsia="仿宋_GB2312" w:cs="宋体"/>
          <w:sz w:val="32"/>
          <w:szCs w:val="32"/>
          <w:lang w:val="en-US" w:eastAsia="zh-CN"/>
        </w:rPr>
        <w:t>重庆九洲智造科技有限公司</w:t>
      </w:r>
    </w:p>
    <w:p w14:paraId="6C987EE1">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联系地址：重庆市两江新区王家街道重庆市渝北区两路寸滩保税港区空港功能 G区瑞月南路101号</w:t>
      </w:r>
    </w:p>
    <w:p w14:paraId="3148807D">
      <w:pPr>
        <w:spacing w:line="520" w:lineRule="exact"/>
        <w:ind w:firstLine="640" w:firstLineChars="200"/>
        <w:jc w:val="left"/>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联系人：</w:t>
      </w:r>
      <w:r>
        <w:rPr>
          <w:rFonts w:hint="eastAsia" w:ascii="仿宋_GB2312" w:hAnsi="宋体" w:eastAsia="仿宋_GB2312" w:cs="宋体"/>
          <w:sz w:val="32"/>
          <w:szCs w:val="32"/>
          <w:lang w:val="en-US" w:eastAsia="zh-CN"/>
        </w:rPr>
        <w:t>雷莉</w:t>
      </w:r>
    </w:p>
    <w:p w14:paraId="457613E7">
      <w:pPr>
        <w:spacing w:line="520" w:lineRule="exact"/>
        <w:ind w:firstLine="640" w:firstLineChars="200"/>
        <w:jc w:val="left"/>
        <w:rPr>
          <w:rFonts w:hint="default" w:ascii="仿宋_GB2312" w:hAnsi="宋体" w:eastAsia="仿宋_GB2312" w:cs="宋体"/>
          <w:sz w:val="32"/>
          <w:szCs w:val="32"/>
          <w:lang w:val="en-US" w:eastAsia="zh-CN"/>
        </w:rPr>
      </w:pPr>
      <w:r>
        <w:rPr>
          <w:rFonts w:hint="eastAsia" w:ascii="仿宋_GB2312" w:hAnsi="宋体" w:eastAsia="仿宋_GB2312" w:cs="宋体"/>
          <w:sz w:val="32"/>
          <w:szCs w:val="32"/>
        </w:rPr>
        <w:t>电话：</w:t>
      </w:r>
      <w:r>
        <w:rPr>
          <w:rFonts w:hint="eastAsia" w:ascii="仿宋_GB2312" w:hAnsi="宋体" w:eastAsia="仿宋_GB2312" w:cs="宋体"/>
          <w:sz w:val="32"/>
          <w:szCs w:val="32"/>
          <w:lang w:val="en-US" w:eastAsia="zh-CN"/>
        </w:rPr>
        <w:t>13696499705</w:t>
      </w:r>
    </w:p>
    <w:p w14:paraId="3F558DCF">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廉政监督邮箱：</w:t>
      </w:r>
      <w:r>
        <w:rPr>
          <w:rFonts w:hint="eastAsia" w:ascii="仿宋_GB2312" w:hAnsi="仿宋_GB2312" w:eastAsia="仿宋_GB2312" w:cs="仿宋_GB2312"/>
          <w:sz w:val="32"/>
          <w:szCs w:val="32"/>
          <w:highlight w:val="none"/>
          <w:lang w:val="en-US" w:eastAsia="zh-CN"/>
        </w:rPr>
        <w:fldChar w:fldCharType="begin"/>
      </w:r>
      <w:r>
        <w:rPr>
          <w:rFonts w:hint="eastAsia" w:ascii="仿宋_GB2312" w:hAnsi="仿宋_GB2312" w:eastAsia="仿宋_GB2312" w:cs="仿宋_GB2312"/>
          <w:sz w:val="32"/>
          <w:szCs w:val="32"/>
          <w:highlight w:val="none"/>
          <w:lang w:val="en-US" w:eastAsia="zh-CN"/>
        </w:rPr>
        <w:instrText xml:space="preserve"> HYPERLINK "mailto:scjzsjb@jiuzhoutech.com" </w:instrText>
      </w:r>
      <w:r>
        <w:rPr>
          <w:rFonts w:hint="eastAsia" w:ascii="仿宋_GB2312" w:hAnsi="仿宋_GB2312" w:eastAsia="仿宋_GB2312" w:cs="仿宋_GB2312"/>
          <w:sz w:val="32"/>
          <w:szCs w:val="32"/>
          <w:highlight w:val="none"/>
          <w:lang w:val="en-US" w:eastAsia="zh-CN"/>
        </w:rPr>
        <w:fldChar w:fldCharType="separate"/>
      </w:r>
      <w:r>
        <w:rPr>
          <w:rFonts w:hint="eastAsia" w:ascii="仿宋_GB2312" w:hAnsi="仿宋_GB2312" w:eastAsia="仿宋_GB2312" w:cs="仿宋_GB2312"/>
          <w:sz w:val="32"/>
          <w:szCs w:val="32"/>
          <w:highlight w:val="none"/>
          <w:lang w:val="en-US" w:eastAsia="zh-CN"/>
        </w:rPr>
        <w:t>scjzsjb@</w:t>
      </w:r>
      <w:r>
        <w:rPr>
          <w:rFonts w:hint="eastAsia" w:ascii="仿宋_GB2312" w:hAnsi="仿宋_GB2312" w:eastAsia="仿宋_GB2312" w:cs="仿宋_GB2312"/>
          <w:sz w:val="32"/>
          <w:szCs w:val="32"/>
          <w:highlight w:val="none"/>
        </w:rPr>
        <w:t>jiuzhoutech.com</w:t>
      </w:r>
      <w:r>
        <w:rPr>
          <w:rFonts w:hint="eastAsia" w:ascii="仿宋_GB2312" w:hAnsi="仿宋_GB2312" w:eastAsia="仿宋_GB2312" w:cs="仿宋_GB2312"/>
          <w:sz w:val="32"/>
          <w:szCs w:val="32"/>
          <w:highlight w:val="none"/>
          <w:lang w:val="en-US" w:eastAsia="zh-CN"/>
        </w:rPr>
        <w:fldChar w:fldCharType="end"/>
      </w:r>
    </w:p>
    <w:p w14:paraId="5B09057F">
      <w:pPr>
        <w:spacing w:line="520" w:lineRule="exact"/>
        <w:ind w:left="2238" w:leftChars="304" w:hanging="1600" w:hangingChars="500"/>
        <w:jc w:val="left"/>
        <w:rPr>
          <w:rFonts w:hint="eastAsia" w:ascii="仿宋_GB2312" w:hAnsi="宋体" w:eastAsia="仿宋_GB2312" w:cs="宋体"/>
          <w:sz w:val="32"/>
          <w:szCs w:val="32"/>
        </w:rPr>
      </w:pPr>
    </w:p>
    <w:p w14:paraId="2CF07180">
      <w:pPr>
        <w:spacing w:line="520" w:lineRule="exact"/>
        <w:jc w:val="left"/>
        <w:rPr>
          <w:rFonts w:hint="eastAsia" w:ascii="仿宋_GB2312" w:hAnsi="宋体" w:eastAsia="仿宋_GB2312" w:cs="宋体"/>
          <w:sz w:val="32"/>
          <w:szCs w:val="32"/>
        </w:rPr>
      </w:pPr>
    </w:p>
    <w:p w14:paraId="3A780233">
      <w:pPr>
        <w:spacing w:line="5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附件：</w:t>
      </w:r>
      <w:r>
        <w:rPr>
          <w:rFonts w:hint="eastAsia" w:ascii="仿宋_GB2312" w:hAnsi="宋体" w:eastAsia="仿宋_GB2312" w:cs="宋体"/>
          <w:sz w:val="32"/>
          <w:szCs w:val="32"/>
          <w:lang w:val="en-US" w:eastAsia="zh-CN"/>
        </w:rPr>
        <w:t>参选</w:t>
      </w:r>
      <w:r>
        <w:rPr>
          <w:rFonts w:hint="eastAsia" w:ascii="仿宋_GB2312" w:hAnsi="宋体" w:eastAsia="仿宋_GB2312" w:cs="宋体"/>
          <w:sz w:val="32"/>
          <w:szCs w:val="32"/>
        </w:rPr>
        <w:t>申请书</w:t>
      </w:r>
    </w:p>
    <w:p w14:paraId="486998B7">
      <w:pPr>
        <w:spacing w:line="520" w:lineRule="exact"/>
        <w:ind w:firstLine="640" w:firstLineChars="200"/>
        <w:jc w:val="left"/>
        <w:rPr>
          <w:rFonts w:ascii="仿宋_GB2312" w:hAnsi="宋体" w:eastAsia="仿宋_GB2312" w:cs="宋体"/>
          <w:sz w:val="32"/>
          <w:szCs w:val="32"/>
        </w:rPr>
      </w:pPr>
    </w:p>
    <w:p w14:paraId="68B43258">
      <w:pPr>
        <w:spacing w:line="520" w:lineRule="exact"/>
        <w:jc w:val="both"/>
        <w:rPr>
          <w:rFonts w:hint="eastAsia" w:ascii="仿宋_GB2312" w:hAnsi="宋体" w:eastAsia="仿宋_GB2312" w:cs="宋体"/>
          <w:sz w:val="32"/>
          <w:szCs w:val="32"/>
        </w:rPr>
      </w:pPr>
    </w:p>
    <w:p w14:paraId="1614831E">
      <w:pPr>
        <w:spacing w:line="520" w:lineRule="exact"/>
        <w:jc w:val="right"/>
        <w:rPr>
          <w:rFonts w:ascii="仿宋_GB2312" w:hAnsi="宋体" w:eastAsia="仿宋_GB2312" w:cs="宋体"/>
          <w:sz w:val="32"/>
          <w:szCs w:val="32"/>
        </w:rPr>
      </w:pPr>
      <w:r>
        <w:rPr>
          <w:rFonts w:hint="eastAsia" w:ascii="仿宋_GB2312" w:hAnsi="宋体" w:eastAsia="仿宋_GB2312" w:cs="宋体"/>
          <w:sz w:val="32"/>
          <w:szCs w:val="32"/>
          <w:lang w:val="en-US" w:eastAsia="zh-CN"/>
        </w:rPr>
        <w:t>重庆九洲智造科技有限公司</w:t>
      </w:r>
      <w:r>
        <w:rPr>
          <w:rFonts w:hint="eastAsia" w:ascii="仿宋_GB2312" w:hAnsi="宋体" w:eastAsia="仿宋_GB2312" w:cs="宋体"/>
          <w:sz w:val="32"/>
          <w:szCs w:val="32"/>
        </w:rPr>
        <w:t xml:space="preserve"> </w:t>
      </w:r>
    </w:p>
    <w:p w14:paraId="3E784A0E">
      <w:pPr>
        <w:wordWrap w:val="0"/>
        <w:spacing w:line="520" w:lineRule="exact"/>
        <w:jc w:val="right"/>
        <w:rPr>
          <w:rFonts w:ascii="仿宋_GB2312" w:hAnsi="宋体" w:eastAsia="仿宋_GB2312" w:cs="宋体"/>
          <w:sz w:val="32"/>
          <w:szCs w:val="32"/>
        </w:rPr>
      </w:pPr>
      <w:r>
        <w:rPr>
          <w:rFonts w:hint="eastAsia" w:ascii="仿宋_GB2312" w:hAnsi="宋体" w:eastAsia="仿宋_GB2312" w:cs="宋体"/>
          <w:sz w:val="32"/>
          <w:szCs w:val="32"/>
          <w:lang w:val="en-US" w:eastAsia="zh-CN"/>
        </w:rPr>
        <w:t xml:space="preserve"> </w:t>
      </w:r>
      <w:r>
        <w:rPr>
          <w:rFonts w:hint="eastAsia" w:ascii="仿宋_GB2312" w:hAnsi="宋体" w:eastAsia="仿宋_GB2312" w:cs="宋体"/>
          <w:sz w:val="32"/>
          <w:szCs w:val="32"/>
        </w:rPr>
        <w:t>202</w:t>
      </w: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rPr>
        <w:t>年</w:t>
      </w:r>
      <w:r>
        <w:rPr>
          <w:rFonts w:hint="eastAsia" w:ascii="仿宋_GB2312" w:hAnsi="宋体" w:eastAsia="仿宋_GB2312" w:cs="宋体"/>
          <w:sz w:val="32"/>
          <w:szCs w:val="32"/>
          <w:lang w:val="en-US" w:eastAsia="zh-CN"/>
        </w:rPr>
        <w:t xml:space="preserve"> 5</w:t>
      </w:r>
      <w:r>
        <w:rPr>
          <w:rFonts w:hint="eastAsia" w:ascii="仿宋_GB2312" w:hAnsi="宋体" w:eastAsia="仿宋_GB2312" w:cs="宋体"/>
          <w:sz w:val="32"/>
          <w:szCs w:val="32"/>
        </w:rPr>
        <w:t>月</w:t>
      </w:r>
      <w:r>
        <w:rPr>
          <w:rFonts w:hint="eastAsia" w:ascii="仿宋_GB2312" w:hAnsi="宋体" w:eastAsia="仿宋_GB2312" w:cs="宋体"/>
          <w:sz w:val="32"/>
          <w:szCs w:val="32"/>
          <w:lang w:val="en-US" w:eastAsia="zh-CN"/>
        </w:rPr>
        <w:t xml:space="preserve">26 </w:t>
      </w:r>
      <w:r>
        <w:rPr>
          <w:rFonts w:hint="eastAsia" w:ascii="仿宋_GB2312" w:hAnsi="宋体" w:eastAsia="仿宋_GB2312" w:cs="宋体"/>
          <w:sz w:val="32"/>
          <w:szCs w:val="32"/>
        </w:rPr>
        <w:t xml:space="preserve">日     </w:t>
      </w:r>
    </w:p>
    <w:p w14:paraId="4D69D29C">
      <w:pPr>
        <w:spacing w:line="520" w:lineRule="exact"/>
        <w:jc w:val="center"/>
        <w:rPr>
          <w:rFonts w:hint="eastAsia" w:ascii="仿宋_GB2312" w:hAnsi="宋体" w:eastAsia="仿宋_GB2312" w:cs="宋体"/>
          <w:sz w:val="32"/>
          <w:szCs w:val="32"/>
        </w:rPr>
        <w:sectPr>
          <w:headerReference r:id="rId3" w:type="default"/>
          <w:footerReference r:id="rId4" w:type="default"/>
          <w:footerReference r:id="rId5" w:type="even"/>
          <w:pgSz w:w="11906" w:h="16838"/>
          <w:pgMar w:top="2098" w:right="1474" w:bottom="1985" w:left="1588" w:header="851" w:footer="992" w:gutter="0"/>
          <w:pgNumType w:fmt="numberInDash"/>
          <w:cols w:space="720" w:num="1"/>
          <w:docGrid w:type="lines" w:linePitch="312" w:charSpace="0"/>
        </w:sectPr>
      </w:pPr>
    </w:p>
    <w:p w14:paraId="29F50411">
      <w:pPr>
        <w:keepNext w:val="0"/>
        <w:keepLines w:val="0"/>
        <w:pageBreakBefore w:val="0"/>
        <w:kinsoku/>
        <w:wordWrap/>
        <w:overflowPunct/>
        <w:topLinePunct w:val="0"/>
        <w:autoSpaceDE/>
        <w:autoSpaceDN/>
        <w:bidi w:val="0"/>
        <w:adjustRightInd/>
        <w:spacing w:line="360" w:lineRule="auto"/>
        <w:jc w:val="both"/>
        <w:textAlignment w:val="auto"/>
        <w:rPr>
          <w:rFonts w:hint="eastAsia" w:ascii="仿宋_GB2312" w:hAnsi="仿宋_GB2312" w:eastAsia="仿宋_GB2312" w:cs="仿宋_GB2312"/>
          <w:b/>
          <w:bCs w:val="0"/>
          <w:sz w:val="30"/>
          <w:szCs w:val="30"/>
          <w:lang w:val="en-US" w:eastAsia="zh-CN"/>
        </w:rPr>
      </w:pPr>
      <w:r>
        <w:rPr>
          <w:rFonts w:hint="eastAsia" w:ascii="仿宋_GB2312" w:hAnsi="仿宋_GB2312" w:eastAsia="仿宋_GB2312" w:cs="仿宋_GB2312"/>
          <w:b/>
          <w:bCs w:val="0"/>
          <w:sz w:val="30"/>
          <w:szCs w:val="30"/>
          <w:lang w:val="en-US" w:eastAsia="zh-CN"/>
        </w:rPr>
        <w:t>附件：</w:t>
      </w:r>
    </w:p>
    <w:p w14:paraId="7EB87949">
      <w:pPr>
        <w:keepNext w:val="0"/>
        <w:keepLines w:val="0"/>
        <w:pageBreakBefore w:val="0"/>
        <w:kinsoku/>
        <w:wordWrap/>
        <w:overflowPunct/>
        <w:topLinePunct w:val="0"/>
        <w:autoSpaceDE/>
        <w:autoSpaceDN/>
        <w:bidi w:val="0"/>
        <w:adjustRightInd/>
        <w:spacing w:line="360" w:lineRule="auto"/>
        <w:textAlignment w:val="auto"/>
        <w:rPr>
          <w:rFonts w:hint="eastAsia"/>
          <w:lang w:val="en-US" w:eastAsia="zh-CN"/>
        </w:rPr>
      </w:pPr>
    </w:p>
    <w:p w14:paraId="1BC2B634">
      <w:pPr>
        <w:keepNext w:val="0"/>
        <w:keepLines w:val="0"/>
        <w:pageBreakBefore w:val="0"/>
        <w:kinsoku/>
        <w:wordWrap/>
        <w:overflowPunct/>
        <w:topLinePunct w:val="0"/>
        <w:autoSpaceDE/>
        <w:autoSpaceDN/>
        <w:bidi w:val="0"/>
        <w:adjustRightInd/>
        <w:snapToGrid w:val="0"/>
        <w:spacing w:line="48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36"/>
          <w:szCs w:val="36"/>
          <w:lang w:val="en-US" w:eastAsia="zh-CN"/>
        </w:rPr>
        <w:t>重庆九洲智造科技有限公司固废物资回收服务服务</w:t>
      </w:r>
    </w:p>
    <w:p w14:paraId="5EC156E8">
      <w:pPr>
        <w:keepNext w:val="0"/>
        <w:keepLines w:val="0"/>
        <w:pageBreakBefore w:val="0"/>
        <w:kinsoku/>
        <w:wordWrap/>
        <w:overflowPunct/>
        <w:topLinePunct w:val="0"/>
        <w:autoSpaceDE/>
        <w:autoSpaceDN/>
        <w:bidi w:val="0"/>
        <w:adjustRightInd/>
        <w:snapToGrid w:val="0"/>
        <w:spacing w:line="48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36"/>
          <w:szCs w:val="36"/>
          <w:lang w:val="en-US" w:eastAsia="zh-CN"/>
        </w:rPr>
        <w:t>采购项目（编号：FWCGXB202505-01）</w:t>
      </w:r>
    </w:p>
    <w:p w14:paraId="72947DE0">
      <w:pPr>
        <w:widowControl/>
        <w:adjustRightInd w:val="0"/>
        <w:snapToGrid w:val="0"/>
        <w:spacing w:before="0" w:beforeLines="0" w:line="560" w:lineRule="exact"/>
        <w:ind w:firstLine="0" w:firstLineChars="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致</w:t>
      </w:r>
      <w:r>
        <w:rPr>
          <w:rFonts w:hint="eastAsia" w:ascii="仿宋" w:hAnsi="仿宋" w:eastAsia="仿宋" w:cs="仿宋"/>
          <w:sz w:val="32"/>
          <w:szCs w:val="32"/>
        </w:rPr>
        <w:t>重庆九洲智造科技有限公司</w:t>
      </w:r>
      <w:r>
        <w:rPr>
          <w:rFonts w:hint="eastAsia" w:ascii="仿宋" w:hAnsi="仿宋" w:eastAsia="仿宋" w:cs="仿宋"/>
          <w:sz w:val="32"/>
          <w:szCs w:val="32"/>
          <w:shd w:val="clear" w:color="auto" w:fill="auto"/>
        </w:rPr>
        <w:t>:</w:t>
      </w:r>
    </w:p>
    <w:p w14:paraId="441435DF">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u w:val="single"/>
          <w:shd w:val="clear" w:color="auto" w:fill="auto"/>
        </w:rPr>
        <w:t>(</w:t>
      </w:r>
      <w:r>
        <w:rPr>
          <w:rFonts w:hint="eastAsia" w:ascii="仿宋" w:hAnsi="仿宋" w:eastAsia="仿宋" w:cs="仿宋"/>
          <w:sz w:val="32"/>
          <w:szCs w:val="32"/>
          <w:u w:val="single"/>
          <w:shd w:val="clear" w:color="auto" w:fill="auto"/>
          <w:lang w:val="en-US" w:eastAsia="zh-CN"/>
        </w:rPr>
        <w:t>响应人</w:t>
      </w:r>
      <w:r>
        <w:rPr>
          <w:rFonts w:hint="eastAsia" w:ascii="仿宋" w:hAnsi="仿宋" w:eastAsia="仿宋" w:cs="仿宋"/>
          <w:sz w:val="32"/>
          <w:szCs w:val="32"/>
          <w:u w:val="single"/>
          <w:shd w:val="clear" w:color="auto" w:fill="auto"/>
        </w:rPr>
        <w:t>名称)</w:t>
      </w:r>
      <w:r>
        <w:rPr>
          <w:rFonts w:hint="eastAsia" w:ascii="仿宋" w:hAnsi="仿宋" w:eastAsia="仿宋" w:cs="仿宋"/>
          <w:sz w:val="32"/>
          <w:szCs w:val="32"/>
          <w:shd w:val="clear" w:color="auto" w:fill="auto"/>
        </w:rPr>
        <w:t>已知悉贵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关于</w:t>
      </w:r>
      <w:r>
        <w:rPr>
          <w:rFonts w:hint="eastAsia" w:ascii="仿宋" w:hAnsi="仿宋" w:eastAsia="仿宋" w:cs="仿宋"/>
          <w:b w:val="0"/>
          <w:kern w:val="2"/>
          <w:sz w:val="32"/>
          <w:szCs w:val="32"/>
          <w:shd w:val="clear" w:color="auto" w:fill="auto"/>
          <w:lang w:bidi="ar"/>
        </w:rPr>
        <w:t>重庆九洲智造科技有限公司厂区</w:t>
      </w:r>
      <w:r>
        <w:rPr>
          <w:rFonts w:hint="eastAsia" w:ascii="仿宋" w:hAnsi="仿宋" w:eastAsia="仿宋" w:cs="仿宋"/>
          <w:b w:val="0"/>
          <w:kern w:val="2"/>
          <w:sz w:val="32"/>
          <w:szCs w:val="32"/>
          <w:shd w:val="clear" w:color="auto" w:fill="auto"/>
          <w:lang w:val="en-US" w:eastAsia="zh-CN" w:bidi="ar"/>
        </w:rPr>
        <w:t>食堂</w:t>
      </w:r>
      <w:r>
        <w:rPr>
          <w:rFonts w:hint="eastAsia" w:ascii="仿宋" w:hAnsi="仿宋" w:eastAsia="仿宋" w:cs="仿宋"/>
          <w:b w:val="0"/>
          <w:kern w:val="2"/>
          <w:sz w:val="32"/>
          <w:szCs w:val="32"/>
          <w:shd w:val="clear" w:color="auto" w:fill="auto"/>
          <w:lang w:bidi="ar"/>
        </w:rPr>
        <w:t>服务需求</w:t>
      </w:r>
      <w:r>
        <w:rPr>
          <w:rFonts w:hint="eastAsia" w:ascii="仿宋" w:hAnsi="仿宋" w:eastAsia="仿宋" w:cs="仿宋"/>
          <w:b w:val="0"/>
          <w:kern w:val="2"/>
          <w:sz w:val="32"/>
          <w:szCs w:val="32"/>
          <w:shd w:val="clear" w:color="auto" w:fill="auto"/>
          <w:lang w:val="en-US" w:eastAsia="zh-CN" w:bidi="ar"/>
        </w:rPr>
        <w:t>服务</w:t>
      </w:r>
      <w:r>
        <w:rPr>
          <w:rFonts w:hint="eastAsia" w:ascii="仿宋" w:hAnsi="仿宋" w:eastAsia="仿宋" w:cs="仿宋"/>
          <w:b w:val="0"/>
          <w:kern w:val="2"/>
          <w:sz w:val="32"/>
          <w:szCs w:val="32"/>
          <w:shd w:val="clear" w:color="auto" w:fill="auto"/>
          <w:lang w:bidi="ar"/>
        </w:rPr>
        <w:t>采购</w:t>
      </w:r>
      <w:r>
        <w:rPr>
          <w:rFonts w:hint="eastAsia" w:ascii="仿宋" w:hAnsi="仿宋" w:eastAsia="仿宋" w:cs="仿宋"/>
          <w:sz w:val="32"/>
          <w:szCs w:val="32"/>
          <w:shd w:val="clear" w:color="auto" w:fill="auto"/>
        </w:rPr>
        <w:t>项目的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公告，并充分了解贵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发布的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内容及要求，现确认参加贵</w:t>
      </w:r>
      <w:r>
        <w:rPr>
          <w:rFonts w:hint="eastAsia" w:ascii="仿宋" w:hAnsi="仿宋" w:eastAsia="仿宋" w:cs="仿宋"/>
          <w:sz w:val="32"/>
          <w:szCs w:val="32"/>
          <w:shd w:val="clear" w:color="auto" w:fill="auto"/>
          <w:lang w:val="en-US" w:eastAsia="zh-CN"/>
        </w:rPr>
        <w:t>司</w:t>
      </w:r>
      <w:r>
        <w:rPr>
          <w:rFonts w:hint="eastAsia" w:ascii="仿宋" w:hAnsi="仿宋" w:eastAsia="仿宋" w:cs="仿宋"/>
          <w:sz w:val="32"/>
          <w:szCs w:val="32"/>
          <w:shd w:val="clear" w:color="auto" w:fill="auto"/>
        </w:rPr>
        <w:t>该项目的</w:t>
      </w:r>
      <w:r>
        <w:rPr>
          <w:rFonts w:hint="eastAsia" w:ascii="仿宋" w:hAnsi="仿宋" w:eastAsia="仿宋" w:cs="仿宋"/>
          <w:sz w:val="32"/>
          <w:szCs w:val="32"/>
          <w:shd w:val="clear" w:color="auto" w:fill="auto"/>
          <w:lang w:val="en-US" w:eastAsia="zh-CN"/>
        </w:rPr>
        <w:t>询比</w:t>
      </w:r>
      <w:r>
        <w:rPr>
          <w:rFonts w:hint="eastAsia" w:ascii="仿宋" w:hAnsi="仿宋" w:eastAsia="仿宋" w:cs="仿宋"/>
          <w:sz w:val="32"/>
          <w:szCs w:val="32"/>
          <w:shd w:val="clear" w:color="auto" w:fill="auto"/>
        </w:rPr>
        <w:t>。</w:t>
      </w:r>
    </w:p>
    <w:p w14:paraId="168E157B">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我公司负责本项目</w:t>
      </w:r>
      <w:r>
        <w:rPr>
          <w:rFonts w:hint="eastAsia" w:ascii="仿宋" w:hAnsi="仿宋" w:eastAsia="仿宋" w:cs="仿宋"/>
          <w:sz w:val="32"/>
          <w:szCs w:val="32"/>
          <w:shd w:val="clear" w:color="auto" w:fill="auto"/>
          <w:lang w:val="en-US" w:eastAsia="zh-CN"/>
        </w:rPr>
        <w:t>询比</w:t>
      </w:r>
      <w:bookmarkStart w:id="2" w:name="_GoBack"/>
      <w:bookmarkEnd w:id="2"/>
      <w:r>
        <w:rPr>
          <w:rFonts w:hint="eastAsia" w:ascii="仿宋" w:hAnsi="仿宋" w:eastAsia="仿宋" w:cs="仿宋"/>
          <w:sz w:val="32"/>
          <w:szCs w:val="32"/>
          <w:shd w:val="clear" w:color="auto" w:fill="auto"/>
        </w:rPr>
        <w:t>的具体联系人:</w:t>
      </w:r>
    </w:p>
    <w:p w14:paraId="18FD4661">
      <w:pPr>
        <w:widowControl/>
        <w:adjustRightInd w:val="0"/>
        <w:snapToGrid w:val="0"/>
        <w:spacing w:before="156" w:beforeLines="50" w:line="560" w:lineRule="exact"/>
        <w:ind w:firstLine="640" w:firstLineChars="200"/>
        <w:jc w:val="left"/>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联系电话:_</w:t>
      </w:r>
    </w:p>
    <w:p w14:paraId="68A9883C">
      <w:pPr>
        <w:widowControl/>
        <w:adjustRightInd w:val="0"/>
        <w:snapToGrid w:val="0"/>
        <w:spacing w:before="156" w:beforeLines="50" w:line="560" w:lineRule="exact"/>
        <w:ind w:firstLine="640" w:firstLineChars="200"/>
        <w:jc w:val="both"/>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申请人:(</w:t>
      </w:r>
      <w:r>
        <w:rPr>
          <w:rFonts w:hint="eastAsia" w:ascii="仿宋" w:hAnsi="仿宋" w:eastAsia="仿宋" w:cs="仿宋"/>
          <w:sz w:val="32"/>
          <w:szCs w:val="32"/>
          <w:shd w:val="clear" w:color="auto" w:fill="auto"/>
          <w:lang w:val="en-US" w:eastAsia="zh-CN"/>
        </w:rPr>
        <w:t>公司</w:t>
      </w:r>
      <w:r>
        <w:rPr>
          <w:rFonts w:hint="eastAsia" w:ascii="仿宋" w:hAnsi="仿宋" w:eastAsia="仿宋" w:cs="仿宋"/>
          <w:sz w:val="32"/>
          <w:szCs w:val="32"/>
          <w:shd w:val="clear" w:color="auto" w:fill="auto"/>
        </w:rPr>
        <w:t>全称、盖</w:t>
      </w:r>
      <w:r>
        <w:rPr>
          <w:rFonts w:hint="eastAsia" w:ascii="仿宋" w:hAnsi="仿宋" w:eastAsia="仿宋" w:cs="仿宋"/>
          <w:sz w:val="32"/>
          <w:szCs w:val="32"/>
          <w:shd w:val="clear" w:color="auto" w:fill="auto"/>
          <w:lang w:val="en-US" w:eastAsia="zh-CN"/>
        </w:rPr>
        <w:t>公</w:t>
      </w:r>
      <w:r>
        <w:rPr>
          <w:rFonts w:hint="eastAsia" w:ascii="仿宋" w:hAnsi="仿宋" w:eastAsia="仿宋" w:cs="仿宋"/>
          <w:sz w:val="32"/>
          <w:szCs w:val="32"/>
          <w:shd w:val="clear" w:color="auto" w:fill="auto"/>
        </w:rPr>
        <w:t>章)</w:t>
      </w:r>
    </w:p>
    <w:p w14:paraId="705873B6">
      <w:pPr>
        <w:spacing w:line="520" w:lineRule="exact"/>
        <w:jc w:val="both"/>
        <w:rPr>
          <w:rFonts w:ascii="宋体" w:hAnsi="宋体" w:cs="宋体"/>
          <w:sz w:val="28"/>
          <w:szCs w:val="28"/>
        </w:rPr>
      </w:pPr>
    </w:p>
    <w:p w14:paraId="5B3E738B">
      <w:pPr>
        <w:pStyle w:val="2"/>
        <w:rPr>
          <w:rFonts w:ascii="宋体" w:hAnsi="宋体" w:cs="宋体"/>
          <w:sz w:val="28"/>
          <w:szCs w:val="28"/>
        </w:rPr>
      </w:pPr>
    </w:p>
    <w:p w14:paraId="6C8AF3D4">
      <w:pPr>
        <w:rPr>
          <w:rFonts w:ascii="宋体" w:hAnsi="宋体" w:cs="宋体"/>
          <w:sz w:val="28"/>
          <w:szCs w:val="28"/>
        </w:rPr>
      </w:pPr>
    </w:p>
    <w:p w14:paraId="72E07F29">
      <w:pPr>
        <w:pStyle w:val="2"/>
        <w:ind w:firstLine="3200" w:firstLineChars="1000"/>
      </w:pPr>
      <w:r>
        <w:rPr>
          <w:rFonts w:hint="eastAsia" w:ascii="仿宋" w:hAnsi="仿宋" w:eastAsia="仿宋" w:cs="仿宋"/>
          <w:sz w:val="32"/>
          <w:szCs w:val="32"/>
          <w:shd w:val="clear" w:color="auto" w:fill="auto"/>
        </w:rPr>
        <w:t>法定代表人或委托代理人:(签章)</w:t>
      </w:r>
      <w:r>
        <w:rPr>
          <w:rFonts w:hint="eastAsia" w:ascii="仿宋" w:hAnsi="仿宋" w:eastAsia="仿宋" w:cs="仿宋"/>
          <w:shd w:val="clear" w:color="auto" w:fill="F8FCFF"/>
        </w:rPr>
        <w:br w:type="page"/>
      </w:r>
    </w:p>
    <w:sectPr>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QisiAaBanSong">
    <w:altName w:val="微软雅黑"/>
    <w:panose1 w:val="00000000000000000000"/>
    <w:charset w:val="86"/>
    <w:family w:val="auto"/>
    <w:pitch w:val="default"/>
    <w:sig w:usb0="00000000" w:usb1="00000000" w:usb2="00000016" w:usb3="00000000" w:csb0="0004009F" w:csb1="DFD70000"/>
  </w:font>
  <w:font w:name="微软雅黑">
    <w:panose1 w:val="020B0503020204020204"/>
    <w:charset w:val="86"/>
    <w:family w:val="auto"/>
    <w:pitch w:val="default"/>
    <w:sig w:usb0="80000287" w:usb1="2ACF3C50" w:usb2="00000016" w:usb3="00000000" w:csb0="0004001F" w:csb1="00000000"/>
  </w:font>
  <w:font w:name="华文新魏">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757877"/>
      <w:docPartObj>
        <w:docPartGallery w:val="autotext"/>
      </w:docPartObj>
    </w:sdtPr>
    <w:sdtEndPr>
      <w:rPr>
        <w:rFonts w:ascii="宋体" w:hAnsi="宋体"/>
        <w:sz w:val="28"/>
        <w:szCs w:val="28"/>
      </w:rPr>
    </w:sdtEndPr>
    <w:sdtContent>
      <w:p w14:paraId="11285D3C">
        <w:pPr>
          <w:pStyle w:val="5"/>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p w14:paraId="774179A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995841"/>
      <w:docPartObj>
        <w:docPartGallery w:val="autotext"/>
      </w:docPartObj>
    </w:sdtPr>
    <w:sdtEndPr>
      <w:rPr>
        <w:rFonts w:ascii="宋体" w:hAnsi="宋体"/>
        <w:sz w:val="28"/>
        <w:szCs w:val="28"/>
      </w:rPr>
    </w:sdtEndPr>
    <w:sdtContent>
      <w:p w14:paraId="1C242E05">
        <w:pPr>
          <w:pStyle w:val="5"/>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- 1 -</w:t>
        </w:r>
        <w:r>
          <w:rPr>
            <w:rFonts w:ascii="宋体" w:hAnsi="宋体"/>
            <w:sz w:val="28"/>
            <w:szCs w:val="28"/>
          </w:rPr>
          <w:fldChar w:fldCharType="end"/>
        </w:r>
      </w:p>
    </w:sdtContent>
  </w:sdt>
  <w:p w14:paraId="4DF14531">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A2B7">
    <w:pPr>
      <w:pStyle w:val="6"/>
      <w:pBdr>
        <w:bottom w:val="none" w:color="auto" w:sz="0" w:space="0"/>
      </w:pBdr>
      <w:spacing w:line="300" w:lineRule="exact"/>
      <w:jc w:val="right"/>
      <w:rPr>
        <w:rFonts w:ascii="QisiAaBanSong" w:hAnsi="QisiAaBanSong" w:eastAsia="QisiAaBanSong" w:cs="QisiAaBanSong"/>
        <w:bCs/>
        <w:color w:val="3072C4"/>
        <w:sz w:val="21"/>
        <w:szCs w:val="21"/>
      </w:rPr>
    </w:pPr>
    <w:r>
      <w:rPr>
        <w:rFonts w:hint="eastAsia" w:ascii="华文新魏" w:eastAsia="华文新魏"/>
        <w:b/>
        <w:color w:val="FF0000"/>
        <w:sz w:val="44"/>
        <w:szCs w:val="44"/>
      </w:rPr>
      <w:drawing>
        <wp:anchor distT="0" distB="0" distL="114300" distR="114300" simplePos="0" relativeHeight="251659264" behindDoc="1" locked="0" layoutInCell="1" allowOverlap="1">
          <wp:simplePos x="0" y="0"/>
          <wp:positionH relativeFrom="column">
            <wp:posOffset>26670</wp:posOffset>
          </wp:positionH>
          <wp:positionV relativeFrom="paragraph">
            <wp:posOffset>147955</wp:posOffset>
          </wp:positionV>
          <wp:extent cx="1913890" cy="241935"/>
          <wp:effectExtent l="0" t="0" r="0" b="5715"/>
          <wp:wrapTight wrapText="bothSides">
            <wp:wrapPolygon>
              <wp:start x="215" y="0"/>
              <wp:lineTo x="0" y="1701"/>
              <wp:lineTo x="0" y="17008"/>
              <wp:lineTo x="215" y="20409"/>
              <wp:lineTo x="2365" y="20409"/>
              <wp:lineTo x="21285" y="18709"/>
              <wp:lineTo x="21285" y="3402"/>
              <wp:lineTo x="2365" y="0"/>
              <wp:lineTo x="215" y="0"/>
            </wp:wrapPolygon>
          </wp:wrapTight>
          <wp:docPr id="102124263"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4263"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Cs/>
        <w:color w:val="3072C4"/>
        <w:sz w:val="21"/>
        <w:szCs w:val="21"/>
      </w:rPr>
      <w:t>客户第一  奋斗为本</w:t>
    </w:r>
  </w:p>
  <w:p w14:paraId="31050067">
    <w:pPr>
      <w:pStyle w:val="6"/>
      <w:pBdr>
        <w:bottom w:val="none" w:color="auto" w:sz="0" w:space="0"/>
      </w:pBdr>
      <w:spacing w:line="300" w:lineRule="exact"/>
      <w:jc w:val="right"/>
      <w:rPr>
        <w:rFonts w:ascii="QisiAaBanSong" w:hAnsi="QisiAaBanSong" w:eastAsia="QisiAaBanSong" w:cs="QisiAaBanSong"/>
        <w:bCs/>
        <w:color w:val="3072C4"/>
        <w:sz w:val="21"/>
        <w:szCs w:val="21"/>
      </w:rPr>
    </w:pPr>
    <w:r>
      <w:rPr>
        <w:rFonts w:hint="eastAsia" w:ascii="QisiAaBanSong" w:hAnsi="QisiAaBanSong" w:eastAsia="QisiAaBanSong" w:cs="QisiAaBanSong"/>
        <w:bCs/>
        <w:color w:val="3072C4"/>
        <w:sz w:val="21"/>
        <w:szCs w:val="21"/>
      </w:rPr>
      <w:t xml:space="preserve">                         </w:t>
    </w:r>
    <w:r>
      <w:rPr>
        <w:rFonts w:ascii="QisiAaBanSong" w:hAnsi="QisiAaBanSong" w:eastAsia="QisiAaBanSong" w:cs="QisiAaBanSong"/>
        <w:bCs/>
        <w:color w:val="3072C4"/>
        <w:sz w:val="21"/>
        <w:szCs w:val="21"/>
      </w:rPr>
      <w:t xml:space="preserve">        </w:t>
    </w:r>
    <w:r>
      <w:rPr>
        <w:rFonts w:hint="eastAsia" w:ascii="QisiAaBanSong" w:hAnsi="QisiAaBanSong" w:eastAsia="QisiAaBanSong" w:cs="QisiAaBanSong"/>
        <w:bCs/>
        <w:color w:val="3072C4"/>
        <w:sz w:val="21"/>
        <w:szCs w:val="21"/>
      </w:rPr>
      <w:t>整体至上  团结协作</w:t>
    </w:r>
  </w:p>
  <w:p w14:paraId="27ED328E">
    <w:pPr>
      <w:pStyle w:val="6"/>
      <w:pBdr>
        <w:bottom w:val="single" w:color="0057A2" w:sz="4" w:space="0"/>
      </w:pBdr>
      <w:spacing w:line="300" w:lineRule="exact"/>
      <w:jc w:val="right"/>
      <w:rPr>
        <w:bCs/>
      </w:rPr>
    </w:pPr>
    <w:r>
      <w:rPr>
        <w:rFonts w:hint="eastAsia" w:ascii="QisiAaBanSong" w:hAnsi="QisiAaBanSong" w:eastAsia="QisiAaBanSong" w:cs="QisiAaBanSong"/>
        <w:bCs/>
        <w:color w:val="3072C4"/>
        <w:sz w:val="21"/>
        <w:szCs w:val="21"/>
      </w:rPr>
      <w:t xml:space="preserve">   自我革新  开放包容</w:t>
    </w:r>
  </w:p>
  <w:p w14:paraId="60681EE2">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zNGFjMDM2NTY0M2Q1MjdkMTMyNDAxOTJmZTJjMWUifQ=="/>
  </w:docVars>
  <w:rsids>
    <w:rsidRoot w:val="00BC7038"/>
    <w:rsid w:val="0001576A"/>
    <w:rsid w:val="000A7E0D"/>
    <w:rsid w:val="000C10C0"/>
    <w:rsid w:val="001042D3"/>
    <w:rsid w:val="0012736E"/>
    <w:rsid w:val="00143AA7"/>
    <w:rsid w:val="00165983"/>
    <w:rsid w:val="001D32FC"/>
    <w:rsid w:val="00203B3A"/>
    <w:rsid w:val="002368F5"/>
    <w:rsid w:val="00237A0F"/>
    <w:rsid w:val="00237FB4"/>
    <w:rsid w:val="002724AD"/>
    <w:rsid w:val="002F02F9"/>
    <w:rsid w:val="00334674"/>
    <w:rsid w:val="00347D13"/>
    <w:rsid w:val="003516E2"/>
    <w:rsid w:val="00373717"/>
    <w:rsid w:val="003756AF"/>
    <w:rsid w:val="00395343"/>
    <w:rsid w:val="003A3653"/>
    <w:rsid w:val="003B385E"/>
    <w:rsid w:val="003E6FA6"/>
    <w:rsid w:val="00417C0F"/>
    <w:rsid w:val="00454F45"/>
    <w:rsid w:val="00464C87"/>
    <w:rsid w:val="00492394"/>
    <w:rsid w:val="004A554A"/>
    <w:rsid w:val="004D3150"/>
    <w:rsid w:val="004D5221"/>
    <w:rsid w:val="00501664"/>
    <w:rsid w:val="00502DA6"/>
    <w:rsid w:val="00524A9F"/>
    <w:rsid w:val="0053378C"/>
    <w:rsid w:val="00564685"/>
    <w:rsid w:val="00566BC3"/>
    <w:rsid w:val="005B4DEE"/>
    <w:rsid w:val="005B73E6"/>
    <w:rsid w:val="005E2863"/>
    <w:rsid w:val="006069A7"/>
    <w:rsid w:val="0061309B"/>
    <w:rsid w:val="006205DB"/>
    <w:rsid w:val="00621A24"/>
    <w:rsid w:val="00646D9F"/>
    <w:rsid w:val="006537A6"/>
    <w:rsid w:val="006958A6"/>
    <w:rsid w:val="006A27C8"/>
    <w:rsid w:val="006C08A1"/>
    <w:rsid w:val="006D0ED5"/>
    <w:rsid w:val="006E40F8"/>
    <w:rsid w:val="006E70C8"/>
    <w:rsid w:val="00721DC2"/>
    <w:rsid w:val="00726C42"/>
    <w:rsid w:val="00732FF3"/>
    <w:rsid w:val="00745A71"/>
    <w:rsid w:val="007A59B3"/>
    <w:rsid w:val="00821ECF"/>
    <w:rsid w:val="008859EC"/>
    <w:rsid w:val="00896D55"/>
    <w:rsid w:val="008B7758"/>
    <w:rsid w:val="00930486"/>
    <w:rsid w:val="009350B0"/>
    <w:rsid w:val="0094012A"/>
    <w:rsid w:val="00972651"/>
    <w:rsid w:val="009A54BB"/>
    <w:rsid w:val="00A2374E"/>
    <w:rsid w:val="00A27FAB"/>
    <w:rsid w:val="00A50C25"/>
    <w:rsid w:val="00A60A21"/>
    <w:rsid w:val="00A95BEE"/>
    <w:rsid w:val="00A97361"/>
    <w:rsid w:val="00AD52E2"/>
    <w:rsid w:val="00AF42DA"/>
    <w:rsid w:val="00B40A47"/>
    <w:rsid w:val="00B41C08"/>
    <w:rsid w:val="00B43D01"/>
    <w:rsid w:val="00B50080"/>
    <w:rsid w:val="00B728CF"/>
    <w:rsid w:val="00B86AE6"/>
    <w:rsid w:val="00B91C43"/>
    <w:rsid w:val="00B92314"/>
    <w:rsid w:val="00BC7038"/>
    <w:rsid w:val="00BD2E55"/>
    <w:rsid w:val="00BD56A9"/>
    <w:rsid w:val="00C04EFB"/>
    <w:rsid w:val="00C23E71"/>
    <w:rsid w:val="00C454E8"/>
    <w:rsid w:val="00C506E9"/>
    <w:rsid w:val="00C60901"/>
    <w:rsid w:val="00C96FC3"/>
    <w:rsid w:val="00CC6EA7"/>
    <w:rsid w:val="00CE5C20"/>
    <w:rsid w:val="00D11BDE"/>
    <w:rsid w:val="00D2354E"/>
    <w:rsid w:val="00D302D6"/>
    <w:rsid w:val="00D67870"/>
    <w:rsid w:val="00D757E2"/>
    <w:rsid w:val="00E14F14"/>
    <w:rsid w:val="00E216D3"/>
    <w:rsid w:val="00E26733"/>
    <w:rsid w:val="00E270F0"/>
    <w:rsid w:val="00E54630"/>
    <w:rsid w:val="00E56712"/>
    <w:rsid w:val="00E61C24"/>
    <w:rsid w:val="00E94F7E"/>
    <w:rsid w:val="00ED78C5"/>
    <w:rsid w:val="00F26F4E"/>
    <w:rsid w:val="00F449E3"/>
    <w:rsid w:val="00F708D1"/>
    <w:rsid w:val="00F77D1A"/>
    <w:rsid w:val="00FF13A5"/>
    <w:rsid w:val="00FF75A6"/>
    <w:rsid w:val="05104339"/>
    <w:rsid w:val="05177476"/>
    <w:rsid w:val="053D5946"/>
    <w:rsid w:val="081A7E0B"/>
    <w:rsid w:val="08584421"/>
    <w:rsid w:val="08D13A65"/>
    <w:rsid w:val="0A9817DB"/>
    <w:rsid w:val="0AE66285"/>
    <w:rsid w:val="0DA844DC"/>
    <w:rsid w:val="0DDB55B2"/>
    <w:rsid w:val="0EA77ABC"/>
    <w:rsid w:val="0F402337"/>
    <w:rsid w:val="138C56A4"/>
    <w:rsid w:val="160D473C"/>
    <w:rsid w:val="17200353"/>
    <w:rsid w:val="174F0CF1"/>
    <w:rsid w:val="189067BB"/>
    <w:rsid w:val="1F170464"/>
    <w:rsid w:val="20244224"/>
    <w:rsid w:val="216700CB"/>
    <w:rsid w:val="246100DC"/>
    <w:rsid w:val="248C4192"/>
    <w:rsid w:val="27107B34"/>
    <w:rsid w:val="27182F16"/>
    <w:rsid w:val="2D533212"/>
    <w:rsid w:val="2FCA39CB"/>
    <w:rsid w:val="2FDF2929"/>
    <w:rsid w:val="32B709F5"/>
    <w:rsid w:val="35403318"/>
    <w:rsid w:val="38762F46"/>
    <w:rsid w:val="3A5F5336"/>
    <w:rsid w:val="3BFB1250"/>
    <w:rsid w:val="3EE36F26"/>
    <w:rsid w:val="3F996DE7"/>
    <w:rsid w:val="414E2C85"/>
    <w:rsid w:val="43FD725B"/>
    <w:rsid w:val="44044D7E"/>
    <w:rsid w:val="450801EB"/>
    <w:rsid w:val="4539092E"/>
    <w:rsid w:val="455259D3"/>
    <w:rsid w:val="490F532B"/>
    <w:rsid w:val="4A2220F4"/>
    <w:rsid w:val="4ADF2164"/>
    <w:rsid w:val="4C96187C"/>
    <w:rsid w:val="4D9E4E9A"/>
    <w:rsid w:val="4EB73FC4"/>
    <w:rsid w:val="4F447B88"/>
    <w:rsid w:val="5132515F"/>
    <w:rsid w:val="517D13AB"/>
    <w:rsid w:val="51A56201"/>
    <w:rsid w:val="529214B7"/>
    <w:rsid w:val="52F57983"/>
    <w:rsid w:val="5339537C"/>
    <w:rsid w:val="572D34A5"/>
    <w:rsid w:val="594352B9"/>
    <w:rsid w:val="59814B6F"/>
    <w:rsid w:val="5C0277F1"/>
    <w:rsid w:val="61130DC7"/>
    <w:rsid w:val="61D51139"/>
    <w:rsid w:val="666E136D"/>
    <w:rsid w:val="6AFC2CCA"/>
    <w:rsid w:val="6C5E43EF"/>
    <w:rsid w:val="72C6588B"/>
    <w:rsid w:val="73CD32FD"/>
    <w:rsid w:val="7564480A"/>
    <w:rsid w:val="77A20170"/>
    <w:rsid w:val="77B91D5D"/>
    <w:rsid w:val="7C182FE0"/>
    <w:rsid w:val="7F665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3">
    <w:name w:val="annotation text"/>
    <w:basedOn w:val="2"/>
    <w:qFormat/>
    <w:uiPriority w:val="0"/>
    <w:pPr>
      <w:adjustRightInd w:val="0"/>
      <w:snapToGrid w:val="0"/>
      <w:jc w:val="left"/>
    </w:pPr>
    <w:rPr>
      <w:sz w:val="52"/>
      <w:szCs w:val="44"/>
    </w:rPr>
  </w:style>
  <w:style w:type="paragraph" w:styleId="4">
    <w:name w:val="Date"/>
    <w:basedOn w:val="1"/>
    <w:next w:val="1"/>
    <w:link w:val="13"/>
    <w:qFormat/>
    <w:uiPriority w:val="0"/>
    <w:pPr>
      <w:ind w:left="100" w:leftChars="2500"/>
    </w:p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rPr>
  </w:style>
  <w:style w:type="character" w:styleId="10">
    <w:name w:val="Hyperlink"/>
    <w:basedOn w:val="9"/>
    <w:autoRedefine/>
    <w:qFormat/>
    <w:uiPriority w:val="0"/>
    <w:rPr>
      <w:color w:val="0000FF"/>
      <w:u w:val="single"/>
    </w:rPr>
  </w:style>
  <w:style w:type="character" w:customStyle="1" w:styleId="11">
    <w:name w:val="页眉 字符"/>
    <w:basedOn w:val="9"/>
    <w:link w:val="6"/>
    <w:qFormat/>
    <w:uiPriority w:val="99"/>
    <w:rPr>
      <w:rFonts w:ascii="Calibri" w:hAnsi="Calibri"/>
      <w:kern w:val="2"/>
      <w:sz w:val="18"/>
      <w:szCs w:val="18"/>
    </w:rPr>
  </w:style>
  <w:style w:type="character" w:customStyle="1" w:styleId="12">
    <w:name w:val="页脚 字符"/>
    <w:basedOn w:val="9"/>
    <w:link w:val="5"/>
    <w:qFormat/>
    <w:uiPriority w:val="99"/>
    <w:rPr>
      <w:rFonts w:ascii="Calibri" w:hAnsi="Calibri"/>
      <w:kern w:val="2"/>
      <w:sz w:val="18"/>
      <w:szCs w:val="18"/>
    </w:rPr>
  </w:style>
  <w:style w:type="character" w:customStyle="1" w:styleId="13">
    <w:name w:val="日期 字符"/>
    <w:basedOn w:val="9"/>
    <w:link w:val="4"/>
    <w:qFormat/>
    <w:uiPriority w:val="0"/>
    <w:rPr>
      <w:rFonts w:ascii="Calibri" w:hAnsi="Calibri"/>
      <w:kern w:val="2"/>
      <w:sz w:val="21"/>
      <w:szCs w:val="24"/>
    </w:rPr>
  </w:style>
  <w:style w:type="paragraph" w:customStyle="1" w:styleId="14">
    <w:name w:val="正文首行缩进两字符"/>
    <w:basedOn w:val="1"/>
    <w:autoRedefine/>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2010</Words>
  <Characters>2210</Characters>
  <Lines>13</Lines>
  <Paragraphs>3</Paragraphs>
  <TotalTime>1</TotalTime>
  <ScaleCrop>false</ScaleCrop>
  <LinksUpToDate>false</LinksUpToDate>
  <CharactersWithSpaces>2248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2024-01-23T10:54:00Z</dcterms:created>
  <dc:creator>xzy42463</dc:creator>
  <cp:lastModifiedBy>Mini</cp:lastModifiedBy>
  <dcterms:modified xsi:type="dcterms:W3CDTF">2025-05-26T09:21:30Z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49E33934E01D4099BB915D09740195E8_13</vt:lpwstr>
  </property>
  <property fmtid="{D5CDD505-2E9C-101B-9397-08002B2CF9AE}" pid="4" name="KSOTemplateDocerSaveRecord">
    <vt:lpwstr>eyJoZGlkIjoiMGI1N2MyNjU5MWQ5MDNhYTkzMjcwZWNkMWNmYjBhMGQiLCJ1c2VySWQiOiI3MjA1NTY3NDQifQ==</vt:lpwstr>
  </property>
</Properties>
</file>