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关于九洲科工园区供电质量治理提升改造项目的议案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afterLines="-2147483648" w:line="560" w:lineRule="exact"/>
        <w:jc w:val="center"/>
        <w:textAlignment w:val="auto"/>
        <w:outlineLvl w:val="0"/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kern w:val="44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44"/>
          <w:sz w:val="32"/>
          <w:szCs w:val="32"/>
          <w:lang w:val="en-US" w:eastAsia="zh-CN" w:bidi="ar-SA"/>
        </w:rPr>
        <w:t>议案背景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2024年以来，随着九州科技、九洲电器等产业公司的产能提升及其对产品品控要求的提高，现有供电系统已无法满足其对供电高可靠性和高品质电力的要求，近期出现的电压暂降和互感器熔毁等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突发性供电中断事故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，已对其生产和交付造成较大的经济损失和负面影响。现有供电系统对九州科技等产业公司，生产交付造成较大影响的主要原因是电压暂降、电气设备故障、备用电源不足和缺乏有效的电力系统运行状态监测手段。现需对园区供电系统</w:t>
      </w:r>
      <w:r>
        <w:rPr>
          <w:rFonts w:hint="eastAsia" w:ascii="Times New Roman" w:hAnsi="Times New Roman" w:eastAsia="仿宋_GB2312" w:cs="Times New Roman"/>
          <w:spacing w:val="-6"/>
          <w:sz w:val="32"/>
          <w:szCs w:val="40"/>
          <w:lang w:val="en-US" w:eastAsia="zh-CN"/>
        </w:rPr>
        <w:t>进行系统性改造并加装电力质量治理设备，以满足园区生产用电新需求。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经考察调研绵阳京东方、长虹、电科九所等企业，并结合相关专家的意见建议，当前解决供电系统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突发性供电中断事故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的技术已经十分成熟，且运用较为普遍，主要从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40"/>
          <w:lang w:val="en-US" w:eastAsia="zh-CN"/>
        </w:rPr>
        <w:t>高压侧和低压侧两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个方向着手。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高压侧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主要采用“双电源供电+速切开关”，在高压系统出现电压暂降等异常事件时，瞬间切换供电线路进行故障规避，可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有效消除电压暂降等供电异常事件对绝大部分设备的影响，避免出现大范围的电压波动或停电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低压侧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主要采用“超级”电容（DVR、AVSP等稳压装置）或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备用电池组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UPS（铅酸或锂电池）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，在低压系统出现故障（电气设备故障、谐振等）时，“超级”电容或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备用电池组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UPS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可快速响应，确保电压稳定且短时供电不中断，可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有效消除电压暂降等供电异常事件对少数电压敏感性（电压暂降耐受能力极低）且重要（对产品质量和交付影响极大）设备的影响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；具体配置方案及数量根据各产业公司实际情况而定。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firstLine="640" w:firstLineChars="200"/>
        <w:jc w:val="both"/>
        <w:textAlignment w:val="auto"/>
        <w:rPr>
          <w:rFonts w:hint="default" w:ascii="黑体" w:hAnsi="黑体" w:eastAsia="黑体" w:cs="黑体"/>
          <w:kern w:val="44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44"/>
          <w:sz w:val="32"/>
          <w:szCs w:val="32"/>
          <w:lang w:val="en-US" w:eastAsia="zh-CN" w:bidi="ar-SA"/>
        </w:rPr>
        <w:t>议案内容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结合园区的实际情况，要系统性、全面性、前瞻性地解决园区当前供电系统存在的问题隐患，整个改造提升过程分为短期处置、中期改造、长期治理三个阶段。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1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  <w:t>第一阶段：短期处置（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3</w:t>
      </w:r>
      <w:r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  <w:t>个月）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由集团出资对军、民品区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高压侧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供电系统进行改造，即：更换高压切换开关，加装电力质量监测设备，增加临时备用电源；军、民品区相关产业公司，结合自身生产交付的实际情况，自行出资完成对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低压侧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供电系统的改造，即：加装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“超级”电容（DVR、AVSP等稳压装置）或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备用电池组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UPS（铅酸或锂电池）。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具体改造方案如下。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1" w:firstLineChars="200"/>
        <w:jc w:val="both"/>
        <w:textAlignment w:val="auto"/>
        <w:outlineLvl w:val="1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更换高压切换开关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default"/>
          <w:lang w:val="en-US"/>
        </w:rPr>
      </w:pPr>
      <w:r>
        <w:rPr>
          <w:rFonts w:hint="eastAsia" w:asci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将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军、民品区开闭所内的现有的</w:t>
      </w:r>
      <w:r>
        <w:rPr>
          <w:rFonts w:hint="eastAsia" w:asci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常规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备自投开关更换为快速切换开关</w:t>
      </w:r>
      <w:r>
        <w:rPr>
          <w:rFonts w:hint="eastAsia" w:asci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，减少主备电源切换时间，可确保园区绝大部分设备有效规避电压暂降等异常电力事件。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快速切换开关的适配功率按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12000kW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计，军、民品区各安装一套，每套改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造费用约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20万元，合计约4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0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万元（含配件及辅材）。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1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加装电力质量监测设备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Arial" w:hAnsi="Arial" w:eastAsia="仿宋_GB2312" w:cs="Arial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对园区主供电源进线、部分重要变压器加装电力质量监测设备，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实现对</w:t>
      </w:r>
      <w:r>
        <w:rPr>
          <w:rFonts w:hint="eastAsia" w:asci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其运行状态和电力质量的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监测、预报警，为故障分析和系统的优化改造提供数据支撑。</w:t>
      </w:r>
      <w:r>
        <w:rPr>
          <w:rFonts w:hint="eastAsia" w:ascii="Arial" w:hAnsi="Arial" w:eastAsia="仿宋_GB2312" w:cs="Arial"/>
          <w:sz w:val="32"/>
          <w:szCs w:val="32"/>
          <w:lang w:val="en-US" w:eastAsia="zh-CN"/>
        </w:rPr>
        <w:t>拟在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军、民品区</w:t>
      </w:r>
      <w:r>
        <w:rPr>
          <w:rFonts w:hint="eastAsia" w:ascii="Arial" w:hAnsi="Arial" w:eastAsia="仿宋_GB2312" w:cs="Arial"/>
          <w:sz w:val="32"/>
          <w:szCs w:val="32"/>
          <w:lang w:val="en-US" w:eastAsia="zh-CN"/>
        </w:rPr>
        <w:t>电源进线各安装一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套电力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智慧监测系统（带波形记录、处理）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，每套8.5万元，小计17万元；园区内现有变压器35台套，本次先对重要的10台套变压器安装电力（变压器）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智慧监测系统（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不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带波形记录、处理）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，每套1.8万元，小计18万元；上述两项合计35万元</w:t>
      </w:r>
      <w:r>
        <w:rPr>
          <w:rFonts w:hint="eastAsia" w:ascii="Arial" w:hAnsi="Arial" w:eastAsia="仿宋_GB2312" w:cs="Arial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1" w:firstLineChars="200"/>
        <w:jc w:val="both"/>
        <w:textAlignment w:val="auto"/>
        <w:outlineLvl w:val="1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增加临时备用电源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为短期解决民品区备用电源用量不足的问题，避免现有主供电源（10kV林九1线）出现故障对民品区单电源供电区域（112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vertAlign w:val="superscript"/>
          <w:lang w:val="en-US" w:eastAsia="zh-CN" w:bidi="ar"/>
        </w:rPr>
        <w:t>#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、113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vertAlign w:val="superscript"/>
          <w:lang w:val="en-US" w:eastAsia="zh-CN" w:bidi="ar"/>
        </w:rPr>
        <w:t>#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、114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vertAlign w:val="superscript"/>
          <w:lang w:val="en-US" w:eastAsia="zh-CN" w:bidi="ar"/>
        </w:rPr>
        <w:t>#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、食堂、宿舍）生产和生活的不利影响，经与民品区相关产业公司沟通确认，拟通过协调或租赁柴油发电机（2—3台，约2600kVA-3600kVA），用于保障故障期间的供电。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1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低压侧供电系统改造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利用电容或电池的储能以及输出电力质量十分稳定特性，在电网电压暂降时，释放电容或电池内存储的电能进行供电，瞬间切换，可在一定时间内（具体根据电容或电池配置数量而定）保持设备稳定供电。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以九州科技的需求为例：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要完全避免电压暂降对生产交付影响；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在发生短期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（4h—24h）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电气故障时，其在产、在试产品顺利完成当前生产工序和试验，做到有序停产、停电。目前能满足需求且经济性、稳定性相对较好的技术手段，只有备用电池组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UPS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铅酸或锂电池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40"/>
          <w:lang w:eastAsia="zh-CN"/>
          <w:woUserID w:val="2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九州科技优先实施此项改造，可基本解决其重要生产设备供电质量的稳定性需求；可避免无效的短期改造投入，降低项目投资成本；可有效缩短整个项目的实施周期，减少施工停电频次，将改造对民品区供电稳定性、可靠性影响降至最低。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  <w:woUserID w:val="2"/>
        </w:rPr>
        <w:t>目前，九州科技正在对改造方案进行优化完善。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Times New Roman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第一阶段集团总部需投资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75万元，用于高压侧改造。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1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  <w:t>第二阶段：中期改造（8个月）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Times New Roman" w:eastAsia="仿宋_GB2312" w:cs="仿宋_GB2312"/>
          <w:kern w:val="2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2023年园区实施电力扩容改造后，保留了原经九线（军品区，3*300，有效负载能力约7000kW）和园九线（民品区，3*240，有效负载能力约6000kW），作为园区备用电源。目前，民品区主要产业公司的产能、品控要求和对供电的高可靠性进一步提高，备用负荷容量已无法满足其需求，建议由集团出资对民品备用电源进行改造。从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110kV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园艺站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lang w:val="en-US" w:eastAsia="zh-CN" w:bidi="ar"/>
          <w:woUserID w:val="2"/>
        </w:rPr>
        <w:t>（或220kV永兴站）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新建一路10kV备用电源（3*500，有效负载能力约12000kW），确保与其现有主供电源的承载能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"/>
        </w:rPr>
        <w:t>力一致，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highlight w:val="none"/>
          <w:lang w:val="en-US" w:eastAsia="zh-CN" w:bidi="ar"/>
        </w:rPr>
        <w:t>再将民品区所有负荷接入，实现民品区所有生产负荷的双电源供电，彻底解决民品区供电的高可靠性需求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default" w:ascii="仿宋_GB2312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经测算从110kV园艺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lang w:val="en-US" w:eastAsia="zh-CN" w:bidi="ar"/>
        </w:rPr>
        <w:t>站（或220kV永兴站）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至民品区开闭所距离约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3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.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5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km-4km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3*500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铜芯高压电缆价格约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4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00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元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/m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电缆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预算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为490万元-56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0万元，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新建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电缆通道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长度暂按3.5km-4km计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，采取“顶管”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或“开挖”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工艺，造价约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6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00元/米，施工费约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210万元-240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万元，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电缆熔接、敷设、施工设计、造价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费用约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0万元，改造费用约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820万元-92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0万元；按照川价工〔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2004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〕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43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号文件及川发价格〔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2016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〕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482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号文件规定，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“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双电源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”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供电用户需按变压器总容</w:t>
      </w:r>
      <w:r>
        <w:rPr>
          <w:rFonts w:hint="eastAsia" w:ascii="仿宋_GB2312" w:hAnsi="Arial" w:eastAsia="仿宋_GB2312" w:cs="仿宋_GB2312"/>
          <w:kern w:val="2"/>
          <w:sz w:val="32"/>
          <w:szCs w:val="32"/>
          <w:lang w:val="en-US" w:eastAsia="zh-CN" w:bidi="ar"/>
        </w:rPr>
        <w:t>量</w:t>
      </w:r>
      <w:r>
        <w:rPr>
          <w:rFonts w:hint="eastAsia" w:ascii="仿宋_GB2312" w:hAnsi="Arial" w:eastAsia="仿宋_GB2312" w:cs="仿宋_GB2312"/>
          <w:b/>
          <w:bCs/>
          <w:kern w:val="2"/>
          <w:sz w:val="32"/>
          <w:szCs w:val="32"/>
          <w:lang w:val="en-US" w:eastAsia="zh-CN" w:bidi="ar"/>
        </w:rPr>
        <w:t>一次性</w:t>
      </w:r>
      <w:r>
        <w:rPr>
          <w:rFonts w:hint="eastAsia" w:ascii="仿宋_GB2312" w:hAnsi="Arial" w:eastAsia="仿宋_GB2312" w:cs="仿宋_GB2312"/>
          <w:kern w:val="2"/>
          <w:sz w:val="32"/>
          <w:szCs w:val="32"/>
          <w:lang w:val="en-US" w:eastAsia="zh-CN" w:bidi="ar"/>
        </w:rPr>
        <w:t>缴纳高可靠性供电费，费用标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准为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120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元/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k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VA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，民品区现有变压器总容量约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21000kVA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，需缴纳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252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万元</w:t>
      </w:r>
      <w:r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；2023年军、民品区高可靠性费用分别由九洲电器、九州科技承担，此次民品区备用电源扩容改造所产生的高可靠性费用，建议仍由九州科技承担。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第二阶段集团总部需投资约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820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万元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-920万元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，九州科技需缴纳高可靠性供电费约252万元。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1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  <w:t>第三阶段：长期治理（2～3年）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eastAsia" w:ascii="Times New Roman" w:hAnsi="Times New Roman" w:eastAsia="仿宋_GB2312" w:cs="Times New Roman"/>
          <w:sz w:val="32"/>
          <w:szCs w:val="40"/>
          <w:highlight w:val="yellow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电力等能源动力（水、电、气、压缩空气、中央空调）系统要实现长期安全、稳定、高效运行，需在管理、运维方面进行投入和改进。当前，园区能源动力系统在管理和运维方面还存在以下问题，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一是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缺乏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  <w:woUserID w:val="1"/>
        </w:rPr>
        <w:t>较系统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的监测手段，对系统运行状态的实时感知能力低，无法获取有效的数据进行能效提升、故障预判和隐患分析治理；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二是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自动化、数字（智能）化程度低，绝大部分设备仍依靠人工启停和巡检，效率低、运维效果差；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三是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运维值守人员（截至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2024年7月，共31人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）年龄偏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大，到2028年超5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0%的人员将退休，无法满足人工值守的最低运行标准；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四是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人员整体技能水平偏低，高中及以下学历占比高达97%，难以胜任数字化运维管理工作。为满足园区供电质量的高可靠性、高稳定性要求，提升能源动力管理水平和风险隐患治理能力，建议适时启动园区能源动力系统数字化改造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通过对能源动力系统运行数据的采集分析、大部分系统的自动化、数字化改造、运行环境的实时监测，实现对主要运行参数以及环境要素的监测、记录和分析，对异常数据进行预报警。同时要确保监测系统的开放性和兼容性，以便于数据信息的交互和系统的更新迭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综上所述，完成第一，二阶段的改造提升工作，集团总部需投资约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89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5万元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-995万元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，第一阶段施工周期3个月，第二阶段施工周期约8个月；结合第一，二阶段实施后的实际运行情况，开展第三阶段数字化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能源动力系统的调研，并适时启动改造。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kern w:val="44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44"/>
          <w:sz w:val="32"/>
          <w:szCs w:val="32"/>
          <w:lang w:val="en-US" w:eastAsia="zh-CN" w:bidi="ar-SA"/>
        </w:rPr>
        <w:t>决策事项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是否同意按本议案内容对科工园供电系统进行第一、二阶段改造，投资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总额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99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5万元，施工周期10个月。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kern w:val="44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44"/>
          <w:sz w:val="32"/>
          <w:szCs w:val="32"/>
          <w:lang w:val="en-US" w:eastAsia="zh-CN" w:bidi="ar-SA"/>
        </w:rPr>
        <w:t>决策提示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无。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kern w:val="44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44"/>
          <w:sz w:val="32"/>
          <w:szCs w:val="32"/>
          <w:lang w:val="en-US" w:eastAsia="zh-CN" w:bidi="ar-SA"/>
        </w:rPr>
        <w:t>项目预期效益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第一阶段改造实施后，园区内非电压敏感性（常规）生产设备在电压暂降等供电异常事件发生时，不再出现频闪、重启、断电、损坏等情况。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第二阶段改造实施后，可实现民品区所有生产、办公用电负荷双电源供电，可杜绝大范围、长时间停电情况的出现。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在相关产业公司为其电压敏感性设备配置应急电源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UPS后，可确保其相关设备不出现突发性供电中断；在突发性电气故障发生后，可确保其在产、在试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产品能顺利完成当前工序和试验，做到有序停产、停电，避免因断电而导致产品出现残损或报废情况。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本项目属于基础设施投入，无直接经济效益。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附件1：九洲科工园区供电质量治理提升改造项目论证报告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0" w:hanging="1280" w:hangingChars="400"/>
        <w:jc w:val="both"/>
        <w:textAlignment w:val="auto"/>
        <w:outlineLvl w:val="1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附件2：九洲集团科工园区高压双电源10kV快切系统及电压暂降治理方案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园区服务中心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outlineLvl w:val="9"/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2024年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eastAsia="zh-CN"/>
          <w:woUserID w:val="1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  <w:woUserID w:val="1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日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汉仪楷体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QisiAaBanSong">
    <w:altName w:val="汉仪中黑KW"/>
    <w:panose1 w:val="00020600040101010101"/>
    <w:charset w:val="86"/>
    <w:family w:val="roman"/>
    <w:pitch w:val="default"/>
    <w:sig w:usb0="00000000" w:usb1="00000000" w:usb2="00000016" w:usb3="00000000" w:csb0="0004009F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  <w:bookmarkStart w:id="0" w:name="_GoBack"/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right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                                                     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                                                     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00" w:lineRule="exact"/>
      <w:jc w:val="righ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客户第一  奋斗为本 </w:t>
    </w:r>
  </w:p>
  <w:p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00" w:lineRule="exact"/>
      <w:jc w:val="righ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43815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9729"/>
              <wp:lineTo x="2365" y="19729"/>
              <wp:lineTo x="21285" y="18085"/>
              <wp:lineTo x="21285" y="3288"/>
              <wp:lineTo x="2365" y="0"/>
              <wp:lineTo x="215" y="0"/>
            </wp:wrapPolygon>
          </wp:wrapTight>
          <wp:docPr id="11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整体至上  团结协作</w:t>
    </w:r>
  </w:p>
  <w:p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00" w:lineRule="exact"/>
      <w:jc w:val="righ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4"/>
      <w:spacing w:line="300" w:lineRule="exact"/>
      <w:jc w:val="lef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</w:t>
    </w:r>
    <w:r>
      <w:rPr>
        <w:rFonts w:hint="eastAsia"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</w:t>
    </w:r>
    <w:r>
      <w:rPr>
        <w:rFonts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248D38"/>
    <w:multiLevelType w:val="singleLevel"/>
    <w:tmpl w:val="8E248D38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AE131DB3"/>
    <w:multiLevelType w:val="multilevel"/>
    <w:tmpl w:val="AE131DB3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</w:pPr>
      <w:rPr>
        <w:rFonts w:hint="eastAsia" w:ascii="黑体" w:hAnsi="黑体" w:eastAsia="黑体"/>
        <w:sz w:val="32"/>
        <w:szCs w:val="32"/>
      </w:rPr>
    </w:lvl>
    <w:lvl w:ilvl="1" w:tentative="0">
      <w:start w:val="1"/>
      <w:numFmt w:val="decimal"/>
      <w:suff w:val="nothing"/>
      <w:lvlText w:val="%2．"/>
      <w:lvlJc w:val="left"/>
      <w:pPr>
        <w:tabs>
          <w:tab w:val="left" w:pos="0"/>
        </w:tabs>
      </w:pPr>
      <w:rPr>
        <w:rFonts w:hint="eastAsia" w:ascii="黑体" w:hAnsi="黑体" w:eastAsia="黑体"/>
        <w:sz w:val="32"/>
        <w:szCs w:val="32"/>
      </w:rPr>
    </w:lvl>
    <w:lvl w:ilvl="2" w:tentative="0">
      <w:start w:val="1"/>
      <w:numFmt w:val="decimal"/>
      <w:suff w:val="nothing"/>
      <w:lvlText w:val="（%3）"/>
      <w:lvlJc w:val="left"/>
      <w:pPr>
        <w:tabs>
          <w:tab w:val="left" w:pos="0"/>
        </w:tabs>
      </w:pPr>
      <w:rPr>
        <w:rFonts w:hint="eastAsia" w:ascii="黑体" w:hAnsi="黑体" w:eastAsia="黑体"/>
        <w:sz w:val="32"/>
        <w:szCs w:val="32"/>
      </w:rPr>
    </w:lvl>
    <w:lvl w:ilvl="3" w:tentative="0">
      <w:start w:val="1"/>
      <w:numFmt w:val="decimalEnclosedCircleChinese"/>
      <w:suff w:val="nothing"/>
      <w:lvlText w:val="%4"/>
      <w:lvlJc w:val="left"/>
      <w:pPr>
        <w:tabs>
          <w:tab w:val="left" w:pos="0"/>
        </w:tabs>
      </w:pPr>
      <w:rPr>
        <w:rFonts w:hint="eastAsia" w:ascii="黑体" w:hAnsi="黑体" w:eastAsia="黑体"/>
        <w:sz w:val="32"/>
        <w:szCs w:val="32"/>
      </w:rPr>
    </w:lvl>
    <w:lvl w:ilvl="4" w:tentative="0">
      <w:start w:val="1"/>
      <w:numFmt w:val="decimal"/>
      <w:suff w:val="nothing"/>
      <w:lvlText w:val="%5）"/>
      <w:lvlJc w:val="left"/>
      <w:pPr>
        <w:tabs>
          <w:tab w:val="left" w:pos="0"/>
        </w:tabs>
      </w:pPr>
      <w:rPr>
        <w:rFonts w:hint="eastAsia" w:ascii="黑体" w:hAnsi="黑体" w:eastAsia="黑体"/>
        <w:sz w:val="32"/>
        <w:szCs w:val="32"/>
      </w:rPr>
    </w:lvl>
    <w:lvl w:ilvl="5" w:tentative="0">
      <w:start w:val="1"/>
      <w:numFmt w:val="lowerLetter"/>
      <w:suff w:val="nothing"/>
      <w:lvlText w:val="%6．"/>
      <w:lvlJc w:val="left"/>
      <w:pPr>
        <w:tabs>
          <w:tab w:val="left" w:pos="0"/>
        </w:tabs>
      </w:pPr>
      <w:rPr>
        <w:rFonts w:hint="eastAsia" w:ascii="黑体" w:hAnsi="黑体" w:eastAsia="黑体"/>
        <w:sz w:val="32"/>
        <w:szCs w:val="32"/>
      </w:rPr>
    </w:lvl>
    <w:lvl w:ilvl="6" w:tentative="0">
      <w:start w:val="1"/>
      <w:numFmt w:val="lowerLetter"/>
      <w:suff w:val="nothing"/>
      <w:lvlText w:val="%7）"/>
      <w:lvlJc w:val="left"/>
      <w:pPr>
        <w:tabs>
          <w:tab w:val="left" w:pos="0"/>
        </w:tabs>
      </w:pPr>
      <w:rPr>
        <w:rFonts w:hint="eastAsia" w:ascii="黑体" w:hAnsi="黑体" w:eastAsia="黑体"/>
        <w:sz w:val="32"/>
        <w:szCs w:val="32"/>
      </w:rPr>
    </w:lvl>
    <w:lvl w:ilvl="7" w:tentative="0">
      <w:start w:val="1"/>
      <w:numFmt w:val="lowerRoman"/>
      <w:suff w:val="nothing"/>
      <w:lvlText w:val="%8．"/>
      <w:lvlJc w:val="left"/>
      <w:pPr>
        <w:tabs>
          <w:tab w:val="left" w:pos="0"/>
        </w:tabs>
      </w:pPr>
      <w:rPr>
        <w:rFonts w:hint="eastAsia" w:ascii="黑体" w:hAnsi="黑体" w:eastAsia="黑体"/>
        <w:sz w:val="32"/>
        <w:szCs w:val="32"/>
      </w:rPr>
    </w:lvl>
    <w:lvl w:ilvl="8" w:tentative="0">
      <w:start w:val="1"/>
      <w:numFmt w:val="lowerRoman"/>
      <w:suff w:val="nothing"/>
      <w:lvlText w:val="%9）"/>
      <w:lvlJc w:val="left"/>
      <w:pPr>
        <w:tabs>
          <w:tab w:val="left" w:pos="0"/>
        </w:tabs>
      </w:pPr>
      <w:rPr>
        <w:rFonts w:hint="eastAsia" w:ascii="黑体" w:hAnsi="黑体" w:eastAsia="黑体"/>
        <w:sz w:val="32"/>
        <w:szCs w:val="32"/>
      </w:rPr>
    </w:lvl>
  </w:abstractNum>
  <w:abstractNum w:abstractNumId="2">
    <w:nsid w:val="440477CE"/>
    <w:multiLevelType w:val="singleLevel"/>
    <w:tmpl w:val="440477C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7E4D65E5"/>
    <w:multiLevelType w:val="singleLevel"/>
    <w:tmpl w:val="7E4D65E5"/>
    <w:lvl w:ilvl="0" w:tentative="0">
      <w:start w:val="1"/>
      <w:numFmt w:val="chineseCounting"/>
      <w:suff w:val="nothing"/>
      <w:lvlText w:val="（%1）"/>
      <w:lvlJc w:val="left"/>
      <w:rPr>
        <w:rFonts w:hint="eastAsia" w:ascii="仿宋_GB2312" w:hAnsi="仿宋_GB2312" w:eastAsia="仿宋_GB2312" w:cs="仿宋_GB2312"/>
        <w:sz w:val="32"/>
        <w:szCs w:val="32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iMTFiMjExMWUzMGI2MGQyNjkyNzAwZDhlNWRkMTkifQ=="/>
  </w:docVars>
  <w:rsids>
    <w:rsidRoot w:val="6380230C"/>
    <w:rsid w:val="00C52DB7"/>
    <w:rsid w:val="013435B5"/>
    <w:rsid w:val="01B05289"/>
    <w:rsid w:val="04C11604"/>
    <w:rsid w:val="06DC0D5E"/>
    <w:rsid w:val="09F9539C"/>
    <w:rsid w:val="0DDF0D4D"/>
    <w:rsid w:val="13FE2B9E"/>
    <w:rsid w:val="17CA0521"/>
    <w:rsid w:val="1A907657"/>
    <w:rsid w:val="1ABA2925"/>
    <w:rsid w:val="1B096599"/>
    <w:rsid w:val="1CD51C99"/>
    <w:rsid w:val="217971B5"/>
    <w:rsid w:val="269C7383"/>
    <w:rsid w:val="27217AB4"/>
    <w:rsid w:val="2C05036B"/>
    <w:rsid w:val="2F1227B8"/>
    <w:rsid w:val="2F8524E7"/>
    <w:rsid w:val="30A6152A"/>
    <w:rsid w:val="318B4808"/>
    <w:rsid w:val="322D5E88"/>
    <w:rsid w:val="392E47B3"/>
    <w:rsid w:val="3A1613E7"/>
    <w:rsid w:val="3BDB7080"/>
    <w:rsid w:val="3CFE449C"/>
    <w:rsid w:val="3FFAAF99"/>
    <w:rsid w:val="400669E5"/>
    <w:rsid w:val="409E19F4"/>
    <w:rsid w:val="430B16C1"/>
    <w:rsid w:val="465D2233"/>
    <w:rsid w:val="4E2D17E7"/>
    <w:rsid w:val="50067322"/>
    <w:rsid w:val="5077477E"/>
    <w:rsid w:val="5257222D"/>
    <w:rsid w:val="52A84BBF"/>
    <w:rsid w:val="55145360"/>
    <w:rsid w:val="555FC784"/>
    <w:rsid w:val="56334F4E"/>
    <w:rsid w:val="57183488"/>
    <w:rsid w:val="5B722A39"/>
    <w:rsid w:val="5D376039"/>
    <w:rsid w:val="5D57A4F4"/>
    <w:rsid w:val="5D823B96"/>
    <w:rsid w:val="5DC10EA2"/>
    <w:rsid w:val="5E9D546B"/>
    <w:rsid w:val="5F117768"/>
    <w:rsid w:val="5F7B0CB3"/>
    <w:rsid w:val="5FE352DD"/>
    <w:rsid w:val="602D0A71"/>
    <w:rsid w:val="6380230C"/>
    <w:rsid w:val="6B1C1E0E"/>
    <w:rsid w:val="6BCE4AB6"/>
    <w:rsid w:val="6C435017"/>
    <w:rsid w:val="6D9C504D"/>
    <w:rsid w:val="6E2C05BA"/>
    <w:rsid w:val="6FDBE4E1"/>
    <w:rsid w:val="71155335"/>
    <w:rsid w:val="71EB2CC4"/>
    <w:rsid w:val="73B7E1ED"/>
    <w:rsid w:val="746976D6"/>
    <w:rsid w:val="75E815BA"/>
    <w:rsid w:val="76AA19AC"/>
    <w:rsid w:val="77611954"/>
    <w:rsid w:val="77ACDE69"/>
    <w:rsid w:val="7B77C3B4"/>
    <w:rsid w:val="7B77D9C5"/>
    <w:rsid w:val="7BFF5592"/>
    <w:rsid w:val="7FE7839A"/>
    <w:rsid w:val="9FFD89A4"/>
    <w:rsid w:val="BD358CED"/>
    <w:rsid w:val="CFBC4D5E"/>
    <w:rsid w:val="E7FF0F69"/>
    <w:rsid w:val="EA8913E4"/>
    <w:rsid w:val="EDA8DCE1"/>
    <w:rsid w:val="EFE6E87D"/>
    <w:rsid w:val="FC2F377E"/>
    <w:rsid w:val="FFD7C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="100" w:afterLines="100" w:afterAutospacing="0" w:line="560" w:lineRule="exact"/>
      <w:jc w:val="center"/>
      <w:outlineLvl w:val="0"/>
    </w:pPr>
    <w:rPr>
      <w:rFonts w:hint="eastAsia" w:ascii="宋体" w:hAnsi="宋体" w:eastAsia="宋体"/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font81"/>
    <w:basedOn w:val="6"/>
    <w:qFormat/>
    <w:uiPriority w:val="0"/>
    <w:rPr>
      <w:rFonts w:hint="eastAsia" w:ascii="仿宋_GB2312" w:eastAsia="仿宋_GB2312" w:cs="仿宋_GB2312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3208</Words>
  <Characters>3429</Characters>
  <Lines>0</Lines>
  <Paragraphs>0</Paragraphs>
  <TotalTime>0</TotalTime>
  <ScaleCrop>false</ScaleCrop>
  <LinksUpToDate>false</LinksUpToDate>
  <CharactersWithSpaces>3483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2024-07-27T22:19:00Z</dcterms:created>
  <dc:creator>艾姆·安格瑞</dc:creator>
  <cp:lastModifiedBy>落叶知秋</cp:lastModifiedBy>
  <dcterms:modified xsi:type="dcterms:W3CDTF">2024-08-12T09:31:38Z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8BBA8ABDB8CD4A7C9FD05C0B486ECC57_11</vt:lpwstr>
  </property>
</Properties>
</file>