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关于四川九洲空管科技有限责任公司合资新设公司事宜备案的报告</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z w:val="44"/>
          <w:szCs w:val="44"/>
        </w:rPr>
      </w:pPr>
    </w:p>
    <w:p>
      <w:pPr>
        <w:keepNext w:val="0"/>
        <w:keepLines w:val="0"/>
        <w:pageBreakBefore w:val="0"/>
        <w:widowControl w:val="0"/>
        <w:kinsoku/>
        <w:wordWrap/>
        <w:overflowPunct/>
        <w:topLinePunct w:val="0"/>
        <w:autoSpaceDE/>
        <w:autoSpaceDN/>
        <w:bidi w:val="0"/>
        <w:adjustRightInd/>
        <w:snapToGrid/>
        <w:spacing w:afterLines="0" w:line="550" w:lineRule="exact"/>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绵阳市国有资产监督管理委员会：</w:t>
      </w:r>
    </w:p>
    <w:p>
      <w:pPr>
        <w:pStyle w:val="11"/>
        <w:keepNext w:val="0"/>
        <w:keepLines w:val="0"/>
        <w:pageBreakBefore w:val="0"/>
        <w:widowControl w:val="0"/>
        <w:suppressLineNumbers w:val="0"/>
        <w:kinsoku/>
        <w:wordWrap/>
        <w:overflowPunct/>
        <w:topLinePunct w:val="0"/>
        <w:autoSpaceDE/>
        <w:autoSpaceDN/>
        <w:bidi w:val="0"/>
        <w:adjustRightInd/>
        <w:snapToGrid/>
        <w:spacing w:before="0" w:beforeAutospacing="0" w:afterLines="0" w:afterAutospacing="0" w:line="550" w:lineRule="exact"/>
        <w:ind w:left="0" w:right="0" w:firstLine="640" w:firstLineChars="200"/>
        <w:jc w:val="both"/>
        <w:textAlignment w:val="auto"/>
        <w:outlineLvl w:val="9"/>
        <w:rPr>
          <w:rFonts w:hint="eastAsia" w:ascii="仿宋_GB2312" w:hAnsi="仿宋_GB2312" w:eastAsia="仿宋_GB2312" w:cs="仿宋_GB2312"/>
          <w:sz w:val="32"/>
          <w:szCs w:val="32"/>
          <w:lang w:val="en-US"/>
        </w:rPr>
      </w:pPr>
      <w:r>
        <w:rPr>
          <w:rFonts w:hint="eastAsia" w:ascii="仿宋_GB2312" w:hAnsi="仿宋_GB2312" w:eastAsia="仿宋_GB2312" w:cs="仿宋_GB2312"/>
          <w:b w:val="0"/>
          <w:bCs w:val="0"/>
          <w:kern w:val="2"/>
          <w:sz w:val="32"/>
          <w:szCs w:val="32"/>
          <w:lang w:val="en-US" w:eastAsia="zh-CN" w:bidi="ar"/>
        </w:rPr>
        <w:t>四川九洲投资控股集团有限公司（下称九洲集团或九洲）下属公司四川九洲空管科技有限责任公司（下称九洲空管）拟出资2100万元，依托绵阳北川永昌机场（下称机场）与绵阳科技城通航产业投资控股有限公司（下称通航投控）在四川省绵阳市北川羌族自治县通航产业园（下称</w:t>
      </w:r>
      <w:r>
        <w:rPr>
          <w:rFonts w:hint="eastAsia" w:ascii="仿宋_GB2312" w:hAnsi="仿宋_GB2312" w:eastAsia="仿宋_GB2312" w:cs="仿宋_GB2312"/>
          <w:kern w:val="2"/>
          <w:sz w:val="32"/>
          <w:szCs w:val="32"/>
          <w:highlight w:val="none"/>
          <w:lang w:val="en-US" w:eastAsia="zh-CN" w:bidi="ar"/>
        </w:rPr>
        <w:t>北川通航产业园</w:t>
      </w:r>
      <w:r>
        <w:rPr>
          <w:rFonts w:hint="eastAsia" w:ascii="仿宋_GB2312" w:hAnsi="仿宋_GB2312" w:eastAsia="仿宋_GB2312" w:cs="仿宋_GB2312"/>
          <w:b w:val="0"/>
          <w:bCs w:val="0"/>
          <w:kern w:val="2"/>
          <w:sz w:val="32"/>
          <w:szCs w:val="32"/>
          <w:lang w:val="en-US" w:eastAsia="zh-CN" w:bidi="ar"/>
        </w:rPr>
        <w:t>）设立注册资本3500万元的合资公司，</w:t>
      </w:r>
      <w:r>
        <w:rPr>
          <w:rFonts w:hint="eastAsia" w:ascii="仿宋_GB2312" w:hAnsi="仿宋_GB2312" w:eastAsia="仿宋_GB2312" w:cs="仿宋_GB2312"/>
          <w:kern w:val="2"/>
          <w:sz w:val="32"/>
          <w:szCs w:val="32"/>
          <w:lang w:val="en-US" w:eastAsia="zh-CN" w:bidi="ar"/>
        </w:rPr>
        <w:t>现将具体情况报告如下：</w:t>
      </w:r>
    </w:p>
    <w:p>
      <w:pPr>
        <w:keepNext w:val="0"/>
        <w:keepLines w:val="0"/>
        <w:pageBreakBefore w:val="0"/>
        <w:widowControl w:val="0"/>
        <w:kinsoku/>
        <w:wordWrap/>
        <w:overflowPunct/>
        <w:topLinePunct w:val="0"/>
        <w:autoSpaceDE/>
        <w:autoSpaceDN/>
        <w:bidi w:val="0"/>
        <w:adjustRightInd w:val="0"/>
        <w:snapToGrid w:val="0"/>
        <w:spacing w:afterLines="0" w:line="550" w:lineRule="exact"/>
        <w:ind w:firstLine="640" w:firstLineChars="200"/>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黑体" w:hAnsi="黑体" w:eastAsia="黑体" w:cs="黑体"/>
          <w:color w:val="auto"/>
          <w:sz w:val="32"/>
          <w:szCs w:val="32"/>
          <w:highlight w:val="none"/>
          <w:lang w:val="en-US" w:eastAsia="zh-CN"/>
        </w:rPr>
        <w:t>一、背景情况</w:t>
      </w:r>
    </w:p>
    <w:p>
      <w:pPr>
        <w:pStyle w:val="10"/>
        <w:keepNext w:val="0"/>
        <w:keepLines w:val="0"/>
        <w:pageBreakBefore w:val="0"/>
        <w:widowControl w:val="0"/>
        <w:kinsoku/>
        <w:wordWrap/>
        <w:overflowPunct/>
        <w:topLinePunct w:val="0"/>
        <w:autoSpaceDE/>
        <w:autoSpaceDN/>
        <w:bidi w:val="0"/>
        <w:adjustRightInd/>
        <w:snapToGrid/>
        <w:spacing w:after="0" w:afterLines="0" w:line="550" w:lineRule="exact"/>
        <w:ind w:leftChars="0" w:firstLine="640" w:firstLineChars="200"/>
        <w:textAlignment w:val="auto"/>
        <w:outlineLvl w:val="9"/>
        <w:rPr>
          <w:rFonts w:hint="eastAsia" w:ascii="仿宋_GB2312" w:hAnsi="仿宋_GB2312" w:eastAsia="仿宋_GB2312" w:cs="仿宋_GB2312"/>
          <w:kern w:val="2"/>
          <w:sz w:val="32"/>
          <w:szCs w:val="32"/>
          <w:highlight w:val="none"/>
          <w:lang w:val="en-US" w:eastAsia="zh-CN" w:bidi="ar"/>
        </w:rPr>
      </w:pPr>
      <w:r>
        <w:rPr>
          <w:rFonts w:hint="eastAsia" w:ascii="仿宋_GB2312" w:hAnsi="仿宋_GB2312" w:eastAsia="仿宋_GB2312" w:cs="仿宋_GB2312"/>
          <w:kern w:val="2"/>
          <w:sz w:val="32"/>
          <w:szCs w:val="32"/>
          <w:highlight w:val="none"/>
          <w:lang w:val="en-US" w:eastAsia="zh-CN" w:bidi="ar"/>
        </w:rPr>
        <w:t>为抢抓低空经济发展机遇，九洲集团从2023年10月开始组建专业团队，先后前往民航局、工信部五所、广汽研究院、华为、深圳市低空经济产业公司、美团、北航大等数十家单位，围绕低空经济发展、无人机、eVTOL等领域需求开展多轮调研，积极寻求产业新赛道。</w:t>
      </w:r>
    </w:p>
    <w:p>
      <w:pPr>
        <w:pStyle w:val="10"/>
        <w:keepNext w:val="0"/>
        <w:keepLines w:val="0"/>
        <w:pageBreakBefore w:val="0"/>
        <w:widowControl w:val="0"/>
        <w:kinsoku/>
        <w:wordWrap/>
        <w:overflowPunct/>
        <w:topLinePunct w:val="0"/>
        <w:autoSpaceDE/>
        <w:autoSpaceDN/>
        <w:bidi w:val="0"/>
        <w:adjustRightInd/>
        <w:snapToGrid/>
        <w:spacing w:after="0" w:afterLines="0" w:line="550" w:lineRule="exact"/>
        <w:ind w:leftChars="0" w:firstLine="640" w:firstLineChars="200"/>
        <w:textAlignment w:val="auto"/>
        <w:outlineLvl w:val="9"/>
        <w:rPr>
          <w:rFonts w:hint="eastAsia" w:ascii="仿宋_GB2312" w:hAnsi="仿宋_GB2312" w:eastAsia="仿宋_GB2312" w:cs="仿宋_GB2312"/>
          <w:kern w:val="2"/>
          <w:sz w:val="32"/>
          <w:szCs w:val="32"/>
          <w:highlight w:val="none"/>
          <w:lang w:val="en-US" w:eastAsia="zh-CN" w:bidi="ar"/>
        </w:rPr>
      </w:pPr>
      <w:r>
        <w:rPr>
          <w:rFonts w:hint="eastAsia" w:ascii="仿宋_GB2312" w:hAnsi="仿宋_GB2312" w:eastAsia="仿宋_GB2312" w:cs="仿宋_GB2312"/>
          <w:kern w:val="2"/>
          <w:sz w:val="32"/>
          <w:szCs w:val="32"/>
          <w:highlight w:val="none"/>
          <w:lang w:val="en-US" w:eastAsia="zh-CN" w:bidi="ar"/>
        </w:rPr>
        <w:t>通过调研发现在国家大力倡导发展低空经济的背景下，未来将有更多的飞行器需要进行飞行测试和适航认证，而此类业务介入企业较少，目前开展飞行测试和适航认证业务具有较好的先发优势。同时，九洲集团在低空飞行服务及测试评估领域沉淀了雄厚的技术实力和行业影响力，北川通航产业园拥有优良的低空空域、机场服务、生活保障等资源，九洲集团依托北川通航产业园开展低空测试认证服务具备条件。</w:t>
      </w:r>
    </w:p>
    <w:p>
      <w:pPr>
        <w:pStyle w:val="10"/>
        <w:keepNext w:val="0"/>
        <w:keepLines w:val="0"/>
        <w:pageBreakBefore w:val="0"/>
        <w:widowControl w:val="0"/>
        <w:kinsoku/>
        <w:wordWrap/>
        <w:overflowPunct/>
        <w:topLinePunct w:val="0"/>
        <w:autoSpaceDE/>
        <w:autoSpaceDN/>
        <w:bidi w:val="0"/>
        <w:adjustRightInd/>
        <w:snapToGrid/>
        <w:spacing w:after="0" w:afterLines="0" w:line="550" w:lineRule="exact"/>
        <w:ind w:leftChars="0" w:firstLine="640" w:firstLineChars="200"/>
        <w:textAlignment w:val="auto"/>
        <w:outlineLvl w:val="9"/>
        <w:rPr>
          <w:rFonts w:hint="default" w:ascii="仿宋_GB2312" w:hAnsi="仿宋_GB2312" w:eastAsia="仿宋_GB2312" w:cs="仿宋_GB2312"/>
          <w:kern w:val="2"/>
          <w:sz w:val="32"/>
          <w:szCs w:val="32"/>
          <w:highlight w:val="none"/>
          <w:lang w:val="en-US" w:eastAsia="zh-CN" w:bidi="ar"/>
        </w:rPr>
      </w:pPr>
      <w:r>
        <w:rPr>
          <w:rFonts w:hint="eastAsia" w:ascii="仿宋_GB2312" w:hAnsi="仿宋_GB2312" w:eastAsia="仿宋_GB2312" w:cs="仿宋_GB2312"/>
          <w:kern w:val="2"/>
          <w:sz w:val="32"/>
          <w:szCs w:val="32"/>
          <w:highlight w:val="none"/>
          <w:lang w:val="en-US" w:eastAsia="zh-CN" w:bidi="ar"/>
        </w:rPr>
        <w:t>2024年5月，九</w:t>
      </w:r>
      <w:r>
        <w:rPr>
          <w:rFonts w:hint="eastAsia" w:ascii="仿宋_GB2312" w:hAnsi="仿宋_GB2312" w:eastAsia="仿宋_GB2312" w:cs="仿宋_GB2312"/>
          <w:spacing w:val="-6"/>
          <w:kern w:val="2"/>
          <w:sz w:val="32"/>
          <w:szCs w:val="32"/>
          <w:highlight w:val="none"/>
          <w:lang w:val="en-US" w:eastAsia="zh-CN" w:bidi="ar"/>
        </w:rPr>
        <w:t>洲空管向九洲集团提交了《新设四川九洲永昌测试有限责任公司预立项申请》及相关资料，九洲集团组织进行了论证，并按照九洲集团流程和审批权限，于5月28日由九洲集团党委会前置研究、董事会决策审议通过了该事项。</w:t>
      </w:r>
    </w:p>
    <w:p>
      <w:pPr>
        <w:keepNext w:val="0"/>
        <w:keepLines w:val="0"/>
        <w:pageBreakBefore w:val="0"/>
        <w:widowControl w:val="0"/>
        <w:kinsoku/>
        <w:wordWrap/>
        <w:overflowPunct/>
        <w:topLinePunct w:val="0"/>
        <w:autoSpaceDE/>
        <w:autoSpaceDN/>
        <w:bidi w:val="0"/>
        <w:adjustRightInd w:val="0"/>
        <w:snapToGrid w:val="0"/>
        <w:spacing w:afterLines="0" w:line="550" w:lineRule="exact"/>
        <w:ind w:firstLine="640" w:firstLineChars="200"/>
        <w:textAlignment w:val="auto"/>
        <w:outlineLvl w:val="9"/>
        <w:rPr>
          <w:rFonts w:hint="default"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二、投资主体情况</w:t>
      </w:r>
    </w:p>
    <w:p>
      <w:pPr>
        <w:keepNext w:val="0"/>
        <w:keepLines w:val="0"/>
        <w:pageBreakBefore w:val="0"/>
        <w:tabs>
          <w:tab w:val="left" w:pos="714"/>
        </w:tabs>
        <w:kinsoku/>
        <w:wordWrap/>
        <w:overflowPunct/>
        <w:topLinePunct w:val="0"/>
        <w:bidi w:val="0"/>
        <w:adjustRightInd w:val="0"/>
        <w:snapToGrid w:val="0"/>
        <w:spacing w:afterLines="0" w:line="550" w:lineRule="exact"/>
        <w:ind w:right="0" w:firstLine="641" w:firstLineChars="200"/>
        <w:textAlignment w:val="auto"/>
        <w:outlineLvl w:val="0"/>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（一）四川九洲空管科技有限责任公司</w:t>
      </w:r>
    </w:p>
    <w:p>
      <w:pPr>
        <w:pStyle w:val="2"/>
        <w:keepNext w:val="0"/>
        <w:keepLines w:val="0"/>
        <w:pageBreakBefore w:val="0"/>
        <w:widowControl w:val="0"/>
        <w:kinsoku/>
        <w:wordWrap/>
        <w:overflowPunct/>
        <w:topLinePunct w:val="0"/>
        <w:autoSpaceDE/>
        <w:autoSpaceDN/>
        <w:bidi w:val="0"/>
        <w:adjustRightInd/>
        <w:snapToGrid/>
        <w:spacing w:after="0" w:afterLines="0" w:line="550" w:lineRule="exact"/>
        <w:ind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九洲空管成立于2010年12月，注册资本17919.71万元（已全部实缴），注册于四川省绵阳市科创园区九洲大道255号，是国内最早从事空管系统（通信系统、导航系统、监视系统、信息管理系统等）及相关航电设备的开发、设计、系统集成、制造、安装、销售、维修及技术服务的高科技企业。</w:t>
      </w:r>
    </w:p>
    <w:p>
      <w:pPr>
        <w:pStyle w:val="2"/>
        <w:keepNext w:val="0"/>
        <w:keepLines w:val="0"/>
        <w:pageBreakBefore w:val="0"/>
        <w:widowControl w:val="0"/>
        <w:kinsoku/>
        <w:wordWrap/>
        <w:overflowPunct/>
        <w:topLinePunct w:val="0"/>
        <w:autoSpaceDE/>
        <w:autoSpaceDN/>
        <w:bidi w:val="0"/>
        <w:adjustRightInd/>
        <w:snapToGrid/>
        <w:spacing w:after="0" w:afterLines="0" w:line="550" w:lineRule="exact"/>
        <w:ind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近三年财务情况见下表：</w:t>
      </w:r>
    </w:p>
    <w:tbl>
      <w:tblPr>
        <w:tblStyle w:val="1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0" w:type="dxa"/>
          <w:left w:w="108" w:type="dxa"/>
          <w:bottom w:w="0" w:type="dxa"/>
          <w:right w:w="108" w:type="dxa"/>
        </w:tblCellMar>
      </w:tblPr>
      <w:tblGrid>
        <w:gridCol w:w="1546"/>
        <w:gridCol w:w="821"/>
        <w:gridCol w:w="2234"/>
        <w:gridCol w:w="2251"/>
        <w:gridCol w:w="22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76" w:hRule="exact"/>
          <w:tblHeader/>
          <w:jc w:val="center"/>
        </w:trPr>
        <w:tc>
          <w:tcPr>
            <w:tcW w:w="853" w:type="pct"/>
            <w:shd w:val="clear" w:color="auto" w:fill="FFFFFF"/>
            <w:noWrap/>
            <w:vAlign w:val="center"/>
          </w:tcPr>
          <w:p>
            <w:pPr>
              <w:widowControl/>
              <w:spacing w:line="460" w:lineRule="exact"/>
              <w:ind w:firstLine="0" w:firstLineChars="0"/>
              <w:jc w:val="center"/>
              <w:rPr>
                <w:rFonts w:hint="eastAsia" w:ascii="仿宋_GB2312" w:hAnsi="仿宋_GB2312" w:eastAsia="仿宋_GB2312" w:cs="仿宋_GB2312"/>
                <w:b/>
                <w:bCs/>
                <w:sz w:val="24"/>
                <w:szCs w:val="32"/>
              </w:rPr>
            </w:pPr>
            <w:r>
              <w:rPr>
                <w:rFonts w:hint="eastAsia" w:ascii="仿宋_GB2312" w:hAnsi="仿宋_GB2312" w:eastAsia="仿宋_GB2312" w:cs="仿宋_GB2312"/>
                <w:b/>
                <w:bCs/>
                <w:sz w:val="24"/>
                <w:szCs w:val="32"/>
              </w:rPr>
              <w:t>项目</w:t>
            </w:r>
          </w:p>
        </w:tc>
        <w:tc>
          <w:tcPr>
            <w:tcW w:w="453" w:type="pct"/>
            <w:shd w:val="clear" w:color="auto" w:fill="FFFFFF"/>
            <w:noWrap/>
            <w:vAlign w:val="center"/>
          </w:tcPr>
          <w:p>
            <w:pPr>
              <w:widowControl/>
              <w:spacing w:line="460" w:lineRule="exact"/>
              <w:ind w:firstLine="0" w:firstLineChars="0"/>
              <w:jc w:val="center"/>
              <w:rPr>
                <w:rFonts w:hint="eastAsia" w:ascii="仿宋_GB2312" w:hAnsi="仿宋_GB2312" w:eastAsia="仿宋_GB2312" w:cs="仿宋_GB2312"/>
                <w:b/>
                <w:bCs/>
                <w:sz w:val="24"/>
                <w:szCs w:val="32"/>
              </w:rPr>
            </w:pPr>
            <w:r>
              <w:rPr>
                <w:rFonts w:hint="eastAsia" w:ascii="仿宋_GB2312" w:hAnsi="仿宋_GB2312" w:eastAsia="仿宋_GB2312" w:cs="仿宋_GB2312"/>
                <w:b/>
                <w:bCs/>
                <w:sz w:val="24"/>
                <w:szCs w:val="32"/>
              </w:rPr>
              <w:t>单位</w:t>
            </w:r>
          </w:p>
        </w:tc>
        <w:tc>
          <w:tcPr>
            <w:tcW w:w="1233" w:type="pct"/>
            <w:shd w:val="clear" w:color="auto" w:fill="FFFFFF"/>
            <w:noWrap/>
            <w:vAlign w:val="center"/>
          </w:tcPr>
          <w:p>
            <w:pPr>
              <w:widowControl/>
              <w:spacing w:line="460" w:lineRule="exact"/>
              <w:ind w:firstLine="0" w:firstLineChars="0"/>
              <w:jc w:val="center"/>
              <w:rPr>
                <w:rFonts w:hint="eastAsia" w:ascii="仿宋_GB2312" w:hAnsi="仿宋_GB2312" w:eastAsia="仿宋_GB2312" w:cs="仿宋_GB2312"/>
                <w:b/>
                <w:bCs/>
                <w:sz w:val="24"/>
                <w:szCs w:val="32"/>
              </w:rPr>
            </w:pPr>
            <w:r>
              <w:rPr>
                <w:rFonts w:hint="eastAsia" w:ascii="仿宋_GB2312" w:hAnsi="仿宋_GB2312" w:eastAsia="仿宋_GB2312" w:cs="仿宋_GB2312"/>
                <w:b/>
                <w:bCs/>
                <w:sz w:val="24"/>
                <w:szCs w:val="32"/>
              </w:rPr>
              <w:t>2021年</w:t>
            </w:r>
          </w:p>
        </w:tc>
        <w:tc>
          <w:tcPr>
            <w:tcW w:w="1242" w:type="pct"/>
            <w:shd w:val="clear" w:color="auto" w:fill="FFFFFF"/>
            <w:noWrap/>
            <w:vAlign w:val="center"/>
          </w:tcPr>
          <w:p>
            <w:pPr>
              <w:widowControl/>
              <w:spacing w:line="460" w:lineRule="exact"/>
              <w:ind w:firstLine="0" w:firstLineChars="0"/>
              <w:jc w:val="center"/>
              <w:rPr>
                <w:rFonts w:hint="eastAsia" w:ascii="仿宋_GB2312" w:hAnsi="仿宋_GB2312" w:eastAsia="仿宋_GB2312" w:cs="仿宋_GB2312"/>
                <w:b/>
                <w:bCs/>
                <w:sz w:val="24"/>
                <w:szCs w:val="32"/>
              </w:rPr>
            </w:pPr>
            <w:r>
              <w:rPr>
                <w:rFonts w:hint="eastAsia" w:ascii="仿宋_GB2312" w:hAnsi="仿宋_GB2312" w:eastAsia="仿宋_GB2312" w:cs="仿宋_GB2312"/>
                <w:b/>
                <w:bCs/>
                <w:sz w:val="24"/>
                <w:szCs w:val="32"/>
              </w:rPr>
              <w:t>2022年</w:t>
            </w:r>
          </w:p>
        </w:tc>
        <w:tc>
          <w:tcPr>
            <w:tcW w:w="1216" w:type="pct"/>
            <w:shd w:val="clear" w:color="auto" w:fill="FFFFFF"/>
            <w:noWrap/>
            <w:vAlign w:val="center"/>
          </w:tcPr>
          <w:p>
            <w:pPr>
              <w:widowControl/>
              <w:spacing w:line="460" w:lineRule="exact"/>
              <w:ind w:firstLine="0" w:firstLineChars="0"/>
              <w:jc w:val="center"/>
              <w:rPr>
                <w:rFonts w:hint="eastAsia" w:ascii="仿宋_GB2312" w:hAnsi="仿宋_GB2312" w:eastAsia="仿宋_GB2312" w:cs="仿宋_GB2312"/>
                <w:b/>
                <w:bCs/>
                <w:sz w:val="24"/>
                <w:szCs w:val="32"/>
              </w:rPr>
            </w:pPr>
            <w:r>
              <w:rPr>
                <w:rFonts w:hint="eastAsia" w:ascii="仿宋_GB2312" w:hAnsi="仿宋_GB2312" w:eastAsia="仿宋_GB2312" w:cs="仿宋_GB2312"/>
                <w:b/>
                <w:bCs/>
                <w:sz w:val="24"/>
                <w:szCs w:val="32"/>
              </w:rPr>
              <w:t>2023年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76" w:hRule="exact"/>
          <w:jc w:val="center"/>
        </w:trPr>
        <w:tc>
          <w:tcPr>
            <w:tcW w:w="853" w:type="pct"/>
            <w:shd w:val="clear" w:color="auto" w:fill="FFFFFF"/>
            <w:noWrap/>
            <w:vAlign w:val="center"/>
          </w:tcPr>
          <w:p>
            <w:pPr>
              <w:widowControl/>
              <w:spacing w:line="460" w:lineRule="exact"/>
              <w:ind w:firstLine="0" w:firstLineChars="0"/>
              <w:jc w:val="center"/>
              <w:rPr>
                <w:rFonts w:hint="eastAsia" w:ascii="仿宋_GB2312" w:hAnsi="仿宋_GB2312" w:eastAsia="仿宋_GB2312" w:cs="仿宋_GB2312"/>
                <w:sz w:val="24"/>
                <w:szCs w:val="32"/>
              </w:rPr>
            </w:pPr>
            <w:r>
              <w:rPr>
                <w:rFonts w:hint="eastAsia" w:ascii="仿宋_GB2312" w:hAnsi="仿宋_GB2312" w:eastAsia="仿宋_GB2312" w:cs="仿宋_GB2312"/>
                <w:sz w:val="24"/>
                <w:szCs w:val="32"/>
              </w:rPr>
              <w:t>营业收入</w:t>
            </w:r>
          </w:p>
        </w:tc>
        <w:tc>
          <w:tcPr>
            <w:tcW w:w="453" w:type="pct"/>
            <w:shd w:val="clear" w:color="auto" w:fill="FFFFFF"/>
            <w:noWrap/>
            <w:vAlign w:val="center"/>
          </w:tcPr>
          <w:p>
            <w:pPr>
              <w:widowControl/>
              <w:spacing w:line="460" w:lineRule="exact"/>
              <w:ind w:firstLine="0" w:firstLineChars="0"/>
              <w:jc w:val="center"/>
              <w:rPr>
                <w:rFonts w:hint="eastAsia" w:ascii="仿宋_GB2312" w:hAnsi="仿宋_GB2312" w:eastAsia="仿宋_GB2312" w:cs="仿宋_GB2312"/>
                <w:sz w:val="24"/>
                <w:szCs w:val="32"/>
              </w:rPr>
            </w:pPr>
            <w:r>
              <w:rPr>
                <w:rFonts w:hint="eastAsia" w:ascii="仿宋_GB2312" w:hAnsi="仿宋_GB2312" w:eastAsia="仿宋_GB2312" w:cs="仿宋_GB2312"/>
                <w:sz w:val="24"/>
                <w:szCs w:val="32"/>
              </w:rPr>
              <w:t>亿元</w:t>
            </w:r>
          </w:p>
        </w:tc>
        <w:tc>
          <w:tcPr>
            <w:tcW w:w="1233" w:type="pct"/>
            <w:shd w:val="clear" w:color="auto" w:fill="FFFFFF"/>
            <w:noWrap/>
            <w:vAlign w:val="center"/>
          </w:tcPr>
          <w:p>
            <w:pPr>
              <w:widowControl/>
              <w:spacing w:line="460" w:lineRule="exact"/>
              <w:ind w:firstLine="0" w:firstLineChars="0"/>
              <w:jc w:val="center"/>
              <w:rPr>
                <w:rFonts w:hint="eastAsia" w:ascii="仿宋_GB2312" w:hAnsi="仿宋_GB2312" w:eastAsia="仿宋_GB2312" w:cs="仿宋_GB2312"/>
                <w:sz w:val="24"/>
                <w:szCs w:val="32"/>
                <w:lang w:eastAsia="en-US"/>
              </w:rPr>
            </w:pPr>
            <w:r>
              <w:rPr>
                <w:rFonts w:hint="eastAsia" w:ascii="仿宋_GB2312" w:hAnsi="仿宋_GB2312" w:eastAsia="仿宋_GB2312" w:cs="仿宋_GB2312"/>
                <w:sz w:val="24"/>
                <w:szCs w:val="32"/>
              </w:rPr>
              <w:t>8.56</w:t>
            </w:r>
          </w:p>
        </w:tc>
        <w:tc>
          <w:tcPr>
            <w:tcW w:w="1242" w:type="pct"/>
            <w:shd w:val="clear" w:color="auto" w:fill="FFFFFF"/>
            <w:noWrap/>
            <w:vAlign w:val="center"/>
          </w:tcPr>
          <w:p>
            <w:pPr>
              <w:widowControl/>
              <w:spacing w:line="460" w:lineRule="exact"/>
              <w:ind w:firstLine="0" w:firstLineChars="0"/>
              <w:jc w:val="center"/>
              <w:rPr>
                <w:rFonts w:hint="eastAsia" w:ascii="仿宋_GB2312" w:hAnsi="仿宋_GB2312" w:eastAsia="仿宋_GB2312" w:cs="仿宋_GB2312"/>
                <w:sz w:val="24"/>
                <w:szCs w:val="32"/>
                <w:lang w:eastAsia="en-US"/>
              </w:rPr>
            </w:pPr>
            <w:r>
              <w:rPr>
                <w:rFonts w:hint="eastAsia" w:ascii="仿宋_GB2312" w:hAnsi="仿宋_GB2312" w:eastAsia="仿宋_GB2312" w:cs="仿宋_GB2312"/>
                <w:sz w:val="24"/>
                <w:szCs w:val="32"/>
              </w:rPr>
              <w:t>10.01</w:t>
            </w:r>
          </w:p>
        </w:tc>
        <w:tc>
          <w:tcPr>
            <w:tcW w:w="1216" w:type="pct"/>
            <w:shd w:val="clear" w:color="auto" w:fill="FFFFFF"/>
            <w:noWrap/>
            <w:vAlign w:val="center"/>
          </w:tcPr>
          <w:p>
            <w:pPr>
              <w:widowControl/>
              <w:spacing w:line="460" w:lineRule="exact"/>
              <w:ind w:firstLine="0" w:firstLineChars="0"/>
              <w:jc w:val="center"/>
              <w:rPr>
                <w:rFonts w:hint="eastAsia" w:ascii="仿宋_GB2312" w:hAnsi="仿宋_GB2312" w:eastAsia="仿宋_GB2312" w:cs="仿宋_GB2312"/>
                <w:sz w:val="24"/>
                <w:szCs w:val="32"/>
                <w:lang w:eastAsia="en-US"/>
              </w:rPr>
            </w:pPr>
            <w:r>
              <w:rPr>
                <w:rFonts w:hint="eastAsia" w:ascii="仿宋_GB2312" w:hAnsi="仿宋_GB2312" w:eastAsia="仿宋_GB2312" w:cs="仿宋_GB2312"/>
                <w:sz w:val="24"/>
                <w:szCs w:val="32"/>
              </w:rPr>
              <w:t>11.14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76" w:hRule="exact"/>
          <w:jc w:val="center"/>
        </w:trPr>
        <w:tc>
          <w:tcPr>
            <w:tcW w:w="853" w:type="pct"/>
            <w:shd w:val="clear" w:color="auto" w:fill="FFFFFF"/>
            <w:noWrap/>
            <w:vAlign w:val="center"/>
          </w:tcPr>
          <w:p>
            <w:pPr>
              <w:widowControl/>
              <w:spacing w:line="460" w:lineRule="exact"/>
              <w:ind w:firstLine="0" w:firstLineChars="0"/>
              <w:jc w:val="center"/>
              <w:rPr>
                <w:rFonts w:hint="eastAsia" w:ascii="仿宋_GB2312" w:hAnsi="仿宋_GB2312" w:eastAsia="仿宋_GB2312" w:cs="仿宋_GB2312"/>
                <w:sz w:val="24"/>
                <w:szCs w:val="32"/>
              </w:rPr>
            </w:pPr>
            <w:r>
              <w:rPr>
                <w:rFonts w:hint="eastAsia" w:ascii="仿宋_GB2312" w:hAnsi="仿宋_GB2312" w:eastAsia="仿宋_GB2312" w:cs="仿宋_GB2312"/>
                <w:sz w:val="24"/>
                <w:szCs w:val="32"/>
              </w:rPr>
              <w:t>利润总额</w:t>
            </w:r>
          </w:p>
        </w:tc>
        <w:tc>
          <w:tcPr>
            <w:tcW w:w="453" w:type="pct"/>
            <w:shd w:val="clear" w:color="auto" w:fill="FFFFFF"/>
            <w:noWrap/>
            <w:vAlign w:val="center"/>
          </w:tcPr>
          <w:p>
            <w:pPr>
              <w:widowControl/>
              <w:spacing w:line="460" w:lineRule="exact"/>
              <w:ind w:firstLine="0" w:firstLineChars="0"/>
              <w:jc w:val="center"/>
              <w:rPr>
                <w:rFonts w:hint="eastAsia" w:ascii="仿宋_GB2312" w:hAnsi="仿宋_GB2312" w:eastAsia="仿宋_GB2312" w:cs="仿宋_GB2312"/>
                <w:sz w:val="24"/>
                <w:szCs w:val="32"/>
              </w:rPr>
            </w:pPr>
            <w:r>
              <w:rPr>
                <w:rFonts w:hint="eastAsia" w:ascii="仿宋_GB2312" w:hAnsi="仿宋_GB2312" w:eastAsia="仿宋_GB2312" w:cs="仿宋_GB2312"/>
                <w:sz w:val="24"/>
                <w:szCs w:val="32"/>
                <w:lang w:val="en-US" w:eastAsia="zh-CN"/>
              </w:rPr>
              <w:t>万</w:t>
            </w:r>
            <w:r>
              <w:rPr>
                <w:rFonts w:hint="eastAsia" w:ascii="仿宋_GB2312" w:hAnsi="仿宋_GB2312" w:eastAsia="仿宋_GB2312" w:cs="仿宋_GB2312"/>
                <w:sz w:val="24"/>
                <w:szCs w:val="32"/>
              </w:rPr>
              <w:t>元</w:t>
            </w:r>
          </w:p>
        </w:tc>
        <w:tc>
          <w:tcPr>
            <w:tcW w:w="1233" w:type="pct"/>
            <w:shd w:val="clear" w:color="auto" w:fill="FFFFFF"/>
            <w:noWrap/>
            <w:vAlign w:val="center"/>
          </w:tcPr>
          <w:p>
            <w:pPr>
              <w:widowControl/>
              <w:spacing w:line="460" w:lineRule="exact"/>
              <w:ind w:firstLine="0" w:firstLineChars="0"/>
              <w:jc w:val="center"/>
              <w:rPr>
                <w:rFonts w:hint="eastAsia" w:ascii="仿宋_GB2312" w:hAnsi="仿宋_GB2312" w:eastAsia="仿宋_GB2312" w:cs="仿宋_GB2312"/>
                <w:sz w:val="24"/>
                <w:szCs w:val="32"/>
              </w:rPr>
            </w:pPr>
            <w:r>
              <w:rPr>
                <w:rFonts w:hint="eastAsia" w:ascii="仿宋_GB2312" w:hAnsi="仿宋_GB2312" w:eastAsia="仿宋_GB2312" w:cs="仿宋_GB2312"/>
                <w:sz w:val="24"/>
                <w:szCs w:val="32"/>
              </w:rPr>
              <w:t>7972</w:t>
            </w:r>
          </w:p>
        </w:tc>
        <w:tc>
          <w:tcPr>
            <w:tcW w:w="1242" w:type="pct"/>
            <w:shd w:val="clear" w:color="auto" w:fill="FFFFFF"/>
            <w:noWrap/>
            <w:vAlign w:val="center"/>
          </w:tcPr>
          <w:p>
            <w:pPr>
              <w:widowControl/>
              <w:spacing w:line="460" w:lineRule="exact"/>
              <w:ind w:firstLine="0" w:firstLineChars="0"/>
              <w:jc w:val="center"/>
              <w:rPr>
                <w:rFonts w:hint="eastAsia" w:ascii="仿宋_GB2312" w:hAnsi="仿宋_GB2312" w:eastAsia="仿宋_GB2312" w:cs="仿宋_GB2312"/>
                <w:sz w:val="24"/>
                <w:szCs w:val="32"/>
              </w:rPr>
            </w:pPr>
            <w:r>
              <w:rPr>
                <w:rFonts w:hint="eastAsia" w:ascii="仿宋_GB2312" w:hAnsi="仿宋_GB2312" w:eastAsia="仿宋_GB2312" w:cs="仿宋_GB2312"/>
                <w:sz w:val="24"/>
                <w:szCs w:val="32"/>
              </w:rPr>
              <w:t>10115</w:t>
            </w:r>
          </w:p>
        </w:tc>
        <w:tc>
          <w:tcPr>
            <w:tcW w:w="1216" w:type="pct"/>
            <w:shd w:val="clear" w:color="auto" w:fill="FFFFFF"/>
            <w:noWrap/>
            <w:vAlign w:val="center"/>
          </w:tcPr>
          <w:p>
            <w:pPr>
              <w:widowControl/>
              <w:spacing w:line="460" w:lineRule="exact"/>
              <w:ind w:firstLine="0" w:firstLineChars="0"/>
              <w:jc w:val="center"/>
              <w:rPr>
                <w:rFonts w:hint="eastAsia" w:ascii="仿宋_GB2312" w:hAnsi="仿宋_GB2312" w:eastAsia="仿宋_GB2312" w:cs="仿宋_GB2312"/>
                <w:sz w:val="24"/>
                <w:szCs w:val="32"/>
              </w:rPr>
            </w:pPr>
            <w:r>
              <w:rPr>
                <w:rFonts w:hint="eastAsia" w:ascii="仿宋_GB2312" w:hAnsi="仿宋_GB2312" w:eastAsia="仿宋_GB2312" w:cs="仿宋_GB2312"/>
                <w:sz w:val="24"/>
                <w:szCs w:val="32"/>
              </w:rPr>
              <w:t>11652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76" w:hRule="exact"/>
          <w:jc w:val="center"/>
        </w:trPr>
        <w:tc>
          <w:tcPr>
            <w:tcW w:w="853" w:type="pct"/>
            <w:shd w:val="clear" w:color="auto" w:fill="FFFFFF"/>
            <w:noWrap/>
            <w:vAlign w:val="center"/>
          </w:tcPr>
          <w:p>
            <w:pPr>
              <w:widowControl/>
              <w:spacing w:line="460" w:lineRule="exact"/>
              <w:ind w:firstLine="0" w:firstLineChars="0"/>
              <w:jc w:val="center"/>
              <w:rPr>
                <w:rFonts w:hint="eastAsia" w:ascii="仿宋_GB2312" w:hAnsi="仿宋_GB2312" w:eastAsia="仿宋_GB2312" w:cs="仿宋_GB2312"/>
                <w:b/>
                <w:bCs/>
                <w:sz w:val="24"/>
                <w:szCs w:val="32"/>
                <w:lang w:val="en-US" w:eastAsia="zh-CN"/>
              </w:rPr>
            </w:pPr>
            <w:r>
              <w:rPr>
                <w:rFonts w:hint="eastAsia" w:ascii="仿宋_GB2312" w:hAnsi="仿宋_GB2312" w:eastAsia="仿宋_GB2312" w:cs="仿宋_GB2312"/>
                <w:b/>
                <w:bCs/>
                <w:sz w:val="24"/>
                <w:szCs w:val="32"/>
                <w:lang w:val="en-US" w:eastAsia="zh-CN"/>
              </w:rPr>
              <w:t>项目</w:t>
            </w:r>
          </w:p>
        </w:tc>
        <w:tc>
          <w:tcPr>
            <w:tcW w:w="453" w:type="pct"/>
            <w:shd w:val="clear" w:color="auto" w:fill="FFFFFF"/>
            <w:noWrap/>
            <w:vAlign w:val="center"/>
          </w:tcPr>
          <w:p>
            <w:pPr>
              <w:widowControl/>
              <w:spacing w:line="460" w:lineRule="exact"/>
              <w:ind w:firstLine="0" w:firstLineChars="0"/>
              <w:jc w:val="center"/>
              <w:rPr>
                <w:rFonts w:hint="eastAsia" w:ascii="仿宋_GB2312" w:hAnsi="仿宋_GB2312" w:eastAsia="仿宋_GB2312" w:cs="仿宋_GB2312"/>
                <w:b/>
                <w:bCs/>
                <w:sz w:val="24"/>
                <w:szCs w:val="32"/>
                <w:lang w:val="en-US" w:eastAsia="zh-CN"/>
              </w:rPr>
            </w:pPr>
            <w:r>
              <w:rPr>
                <w:rFonts w:hint="eastAsia" w:ascii="仿宋_GB2312" w:hAnsi="仿宋_GB2312" w:eastAsia="仿宋_GB2312" w:cs="仿宋_GB2312"/>
                <w:b/>
                <w:bCs/>
                <w:sz w:val="24"/>
                <w:szCs w:val="32"/>
                <w:lang w:val="en-US" w:eastAsia="zh-CN"/>
              </w:rPr>
              <w:t>单位</w:t>
            </w:r>
          </w:p>
        </w:tc>
        <w:tc>
          <w:tcPr>
            <w:tcW w:w="1233" w:type="pct"/>
            <w:shd w:val="clear" w:color="auto" w:fill="FFFFFF"/>
            <w:noWrap/>
            <w:vAlign w:val="center"/>
          </w:tcPr>
          <w:p>
            <w:pPr>
              <w:widowControl/>
              <w:spacing w:line="460" w:lineRule="exact"/>
              <w:ind w:firstLine="0" w:firstLineChars="0"/>
              <w:jc w:val="center"/>
              <w:rPr>
                <w:rFonts w:hint="default" w:ascii="仿宋_GB2312" w:hAnsi="仿宋_GB2312" w:eastAsia="仿宋_GB2312" w:cs="仿宋_GB2312"/>
                <w:b/>
                <w:bCs/>
                <w:sz w:val="24"/>
                <w:szCs w:val="32"/>
                <w:lang w:val="en-US" w:eastAsia="zh-CN"/>
              </w:rPr>
            </w:pPr>
            <w:r>
              <w:rPr>
                <w:rFonts w:hint="eastAsia" w:ascii="仿宋_GB2312" w:hAnsi="仿宋_GB2312" w:eastAsia="仿宋_GB2312" w:cs="仿宋_GB2312"/>
                <w:b/>
                <w:bCs/>
                <w:sz w:val="24"/>
                <w:szCs w:val="32"/>
                <w:lang w:val="en-US" w:eastAsia="zh-CN"/>
              </w:rPr>
              <w:t>2021年12月31日</w:t>
            </w:r>
          </w:p>
        </w:tc>
        <w:tc>
          <w:tcPr>
            <w:tcW w:w="1242" w:type="pct"/>
            <w:shd w:val="clear" w:color="auto" w:fill="FFFFFF"/>
            <w:noWrap/>
            <w:vAlign w:val="center"/>
          </w:tcPr>
          <w:p>
            <w:pPr>
              <w:widowControl/>
              <w:spacing w:line="460" w:lineRule="exact"/>
              <w:ind w:firstLine="0" w:firstLineChars="0"/>
              <w:jc w:val="center"/>
              <w:rPr>
                <w:rFonts w:hint="eastAsia" w:ascii="仿宋_GB2312" w:hAnsi="仿宋_GB2312" w:eastAsia="仿宋_GB2312" w:cs="仿宋_GB2312"/>
                <w:b/>
                <w:bCs/>
                <w:sz w:val="24"/>
                <w:szCs w:val="32"/>
              </w:rPr>
            </w:pPr>
            <w:r>
              <w:rPr>
                <w:rFonts w:hint="eastAsia" w:ascii="仿宋_GB2312" w:hAnsi="仿宋_GB2312" w:eastAsia="仿宋_GB2312" w:cs="仿宋_GB2312"/>
                <w:b/>
                <w:bCs/>
                <w:sz w:val="24"/>
                <w:szCs w:val="32"/>
                <w:lang w:val="en-US" w:eastAsia="zh-CN"/>
              </w:rPr>
              <w:t>2022年12月31日</w:t>
            </w:r>
          </w:p>
        </w:tc>
        <w:tc>
          <w:tcPr>
            <w:tcW w:w="1216" w:type="pct"/>
            <w:shd w:val="clear" w:color="auto" w:fill="FFFFFF"/>
            <w:noWrap/>
            <w:vAlign w:val="center"/>
          </w:tcPr>
          <w:p>
            <w:pPr>
              <w:widowControl/>
              <w:spacing w:line="460" w:lineRule="exact"/>
              <w:ind w:firstLine="0" w:firstLineChars="0"/>
              <w:jc w:val="center"/>
              <w:rPr>
                <w:rFonts w:hint="default" w:ascii="仿宋_GB2312" w:hAnsi="仿宋_GB2312" w:eastAsia="仿宋_GB2312" w:cs="仿宋_GB2312"/>
                <w:b/>
                <w:bCs/>
                <w:sz w:val="24"/>
                <w:szCs w:val="32"/>
                <w:lang w:val="en-US" w:eastAsia="zh-CN"/>
              </w:rPr>
            </w:pPr>
            <w:r>
              <w:rPr>
                <w:rFonts w:hint="eastAsia" w:ascii="仿宋_GB2312" w:hAnsi="仿宋_GB2312" w:eastAsia="仿宋_GB2312" w:cs="仿宋_GB2312"/>
                <w:b/>
                <w:bCs/>
                <w:sz w:val="24"/>
                <w:szCs w:val="32"/>
                <w:lang w:val="en-US" w:eastAsia="zh-CN"/>
              </w:rPr>
              <w:t>2023年12月31日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76" w:hRule="exact"/>
          <w:jc w:val="center"/>
        </w:trPr>
        <w:tc>
          <w:tcPr>
            <w:tcW w:w="853" w:type="pct"/>
            <w:shd w:val="clear" w:color="auto" w:fill="FFFFFF"/>
            <w:noWrap/>
            <w:vAlign w:val="center"/>
          </w:tcPr>
          <w:p>
            <w:pPr>
              <w:widowControl/>
              <w:spacing w:line="460" w:lineRule="exact"/>
              <w:ind w:firstLine="0" w:firstLineChars="0"/>
              <w:jc w:val="center"/>
              <w:rPr>
                <w:rFonts w:hint="eastAsia" w:ascii="仿宋_GB2312" w:hAnsi="仿宋_GB2312" w:eastAsia="仿宋_GB2312" w:cs="仿宋_GB2312"/>
                <w:kern w:val="2"/>
                <w:sz w:val="24"/>
                <w:szCs w:val="32"/>
                <w:lang w:val="en-US" w:eastAsia="zh-CN" w:bidi="ar-SA"/>
              </w:rPr>
            </w:pPr>
            <w:r>
              <w:rPr>
                <w:rFonts w:hint="eastAsia" w:ascii="仿宋_GB2312" w:hAnsi="仿宋_GB2312" w:eastAsia="仿宋_GB2312" w:cs="仿宋_GB2312"/>
                <w:sz w:val="24"/>
                <w:szCs w:val="32"/>
              </w:rPr>
              <w:t>总资产</w:t>
            </w:r>
          </w:p>
        </w:tc>
        <w:tc>
          <w:tcPr>
            <w:tcW w:w="453" w:type="pct"/>
            <w:shd w:val="clear" w:color="auto" w:fill="FFFFFF"/>
            <w:noWrap/>
            <w:vAlign w:val="center"/>
          </w:tcPr>
          <w:p>
            <w:pPr>
              <w:widowControl/>
              <w:spacing w:line="460" w:lineRule="exact"/>
              <w:ind w:firstLine="0" w:firstLineChars="0"/>
              <w:jc w:val="center"/>
              <w:rPr>
                <w:rFonts w:hint="eastAsia" w:ascii="仿宋_GB2312" w:hAnsi="仿宋_GB2312" w:eastAsia="仿宋_GB2312" w:cs="仿宋_GB2312"/>
                <w:kern w:val="2"/>
                <w:sz w:val="24"/>
                <w:szCs w:val="32"/>
                <w:lang w:val="en-US" w:eastAsia="zh-CN" w:bidi="ar-SA"/>
              </w:rPr>
            </w:pPr>
            <w:r>
              <w:rPr>
                <w:rFonts w:hint="eastAsia" w:ascii="仿宋_GB2312" w:hAnsi="仿宋_GB2312" w:eastAsia="仿宋_GB2312" w:cs="仿宋_GB2312"/>
                <w:sz w:val="24"/>
                <w:szCs w:val="32"/>
              </w:rPr>
              <w:t>亿元</w:t>
            </w:r>
          </w:p>
        </w:tc>
        <w:tc>
          <w:tcPr>
            <w:tcW w:w="1233" w:type="pct"/>
            <w:shd w:val="clear" w:color="auto" w:fill="FFFFFF"/>
            <w:noWrap/>
            <w:vAlign w:val="center"/>
          </w:tcPr>
          <w:p>
            <w:pPr>
              <w:widowControl/>
              <w:spacing w:line="460" w:lineRule="exact"/>
              <w:ind w:firstLine="0" w:firstLineChars="0"/>
              <w:jc w:val="center"/>
              <w:rPr>
                <w:rFonts w:hint="eastAsia" w:ascii="仿宋_GB2312" w:hAnsi="仿宋_GB2312" w:eastAsia="仿宋_GB2312" w:cs="仿宋_GB2312"/>
                <w:kern w:val="2"/>
                <w:sz w:val="24"/>
                <w:szCs w:val="32"/>
                <w:lang w:val="en-US" w:eastAsia="zh-CN" w:bidi="ar-SA"/>
              </w:rPr>
            </w:pPr>
            <w:r>
              <w:rPr>
                <w:rFonts w:hint="eastAsia" w:ascii="仿宋_GB2312" w:hAnsi="仿宋_GB2312" w:eastAsia="仿宋_GB2312" w:cs="仿宋_GB2312"/>
                <w:sz w:val="24"/>
                <w:szCs w:val="32"/>
              </w:rPr>
              <w:t>16.91</w:t>
            </w:r>
          </w:p>
        </w:tc>
        <w:tc>
          <w:tcPr>
            <w:tcW w:w="1242" w:type="pct"/>
            <w:shd w:val="clear" w:color="auto" w:fill="FFFFFF"/>
            <w:noWrap/>
            <w:vAlign w:val="center"/>
          </w:tcPr>
          <w:p>
            <w:pPr>
              <w:widowControl/>
              <w:spacing w:line="460" w:lineRule="exact"/>
              <w:ind w:firstLine="0" w:firstLineChars="0"/>
              <w:jc w:val="center"/>
              <w:rPr>
                <w:rFonts w:hint="eastAsia" w:ascii="仿宋_GB2312" w:hAnsi="仿宋_GB2312" w:eastAsia="仿宋_GB2312" w:cs="仿宋_GB2312"/>
                <w:kern w:val="2"/>
                <w:sz w:val="24"/>
                <w:szCs w:val="32"/>
                <w:lang w:val="en-US" w:eastAsia="zh-CN" w:bidi="ar-SA"/>
              </w:rPr>
            </w:pPr>
            <w:r>
              <w:rPr>
                <w:rFonts w:hint="eastAsia" w:ascii="仿宋_GB2312" w:hAnsi="仿宋_GB2312" w:eastAsia="仿宋_GB2312" w:cs="仿宋_GB2312"/>
                <w:sz w:val="24"/>
                <w:szCs w:val="32"/>
              </w:rPr>
              <w:t>20.12</w:t>
            </w:r>
          </w:p>
        </w:tc>
        <w:tc>
          <w:tcPr>
            <w:tcW w:w="1216" w:type="pct"/>
            <w:shd w:val="clear" w:color="auto" w:fill="FFFFFF"/>
            <w:noWrap/>
            <w:vAlign w:val="center"/>
          </w:tcPr>
          <w:p>
            <w:pPr>
              <w:widowControl/>
              <w:spacing w:line="460" w:lineRule="exact"/>
              <w:ind w:firstLine="0" w:firstLineChars="0"/>
              <w:jc w:val="center"/>
              <w:rPr>
                <w:rFonts w:hint="eastAsia" w:ascii="仿宋_GB2312" w:hAnsi="仿宋_GB2312" w:eastAsia="仿宋_GB2312" w:cs="仿宋_GB2312"/>
                <w:kern w:val="2"/>
                <w:sz w:val="24"/>
                <w:szCs w:val="32"/>
                <w:lang w:val="en-US" w:eastAsia="zh-CN" w:bidi="ar-SA"/>
              </w:rPr>
            </w:pPr>
            <w:r>
              <w:rPr>
                <w:rFonts w:hint="eastAsia" w:ascii="仿宋_GB2312" w:hAnsi="仿宋_GB2312" w:eastAsia="仿宋_GB2312" w:cs="仿宋_GB2312"/>
                <w:sz w:val="24"/>
                <w:szCs w:val="32"/>
              </w:rPr>
              <w:t>22.62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76" w:hRule="exact"/>
          <w:jc w:val="center"/>
        </w:trPr>
        <w:tc>
          <w:tcPr>
            <w:tcW w:w="853" w:type="pct"/>
            <w:shd w:val="clear" w:color="auto" w:fill="FFFFFF"/>
            <w:noWrap/>
            <w:vAlign w:val="center"/>
          </w:tcPr>
          <w:p>
            <w:pPr>
              <w:widowControl/>
              <w:spacing w:line="460" w:lineRule="exact"/>
              <w:ind w:firstLine="0" w:firstLineChars="0"/>
              <w:jc w:val="center"/>
              <w:rPr>
                <w:rFonts w:hint="eastAsia" w:ascii="仿宋_GB2312" w:hAnsi="仿宋_GB2312" w:eastAsia="仿宋_GB2312" w:cs="仿宋_GB2312"/>
                <w:sz w:val="24"/>
                <w:szCs w:val="32"/>
              </w:rPr>
            </w:pPr>
            <w:r>
              <w:rPr>
                <w:rFonts w:hint="eastAsia" w:ascii="仿宋_GB2312" w:hAnsi="仿宋_GB2312" w:eastAsia="仿宋_GB2312" w:cs="仿宋_GB2312"/>
                <w:sz w:val="24"/>
                <w:szCs w:val="32"/>
              </w:rPr>
              <w:t>净资产</w:t>
            </w:r>
          </w:p>
        </w:tc>
        <w:tc>
          <w:tcPr>
            <w:tcW w:w="453" w:type="pct"/>
            <w:shd w:val="clear" w:color="auto" w:fill="FFFFFF"/>
            <w:noWrap/>
            <w:vAlign w:val="center"/>
          </w:tcPr>
          <w:p>
            <w:pPr>
              <w:widowControl/>
              <w:spacing w:line="460" w:lineRule="exact"/>
              <w:ind w:firstLine="0" w:firstLineChars="0"/>
              <w:jc w:val="center"/>
              <w:rPr>
                <w:rFonts w:hint="eastAsia" w:ascii="仿宋_GB2312" w:hAnsi="仿宋_GB2312" w:eastAsia="仿宋_GB2312" w:cs="仿宋_GB2312"/>
                <w:sz w:val="24"/>
                <w:szCs w:val="32"/>
              </w:rPr>
            </w:pPr>
            <w:r>
              <w:rPr>
                <w:rFonts w:hint="eastAsia" w:ascii="仿宋_GB2312" w:hAnsi="仿宋_GB2312" w:eastAsia="仿宋_GB2312" w:cs="仿宋_GB2312"/>
                <w:sz w:val="24"/>
                <w:szCs w:val="32"/>
              </w:rPr>
              <w:t>万元</w:t>
            </w:r>
          </w:p>
        </w:tc>
        <w:tc>
          <w:tcPr>
            <w:tcW w:w="1233" w:type="pct"/>
            <w:shd w:val="clear" w:color="auto" w:fill="FFFFFF"/>
            <w:noWrap/>
            <w:vAlign w:val="center"/>
          </w:tcPr>
          <w:p>
            <w:pPr>
              <w:widowControl/>
              <w:spacing w:line="460" w:lineRule="exact"/>
              <w:ind w:firstLine="0" w:firstLineChars="0"/>
              <w:jc w:val="center"/>
              <w:rPr>
                <w:rFonts w:hint="eastAsia" w:ascii="仿宋_GB2312" w:hAnsi="仿宋_GB2312" w:eastAsia="仿宋_GB2312" w:cs="仿宋_GB2312"/>
                <w:sz w:val="24"/>
                <w:szCs w:val="32"/>
              </w:rPr>
            </w:pPr>
            <w:r>
              <w:rPr>
                <w:rFonts w:hint="eastAsia" w:ascii="仿宋_GB2312" w:hAnsi="仿宋_GB2312" w:eastAsia="仿宋_GB2312" w:cs="仿宋_GB2312"/>
                <w:sz w:val="24"/>
                <w:szCs w:val="32"/>
              </w:rPr>
              <w:t>80333</w:t>
            </w:r>
          </w:p>
        </w:tc>
        <w:tc>
          <w:tcPr>
            <w:tcW w:w="1242" w:type="pct"/>
            <w:shd w:val="clear" w:color="auto" w:fill="FFFFFF"/>
            <w:noWrap/>
            <w:vAlign w:val="center"/>
          </w:tcPr>
          <w:p>
            <w:pPr>
              <w:widowControl/>
              <w:spacing w:line="460" w:lineRule="exact"/>
              <w:ind w:firstLine="0" w:firstLineChars="0"/>
              <w:jc w:val="center"/>
              <w:rPr>
                <w:rFonts w:hint="eastAsia" w:ascii="仿宋_GB2312" w:hAnsi="仿宋_GB2312" w:eastAsia="仿宋_GB2312" w:cs="仿宋_GB2312"/>
                <w:sz w:val="24"/>
                <w:szCs w:val="32"/>
              </w:rPr>
            </w:pPr>
            <w:r>
              <w:rPr>
                <w:rFonts w:hint="eastAsia" w:ascii="仿宋_GB2312" w:hAnsi="仿宋_GB2312" w:eastAsia="仿宋_GB2312" w:cs="仿宋_GB2312"/>
                <w:sz w:val="24"/>
                <w:szCs w:val="32"/>
              </w:rPr>
              <w:t>91017</w:t>
            </w:r>
          </w:p>
        </w:tc>
        <w:tc>
          <w:tcPr>
            <w:tcW w:w="1216" w:type="pct"/>
            <w:shd w:val="clear" w:color="auto" w:fill="FFFFFF"/>
            <w:noWrap/>
            <w:vAlign w:val="center"/>
          </w:tcPr>
          <w:p>
            <w:pPr>
              <w:widowControl/>
              <w:spacing w:line="460" w:lineRule="exact"/>
              <w:ind w:firstLine="0" w:firstLineChars="0"/>
              <w:jc w:val="center"/>
              <w:rPr>
                <w:rFonts w:hint="eastAsia" w:ascii="仿宋_GB2312" w:hAnsi="仿宋_GB2312" w:eastAsia="仿宋_GB2312" w:cs="仿宋_GB2312"/>
                <w:sz w:val="24"/>
                <w:szCs w:val="32"/>
              </w:rPr>
            </w:pPr>
            <w:r>
              <w:rPr>
                <w:rFonts w:hint="eastAsia" w:ascii="仿宋_GB2312" w:hAnsi="仿宋_GB2312" w:eastAsia="仿宋_GB2312" w:cs="仿宋_GB2312"/>
                <w:sz w:val="24"/>
                <w:szCs w:val="32"/>
              </w:rPr>
              <w:t>97417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76" w:hRule="exact"/>
          <w:jc w:val="center"/>
        </w:trPr>
        <w:tc>
          <w:tcPr>
            <w:tcW w:w="853" w:type="pct"/>
            <w:shd w:val="clear" w:color="auto" w:fill="FFFFFF"/>
            <w:noWrap/>
            <w:vAlign w:val="center"/>
          </w:tcPr>
          <w:p>
            <w:pPr>
              <w:widowControl/>
              <w:spacing w:line="460" w:lineRule="exact"/>
              <w:ind w:firstLine="0" w:firstLineChars="0"/>
              <w:jc w:val="center"/>
              <w:rPr>
                <w:rFonts w:hint="eastAsia" w:ascii="仿宋_GB2312" w:hAnsi="仿宋_GB2312" w:eastAsia="仿宋_GB2312" w:cs="仿宋_GB2312"/>
                <w:sz w:val="24"/>
                <w:szCs w:val="32"/>
              </w:rPr>
            </w:pPr>
            <w:r>
              <w:rPr>
                <w:rFonts w:hint="eastAsia" w:ascii="仿宋_GB2312" w:hAnsi="仿宋_GB2312" w:eastAsia="仿宋_GB2312" w:cs="仿宋_GB2312"/>
                <w:sz w:val="24"/>
                <w:szCs w:val="32"/>
              </w:rPr>
              <w:t>资产负债率</w:t>
            </w:r>
          </w:p>
        </w:tc>
        <w:tc>
          <w:tcPr>
            <w:tcW w:w="453" w:type="pct"/>
            <w:shd w:val="clear" w:color="auto" w:fill="FFFFFF"/>
            <w:noWrap/>
            <w:vAlign w:val="center"/>
          </w:tcPr>
          <w:p>
            <w:pPr>
              <w:widowControl/>
              <w:spacing w:line="460" w:lineRule="exact"/>
              <w:ind w:firstLine="0" w:firstLineChars="0"/>
              <w:jc w:val="center"/>
              <w:rPr>
                <w:rFonts w:hint="eastAsia" w:ascii="仿宋_GB2312" w:hAnsi="仿宋_GB2312" w:eastAsia="仿宋_GB2312" w:cs="仿宋_GB2312"/>
                <w:sz w:val="24"/>
                <w:szCs w:val="32"/>
              </w:rPr>
            </w:pPr>
            <w:r>
              <w:rPr>
                <w:rFonts w:hint="eastAsia" w:ascii="仿宋_GB2312" w:hAnsi="仿宋_GB2312" w:eastAsia="仿宋_GB2312" w:cs="仿宋_GB2312"/>
                <w:sz w:val="24"/>
                <w:szCs w:val="32"/>
              </w:rPr>
              <w:t>%</w:t>
            </w:r>
          </w:p>
        </w:tc>
        <w:tc>
          <w:tcPr>
            <w:tcW w:w="1233" w:type="pct"/>
            <w:shd w:val="clear" w:color="auto" w:fill="FFFFFF"/>
            <w:noWrap/>
            <w:vAlign w:val="center"/>
          </w:tcPr>
          <w:p>
            <w:pPr>
              <w:widowControl/>
              <w:spacing w:line="460" w:lineRule="exact"/>
              <w:ind w:firstLine="0" w:firstLineChars="0"/>
              <w:jc w:val="center"/>
              <w:rPr>
                <w:rFonts w:hint="eastAsia" w:ascii="仿宋_GB2312" w:hAnsi="仿宋_GB2312" w:eastAsia="仿宋_GB2312" w:cs="仿宋_GB2312"/>
                <w:sz w:val="24"/>
                <w:szCs w:val="32"/>
                <w:lang w:val="en-US" w:eastAsia="zh-CN"/>
              </w:rPr>
            </w:pPr>
            <w:r>
              <w:rPr>
                <w:rFonts w:hint="eastAsia" w:ascii="仿宋_GB2312" w:hAnsi="仿宋_GB2312" w:eastAsia="仿宋_GB2312" w:cs="仿宋_GB2312"/>
                <w:sz w:val="24"/>
                <w:szCs w:val="32"/>
              </w:rPr>
              <w:t>52.49</w:t>
            </w:r>
          </w:p>
        </w:tc>
        <w:tc>
          <w:tcPr>
            <w:tcW w:w="1242" w:type="pct"/>
            <w:shd w:val="clear" w:color="auto" w:fill="FFFFFF"/>
            <w:noWrap/>
            <w:vAlign w:val="center"/>
          </w:tcPr>
          <w:p>
            <w:pPr>
              <w:widowControl/>
              <w:spacing w:line="460" w:lineRule="exact"/>
              <w:ind w:firstLine="0" w:firstLineChars="0"/>
              <w:jc w:val="center"/>
              <w:rPr>
                <w:rFonts w:hint="eastAsia" w:ascii="仿宋_GB2312" w:hAnsi="仿宋_GB2312" w:eastAsia="仿宋_GB2312" w:cs="仿宋_GB2312"/>
                <w:sz w:val="24"/>
                <w:szCs w:val="32"/>
                <w:lang w:val="en-US" w:eastAsia="zh-CN"/>
              </w:rPr>
            </w:pPr>
            <w:r>
              <w:rPr>
                <w:rFonts w:hint="eastAsia" w:ascii="仿宋_GB2312" w:hAnsi="仿宋_GB2312" w:eastAsia="仿宋_GB2312" w:cs="仿宋_GB2312"/>
                <w:sz w:val="24"/>
                <w:szCs w:val="32"/>
              </w:rPr>
              <w:t>54.77</w:t>
            </w:r>
          </w:p>
        </w:tc>
        <w:tc>
          <w:tcPr>
            <w:tcW w:w="1216" w:type="pct"/>
            <w:shd w:val="clear" w:color="auto" w:fill="FFFFFF"/>
            <w:noWrap/>
            <w:vAlign w:val="center"/>
          </w:tcPr>
          <w:p>
            <w:pPr>
              <w:widowControl/>
              <w:spacing w:line="460" w:lineRule="exact"/>
              <w:ind w:firstLine="0" w:firstLineChars="0"/>
              <w:jc w:val="center"/>
              <w:rPr>
                <w:rFonts w:hint="eastAsia" w:ascii="仿宋_GB2312" w:hAnsi="仿宋_GB2312" w:eastAsia="仿宋_GB2312" w:cs="仿宋_GB2312"/>
                <w:sz w:val="24"/>
                <w:szCs w:val="32"/>
                <w:lang w:val="en-US" w:eastAsia="zh-CN"/>
              </w:rPr>
            </w:pPr>
            <w:r>
              <w:rPr>
                <w:rFonts w:hint="eastAsia" w:ascii="仿宋_GB2312" w:hAnsi="仿宋_GB2312" w:eastAsia="仿宋_GB2312" w:cs="仿宋_GB2312"/>
                <w:sz w:val="24"/>
                <w:szCs w:val="32"/>
              </w:rPr>
              <w:t>56.94</w:t>
            </w:r>
          </w:p>
        </w:tc>
      </w:tr>
    </w:tbl>
    <w:p>
      <w:pPr>
        <w:keepNext w:val="0"/>
        <w:keepLines w:val="0"/>
        <w:pageBreakBefore w:val="0"/>
        <w:widowControl w:val="0"/>
        <w:kinsoku/>
        <w:wordWrap/>
        <w:overflowPunct/>
        <w:topLinePunct w:val="0"/>
        <w:autoSpaceDE/>
        <w:autoSpaceDN/>
        <w:bidi w:val="0"/>
        <w:adjustRightInd/>
        <w:snapToGrid/>
        <w:spacing w:line="560" w:lineRule="exact"/>
        <w:ind w:firstLine="641"/>
        <w:textAlignment w:val="auto"/>
        <w:rPr>
          <w:rFonts w:hint="eastAsia" w:ascii="仿宋_GB2312" w:hAnsi="仿宋_GB2312" w:eastAsia="仿宋_GB2312" w:cs="Times New Roman"/>
          <w:b w:val="0"/>
          <w:bCs w:val="0"/>
          <w:kern w:val="2"/>
          <w:sz w:val="32"/>
          <w:szCs w:val="24"/>
          <w:lang w:val="en-US" w:eastAsia="zh-CN" w:bidi="ar-SA"/>
        </w:rPr>
      </w:pPr>
      <w:r>
        <w:rPr>
          <w:rFonts w:hint="eastAsia" w:ascii="仿宋_GB2312" w:hAnsi="仿宋_GB2312" w:eastAsia="仿宋_GB2312" w:cs="Times New Roman"/>
          <w:b/>
          <w:bCs/>
          <w:kern w:val="2"/>
          <w:sz w:val="32"/>
          <w:szCs w:val="24"/>
          <w:lang w:val="en-US" w:eastAsia="zh-CN" w:bidi="ar-SA"/>
        </w:rPr>
        <w:t>1.技术优势</w:t>
      </w:r>
    </w:p>
    <w:p>
      <w:pPr>
        <w:keepNext w:val="0"/>
        <w:keepLines w:val="0"/>
        <w:pageBreakBefore w:val="0"/>
        <w:widowControl w:val="0"/>
        <w:kinsoku/>
        <w:wordWrap/>
        <w:overflowPunct/>
        <w:topLinePunct w:val="0"/>
        <w:autoSpaceDE/>
        <w:autoSpaceDN/>
        <w:bidi w:val="0"/>
        <w:adjustRightInd/>
        <w:snapToGrid/>
        <w:spacing w:line="560" w:lineRule="exact"/>
        <w:ind w:firstLine="641"/>
        <w:textAlignment w:val="auto"/>
        <w:rPr>
          <w:rFonts w:hint="eastAsia" w:ascii="仿宋_GB2312" w:hAnsi="仿宋_GB2312" w:eastAsia="仿宋_GB2312" w:cs="Times New Roman"/>
          <w:b w:val="0"/>
          <w:bCs w:val="0"/>
          <w:kern w:val="2"/>
          <w:sz w:val="32"/>
          <w:szCs w:val="24"/>
          <w:lang w:val="en-US" w:eastAsia="zh-CN" w:bidi="ar-SA"/>
        </w:rPr>
      </w:pPr>
      <w:r>
        <w:rPr>
          <w:rFonts w:hint="eastAsia" w:ascii="仿宋_GB2312" w:hAnsi="仿宋_GB2312" w:eastAsia="仿宋_GB2312" w:cs="Times New Roman"/>
          <w:b w:val="0"/>
          <w:bCs w:val="0"/>
          <w:kern w:val="2"/>
          <w:sz w:val="32"/>
          <w:szCs w:val="24"/>
          <w:lang w:val="en-US" w:eastAsia="zh-CN" w:bidi="ar-SA"/>
        </w:rPr>
        <w:t>九洲空管具备多项软硬件、权威测评资质，已成功研发无人机机载设备、无人机飞行管控、无人机探测反制、低空协同管理系统、飞行服务站等低空产品和系统，具备良好的技术储备。</w:t>
      </w:r>
    </w:p>
    <w:p>
      <w:pPr>
        <w:keepNext w:val="0"/>
        <w:keepLines w:val="0"/>
        <w:pageBreakBefore w:val="0"/>
        <w:widowControl w:val="0"/>
        <w:kinsoku/>
        <w:wordWrap/>
        <w:overflowPunct/>
        <w:topLinePunct w:val="0"/>
        <w:autoSpaceDE/>
        <w:autoSpaceDN/>
        <w:bidi w:val="0"/>
        <w:adjustRightInd/>
        <w:snapToGrid/>
        <w:spacing w:line="560" w:lineRule="exact"/>
        <w:ind w:firstLine="641"/>
        <w:textAlignment w:val="auto"/>
        <w:rPr>
          <w:rFonts w:hint="eastAsia" w:ascii="仿宋_GB2312" w:hAnsi="仿宋_GB2312" w:eastAsia="仿宋_GB2312" w:cs="Times New Roman"/>
          <w:b/>
          <w:bCs/>
          <w:kern w:val="2"/>
          <w:sz w:val="32"/>
          <w:szCs w:val="24"/>
          <w:lang w:val="en-US" w:eastAsia="zh-CN" w:bidi="ar-SA"/>
        </w:rPr>
      </w:pPr>
      <w:r>
        <w:rPr>
          <w:rFonts w:hint="eastAsia" w:ascii="仿宋_GB2312" w:hAnsi="仿宋_GB2312" w:eastAsia="仿宋_GB2312" w:cs="Times New Roman"/>
          <w:b/>
          <w:bCs/>
          <w:kern w:val="2"/>
          <w:sz w:val="32"/>
          <w:szCs w:val="24"/>
          <w:lang w:val="en-US" w:eastAsia="zh-CN" w:bidi="ar-SA"/>
        </w:rPr>
        <w:t>2.客户资源优势</w:t>
      </w:r>
    </w:p>
    <w:p>
      <w:pPr>
        <w:keepNext w:val="0"/>
        <w:keepLines w:val="0"/>
        <w:pageBreakBefore w:val="0"/>
        <w:widowControl w:val="0"/>
        <w:kinsoku/>
        <w:wordWrap/>
        <w:overflowPunct/>
        <w:topLinePunct w:val="0"/>
        <w:autoSpaceDE/>
        <w:autoSpaceDN/>
        <w:bidi w:val="0"/>
        <w:adjustRightInd/>
        <w:snapToGrid/>
        <w:spacing w:line="560" w:lineRule="exact"/>
        <w:ind w:firstLine="641"/>
        <w:textAlignment w:val="auto"/>
        <w:rPr>
          <w:rFonts w:hint="eastAsia" w:ascii="仿宋_GB2312" w:hAnsi="仿宋_GB2312" w:eastAsia="仿宋_GB2312" w:cs="Times New Roman"/>
          <w:b w:val="0"/>
          <w:bCs w:val="0"/>
          <w:kern w:val="2"/>
          <w:sz w:val="32"/>
          <w:szCs w:val="24"/>
          <w:lang w:val="en-US" w:eastAsia="zh-CN" w:bidi="ar-SA"/>
        </w:rPr>
      </w:pPr>
      <w:r>
        <w:rPr>
          <w:rFonts w:hint="eastAsia" w:ascii="仿宋_GB2312" w:hAnsi="仿宋_GB2312" w:eastAsia="仿宋_GB2312" w:cs="Times New Roman"/>
          <w:b w:val="0"/>
          <w:bCs w:val="0"/>
          <w:kern w:val="2"/>
          <w:sz w:val="32"/>
          <w:szCs w:val="24"/>
          <w:lang w:val="en-US" w:eastAsia="zh-CN" w:bidi="ar-SA"/>
        </w:rPr>
        <w:t>近年来，与九洲系相关产业公司有业务往来的无人机厂家客户、无人机基地、无人机军方客户、无人机航电合作客户等超过30家，目前已通过项目合作方式争取到部分飞行试验任务。</w:t>
      </w:r>
    </w:p>
    <w:p>
      <w:pPr>
        <w:keepNext w:val="0"/>
        <w:keepLines w:val="0"/>
        <w:pageBreakBefore w:val="0"/>
        <w:widowControl w:val="0"/>
        <w:kinsoku/>
        <w:wordWrap/>
        <w:overflowPunct/>
        <w:topLinePunct w:val="0"/>
        <w:autoSpaceDE/>
        <w:autoSpaceDN/>
        <w:bidi w:val="0"/>
        <w:adjustRightInd/>
        <w:snapToGrid/>
        <w:spacing w:line="560" w:lineRule="exact"/>
        <w:ind w:firstLine="641"/>
        <w:textAlignment w:val="auto"/>
        <w:rPr>
          <w:rFonts w:hint="eastAsia" w:ascii="仿宋_GB2312" w:hAnsi="仿宋_GB2312" w:eastAsia="仿宋_GB2312" w:cs="Times New Roman"/>
          <w:b/>
          <w:bCs/>
          <w:kern w:val="2"/>
          <w:sz w:val="32"/>
          <w:szCs w:val="24"/>
          <w:lang w:val="en-US" w:eastAsia="zh-CN" w:bidi="ar-SA"/>
        </w:rPr>
      </w:pPr>
      <w:r>
        <w:rPr>
          <w:rFonts w:hint="eastAsia" w:ascii="仿宋_GB2312" w:hAnsi="仿宋_GB2312" w:eastAsia="仿宋_GB2312" w:cs="Times New Roman"/>
          <w:b/>
          <w:bCs/>
          <w:kern w:val="2"/>
          <w:sz w:val="32"/>
          <w:szCs w:val="24"/>
          <w:lang w:val="en-US" w:eastAsia="zh-CN" w:bidi="ar-SA"/>
        </w:rPr>
        <w:t>3.团队优势</w:t>
      </w:r>
    </w:p>
    <w:p>
      <w:pPr>
        <w:keepNext w:val="0"/>
        <w:keepLines w:val="0"/>
        <w:pageBreakBefore w:val="0"/>
        <w:widowControl w:val="0"/>
        <w:kinsoku/>
        <w:wordWrap/>
        <w:overflowPunct/>
        <w:topLinePunct w:val="0"/>
        <w:autoSpaceDE/>
        <w:autoSpaceDN/>
        <w:bidi w:val="0"/>
        <w:adjustRightInd/>
        <w:snapToGrid/>
        <w:spacing w:line="560" w:lineRule="exact"/>
        <w:ind w:firstLine="641"/>
        <w:textAlignment w:val="auto"/>
        <w:rPr>
          <w:rFonts w:hint="eastAsia" w:ascii="仿宋_GB2312" w:hAnsi="仿宋_GB2312" w:eastAsia="仿宋_GB2312" w:cs="Times New Roman"/>
          <w:b w:val="0"/>
          <w:bCs w:val="0"/>
          <w:kern w:val="2"/>
          <w:sz w:val="32"/>
          <w:szCs w:val="24"/>
          <w:lang w:val="en-US" w:eastAsia="zh-CN" w:bidi="ar-SA"/>
        </w:rPr>
      </w:pPr>
      <w:r>
        <w:rPr>
          <w:rFonts w:hint="eastAsia" w:ascii="仿宋_GB2312" w:hAnsi="仿宋_GB2312" w:eastAsia="仿宋_GB2312" w:cs="Times New Roman"/>
          <w:b w:val="0"/>
          <w:bCs w:val="0"/>
          <w:kern w:val="2"/>
          <w:sz w:val="32"/>
          <w:szCs w:val="24"/>
          <w:lang w:val="en-US" w:eastAsia="zh-CN" w:bidi="ar-SA"/>
        </w:rPr>
        <w:t>九洲空管深耕空管领域多年，拥有行业经验丰富的管理团队及技术研发团队。</w:t>
      </w:r>
    </w:p>
    <w:p>
      <w:pPr>
        <w:keepNext w:val="0"/>
        <w:keepLines w:val="0"/>
        <w:pageBreakBefore w:val="0"/>
        <w:tabs>
          <w:tab w:val="left" w:pos="714"/>
        </w:tabs>
        <w:kinsoku/>
        <w:wordWrap/>
        <w:overflowPunct/>
        <w:topLinePunct w:val="0"/>
        <w:bidi w:val="0"/>
        <w:adjustRightInd w:val="0"/>
        <w:snapToGrid w:val="0"/>
        <w:spacing w:line="560" w:lineRule="exact"/>
        <w:ind w:right="0" w:firstLine="641" w:firstLineChars="200"/>
        <w:textAlignment w:val="auto"/>
        <w:outlineLvl w:val="0"/>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（二）绵阳科技城通航产业投资控股有限公司</w:t>
      </w:r>
    </w:p>
    <w:p>
      <w:pPr>
        <w:keepNext w:val="0"/>
        <w:keepLines w:val="0"/>
        <w:pageBreakBefore w:val="0"/>
        <w:widowControl w:val="0"/>
        <w:kinsoku/>
        <w:wordWrap/>
        <w:overflowPunct/>
        <w:topLinePunct w:val="0"/>
        <w:autoSpaceDE/>
        <w:autoSpaceDN/>
        <w:bidi w:val="0"/>
        <w:adjustRightInd/>
        <w:snapToGrid/>
        <w:spacing w:line="560" w:lineRule="exact"/>
        <w:ind w:firstLine="641"/>
        <w:textAlignment w:val="auto"/>
        <w:rPr>
          <w:rFonts w:hint="eastAsia" w:ascii="仿宋_GB2312" w:hAnsi="仿宋_GB2312" w:eastAsia="仿宋_GB2312" w:cs="Times New Roman"/>
          <w:b w:val="0"/>
          <w:bCs w:val="0"/>
          <w:kern w:val="2"/>
          <w:sz w:val="32"/>
          <w:szCs w:val="24"/>
          <w:lang w:val="en-US" w:eastAsia="zh-CN" w:bidi="ar-SA"/>
        </w:rPr>
      </w:pPr>
      <w:r>
        <w:rPr>
          <w:rFonts w:hint="eastAsia" w:ascii="仿宋_GB2312" w:hAnsi="仿宋_GB2312" w:eastAsia="仿宋_GB2312" w:cs="Times New Roman"/>
          <w:b w:val="0"/>
          <w:bCs w:val="0"/>
          <w:kern w:val="2"/>
          <w:sz w:val="32"/>
          <w:szCs w:val="24"/>
          <w:lang w:val="en-US" w:eastAsia="zh-CN" w:bidi="ar-SA"/>
        </w:rPr>
        <w:t>通航投控成立于2023年06月，注册资本30000万元，实缴12990万元，注册于四川省绵阳市北川羌族自治县永昌镇望崇街5号。由绵阳高新发展投资控股有限公司、北川禹创三元发展集团有限公司（下称三元集团）共同出资成立，法定代表人为赵长红，实控人为北川羌族自治县人民政府。股权结构图见下图：</w:t>
      </w:r>
    </w:p>
    <w:p>
      <w:pPr>
        <w:keepNext w:val="0"/>
        <w:keepLines w:val="0"/>
        <w:pageBreakBefore w:val="0"/>
        <w:tabs>
          <w:tab w:val="left" w:pos="714"/>
        </w:tabs>
        <w:kinsoku/>
        <w:wordWrap/>
        <w:overflowPunct/>
        <w:topLinePunct w:val="0"/>
        <w:bidi w:val="0"/>
        <w:adjustRightInd w:val="0"/>
        <w:snapToGrid w:val="0"/>
        <w:spacing w:line="240" w:lineRule="auto"/>
        <w:ind w:right="0" w:firstLine="420" w:firstLineChars="200"/>
        <w:jc w:val="center"/>
        <w:textAlignment w:val="auto"/>
        <w:outlineLvl w:val="0"/>
        <w:rPr>
          <w:rFonts w:hint="eastAsia"/>
          <w:lang w:val="en-US" w:eastAsia="zh-CN"/>
        </w:rPr>
      </w:pPr>
      <w:bookmarkStart w:id="0" w:name="_GoBack"/>
      <w:r>
        <w:rPr>
          <w:rFonts w:hint="eastAsia" w:ascii="楷体_GB2312" w:hAnsi="楷体_GB2312" w:eastAsia="楷体_GB2312" w:cstheme="majorBidi"/>
          <w:b/>
          <w:bCs/>
        </w:rPr>
        <w:drawing>
          <wp:inline distT="0" distB="0" distL="114300" distR="114300">
            <wp:extent cx="5247005" cy="3481705"/>
            <wp:effectExtent l="0" t="0" r="10795" b="4445"/>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r:embed="rId8"/>
                    <a:srcRect l="848" t="6682" r="1381" b="3645"/>
                    <a:stretch>
                      <a:fillRect/>
                    </a:stretch>
                  </pic:blipFill>
                  <pic:spPr>
                    <a:xfrm>
                      <a:off x="1368425" y="2131695"/>
                      <a:ext cx="5247005" cy="3481705"/>
                    </a:xfrm>
                    <a:prstGeom prst="rect">
                      <a:avLst/>
                    </a:prstGeom>
                    <a:noFill/>
                    <a:ln>
                      <a:noFill/>
                    </a:ln>
                  </pic:spPr>
                </pic:pic>
              </a:graphicData>
            </a:graphic>
          </wp:inline>
        </w:drawing>
      </w:r>
      <w:bookmarkEnd w:id="0"/>
    </w:p>
    <w:p>
      <w:pPr>
        <w:keepNext w:val="0"/>
        <w:keepLines w:val="0"/>
        <w:pageBreakBefore w:val="0"/>
        <w:widowControl w:val="0"/>
        <w:kinsoku/>
        <w:wordWrap/>
        <w:overflowPunct/>
        <w:topLinePunct w:val="0"/>
        <w:autoSpaceDE/>
        <w:autoSpaceDN/>
        <w:bidi w:val="0"/>
        <w:adjustRightInd/>
        <w:snapToGrid/>
        <w:spacing w:line="560" w:lineRule="exact"/>
        <w:ind w:firstLine="641"/>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Times New Roman"/>
          <w:b w:val="0"/>
          <w:bCs w:val="0"/>
          <w:kern w:val="2"/>
          <w:sz w:val="32"/>
          <w:szCs w:val="24"/>
          <w:lang w:val="en-US" w:eastAsia="zh-CN" w:bidi="ar-SA"/>
        </w:rPr>
        <w:t>主要财务数据见</w:t>
      </w:r>
      <w:r>
        <w:rPr>
          <w:rFonts w:hint="eastAsia" w:ascii="仿宋_GB2312" w:hAnsi="仿宋_GB2312" w:eastAsia="仿宋_GB2312" w:cs="仿宋_GB2312"/>
          <w:sz w:val="32"/>
          <w:szCs w:val="32"/>
          <w:highlight w:val="none"/>
          <w:lang w:eastAsia="zh-CN"/>
        </w:rPr>
        <w:t>下表：</w:t>
      </w:r>
    </w:p>
    <w:tbl>
      <w:tblPr>
        <w:tblStyle w:val="1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67"/>
        <w:gridCol w:w="1462"/>
        <w:gridCol w:w="46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exact"/>
          <w:jc w:val="center"/>
        </w:trPr>
        <w:tc>
          <w:tcPr>
            <w:tcW w:w="1638" w:type="pct"/>
            <w:noWrap/>
            <w:vAlign w:val="center"/>
          </w:tcPr>
          <w:p>
            <w:pPr>
              <w:widowControl/>
              <w:jc w:val="center"/>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项目</w:t>
            </w:r>
          </w:p>
        </w:tc>
        <w:tc>
          <w:tcPr>
            <w:tcW w:w="807" w:type="pct"/>
            <w:noWrap/>
            <w:vAlign w:val="center"/>
          </w:tcPr>
          <w:p>
            <w:pPr>
              <w:widowControl/>
              <w:jc w:val="center"/>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单位</w:t>
            </w:r>
          </w:p>
        </w:tc>
        <w:tc>
          <w:tcPr>
            <w:tcW w:w="2554" w:type="pct"/>
            <w:noWrap/>
            <w:vAlign w:val="center"/>
          </w:tcPr>
          <w:p>
            <w:pPr>
              <w:widowControl/>
              <w:jc w:val="center"/>
              <w:rPr>
                <w:rFonts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202</w:t>
            </w:r>
            <w:r>
              <w:rPr>
                <w:rFonts w:hint="eastAsia" w:ascii="仿宋_GB2312" w:hAnsi="仿宋_GB2312" w:eastAsia="仿宋_GB2312" w:cs="仿宋_GB2312"/>
                <w:b/>
                <w:bCs/>
                <w:kern w:val="0"/>
                <w:sz w:val="24"/>
                <w:szCs w:val="24"/>
                <w:lang w:val="en-US" w:eastAsia="zh-CN"/>
              </w:rPr>
              <w:t>3</w:t>
            </w:r>
            <w:r>
              <w:rPr>
                <w:rFonts w:hint="eastAsia" w:ascii="仿宋_GB2312" w:hAnsi="仿宋_GB2312" w:eastAsia="仿宋_GB2312" w:cs="仿宋_GB2312"/>
                <w:b/>
                <w:bCs/>
                <w:kern w:val="0"/>
                <w:sz w:val="24"/>
                <w:szCs w:val="24"/>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exact"/>
          <w:jc w:val="center"/>
        </w:trPr>
        <w:tc>
          <w:tcPr>
            <w:tcW w:w="1638" w:type="pct"/>
            <w:noWrap/>
            <w:vAlign w:val="center"/>
          </w:tcPr>
          <w:p>
            <w:pPr>
              <w:widowControl/>
              <w:jc w:val="lef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营业收入</w:t>
            </w:r>
          </w:p>
        </w:tc>
        <w:tc>
          <w:tcPr>
            <w:tcW w:w="807" w:type="pct"/>
            <w:noWrap/>
            <w:vAlign w:val="center"/>
          </w:tcPr>
          <w:p>
            <w:pPr>
              <w:widowControl/>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万元</w:t>
            </w:r>
          </w:p>
        </w:tc>
        <w:tc>
          <w:tcPr>
            <w:tcW w:w="2554" w:type="pct"/>
            <w:noWrap/>
            <w:vAlign w:val="center"/>
          </w:tcPr>
          <w:p>
            <w:pPr>
              <w:widowControl/>
              <w:jc w:val="center"/>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exact"/>
          <w:jc w:val="center"/>
        </w:trPr>
        <w:tc>
          <w:tcPr>
            <w:tcW w:w="1638" w:type="pct"/>
            <w:noWrap/>
            <w:vAlign w:val="center"/>
          </w:tcPr>
          <w:p>
            <w:pPr>
              <w:widowControl/>
              <w:jc w:val="lef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利润总额</w:t>
            </w:r>
          </w:p>
        </w:tc>
        <w:tc>
          <w:tcPr>
            <w:tcW w:w="807" w:type="pct"/>
            <w:noWrap/>
            <w:vAlign w:val="center"/>
          </w:tcPr>
          <w:p>
            <w:pPr>
              <w:widowControl/>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万元</w:t>
            </w:r>
          </w:p>
        </w:tc>
        <w:tc>
          <w:tcPr>
            <w:tcW w:w="2554" w:type="pct"/>
            <w:noWrap/>
            <w:vAlign w:val="center"/>
          </w:tcPr>
          <w:p>
            <w:pPr>
              <w:widowControl/>
              <w:jc w:val="center"/>
              <w:rPr>
                <w:rFonts w:hint="default"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-122.52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exact"/>
          <w:jc w:val="center"/>
        </w:trPr>
        <w:tc>
          <w:tcPr>
            <w:tcW w:w="1638" w:type="pct"/>
            <w:noWrap/>
            <w:vAlign w:val="center"/>
          </w:tcPr>
          <w:p>
            <w:pPr>
              <w:widowControl/>
              <w:jc w:val="center"/>
              <w:rPr>
                <w:rFonts w:ascii="仿宋_GB2312" w:hAnsi="仿宋_GB2312" w:eastAsia="仿宋_GB2312" w:cs="仿宋_GB2312"/>
                <w:kern w:val="0"/>
                <w:sz w:val="24"/>
                <w:szCs w:val="24"/>
              </w:rPr>
            </w:pPr>
            <w:r>
              <w:rPr>
                <w:rFonts w:hint="eastAsia" w:ascii="仿宋_GB2312" w:hAnsi="仿宋_GB2312" w:eastAsia="仿宋_GB2312" w:cs="仿宋_GB2312"/>
                <w:b/>
                <w:bCs/>
                <w:kern w:val="0"/>
                <w:sz w:val="24"/>
                <w:szCs w:val="24"/>
              </w:rPr>
              <w:t>项目</w:t>
            </w:r>
          </w:p>
        </w:tc>
        <w:tc>
          <w:tcPr>
            <w:tcW w:w="807" w:type="pct"/>
            <w:noWrap/>
            <w:vAlign w:val="center"/>
          </w:tcPr>
          <w:p>
            <w:pPr>
              <w:widowControl/>
              <w:jc w:val="center"/>
              <w:rPr>
                <w:rFonts w:ascii="仿宋_GB2312" w:hAnsi="仿宋_GB2312" w:eastAsia="仿宋_GB2312" w:cs="仿宋_GB2312"/>
                <w:kern w:val="0"/>
                <w:sz w:val="24"/>
                <w:szCs w:val="24"/>
              </w:rPr>
            </w:pPr>
            <w:r>
              <w:rPr>
                <w:rFonts w:hint="eastAsia" w:ascii="仿宋_GB2312" w:hAnsi="仿宋_GB2312" w:eastAsia="仿宋_GB2312" w:cs="仿宋_GB2312"/>
                <w:b/>
                <w:bCs/>
                <w:kern w:val="0"/>
                <w:sz w:val="24"/>
                <w:szCs w:val="24"/>
              </w:rPr>
              <w:t>单位</w:t>
            </w:r>
          </w:p>
        </w:tc>
        <w:tc>
          <w:tcPr>
            <w:tcW w:w="2554" w:type="pct"/>
            <w:noWrap/>
            <w:vAlign w:val="center"/>
          </w:tcPr>
          <w:p>
            <w:pPr>
              <w:widowControl/>
              <w:jc w:val="center"/>
              <w:rPr>
                <w:rFonts w:ascii="仿宋_GB2312" w:hAnsi="仿宋_GB2312" w:eastAsia="仿宋_GB2312" w:cs="仿宋_GB2312"/>
                <w:kern w:val="0"/>
                <w:sz w:val="24"/>
                <w:szCs w:val="24"/>
              </w:rPr>
            </w:pPr>
            <w:r>
              <w:rPr>
                <w:rFonts w:hint="eastAsia" w:ascii="仿宋_GB2312" w:hAnsi="仿宋_GB2312" w:eastAsia="仿宋_GB2312" w:cs="仿宋_GB2312"/>
                <w:b/>
                <w:bCs/>
                <w:kern w:val="0"/>
                <w:sz w:val="24"/>
                <w:szCs w:val="24"/>
              </w:rPr>
              <w:t>202</w:t>
            </w:r>
            <w:r>
              <w:rPr>
                <w:rFonts w:hint="eastAsia" w:ascii="仿宋_GB2312" w:hAnsi="仿宋_GB2312" w:eastAsia="仿宋_GB2312" w:cs="仿宋_GB2312"/>
                <w:b/>
                <w:bCs/>
                <w:kern w:val="0"/>
                <w:sz w:val="24"/>
                <w:szCs w:val="24"/>
                <w:lang w:val="en-US" w:eastAsia="zh-CN"/>
              </w:rPr>
              <w:t>3</w:t>
            </w:r>
            <w:r>
              <w:rPr>
                <w:rFonts w:hint="eastAsia" w:ascii="仿宋_GB2312" w:hAnsi="仿宋_GB2312" w:eastAsia="仿宋_GB2312" w:cs="仿宋_GB2312"/>
                <w:b/>
                <w:bCs/>
                <w:kern w:val="0"/>
                <w:sz w:val="24"/>
                <w:szCs w:val="24"/>
              </w:rPr>
              <w:t>年12月31日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exact"/>
          <w:jc w:val="center"/>
        </w:trPr>
        <w:tc>
          <w:tcPr>
            <w:tcW w:w="1638" w:type="pct"/>
            <w:noWrap/>
            <w:vAlign w:val="center"/>
          </w:tcPr>
          <w:p>
            <w:pPr>
              <w:widowControl/>
              <w:jc w:val="lef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总资产</w:t>
            </w:r>
          </w:p>
        </w:tc>
        <w:tc>
          <w:tcPr>
            <w:tcW w:w="807" w:type="pct"/>
            <w:noWrap/>
            <w:vAlign w:val="center"/>
          </w:tcPr>
          <w:p>
            <w:pPr>
              <w:widowControl/>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万元</w:t>
            </w:r>
          </w:p>
        </w:tc>
        <w:tc>
          <w:tcPr>
            <w:tcW w:w="2554" w:type="pct"/>
            <w:noWrap/>
            <w:vAlign w:val="center"/>
          </w:tcPr>
          <w:p>
            <w:pPr>
              <w:widowControl/>
              <w:jc w:val="center"/>
              <w:rPr>
                <w:rFonts w:hint="default"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14841.74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exact"/>
          <w:jc w:val="center"/>
        </w:trPr>
        <w:tc>
          <w:tcPr>
            <w:tcW w:w="1638" w:type="pct"/>
            <w:noWrap/>
            <w:vAlign w:val="center"/>
          </w:tcPr>
          <w:p>
            <w:pPr>
              <w:widowControl/>
              <w:jc w:val="lef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净资产</w:t>
            </w:r>
          </w:p>
        </w:tc>
        <w:tc>
          <w:tcPr>
            <w:tcW w:w="807" w:type="pct"/>
            <w:noWrap/>
            <w:vAlign w:val="center"/>
          </w:tcPr>
          <w:p>
            <w:pPr>
              <w:widowControl/>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万元</w:t>
            </w:r>
          </w:p>
        </w:tc>
        <w:tc>
          <w:tcPr>
            <w:tcW w:w="2554" w:type="pct"/>
            <w:noWrap/>
            <w:vAlign w:val="center"/>
          </w:tcPr>
          <w:p>
            <w:pPr>
              <w:widowControl/>
              <w:jc w:val="center"/>
              <w:rPr>
                <w:rFonts w:hint="default"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11380.51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exact"/>
          <w:jc w:val="center"/>
        </w:trPr>
        <w:tc>
          <w:tcPr>
            <w:tcW w:w="1638" w:type="pct"/>
            <w:noWrap/>
            <w:vAlign w:val="center"/>
          </w:tcPr>
          <w:p>
            <w:pPr>
              <w:widowControl/>
              <w:jc w:val="left"/>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资产负债率</w:t>
            </w:r>
          </w:p>
        </w:tc>
        <w:tc>
          <w:tcPr>
            <w:tcW w:w="807" w:type="pct"/>
            <w:noWrap/>
            <w:vAlign w:val="center"/>
          </w:tcPr>
          <w:p>
            <w:pPr>
              <w:widowControl/>
              <w:jc w:val="center"/>
              <w:rPr>
                <w:rFonts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w:t>
            </w:r>
          </w:p>
        </w:tc>
        <w:tc>
          <w:tcPr>
            <w:tcW w:w="2554" w:type="pct"/>
            <w:noWrap/>
            <w:vAlign w:val="center"/>
          </w:tcPr>
          <w:p>
            <w:pPr>
              <w:widowControl/>
              <w:jc w:val="center"/>
              <w:rPr>
                <w:rFonts w:hint="default"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23.32</w:t>
            </w:r>
          </w:p>
        </w:tc>
      </w:tr>
    </w:tbl>
    <w:p>
      <w:pPr>
        <w:keepNext w:val="0"/>
        <w:keepLines w:val="0"/>
        <w:pageBreakBefore w:val="0"/>
        <w:widowControl w:val="0"/>
        <w:kinsoku/>
        <w:wordWrap/>
        <w:overflowPunct/>
        <w:topLinePunct w:val="0"/>
        <w:autoSpaceDE/>
        <w:autoSpaceDN/>
        <w:bidi w:val="0"/>
        <w:adjustRightInd/>
        <w:snapToGrid/>
        <w:spacing w:line="560" w:lineRule="exact"/>
        <w:ind w:firstLine="641"/>
        <w:textAlignment w:val="auto"/>
        <w:rPr>
          <w:rFonts w:hint="eastAsia" w:ascii="仿宋_GB2312" w:hAnsi="仿宋_GB2312" w:eastAsia="仿宋_GB2312" w:cs="Times New Roman"/>
          <w:b/>
          <w:bCs/>
          <w:kern w:val="2"/>
          <w:sz w:val="32"/>
          <w:szCs w:val="24"/>
          <w:lang w:val="en-US" w:eastAsia="zh-CN" w:bidi="ar-SA"/>
        </w:rPr>
      </w:pPr>
      <w:r>
        <w:rPr>
          <w:rFonts w:hint="eastAsia" w:ascii="仿宋_GB2312" w:hAnsi="仿宋_GB2312" w:eastAsia="仿宋_GB2312" w:cs="Times New Roman"/>
          <w:b/>
          <w:bCs/>
          <w:kern w:val="2"/>
          <w:sz w:val="32"/>
          <w:szCs w:val="24"/>
          <w:lang w:val="en-US" w:eastAsia="zh-CN" w:bidi="ar-SA"/>
        </w:rPr>
        <w:t>1.基础条件优势</w:t>
      </w:r>
    </w:p>
    <w:p>
      <w:pPr>
        <w:keepNext w:val="0"/>
        <w:keepLines w:val="0"/>
        <w:pageBreakBefore w:val="0"/>
        <w:widowControl w:val="0"/>
        <w:kinsoku/>
        <w:wordWrap/>
        <w:overflowPunct/>
        <w:topLinePunct w:val="0"/>
        <w:autoSpaceDE/>
        <w:autoSpaceDN/>
        <w:bidi w:val="0"/>
        <w:adjustRightInd/>
        <w:snapToGrid/>
        <w:spacing w:line="560" w:lineRule="exact"/>
        <w:ind w:firstLine="641"/>
        <w:textAlignment w:val="auto"/>
        <w:rPr>
          <w:rFonts w:hint="eastAsia" w:ascii="仿宋_GB2312" w:hAnsi="仿宋_GB2312" w:eastAsia="仿宋_GB2312" w:cs="Times New Roman"/>
          <w:b w:val="0"/>
          <w:bCs w:val="0"/>
          <w:kern w:val="2"/>
          <w:sz w:val="32"/>
          <w:szCs w:val="24"/>
          <w:lang w:val="en-US" w:eastAsia="zh-CN" w:bidi="ar-SA"/>
        </w:rPr>
      </w:pPr>
      <w:r>
        <w:rPr>
          <w:rFonts w:hint="eastAsia" w:ascii="仿宋_GB2312" w:hAnsi="仿宋_GB2312" w:eastAsia="仿宋_GB2312" w:cs="Times New Roman"/>
          <w:b w:val="0"/>
          <w:bCs w:val="0"/>
          <w:kern w:val="2"/>
          <w:sz w:val="32"/>
          <w:szCs w:val="24"/>
          <w:lang w:val="en-US" w:eastAsia="zh-CN" w:bidi="ar-SA"/>
        </w:rPr>
        <w:t>通航投控控股股东三元集团拥有绵阳北川永昌机场及空域调配管理权限，已将机场、川协-4号空域、川协-7号空域和川通-7号北川－金堂低空目视通道等授权委托通航投控全资子公司绵阳科航通用机场管理有限责任公司（下称机场公司）运营管理。目前，机场公司管理机场跑道1000米，管理空域800平方公里，高度1500米，年可飞行时间超过300天，同时配备了一批低空运行服务保障设施设备，具备低空运行和服务的条件。鉴于北川区域地形地貌多样性，能满足大中小型无人机的各种应用场景验证试飞需要。</w:t>
      </w:r>
    </w:p>
    <w:p>
      <w:pPr>
        <w:keepNext w:val="0"/>
        <w:keepLines w:val="0"/>
        <w:pageBreakBefore w:val="0"/>
        <w:widowControl w:val="0"/>
        <w:kinsoku/>
        <w:wordWrap/>
        <w:overflowPunct/>
        <w:topLinePunct w:val="0"/>
        <w:autoSpaceDE/>
        <w:autoSpaceDN/>
        <w:bidi w:val="0"/>
        <w:adjustRightInd/>
        <w:snapToGrid/>
        <w:spacing w:line="560" w:lineRule="exact"/>
        <w:ind w:firstLine="641"/>
        <w:textAlignment w:val="auto"/>
        <w:rPr>
          <w:rFonts w:hint="eastAsia" w:ascii="仿宋_GB2312" w:hAnsi="仿宋_GB2312" w:eastAsia="仿宋_GB2312" w:cs="Times New Roman"/>
          <w:b/>
          <w:bCs/>
          <w:kern w:val="2"/>
          <w:sz w:val="32"/>
          <w:szCs w:val="24"/>
          <w:lang w:val="en-US" w:eastAsia="zh-CN" w:bidi="ar-SA"/>
        </w:rPr>
      </w:pPr>
      <w:r>
        <w:rPr>
          <w:rFonts w:hint="eastAsia" w:ascii="仿宋_GB2312" w:hAnsi="仿宋_GB2312" w:eastAsia="仿宋_GB2312" w:cs="Times New Roman"/>
          <w:b/>
          <w:bCs/>
          <w:kern w:val="2"/>
          <w:sz w:val="32"/>
          <w:szCs w:val="24"/>
          <w:lang w:val="en-US" w:eastAsia="zh-CN" w:bidi="ar-SA"/>
        </w:rPr>
        <w:t>2.技术及服务优势</w:t>
      </w:r>
    </w:p>
    <w:p>
      <w:pPr>
        <w:keepNext w:val="0"/>
        <w:keepLines w:val="0"/>
        <w:pageBreakBefore w:val="0"/>
        <w:widowControl w:val="0"/>
        <w:kinsoku/>
        <w:wordWrap/>
        <w:overflowPunct/>
        <w:topLinePunct w:val="0"/>
        <w:autoSpaceDE/>
        <w:autoSpaceDN/>
        <w:bidi w:val="0"/>
        <w:adjustRightInd/>
        <w:snapToGrid/>
        <w:spacing w:line="560" w:lineRule="exact"/>
        <w:ind w:firstLine="641"/>
        <w:textAlignment w:val="auto"/>
        <w:rPr>
          <w:rFonts w:hint="eastAsia" w:ascii="仿宋_GB2312" w:hAnsi="仿宋_GB2312" w:eastAsia="仿宋_GB2312" w:cs="Times New Roman"/>
          <w:b w:val="0"/>
          <w:bCs w:val="0"/>
          <w:kern w:val="2"/>
          <w:sz w:val="32"/>
          <w:szCs w:val="24"/>
          <w:lang w:val="en-US" w:eastAsia="zh-CN" w:bidi="ar-SA"/>
        </w:rPr>
      </w:pPr>
      <w:r>
        <w:rPr>
          <w:rFonts w:hint="eastAsia" w:ascii="仿宋_GB2312" w:hAnsi="仿宋_GB2312" w:eastAsia="仿宋_GB2312" w:cs="Times New Roman"/>
          <w:b w:val="0"/>
          <w:bCs w:val="0"/>
          <w:kern w:val="2"/>
          <w:sz w:val="32"/>
          <w:szCs w:val="24"/>
          <w:lang w:val="en-US" w:eastAsia="zh-CN" w:bidi="ar-SA"/>
        </w:rPr>
        <w:t>通航投控现已累计为九院、624所、58所、长虹、九洲等30余家单位提供飞行保障5万余架次，飞行时长1万余小时。目前每个工作日约飞行50架次，周末日飞行20架次，掌握了一定的保障运行技术，具备一定的实际运行经验。通航投控现有团队熟悉空域管理、现场调度等业务，能有效支撑合资公司成立初期的职能管理、市场开发、测试试验等业务的开展。</w:t>
      </w:r>
    </w:p>
    <w:p>
      <w:pPr>
        <w:keepNext w:val="0"/>
        <w:keepLines w:val="0"/>
        <w:pageBreakBefore w:val="0"/>
        <w:widowControl w:val="0"/>
        <w:kinsoku/>
        <w:wordWrap/>
        <w:overflowPunct/>
        <w:topLinePunct w:val="0"/>
        <w:autoSpaceDE/>
        <w:autoSpaceDN/>
        <w:bidi w:val="0"/>
        <w:adjustRightInd/>
        <w:snapToGrid/>
        <w:spacing w:line="560" w:lineRule="exact"/>
        <w:ind w:firstLine="641"/>
        <w:textAlignment w:val="auto"/>
        <w:rPr>
          <w:rFonts w:hint="eastAsia" w:ascii="仿宋_GB2312" w:hAnsi="仿宋_GB2312" w:eastAsia="仿宋_GB2312" w:cs="Times New Roman"/>
          <w:b/>
          <w:bCs/>
          <w:kern w:val="2"/>
          <w:sz w:val="32"/>
          <w:szCs w:val="24"/>
          <w:lang w:val="en-US" w:eastAsia="zh-CN" w:bidi="ar-SA"/>
        </w:rPr>
      </w:pPr>
      <w:r>
        <w:rPr>
          <w:rFonts w:hint="eastAsia" w:ascii="仿宋_GB2312" w:hAnsi="仿宋_GB2312" w:eastAsia="仿宋_GB2312" w:cs="Times New Roman"/>
          <w:b/>
          <w:bCs/>
          <w:kern w:val="2"/>
          <w:sz w:val="32"/>
          <w:szCs w:val="24"/>
          <w:lang w:val="en-US" w:eastAsia="zh-CN" w:bidi="ar-SA"/>
        </w:rPr>
        <w:t>3.市场优势</w:t>
      </w:r>
    </w:p>
    <w:p>
      <w:pPr>
        <w:keepNext w:val="0"/>
        <w:keepLines w:val="0"/>
        <w:pageBreakBefore w:val="0"/>
        <w:widowControl w:val="0"/>
        <w:kinsoku/>
        <w:wordWrap/>
        <w:overflowPunct/>
        <w:topLinePunct w:val="0"/>
        <w:autoSpaceDE/>
        <w:autoSpaceDN/>
        <w:bidi w:val="0"/>
        <w:adjustRightInd/>
        <w:snapToGrid/>
        <w:spacing w:line="560" w:lineRule="exact"/>
        <w:ind w:firstLine="641"/>
        <w:textAlignment w:val="auto"/>
        <w:rPr>
          <w:rFonts w:hint="eastAsia" w:ascii="仿宋_GB2312" w:hAnsi="仿宋_GB2312" w:eastAsia="仿宋_GB2312" w:cs="Times New Roman"/>
          <w:b w:val="0"/>
          <w:bCs w:val="0"/>
          <w:kern w:val="2"/>
          <w:sz w:val="32"/>
          <w:szCs w:val="24"/>
          <w:lang w:val="en-US" w:eastAsia="zh-CN" w:bidi="ar-SA"/>
        </w:rPr>
      </w:pPr>
      <w:r>
        <w:rPr>
          <w:rFonts w:hint="eastAsia" w:ascii="仿宋_GB2312" w:hAnsi="仿宋_GB2312" w:eastAsia="仿宋_GB2312" w:cs="Times New Roman"/>
          <w:b w:val="0"/>
          <w:bCs w:val="0"/>
          <w:kern w:val="2"/>
          <w:sz w:val="32"/>
          <w:szCs w:val="24"/>
          <w:lang w:val="en-US" w:eastAsia="zh-CN" w:bidi="ar-SA"/>
        </w:rPr>
        <w:t>通航投控目前拥有一定的存量客户。通航产业园已引入一些低空装备制造和技术服务企业，拥有部分低空试验测试需求，如纵横无人机、泛美公司等采用按年/季度等定期合同方式进行低空飞行测试培训活动。此外通航投控还拓展了旅游观光、研学等其他业务。</w:t>
      </w:r>
    </w:p>
    <w:p>
      <w:pPr>
        <w:keepNext w:val="0"/>
        <w:keepLines w:val="0"/>
        <w:pageBreakBefore w:val="0"/>
        <w:widowControl w:val="0"/>
        <w:kinsoku/>
        <w:wordWrap/>
        <w:overflowPunct/>
        <w:topLinePunct w:val="0"/>
        <w:autoSpaceDE/>
        <w:autoSpaceDN/>
        <w:bidi w:val="0"/>
        <w:adjustRightInd/>
        <w:snapToGrid/>
        <w:spacing w:line="560" w:lineRule="exact"/>
        <w:ind w:firstLine="641"/>
        <w:textAlignment w:val="auto"/>
        <w:rPr>
          <w:rFonts w:hint="eastAsia" w:ascii="仿宋_GB2312" w:hAnsi="仿宋_GB2312" w:eastAsia="仿宋_GB2312" w:cs="Times New Roman"/>
          <w:b w:val="0"/>
          <w:bCs w:val="0"/>
          <w:kern w:val="2"/>
          <w:sz w:val="32"/>
          <w:szCs w:val="24"/>
          <w:lang w:val="en-US" w:eastAsia="zh-CN" w:bidi="ar-SA"/>
        </w:rPr>
      </w:pPr>
      <w:r>
        <w:rPr>
          <w:rFonts w:hint="eastAsia" w:ascii="仿宋_GB2312" w:hAnsi="仿宋_GB2312" w:eastAsia="仿宋_GB2312" w:cs="Times New Roman"/>
          <w:b w:val="0"/>
          <w:bCs w:val="0"/>
          <w:kern w:val="2"/>
          <w:sz w:val="32"/>
          <w:szCs w:val="24"/>
          <w:lang w:val="en-US" w:eastAsia="zh-CN" w:bidi="ar-SA"/>
        </w:rPr>
        <w:t>通航产业园采用优惠政策吸引入园企业，入园企业依托北川永昌机场开展试验测试业务，这种协同发展模式将带来较稳定的测试试验市场需求。</w:t>
      </w:r>
    </w:p>
    <w:p>
      <w:pPr>
        <w:keepNext w:val="0"/>
        <w:keepLines w:val="0"/>
        <w:pageBreakBefore w:val="0"/>
        <w:tabs>
          <w:tab w:val="left" w:pos="714"/>
        </w:tabs>
        <w:kinsoku/>
        <w:wordWrap/>
        <w:overflowPunct/>
        <w:topLinePunct w:val="0"/>
        <w:bidi w:val="0"/>
        <w:adjustRightInd w:val="0"/>
        <w:snapToGrid w:val="0"/>
        <w:spacing w:line="560" w:lineRule="exact"/>
        <w:ind w:right="0" w:firstLine="641" w:firstLineChars="200"/>
        <w:textAlignment w:val="auto"/>
        <w:outlineLvl w:val="0"/>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（三）历史合作情况</w:t>
      </w:r>
    </w:p>
    <w:p>
      <w:pPr>
        <w:keepNext w:val="0"/>
        <w:keepLines w:val="0"/>
        <w:pageBreakBefore w:val="0"/>
        <w:widowControl w:val="0"/>
        <w:kinsoku/>
        <w:wordWrap/>
        <w:overflowPunct/>
        <w:topLinePunct w:val="0"/>
        <w:autoSpaceDE/>
        <w:autoSpaceDN/>
        <w:bidi w:val="0"/>
        <w:adjustRightInd/>
        <w:snapToGrid/>
        <w:spacing w:line="560" w:lineRule="exact"/>
        <w:ind w:firstLine="641"/>
        <w:textAlignment w:val="auto"/>
        <w:rPr>
          <w:rFonts w:hint="eastAsia" w:ascii="仿宋_GB2312" w:hAnsi="仿宋_GB2312" w:eastAsia="仿宋_GB2312" w:cs="Times New Roman"/>
          <w:b w:val="0"/>
          <w:bCs w:val="0"/>
          <w:kern w:val="2"/>
          <w:sz w:val="32"/>
          <w:szCs w:val="24"/>
          <w:lang w:val="en-US" w:eastAsia="zh-CN" w:bidi="ar-SA"/>
        </w:rPr>
      </w:pPr>
      <w:r>
        <w:rPr>
          <w:rFonts w:hint="eastAsia" w:ascii="仿宋_GB2312" w:hAnsi="仿宋_GB2312" w:eastAsia="仿宋_GB2312" w:cs="Times New Roman"/>
          <w:b w:val="0"/>
          <w:bCs w:val="0"/>
          <w:kern w:val="2"/>
          <w:sz w:val="32"/>
          <w:szCs w:val="24"/>
          <w:lang w:val="en-US" w:eastAsia="zh-CN" w:bidi="ar-SA"/>
        </w:rPr>
        <w:t>合作双方相关单位从2021起即开展了业务合作。九洲空管在开展某无人机探测反制试验、无人机飞行管控试验任务时，均使用川协-4号空域开展了相关试验测试工作。2024年3月，九洲空管与机场公司联合成立“九洲北川低空试验测试中心”，已在北川永昌机场挂牌。</w:t>
      </w:r>
    </w:p>
    <w:p>
      <w:pPr>
        <w:keepNext w:val="0"/>
        <w:keepLines w:val="0"/>
        <w:pageBreakBefore w:val="0"/>
        <w:tabs>
          <w:tab w:val="left" w:pos="714"/>
        </w:tabs>
        <w:kinsoku/>
        <w:wordWrap/>
        <w:overflowPunct/>
        <w:topLinePunct w:val="0"/>
        <w:bidi w:val="0"/>
        <w:adjustRightInd w:val="0"/>
        <w:snapToGrid w:val="0"/>
        <w:spacing w:line="560" w:lineRule="exact"/>
        <w:ind w:right="0" w:firstLine="640" w:firstLineChars="200"/>
        <w:textAlignment w:val="auto"/>
        <w:outlineLvl w:val="0"/>
        <w:rPr>
          <w:rFonts w:hint="eastAsia" w:ascii="黑体" w:hAnsi="黑体" w:eastAsia="黑体" w:cs="黑体"/>
          <w:b w:val="0"/>
          <w:bCs w:val="0"/>
          <w:kern w:val="2"/>
          <w:sz w:val="32"/>
          <w:szCs w:val="32"/>
          <w:lang w:val="en-US" w:eastAsia="zh-CN" w:bidi="ar-SA"/>
        </w:rPr>
      </w:pPr>
      <w:r>
        <w:rPr>
          <w:rFonts w:hint="eastAsia" w:ascii="黑体" w:hAnsi="Times New Roman" w:eastAsia="黑体" w:cs="Times New Roman"/>
          <w:sz w:val="32"/>
          <w:szCs w:val="32"/>
          <w:lang w:val="en-US" w:eastAsia="zh-CN"/>
        </w:rPr>
        <w:t>三、</w:t>
      </w:r>
      <w:r>
        <w:rPr>
          <w:rFonts w:hint="eastAsia" w:ascii="黑体" w:hAnsi="黑体" w:eastAsia="黑体" w:cs="黑体"/>
          <w:b w:val="0"/>
          <w:bCs w:val="0"/>
          <w:kern w:val="2"/>
          <w:sz w:val="32"/>
          <w:szCs w:val="32"/>
          <w:lang w:val="en-US" w:eastAsia="zh-CN" w:bidi="ar-SA"/>
        </w:rPr>
        <w:t>必要性和可行性</w:t>
      </w:r>
    </w:p>
    <w:p>
      <w:pPr>
        <w:keepNext w:val="0"/>
        <w:keepLines w:val="0"/>
        <w:pageBreakBefore w:val="0"/>
        <w:tabs>
          <w:tab w:val="left" w:pos="714"/>
        </w:tabs>
        <w:kinsoku/>
        <w:wordWrap/>
        <w:overflowPunct/>
        <w:topLinePunct w:val="0"/>
        <w:bidi w:val="0"/>
        <w:adjustRightInd w:val="0"/>
        <w:snapToGrid w:val="0"/>
        <w:spacing w:line="560" w:lineRule="exact"/>
        <w:ind w:right="0" w:firstLine="641" w:firstLineChars="200"/>
        <w:textAlignment w:val="auto"/>
        <w:outlineLvl w:val="0"/>
        <w:rPr>
          <w:rFonts w:hint="default"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（一）</w:t>
      </w:r>
      <w:r>
        <w:rPr>
          <w:rFonts w:hint="default" w:ascii="楷体_GB2312" w:hAnsi="楷体_GB2312" w:eastAsia="楷体_GB2312" w:cs="楷体_GB2312"/>
          <w:b/>
          <w:bCs/>
          <w:sz w:val="32"/>
          <w:szCs w:val="32"/>
          <w:lang w:val="en-US" w:eastAsia="zh-CN"/>
        </w:rPr>
        <w:t>必要性</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仿宋_GB2312" w:hAnsi="仿宋_GB2312" w:eastAsia="仿宋_GB2312" w:cs="Times New Roman"/>
          <w:b w:val="0"/>
          <w:bCs w:val="0"/>
          <w:kern w:val="2"/>
          <w:sz w:val="32"/>
          <w:szCs w:val="24"/>
          <w:lang w:val="en-US" w:eastAsia="zh-CN" w:bidi="ar-SA"/>
        </w:rPr>
      </w:pPr>
      <w:r>
        <w:rPr>
          <w:rFonts w:hint="default" w:ascii="仿宋_GB2312" w:hAnsi="仿宋_GB2312" w:eastAsia="仿宋_GB2312" w:cs="Times New Roman"/>
          <w:b w:val="0"/>
          <w:bCs w:val="0"/>
          <w:kern w:val="2"/>
          <w:sz w:val="32"/>
          <w:szCs w:val="24"/>
          <w:lang w:val="en-US" w:eastAsia="zh-CN" w:bidi="ar-SA"/>
        </w:rPr>
        <w:t>一是抢抓国家大力倡导低空产业发展机遇，补充九洲低空产业链测试业务，形成低空产业设备研制、低空测试、增值服务等业务的协同发展格局。二是储备技术资产和市场资源，助推九洲低空领域持续技术创新，通过对各类军民客户测试业务的开展，建设完善的低空产品测试试验条件和能力，掌握测试数据和行业资源，为九洲低空领域产品持续创新提供良好的验证端需求输入，为产品创新升级、市场开拓提供支撑，带动九洲无人机载荷、反无、空管等产业发展。三是提升九洲行业影响力。本项目实施将有助于进一步整合行业资源，形成战略共同体，提高九洲综合竞争力。在补链的基础上，可开拓和适应新的低空应用场景，构建新的应用方案，构筑对外展示平台和沟通协同平台，进一步提升九洲品牌形象，增强行业影响力。</w:t>
      </w:r>
    </w:p>
    <w:p>
      <w:pPr>
        <w:keepNext w:val="0"/>
        <w:keepLines w:val="0"/>
        <w:pageBreakBefore w:val="0"/>
        <w:tabs>
          <w:tab w:val="left" w:pos="714"/>
        </w:tabs>
        <w:kinsoku/>
        <w:wordWrap/>
        <w:overflowPunct/>
        <w:topLinePunct w:val="0"/>
        <w:bidi w:val="0"/>
        <w:adjustRightInd w:val="0"/>
        <w:snapToGrid w:val="0"/>
        <w:spacing w:line="560" w:lineRule="exact"/>
        <w:ind w:right="0" w:firstLine="641" w:firstLineChars="200"/>
        <w:textAlignment w:val="auto"/>
        <w:outlineLvl w:val="0"/>
        <w:rPr>
          <w:rFonts w:hint="default"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（二）</w:t>
      </w:r>
      <w:r>
        <w:rPr>
          <w:rFonts w:hint="default" w:ascii="楷体_GB2312" w:hAnsi="楷体_GB2312" w:eastAsia="楷体_GB2312" w:cs="楷体_GB2312"/>
          <w:b/>
          <w:bCs/>
          <w:sz w:val="32"/>
          <w:szCs w:val="32"/>
          <w:lang w:val="en-US" w:eastAsia="zh-CN"/>
        </w:rPr>
        <w:t>可行性</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黑体" w:hAnsi="黑体" w:eastAsia="黑体" w:cs="黑体"/>
          <w:b w:val="0"/>
          <w:bCs w:val="0"/>
          <w:kern w:val="2"/>
          <w:sz w:val="32"/>
          <w:szCs w:val="32"/>
          <w:lang w:val="en-US" w:eastAsia="zh-CN" w:bidi="ar-SA"/>
        </w:rPr>
      </w:pPr>
      <w:r>
        <w:rPr>
          <w:rFonts w:hint="default" w:ascii="仿宋_GB2312" w:hAnsi="仿宋_GB2312" w:eastAsia="仿宋_GB2312" w:cs="Times New Roman"/>
          <w:b w:val="0"/>
          <w:bCs w:val="0"/>
          <w:kern w:val="2"/>
          <w:sz w:val="32"/>
          <w:szCs w:val="24"/>
          <w:lang w:val="en-US" w:eastAsia="zh-CN" w:bidi="ar-SA"/>
        </w:rPr>
        <w:t>基于股东双方的基础设施设备、技术、团队、客户资源等优势，设立合资公司具有可行性；合资公司设立在政策和法律上不存在实质障碍；股东出资能力有保障；股东双方已就该事项沟通确认并拟定了出资协议、公司章程等待签署文件。</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9"/>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四、新设公司方案</w:t>
      </w:r>
    </w:p>
    <w:p>
      <w:pPr>
        <w:pageBreakBefore w:val="0"/>
        <w:widowControl w:val="0"/>
        <w:kinsoku/>
        <w:wordWrap/>
        <w:overflowPunct/>
        <w:topLinePunct w:val="0"/>
        <w:autoSpaceDE/>
        <w:autoSpaceDN/>
        <w:bidi w:val="0"/>
        <w:adjustRightInd/>
        <w:snapToGrid/>
        <w:spacing w:line="560" w:lineRule="exact"/>
        <w:ind w:left="0" w:firstLine="641" w:firstLineChars="200"/>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公司名称：</w:t>
      </w:r>
      <w:r>
        <w:rPr>
          <w:rFonts w:hint="eastAsia" w:ascii="仿宋_GB2312" w:hAnsi="仿宋_GB2312" w:eastAsia="仿宋_GB2312" w:cs="仿宋_GB2312"/>
          <w:color w:val="auto"/>
          <w:kern w:val="2"/>
          <w:sz w:val="32"/>
          <w:szCs w:val="32"/>
          <w:lang w:val="en-US" w:eastAsia="zh-CN" w:bidi="ar-SA"/>
        </w:rPr>
        <w:t>四川九洲永昌测试有限责任公司（暂定）。</w:t>
      </w:r>
    </w:p>
    <w:p>
      <w:pPr>
        <w:pageBreakBefore w:val="0"/>
        <w:widowControl w:val="0"/>
        <w:kinsoku/>
        <w:wordWrap/>
        <w:overflowPunct/>
        <w:topLinePunct w:val="0"/>
        <w:autoSpaceDE/>
        <w:autoSpaceDN/>
        <w:bidi w:val="0"/>
        <w:adjustRightInd/>
        <w:snapToGrid/>
        <w:spacing w:line="560" w:lineRule="exact"/>
        <w:ind w:left="0" w:firstLine="641" w:firstLineChars="200"/>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注册地址：</w:t>
      </w:r>
      <w:r>
        <w:rPr>
          <w:rFonts w:hint="eastAsia" w:ascii="仿宋_GB2312" w:hAnsi="仿宋_GB2312" w:eastAsia="仿宋_GB2312" w:cs="仿宋_GB2312"/>
          <w:color w:val="auto"/>
          <w:kern w:val="2"/>
          <w:sz w:val="32"/>
          <w:szCs w:val="32"/>
          <w:lang w:val="en-US" w:eastAsia="zh-CN" w:bidi="ar-SA"/>
        </w:rPr>
        <w:t>四川省绵阳市北川羌族自治县通航产业园。</w:t>
      </w:r>
    </w:p>
    <w:p>
      <w:pPr>
        <w:pageBreakBefore w:val="0"/>
        <w:widowControl w:val="0"/>
        <w:kinsoku/>
        <w:wordWrap/>
        <w:overflowPunct/>
        <w:topLinePunct w:val="0"/>
        <w:autoSpaceDE/>
        <w:autoSpaceDN/>
        <w:bidi w:val="0"/>
        <w:adjustRightInd/>
        <w:snapToGrid/>
        <w:spacing w:line="560" w:lineRule="exact"/>
        <w:ind w:left="0" w:firstLine="641" w:firstLineChars="200"/>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注册资本：</w:t>
      </w:r>
      <w:r>
        <w:rPr>
          <w:rFonts w:hint="eastAsia" w:ascii="仿宋_GB2312" w:hAnsi="仿宋_GB2312" w:eastAsia="仿宋_GB2312" w:cs="仿宋_GB2312"/>
          <w:color w:val="auto"/>
          <w:kern w:val="2"/>
          <w:sz w:val="32"/>
          <w:szCs w:val="32"/>
          <w:lang w:val="en-US" w:eastAsia="zh-CN" w:bidi="ar-SA"/>
        </w:rPr>
        <w:t>3500万元。用于固定资产投资和保障业务开展的部分运营资金。</w:t>
      </w:r>
    </w:p>
    <w:p>
      <w:pPr>
        <w:pageBreakBefore w:val="0"/>
        <w:widowControl w:val="0"/>
        <w:kinsoku/>
        <w:wordWrap/>
        <w:overflowPunct/>
        <w:topLinePunct w:val="0"/>
        <w:autoSpaceDE/>
        <w:autoSpaceDN/>
        <w:bidi w:val="0"/>
        <w:adjustRightInd/>
        <w:snapToGrid/>
        <w:spacing w:line="560" w:lineRule="exact"/>
        <w:ind w:left="0" w:firstLine="641" w:firstLineChars="200"/>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法定代表人：</w:t>
      </w:r>
      <w:r>
        <w:rPr>
          <w:rFonts w:hint="eastAsia" w:ascii="仿宋_GB2312" w:hAnsi="仿宋_GB2312" w:eastAsia="仿宋_GB2312" w:cs="仿宋_GB2312"/>
          <w:color w:val="auto"/>
          <w:kern w:val="2"/>
          <w:sz w:val="32"/>
          <w:szCs w:val="32"/>
          <w:lang w:val="en-US" w:eastAsia="zh-CN" w:bidi="ar-SA"/>
        </w:rPr>
        <w:t>由执行董事担任。</w:t>
      </w:r>
    </w:p>
    <w:p>
      <w:pPr>
        <w:pageBreakBefore w:val="0"/>
        <w:widowControl w:val="0"/>
        <w:kinsoku/>
        <w:wordWrap/>
        <w:overflowPunct/>
        <w:topLinePunct w:val="0"/>
        <w:autoSpaceDE/>
        <w:autoSpaceDN/>
        <w:bidi w:val="0"/>
        <w:adjustRightInd/>
        <w:snapToGrid/>
        <w:spacing w:line="560" w:lineRule="exact"/>
        <w:ind w:left="0" w:firstLine="641" w:firstLineChars="200"/>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经营范围：</w:t>
      </w:r>
      <w:r>
        <w:rPr>
          <w:rFonts w:hint="eastAsia" w:ascii="仿宋_GB2312" w:hAnsi="仿宋_GB2312" w:eastAsia="仿宋_GB2312" w:cs="仿宋_GB2312"/>
          <w:color w:val="auto"/>
          <w:kern w:val="2"/>
          <w:sz w:val="32"/>
          <w:szCs w:val="32"/>
          <w:lang w:val="en-US" w:eastAsia="zh-CN" w:bidi="ar-SA"/>
        </w:rPr>
        <w:t>一般项目：航空运营支持服务；航空商务服务；航空国际货物运输代理；气象观测服务；智能无人飞行器销售；智能无人飞行器制造；计量技术服务；技术服务、技术开发、技术咨询、技术交流、技术转让、技术推广；认证咨询；软件开发；信息技术咨询服务；信息系统集成服务；业务培训（不含教育培训、职业技能培训等需取得许可的培训）。（除依法须经批准的项目外，凭营业执照依法自主开展经营活动）许可项目：测绘服务；飞行训练；检验检测服务；认证服务；通用航空服务。（依法须经批准的项目，经相关部门批准后方可开展经营活动，具体经营项目以相关部门批准文件或许可证件为准）。</w:t>
      </w:r>
    </w:p>
    <w:p>
      <w:pPr>
        <w:pageBreakBefore w:val="0"/>
        <w:widowControl w:val="0"/>
        <w:kinsoku/>
        <w:wordWrap/>
        <w:overflowPunct/>
        <w:topLinePunct w:val="0"/>
        <w:autoSpaceDE/>
        <w:autoSpaceDN/>
        <w:bidi w:val="0"/>
        <w:adjustRightInd/>
        <w:snapToGrid/>
        <w:spacing w:line="560" w:lineRule="exact"/>
        <w:ind w:left="0" w:firstLine="641" w:firstLineChars="200"/>
        <w:textAlignment w:val="auto"/>
        <w:rPr>
          <w:rFonts w:hint="eastAsia" w:ascii="仿宋_GB2312" w:hAnsi="仿宋_GB2312" w:eastAsia="仿宋_GB2312" w:cs="仿宋_GB2312"/>
          <w:b/>
          <w:bCs/>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股权结构：</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Layout w:type="fixed"/>
        <w:tblCellMar>
          <w:top w:w="0" w:type="dxa"/>
          <w:left w:w="108" w:type="dxa"/>
          <w:bottom w:w="0" w:type="dxa"/>
          <w:right w:w="108" w:type="dxa"/>
        </w:tblCellMar>
      </w:tblPr>
      <w:tblGrid>
        <w:gridCol w:w="5425"/>
        <w:gridCol w:w="1955"/>
        <w:gridCol w:w="16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542" w:hRule="atLeast"/>
          <w:jc w:val="center"/>
        </w:trPr>
        <w:tc>
          <w:tcPr>
            <w:tcW w:w="5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spacing w:line="420" w:lineRule="exact"/>
              <w:ind w:firstLine="0" w:firstLineChars="0"/>
              <w:jc w:val="center"/>
              <w:rPr>
                <w:rFonts w:hint="eastAsia" w:ascii="仿宋_GB2312" w:hAnsi="仿宋_GB2312" w:eastAsia="仿宋_GB2312" w:cs="仿宋_GB2312"/>
                <w:b/>
                <w:sz w:val="24"/>
                <w:szCs w:val="32"/>
              </w:rPr>
            </w:pPr>
            <w:r>
              <w:rPr>
                <w:rFonts w:hint="eastAsia" w:ascii="仿宋_GB2312" w:hAnsi="仿宋_GB2312" w:eastAsia="仿宋_GB2312" w:cs="仿宋_GB2312"/>
                <w:b/>
                <w:sz w:val="24"/>
                <w:szCs w:val="32"/>
              </w:rPr>
              <w:t>股东名称</w:t>
            </w:r>
          </w:p>
        </w:tc>
        <w:tc>
          <w:tcPr>
            <w:tcW w:w="195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spacing w:line="420" w:lineRule="exact"/>
              <w:ind w:firstLine="0" w:firstLineChars="0"/>
              <w:jc w:val="center"/>
              <w:rPr>
                <w:rFonts w:hint="eastAsia" w:ascii="仿宋_GB2312" w:hAnsi="仿宋_GB2312" w:eastAsia="仿宋_GB2312" w:cs="仿宋_GB2312"/>
                <w:b/>
                <w:sz w:val="24"/>
                <w:szCs w:val="32"/>
              </w:rPr>
            </w:pPr>
            <w:r>
              <w:rPr>
                <w:rFonts w:hint="eastAsia" w:ascii="仿宋_GB2312" w:hAnsi="仿宋_GB2312" w:eastAsia="仿宋_GB2312" w:cs="仿宋_GB2312"/>
                <w:b/>
                <w:sz w:val="24"/>
                <w:szCs w:val="32"/>
              </w:rPr>
              <w:t>出资额（万元）</w:t>
            </w:r>
          </w:p>
        </w:tc>
        <w:tc>
          <w:tcPr>
            <w:tcW w:w="164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spacing w:line="420" w:lineRule="exact"/>
              <w:ind w:firstLine="0" w:firstLineChars="0"/>
              <w:jc w:val="center"/>
              <w:rPr>
                <w:rFonts w:hint="eastAsia" w:ascii="仿宋_GB2312" w:hAnsi="仿宋_GB2312" w:eastAsia="仿宋_GB2312" w:cs="仿宋_GB2312"/>
                <w:b/>
                <w:sz w:val="24"/>
                <w:szCs w:val="32"/>
              </w:rPr>
            </w:pPr>
            <w:r>
              <w:rPr>
                <w:rFonts w:hint="eastAsia" w:ascii="仿宋_GB2312" w:hAnsi="仿宋_GB2312" w:eastAsia="仿宋_GB2312" w:cs="仿宋_GB2312"/>
                <w:b/>
                <w:sz w:val="24"/>
                <w:szCs w:val="32"/>
              </w:rPr>
              <w:t>出资比例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382" w:hRule="atLeast"/>
          <w:jc w:val="center"/>
        </w:trPr>
        <w:tc>
          <w:tcPr>
            <w:tcW w:w="5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spacing w:line="420" w:lineRule="exact"/>
              <w:ind w:firstLine="0" w:firstLineChars="0"/>
              <w:jc w:val="center"/>
              <w:rPr>
                <w:rFonts w:hint="eastAsia" w:ascii="仿宋_GB2312" w:hAnsi="仿宋_GB2312" w:eastAsia="仿宋_GB2312" w:cs="仿宋_GB2312"/>
                <w:bCs/>
                <w:sz w:val="24"/>
                <w:szCs w:val="32"/>
              </w:rPr>
            </w:pPr>
            <w:r>
              <w:rPr>
                <w:rFonts w:hint="eastAsia" w:ascii="仿宋_GB2312" w:hAnsi="仿宋_GB2312" w:eastAsia="仿宋_GB2312" w:cs="仿宋_GB2312"/>
                <w:bCs/>
                <w:sz w:val="24"/>
                <w:szCs w:val="32"/>
              </w:rPr>
              <w:t>四川九洲空管科技有限责任公司</w:t>
            </w:r>
          </w:p>
        </w:tc>
        <w:tc>
          <w:tcPr>
            <w:tcW w:w="195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spacing w:line="420" w:lineRule="exact"/>
              <w:ind w:firstLine="0" w:firstLineChars="0"/>
              <w:jc w:val="center"/>
              <w:rPr>
                <w:rFonts w:hint="eastAsia" w:ascii="仿宋_GB2312" w:hAnsi="仿宋_GB2312" w:eastAsia="仿宋_GB2312" w:cs="仿宋_GB2312"/>
                <w:bCs/>
                <w:sz w:val="24"/>
                <w:szCs w:val="32"/>
              </w:rPr>
            </w:pPr>
            <w:r>
              <w:rPr>
                <w:rFonts w:hint="eastAsia" w:ascii="仿宋_GB2312" w:hAnsi="仿宋_GB2312" w:eastAsia="仿宋_GB2312" w:cs="仿宋_GB2312"/>
                <w:bCs/>
                <w:sz w:val="24"/>
                <w:szCs w:val="32"/>
              </w:rPr>
              <w:t>2100</w:t>
            </w:r>
          </w:p>
        </w:tc>
        <w:tc>
          <w:tcPr>
            <w:tcW w:w="164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spacing w:line="420" w:lineRule="exact"/>
              <w:ind w:firstLine="0" w:firstLineChars="0"/>
              <w:jc w:val="center"/>
              <w:rPr>
                <w:rFonts w:hint="eastAsia" w:ascii="仿宋_GB2312" w:hAnsi="仿宋_GB2312" w:eastAsia="仿宋_GB2312" w:cs="仿宋_GB2312"/>
                <w:bCs/>
                <w:sz w:val="24"/>
                <w:szCs w:val="32"/>
              </w:rPr>
            </w:pPr>
            <w:r>
              <w:rPr>
                <w:rFonts w:hint="eastAsia" w:ascii="仿宋_GB2312" w:hAnsi="仿宋_GB2312" w:eastAsia="仿宋_GB2312" w:cs="仿宋_GB2312"/>
                <w:bCs/>
                <w:sz w:val="24"/>
                <w:szCs w:val="32"/>
              </w:rPr>
              <w:t>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397" w:hRule="atLeast"/>
          <w:jc w:val="center"/>
        </w:trPr>
        <w:tc>
          <w:tcPr>
            <w:tcW w:w="5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spacing w:line="420" w:lineRule="exact"/>
              <w:ind w:firstLine="0" w:firstLineChars="0"/>
              <w:jc w:val="center"/>
              <w:rPr>
                <w:rFonts w:hint="eastAsia" w:ascii="仿宋_GB2312" w:hAnsi="仿宋_GB2312" w:eastAsia="仿宋_GB2312" w:cs="仿宋_GB2312"/>
                <w:bCs/>
                <w:sz w:val="24"/>
                <w:szCs w:val="32"/>
              </w:rPr>
            </w:pPr>
            <w:r>
              <w:rPr>
                <w:rFonts w:hint="eastAsia" w:ascii="仿宋_GB2312" w:hAnsi="仿宋_GB2312" w:eastAsia="仿宋_GB2312" w:cs="仿宋_GB2312"/>
                <w:bCs/>
                <w:sz w:val="24"/>
                <w:szCs w:val="32"/>
              </w:rPr>
              <w:t>绵阳科技城通航产业投资控股有限公司</w:t>
            </w:r>
          </w:p>
        </w:tc>
        <w:tc>
          <w:tcPr>
            <w:tcW w:w="195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spacing w:line="420" w:lineRule="exact"/>
              <w:ind w:firstLine="0" w:firstLineChars="0"/>
              <w:jc w:val="center"/>
              <w:rPr>
                <w:rFonts w:hint="eastAsia" w:ascii="仿宋_GB2312" w:hAnsi="仿宋_GB2312" w:eastAsia="仿宋_GB2312" w:cs="仿宋_GB2312"/>
                <w:bCs/>
                <w:sz w:val="24"/>
                <w:szCs w:val="32"/>
              </w:rPr>
            </w:pPr>
            <w:r>
              <w:rPr>
                <w:rFonts w:hint="eastAsia" w:ascii="仿宋_GB2312" w:hAnsi="仿宋_GB2312" w:eastAsia="仿宋_GB2312" w:cs="仿宋_GB2312"/>
                <w:bCs/>
                <w:sz w:val="24"/>
                <w:szCs w:val="32"/>
              </w:rPr>
              <w:t>1400</w:t>
            </w:r>
          </w:p>
        </w:tc>
        <w:tc>
          <w:tcPr>
            <w:tcW w:w="164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spacing w:line="420" w:lineRule="exact"/>
              <w:ind w:firstLine="0" w:firstLineChars="0"/>
              <w:jc w:val="center"/>
              <w:rPr>
                <w:rFonts w:hint="eastAsia" w:ascii="仿宋_GB2312" w:hAnsi="仿宋_GB2312" w:eastAsia="仿宋_GB2312" w:cs="仿宋_GB2312"/>
                <w:bCs/>
                <w:sz w:val="24"/>
                <w:szCs w:val="32"/>
              </w:rPr>
            </w:pPr>
            <w:r>
              <w:rPr>
                <w:rFonts w:hint="eastAsia" w:ascii="仿宋_GB2312" w:hAnsi="仿宋_GB2312" w:eastAsia="仿宋_GB2312" w:cs="仿宋_GB2312"/>
                <w:bCs/>
                <w:sz w:val="24"/>
                <w:szCs w:val="32"/>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327" w:hRule="atLeast"/>
          <w:jc w:val="center"/>
        </w:trPr>
        <w:tc>
          <w:tcPr>
            <w:tcW w:w="542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spacing w:line="420" w:lineRule="exact"/>
              <w:ind w:firstLine="0" w:firstLineChars="0"/>
              <w:jc w:val="center"/>
              <w:rPr>
                <w:rFonts w:hint="eastAsia" w:ascii="仿宋_GB2312" w:hAnsi="仿宋_GB2312" w:eastAsia="仿宋_GB2312" w:cs="仿宋_GB2312"/>
                <w:bCs/>
                <w:sz w:val="24"/>
                <w:szCs w:val="32"/>
              </w:rPr>
            </w:pPr>
            <w:r>
              <w:rPr>
                <w:rFonts w:hint="eastAsia" w:ascii="仿宋_GB2312" w:hAnsi="仿宋_GB2312" w:eastAsia="仿宋_GB2312" w:cs="仿宋_GB2312"/>
                <w:bCs/>
                <w:sz w:val="24"/>
                <w:szCs w:val="32"/>
              </w:rPr>
              <w:t>合  计</w:t>
            </w:r>
          </w:p>
        </w:tc>
        <w:tc>
          <w:tcPr>
            <w:tcW w:w="195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spacing w:line="420" w:lineRule="exact"/>
              <w:ind w:firstLine="0" w:firstLineChars="0"/>
              <w:jc w:val="center"/>
              <w:rPr>
                <w:rFonts w:hint="eastAsia" w:ascii="仿宋_GB2312" w:hAnsi="仿宋_GB2312" w:eastAsia="仿宋_GB2312" w:cs="仿宋_GB2312"/>
                <w:bCs/>
                <w:sz w:val="24"/>
                <w:szCs w:val="32"/>
              </w:rPr>
            </w:pPr>
            <w:r>
              <w:rPr>
                <w:rFonts w:hint="eastAsia" w:ascii="仿宋_GB2312" w:hAnsi="仿宋_GB2312" w:eastAsia="仿宋_GB2312" w:cs="仿宋_GB2312"/>
                <w:bCs/>
                <w:sz w:val="24"/>
                <w:szCs w:val="32"/>
              </w:rPr>
              <w:t>3500</w:t>
            </w:r>
          </w:p>
        </w:tc>
        <w:tc>
          <w:tcPr>
            <w:tcW w:w="164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spacing w:line="420" w:lineRule="exact"/>
              <w:ind w:firstLine="0" w:firstLineChars="0"/>
              <w:jc w:val="center"/>
              <w:rPr>
                <w:rFonts w:hint="eastAsia" w:ascii="仿宋_GB2312" w:hAnsi="仿宋_GB2312" w:eastAsia="仿宋_GB2312" w:cs="仿宋_GB2312"/>
                <w:bCs/>
                <w:sz w:val="24"/>
                <w:szCs w:val="32"/>
              </w:rPr>
            </w:pPr>
            <w:r>
              <w:rPr>
                <w:rFonts w:hint="eastAsia" w:ascii="仿宋_GB2312" w:hAnsi="仿宋_GB2312" w:eastAsia="仿宋_GB2312" w:cs="仿宋_GB2312"/>
                <w:bCs/>
                <w:sz w:val="24"/>
                <w:szCs w:val="32"/>
              </w:rPr>
              <w:t>100%</w:t>
            </w:r>
          </w:p>
        </w:tc>
      </w:tr>
    </w:tbl>
    <w:p>
      <w:pPr>
        <w:pageBreakBefore w:val="0"/>
        <w:widowControl w:val="0"/>
        <w:kinsoku/>
        <w:wordWrap/>
        <w:overflowPunct/>
        <w:topLinePunct w:val="0"/>
        <w:autoSpaceDE/>
        <w:autoSpaceDN/>
        <w:bidi w:val="0"/>
        <w:adjustRightInd/>
        <w:snapToGrid/>
        <w:spacing w:line="560" w:lineRule="exact"/>
        <w:ind w:left="0" w:firstLine="641" w:firstLineChars="200"/>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公司治理：</w:t>
      </w:r>
      <w:r>
        <w:rPr>
          <w:rFonts w:hint="eastAsia" w:ascii="仿宋_GB2312" w:hAnsi="仿宋_GB2312" w:eastAsia="仿宋_GB2312" w:cs="仿宋_GB2312"/>
          <w:color w:val="auto"/>
          <w:kern w:val="2"/>
          <w:sz w:val="32"/>
          <w:szCs w:val="32"/>
          <w:lang w:val="en-US" w:eastAsia="zh-CN" w:bidi="ar-SA"/>
        </w:rPr>
        <w:t>公司不设董事会、监事会，设执行董事1名，由九洲空管推荐，股东会选举通过。设监事1名，由通航投控推荐，股东会选举通过。公司设高级管理人员3名，其中总经理1名（由执行董事兼任）、副总经理2名由九洲空管、通航投控各推荐1名。总经理及副总经理的聘任和解聘按公司章程执行。</w:t>
      </w:r>
    </w:p>
    <w:p>
      <w:pPr>
        <w:pageBreakBefore w:val="0"/>
        <w:widowControl w:val="0"/>
        <w:kinsoku/>
        <w:wordWrap/>
        <w:overflowPunct/>
        <w:topLinePunct w:val="0"/>
        <w:autoSpaceDE/>
        <w:autoSpaceDN/>
        <w:bidi w:val="0"/>
        <w:adjustRightInd/>
        <w:snapToGrid/>
        <w:spacing w:line="560" w:lineRule="exact"/>
        <w:ind w:left="0" w:firstLine="641" w:firstLineChars="200"/>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议事规则：</w:t>
      </w:r>
      <w:r>
        <w:rPr>
          <w:rFonts w:hint="eastAsia" w:ascii="仿宋_GB2312" w:hAnsi="仿宋_GB2312" w:eastAsia="仿宋_GB2312" w:cs="仿宋_GB2312"/>
          <w:color w:val="auto"/>
          <w:kern w:val="2"/>
          <w:sz w:val="32"/>
          <w:szCs w:val="32"/>
          <w:lang w:val="en-US" w:eastAsia="zh-CN" w:bidi="ar-SA"/>
        </w:rPr>
        <w:t>股东按实缴出资比例行使表决权。股东会会议作出修改公司章程、增加或者减少注册资本的决议，以及公司合并、分立、解散或者变更公司形式的决议，必须经代表三分之二以上表决权的股东通过；股东会作出上述事项以外的决议，须经代表过半数表决权的股东通过。</w:t>
      </w:r>
    </w:p>
    <w:p>
      <w:pPr>
        <w:pageBreakBefore w:val="0"/>
        <w:widowControl w:val="0"/>
        <w:kinsoku/>
        <w:wordWrap/>
        <w:overflowPunct/>
        <w:topLinePunct w:val="0"/>
        <w:autoSpaceDE/>
        <w:autoSpaceDN/>
        <w:bidi w:val="0"/>
        <w:adjustRightInd/>
        <w:snapToGrid/>
        <w:spacing w:line="560" w:lineRule="exact"/>
        <w:ind w:left="0" w:firstLine="641" w:firstLineChars="200"/>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出资方式及资金来源：</w:t>
      </w:r>
      <w:r>
        <w:rPr>
          <w:rFonts w:hint="eastAsia" w:ascii="仿宋_GB2312" w:hAnsi="仿宋_GB2312" w:eastAsia="仿宋_GB2312" w:cs="仿宋_GB2312"/>
          <w:color w:val="auto"/>
          <w:kern w:val="2"/>
          <w:sz w:val="32"/>
          <w:szCs w:val="32"/>
          <w:lang w:val="en-US" w:eastAsia="zh-CN" w:bidi="ar-SA"/>
        </w:rPr>
        <w:t>自有资金出资。各出资人在合资公司银行开户之日起30日内同步将出资额一次性实缴到位。</w:t>
      </w:r>
    </w:p>
    <w:p>
      <w:pPr>
        <w:keepNext w:val="0"/>
        <w:keepLines w:val="0"/>
        <w:pageBreakBefore w:val="0"/>
        <w:widowControl w:val="0"/>
        <w:kinsoku/>
        <w:wordWrap/>
        <w:topLinePunct w:val="0"/>
        <w:autoSpaceDE/>
        <w:autoSpaceDN/>
        <w:bidi w:val="0"/>
        <w:adjustRightInd/>
        <w:snapToGrid/>
        <w:spacing w:line="570" w:lineRule="exact"/>
        <w:ind w:firstLine="640" w:firstLineChars="200"/>
        <w:textAlignment w:val="auto"/>
        <w:rPr>
          <w:rFonts w:hint="default" w:ascii="黑体" w:hAnsi="黑体" w:eastAsia="黑体" w:cs="黑体"/>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五、公司定位及经营模式</w:t>
      </w:r>
    </w:p>
    <w:p>
      <w:pPr>
        <w:keepNext w:val="0"/>
        <w:keepLines w:val="0"/>
        <w:pageBreakBefore w:val="0"/>
        <w:tabs>
          <w:tab w:val="left" w:pos="714"/>
        </w:tabs>
        <w:kinsoku/>
        <w:wordWrap/>
        <w:overflowPunct/>
        <w:topLinePunct w:val="0"/>
        <w:bidi w:val="0"/>
        <w:adjustRightInd w:val="0"/>
        <w:snapToGrid w:val="0"/>
        <w:spacing w:line="560" w:lineRule="exact"/>
        <w:ind w:right="0" w:firstLine="641" w:firstLineChars="200"/>
        <w:textAlignment w:val="auto"/>
        <w:outlineLvl w:val="0"/>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（一）公司定位</w:t>
      </w:r>
    </w:p>
    <w:p>
      <w:pPr>
        <w:keepNext w:val="0"/>
        <w:keepLines w:val="0"/>
        <w:pageBreakBefore w:val="0"/>
        <w:tabs>
          <w:tab w:val="left" w:pos="714"/>
        </w:tabs>
        <w:kinsoku/>
        <w:wordWrap/>
        <w:overflowPunct/>
        <w:topLinePunct w:val="0"/>
        <w:bidi w:val="0"/>
        <w:adjustRightInd w:val="0"/>
        <w:snapToGrid w:val="0"/>
        <w:spacing w:line="560" w:lineRule="exact"/>
        <w:ind w:right="0" w:firstLine="640" w:firstLineChars="200"/>
        <w:textAlignment w:val="auto"/>
        <w:outlineLvl w:val="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公司定位为低空飞行测试检验的专业服务提供商，为九洲低空产业发展补链的同时，促进当地低空产业的培育及发展。公司可充分利用九洲行业影响力和低空领域的无人机管控技术能力，及北川空域及地理优势，面向飞行器整机厂家、航电载荷厂家、低空飞行运营商等客户，以现有无人飞行试验军用市场为基础业务，紧跟低空经济技术和产业发展，开展低空飞行器飞行测试服务、机载电子设备飞行测试服务、地面空管通信导航监视及管理系统飞行测试服务、无人机探测与反制设备的飞行测试服务、地理测绘服务、培训服务，以及围绕上述业务的相关增值服务，打造西南片区具有军民融合特点的专业试验测试检验基地。</w:t>
      </w:r>
    </w:p>
    <w:p>
      <w:pPr>
        <w:keepNext w:val="0"/>
        <w:keepLines w:val="0"/>
        <w:pageBreakBefore w:val="0"/>
        <w:tabs>
          <w:tab w:val="left" w:pos="714"/>
        </w:tabs>
        <w:kinsoku/>
        <w:wordWrap/>
        <w:overflowPunct/>
        <w:topLinePunct w:val="0"/>
        <w:bidi w:val="0"/>
        <w:adjustRightInd w:val="0"/>
        <w:snapToGrid w:val="0"/>
        <w:spacing w:line="560" w:lineRule="exact"/>
        <w:ind w:right="0" w:firstLine="641" w:firstLineChars="200"/>
        <w:textAlignment w:val="auto"/>
        <w:outlineLvl w:val="0"/>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（二）经营模式</w:t>
      </w:r>
    </w:p>
    <w:p>
      <w:pPr>
        <w:keepNext w:val="0"/>
        <w:keepLines w:val="0"/>
        <w:pageBreakBefore w:val="0"/>
        <w:tabs>
          <w:tab w:val="left" w:pos="714"/>
        </w:tabs>
        <w:kinsoku/>
        <w:wordWrap/>
        <w:overflowPunct/>
        <w:topLinePunct w:val="0"/>
        <w:bidi w:val="0"/>
        <w:adjustRightInd w:val="0"/>
        <w:snapToGrid w:val="0"/>
        <w:spacing w:line="560" w:lineRule="exact"/>
        <w:ind w:right="0" w:firstLine="640" w:firstLineChars="200"/>
        <w:textAlignment w:val="auto"/>
        <w:outlineLvl w:val="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公司主要为飞行器整机厂商、航电载荷厂家、低空飞行运营商等客户提供测试认证及其他增值服务，合资公司业务模式前两年为业务分包为主，后续逐步向独立承揽过度。</w:t>
      </w:r>
    </w:p>
    <w:p>
      <w:pPr>
        <w:keepNext w:val="0"/>
        <w:keepLines w:val="0"/>
        <w:pageBreakBefore w:val="0"/>
        <w:tabs>
          <w:tab w:val="left" w:pos="714"/>
        </w:tabs>
        <w:kinsoku/>
        <w:wordWrap/>
        <w:overflowPunct/>
        <w:topLinePunct w:val="0"/>
        <w:bidi w:val="0"/>
        <w:adjustRightInd w:val="0"/>
        <w:snapToGrid w:val="0"/>
        <w:spacing w:line="560" w:lineRule="exact"/>
        <w:ind w:right="0" w:firstLine="640" w:firstLineChars="200"/>
        <w:textAlignment w:val="auto"/>
        <w:outlineLvl w:val="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业务分包：测试认证资质获取前，由九洲空管承接相应订单，采用分包方式将业务注入合资公司。</w:t>
      </w:r>
    </w:p>
    <w:p>
      <w:pPr>
        <w:keepNext w:val="0"/>
        <w:keepLines w:val="0"/>
        <w:pageBreakBefore w:val="0"/>
        <w:tabs>
          <w:tab w:val="left" w:pos="714"/>
        </w:tabs>
        <w:kinsoku/>
        <w:wordWrap/>
        <w:overflowPunct/>
        <w:topLinePunct w:val="0"/>
        <w:bidi w:val="0"/>
        <w:adjustRightInd w:val="0"/>
        <w:snapToGrid w:val="0"/>
        <w:spacing w:line="560" w:lineRule="exact"/>
        <w:ind w:right="0" w:firstLine="640" w:firstLineChars="200"/>
        <w:textAlignment w:val="auto"/>
        <w:outlineLvl w:val="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独立承揽：各</w:t>
      </w:r>
      <w:r>
        <w:rPr>
          <w:rFonts w:hint="eastAsia" w:ascii="仿宋_GB2312" w:hAnsi="仿宋_GB2312" w:eastAsia="仿宋_GB2312" w:cs="仿宋_GB2312"/>
          <w:color w:val="auto"/>
          <w:spacing w:val="-11"/>
          <w:sz w:val="32"/>
          <w:szCs w:val="32"/>
          <w:highlight w:val="none"/>
        </w:rPr>
        <w:t>阶段测试认证资质获取后，合资公司将根据资质获取程度参与相应项目的竞标、邀标、直接委托等，独立承揽业务。</w:t>
      </w:r>
    </w:p>
    <w:p>
      <w:pPr>
        <w:keepNext w:val="0"/>
        <w:keepLines w:val="0"/>
        <w:pageBreakBefore w:val="0"/>
        <w:tabs>
          <w:tab w:val="left" w:pos="714"/>
        </w:tabs>
        <w:kinsoku/>
        <w:wordWrap/>
        <w:overflowPunct/>
        <w:topLinePunct w:val="0"/>
        <w:bidi w:val="0"/>
        <w:adjustRightInd w:val="0"/>
        <w:snapToGrid w:val="0"/>
        <w:spacing w:line="560" w:lineRule="exact"/>
        <w:ind w:right="0" w:firstLine="640" w:firstLineChars="200"/>
        <w:textAlignment w:val="auto"/>
        <w:outlineLvl w:val="0"/>
        <w:rPr>
          <w:rFonts w:hint="default" w:ascii="黑体" w:hAnsi="Times New Roman" w:eastAsia="黑体" w:cs="Times New Roman"/>
          <w:sz w:val="32"/>
          <w:szCs w:val="32"/>
          <w:lang w:val="en-US"/>
        </w:rPr>
      </w:pPr>
      <w:r>
        <w:rPr>
          <w:rFonts w:hint="eastAsia" w:ascii="黑体" w:hAnsi="Times New Roman" w:eastAsia="黑体" w:cs="Times New Roman"/>
          <w:sz w:val="32"/>
          <w:szCs w:val="32"/>
          <w:lang w:val="en-US" w:eastAsia="zh-CN"/>
        </w:rPr>
        <w:t>六、</w:t>
      </w:r>
      <w:r>
        <w:rPr>
          <w:rFonts w:hint="eastAsia" w:ascii="黑体" w:hAnsi="黑体" w:eastAsia="黑体" w:cs="黑体"/>
          <w:b w:val="0"/>
          <w:bCs w:val="0"/>
          <w:kern w:val="2"/>
          <w:sz w:val="32"/>
          <w:szCs w:val="32"/>
          <w:lang w:val="en-US" w:eastAsia="zh-CN" w:bidi="ar-SA"/>
        </w:rPr>
        <w:t>投资效益分析</w:t>
      </w:r>
    </w:p>
    <w:p>
      <w:pPr>
        <w:keepNext w:val="0"/>
        <w:keepLines w:val="0"/>
        <w:pageBreakBefore w:val="0"/>
        <w:tabs>
          <w:tab w:val="left" w:pos="714"/>
        </w:tabs>
        <w:kinsoku/>
        <w:wordWrap/>
        <w:overflowPunct/>
        <w:topLinePunct w:val="0"/>
        <w:bidi w:val="0"/>
        <w:adjustRightInd w:val="0"/>
        <w:snapToGrid w:val="0"/>
        <w:spacing w:line="560" w:lineRule="exact"/>
        <w:ind w:right="0" w:firstLine="641" w:firstLineChars="200"/>
        <w:textAlignment w:val="auto"/>
        <w:outlineLvl w:val="0"/>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（一）合资公司投资效益情况</w:t>
      </w:r>
    </w:p>
    <w:p>
      <w:pPr>
        <w:keepNext w:val="0"/>
        <w:keepLines w:val="0"/>
        <w:pageBreakBefore w:val="0"/>
        <w:widowControl w:val="0"/>
        <w:kinsoku/>
        <w:wordWrap/>
        <w:overflowPunct/>
        <w:topLinePunct w:val="0"/>
        <w:autoSpaceDE/>
        <w:autoSpaceDN/>
        <w:bidi w:val="0"/>
        <w:adjustRightInd/>
        <w:snapToGrid/>
        <w:spacing w:line="560" w:lineRule="exact"/>
        <w:ind w:firstLine="641"/>
        <w:textAlignment w:val="auto"/>
        <w:rPr>
          <w:rFonts w:hint="eastAsia" w:ascii="仿宋_GB2312" w:hAnsi="仿宋_GB2312" w:eastAsia="仿宋_GB2312" w:cs="Times New Roman"/>
          <w:b w:val="0"/>
          <w:bCs w:val="0"/>
          <w:kern w:val="2"/>
          <w:sz w:val="32"/>
          <w:szCs w:val="24"/>
          <w:lang w:val="en-US" w:eastAsia="zh-CN" w:bidi="ar-SA"/>
        </w:rPr>
      </w:pPr>
      <w:r>
        <w:rPr>
          <w:rFonts w:hint="eastAsia" w:ascii="仿宋_GB2312" w:hAnsi="仿宋_GB2312" w:eastAsia="仿宋_GB2312" w:cs="Times New Roman"/>
          <w:b w:val="0"/>
          <w:bCs w:val="0"/>
          <w:kern w:val="2"/>
          <w:sz w:val="32"/>
          <w:szCs w:val="24"/>
          <w:lang w:val="en-US" w:eastAsia="zh-CN" w:bidi="ar-SA"/>
        </w:rPr>
        <w:t>项目投资回收期约5.5年，属于长期投资，项目财务内部收益率为30.5%，高于5年期国债利率2.55%（参考2023年记账式付息第二十二期国债票面利率）。</w:t>
      </w:r>
    </w:p>
    <w:p>
      <w:pPr>
        <w:keepNext w:val="0"/>
        <w:keepLines w:val="0"/>
        <w:pageBreakBefore w:val="0"/>
        <w:widowControl w:val="0"/>
        <w:kinsoku/>
        <w:wordWrap/>
        <w:overflowPunct/>
        <w:topLinePunct w:val="0"/>
        <w:autoSpaceDE/>
        <w:autoSpaceDN/>
        <w:bidi w:val="0"/>
        <w:adjustRightInd/>
        <w:snapToGrid/>
        <w:spacing w:line="560" w:lineRule="exact"/>
        <w:ind w:firstLine="641"/>
        <w:textAlignment w:val="auto"/>
        <w:rPr>
          <w:rFonts w:hint="eastAsia" w:ascii="仿宋_GB2312" w:hAnsi="仿宋_GB2312" w:eastAsia="仿宋_GB2312" w:cs="Times New Roman"/>
          <w:b w:val="0"/>
          <w:bCs w:val="0"/>
          <w:kern w:val="2"/>
          <w:sz w:val="32"/>
          <w:szCs w:val="24"/>
          <w:lang w:val="en-US" w:eastAsia="zh-CN" w:bidi="ar-SA"/>
        </w:rPr>
      </w:pPr>
      <w:r>
        <w:rPr>
          <w:rFonts w:hint="eastAsia" w:ascii="仿宋_GB2312" w:hAnsi="仿宋_GB2312" w:eastAsia="仿宋_GB2312" w:cs="Times New Roman"/>
          <w:b w:val="0"/>
          <w:bCs w:val="0"/>
          <w:kern w:val="2"/>
          <w:sz w:val="32"/>
          <w:szCs w:val="24"/>
          <w:lang w:val="en-US" w:eastAsia="zh-CN" w:bidi="ar-SA"/>
        </w:rPr>
        <w:t>未来业绩预计如下：</w:t>
      </w:r>
    </w:p>
    <w:tbl>
      <w:tblPr>
        <w:tblStyle w:val="12"/>
        <w:tblW w:w="0" w:type="auto"/>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733"/>
        <w:gridCol w:w="1717"/>
        <w:gridCol w:w="825"/>
        <w:gridCol w:w="1164"/>
        <w:gridCol w:w="1164"/>
        <w:gridCol w:w="1164"/>
        <w:gridCol w:w="1164"/>
        <w:gridCol w:w="11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0" w:hRule="atLeast"/>
        </w:trPr>
        <w:tc>
          <w:tcPr>
            <w:tcW w:w="733"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eastAsia" w:ascii="仿宋_GB2312" w:hAnsi="仿宋_GB2312" w:eastAsia="仿宋_GB2312" w:cs="仿宋_GB2312"/>
                <w:b/>
                <w:bCs w:val="0"/>
                <w:sz w:val="24"/>
                <w:szCs w:val="24"/>
              </w:rPr>
            </w:pPr>
            <w:r>
              <w:rPr>
                <w:rFonts w:hint="eastAsia" w:ascii="仿宋_GB2312" w:hAnsi="仿宋_GB2312" w:eastAsia="仿宋_GB2312" w:cs="仿宋_GB2312"/>
                <w:b/>
                <w:bCs w:val="0"/>
                <w:sz w:val="24"/>
                <w:szCs w:val="24"/>
              </w:rPr>
              <w:t>序号</w:t>
            </w:r>
          </w:p>
        </w:tc>
        <w:tc>
          <w:tcPr>
            <w:tcW w:w="1717"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eastAsia" w:ascii="仿宋_GB2312" w:hAnsi="仿宋_GB2312" w:eastAsia="仿宋_GB2312" w:cs="仿宋_GB2312"/>
                <w:b/>
                <w:bCs w:val="0"/>
                <w:sz w:val="24"/>
                <w:szCs w:val="24"/>
              </w:rPr>
            </w:pPr>
            <w:r>
              <w:rPr>
                <w:rFonts w:hint="eastAsia" w:ascii="仿宋_GB2312" w:hAnsi="仿宋_GB2312" w:eastAsia="仿宋_GB2312" w:cs="仿宋_GB2312"/>
                <w:b/>
                <w:bCs w:val="0"/>
                <w:sz w:val="24"/>
                <w:szCs w:val="24"/>
              </w:rPr>
              <w:t>项目名称</w:t>
            </w:r>
          </w:p>
        </w:tc>
        <w:tc>
          <w:tcPr>
            <w:tcW w:w="825"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eastAsia" w:ascii="仿宋_GB2312" w:hAnsi="仿宋_GB2312" w:eastAsia="仿宋_GB2312" w:cs="仿宋_GB2312"/>
                <w:b/>
                <w:bCs w:val="0"/>
                <w:sz w:val="24"/>
                <w:szCs w:val="24"/>
              </w:rPr>
            </w:pPr>
            <w:r>
              <w:rPr>
                <w:rFonts w:hint="eastAsia" w:ascii="仿宋_GB2312" w:hAnsi="仿宋_GB2312" w:eastAsia="仿宋_GB2312" w:cs="仿宋_GB2312"/>
                <w:b/>
                <w:bCs w:val="0"/>
                <w:sz w:val="24"/>
                <w:szCs w:val="24"/>
              </w:rPr>
              <w:t>单位</w:t>
            </w:r>
          </w:p>
        </w:tc>
        <w:tc>
          <w:tcPr>
            <w:tcW w:w="1164"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eastAsia" w:ascii="仿宋_GB2312" w:hAnsi="仿宋_GB2312" w:eastAsia="仿宋_GB2312" w:cs="仿宋_GB2312"/>
                <w:b/>
                <w:bCs w:val="0"/>
                <w:sz w:val="24"/>
                <w:szCs w:val="24"/>
              </w:rPr>
            </w:pPr>
            <w:r>
              <w:rPr>
                <w:rFonts w:hint="eastAsia" w:ascii="仿宋_GB2312" w:hAnsi="仿宋_GB2312" w:eastAsia="仿宋_GB2312" w:cs="仿宋_GB2312"/>
                <w:b/>
                <w:bCs w:val="0"/>
                <w:sz w:val="24"/>
                <w:szCs w:val="24"/>
              </w:rPr>
              <w:t>2024年</w:t>
            </w:r>
          </w:p>
        </w:tc>
        <w:tc>
          <w:tcPr>
            <w:tcW w:w="1164"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eastAsia" w:ascii="仿宋_GB2312" w:hAnsi="仿宋_GB2312" w:eastAsia="仿宋_GB2312" w:cs="仿宋_GB2312"/>
                <w:b/>
                <w:bCs w:val="0"/>
                <w:sz w:val="24"/>
                <w:szCs w:val="24"/>
              </w:rPr>
            </w:pPr>
            <w:r>
              <w:rPr>
                <w:rFonts w:hint="eastAsia" w:ascii="仿宋_GB2312" w:hAnsi="仿宋_GB2312" w:eastAsia="仿宋_GB2312" w:cs="仿宋_GB2312"/>
                <w:b/>
                <w:bCs w:val="0"/>
                <w:sz w:val="24"/>
                <w:szCs w:val="24"/>
              </w:rPr>
              <w:t>2025年</w:t>
            </w:r>
          </w:p>
        </w:tc>
        <w:tc>
          <w:tcPr>
            <w:tcW w:w="1164"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eastAsia" w:ascii="仿宋_GB2312" w:hAnsi="仿宋_GB2312" w:eastAsia="仿宋_GB2312" w:cs="仿宋_GB2312"/>
                <w:b/>
                <w:bCs w:val="0"/>
                <w:sz w:val="24"/>
                <w:szCs w:val="24"/>
              </w:rPr>
            </w:pPr>
            <w:r>
              <w:rPr>
                <w:rFonts w:hint="eastAsia" w:ascii="仿宋_GB2312" w:hAnsi="仿宋_GB2312" w:eastAsia="仿宋_GB2312" w:cs="仿宋_GB2312"/>
                <w:b/>
                <w:bCs w:val="0"/>
                <w:sz w:val="24"/>
                <w:szCs w:val="24"/>
              </w:rPr>
              <w:t>2026年</w:t>
            </w:r>
          </w:p>
        </w:tc>
        <w:tc>
          <w:tcPr>
            <w:tcW w:w="1164"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eastAsia" w:ascii="仿宋_GB2312" w:hAnsi="仿宋_GB2312" w:eastAsia="仿宋_GB2312" w:cs="仿宋_GB2312"/>
                <w:b/>
                <w:bCs w:val="0"/>
                <w:sz w:val="24"/>
                <w:szCs w:val="24"/>
              </w:rPr>
            </w:pPr>
            <w:r>
              <w:rPr>
                <w:rFonts w:hint="eastAsia" w:ascii="仿宋_GB2312" w:hAnsi="仿宋_GB2312" w:eastAsia="仿宋_GB2312" w:cs="仿宋_GB2312"/>
                <w:b/>
                <w:bCs w:val="0"/>
                <w:sz w:val="24"/>
                <w:szCs w:val="24"/>
              </w:rPr>
              <w:t>2027年</w:t>
            </w:r>
          </w:p>
        </w:tc>
        <w:tc>
          <w:tcPr>
            <w:tcW w:w="1166"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eastAsia" w:ascii="仿宋_GB2312" w:hAnsi="仿宋_GB2312" w:eastAsia="仿宋_GB2312" w:cs="仿宋_GB2312"/>
                <w:b/>
                <w:bCs w:val="0"/>
                <w:sz w:val="24"/>
                <w:szCs w:val="24"/>
              </w:rPr>
            </w:pPr>
            <w:r>
              <w:rPr>
                <w:rFonts w:hint="eastAsia" w:ascii="仿宋_GB2312" w:hAnsi="仿宋_GB2312" w:eastAsia="仿宋_GB2312" w:cs="仿宋_GB2312"/>
                <w:b/>
                <w:bCs w:val="0"/>
                <w:sz w:val="24"/>
                <w:szCs w:val="24"/>
              </w:rPr>
              <w:t>2028年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0" w:hRule="atLeast"/>
        </w:trPr>
        <w:tc>
          <w:tcPr>
            <w:tcW w:w="733"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eastAsia" w:ascii="仿宋_GB2312" w:hAnsi="仿宋_GB2312" w:eastAsia="仿宋_GB2312" w:cs="仿宋_GB2312"/>
                <w:bCs/>
                <w:sz w:val="24"/>
                <w:szCs w:val="24"/>
              </w:rPr>
            </w:pPr>
            <w:r>
              <w:rPr>
                <w:rFonts w:hint="eastAsia" w:ascii="仿宋_GB2312" w:hAnsi="仿宋_GB2312" w:eastAsia="仿宋_GB2312" w:cs="仿宋_GB2312"/>
                <w:b w:val="0"/>
                <w:bCs/>
                <w:sz w:val="24"/>
                <w:szCs w:val="24"/>
              </w:rPr>
              <w:t>1</w:t>
            </w:r>
          </w:p>
        </w:tc>
        <w:tc>
          <w:tcPr>
            <w:tcW w:w="1717"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eastAsia" w:ascii="仿宋_GB2312" w:hAnsi="仿宋_GB2312" w:eastAsia="仿宋_GB2312" w:cs="仿宋_GB2312"/>
                <w:bCs/>
                <w:sz w:val="24"/>
                <w:szCs w:val="24"/>
              </w:rPr>
            </w:pPr>
            <w:r>
              <w:rPr>
                <w:rFonts w:hint="eastAsia" w:ascii="仿宋_GB2312" w:hAnsi="仿宋_GB2312" w:eastAsia="仿宋_GB2312" w:cs="仿宋_GB2312"/>
                <w:b w:val="0"/>
                <w:bCs/>
                <w:sz w:val="24"/>
                <w:szCs w:val="24"/>
              </w:rPr>
              <w:t>营业收入</w:t>
            </w:r>
          </w:p>
        </w:tc>
        <w:tc>
          <w:tcPr>
            <w:tcW w:w="825"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eastAsia" w:ascii="仿宋_GB2312" w:hAnsi="仿宋_GB2312" w:eastAsia="仿宋_GB2312" w:cs="仿宋_GB2312"/>
                <w:bCs/>
                <w:sz w:val="24"/>
                <w:szCs w:val="24"/>
              </w:rPr>
            </w:pPr>
            <w:r>
              <w:rPr>
                <w:rFonts w:hint="eastAsia" w:ascii="仿宋_GB2312" w:hAnsi="仿宋_GB2312" w:eastAsia="仿宋_GB2312" w:cs="仿宋_GB2312"/>
                <w:b w:val="0"/>
                <w:bCs/>
                <w:sz w:val="24"/>
                <w:szCs w:val="24"/>
              </w:rPr>
              <w:t>万元</w:t>
            </w:r>
          </w:p>
        </w:tc>
        <w:tc>
          <w:tcPr>
            <w:tcW w:w="1164"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400</w:t>
            </w:r>
          </w:p>
        </w:tc>
        <w:tc>
          <w:tcPr>
            <w:tcW w:w="1164"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800</w:t>
            </w:r>
          </w:p>
        </w:tc>
        <w:tc>
          <w:tcPr>
            <w:tcW w:w="1164"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1400</w:t>
            </w:r>
          </w:p>
        </w:tc>
        <w:tc>
          <w:tcPr>
            <w:tcW w:w="1164"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3000</w:t>
            </w:r>
          </w:p>
        </w:tc>
        <w:tc>
          <w:tcPr>
            <w:tcW w:w="1166"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4000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0" w:hRule="atLeast"/>
        </w:trPr>
        <w:tc>
          <w:tcPr>
            <w:tcW w:w="733"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eastAsia" w:ascii="仿宋_GB2312" w:hAnsi="仿宋_GB2312" w:eastAsia="仿宋_GB2312" w:cs="仿宋_GB2312"/>
                <w:bCs/>
                <w:sz w:val="24"/>
                <w:szCs w:val="24"/>
              </w:rPr>
            </w:pPr>
            <w:r>
              <w:rPr>
                <w:rFonts w:hint="eastAsia" w:ascii="仿宋_GB2312" w:hAnsi="仿宋_GB2312" w:eastAsia="仿宋_GB2312" w:cs="仿宋_GB2312"/>
                <w:b w:val="0"/>
                <w:bCs/>
                <w:sz w:val="24"/>
                <w:szCs w:val="24"/>
              </w:rPr>
              <w:t>2</w:t>
            </w:r>
          </w:p>
        </w:tc>
        <w:tc>
          <w:tcPr>
            <w:tcW w:w="1717"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eastAsia" w:ascii="仿宋_GB2312" w:hAnsi="仿宋_GB2312" w:eastAsia="仿宋_GB2312" w:cs="仿宋_GB2312"/>
                <w:bCs/>
                <w:sz w:val="24"/>
                <w:szCs w:val="24"/>
              </w:rPr>
            </w:pPr>
            <w:r>
              <w:rPr>
                <w:rFonts w:hint="eastAsia" w:ascii="仿宋_GB2312" w:hAnsi="仿宋_GB2312" w:eastAsia="仿宋_GB2312" w:cs="仿宋_GB2312"/>
                <w:b w:val="0"/>
                <w:bCs/>
                <w:sz w:val="24"/>
                <w:szCs w:val="24"/>
              </w:rPr>
              <w:t>营业成本</w:t>
            </w:r>
          </w:p>
        </w:tc>
        <w:tc>
          <w:tcPr>
            <w:tcW w:w="825"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eastAsia" w:ascii="仿宋_GB2312" w:hAnsi="仿宋_GB2312" w:eastAsia="仿宋_GB2312" w:cs="仿宋_GB2312"/>
                <w:bCs/>
                <w:sz w:val="24"/>
                <w:szCs w:val="24"/>
              </w:rPr>
            </w:pPr>
            <w:r>
              <w:rPr>
                <w:rFonts w:hint="eastAsia" w:ascii="仿宋_GB2312" w:hAnsi="仿宋_GB2312" w:eastAsia="仿宋_GB2312" w:cs="仿宋_GB2312"/>
                <w:b w:val="0"/>
                <w:bCs/>
                <w:sz w:val="24"/>
                <w:szCs w:val="24"/>
              </w:rPr>
              <w:t>万元</w:t>
            </w:r>
          </w:p>
        </w:tc>
        <w:tc>
          <w:tcPr>
            <w:tcW w:w="1164"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 xml:space="preserve">170 </w:t>
            </w:r>
          </w:p>
        </w:tc>
        <w:tc>
          <w:tcPr>
            <w:tcW w:w="1164"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 xml:space="preserve">436 </w:t>
            </w:r>
          </w:p>
        </w:tc>
        <w:tc>
          <w:tcPr>
            <w:tcW w:w="1164"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639</w:t>
            </w:r>
          </w:p>
        </w:tc>
        <w:tc>
          <w:tcPr>
            <w:tcW w:w="1164"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1101</w:t>
            </w:r>
          </w:p>
        </w:tc>
        <w:tc>
          <w:tcPr>
            <w:tcW w:w="1166"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1311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0" w:hRule="atLeast"/>
        </w:trPr>
        <w:tc>
          <w:tcPr>
            <w:tcW w:w="733"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eastAsia" w:ascii="仿宋_GB2312" w:hAnsi="仿宋_GB2312" w:eastAsia="仿宋_GB2312" w:cs="仿宋_GB2312"/>
                <w:bCs/>
                <w:sz w:val="24"/>
                <w:szCs w:val="24"/>
              </w:rPr>
            </w:pPr>
            <w:r>
              <w:rPr>
                <w:rFonts w:hint="eastAsia" w:ascii="仿宋_GB2312" w:hAnsi="仿宋_GB2312" w:eastAsia="仿宋_GB2312" w:cs="仿宋_GB2312"/>
                <w:b w:val="0"/>
                <w:bCs/>
                <w:sz w:val="24"/>
                <w:szCs w:val="24"/>
              </w:rPr>
              <w:t>3</w:t>
            </w:r>
          </w:p>
        </w:tc>
        <w:tc>
          <w:tcPr>
            <w:tcW w:w="1717"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eastAsia" w:ascii="仿宋_GB2312" w:hAnsi="仿宋_GB2312" w:eastAsia="仿宋_GB2312" w:cs="仿宋_GB2312"/>
                <w:bCs/>
                <w:sz w:val="24"/>
                <w:szCs w:val="24"/>
              </w:rPr>
            </w:pPr>
            <w:r>
              <w:rPr>
                <w:rFonts w:hint="eastAsia" w:ascii="仿宋_GB2312" w:hAnsi="仿宋_GB2312" w:eastAsia="仿宋_GB2312" w:cs="仿宋_GB2312"/>
                <w:b w:val="0"/>
                <w:bCs/>
                <w:sz w:val="24"/>
                <w:szCs w:val="24"/>
              </w:rPr>
              <w:t>毛利率</w:t>
            </w:r>
          </w:p>
        </w:tc>
        <w:tc>
          <w:tcPr>
            <w:tcW w:w="825"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eastAsia" w:ascii="仿宋_GB2312" w:hAnsi="仿宋_GB2312" w:eastAsia="仿宋_GB2312" w:cs="仿宋_GB2312"/>
                <w:bCs/>
                <w:sz w:val="24"/>
                <w:szCs w:val="24"/>
              </w:rPr>
            </w:pPr>
            <w:r>
              <w:rPr>
                <w:rFonts w:hint="eastAsia" w:ascii="仿宋_GB2312" w:hAnsi="仿宋_GB2312" w:eastAsia="仿宋_GB2312" w:cs="仿宋_GB2312"/>
                <w:b w:val="0"/>
                <w:bCs/>
                <w:sz w:val="24"/>
                <w:szCs w:val="24"/>
              </w:rPr>
              <w:t>%</w:t>
            </w:r>
          </w:p>
        </w:tc>
        <w:tc>
          <w:tcPr>
            <w:tcW w:w="1164"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57.6</w:t>
            </w:r>
          </w:p>
        </w:tc>
        <w:tc>
          <w:tcPr>
            <w:tcW w:w="1164"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45.5</w:t>
            </w:r>
          </w:p>
        </w:tc>
        <w:tc>
          <w:tcPr>
            <w:tcW w:w="1164"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54.3</w:t>
            </w:r>
          </w:p>
        </w:tc>
        <w:tc>
          <w:tcPr>
            <w:tcW w:w="1164"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63.3</w:t>
            </w:r>
          </w:p>
        </w:tc>
        <w:tc>
          <w:tcPr>
            <w:tcW w:w="1166"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67.2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0" w:hRule="atLeast"/>
        </w:trPr>
        <w:tc>
          <w:tcPr>
            <w:tcW w:w="733"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eastAsia" w:ascii="仿宋_GB2312" w:hAnsi="仿宋_GB2312" w:eastAsia="仿宋_GB2312" w:cs="仿宋_GB2312"/>
                <w:bCs/>
                <w:sz w:val="24"/>
                <w:szCs w:val="24"/>
              </w:rPr>
            </w:pPr>
            <w:r>
              <w:rPr>
                <w:rFonts w:hint="eastAsia" w:ascii="仿宋_GB2312" w:hAnsi="仿宋_GB2312" w:eastAsia="仿宋_GB2312" w:cs="仿宋_GB2312"/>
                <w:b w:val="0"/>
                <w:bCs/>
                <w:sz w:val="24"/>
                <w:szCs w:val="24"/>
              </w:rPr>
              <w:t>4</w:t>
            </w:r>
          </w:p>
        </w:tc>
        <w:tc>
          <w:tcPr>
            <w:tcW w:w="1717"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eastAsia" w:ascii="仿宋_GB2312" w:hAnsi="仿宋_GB2312" w:eastAsia="仿宋_GB2312" w:cs="仿宋_GB2312"/>
                <w:bCs/>
                <w:sz w:val="24"/>
                <w:szCs w:val="24"/>
              </w:rPr>
            </w:pPr>
            <w:r>
              <w:rPr>
                <w:rFonts w:hint="eastAsia" w:ascii="仿宋_GB2312" w:hAnsi="仿宋_GB2312" w:eastAsia="仿宋_GB2312" w:cs="仿宋_GB2312"/>
                <w:b w:val="0"/>
                <w:bCs/>
                <w:sz w:val="24"/>
                <w:szCs w:val="24"/>
              </w:rPr>
              <w:t>期间费用</w:t>
            </w:r>
          </w:p>
        </w:tc>
        <w:tc>
          <w:tcPr>
            <w:tcW w:w="825"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eastAsia" w:ascii="仿宋_GB2312" w:hAnsi="仿宋_GB2312" w:eastAsia="仿宋_GB2312" w:cs="仿宋_GB2312"/>
                <w:bCs/>
                <w:sz w:val="24"/>
                <w:szCs w:val="24"/>
              </w:rPr>
            </w:pPr>
            <w:r>
              <w:rPr>
                <w:rFonts w:hint="eastAsia" w:ascii="仿宋_GB2312" w:hAnsi="仿宋_GB2312" w:eastAsia="仿宋_GB2312" w:cs="仿宋_GB2312"/>
                <w:b w:val="0"/>
                <w:bCs/>
                <w:sz w:val="24"/>
                <w:szCs w:val="24"/>
              </w:rPr>
              <w:t>万元</w:t>
            </w:r>
          </w:p>
        </w:tc>
        <w:tc>
          <w:tcPr>
            <w:tcW w:w="1164"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 xml:space="preserve"> 208 </w:t>
            </w:r>
          </w:p>
        </w:tc>
        <w:tc>
          <w:tcPr>
            <w:tcW w:w="1164"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 xml:space="preserve"> 494 </w:t>
            </w:r>
          </w:p>
        </w:tc>
        <w:tc>
          <w:tcPr>
            <w:tcW w:w="1164"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 xml:space="preserve"> 603 </w:t>
            </w:r>
          </w:p>
        </w:tc>
        <w:tc>
          <w:tcPr>
            <w:tcW w:w="1164"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 xml:space="preserve"> 708 </w:t>
            </w:r>
          </w:p>
        </w:tc>
        <w:tc>
          <w:tcPr>
            <w:tcW w:w="1166"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 xml:space="preserve"> 865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0" w:hRule="atLeast"/>
        </w:trPr>
        <w:tc>
          <w:tcPr>
            <w:tcW w:w="733"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eastAsia" w:ascii="仿宋_GB2312" w:hAnsi="仿宋_GB2312" w:eastAsia="仿宋_GB2312" w:cs="仿宋_GB2312"/>
                <w:bCs/>
                <w:sz w:val="24"/>
                <w:szCs w:val="24"/>
              </w:rPr>
            </w:pPr>
            <w:r>
              <w:rPr>
                <w:rFonts w:hint="eastAsia" w:ascii="仿宋_GB2312" w:hAnsi="仿宋_GB2312" w:eastAsia="仿宋_GB2312" w:cs="仿宋_GB2312"/>
                <w:b w:val="0"/>
                <w:bCs/>
                <w:sz w:val="24"/>
                <w:szCs w:val="24"/>
              </w:rPr>
              <w:t>5</w:t>
            </w:r>
          </w:p>
        </w:tc>
        <w:tc>
          <w:tcPr>
            <w:tcW w:w="1717"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eastAsia" w:ascii="仿宋_GB2312" w:hAnsi="仿宋_GB2312" w:eastAsia="仿宋_GB2312" w:cs="仿宋_GB2312"/>
                <w:bCs/>
                <w:sz w:val="24"/>
                <w:szCs w:val="24"/>
              </w:rPr>
            </w:pPr>
            <w:r>
              <w:rPr>
                <w:rFonts w:hint="eastAsia" w:ascii="仿宋_GB2312" w:hAnsi="仿宋_GB2312" w:eastAsia="仿宋_GB2312" w:cs="仿宋_GB2312"/>
                <w:b w:val="0"/>
                <w:bCs/>
                <w:sz w:val="24"/>
                <w:szCs w:val="24"/>
              </w:rPr>
              <w:t>利润总额</w:t>
            </w:r>
          </w:p>
        </w:tc>
        <w:tc>
          <w:tcPr>
            <w:tcW w:w="825"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eastAsia" w:ascii="仿宋_GB2312" w:hAnsi="仿宋_GB2312" w:eastAsia="仿宋_GB2312" w:cs="仿宋_GB2312"/>
                <w:bCs/>
                <w:sz w:val="24"/>
                <w:szCs w:val="24"/>
              </w:rPr>
            </w:pPr>
            <w:r>
              <w:rPr>
                <w:rFonts w:hint="eastAsia" w:ascii="仿宋_GB2312" w:hAnsi="仿宋_GB2312" w:eastAsia="仿宋_GB2312" w:cs="仿宋_GB2312"/>
                <w:b w:val="0"/>
                <w:bCs/>
                <w:sz w:val="24"/>
                <w:szCs w:val="24"/>
              </w:rPr>
              <w:t>万元</w:t>
            </w:r>
          </w:p>
        </w:tc>
        <w:tc>
          <w:tcPr>
            <w:tcW w:w="1164"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 xml:space="preserve"> 21 </w:t>
            </w:r>
          </w:p>
        </w:tc>
        <w:tc>
          <w:tcPr>
            <w:tcW w:w="1164"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 xml:space="preserve"> -130 </w:t>
            </w:r>
          </w:p>
        </w:tc>
        <w:tc>
          <w:tcPr>
            <w:tcW w:w="1164"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 xml:space="preserve"> 157 </w:t>
            </w:r>
          </w:p>
        </w:tc>
        <w:tc>
          <w:tcPr>
            <w:tcW w:w="1164"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 xml:space="preserve"> 1190 </w:t>
            </w:r>
          </w:p>
        </w:tc>
        <w:tc>
          <w:tcPr>
            <w:tcW w:w="1166"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 xml:space="preserve"> 1819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0" w:hRule="atLeast"/>
        </w:trPr>
        <w:tc>
          <w:tcPr>
            <w:tcW w:w="733"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eastAsia" w:ascii="仿宋_GB2312" w:hAnsi="仿宋_GB2312" w:eastAsia="仿宋_GB2312" w:cs="仿宋_GB2312"/>
                <w:b w:val="0"/>
                <w:bCs/>
                <w:sz w:val="24"/>
                <w:szCs w:val="24"/>
                <w:lang w:val="en-US" w:eastAsia="zh-CN"/>
              </w:rPr>
            </w:pPr>
            <w:r>
              <w:rPr>
                <w:rFonts w:hint="eastAsia" w:ascii="仿宋_GB2312" w:hAnsi="仿宋_GB2312" w:eastAsia="仿宋_GB2312" w:cs="仿宋_GB2312"/>
                <w:b w:val="0"/>
                <w:bCs/>
                <w:sz w:val="24"/>
                <w:szCs w:val="24"/>
                <w:lang w:val="en-US" w:eastAsia="zh-CN"/>
              </w:rPr>
              <w:t>6</w:t>
            </w:r>
          </w:p>
        </w:tc>
        <w:tc>
          <w:tcPr>
            <w:tcW w:w="1717"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eastAsia" w:ascii="仿宋_GB2312" w:hAnsi="仿宋_GB2312" w:eastAsia="仿宋_GB2312" w:cs="仿宋_GB2312"/>
                <w:b w:val="0"/>
                <w:bCs/>
                <w:sz w:val="24"/>
                <w:szCs w:val="24"/>
                <w:lang w:val="en-US" w:eastAsia="zh-CN"/>
              </w:rPr>
            </w:pPr>
            <w:r>
              <w:rPr>
                <w:rFonts w:hint="eastAsia" w:ascii="仿宋_GB2312" w:hAnsi="仿宋_GB2312" w:eastAsia="仿宋_GB2312" w:cs="仿宋_GB2312"/>
                <w:b w:val="0"/>
                <w:bCs/>
                <w:sz w:val="24"/>
                <w:szCs w:val="24"/>
                <w:lang w:val="en-US" w:eastAsia="zh-CN"/>
              </w:rPr>
              <w:t>利润总额（含政府补助）</w:t>
            </w:r>
          </w:p>
        </w:tc>
        <w:tc>
          <w:tcPr>
            <w:tcW w:w="825"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eastAsia" w:ascii="仿宋_GB2312" w:hAnsi="仿宋_GB2312" w:eastAsia="仿宋_GB2312" w:cs="仿宋_GB2312"/>
                <w:b w:val="0"/>
                <w:bCs/>
                <w:sz w:val="24"/>
                <w:szCs w:val="24"/>
                <w:lang w:val="en-US" w:eastAsia="zh-CN"/>
              </w:rPr>
            </w:pPr>
            <w:r>
              <w:rPr>
                <w:rFonts w:hint="eastAsia" w:ascii="仿宋_GB2312" w:hAnsi="仿宋_GB2312" w:eastAsia="仿宋_GB2312" w:cs="仿宋_GB2312"/>
                <w:b w:val="0"/>
                <w:bCs/>
                <w:sz w:val="24"/>
                <w:szCs w:val="24"/>
              </w:rPr>
              <w:t>万元</w:t>
            </w:r>
          </w:p>
        </w:tc>
        <w:tc>
          <w:tcPr>
            <w:tcW w:w="1164"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 xml:space="preserve"> 21 </w:t>
            </w:r>
          </w:p>
        </w:tc>
        <w:tc>
          <w:tcPr>
            <w:tcW w:w="1164"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 xml:space="preserve"> 287 </w:t>
            </w:r>
          </w:p>
        </w:tc>
        <w:tc>
          <w:tcPr>
            <w:tcW w:w="1164"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 xml:space="preserve"> 281 </w:t>
            </w:r>
          </w:p>
        </w:tc>
        <w:tc>
          <w:tcPr>
            <w:tcW w:w="1164"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 xml:space="preserve"> 1364 </w:t>
            </w:r>
          </w:p>
        </w:tc>
        <w:tc>
          <w:tcPr>
            <w:tcW w:w="1166"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 xml:space="preserve"> 1829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0" w:hRule="atLeast"/>
        </w:trPr>
        <w:tc>
          <w:tcPr>
            <w:tcW w:w="733"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eastAsia" w:ascii="仿宋_GB2312" w:hAnsi="仿宋_GB2312" w:eastAsia="仿宋_GB2312" w:cs="仿宋_GB2312"/>
                <w:b w:val="0"/>
                <w:bCs/>
                <w:sz w:val="24"/>
                <w:szCs w:val="24"/>
                <w:lang w:val="en-US" w:eastAsia="zh-CN"/>
              </w:rPr>
            </w:pPr>
            <w:r>
              <w:rPr>
                <w:rFonts w:hint="eastAsia" w:ascii="仿宋_GB2312" w:hAnsi="仿宋_GB2312" w:eastAsia="仿宋_GB2312" w:cs="仿宋_GB2312"/>
                <w:b w:val="0"/>
                <w:bCs/>
                <w:sz w:val="24"/>
                <w:szCs w:val="24"/>
                <w:lang w:val="en-US" w:eastAsia="zh-CN"/>
              </w:rPr>
              <w:t>7</w:t>
            </w:r>
          </w:p>
        </w:tc>
        <w:tc>
          <w:tcPr>
            <w:tcW w:w="1717"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eastAsia" w:ascii="仿宋_GB2312" w:hAnsi="仿宋_GB2312" w:eastAsia="仿宋_GB2312" w:cs="仿宋_GB2312"/>
                <w:b w:val="0"/>
                <w:bCs/>
                <w:sz w:val="24"/>
                <w:szCs w:val="24"/>
              </w:rPr>
            </w:pPr>
            <w:r>
              <w:rPr>
                <w:rFonts w:hint="eastAsia" w:ascii="仿宋_GB2312" w:hAnsi="仿宋_GB2312" w:eastAsia="仿宋_GB2312" w:cs="仿宋_GB2312"/>
                <w:b w:val="0"/>
                <w:bCs/>
                <w:sz w:val="24"/>
                <w:szCs w:val="24"/>
              </w:rPr>
              <w:t>利润</w:t>
            </w:r>
            <w:r>
              <w:rPr>
                <w:rFonts w:hint="eastAsia" w:ascii="仿宋_GB2312" w:hAnsi="仿宋_GB2312" w:eastAsia="仿宋_GB2312" w:cs="仿宋_GB2312"/>
                <w:b w:val="0"/>
                <w:bCs/>
                <w:sz w:val="24"/>
                <w:szCs w:val="24"/>
                <w:lang w:val="en-US" w:eastAsia="zh-CN"/>
              </w:rPr>
              <w:t>率</w:t>
            </w:r>
          </w:p>
        </w:tc>
        <w:tc>
          <w:tcPr>
            <w:tcW w:w="825"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eastAsia" w:ascii="仿宋_GB2312" w:hAnsi="仿宋_GB2312" w:eastAsia="仿宋_GB2312" w:cs="仿宋_GB2312"/>
                <w:b w:val="0"/>
                <w:bCs/>
                <w:sz w:val="24"/>
                <w:szCs w:val="24"/>
              </w:rPr>
            </w:pPr>
            <w:r>
              <w:rPr>
                <w:rFonts w:hint="eastAsia" w:ascii="仿宋_GB2312" w:hAnsi="仿宋_GB2312" w:eastAsia="仿宋_GB2312" w:cs="仿宋_GB2312"/>
                <w:b w:val="0"/>
                <w:bCs/>
                <w:sz w:val="24"/>
                <w:szCs w:val="24"/>
                <w:lang w:val="en-US" w:eastAsia="zh-CN"/>
              </w:rPr>
              <w:t>%</w:t>
            </w:r>
          </w:p>
        </w:tc>
        <w:tc>
          <w:tcPr>
            <w:tcW w:w="1164"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5.3</w:t>
            </w:r>
          </w:p>
        </w:tc>
        <w:tc>
          <w:tcPr>
            <w:tcW w:w="1164"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-16.3</w:t>
            </w:r>
          </w:p>
        </w:tc>
        <w:tc>
          <w:tcPr>
            <w:tcW w:w="1164"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11.2</w:t>
            </w:r>
          </w:p>
        </w:tc>
        <w:tc>
          <w:tcPr>
            <w:tcW w:w="1164"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39.7</w:t>
            </w:r>
          </w:p>
        </w:tc>
        <w:tc>
          <w:tcPr>
            <w:tcW w:w="1166"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45.5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60" w:hRule="atLeast"/>
        </w:trPr>
        <w:tc>
          <w:tcPr>
            <w:tcW w:w="733"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eastAsia" w:ascii="仿宋_GB2312" w:hAnsi="仿宋_GB2312" w:eastAsia="仿宋_GB2312" w:cs="仿宋_GB2312"/>
                <w:b w:val="0"/>
                <w:bCs/>
                <w:sz w:val="24"/>
                <w:szCs w:val="24"/>
                <w:lang w:val="en-US" w:eastAsia="zh-CN"/>
              </w:rPr>
            </w:pPr>
            <w:r>
              <w:rPr>
                <w:rFonts w:hint="eastAsia" w:ascii="仿宋_GB2312" w:hAnsi="仿宋_GB2312" w:eastAsia="仿宋_GB2312" w:cs="仿宋_GB2312"/>
                <w:b w:val="0"/>
                <w:bCs/>
                <w:sz w:val="24"/>
                <w:szCs w:val="24"/>
                <w:lang w:val="en-US" w:eastAsia="zh-CN"/>
              </w:rPr>
              <w:t>8</w:t>
            </w:r>
          </w:p>
        </w:tc>
        <w:tc>
          <w:tcPr>
            <w:tcW w:w="1717"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仿宋_GB2312" w:hAnsi="仿宋_GB2312" w:eastAsia="仿宋_GB2312" w:cs="仿宋_GB2312"/>
                <w:b w:val="0"/>
                <w:bCs/>
                <w:sz w:val="24"/>
                <w:szCs w:val="24"/>
                <w:lang w:val="en-US" w:eastAsia="zh-CN"/>
              </w:rPr>
            </w:pPr>
            <w:r>
              <w:rPr>
                <w:rFonts w:hint="eastAsia" w:ascii="仿宋_GB2312" w:hAnsi="仿宋_GB2312" w:eastAsia="仿宋_GB2312" w:cs="仿宋_GB2312"/>
                <w:b w:val="0"/>
                <w:bCs/>
                <w:sz w:val="24"/>
                <w:szCs w:val="24"/>
                <w:lang w:val="en-US" w:eastAsia="zh-CN"/>
              </w:rPr>
              <w:t>净资产收益率</w:t>
            </w:r>
          </w:p>
        </w:tc>
        <w:tc>
          <w:tcPr>
            <w:tcW w:w="825"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eastAsia" w:ascii="仿宋_GB2312" w:hAnsi="仿宋_GB2312" w:eastAsia="仿宋_GB2312" w:cs="仿宋_GB2312"/>
                <w:b w:val="0"/>
                <w:bCs/>
                <w:sz w:val="24"/>
                <w:szCs w:val="24"/>
                <w:lang w:eastAsia="zh-CN"/>
              </w:rPr>
            </w:pPr>
            <w:r>
              <w:rPr>
                <w:rFonts w:hint="eastAsia" w:ascii="仿宋_GB2312" w:hAnsi="仿宋_GB2312" w:eastAsia="仿宋_GB2312" w:cs="仿宋_GB2312"/>
                <w:b w:val="0"/>
                <w:bCs/>
                <w:sz w:val="24"/>
                <w:szCs w:val="24"/>
                <w:lang w:val="en-US" w:eastAsia="zh-CN"/>
              </w:rPr>
              <w:t>%</w:t>
            </w:r>
          </w:p>
        </w:tc>
        <w:tc>
          <w:tcPr>
            <w:tcW w:w="1164"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0.59</w:t>
            </w:r>
          </w:p>
        </w:tc>
        <w:tc>
          <w:tcPr>
            <w:tcW w:w="1164"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-4.07</w:t>
            </w:r>
          </w:p>
        </w:tc>
        <w:tc>
          <w:tcPr>
            <w:tcW w:w="1164"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4.47</w:t>
            </w:r>
          </w:p>
        </w:tc>
        <w:tc>
          <w:tcPr>
            <w:tcW w:w="1164"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25.14</w:t>
            </w:r>
          </w:p>
        </w:tc>
        <w:tc>
          <w:tcPr>
            <w:tcW w:w="1166"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360" w:lineRule="exact"/>
              <w:ind w:left="0" w:firstLine="0" w:firstLineChars="0"/>
              <w:jc w:val="center"/>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34.48</w:t>
            </w:r>
          </w:p>
        </w:tc>
      </w:tr>
    </w:tbl>
    <w:p>
      <w:pPr>
        <w:keepNext w:val="0"/>
        <w:keepLines w:val="0"/>
        <w:pageBreakBefore w:val="0"/>
        <w:widowControl w:val="0"/>
        <w:kinsoku/>
        <w:wordWrap/>
        <w:overflowPunct/>
        <w:topLinePunct w:val="0"/>
        <w:autoSpaceDE/>
        <w:autoSpaceDN/>
        <w:bidi w:val="0"/>
        <w:adjustRightInd/>
        <w:snapToGrid/>
        <w:spacing w:line="560" w:lineRule="exact"/>
        <w:ind w:firstLine="641"/>
        <w:textAlignment w:val="auto"/>
        <w:rPr>
          <w:rFonts w:hint="eastAsia" w:ascii="仿宋_GB2312" w:hAnsi="仿宋_GB2312" w:eastAsia="仿宋_GB2312" w:cs="Times New Roman"/>
          <w:b w:val="0"/>
          <w:bCs w:val="0"/>
          <w:kern w:val="2"/>
          <w:sz w:val="32"/>
          <w:szCs w:val="24"/>
          <w:lang w:val="en-US" w:eastAsia="zh-CN" w:bidi="ar-SA"/>
        </w:rPr>
      </w:pPr>
      <w:r>
        <w:rPr>
          <w:rFonts w:hint="eastAsia" w:ascii="仿宋_GB2312" w:hAnsi="仿宋_GB2312" w:eastAsia="仿宋_GB2312" w:cs="Times New Roman"/>
          <w:b w:val="0"/>
          <w:bCs w:val="0"/>
          <w:kern w:val="2"/>
          <w:sz w:val="24"/>
          <w:szCs w:val="21"/>
          <w:lang w:val="en-US" w:eastAsia="zh-CN" w:bidi="ar-SA"/>
        </w:rPr>
        <w:t>备注：1.利润率、净资产收益率指标不含政府补贴的情况下测算。2.2025年亏损主要是2025年有新增投资设备，折旧费用增加，新增5人，劳动者报酬增加。</w:t>
      </w:r>
    </w:p>
    <w:p>
      <w:pPr>
        <w:keepNext w:val="0"/>
        <w:keepLines w:val="0"/>
        <w:pageBreakBefore w:val="0"/>
        <w:tabs>
          <w:tab w:val="left" w:pos="714"/>
        </w:tabs>
        <w:kinsoku/>
        <w:wordWrap/>
        <w:overflowPunct/>
        <w:topLinePunct w:val="0"/>
        <w:bidi w:val="0"/>
        <w:adjustRightInd w:val="0"/>
        <w:snapToGrid w:val="0"/>
        <w:spacing w:line="560" w:lineRule="exact"/>
        <w:ind w:right="0" w:firstLine="641" w:firstLineChars="200"/>
        <w:textAlignment w:val="auto"/>
        <w:outlineLvl w:val="0"/>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（二）九洲产业协同效益分析</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Times New Roman"/>
          <w:b w:val="0"/>
          <w:bCs w:val="0"/>
          <w:kern w:val="2"/>
          <w:sz w:val="32"/>
          <w:szCs w:val="24"/>
          <w:lang w:val="en-US" w:eastAsia="zh-CN" w:bidi="ar-SA"/>
        </w:rPr>
      </w:pPr>
      <w:r>
        <w:rPr>
          <w:rFonts w:hint="default" w:ascii="仿宋_GB2312" w:hAnsi="仿宋_GB2312" w:eastAsia="仿宋_GB2312" w:cs="Times New Roman"/>
          <w:b w:val="0"/>
          <w:bCs w:val="0"/>
          <w:kern w:val="2"/>
          <w:sz w:val="32"/>
          <w:szCs w:val="24"/>
          <w:lang w:val="en-US" w:eastAsia="zh-CN" w:bidi="ar-SA"/>
        </w:rPr>
        <w:t>通过开展低空测试认证，取得一系列行业资质后，公司可为各主机厂、军队机关及科研院所、各JB种、基地等单位提供飞行测试服务，未来可拓宽地理测绘、培训以及定制和增值的服务能力；同时本项目将带动集团低空领域其他产业板块协同发展，拉动集团旗下九洲电器、九洲迪飞、</w:t>
      </w:r>
      <w:r>
        <w:rPr>
          <w:rFonts w:hint="eastAsia" w:ascii="仿宋_GB2312" w:hAnsi="仿宋_GB2312" w:eastAsia="仿宋_GB2312" w:cs="Times New Roman"/>
          <w:b w:val="0"/>
          <w:bCs w:val="0"/>
          <w:kern w:val="2"/>
          <w:sz w:val="32"/>
          <w:szCs w:val="24"/>
          <w:lang w:val="en-US" w:eastAsia="zh-CN" w:bidi="ar-SA"/>
        </w:rPr>
        <w:t>九洲线缆、九洲星熠、九洲防控</w:t>
      </w:r>
      <w:r>
        <w:rPr>
          <w:rFonts w:hint="default" w:ascii="仿宋_GB2312" w:hAnsi="仿宋_GB2312" w:eastAsia="仿宋_GB2312" w:cs="Times New Roman"/>
          <w:b w:val="0"/>
          <w:bCs w:val="0"/>
          <w:kern w:val="2"/>
          <w:sz w:val="32"/>
          <w:szCs w:val="24"/>
          <w:lang w:val="en-US" w:eastAsia="zh-CN" w:bidi="ar-SA"/>
        </w:rPr>
        <w:t>等低空制造领域相关公司相关业务量提升；将进一步提升营收规模、利润水平，从而优化九洲业务结构。</w:t>
      </w:r>
    </w:p>
    <w:p>
      <w:pPr>
        <w:keepNext w:val="0"/>
        <w:keepLines w:val="0"/>
        <w:pageBreakBefore w:val="0"/>
        <w:tabs>
          <w:tab w:val="left" w:pos="714"/>
        </w:tabs>
        <w:kinsoku/>
        <w:wordWrap/>
        <w:overflowPunct/>
        <w:topLinePunct w:val="0"/>
        <w:bidi w:val="0"/>
        <w:adjustRightInd w:val="0"/>
        <w:snapToGrid w:val="0"/>
        <w:spacing w:line="560" w:lineRule="exact"/>
        <w:ind w:right="0" w:firstLine="640" w:firstLineChars="200"/>
        <w:textAlignment w:val="auto"/>
        <w:outlineLvl w:val="0"/>
        <w:rPr>
          <w:rFonts w:hint="default" w:ascii="黑体" w:hAnsi="黑体" w:eastAsia="黑体" w:cs="黑体"/>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七、风险及应对措施</w:t>
      </w:r>
    </w:p>
    <w:p>
      <w:pPr>
        <w:keepNext w:val="0"/>
        <w:keepLines w:val="0"/>
        <w:pageBreakBefore w:val="0"/>
        <w:tabs>
          <w:tab w:val="left" w:pos="714"/>
        </w:tabs>
        <w:kinsoku/>
        <w:wordWrap/>
        <w:overflowPunct/>
        <w:topLinePunct w:val="0"/>
        <w:bidi w:val="0"/>
        <w:adjustRightInd w:val="0"/>
        <w:snapToGrid w:val="0"/>
        <w:spacing w:line="560" w:lineRule="exact"/>
        <w:ind w:right="0" w:firstLine="641" w:firstLineChars="200"/>
        <w:textAlignment w:val="auto"/>
        <w:outlineLvl w:val="0"/>
        <w:rPr>
          <w:rFonts w:hint="default"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（一）机场空域及跑道调度（使用）权限</w:t>
      </w:r>
    </w:p>
    <w:p>
      <w:pPr>
        <w:keepNext w:val="0"/>
        <w:keepLines w:val="0"/>
        <w:pageBreakBefore w:val="0"/>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Times New Roman"/>
          <w:b w:val="0"/>
          <w:bCs w:val="0"/>
          <w:kern w:val="2"/>
          <w:sz w:val="32"/>
          <w:szCs w:val="24"/>
          <w:lang w:val="en-US" w:eastAsia="zh-CN" w:bidi="ar-SA"/>
        </w:rPr>
      </w:pPr>
      <w:r>
        <w:rPr>
          <w:rFonts w:hint="eastAsia" w:ascii="仿宋_GB2312" w:hAnsi="仿宋_GB2312" w:eastAsia="仿宋_GB2312" w:cs="Times New Roman"/>
          <w:b w:val="0"/>
          <w:bCs w:val="0"/>
          <w:kern w:val="2"/>
          <w:sz w:val="32"/>
          <w:szCs w:val="24"/>
          <w:lang w:val="en-US" w:eastAsia="zh-CN" w:bidi="ar-SA"/>
        </w:rPr>
        <w:t>合资公司业务开展所依托的空域及机场的调配管理权限目前均不属于合资主体科航投控而是归属于其控股股东三元集团，对合资公司的经营管理构成一定的风险。</w:t>
      </w:r>
    </w:p>
    <w:p>
      <w:pPr>
        <w:keepNext w:val="0"/>
        <w:keepLines w:val="0"/>
        <w:pageBreakBefore w:val="0"/>
        <w:kinsoku/>
        <w:wordWrap/>
        <w:overflowPunct/>
        <w:topLinePunct w:val="0"/>
        <w:autoSpaceDE/>
        <w:autoSpaceDN/>
        <w:bidi w:val="0"/>
        <w:adjustRightInd/>
        <w:snapToGrid/>
        <w:spacing w:line="560" w:lineRule="exact"/>
        <w:ind w:left="0" w:firstLine="641" w:firstLineChars="200"/>
        <w:textAlignment w:val="auto"/>
        <w:rPr>
          <w:rFonts w:hint="default" w:ascii="仿宋_GB2312" w:hAnsi="仿宋_GB2312" w:eastAsia="仿宋_GB2312" w:cs="Times New Roman"/>
          <w:b w:val="0"/>
          <w:bCs w:val="0"/>
          <w:kern w:val="2"/>
          <w:sz w:val="32"/>
          <w:szCs w:val="24"/>
          <w:lang w:val="en-US" w:eastAsia="zh-CN" w:bidi="ar-SA"/>
        </w:rPr>
      </w:pPr>
      <w:r>
        <w:rPr>
          <w:rFonts w:hint="eastAsia" w:ascii="仿宋_GB2312" w:hAnsi="仿宋_GB2312" w:eastAsia="仿宋_GB2312" w:cs="Times New Roman"/>
          <w:b/>
          <w:bCs/>
          <w:kern w:val="2"/>
          <w:sz w:val="32"/>
          <w:szCs w:val="24"/>
          <w:lang w:val="en-US" w:eastAsia="zh-CN" w:bidi="ar-SA"/>
        </w:rPr>
        <w:t>应对措施：</w:t>
      </w:r>
      <w:r>
        <w:rPr>
          <w:rFonts w:hint="eastAsia" w:ascii="仿宋_GB2312" w:hAnsi="仿宋_GB2312" w:eastAsia="仿宋_GB2312" w:cs="Times New Roman"/>
          <w:b w:val="0"/>
          <w:bCs w:val="0"/>
          <w:kern w:val="2"/>
          <w:sz w:val="32"/>
          <w:szCs w:val="24"/>
          <w:lang w:val="en-US" w:eastAsia="zh-CN" w:bidi="ar-SA"/>
        </w:rPr>
        <w:t>待合资公司注册成立后，由三元集团委托合资公司作为空域管理的责任主体，按照机场地面、空域统一管理、统一调度、统筹使用；合资公司与机场公司签订协议，按市场化模式使用机场（跑道）并在前2年享受一定的优惠价格。</w:t>
      </w:r>
    </w:p>
    <w:p>
      <w:pPr>
        <w:pStyle w:val="17"/>
        <w:keepNext w:val="0"/>
        <w:keepLines w:val="0"/>
        <w:pageBreakBefore w:val="0"/>
        <w:kinsoku/>
        <w:wordWrap/>
        <w:overflowPunct/>
        <w:topLinePunct w:val="0"/>
        <w:autoSpaceDE/>
        <w:autoSpaceDN/>
        <w:bidi w:val="0"/>
        <w:adjustRightInd/>
        <w:snapToGrid/>
        <w:spacing w:line="560" w:lineRule="exact"/>
        <w:ind w:left="0" w:firstLine="641" w:firstLineChars="200"/>
        <w:textAlignment w:val="auto"/>
        <w:rPr>
          <w:rFonts w:hint="eastAsia" w:ascii="楷体_GB2312" w:hAnsi="楷体_GB2312" w:eastAsia="楷体_GB2312" w:cs="楷体_GB2312"/>
          <w:b/>
          <w:bCs/>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（二）获取资质周期长、难度大的风险</w:t>
      </w:r>
    </w:p>
    <w:p>
      <w:pPr>
        <w:keepNext w:val="0"/>
        <w:keepLines w:val="0"/>
        <w:pageBreakBefore w:val="0"/>
        <w:widowControl/>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Times New Roman"/>
          <w:b w:val="0"/>
          <w:bCs w:val="0"/>
          <w:kern w:val="2"/>
          <w:sz w:val="32"/>
          <w:szCs w:val="24"/>
          <w:lang w:val="en-US" w:eastAsia="zh-CN" w:bidi="ar-SA"/>
        </w:rPr>
      </w:pPr>
      <w:r>
        <w:rPr>
          <w:rFonts w:hint="eastAsia" w:ascii="仿宋_GB2312" w:hAnsi="仿宋_GB2312" w:eastAsia="仿宋_GB2312" w:cs="Times New Roman"/>
          <w:b w:val="0"/>
          <w:bCs w:val="0"/>
          <w:kern w:val="2"/>
          <w:sz w:val="32"/>
          <w:szCs w:val="24"/>
          <w:lang w:val="en-US" w:eastAsia="zh-CN" w:bidi="ar-SA"/>
        </w:rPr>
        <w:t>当前，国家对质量、保密等资质的申请要求越来越严格，资质申请前需具备一定的基础条件，导致取证难度较大、取证周期较长（从公司成立起计算，约需2—5年），对公司成立后前几年（特别是前3年）运营等造成较大影响。</w:t>
      </w:r>
    </w:p>
    <w:p>
      <w:pPr>
        <w:keepNext w:val="0"/>
        <w:keepLines w:val="0"/>
        <w:pageBreakBefore w:val="0"/>
        <w:widowControl/>
        <w:kinsoku/>
        <w:wordWrap/>
        <w:overflowPunct/>
        <w:topLinePunct w:val="0"/>
        <w:autoSpaceDE/>
        <w:autoSpaceDN/>
        <w:bidi w:val="0"/>
        <w:adjustRightInd/>
        <w:snapToGrid/>
        <w:spacing w:line="560" w:lineRule="exact"/>
        <w:ind w:left="0" w:firstLine="641" w:firstLineChars="200"/>
        <w:textAlignment w:val="auto"/>
        <w:rPr>
          <w:rFonts w:hint="eastAsia" w:ascii="仿宋_GB2312" w:hAnsi="仿宋_GB2312" w:eastAsia="仿宋_GB2312" w:cs="Times New Roman"/>
          <w:b w:val="0"/>
          <w:bCs w:val="0"/>
          <w:kern w:val="2"/>
          <w:sz w:val="32"/>
          <w:szCs w:val="24"/>
          <w:lang w:val="en-US" w:eastAsia="zh-CN" w:bidi="ar-SA"/>
        </w:rPr>
      </w:pPr>
      <w:r>
        <w:rPr>
          <w:rFonts w:hint="eastAsia" w:ascii="仿宋_GB2312" w:hAnsi="仿宋_GB2312" w:eastAsia="仿宋_GB2312" w:cs="Times New Roman"/>
          <w:b/>
          <w:bCs/>
          <w:kern w:val="2"/>
          <w:sz w:val="32"/>
          <w:szCs w:val="24"/>
          <w:lang w:val="en-US" w:eastAsia="zh-CN" w:bidi="ar-SA"/>
        </w:rPr>
        <w:t>应对措施：</w:t>
      </w:r>
      <w:r>
        <w:rPr>
          <w:rFonts w:hint="eastAsia" w:ascii="仿宋_GB2312" w:hAnsi="仿宋_GB2312" w:eastAsia="仿宋_GB2312" w:cs="Times New Roman"/>
          <w:b w:val="0"/>
          <w:bCs w:val="0"/>
          <w:kern w:val="2"/>
          <w:sz w:val="32"/>
          <w:szCs w:val="24"/>
          <w:lang w:val="en-US" w:eastAsia="zh-CN" w:bidi="ar-SA"/>
        </w:rPr>
        <w:t>在公司运营前期（约3年），按照资质审查标准配置相应的人员、设备，并建立相应的制度，积极获取前置条件需要的相应业务量支持，为后期取证打下良好基础。</w:t>
      </w:r>
    </w:p>
    <w:p>
      <w:pPr>
        <w:pStyle w:val="17"/>
        <w:keepNext w:val="0"/>
        <w:keepLines w:val="0"/>
        <w:pageBreakBefore w:val="0"/>
        <w:kinsoku/>
        <w:wordWrap/>
        <w:overflowPunct/>
        <w:topLinePunct w:val="0"/>
        <w:autoSpaceDE/>
        <w:autoSpaceDN/>
        <w:bidi w:val="0"/>
        <w:adjustRightInd/>
        <w:snapToGrid/>
        <w:spacing w:line="560" w:lineRule="exact"/>
        <w:ind w:left="0" w:firstLine="641" w:firstLineChars="200"/>
        <w:textAlignment w:val="auto"/>
        <w:rPr>
          <w:rFonts w:hint="default" w:ascii="楷体_GB2312" w:hAnsi="楷体_GB2312" w:eastAsia="楷体_GB2312" w:cs="楷体_GB2312"/>
          <w:b/>
          <w:bCs/>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（三）业务拓展不达预期</w:t>
      </w:r>
    </w:p>
    <w:p>
      <w:pPr>
        <w:keepNext w:val="0"/>
        <w:keepLines w:val="0"/>
        <w:pageBreakBefore w:val="0"/>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Times New Roman"/>
          <w:b w:val="0"/>
          <w:bCs w:val="0"/>
          <w:kern w:val="2"/>
          <w:sz w:val="32"/>
          <w:szCs w:val="24"/>
          <w:lang w:val="en-US" w:eastAsia="zh-CN" w:bidi="ar-SA"/>
        </w:rPr>
      </w:pPr>
      <w:r>
        <w:rPr>
          <w:rFonts w:hint="eastAsia" w:ascii="仿宋_GB2312" w:hAnsi="仿宋_GB2312" w:eastAsia="仿宋_GB2312" w:cs="Times New Roman"/>
          <w:b w:val="0"/>
          <w:bCs w:val="0"/>
          <w:kern w:val="2"/>
          <w:sz w:val="32"/>
          <w:szCs w:val="24"/>
          <w:lang w:val="en-US" w:eastAsia="zh-CN" w:bidi="ar-SA"/>
        </w:rPr>
        <w:t>合资公司在初创期需要完成双方整合、启动运营、新市场开拓等工作，同时低空经济目前尚处于培育期，市场需求不稳定，业务拓展可能面临困难。</w:t>
      </w:r>
    </w:p>
    <w:p>
      <w:pPr>
        <w:keepNext w:val="0"/>
        <w:keepLines w:val="0"/>
        <w:pageBreakBefore w:val="0"/>
        <w:widowControl w:val="0"/>
        <w:kinsoku/>
        <w:wordWrap/>
        <w:overflowPunct/>
        <w:topLinePunct w:val="0"/>
        <w:autoSpaceDE/>
        <w:autoSpaceDN/>
        <w:bidi w:val="0"/>
        <w:adjustRightInd w:val="0"/>
        <w:snapToGrid w:val="0"/>
        <w:spacing w:line="560" w:lineRule="exact"/>
        <w:ind w:firstLine="641" w:firstLineChars="200"/>
        <w:textAlignment w:val="auto"/>
        <w:outlineLvl w:val="9"/>
        <w:rPr>
          <w:rFonts w:hint="eastAsia" w:ascii="黑体" w:hAnsi="黑体" w:eastAsia="黑体" w:cs="黑体"/>
          <w:color w:val="auto"/>
          <w:sz w:val="32"/>
          <w:szCs w:val="32"/>
          <w:lang w:val="en-US" w:eastAsia="zh-CN"/>
        </w:rPr>
      </w:pPr>
      <w:r>
        <w:rPr>
          <w:rFonts w:hint="eastAsia" w:ascii="仿宋_GB2312" w:hAnsi="仿宋_GB2312" w:eastAsia="仿宋_GB2312" w:cs="Times New Roman"/>
          <w:b/>
          <w:bCs/>
          <w:kern w:val="2"/>
          <w:sz w:val="32"/>
          <w:szCs w:val="24"/>
          <w:lang w:val="en-US" w:eastAsia="zh-CN" w:bidi="ar-SA"/>
        </w:rPr>
        <w:t>应对措施：</w:t>
      </w:r>
      <w:r>
        <w:rPr>
          <w:rFonts w:hint="eastAsia" w:ascii="仿宋_GB2312" w:hAnsi="仿宋_GB2312" w:eastAsia="仿宋_GB2312" w:cs="Times New Roman"/>
          <w:b w:val="0"/>
          <w:bCs w:val="0"/>
          <w:kern w:val="2"/>
          <w:sz w:val="32"/>
          <w:szCs w:val="24"/>
          <w:lang w:val="en-US" w:eastAsia="zh-CN" w:bidi="ar-SA"/>
        </w:rPr>
        <w:t>设置合理的运行架构、工作流程、激励机制和权责界面，保证内部运行流畅高效；加大市场拓展，快速将通航产业园入园无人机公司的测试需求和九洲渠道资源转化为合资公司订单；依托与广五所的合作力争于2026年获取相关测试CNAS资质，并打通民航局适航司、JB种试鉴局的测试认证渠道，利用资质和技术优势瞄准重点客户重点突破，实现周期性持续测试业务订单。</w:t>
      </w:r>
    </w:p>
    <w:p>
      <w:pPr>
        <w:keepNext w:val="0"/>
        <w:keepLines w:val="0"/>
        <w:pageBreakBefore w:val="0"/>
        <w:widowControl/>
        <w:suppressLineNumbers w:val="0"/>
        <w:kinsoku/>
        <w:wordWrap/>
        <w:overflowPunct/>
        <w:topLinePunct w:val="0"/>
        <w:autoSpaceDE/>
        <w:autoSpaceDN/>
        <w:bidi w:val="0"/>
        <w:spacing w:beforeAutospacing="0" w:after="0" w:afterAutospacing="0" w:line="540" w:lineRule="exact"/>
        <w:ind w:left="0" w:leftChars="0" w:right="0" w:firstLine="640" w:firstLineChars="200"/>
        <w:jc w:val="both"/>
        <w:textAlignment w:val="auto"/>
        <w:outlineLvl w:val="9"/>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sz w:val="32"/>
          <w:lang w:val="en-US" w:eastAsia="zh-CN"/>
        </w:rPr>
        <w:t>以上事项已由九洲集团党委会前置研究，董事会审议同意，根据《绵阳市市属国有企业投融资及担保管理暂行办法》（绵府发〔2023〕1号）第九条“……投资设立纳入合并报表范围内的子公司，应当在董事会决议后5个工作日内报国资监管部门备案……”，现将该事项报贵委备案</w:t>
      </w:r>
      <w:r>
        <w:rPr>
          <w:rFonts w:hint="eastAsia" w:ascii="仿宋_GB2312" w:hAnsi="仿宋_GB2312" w:eastAsia="仿宋_GB2312" w:cs="仿宋_GB2312"/>
          <w:color w:val="auto"/>
          <w:spacing w:val="0"/>
          <w:sz w:val="32"/>
          <w:szCs w:val="32"/>
        </w:rPr>
        <w:t>。</w:t>
      </w:r>
    </w:p>
    <w:p>
      <w:pPr>
        <w:keepNext w:val="0"/>
        <w:keepLines w:val="0"/>
        <w:pageBreakBefore w:val="0"/>
        <w:widowControl w:val="0"/>
        <w:kinsoku/>
        <w:wordWrap/>
        <w:overflowPunct/>
        <w:topLinePunct w:val="0"/>
        <w:autoSpaceDE/>
        <w:autoSpaceDN/>
        <w:bidi w:val="0"/>
        <w:adjustRightInd/>
        <w:snapToGrid/>
        <w:spacing w:line="540" w:lineRule="exact"/>
        <w:ind w:left="0" w:leftChars="0" w:firstLine="640" w:firstLineChars="200"/>
        <w:textAlignment w:val="auto"/>
        <w:outlineLvl w:val="9"/>
        <w:rPr>
          <w:rFonts w:hint="eastAsia" w:ascii="仿宋_GB2312" w:hAnsi="仿宋_GB2312" w:eastAsia="仿宋_GB2312" w:cs="仿宋_GB2312"/>
          <w:sz w:val="32"/>
          <w:lang w:val="en-US" w:eastAsia="zh-CN"/>
        </w:rPr>
      </w:pPr>
      <w:r>
        <w:rPr>
          <w:rFonts w:hint="eastAsia" w:ascii="仿宋_GB2312" w:hAnsi="仿宋_GB2312" w:eastAsia="仿宋_GB2312" w:cs="仿宋_GB2312"/>
          <w:sz w:val="32"/>
          <w:lang w:val="en-US" w:eastAsia="zh-CN"/>
        </w:rPr>
        <w:t>特此报告。</w:t>
      </w:r>
    </w:p>
    <w:p>
      <w:pPr>
        <w:keepNext w:val="0"/>
        <w:keepLines w:val="0"/>
        <w:pageBreakBefore w:val="0"/>
        <w:widowControl w:val="0"/>
        <w:kinsoku/>
        <w:wordWrap/>
        <w:overflowPunct/>
        <w:topLinePunct w:val="0"/>
        <w:autoSpaceDE/>
        <w:autoSpaceDN/>
        <w:bidi w:val="0"/>
        <w:adjustRightInd/>
        <w:snapToGrid/>
        <w:spacing w:line="540" w:lineRule="exact"/>
        <w:ind w:left="0" w:leftChars="0" w:firstLine="640" w:firstLineChars="200"/>
        <w:textAlignment w:val="auto"/>
        <w:outlineLvl w:val="9"/>
        <w:rPr>
          <w:rFonts w:hint="eastAsia" w:ascii="仿宋_GB2312" w:hAnsi="仿宋_GB2312" w:eastAsia="仿宋_GB2312" w:cs="仿宋_GB2312"/>
          <w:sz w:val="32"/>
          <w:lang w:val="en-US" w:eastAsia="zh-CN"/>
        </w:rPr>
      </w:pPr>
    </w:p>
    <w:p>
      <w:pPr>
        <w:keepNext w:val="0"/>
        <w:keepLines w:val="0"/>
        <w:pageBreakBefore w:val="0"/>
        <w:widowControl w:val="0"/>
        <w:kinsoku/>
        <w:wordWrap/>
        <w:overflowPunct/>
        <w:topLinePunct w:val="0"/>
        <w:autoSpaceDE/>
        <w:autoSpaceDN/>
        <w:bidi w:val="0"/>
        <w:adjustRightInd/>
        <w:snapToGrid w:val="0"/>
        <w:spacing w:line="540" w:lineRule="exact"/>
        <w:ind w:left="2053" w:leftChars="303" w:hanging="1417" w:hangingChars="443"/>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pacing w:val="0"/>
          <w:sz w:val="32"/>
          <w:szCs w:val="32"/>
        </w:rPr>
        <w:t>附件：</w:t>
      </w:r>
      <w:r>
        <w:rPr>
          <w:rFonts w:hint="eastAsia" w:ascii="仿宋_GB2312" w:hAnsi="仿宋_GB2312" w:eastAsia="仿宋_GB2312" w:cs="仿宋_GB2312"/>
          <w:spacing w:val="0"/>
          <w:sz w:val="32"/>
          <w:szCs w:val="32"/>
          <w:lang w:val="en-US" w:eastAsia="zh-CN"/>
        </w:rPr>
        <w:t>1.</w:t>
      </w:r>
      <w:r>
        <w:rPr>
          <w:rFonts w:hint="eastAsia" w:ascii="仿宋_GB2312" w:hAnsi="仿宋_GB2312" w:eastAsia="仿宋_GB2312" w:cs="仿宋_GB2312"/>
          <w:sz w:val="32"/>
          <w:szCs w:val="32"/>
        </w:rPr>
        <w:t>关于成立四川九洲永昌测试有限责任公司的项目可</w:t>
      </w:r>
    </w:p>
    <w:p>
      <w:pPr>
        <w:keepNext w:val="0"/>
        <w:keepLines w:val="0"/>
        <w:pageBreakBefore w:val="0"/>
        <w:widowControl w:val="0"/>
        <w:kinsoku/>
        <w:wordWrap/>
        <w:overflowPunct/>
        <w:topLinePunct w:val="0"/>
        <w:autoSpaceDE/>
        <w:autoSpaceDN/>
        <w:bidi w:val="0"/>
        <w:adjustRightInd/>
        <w:snapToGrid w:val="0"/>
        <w:spacing w:line="540" w:lineRule="exact"/>
        <w:ind w:firstLine="1600" w:firstLineChars="500"/>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行性研究报告</w:t>
      </w:r>
    </w:p>
    <w:p>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1600" w:firstLineChars="5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九洲集团党委会前置研究会议纪要</w:t>
      </w:r>
    </w:p>
    <w:p>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1600" w:firstLineChars="5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九洲集团</w:t>
      </w:r>
      <w:r>
        <w:rPr>
          <w:rFonts w:hint="eastAsia" w:ascii="仿宋_GB2312" w:hAnsi="仿宋_GB2312" w:eastAsia="仿宋_GB2312" w:cs="仿宋_GB2312"/>
          <w:sz w:val="32"/>
          <w:szCs w:val="32"/>
          <w:lang w:eastAsia="zh-CN"/>
        </w:rPr>
        <w:t>董事会</w:t>
      </w:r>
      <w:r>
        <w:rPr>
          <w:rFonts w:hint="eastAsia" w:ascii="仿宋_GB2312" w:hAnsi="仿宋_GB2312" w:eastAsia="仿宋_GB2312" w:cs="仿宋_GB2312"/>
          <w:sz w:val="32"/>
          <w:szCs w:val="32"/>
        </w:rPr>
        <w:t>决议</w:t>
      </w:r>
    </w:p>
    <w:p>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1600" w:firstLineChars="500"/>
        <w:textAlignment w:val="auto"/>
        <w:outlineLvl w:val="9"/>
        <w:rPr>
          <w:rFonts w:hint="default"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eastAsia="zh-CN"/>
        </w:rPr>
        <w:t>4.合资协议书（拟签署稿）</w:t>
      </w:r>
    </w:p>
    <w:p>
      <w:pPr>
        <w:keepNext w:val="0"/>
        <w:keepLines w:val="0"/>
        <w:pageBreakBefore w:val="0"/>
        <w:numPr>
          <w:ilvl w:val="0"/>
          <w:numId w:val="0"/>
        </w:numPr>
        <w:kinsoku/>
        <w:wordWrap/>
        <w:overflowPunct/>
        <w:topLinePunct w:val="0"/>
        <w:autoSpaceDE/>
        <w:autoSpaceDN/>
        <w:bidi w:val="0"/>
        <w:snapToGrid w:val="0"/>
        <w:spacing w:line="540" w:lineRule="exact"/>
        <w:ind w:firstLine="1600" w:firstLineChars="500"/>
        <w:textAlignment w:val="auto"/>
        <w:outlineLvl w:val="9"/>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5.公司章程（拟签署稿）</w:t>
      </w:r>
    </w:p>
    <w:p>
      <w:pPr>
        <w:keepNext w:val="0"/>
        <w:keepLines w:val="0"/>
        <w:pageBreakBefore w:val="0"/>
        <w:numPr>
          <w:ilvl w:val="0"/>
          <w:numId w:val="0"/>
        </w:numPr>
        <w:kinsoku/>
        <w:wordWrap/>
        <w:overflowPunct/>
        <w:topLinePunct w:val="0"/>
        <w:autoSpaceDE/>
        <w:autoSpaceDN/>
        <w:bidi w:val="0"/>
        <w:snapToGrid w:val="0"/>
        <w:spacing w:line="540" w:lineRule="exact"/>
        <w:ind w:firstLine="1600" w:firstLineChars="500"/>
        <w:textAlignment w:val="auto"/>
        <w:outlineLvl w:val="9"/>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6.合作方情况说明</w:t>
      </w:r>
    </w:p>
    <w:p>
      <w:pPr>
        <w:keepNext w:val="0"/>
        <w:keepLines w:val="0"/>
        <w:pageBreakBefore w:val="0"/>
        <w:numPr>
          <w:ilvl w:val="0"/>
          <w:numId w:val="0"/>
        </w:numPr>
        <w:kinsoku/>
        <w:wordWrap/>
        <w:overflowPunct/>
        <w:topLinePunct w:val="0"/>
        <w:autoSpaceDE/>
        <w:autoSpaceDN/>
        <w:bidi w:val="0"/>
        <w:snapToGrid w:val="0"/>
        <w:spacing w:line="540" w:lineRule="exact"/>
        <w:ind w:firstLine="1600" w:firstLineChars="5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7.资金来源说明</w:t>
      </w:r>
    </w:p>
    <w:p>
      <w:pPr>
        <w:pStyle w:val="2"/>
        <w:ind w:firstLine="1600" w:firstLineChars="500"/>
        <w:rPr>
          <w:rFonts w:hint="default"/>
          <w:lang w:val="en-US"/>
        </w:rPr>
      </w:pPr>
      <w:r>
        <w:rPr>
          <w:rFonts w:hint="eastAsia" w:ascii="仿宋_GB2312" w:hAnsi="仿宋_GB2312" w:eastAsia="仿宋_GB2312" w:cs="仿宋_GB2312"/>
          <w:sz w:val="32"/>
          <w:szCs w:val="32"/>
          <w:lang w:val="en-US" w:eastAsia="zh-CN"/>
        </w:rPr>
        <w:t>8.法律意见书</w:t>
      </w:r>
    </w:p>
    <w:p>
      <w:pPr>
        <w:keepNext w:val="0"/>
        <w:keepLines w:val="0"/>
        <w:pageBreakBefore w:val="0"/>
        <w:widowControl w:val="0"/>
        <w:kinsoku/>
        <w:wordWrap/>
        <w:overflowPunct/>
        <w:topLinePunct w:val="0"/>
        <w:autoSpaceDE/>
        <w:autoSpaceDN/>
        <w:bidi w:val="0"/>
        <w:adjustRightInd/>
        <w:snapToGrid/>
        <w:spacing w:after="313" w:afterLines="100" w:line="540" w:lineRule="exact"/>
        <w:ind w:firstLine="3904" w:firstLineChars="1220"/>
        <w:textAlignment w:val="auto"/>
        <w:rPr>
          <w:rFonts w:hint="eastAsia" w:ascii="仿宋_GB2312" w:hAnsi="宋体" w:eastAsia="仿宋_GB2312"/>
          <w:sz w:val="32"/>
          <w:szCs w:val="32"/>
        </w:rPr>
      </w:pPr>
    </w:p>
    <w:p>
      <w:pPr>
        <w:spacing w:line="480" w:lineRule="exact"/>
        <w:ind w:left="0" w:leftChars="0" w:firstLine="3958" w:firstLineChars="1237"/>
        <w:rPr>
          <w:rFonts w:hint="eastAsia" w:ascii="仿宋_GB2312" w:eastAsia="仿宋_GB2312"/>
          <w:sz w:val="32"/>
          <w:szCs w:val="32"/>
        </w:rPr>
      </w:pPr>
      <w:r>
        <w:rPr>
          <w:rFonts w:hint="eastAsia" w:ascii="仿宋_GB2312" w:eastAsia="仿宋_GB2312"/>
          <w:sz w:val="32"/>
          <w:szCs w:val="32"/>
        </w:rPr>
        <w:t>四川九洲投资控股集团有限公司</w:t>
      </w:r>
    </w:p>
    <w:p>
      <w:pPr>
        <w:spacing w:line="480" w:lineRule="exact"/>
        <w:ind w:right="1260" w:rightChars="600"/>
        <w:jc w:val="right"/>
        <w:rPr>
          <w:rFonts w:hint="eastAsia" w:ascii="仿宋_GB2312" w:eastAsia="仿宋_GB2312"/>
          <w:sz w:val="32"/>
          <w:szCs w:val="32"/>
        </w:rPr>
      </w:pPr>
      <w:r>
        <w:rPr>
          <w:rFonts w:hint="eastAsia" w:ascii="仿宋_GB2312" w:eastAsia="仿宋_GB2312"/>
          <w:sz w:val="32"/>
          <w:szCs w:val="32"/>
          <w:lang w:eastAsia="zh-CN"/>
        </w:rPr>
        <w:t>202</w:t>
      </w:r>
      <w:r>
        <w:rPr>
          <w:rFonts w:hint="eastAsia" w:ascii="仿宋_GB2312" w:eastAsia="仿宋_GB2312"/>
          <w:sz w:val="32"/>
          <w:szCs w:val="32"/>
          <w:lang w:val="en-US" w:eastAsia="zh-CN"/>
        </w:rPr>
        <w:t>4</w:t>
      </w:r>
      <w:r>
        <w:rPr>
          <w:rFonts w:hint="eastAsia" w:ascii="仿宋_GB2312" w:eastAsia="仿宋_GB2312"/>
          <w:sz w:val="32"/>
          <w:szCs w:val="32"/>
        </w:rPr>
        <w:t>年</w:t>
      </w:r>
      <w:r>
        <w:rPr>
          <w:rFonts w:hint="eastAsia" w:ascii="仿宋_GB2312" w:eastAsia="仿宋_GB2312"/>
          <w:sz w:val="32"/>
          <w:szCs w:val="32"/>
          <w:lang w:val="en-US" w:eastAsia="zh-CN"/>
        </w:rPr>
        <w:t>6</w:t>
      </w:r>
      <w:r>
        <w:rPr>
          <w:rFonts w:hint="eastAsia" w:ascii="仿宋_GB2312" w:eastAsia="仿宋_GB2312"/>
          <w:sz w:val="32"/>
          <w:szCs w:val="32"/>
        </w:rPr>
        <w:t>月</w:t>
      </w:r>
      <w:r>
        <w:rPr>
          <w:rFonts w:hint="eastAsia" w:ascii="仿宋_GB2312" w:eastAsia="仿宋_GB2312"/>
          <w:sz w:val="32"/>
          <w:szCs w:val="32"/>
          <w:lang w:val="en-US" w:eastAsia="zh-CN"/>
        </w:rPr>
        <w:t>3</w:t>
      </w:r>
      <w:r>
        <w:rPr>
          <w:rFonts w:hint="eastAsia" w:ascii="仿宋_GB2312" w:eastAsia="仿宋_GB2312"/>
          <w:sz w:val="32"/>
          <w:szCs w:val="32"/>
        </w:rPr>
        <w:t>日</w:t>
      </w:r>
    </w:p>
    <w:sectPr>
      <w:headerReference r:id="rId3" w:type="default"/>
      <w:footerReference r:id="rId5" w:type="default"/>
      <w:headerReference r:id="rId4" w:type="even"/>
      <w:footerReference r:id="rId6" w:type="even"/>
      <w:pgSz w:w="11906" w:h="16838"/>
      <w:pgMar w:top="2098" w:right="1474" w:bottom="1984" w:left="1588" w:header="1134" w:footer="1531"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altName w:val="汉仪书宋二KW"/>
    <w:panose1 w:val="02010600030101010101"/>
    <w:charset w:val="7A"/>
    <w:family w:val="auto"/>
    <w:pitch w:val="default"/>
    <w:sig w:usb0="00000000" w:usb1="00000000" w:usb2="00000006" w:usb3="00000000" w:csb0="00040001"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楷体_GB2312">
    <w:altName w:val="汉仪楷体KW"/>
    <w:panose1 w:val="02010609030101010101"/>
    <w:charset w:val="86"/>
    <w:family w:val="modern"/>
    <w:pitch w:val="default"/>
    <w:sig w:usb0="00000000" w:usb1="00000000" w:usb2="00000000" w:usb3="00000000" w:csb0="00040000" w:csb1="00000000"/>
  </w:font>
  <w:font w:name="仿宋_GB2312">
    <w:altName w:val="汉仪仿宋KW"/>
    <w:panose1 w:val="02010609030101010101"/>
    <w:charset w:val="86"/>
    <w:family w:val="modern"/>
    <w:pitch w:val="default"/>
    <w:sig w:usb0="00000000" w:usb1="00000000" w:usb2="00000000" w:usb3="00000000" w:csb0="00040000" w:csb1="00000000"/>
  </w:font>
  <w:font w:name="方正书宋简体">
    <w:altName w:val="MiSans Thin"/>
    <w:panose1 w:val="00000000000000000000"/>
    <w:charset w:val="86"/>
    <w:family w:val="script"/>
    <w:pitch w:val="default"/>
    <w:sig w:usb0="00000000" w:usb1="00000000" w:usb2="00000010" w:usb3="00000000" w:csb0="00040000" w:csb1="00000000"/>
  </w:font>
  <w:font w:name="方正小标宋简体">
    <w:altName w:val="汉仪书宋二KW"/>
    <w:panose1 w:val="02000000000000000000"/>
    <w:charset w:val="86"/>
    <w:family w:val="script"/>
    <w:pitch w:val="default"/>
    <w:sig w:usb0="00000000" w:usb1="00000000" w:usb2="00000000" w:usb3="00000000" w:csb0="00040000" w:csb1="00000000"/>
  </w:font>
  <w:font w:name="汉仪楷体KW">
    <w:panose1 w:val="00020600040101010101"/>
    <w:charset w:val="86"/>
    <w:family w:val="auto"/>
    <w:pitch w:val="default"/>
    <w:sig w:usb0="A00002BF" w:usb1="18EF7CFA" w:usb2="00000016" w:usb3="00000000" w:csb0="00040000" w:csb1="00000000"/>
  </w:font>
  <w:font w:name="汉仪仿宋KW">
    <w:panose1 w:val="00020600040101010101"/>
    <w:charset w:val="86"/>
    <w:family w:val="auto"/>
    <w:pitch w:val="default"/>
    <w:sig w:usb0="A00002BF" w:usb1="18EF7CFA" w:usb2="00000016" w:usb3="00000000" w:csb0="00040000" w:csb1="00000000"/>
  </w:font>
  <w:font w:name="MiSans Thin">
    <w:panose1 w:val="00000200000000000000"/>
    <w:charset w:val="86"/>
    <w:family w:val="auto"/>
    <w:pitch w:val="default"/>
    <w:sig w:usb0="80000287" w:usb1="080F1811"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left="315" w:leftChars="150" w:right="315" w:rightChars="150"/>
      <w:jc w:val="right"/>
      <w:rPr>
        <w:rFonts w:hint="eastAsia" w:ascii="仿宋_GB2312" w:eastAsia="仿宋_GB2312"/>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7"/>
                            <w:keepNext w:val="0"/>
                            <w:keepLines w:val="0"/>
                            <w:pageBreakBefore w:val="0"/>
                            <w:widowControl w:val="0"/>
                            <w:kinsoku/>
                            <w:wordWrap/>
                            <w:overflowPunct/>
                            <w:topLinePunct w:val="0"/>
                            <w:autoSpaceDE/>
                            <w:autoSpaceDN/>
                            <w:bidi w:val="0"/>
                            <w:adjustRightInd/>
                            <w:snapToGrid w:val="0"/>
                            <w:ind w:right="315" w:rightChars="15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 xml:space="preserve">— </w:t>
                          </w:r>
                          <w:r>
                            <w:rPr>
                              <w:rFonts w:hint="eastAsia" w:ascii="仿宋_GB2312" w:hAnsi="仿宋_GB2312" w:eastAsia="仿宋_GB2312" w:cs="仿宋_GB2312"/>
                              <w:sz w:val="28"/>
                              <w:szCs w:val="28"/>
                              <w:lang w:eastAsia="zh-CN"/>
                            </w:rPr>
                            <w:fldChar w:fldCharType="begin"/>
                          </w:r>
                          <w:r>
                            <w:rPr>
                              <w:rFonts w:hint="eastAsia" w:ascii="仿宋_GB2312" w:hAnsi="仿宋_GB2312" w:eastAsia="仿宋_GB2312" w:cs="仿宋_GB2312"/>
                              <w:sz w:val="28"/>
                              <w:szCs w:val="28"/>
                              <w:lang w:eastAsia="zh-CN"/>
                            </w:rPr>
                            <w:instrText xml:space="preserve"> PAGE  \* MERGEFORMAT </w:instrText>
                          </w:r>
                          <w:r>
                            <w:rPr>
                              <w:rFonts w:hint="eastAsia" w:ascii="仿宋_GB2312" w:hAnsi="仿宋_GB2312" w:eastAsia="仿宋_GB2312" w:cs="仿宋_GB2312"/>
                              <w:sz w:val="28"/>
                              <w:szCs w:val="28"/>
                              <w:lang w:eastAsia="zh-CN"/>
                            </w:rPr>
                            <w:fldChar w:fldCharType="separate"/>
                          </w:r>
                          <w:r>
                            <w:rPr>
                              <w:rFonts w:hint="eastAsia" w:ascii="仿宋_GB2312" w:hAnsi="仿宋_GB2312" w:eastAsia="仿宋_GB2312" w:cs="仿宋_GB2312"/>
                              <w:sz w:val="28"/>
                              <w:szCs w:val="28"/>
                              <w:lang w:eastAsia="zh-CN"/>
                            </w:rPr>
                            <w:t>1</w:t>
                          </w:r>
                          <w:r>
                            <w:rPr>
                              <w:rFonts w:hint="eastAsia" w:ascii="仿宋_GB2312" w:hAnsi="仿宋_GB2312" w:eastAsia="仿宋_GB2312" w:cs="仿宋_GB2312"/>
                              <w:sz w:val="28"/>
                              <w:szCs w:val="28"/>
                              <w:lang w:eastAsia="zh-CN"/>
                            </w:rPr>
                            <w:fldChar w:fldCharType="end"/>
                          </w:r>
                          <w:r>
                            <w:rPr>
                              <w:rFonts w:hint="eastAsia" w:ascii="仿宋_GB2312" w:hAnsi="仿宋_GB2312" w:eastAsia="仿宋_GB2312" w:cs="仿宋_GB2312"/>
                              <w:sz w:val="28"/>
                              <w:szCs w:val="28"/>
                              <w:lang w:eastAsia="zh-CN"/>
                            </w:rPr>
                            <w:t xml:space="preserve"> —</w:t>
                          </w:r>
                        </w:p>
                      </w:txbxContent>
                    </wps:txbx>
                    <wps:bodyPr vert="horz" wrap="none" lIns="0" tIns="0" rIns="0" bIns="0" anchor="t" anchorCtr="0" upright="0">
                      <a:spAutoFit/>
                    </wps:bodyPr>
                  </wps:wsp>
                </a:graphicData>
              </a:graphic>
            </wp:anchor>
          </w:drawing>
        </mc:Choice>
        <mc:Fallback>
          <w:pict>
            <v:shape id="文本框 1025"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zql5uc8AAAAFAQAADwAAAAAAAAAB&#10;ACAAAAAiAAAAZHJzL2Rvd25yZXYueG1sUEsBAhQAFAAAAAgAh07iQMHwhx/gAQAAwQMAAA4AAAAA&#10;AAAAAQAgAAAAHgEAAGRycy9lMm9Eb2MueG1sUEsFBgAAAAAGAAYAWQEAAHAFAAAAAA==&#10;">
              <v:fill on="f" focussize="0,0"/>
              <v:stroke on="f"/>
              <v:imagedata o:title=""/>
              <o:lock v:ext="edit" aspectratio="f"/>
              <v:textbox inset="0mm,0mm,0mm,0mm" style="mso-fit-shape-to-text:t;">
                <w:txbxContent>
                  <w:p>
                    <w:pPr>
                      <w:pStyle w:val="7"/>
                      <w:keepNext w:val="0"/>
                      <w:keepLines w:val="0"/>
                      <w:pageBreakBefore w:val="0"/>
                      <w:widowControl w:val="0"/>
                      <w:kinsoku/>
                      <w:wordWrap/>
                      <w:overflowPunct/>
                      <w:topLinePunct w:val="0"/>
                      <w:autoSpaceDE/>
                      <w:autoSpaceDN/>
                      <w:bidi w:val="0"/>
                      <w:adjustRightInd/>
                      <w:snapToGrid w:val="0"/>
                      <w:ind w:right="315" w:rightChars="15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 xml:space="preserve">— </w:t>
                    </w:r>
                    <w:r>
                      <w:rPr>
                        <w:rFonts w:hint="eastAsia" w:ascii="仿宋_GB2312" w:hAnsi="仿宋_GB2312" w:eastAsia="仿宋_GB2312" w:cs="仿宋_GB2312"/>
                        <w:sz w:val="28"/>
                        <w:szCs w:val="28"/>
                        <w:lang w:eastAsia="zh-CN"/>
                      </w:rPr>
                      <w:fldChar w:fldCharType="begin"/>
                    </w:r>
                    <w:r>
                      <w:rPr>
                        <w:rFonts w:hint="eastAsia" w:ascii="仿宋_GB2312" w:hAnsi="仿宋_GB2312" w:eastAsia="仿宋_GB2312" w:cs="仿宋_GB2312"/>
                        <w:sz w:val="28"/>
                        <w:szCs w:val="28"/>
                        <w:lang w:eastAsia="zh-CN"/>
                      </w:rPr>
                      <w:instrText xml:space="preserve"> PAGE  \* MERGEFORMAT </w:instrText>
                    </w:r>
                    <w:r>
                      <w:rPr>
                        <w:rFonts w:hint="eastAsia" w:ascii="仿宋_GB2312" w:hAnsi="仿宋_GB2312" w:eastAsia="仿宋_GB2312" w:cs="仿宋_GB2312"/>
                        <w:sz w:val="28"/>
                        <w:szCs w:val="28"/>
                        <w:lang w:eastAsia="zh-CN"/>
                      </w:rPr>
                      <w:fldChar w:fldCharType="separate"/>
                    </w:r>
                    <w:r>
                      <w:rPr>
                        <w:rFonts w:hint="eastAsia" w:ascii="仿宋_GB2312" w:hAnsi="仿宋_GB2312" w:eastAsia="仿宋_GB2312" w:cs="仿宋_GB2312"/>
                        <w:sz w:val="28"/>
                        <w:szCs w:val="28"/>
                        <w:lang w:eastAsia="zh-CN"/>
                      </w:rPr>
                      <w:t>1</w:t>
                    </w:r>
                    <w:r>
                      <w:rPr>
                        <w:rFonts w:hint="eastAsia" w:ascii="仿宋_GB2312" w:hAnsi="仿宋_GB2312" w:eastAsia="仿宋_GB2312" w:cs="仿宋_GB2312"/>
                        <w:sz w:val="28"/>
                        <w:szCs w:val="28"/>
                        <w:lang w:eastAsia="zh-CN"/>
                      </w:rPr>
                      <w:fldChar w:fldCharType="end"/>
                    </w:r>
                    <w:r>
                      <w:rPr>
                        <w:rFonts w:hint="eastAsia" w:ascii="仿宋_GB2312" w:hAnsi="仿宋_GB2312" w:eastAsia="仿宋_GB2312" w:cs="仿宋_GB2312"/>
                        <w:sz w:val="28"/>
                        <w:szCs w:val="28"/>
                        <w:lang w:eastAsia="zh-CN"/>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left="315" w:leftChars="150" w:right="315" w:rightChars="150"/>
      <w:rPr>
        <w:rFonts w:hint="eastAsia" w:ascii="仿宋_GB2312" w:eastAsia="仿宋_GB2312"/>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10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7"/>
                            <w:keepNext w:val="0"/>
                            <w:keepLines w:val="0"/>
                            <w:pageBreakBefore w:val="0"/>
                            <w:widowControl w:val="0"/>
                            <w:kinsoku/>
                            <w:wordWrap/>
                            <w:overflowPunct/>
                            <w:topLinePunct w:val="0"/>
                            <w:autoSpaceDE/>
                            <w:autoSpaceDN/>
                            <w:bidi w:val="0"/>
                            <w:adjustRightInd/>
                            <w:snapToGrid w:val="0"/>
                            <w:ind w:left="315" w:leftChars="15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 xml:space="preserve">— </w:t>
                          </w:r>
                          <w:r>
                            <w:rPr>
                              <w:rFonts w:hint="eastAsia" w:ascii="仿宋_GB2312" w:hAnsi="仿宋_GB2312" w:eastAsia="仿宋_GB2312" w:cs="仿宋_GB2312"/>
                              <w:sz w:val="28"/>
                              <w:szCs w:val="28"/>
                              <w:lang w:eastAsia="zh-CN"/>
                            </w:rPr>
                            <w:fldChar w:fldCharType="begin"/>
                          </w:r>
                          <w:r>
                            <w:rPr>
                              <w:rFonts w:hint="eastAsia" w:ascii="仿宋_GB2312" w:hAnsi="仿宋_GB2312" w:eastAsia="仿宋_GB2312" w:cs="仿宋_GB2312"/>
                              <w:sz w:val="28"/>
                              <w:szCs w:val="28"/>
                              <w:lang w:eastAsia="zh-CN"/>
                            </w:rPr>
                            <w:instrText xml:space="preserve"> PAGE  \* MERGEFORMAT </w:instrText>
                          </w:r>
                          <w:r>
                            <w:rPr>
                              <w:rFonts w:hint="eastAsia" w:ascii="仿宋_GB2312" w:hAnsi="仿宋_GB2312" w:eastAsia="仿宋_GB2312" w:cs="仿宋_GB2312"/>
                              <w:sz w:val="28"/>
                              <w:szCs w:val="28"/>
                              <w:lang w:eastAsia="zh-CN"/>
                            </w:rPr>
                            <w:fldChar w:fldCharType="separate"/>
                          </w:r>
                          <w:r>
                            <w:rPr>
                              <w:rFonts w:hint="eastAsia" w:ascii="仿宋_GB2312" w:hAnsi="仿宋_GB2312" w:eastAsia="仿宋_GB2312" w:cs="仿宋_GB2312"/>
                              <w:sz w:val="28"/>
                              <w:szCs w:val="28"/>
                              <w:lang w:eastAsia="zh-CN"/>
                            </w:rPr>
                            <w:t>2</w:t>
                          </w:r>
                          <w:r>
                            <w:rPr>
                              <w:rFonts w:hint="eastAsia" w:ascii="仿宋_GB2312" w:hAnsi="仿宋_GB2312" w:eastAsia="仿宋_GB2312" w:cs="仿宋_GB2312"/>
                              <w:sz w:val="28"/>
                              <w:szCs w:val="28"/>
                              <w:lang w:eastAsia="zh-CN"/>
                            </w:rPr>
                            <w:fldChar w:fldCharType="end"/>
                          </w:r>
                          <w:r>
                            <w:rPr>
                              <w:rFonts w:hint="eastAsia" w:ascii="仿宋_GB2312" w:hAnsi="仿宋_GB2312" w:eastAsia="仿宋_GB2312" w:cs="仿宋_GB2312"/>
                              <w:sz w:val="28"/>
                              <w:szCs w:val="28"/>
                              <w:lang w:eastAsia="zh-CN"/>
                            </w:rPr>
                            <w:t xml:space="preserve"> —</w:t>
                          </w:r>
                        </w:p>
                      </w:txbxContent>
                    </wps:txbx>
                    <wps:bodyPr vert="horz" wrap="none" lIns="0" tIns="0" rIns="0" bIns="0" anchor="t" anchorCtr="0" upright="0">
                      <a:spAutoFit/>
                    </wps:bodyPr>
                  </wps:wsp>
                </a:graphicData>
              </a:graphic>
            </wp:anchor>
          </w:drawing>
        </mc:Choice>
        <mc:Fallback>
          <w:pict>
            <v:shape id="文本框 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M6pebnPAAAABQEAAA8AAAAAAAAA&#10;AQAgAAAAIgAAAGRycy9kb3ducmV2LnhtbFBLAQIUABQAAAAIAIdO4kAGClCn4QEAAMEDAAAOAAAA&#10;AAAAAAEAIAAAAB4BAABkcnMvZTJvRG9jLnhtbFBLBQYAAAAABgAGAFkBAABxBQAAAAA=&#10;">
              <v:fill on="f" focussize="0,0"/>
              <v:stroke on="f"/>
              <v:imagedata o:title=""/>
              <o:lock v:ext="edit" aspectratio="f"/>
              <v:textbox inset="0mm,0mm,0mm,0mm" style="mso-fit-shape-to-text:t;">
                <w:txbxContent>
                  <w:p>
                    <w:pPr>
                      <w:pStyle w:val="7"/>
                      <w:keepNext w:val="0"/>
                      <w:keepLines w:val="0"/>
                      <w:pageBreakBefore w:val="0"/>
                      <w:widowControl w:val="0"/>
                      <w:kinsoku/>
                      <w:wordWrap/>
                      <w:overflowPunct/>
                      <w:topLinePunct w:val="0"/>
                      <w:autoSpaceDE/>
                      <w:autoSpaceDN/>
                      <w:bidi w:val="0"/>
                      <w:adjustRightInd/>
                      <w:snapToGrid w:val="0"/>
                      <w:ind w:left="315" w:leftChars="15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 xml:space="preserve">— </w:t>
                    </w:r>
                    <w:r>
                      <w:rPr>
                        <w:rFonts w:hint="eastAsia" w:ascii="仿宋_GB2312" w:hAnsi="仿宋_GB2312" w:eastAsia="仿宋_GB2312" w:cs="仿宋_GB2312"/>
                        <w:sz w:val="28"/>
                        <w:szCs w:val="28"/>
                        <w:lang w:eastAsia="zh-CN"/>
                      </w:rPr>
                      <w:fldChar w:fldCharType="begin"/>
                    </w:r>
                    <w:r>
                      <w:rPr>
                        <w:rFonts w:hint="eastAsia" w:ascii="仿宋_GB2312" w:hAnsi="仿宋_GB2312" w:eastAsia="仿宋_GB2312" w:cs="仿宋_GB2312"/>
                        <w:sz w:val="28"/>
                        <w:szCs w:val="28"/>
                        <w:lang w:eastAsia="zh-CN"/>
                      </w:rPr>
                      <w:instrText xml:space="preserve"> PAGE  \* MERGEFORMAT </w:instrText>
                    </w:r>
                    <w:r>
                      <w:rPr>
                        <w:rFonts w:hint="eastAsia" w:ascii="仿宋_GB2312" w:hAnsi="仿宋_GB2312" w:eastAsia="仿宋_GB2312" w:cs="仿宋_GB2312"/>
                        <w:sz w:val="28"/>
                        <w:szCs w:val="28"/>
                        <w:lang w:eastAsia="zh-CN"/>
                      </w:rPr>
                      <w:fldChar w:fldCharType="separate"/>
                    </w:r>
                    <w:r>
                      <w:rPr>
                        <w:rFonts w:hint="eastAsia" w:ascii="仿宋_GB2312" w:hAnsi="仿宋_GB2312" w:eastAsia="仿宋_GB2312" w:cs="仿宋_GB2312"/>
                        <w:sz w:val="28"/>
                        <w:szCs w:val="28"/>
                        <w:lang w:eastAsia="zh-CN"/>
                      </w:rPr>
                      <w:t>2</w:t>
                    </w:r>
                    <w:r>
                      <w:rPr>
                        <w:rFonts w:hint="eastAsia" w:ascii="仿宋_GB2312" w:hAnsi="仿宋_GB2312" w:eastAsia="仿宋_GB2312" w:cs="仿宋_GB2312"/>
                        <w:sz w:val="28"/>
                        <w:szCs w:val="28"/>
                        <w:lang w:eastAsia="zh-CN"/>
                      </w:rPr>
                      <w:fldChar w:fldCharType="end"/>
                    </w:r>
                    <w:r>
                      <w:rPr>
                        <w:rFonts w:hint="eastAsia" w:ascii="仿宋_GB2312" w:hAnsi="仿宋_GB2312" w:eastAsia="仿宋_GB2312" w:cs="仿宋_GB2312"/>
                        <w:sz w:val="28"/>
                        <w:szCs w:val="28"/>
                        <w:lang w:eastAsia="zh-CN"/>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top w:val="none" w:color="auto" w:sz="0" w:space="0"/>
        <w:left w:val="none" w:color="auto" w:sz="0" w:space="0"/>
        <w:bottom w:val="none" w:color="auto" w:sz="0" w:space="1"/>
        <w:right w:val="none" w:color="auto" w:sz="0" w:space="0"/>
        <w:between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top w:val="none" w:color="auto" w:sz="0" w:space="0"/>
        <w:left w:val="none" w:color="auto" w:sz="0" w:space="0"/>
        <w:bottom w:val="none" w:color="auto" w:sz="0" w:space="1"/>
        <w:right w:val="none" w:color="auto" w:sz="0" w:space="0"/>
        <w:between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420"/>
  <w:hyphenationZone w:val="360"/>
  <w:evenAndOddHeaders w:val="1"/>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xOGMwOWM1OGMyZTlmMTgyNWM4MGU0NWZjZjJmMjUifQ=="/>
  </w:docVars>
  <w:rsids>
    <w:rsidRoot w:val="004342F0"/>
    <w:rsid w:val="00030495"/>
    <w:rsid w:val="000A4104"/>
    <w:rsid w:val="000E100B"/>
    <w:rsid w:val="001201EB"/>
    <w:rsid w:val="00125073"/>
    <w:rsid w:val="001626E0"/>
    <w:rsid w:val="00167F07"/>
    <w:rsid w:val="0018395B"/>
    <w:rsid w:val="001C59F8"/>
    <w:rsid w:val="002548FB"/>
    <w:rsid w:val="0028001E"/>
    <w:rsid w:val="002F4E6A"/>
    <w:rsid w:val="00322B88"/>
    <w:rsid w:val="003654AA"/>
    <w:rsid w:val="0039299C"/>
    <w:rsid w:val="003D2895"/>
    <w:rsid w:val="004065BE"/>
    <w:rsid w:val="00427C17"/>
    <w:rsid w:val="004337FB"/>
    <w:rsid w:val="004342F0"/>
    <w:rsid w:val="00464203"/>
    <w:rsid w:val="00487607"/>
    <w:rsid w:val="004D1C8D"/>
    <w:rsid w:val="005514C1"/>
    <w:rsid w:val="005C69C7"/>
    <w:rsid w:val="005F1087"/>
    <w:rsid w:val="006F704C"/>
    <w:rsid w:val="00805CD0"/>
    <w:rsid w:val="00851520"/>
    <w:rsid w:val="00880F89"/>
    <w:rsid w:val="008F0C41"/>
    <w:rsid w:val="00923A72"/>
    <w:rsid w:val="00937852"/>
    <w:rsid w:val="00983298"/>
    <w:rsid w:val="009D0C52"/>
    <w:rsid w:val="009D6BB5"/>
    <w:rsid w:val="009F58DF"/>
    <w:rsid w:val="00A62E12"/>
    <w:rsid w:val="00A923F1"/>
    <w:rsid w:val="00B23B86"/>
    <w:rsid w:val="00B2443B"/>
    <w:rsid w:val="00B705CC"/>
    <w:rsid w:val="00BB5C7C"/>
    <w:rsid w:val="00BB5CA9"/>
    <w:rsid w:val="00BE0492"/>
    <w:rsid w:val="00C0505E"/>
    <w:rsid w:val="00C332B1"/>
    <w:rsid w:val="00C33CE1"/>
    <w:rsid w:val="00C43231"/>
    <w:rsid w:val="00CB3D26"/>
    <w:rsid w:val="00CC274D"/>
    <w:rsid w:val="00D12C6F"/>
    <w:rsid w:val="00D27128"/>
    <w:rsid w:val="00D52232"/>
    <w:rsid w:val="00D7288A"/>
    <w:rsid w:val="00DA510D"/>
    <w:rsid w:val="00E2720D"/>
    <w:rsid w:val="00E7395C"/>
    <w:rsid w:val="00E81148"/>
    <w:rsid w:val="00EA5D21"/>
    <w:rsid w:val="00F23848"/>
    <w:rsid w:val="00F67822"/>
    <w:rsid w:val="00F96D54"/>
    <w:rsid w:val="00FB7B3B"/>
    <w:rsid w:val="00FD6E4F"/>
    <w:rsid w:val="00FF01DC"/>
    <w:rsid w:val="00FF4746"/>
    <w:rsid w:val="025A5607"/>
    <w:rsid w:val="02A9309C"/>
    <w:rsid w:val="0371184A"/>
    <w:rsid w:val="041D768F"/>
    <w:rsid w:val="0580501B"/>
    <w:rsid w:val="067F206B"/>
    <w:rsid w:val="094A30D3"/>
    <w:rsid w:val="0A3C6B57"/>
    <w:rsid w:val="14F46EB1"/>
    <w:rsid w:val="16073898"/>
    <w:rsid w:val="194B540A"/>
    <w:rsid w:val="1AA524C6"/>
    <w:rsid w:val="1AE17EB2"/>
    <w:rsid w:val="1E0778B6"/>
    <w:rsid w:val="1E870C03"/>
    <w:rsid w:val="1FA71402"/>
    <w:rsid w:val="223B36D8"/>
    <w:rsid w:val="25CE5601"/>
    <w:rsid w:val="315A3D9B"/>
    <w:rsid w:val="39E93B50"/>
    <w:rsid w:val="410A18AB"/>
    <w:rsid w:val="41A74794"/>
    <w:rsid w:val="48E14BF5"/>
    <w:rsid w:val="5B7A7283"/>
    <w:rsid w:val="5F5A00F8"/>
    <w:rsid w:val="5F824EC2"/>
    <w:rsid w:val="64B45260"/>
    <w:rsid w:val="6C4E5FB1"/>
    <w:rsid w:val="6D411CF5"/>
    <w:rsid w:val="74E219D2"/>
    <w:rsid w:val="7920662D"/>
    <w:rsid w:val="7A7B7417"/>
    <w:rsid w:val="7D735D15"/>
    <w:rsid w:val="7EBF3E85"/>
    <w:rsid w:val="FCEFC10F"/>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1"/>
    <w:unhideWhenUsed/>
    <w:qFormat/>
    <w:uiPriority w:val="0"/>
    <w:pPr>
      <w:keepNext/>
      <w:keepLines/>
      <w:ind w:firstLine="643"/>
      <w:outlineLvl w:val="1"/>
    </w:pPr>
    <w:rPr>
      <w:rFonts w:ascii="楷体_GB2312" w:hAnsi="楷体_GB2312" w:eastAsia="楷体_GB2312" w:cstheme="majorBidi"/>
      <w:b/>
      <w:bCs/>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2">
    <w:name w:val="Body Text 2"/>
    <w:basedOn w:val="1"/>
    <w:qFormat/>
    <w:uiPriority w:val="0"/>
    <w:pPr>
      <w:keepNext w:val="0"/>
      <w:keepLines w:val="0"/>
      <w:widowControl w:val="0"/>
      <w:suppressLineNumbers w:val="0"/>
      <w:spacing w:before="0" w:beforeAutospacing="0" w:after="120" w:afterAutospacing="0" w:line="480" w:lineRule="auto"/>
      <w:ind w:left="0" w:right="0"/>
      <w:jc w:val="both"/>
    </w:pPr>
    <w:rPr>
      <w:rFonts w:hint="default" w:ascii="Times New Roman" w:hAnsi="Times New Roman" w:eastAsia="宋体" w:cs="Times New Roman"/>
      <w:kern w:val="2"/>
      <w:sz w:val="21"/>
      <w:szCs w:val="22"/>
      <w:lang w:val="en-US" w:eastAsia="zh-CN" w:bidi="ar"/>
    </w:rPr>
  </w:style>
  <w:style w:type="paragraph" w:styleId="4">
    <w:name w:val="Body Text"/>
    <w:basedOn w:val="1"/>
    <w:qFormat/>
    <w:uiPriority w:val="0"/>
    <w:rPr>
      <w:rFonts w:ascii="仿宋_GB2312" w:hAnsi="Times New Roman" w:eastAsia="宋体"/>
    </w:rPr>
  </w:style>
  <w:style w:type="paragraph" w:styleId="5">
    <w:name w:val="Body Text Indent"/>
    <w:basedOn w:val="1"/>
    <w:qFormat/>
    <w:uiPriority w:val="0"/>
    <w:pPr>
      <w:spacing w:after="120" w:afterLines="0" w:afterAutospacing="0"/>
      <w:ind w:left="420" w:leftChars="200"/>
    </w:pPr>
  </w:style>
  <w:style w:type="paragraph" w:styleId="6">
    <w:name w:val="Body Text Indent 2"/>
    <w:basedOn w:val="1"/>
    <w:next w:val="1"/>
    <w:qFormat/>
    <w:uiPriority w:val="0"/>
    <w:pPr>
      <w:widowControl/>
      <w:ind w:firstLine="567"/>
    </w:pPr>
    <w:rPr>
      <w:kern w:val="0"/>
      <w:szCs w:val="20"/>
    </w:r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9">
    <w:name w:val="footnote text"/>
    <w:basedOn w:val="1"/>
    <w:next w:val="10"/>
    <w:qFormat/>
    <w:uiPriority w:val="0"/>
    <w:pPr>
      <w:keepNext w:val="0"/>
      <w:keepLines w:val="0"/>
      <w:widowControl w:val="0"/>
      <w:suppressLineNumbers w:val="0"/>
      <w:snapToGrid w:val="0"/>
      <w:spacing w:before="0" w:beforeAutospacing="0" w:after="0" w:afterAutospacing="0"/>
      <w:ind w:left="0" w:right="0"/>
      <w:jc w:val="left"/>
    </w:pPr>
    <w:rPr>
      <w:rFonts w:hint="default" w:ascii="Times New Roman" w:hAnsi="Times New Roman" w:eastAsia="宋体" w:cs="Times New Roman"/>
      <w:kern w:val="2"/>
      <w:sz w:val="18"/>
      <w:szCs w:val="18"/>
      <w:lang w:val="en-US" w:eastAsia="zh-CN" w:bidi="ar"/>
    </w:rPr>
  </w:style>
  <w:style w:type="paragraph" w:styleId="10">
    <w:name w:val="Body Text First Indent 2"/>
    <w:basedOn w:val="5"/>
    <w:qFormat/>
    <w:uiPriority w:val="0"/>
    <w:pPr>
      <w:keepNext w:val="0"/>
      <w:keepLines w:val="0"/>
      <w:widowControl w:val="0"/>
      <w:suppressLineNumbers w:val="0"/>
      <w:spacing w:before="0" w:beforeAutospacing="0" w:after="0" w:afterAutospacing="0"/>
      <w:ind w:left="0" w:right="0" w:firstLine="420" w:firstLineChars="200"/>
      <w:jc w:val="both"/>
    </w:pPr>
    <w:rPr>
      <w:rFonts w:hint="default" w:ascii="Calibri" w:hAnsi="Calibri" w:eastAsia="宋体" w:cs="Times New Roman"/>
      <w:kern w:val="2"/>
      <w:sz w:val="30"/>
      <w:szCs w:val="24"/>
      <w:lang w:val="en-US" w:eastAsia="zh-CN" w:bidi="ar"/>
    </w:rPr>
  </w:style>
  <w:style w:type="paragraph" w:styleId="11">
    <w:name w:val="Normal (Web)"/>
    <w:basedOn w:val="1"/>
    <w:qFormat/>
    <w:uiPriority w:val="0"/>
    <w:rPr>
      <w:sz w:val="24"/>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footnote reference"/>
    <w:basedOn w:val="14"/>
    <w:qFormat/>
    <w:uiPriority w:val="0"/>
    <w:rPr>
      <w:vertAlign w:val="superscript"/>
    </w:rPr>
  </w:style>
  <w:style w:type="paragraph" w:customStyle="1" w:styleId="16">
    <w:name w:val="zw"/>
    <w:basedOn w:val="1"/>
    <w:qFormat/>
    <w:uiPriority w:val="0"/>
    <w:pPr>
      <w:widowControl/>
      <w:spacing w:before="30"/>
      <w:ind w:left="100" w:right="100"/>
    </w:pPr>
    <w:rPr>
      <w:rFonts w:ascii="方正书宋简体" w:hAnsi="宋体" w:eastAsia="方正书宋简体"/>
      <w:color w:val="000000"/>
      <w:kern w:val="0"/>
      <w:szCs w:val="21"/>
    </w:rPr>
  </w:style>
  <w:style w:type="paragraph" w:styleId="17">
    <w:name w:val="List Paragraph"/>
    <w:basedOn w:val="1"/>
    <w:unhideWhenUsed/>
    <w:qFormat/>
    <w:uiPriority w:val="34"/>
    <w:pPr>
      <w:ind w:firstLine="420"/>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gsb</Company>
  <Pages>12</Pages>
  <Words>4997</Words>
  <Characters>5372</Characters>
  <Lines>1</Lines>
  <Paragraphs>1</Paragraphs>
  <TotalTime>18</TotalTime>
  <ScaleCrop>false</ScaleCrop>
  <LinksUpToDate>false</LinksUpToDate>
  <CharactersWithSpaces>5406</CharactersWithSpaces>
  <Application>WPS Office WWO_wpscloud_20240412112938-af9c631797</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2020-11-05T00:49:00Z</dcterms:created>
  <dc:creator>文印室</dc:creator>
  <cp:lastModifiedBy>Ou</cp:lastModifiedBy>
  <cp:lastPrinted>2024-01-11T17:49:00Z</cp:lastPrinted>
  <dcterms:modified xsi:type="dcterms:W3CDTF">2024-06-03T10:56:42Z</dcterms:modified>
  <dc:title>九司上行文</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FBF888AD70AA49A796F5BFF62F977EED_13</vt:lpwstr>
  </property>
</Properties>
</file>