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13" w:line="219" w:lineRule="auto"/>
        <w:ind w:left="0" w:leftChars="0" w:firstLine="0" w:firstLineChars="0"/>
        <w:jc w:val="distribute"/>
        <w:outlineLvl w:val="0"/>
        <w:rPr>
          <w:rFonts w:ascii="宋体" w:hAnsi="宋体" w:eastAsia="宋体" w:cs="宋体"/>
          <w:sz w:val="127"/>
          <w:szCs w:val="127"/>
        </w:rPr>
      </w:pPr>
      <w:bookmarkStart w:id="0" w:name="_Toc8456"/>
      <w:bookmarkStart w:id="1" w:name="_Toc22604"/>
      <w:r>
        <w:rPr>
          <w:rFonts w:ascii="宋体" w:hAnsi="宋体" w:eastAsia="宋体" w:cs="宋体"/>
          <w:b/>
          <w:bCs/>
          <w:color w:val="F60800"/>
          <w:spacing w:val="-67"/>
          <w:w w:val="46"/>
          <w:sz w:val="127"/>
          <w:szCs w:val="127"/>
        </w:rPr>
        <w:t>四川九洲投资控股集团有</w:t>
      </w:r>
      <w:r>
        <w:rPr>
          <w:rFonts w:ascii="宋体" w:hAnsi="宋体" w:eastAsia="宋体" w:cs="宋体"/>
          <w:b/>
          <w:bCs/>
          <w:color w:val="F60800"/>
          <w:spacing w:val="-66"/>
          <w:w w:val="46"/>
          <w:sz w:val="127"/>
          <w:szCs w:val="127"/>
        </w:rPr>
        <w:t>限公司文</w:t>
      </w:r>
      <w:r>
        <w:rPr>
          <w:rFonts w:ascii="宋体" w:hAnsi="宋体" w:eastAsia="宋体" w:cs="宋体"/>
          <w:b/>
          <w:bCs/>
          <w:color w:val="F60800"/>
          <w:spacing w:val="-55"/>
          <w:w w:val="46"/>
          <w:sz w:val="127"/>
          <w:szCs w:val="127"/>
        </w:rPr>
        <w:t>件</w:t>
      </w:r>
      <w:bookmarkEnd w:id="0"/>
    </w:p>
    <w:p>
      <w:pPr>
        <w:spacing w:line="407" w:lineRule="auto"/>
        <w:rPr>
          <w:rFonts w:ascii="Arial"/>
          <w:sz w:val="21"/>
        </w:rPr>
      </w:pPr>
    </w:p>
    <w:p>
      <w:pPr>
        <w:spacing w:before="0" w:line="240" w:lineRule="auto"/>
        <w:ind w:firstLine="0" w:firstLineChars="0"/>
        <w:jc w:val="center"/>
        <w:rPr>
          <w:rFonts w:ascii="仿宋" w:hAnsi="仿宋" w:eastAsia="仿宋" w:cs="仿宋"/>
          <w:sz w:val="33"/>
          <w:szCs w:val="33"/>
        </w:rPr>
      </w:pPr>
      <w:r>
        <w:rPr>
          <w:rFonts w:ascii="仿宋" w:hAnsi="仿宋" w:eastAsia="仿宋" w:cs="仿宋"/>
          <w:spacing w:val="-6"/>
          <w:sz w:val="33"/>
          <w:szCs w:val="33"/>
        </w:rPr>
        <w:t>九洲司办〔</w:t>
      </w:r>
      <w:r>
        <w:rPr>
          <w:rFonts w:hint="eastAsia" w:ascii="仿宋" w:hAnsi="仿宋" w:eastAsia="仿宋" w:cs="仿宋"/>
          <w:spacing w:val="-6"/>
          <w:sz w:val="33"/>
          <w:szCs w:val="33"/>
          <w:lang w:val="en-US" w:eastAsia="zh-CN"/>
        </w:rPr>
        <w:t>2024</w:t>
      </w:r>
      <w:r>
        <w:rPr>
          <w:rFonts w:ascii="仿宋" w:hAnsi="仿宋" w:eastAsia="仿宋" w:cs="仿宋"/>
          <w:spacing w:val="-6"/>
          <w:sz w:val="33"/>
          <w:szCs w:val="33"/>
        </w:rPr>
        <w:t>〕</w:t>
      </w:r>
      <w:r>
        <w:rPr>
          <w:rFonts w:hint="eastAsia" w:ascii="仿宋" w:hAnsi="仿宋" w:eastAsia="仿宋" w:cs="仿宋"/>
          <w:spacing w:val="-6"/>
          <w:sz w:val="33"/>
          <w:szCs w:val="33"/>
          <w:lang w:val="en-US" w:eastAsia="zh-CN"/>
        </w:rPr>
        <w:t>xxx</w:t>
      </w:r>
      <w:r>
        <w:rPr>
          <w:rFonts w:ascii="仿宋" w:hAnsi="仿宋" w:eastAsia="仿宋" w:cs="仿宋"/>
          <w:spacing w:val="-6"/>
          <w:sz w:val="33"/>
          <w:szCs w:val="33"/>
        </w:rPr>
        <w:t>号</w:t>
      </w:r>
    </w:p>
    <w:p>
      <w:pPr>
        <w:spacing w:line="134" w:lineRule="exact"/>
      </w:pPr>
    </w:p>
    <w:tbl>
      <w:tblPr>
        <w:tblStyle w:val="25"/>
        <w:tblW w:w="8862"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8862"/>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8683" w:hRule="atLeast"/>
          <w:jc w:val="center"/>
        </w:trPr>
        <w:tc>
          <w:tcPr>
            <w:tcW w:w="8862" w:type="dxa"/>
            <w:tcBorders>
              <w:top w:val="single" w:color="FF0000" w:sz="22" w:space="0"/>
              <w:bottom w:val="single" w:color="000000" w:sz="10" w:space="0"/>
            </w:tcBorders>
            <w:vAlign w:val="top"/>
          </w:tcPr>
          <w:p>
            <w:pPr>
              <w:spacing w:line="294"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40" w:lineRule="exact"/>
              <w:ind w:left="0" w:leftChars="0" w:right="0" w:firstLine="0" w:firstLineChars="0"/>
              <w:jc w:val="center"/>
              <w:textAlignment w:val="baseline"/>
              <w:rPr>
                <w:rFonts w:hint="eastAsia" w:ascii="方正小标宋简体" w:hAnsi="方正小标宋简体" w:eastAsia="方正小标宋简体" w:cs="方正小标宋简体"/>
                <w:b w:val="0"/>
                <w:bCs w:val="0"/>
                <w:spacing w:val="0"/>
                <w:sz w:val="44"/>
                <w:szCs w:val="44"/>
              </w:rPr>
            </w:pPr>
            <w:r>
              <w:rPr>
                <w:rFonts w:hint="eastAsia" w:ascii="方正小标宋简体" w:hAnsi="方正小标宋简体" w:eastAsia="方正小标宋简体" w:cs="方正小标宋简体"/>
                <w:b w:val="0"/>
                <w:bCs w:val="0"/>
                <w:spacing w:val="0"/>
                <w:sz w:val="44"/>
                <w:szCs w:val="44"/>
              </w:rPr>
              <w:t>关于印发《四川九洲投资控股集团有限公司</w:t>
            </w:r>
          </w:p>
          <w:p>
            <w:pPr>
              <w:keepNext w:val="0"/>
              <w:keepLines w:val="0"/>
              <w:pageBreakBefore w:val="0"/>
              <w:widowControl/>
              <w:kinsoku w:val="0"/>
              <w:wordWrap/>
              <w:overflowPunct/>
              <w:topLinePunct w:val="0"/>
              <w:autoSpaceDE w:val="0"/>
              <w:autoSpaceDN w:val="0"/>
              <w:bidi w:val="0"/>
              <w:adjustRightInd w:val="0"/>
              <w:snapToGrid w:val="0"/>
              <w:spacing w:line="540" w:lineRule="exact"/>
              <w:ind w:right="0" w:firstLine="0" w:firstLineChars="0"/>
              <w:jc w:val="center"/>
              <w:textAlignment w:val="baseline"/>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spacing w:val="0"/>
                <w:w w:val="100"/>
                <w:kern w:val="2"/>
                <w:position w:val="0"/>
                <w:sz w:val="44"/>
                <w:szCs w:val="44"/>
                <w:highlight w:val="none"/>
                <w:shd w:val="clear"/>
                <w:lang w:val="en-US" w:eastAsia="zh-CN" w:bidi="ar-SA"/>
              </w:rPr>
              <w:t>负责人履职待遇、业务支出实施细则</w:t>
            </w:r>
            <w:r>
              <w:rPr>
                <w:rFonts w:hint="eastAsia" w:ascii="方正小标宋简体" w:hAnsi="方正小标宋简体" w:eastAsia="方正小标宋简体" w:cs="方正小标宋简体"/>
                <w:b w:val="0"/>
                <w:bCs w:val="0"/>
                <w:spacing w:val="0"/>
                <w:sz w:val="44"/>
                <w:szCs w:val="44"/>
              </w:rPr>
              <w:t>》的通知</w:t>
            </w:r>
          </w:p>
          <w:p>
            <w:pPr>
              <w:spacing w:line="540" w:lineRule="exact"/>
              <w:rPr>
                <w:rFonts w:ascii="Arial"/>
                <w:sz w:val="21"/>
              </w:rPr>
            </w:pPr>
          </w:p>
          <w:p>
            <w:pPr>
              <w:pStyle w:val="26"/>
              <w:keepNext w:val="0"/>
              <w:keepLines w:val="0"/>
              <w:pageBreakBefore w:val="0"/>
              <w:widowControl/>
              <w:kinsoku w:val="0"/>
              <w:wordWrap/>
              <w:overflowPunct/>
              <w:topLinePunct w:val="0"/>
              <w:autoSpaceDE/>
              <w:autoSpaceDN/>
              <w:bidi w:val="0"/>
              <w:adjustRightInd w:val="0"/>
              <w:snapToGrid w:val="0"/>
              <w:spacing w:before="0" w:line="540" w:lineRule="exact"/>
              <w:ind w:left="0" w:leftChars="0" w:firstLine="0" w:firstLineChars="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lang w:eastAsia="zh-CN"/>
              </w:rPr>
              <w:t>总部各部门、各产业公司</w:t>
            </w:r>
            <w:r>
              <w:rPr>
                <w:rFonts w:hint="eastAsia" w:ascii="仿宋_GB2312" w:hAnsi="仿宋_GB2312" w:eastAsia="仿宋_GB2312" w:cs="仿宋_GB2312"/>
                <w:spacing w:val="0"/>
                <w:sz w:val="32"/>
                <w:szCs w:val="32"/>
              </w:rPr>
              <w:t>：</w:t>
            </w:r>
          </w:p>
          <w:p>
            <w:pPr>
              <w:pStyle w:val="26"/>
              <w:keepNext w:val="0"/>
              <w:keepLines w:val="0"/>
              <w:pageBreakBefore w:val="0"/>
              <w:widowControl/>
              <w:kinsoku w:val="0"/>
              <w:wordWrap/>
              <w:overflowPunct/>
              <w:topLinePunct w:val="0"/>
              <w:autoSpaceDE w:val="0"/>
              <w:autoSpaceDN w:val="0"/>
              <w:bidi w:val="0"/>
              <w:adjustRightInd w:val="0"/>
              <w:snapToGrid w:val="0"/>
              <w:spacing w:before="111" w:line="560" w:lineRule="exact"/>
              <w:ind w:left="40" w:firstLine="640" w:firstLineChars="200"/>
              <w:textAlignment w:val="baseline"/>
              <w:rPr>
                <w:rFonts w:hint="eastAsia" w:ascii="仿宋_GB2312" w:hAnsi="仿宋_GB2312" w:eastAsia="仿宋_GB2312" w:cs="仿宋_GB2312"/>
                <w:spacing w:val="-28"/>
                <w:sz w:val="32"/>
                <w:szCs w:val="32"/>
                <w:lang w:eastAsia="zh-CN"/>
              </w:rPr>
            </w:pPr>
            <w:r>
              <w:rPr>
                <w:rFonts w:hint="eastAsia" w:ascii="仿宋_GB2312" w:hAnsi="仿宋_GB2312" w:eastAsia="仿宋_GB2312" w:cs="仿宋_GB2312"/>
                <w:sz w:val="32"/>
                <w:szCs w:val="32"/>
                <w:highlight w:val="none"/>
              </w:rPr>
              <w:t>为进一步</w:t>
            </w:r>
            <w:r>
              <w:rPr>
                <w:rFonts w:hint="eastAsia" w:ascii="仿宋_GB2312" w:hAnsi="仿宋_GB2312" w:eastAsia="仿宋_GB2312" w:cs="仿宋_GB2312"/>
                <w:color w:val="000000"/>
                <w:spacing w:val="0"/>
                <w:w w:val="100"/>
                <w:position w:val="0"/>
                <w:sz w:val="32"/>
                <w:szCs w:val="32"/>
                <w:highlight w:val="none"/>
                <w:lang w:val="en-US" w:eastAsia="zh-CN"/>
              </w:rPr>
              <w:t>确定并严格规范</w:t>
            </w:r>
            <w:r>
              <w:rPr>
                <w:rFonts w:hint="eastAsia" w:ascii="仿宋_GB2312" w:hAnsi="仿宋_GB2312" w:cs="仿宋_GB2312"/>
                <w:color w:val="000000"/>
                <w:spacing w:val="0"/>
                <w:w w:val="100"/>
                <w:position w:val="0"/>
                <w:sz w:val="32"/>
                <w:szCs w:val="32"/>
                <w:highlight w:val="none"/>
                <w:lang w:val="en-US" w:eastAsia="zh-CN"/>
              </w:rPr>
              <w:t>公司</w:t>
            </w:r>
            <w:r>
              <w:rPr>
                <w:rFonts w:hint="eastAsia" w:ascii="仿宋_GB2312" w:hAnsi="仿宋_GB2312" w:eastAsia="仿宋_GB2312" w:cs="仿宋_GB2312"/>
                <w:color w:val="000000"/>
                <w:spacing w:val="0"/>
                <w:w w:val="100"/>
                <w:position w:val="0"/>
                <w:sz w:val="32"/>
                <w:szCs w:val="32"/>
                <w:highlight w:val="none"/>
                <w:lang w:val="en-US" w:eastAsia="zh-CN"/>
              </w:rPr>
              <w:t>负责人履职待遇、业务支出，加强</w:t>
            </w:r>
            <w:r>
              <w:rPr>
                <w:rFonts w:hint="eastAsia" w:ascii="仿宋_GB2312" w:hAnsi="仿宋_GB2312" w:cs="仿宋_GB2312"/>
                <w:color w:val="000000"/>
                <w:spacing w:val="0"/>
                <w:w w:val="100"/>
                <w:position w:val="0"/>
                <w:sz w:val="32"/>
                <w:szCs w:val="32"/>
                <w:highlight w:val="none"/>
                <w:lang w:val="en-US" w:eastAsia="zh-CN"/>
              </w:rPr>
              <w:t>公司</w:t>
            </w:r>
            <w:r>
              <w:rPr>
                <w:rFonts w:hint="eastAsia" w:ascii="仿宋_GB2312" w:hAnsi="仿宋_GB2312" w:eastAsia="仿宋_GB2312" w:cs="仿宋_GB2312"/>
                <w:color w:val="000000"/>
                <w:spacing w:val="0"/>
                <w:w w:val="100"/>
                <w:position w:val="0"/>
                <w:sz w:val="32"/>
                <w:szCs w:val="32"/>
                <w:highlight w:val="none"/>
                <w:lang w:val="en-US" w:eastAsia="zh-CN"/>
              </w:rPr>
              <w:t>党风廉政建设</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0"/>
                <w:sz w:val="32"/>
                <w:szCs w:val="32"/>
                <w:lang w:eastAsia="zh-CN"/>
              </w:rPr>
              <w:t>现将《四川九洲投资控股集团有限公司</w:t>
            </w:r>
            <w:r>
              <w:rPr>
                <w:rFonts w:hint="eastAsia" w:ascii="仿宋_GB2312" w:hAnsi="仿宋_GB2312" w:eastAsia="仿宋_GB2312" w:cs="仿宋_GB2312"/>
                <w:spacing w:val="-6"/>
                <w:sz w:val="32"/>
                <w:szCs w:val="32"/>
                <w:lang w:val="en-US" w:eastAsia="zh-CN"/>
              </w:rPr>
              <w:t>负责人履职待遇、业务支出实施细则</w:t>
            </w:r>
            <w:r>
              <w:rPr>
                <w:rFonts w:hint="eastAsia" w:ascii="仿宋_GB2312" w:hAnsi="仿宋_GB2312" w:eastAsia="仿宋_GB2312" w:cs="仿宋_GB2312"/>
                <w:spacing w:val="-6"/>
                <w:sz w:val="32"/>
                <w:szCs w:val="32"/>
                <w:lang w:eastAsia="zh-CN"/>
              </w:rPr>
              <w:t>》</w:t>
            </w:r>
            <w:r>
              <w:rPr>
                <w:rFonts w:hint="eastAsia" w:ascii="仿宋_GB2312" w:hAnsi="仿宋_GB2312" w:eastAsia="仿宋_GB2312" w:cs="仿宋_GB2312"/>
                <w:spacing w:val="0"/>
                <w:sz w:val="32"/>
                <w:szCs w:val="32"/>
                <w:lang w:eastAsia="zh-CN"/>
              </w:rPr>
              <w:t>印发给你们，请认真遵照执行。</w:t>
            </w:r>
          </w:p>
          <w:p>
            <w:pPr>
              <w:pStyle w:val="26"/>
              <w:keepNext w:val="0"/>
              <w:keepLines w:val="0"/>
              <w:pageBreakBefore w:val="0"/>
              <w:widowControl/>
              <w:kinsoku w:val="0"/>
              <w:wordWrap/>
              <w:overflowPunct/>
              <w:topLinePunct w:val="0"/>
              <w:autoSpaceDE/>
              <w:autoSpaceDN/>
              <w:bidi w:val="0"/>
              <w:adjustRightInd w:val="0"/>
              <w:snapToGrid w:val="0"/>
              <w:spacing w:before="0" w:line="540" w:lineRule="exact"/>
              <w:ind w:firstLine="640" w:firstLineChars="200"/>
              <w:jc w:val="both"/>
              <w:textAlignment w:val="baseline"/>
              <w:rPr>
                <w:rFonts w:hint="eastAsia" w:ascii="仿宋_GB2312" w:hAnsi="仿宋_GB2312" w:eastAsia="仿宋_GB2312" w:cs="仿宋_GB2312"/>
                <w:spacing w:val="0"/>
                <w:sz w:val="32"/>
                <w:szCs w:val="32"/>
                <w:lang w:eastAsia="zh-CN"/>
              </w:rPr>
            </w:pPr>
          </w:p>
          <w:p>
            <w:pPr>
              <w:pStyle w:val="26"/>
              <w:keepNext w:val="0"/>
              <w:keepLines w:val="0"/>
              <w:pageBreakBefore w:val="0"/>
              <w:widowControl/>
              <w:kinsoku w:val="0"/>
              <w:wordWrap/>
              <w:overflowPunct/>
              <w:topLinePunct w:val="0"/>
              <w:autoSpaceDE/>
              <w:autoSpaceDN/>
              <w:bidi w:val="0"/>
              <w:adjustRightInd w:val="0"/>
              <w:snapToGrid w:val="0"/>
              <w:spacing w:before="0" w:line="540" w:lineRule="exact"/>
              <w:ind w:left="1600" w:leftChars="200" w:hanging="960" w:hangingChars="30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lang w:eastAsia="zh-CN"/>
              </w:rPr>
              <w:t>附件：四川九洲投资控股集团有限公司</w:t>
            </w:r>
            <w:r>
              <w:rPr>
                <w:rFonts w:hint="eastAsia" w:ascii="仿宋_GB2312" w:hAnsi="仿宋_GB2312" w:eastAsia="仿宋_GB2312" w:cs="仿宋_GB2312"/>
                <w:spacing w:val="-6"/>
                <w:sz w:val="32"/>
                <w:szCs w:val="32"/>
                <w:lang w:val="en-US" w:eastAsia="zh-CN"/>
              </w:rPr>
              <w:t>负责人履职待遇、业务支出实施细则</w:t>
            </w:r>
          </w:p>
          <w:p>
            <w:pPr>
              <w:autoSpaceDE/>
              <w:autoSpaceDN/>
              <w:spacing w:line="540" w:lineRule="exact"/>
              <w:jc w:val="both"/>
              <w:rPr>
                <w:rFonts w:ascii="Arial"/>
                <w:sz w:val="32"/>
                <w:szCs w:val="32"/>
              </w:rPr>
            </w:pPr>
          </w:p>
          <w:p>
            <w:pPr>
              <w:autoSpaceDE/>
              <w:autoSpaceDN/>
              <w:spacing w:line="540" w:lineRule="exact"/>
              <w:jc w:val="both"/>
              <w:rPr>
                <w:rFonts w:ascii="Arial"/>
                <w:sz w:val="32"/>
                <w:szCs w:val="32"/>
              </w:rPr>
            </w:pPr>
          </w:p>
          <w:p>
            <w:pPr>
              <w:pStyle w:val="26"/>
              <w:autoSpaceDE/>
              <w:autoSpaceDN/>
              <w:spacing w:before="0" w:line="500" w:lineRule="exact"/>
              <w:ind w:left="0" w:leftChars="0" w:right="0" w:firstLine="5016" w:firstLineChars="1900"/>
              <w:jc w:val="both"/>
              <w:rPr>
                <w:rFonts w:hint="eastAsia" w:ascii="仿宋_GB2312" w:hAnsi="仿宋_GB2312" w:eastAsia="仿宋_GB2312" w:cs="仿宋_GB2312"/>
                <w:spacing w:val="-28"/>
                <w:sz w:val="32"/>
                <w:szCs w:val="32"/>
                <w:lang w:eastAsia="zh-CN"/>
              </w:rPr>
            </w:pPr>
            <w:r>
              <w:rPr>
                <w:rFonts w:hint="eastAsia" w:ascii="仿宋_GB2312" w:hAnsi="仿宋_GB2312" w:eastAsia="仿宋_GB2312" w:cs="仿宋_GB2312"/>
                <w:spacing w:val="-28"/>
                <w:sz w:val="32"/>
                <w:szCs w:val="32"/>
                <w:lang w:eastAsia="zh-CN"/>
              </w:rPr>
              <w:t>四川九洲投资控股集团有限公司</w:t>
            </w:r>
          </w:p>
          <w:p>
            <w:pPr>
              <w:pStyle w:val="26"/>
              <w:autoSpaceDE/>
              <w:autoSpaceDN/>
              <w:spacing w:before="0" w:line="500" w:lineRule="exact"/>
              <w:ind w:left="0" w:right="0" w:hanging="820"/>
              <w:jc w:val="both"/>
            </w:pPr>
            <w:r>
              <w:rPr>
                <w:rFonts w:hint="eastAsia" w:ascii="仿宋_GB2312" w:hAnsi="仿宋_GB2312" w:eastAsia="仿宋_GB2312" w:cs="仿宋_GB2312"/>
                <w:spacing w:val="-28"/>
                <w:sz w:val="32"/>
                <w:szCs w:val="32"/>
                <w:lang w:val="en-US" w:eastAsia="zh-CN"/>
              </w:rPr>
              <w:t xml:space="preserve">                                                   2024年 </w:t>
            </w:r>
            <w:r>
              <w:rPr>
                <w:rFonts w:hint="eastAsia" w:ascii="仿宋_GB2312" w:hAnsi="仿宋_GB2312" w:eastAsia="仿宋_GB2312" w:cs="仿宋_GB2312"/>
                <w:spacing w:val="-28"/>
                <w:sz w:val="32"/>
                <w:szCs w:val="32"/>
                <w:lang w:eastAsia="zh-CN"/>
              </w:rPr>
              <w:t>月</w:t>
            </w:r>
            <w:r>
              <w:rPr>
                <w:rFonts w:hint="eastAsia" w:ascii="仿宋_GB2312" w:hAnsi="仿宋_GB2312" w:eastAsia="仿宋_GB2312" w:cs="仿宋_GB2312"/>
                <w:spacing w:val="-28"/>
                <w:sz w:val="32"/>
                <w:szCs w:val="32"/>
                <w:lang w:val="en-US" w:eastAsia="zh-CN"/>
              </w:rPr>
              <w:t xml:space="preserve"> </w:t>
            </w:r>
            <w:r>
              <w:rPr>
                <w:rFonts w:hint="eastAsia" w:ascii="仿宋_GB2312" w:hAnsi="仿宋_GB2312" w:eastAsia="仿宋_GB2312" w:cs="仿宋_GB2312"/>
                <w:spacing w:val="-28"/>
                <w:sz w:val="32"/>
                <w:szCs w:val="32"/>
                <w:lang w:eastAsia="zh-CN"/>
              </w:rPr>
              <w:t>日</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8" w:hRule="atLeast"/>
          <w:jc w:val="center"/>
        </w:trPr>
        <w:tc>
          <w:tcPr>
            <w:tcW w:w="8862" w:type="dxa"/>
            <w:tcBorders>
              <w:top w:val="single" w:color="000000" w:sz="10" w:space="0"/>
              <w:bottom w:val="single" w:color="000000" w:sz="10" w:space="0"/>
            </w:tcBorders>
            <w:vAlign w:val="center"/>
          </w:tcPr>
          <w:p>
            <w:pPr>
              <w:pStyle w:val="26"/>
              <w:autoSpaceDE/>
              <w:autoSpaceDN/>
              <w:spacing w:before="0" w:afterLines="0" w:line="240" w:lineRule="auto"/>
              <w:ind w:left="0"/>
              <w:jc w:val="both"/>
            </w:pPr>
            <w:r>
              <w:rPr>
                <w:rFonts w:hint="eastAsia" w:ascii="仿宋_GB2312" w:hAnsi="仿宋_GB2312" w:eastAsia="仿宋_GB2312" w:cs="仿宋_GB2312"/>
                <w:spacing w:val="0"/>
                <w:sz w:val="32"/>
                <w:szCs w:val="32"/>
              </w:rPr>
              <w:t xml:space="preserve">公司办                       </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32"/>
                <w:szCs w:val="32"/>
              </w:rPr>
              <w:t>202</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年</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32"/>
                <w:szCs w:val="32"/>
              </w:rPr>
              <w:t>月</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spacing w:val="0"/>
                <w:sz w:val="32"/>
                <w:szCs w:val="32"/>
              </w:rPr>
              <w:t>日</w:t>
            </w:r>
            <w:r>
              <w:rPr>
                <w:rFonts w:hint="eastAsia" w:ascii="仿宋_GB2312" w:hAnsi="仿宋_GB2312" w:eastAsia="仿宋_GB2312" w:cs="仿宋_GB2312"/>
                <w:spacing w:val="0"/>
                <w:sz w:val="32"/>
                <w:szCs w:val="32"/>
                <w:lang w:eastAsia="zh-CN"/>
              </w:rPr>
              <w:t>印</w:t>
            </w:r>
            <w:r>
              <w:rPr>
                <w:rFonts w:hint="eastAsia" w:ascii="仿宋_GB2312" w:hAnsi="仿宋_GB2312" w:eastAsia="仿宋_GB2312" w:cs="仿宋_GB2312"/>
                <w:spacing w:val="0"/>
                <w:sz w:val="32"/>
                <w:szCs w:val="32"/>
              </w:rPr>
              <w:t>发</w:t>
            </w:r>
          </w:p>
        </w:tc>
      </w:tr>
    </w:tbl>
    <w:p>
      <w:pPr>
        <w:autoSpaceDE/>
        <w:autoSpaceDN/>
        <w:spacing w:before="10" w:afterLines="50"/>
        <w:ind w:left="0" w:leftChars="0" w:firstLine="6840" w:firstLineChars="1900"/>
        <w:jc w:val="both"/>
        <w:rPr>
          <w:rFonts w:hint="eastAsia" w:ascii="仿宋_GB2312" w:hAnsi="仿宋_GB2312" w:eastAsia="仿宋_GB2312" w:cs="仿宋_GB2312"/>
          <w:spacing w:val="26"/>
          <w:position w:val="23"/>
          <w:sz w:val="32"/>
          <w:szCs w:val="32"/>
        </w:rPr>
        <w:sectPr>
          <w:footerReference r:id="rId5" w:type="first"/>
          <w:pgSz w:w="11911" w:h="16849"/>
          <w:pgMar w:top="2098" w:right="1474" w:bottom="1984" w:left="1587" w:header="0" w:footer="850" w:gutter="0"/>
          <w:cols w:space="0" w:num="1"/>
          <w:rtlGutter w:val="0"/>
          <w:docGrid w:linePitch="0" w:charSpace="0"/>
        </w:sectPr>
      </w:pPr>
      <w:r>
        <w:rPr>
          <w:rFonts w:hint="eastAsia" w:ascii="仿宋_GB2312" w:hAnsi="仿宋_GB2312" w:eastAsia="仿宋_GB2312" w:cs="仿宋_GB2312"/>
          <w:spacing w:val="20"/>
          <w:sz w:val="32"/>
          <w:szCs w:val="32"/>
        </w:rPr>
        <w:t>(共印</w:t>
      </w:r>
      <w:r>
        <w:rPr>
          <w:rFonts w:hint="eastAsia" w:ascii="仿宋_GB2312" w:hAnsi="仿宋_GB2312" w:eastAsia="仿宋_GB2312" w:cs="仿宋_GB2312"/>
          <w:spacing w:val="20"/>
          <w:sz w:val="32"/>
          <w:szCs w:val="32"/>
          <w:lang w:eastAsia="zh-CN"/>
        </w:rPr>
        <w:t>2</w:t>
      </w:r>
      <w:r>
        <w:rPr>
          <w:rFonts w:hint="eastAsia" w:ascii="仿宋_GB2312" w:hAnsi="仿宋_GB2312" w:eastAsia="仿宋_GB2312" w:cs="仿宋_GB2312"/>
          <w:spacing w:val="20"/>
          <w:sz w:val="32"/>
          <w:szCs w:val="32"/>
        </w:rPr>
        <w:t>份)</w:t>
      </w:r>
    </w:p>
    <w:p>
      <w:pPr>
        <w:keepNext w:val="0"/>
        <w:keepLines w:val="0"/>
        <w:pageBreakBefore w:val="0"/>
        <w:widowControl w:val="0"/>
        <w:tabs>
          <w:tab w:val="left" w:pos="7369"/>
        </w:tabs>
        <w:kinsoku/>
        <w:wordWrap/>
        <w:overflowPunct/>
        <w:topLinePunct w:val="0"/>
        <w:autoSpaceDE/>
        <w:autoSpaceDN/>
        <w:bidi w:val="0"/>
        <w:adjustRightInd/>
        <w:snapToGrid/>
        <w:spacing w:after="0" w:line="560" w:lineRule="exact"/>
        <w:ind w:firstLine="0" w:firstLineChars="0"/>
        <w:jc w:val="center"/>
        <w:textAlignment w:val="auto"/>
        <w:rPr>
          <w:rFonts w:hint="eastAsia" w:ascii="方正小标宋简体" w:hAnsi="方正小标宋简体" w:eastAsia="方正小标宋简体" w:cs="方正小标宋简体"/>
          <w:b w:val="0"/>
          <w:spacing w:val="0"/>
          <w:w w:val="100"/>
          <w:kern w:val="2"/>
          <w:position w:val="0"/>
          <w:sz w:val="44"/>
          <w:szCs w:val="44"/>
          <w:highlight w:val="none"/>
          <w:shd w:val="clear"/>
          <w:lang w:val="en-US" w:eastAsia="zh-CN" w:bidi="ar-SA"/>
        </w:rPr>
        <w:sectPr>
          <w:footerReference r:id="rId6" w:type="default"/>
          <w:pgSz w:w="11906" w:h="16838"/>
          <w:pgMar w:top="2098" w:right="1474" w:bottom="1984" w:left="1587" w:header="851" w:footer="992" w:gutter="0"/>
          <w:pgNumType w:fmt="decimal" w:start="1"/>
          <w:cols w:space="425" w:num="1"/>
          <w:docGrid w:type="lines" w:linePitch="312" w:charSpace="0"/>
        </w:sectPr>
      </w:pPr>
    </w:p>
    <w:bookmarkEnd w:id="1"/>
    <w:p>
      <w:pPr>
        <w:spacing w:before="107" w:line="222" w:lineRule="auto"/>
        <w:ind w:left="0" w:leftChars="0" w:firstLine="0" w:firstLineChars="0"/>
        <w:rPr>
          <w:rFonts w:hint="eastAsia" w:ascii="黑体" w:hAnsi="黑体" w:eastAsia="黑体" w:cs="黑体"/>
          <w:sz w:val="32"/>
          <w:szCs w:val="32"/>
        </w:rPr>
      </w:pPr>
      <w:r>
        <w:rPr>
          <w:rFonts w:hint="eastAsia" w:ascii="黑体" w:hAnsi="黑体" w:eastAsia="黑体" w:cs="黑体"/>
          <w:spacing w:val="-9"/>
          <w:sz w:val="32"/>
          <w:szCs w:val="32"/>
        </w:rPr>
        <w:t>附件</w:t>
      </w:r>
    </w:p>
    <w:p>
      <w:pPr>
        <w:spacing w:line="540" w:lineRule="exact"/>
        <w:ind w:left="0" w:leftChars="0" w:firstLine="0" w:firstLineChars="0"/>
        <w:jc w:val="both"/>
        <w:rPr>
          <w:rFonts w:hint="default" w:ascii="仿宋_GB2312" w:hAnsi="Times New Roman" w:eastAsia="仿宋_GB2312" w:cs="Times New Roman"/>
          <w:bCs/>
          <w:sz w:val="32"/>
          <w:szCs w:val="32"/>
          <w:highlight w:val="none"/>
          <w:lang w:val="en-US" w:eastAsia="zh-CN"/>
        </w:rPr>
      </w:pPr>
    </w:p>
    <w:sdt>
      <w:sdtPr>
        <w:rPr>
          <w:rFonts w:ascii="Arial" w:hAnsi="Arial" w:eastAsia="仿宋_GB2312" w:cs="Arial"/>
          <w:kern w:val="2"/>
          <w:sz w:val="32"/>
          <w:szCs w:val="32"/>
          <w:highlight w:val="none"/>
          <w:lang w:val="en-US" w:eastAsia="zh-CN" w:bidi="ar-SA"/>
        </w:rPr>
        <w:id w:val="-1"/>
      </w:sdtPr>
      <w:sdtEndPr>
        <w:rPr>
          <w:rFonts w:hint="eastAsia" w:ascii="黑体" w:hAnsi="黑体" w:eastAsia="黑体" w:cs="黑体"/>
          <w:kern w:val="2"/>
          <w:sz w:val="32"/>
          <w:szCs w:val="32"/>
          <w:highlight w:val="none"/>
          <w:lang w:val="zh-CN" w:eastAsia="zh-CN" w:bidi="ar-SA"/>
        </w:rPr>
      </w:sdtEndPr>
      <w:sdtContent>
        <w:p>
          <w:pPr>
            <w:spacing w:line="540" w:lineRule="exact"/>
            <w:jc w:val="center"/>
            <w:rPr>
              <w:rFonts w:ascii="Arial" w:hAnsi="Arial" w:eastAsia="仿宋_GB2312" w:cs="Arial"/>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sz w:val="44"/>
              <w:szCs w:val="44"/>
              <w:highlight w:val="none"/>
            </w:rPr>
          </w:pPr>
          <w:r>
            <w:rPr>
              <w:rFonts w:hint="eastAsia" w:ascii="黑体" w:hAnsi="黑体" w:eastAsia="黑体" w:cs="黑体"/>
              <w:sz w:val="44"/>
              <w:szCs w:val="44"/>
              <w:highlight w:val="none"/>
            </w:rPr>
            <w:t>四川九洲投资控股集团有限公司</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sz w:val="44"/>
              <w:szCs w:val="44"/>
              <w:highlight w:val="none"/>
              <w:lang w:val="en-US" w:eastAsia="zh-CN" w:bidi="ar-SA"/>
            </w:rPr>
          </w:pPr>
          <w:r>
            <w:rPr>
              <w:rFonts w:hint="eastAsia" w:ascii="黑体" w:hAnsi="黑体" w:eastAsia="黑体" w:cs="黑体"/>
              <w:sz w:val="44"/>
              <w:szCs w:val="44"/>
              <w:highlight w:val="none"/>
            </w:rPr>
            <w:t>负责人履职待遇、业务支出实施细则</w:t>
          </w:r>
        </w:p>
        <w:p>
          <w:pPr>
            <w:spacing w:line="360" w:lineRule="auto"/>
            <w:jc w:val="center"/>
            <w:rPr>
              <w:rFonts w:hint="eastAsia" w:ascii="黑体" w:hAnsi="黑体" w:eastAsia="黑体" w:cs="黑体"/>
              <w:sz w:val="28"/>
              <w:szCs w:val="28"/>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before="480"/>
            <w:jc w:val="both"/>
            <w:rPr>
              <w:rFonts w:hint="eastAsia" w:ascii="黑体" w:hAnsi="黑体" w:eastAsia="黑体" w:cs="黑体"/>
              <w:sz w:val="22"/>
              <w:szCs w:val="22"/>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before="480"/>
            <w:jc w:val="center"/>
            <w:rPr>
              <w:rFonts w:hint="eastAsia" w:ascii="黑体" w:hAnsi="黑体" w:eastAsia="黑体" w:cs="黑体"/>
              <w:sz w:val="22"/>
              <w:szCs w:val="22"/>
              <w:highlight w:val="none"/>
              <w:lang w:val="en-US" w:eastAsia="zh-CN" w:bidi="ar-SA"/>
            </w:rPr>
          </w:pPr>
        </w:p>
        <w:p>
          <w:pPr>
            <w:spacing w:line="360" w:lineRule="auto"/>
            <w:jc w:val="right"/>
            <w:rPr>
              <w:rFonts w:hint="eastAsia" w:ascii="黑体" w:hAnsi="黑体" w:eastAsia="黑体" w:cs="黑体"/>
              <w:sz w:val="32"/>
              <w:szCs w:val="32"/>
              <w:highlight w:val="none"/>
              <w:lang w:val="en-US" w:eastAsia="zh-CN" w:bidi="ar-SA"/>
            </w:rPr>
          </w:pPr>
          <w:r>
            <w:rPr>
              <w:rFonts w:hint="eastAsia" w:ascii="黑体" w:hAnsi="黑体" w:eastAsia="黑体" w:cs="黑体"/>
              <w:sz w:val="32"/>
              <w:szCs w:val="32"/>
              <w:highlight w:val="none"/>
              <w:lang w:val="en-US" w:eastAsia="zh-CN" w:bidi="ar-SA"/>
            </w:rPr>
            <w:t>编号：JZTZ-GS-2024-0008</w:t>
          </w:r>
        </w:p>
        <w:p>
          <w:pPr>
            <w:spacing w:line="360" w:lineRule="auto"/>
            <w:jc w:val="right"/>
            <w:rPr>
              <w:rFonts w:hint="eastAsia" w:ascii="黑体" w:hAnsi="黑体" w:eastAsia="黑体" w:cs="黑体"/>
              <w:kern w:val="2"/>
              <w:sz w:val="32"/>
              <w:szCs w:val="32"/>
              <w:highlight w:val="none"/>
              <w:lang w:val="en-US" w:eastAsia="zh-CN" w:bidi="ar-SA"/>
            </w:rPr>
          </w:pPr>
          <w:r>
            <w:rPr>
              <w:rFonts w:hint="eastAsia" w:ascii="黑体" w:hAnsi="黑体" w:eastAsia="黑体" w:cs="黑体"/>
              <w:sz w:val="32"/>
              <w:szCs w:val="32"/>
              <w:highlight w:val="none"/>
              <w:lang w:val="en-US" w:eastAsia="zh-CN" w:bidi="ar-SA"/>
            </w:rPr>
            <w:t>版本号：2024（01）版</w:t>
          </w:r>
        </w:p>
        <w:p>
          <w:pPr>
            <w:widowControl w:val="0"/>
            <w:spacing w:after="120" w:line="560" w:lineRule="exact"/>
            <w:jc w:val="right"/>
          </w:pPr>
          <w:r>
            <w:rPr>
              <w:rFonts w:hint="eastAsia" w:ascii="黑体" w:hAnsi="黑体" w:eastAsia="黑体" w:cs="黑体"/>
              <w:kern w:val="2"/>
              <w:sz w:val="32"/>
              <w:szCs w:val="32"/>
              <w:highlight w:val="none"/>
              <w:lang w:val="en-US" w:eastAsia="zh-CN" w:bidi="ar-SA"/>
            </w:rPr>
            <w:t>生效日期：2024 年 月  日</w:t>
          </w:r>
        </w:p>
      </w:sdtContent>
    </w:sdt>
    <w:p>
      <w:pPr>
        <w:widowControl w:val="0"/>
        <w:spacing w:after="120" w:line="560" w:lineRule="exact"/>
        <w:ind w:firstLine="640" w:firstLineChars="200"/>
        <w:jc w:val="center"/>
        <w:rPr>
          <w:rFonts w:ascii="方正小标宋简体" w:hAnsi="方正小标宋简体" w:eastAsia="方正小标宋简体" w:cs="方正小标宋简体"/>
          <w:b w:val="0"/>
          <w:bCs w:val="0"/>
          <w:sz w:val="32"/>
          <w:szCs w:val="32"/>
          <w:highlight w:val="none"/>
          <w:lang w:eastAsia="zh-CN"/>
        </w:rPr>
      </w:pPr>
      <w:r>
        <w:rPr>
          <w:rFonts w:hint="eastAsia" w:ascii="方正小标宋简体" w:hAnsi="方正小标宋简体" w:eastAsia="方正小标宋简体" w:cs="方正小标宋简体"/>
          <w:b w:val="0"/>
          <w:bCs w:val="0"/>
          <w:sz w:val="32"/>
          <w:szCs w:val="32"/>
          <w:highlight w:val="none"/>
          <w:lang w:eastAsia="zh-CN"/>
        </w:rPr>
        <w:t>制度履历表</w:t>
      </w:r>
    </w:p>
    <w:tbl>
      <w:tblPr>
        <w:tblStyle w:val="14"/>
        <w:tblpPr w:leftFromText="180" w:rightFromText="180" w:vertAnchor="text" w:horzAnchor="page" w:tblpX="1631" w:tblpY="211"/>
        <w:tblOverlap w:val="never"/>
        <w:tblW w:w="8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3"/>
        <w:gridCol w:w="2611"/>
        <w:gridCol w:w="878"/>
        <w:gridCol w:w="823"/>
        <w:gridCol w:w="2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制度名称</w:t>
            </w:r>
          </w:p>
        </w:tc>
        <w:tc>
          <w:tcPr>
            <w:tcW w:w="7085" w:type="dxa"/>
            <w:gridSpan w:val="4"/>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jc w:val="center"/>
              <w:rPr>
                <w:rFonts w:ascii="仿宋_GB2312" w:hAnsi="仿宋_GB2312" w:cs="仿宋_GB2312"/>
                <w:b/>
                <w:sz w:val="21"/>
                <w:szCs w:val="21"/>
                <w:highlight w:val="none"/>
                <w:lang w:eastAsia="zh-CN"/>
              </w:rPr>
            </w:pPr>
            <w:r>
              <w:rPr>
                <w:rFonts w:hint="eastAsia" w:ascii="仿宋_GB2312" w:hAnsi="仿宋_GB2312" w:cs="仿宋_GB2312"/>
                <w:spacing w:val="-11"/>
                <w:sz w:val="21"/>
                <w:szCs w:val="21"/>
                <w:highlight w:val="none"/>
                <w:lang w:eastAsia="zh-CN"/>
              </w:rPr>
              <w:t>《四川九洲投资控股集团有限公司负责人履职待遇、业务支出实施细则》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关键词</w:t>
            </w:r>
          </w:p>
        </w:tc>
        <w:tc>
          <w:tcPr>
            <w:tcW w:w="7085" w:type="dxa"/>
            <w:gridSpan w:val="4"/>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lang w:eastAsia="zh-CN"/>
              </w:rPr>
            </w:pPr>
            <w:r>
              <w:rPr>
                <w:rFonts w:hint="eastAsia" w:ascii="仿宋_GB2312" w:hAnsi="仿宋_GB2312" w:cs="仿宋_GB2312"/>
                <w:sz w:val="21"/>
                <w:szCs w:val="21"/>
                <w:highlight w:val="none"/>
                <w:lang w:eastAsia="zh-CN"/>
              </w:rPr>
              <w:t>负责人履职待遇、业务支出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适用范围</w:t>
            </w:r>
          </w:p>
        </w:tc>
        <w:tc>
          <w:tcPr>
            <w:tcW w:w="7085" w:type="dxa"/>
            <w:gridSpan w:val="4"/>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val="en-US" w:eastAsia="zh-CN"/>
              </w:rPr>
            </w:pPr>
            <w:r>
              <w:rPr>
                <w:rFonts w:hint="eastAsia" w:ascii="仿宋_GB2312" w:hAnsi="仿宋_GB2312" w:cs="仿宋_GB2312"/>
                <w:sz w:val="21"/>
                <w:szCs w:val="21"/>
                <w:highlight w:val="none"/>
                <w:lang w:val="en-US" w:eastAsia="zh-CN"/>
              </w:rPr>
              <w:t>集团公司领导班子成员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主责部门</w:t>
            </w:r>
          </w:p>
        </w:tc>
        <w:tc>
          <w:tcPr>
            <w:tcW w:w="7085" w:type="dxa"/>
            <w:gridSpan w:val="4"/>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eastAsia="zh-CN"/>
              </w:rPr>
            </w:pPr>
            <w:r>
              <w:rPr>
                <w:rFonts w:hint="eastAsia" w:ascii="仿宋_GB2312" w:hAnsi="仿宋_GB2312" w:cs="仿宋_GB2312"/>
                <w:sz w:val="21"/>
                <w:szCs w:val="21"/>
                <w:highlight w:val="none"/>
                <w:lang w:eastAsia="zh-CN"/>
              </w:rPr>
              <w:t>公司办公室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制度</w:t>
            </w:r>
            <w:r>
              <w:rPr>
                <w:rFonts w:hint="eastAsia" w:ascii="仿宋_GB2312" w:hAnsi="仿宋_GB2312" w:cs="仿宋_GB2312"/>
                <w:b/>
                <w:sz w:val="21"/>
                <w:szCs w:val="21"/>
                <w:highlight w:val="none"/>
                <w:lang w:eastAsia="zh-CN"/>
              </w:rPr>
              <w:t>类别</w:t>
            </w:r>
          </w:p>
        </w:tc>
        <w:tc>
          <w:tcPr>
            <w:tcW w:w="2611" w:type="dxa"/>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lang w:eastAsia="zh-CN"/>
              </w:rPr>
            </w:pPr>
            <w:r>
              <w:rPr>
                <w:rFonts w:hint="eastAsia" w:ascii="仿宋_GB2312" w:hAnsi="仿宋_GB2312" w:cs="仿宋_GB2312"/>
                <w:bCs/>
                <w:sz w:val="21"/>
                <w:szCs w:val="21"/>
                <w:highlight w:val="none"/>
                <w:lang w:eastAsia="zh-CN"/>
              </w:rPr>
              <w:t>核心制度</w:t>
            </w:r>
          </w:p>
        </w:tc>
        <w:tc>
          <w:tcPr>
            <w:tcW w:w="1701"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rPr>
            </w:pPr>
            <w:r>
              <w:rPr>
                <w:rFonts w:hint="eastAsia" w:ascii="仿宋_GB2312" w:hAnsi="仿宋_GB2312" w:cs="仿宋_GB2312"/>
                <w:b/>
                <w:sz w:val="21"/>
                <w:szCs w:val="21"/>
                <w:highlight w:val="none"/>
              </w:rPr>
              <w:t>业务域</w:t>
            </w:r>
          </w:p>
        </w:tc>
        <w:tc>
          <w:tcPr>
            <w:tcW w:w="2773" w:type="dxa"/>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val="en-US" w:eastAsia="zh-CN"/>
              </w:rPr>
            </w:pPr>
            <w:r>
              <w:rPr>
                <w:rFonts w:hint="eastAsia" w:ascii="仿宋_GB2312" w:hAnsi="仿宋_GB2312" w:cs="仿宋_GB2312"/>
                <w:bCs/>
                <w:sz w:val="21"/>
                <w:szCs w:val="21"/>
                <w:highlight w:val="none"/>
                <w:lang w:val="en-US" w:eastAsia="zh-CN"/>
              </w:rPr>
              <w:t>人力资源管理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上位制度</w:t>
            </w:r>
          </w:p>
        </w:tc>
        <w:tc>
          <w:tcPr>
            <w:tcW w:w="2611" w:type="dxa"/>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eastAsia="zh-CN"/>
              </w:rPr>
            </w:pPr>
            <w:r>
              <w:rPr>
                <w:rFonts w:hint="eastAsia" w:ascii="仿宋_GB2312" w:hAnsi="仿宋_GB2312" w:cs="仿宋_GB2312"/>
                <w:b/>
                <w:sz w:val="21"/>
                <w:szCs w:val="21"/>
                <w:highlight w:val="none"/>
                <w:lang w:val="en-US" w:eastAsia="zh-CN"/>
              </w:rPr>
              <w:t>-</w:t>
            </w:r>
          </w:p>
        </w:tc>
        <w:tc>
          <w:tcPr>
            <w:tcW w:w="1701"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rPr>
            </w:pPr>
            <w:r>
              <w:rPr>
                <w:rFonts w:hint="eastAsia" w:ascii="仿宋_GB2312" w:hAnsi="仿宋_GB2312" w:cs="仿宋_GB2312"/>
                <w:b/>
                <w:sz w:val="21"/>
                <w:szCs w:val="21"/>
                <w:highlight w:val="none"/>
              </w:rPr>
              <w:t>下位制度</w:t>
            </w:r>
          </w:p>
        </w:tc>
        <w:tc>
          <w:tcPr>
            <w:tcW w:w="2773" w:type="dxa"/>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eastAsia="zh-CN"/>
              </w:rPr>
            </w:pPr>
            <w:r>
              <w:rPr>
                <w:rFonts w:hint="eastAsia" w:ascii="仿宋_GB2312" w:hAnsi="仿宋_GB2312" w:cs="仿宋_GB231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关联制度</w:t>
            </w:r>
          </w:p>
        </w:tc>
        <w:tc>
          <w:tcPr>
            <w:tcW w:w="2611" w:type="dxa"/>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hint="eastAsia" w:ascii="仿宋_GB2312" w:hAnsi="仿宋_GB2312" w:eastAsia="仿宋_GB2312" w:cs="仿宋_GB2312"/>
                <w:b/>
                <w:sz w:val="21"/>
                <w:szCs w:val="21"/>
                <w:highlight w:val="none"/>
                <w:lang w:val="en-US" w:eastAsia="zh-CN"/>
              </w:rPr>
            </w:pPr>
            <w:r>
              <w:rPr>
                <w:rFonts w:hint="eastAsia" w:ascii="仿宋_GB2312" w:hAnsi="仿宋_GB2312" w:cs="仿宋_GB2312"/>
                <w:b/>
                <w:sz w:val="21"/>
                <w:szCs w:val="21"/>
                <w:highlight w:val="none"/>
                <w:lang w:val="en-US" w:eastAsia="zh-CN"/>
              </w:rPr>
              <w:t>-</w:t>
            </w:r>
          </w:p>
        </w:tc>
        <w:tc>
          <w:tcPr>
            <w:tcW w:w="1701"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rPr>
            </w:pPr>
            <w:r>
              <w:rPr>
                <w:rFonts w:hint="eastAsia" w:ascii="仿宋_GB2312" w:hAnsi="仿宋_GB2312" w:cs="仿宋_GB2312"/>
                <w:b/>
                <w:sz w:val="21"/>
                <w:szCs w:val="21"/>
                <w:highlight w:val="none"/>
              </w:rPr>
              <w:t>替代制度</w:t>
            </w:r>
          </w:p>
        </w:tc>
        <w:tc>
          <w:tcPr>
            <w:tcW w:w="2773" w:type="dxa"/>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0" w:firstLineChars="0"/>
              <w:jc w:val="center"/>
              <w:rPr>
                <w:rFonts w:ascii="仿宋_GB2312" w:hAnsi="仿宋_GB2312" w:cs="仿宋_GB2312"/>
                <w:b/>
                <w:sz w:val="21"/>
                <w:szCs w:val="21"/>
                <w:highlight w:val="none"/>
                <w:lang w:eastAsia="zh-CN"/>
              </w:rPr>
            </w:pPr>
            <w:r>
              <w:rPr>
                <w:rFonts w:hint="eastAsia" w:ascii="仿宋_GB2312" w:hAnsi="仿宋_GB2312" w:cs="仿宋_GB231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restart"/>
            <w:tcBorders>
              <w:top w:val="single" w:color="A4A4A4" w:themeColor="background1" w:themeShade="A5" w:sz="4" w:space="0"/>
              <w:left w:val="nil"/>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会签部门</w:t>
            </w:r>
          </w:p>
        </w:tc>
        <w:tc>
          <w:tcPr>
            <w:tcW w:w="3489"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beforeLines="0" w:afterLines="0"/>
              <w:ind w:left="0" w:leftChars="0" w:firstLine="0" w:firstLineChars="0"/>
              <w:jc w:val="center"/>
              <w:rPr>
                <w:rFonts w:hint="eastAsia" w:ascii="Arial" w:hAnsi="Arial" w:eastAsia="仿宋_GB2312" w:cs="Times New Roman"/>
                <w:b w:val="0"/>
                <w:bCs/>
                <w:color w:val="000000"/>
                <w:sz w:val="21"/>
                <w:szCs w:val="21"/>
                <w:highlight w:val="none"/>
                <w:lang w:val="en-US" w:eastAsia="zh-CN" w:bidi="en-US"/>
              </w:rPr>
            </w:pPr>
            <w:r>
              <w:rPr>
                <w:rFonts w:hint="eastAsia" w:ascii="Arial" w:hAnsi="Arial" w:eastAsia="仿宋_GB2312"/>
                <w:b w:val="0"/>
                <w:bCs/>
                <w:sz w:val="21"/>
                <w:szCs w:val="21"/>
                <w:highlight w:val="none"/>
                <w:lang w:val="en-US" w:eastAsia="zh-CN"/>
              </w:rPr>
              <w:t>业务领域牵头部门</w:t>
            </w: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default" w:ascii="仿宋_GB2312" w:hAnsi="仿宋_GB2312" w:eastAsia="仿宋_GB2312" w:cs="仿宋_GB2312"/>
                <w:b/>
                <w:color w:val="000000"/>
                <w:sz w:val="21"/>
                <w:szCs w:val="21"/>
                <w:highlight w:val="none"/>
                <w:lang w:val="en-US" w:eastAsia="zh-CN" w:bidi="en-US"/>
              </w:rPr>
            </w:pPr>
            <w:r>
              <w:rPr>
                <w:rFonts w:hint="eastAsia" w:ascii="仿宋_GB2312" w:hAnsi="仿宋_GB2312" w:cs="仿宋_GB2312"/>
                <w:b w:val="0"/>
                <w:sz w:val="21"/>
                <w:szCs w:val="21"/>
                <w:highlight w:val="none"/>
                <w:lang w:eastAsia="zh-CN"/>
              </w:rPr>
              <w:t>组织人事部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continue"/>
            <w:tcBorders>
              <w:left w:val="nil"/>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beforeLines="0" w:afterLines="0"/>
              <w:ind w:left="0" w:leftChars="0" w:firstLine="0" w:firstLineChars="0"/>
              <w:jc w:val="center"/>
              <w:rPr>
                <w:rFonts w:hint="eastAsia" w:ascii="Arial" w:hAnsi="Arial" w:eastAsia="仿宋_GB2312" w:cs="Times New Roman"/>
                <w:b w:val="0"/>
                <w:bCs/>
                <w:color w:val="000000"/>
                <w:sz w:val="21"/>
                <w:szCs w:val="21"/>
                <w:highlight w:val="none"/>
                <w:lang w:val="en-US" w:eastAsia="zh-CN" w:bidi="en-US"/>
              </w:rPr>
            </w:pPr>
            <w:r>
              <w:rPr>
                <w:rFonts w:hint="eastAsia" w:ascii="Arial" w:hAnsi="Arial" w:eastAsia="仿宋_GB2312"/>
                <w:b w:val="0"/>
                <w:bCs/>
                <w:sz w:val="21"/>
                <w:szCs w:val="21"/>
                <w:highlight w:val="none"/>
                <w:lang w:val="en-US" w:eastAsia="zh-CN"/>
              </w:rPr>
              <w:t>规范审核部门</w:t>
            </w: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eastAsia" w:ascii="仿宋_GB2312" w:hAnsi="仿宋_GB2312" w:eastAsia="仿宋_GB2312" w:cs="仿宋_GB2312"/>
                <w:b/>
                <w:color w:val="000000"/>
                <w:sz w:val="21"/>
                <w:szCs w:val="21"/>
                <w:highlight w:val="none"/>
                <w:lang w:val="en-US" w:eastAsia="zh-CN" w:bidi="en-US"/>
              </w:rPr>
            </w:pPr>
            <w:r>
              <w:rPr>
                <w:rFonts w:hint="eastAsia" w:ascii="仿宋_GB2312" w:hAnsi="仿宋_GB2312" w:cs="仿宋_GB2312"/>
                <w:b w:val="0"/>
                <w:sz w:val="21"/>
                <w:szCs w:val="21"/>
                <w:highlight w:val="none"/>
                <w:lang w:eastAsia="zh-CN"/>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continue"/>
            <w:tcBorders>
              <w:left w:val="nil"/>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beforeLines="0" w:afterLines="0"/>
              <w:ind w:left="0" w:leftChars="0" w:firstLine="0" w:firstLineChars="0"/>
              <w:jc w:val="center"/>
              <w:rPr>
                <w:rFonts w:hint="eastAsia" w:ascii="Arial" w:hAnsi="Arial" w:eastAsia="仿宋_GB2312" w:cs="Times New Roman"/>
                <w:b w:val="0"/>
                <w:bCs/>
                <w:color w:val="000000"/>
                <w:sz w:val="21"/>
                <w:szCs w:val="21"/>
                <w:highlight w:val="none"/>
                <w:lang w:val="en-US" w:eastAsia="zh-CN" w:bidi="en-US"/>
              </w:rPr>
            </w:pPr>
            <w:r>
              <w:rPr>
                <w:rFonts w:hint="eastAsia" w:ascii="Arial" w:hAnsi="Arial" w:eastAsia="仿宋_GB2312"/>
                <w:b w:val="0"/>
                <w:bCs/>
                <w:sz w:val="21"/>
                <w:szCs w:val="21"/>
                <w:highlight w:val="none"/>
                <w:lang w:val="en-US" w:eastAsia="zh-CN"/>
              </w:rPr>
              <w:t>合规审核部门</w:t>
            </w: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eastAsia" w:ascii="仿宋_GB2312" w:hAnsi="仿宋_GB2312" w:eastAsia="仿宋_GB2312" w:cs="仿宋_GB2312"/>
                <w:b/>
                <w:color w:val="000000"/>
                <w:sz w:val="21"/>
                <w:szCs w:val="21"/>
                <w:highlight w:val="none"/>
                <w:lang w:val="en-US" w:eastAsia="zh-CN" w:bidi="en-US"/>
              </w:rPr>
            </w:pPr>
            <w:r>
              <w:rPr>
                <w:rFonts w:hint="eastAsia" w:ascii="仿宋_GB2312" w:hAnsi="仿宋_GB2312" w:cs="仿宋_GB2312"/>
                <w:b w:val="0"/>
                <w:sz w:val="21"/>
                <w:szCs w:val="21"/>
                <w:highlight w:val="none"/>
                <w:lang w:eastAsia="zh-CN"/>
              </w:rPr>
              <w:t>法务审计部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continue"/>
            <w:tcBorders>
              <w:left w:val="nil"/>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beforeLines="0" w:afterLines="0"/>
              <w:ind w:left="0" w:leftChars="0" w:firstLine="0" w:firstLineChars="0"/>
              <w:jc w:val="center"/>
              <w:rPr>
                <w:rFonts w:hint="eastAsia" w:ascii="Arial" w:hAnsi="Arial" w:eastAsia="仿宋_GB2312" w:cs="Times New Roman"/>
                <w:b/>
                <w:color w:val="000000"/>
                <w:sz w:val="21"/>
                <w:szCs w:val="21"/>
                <w:highlight w:val="none"/>
                <w:lang w:val="en-US" w:eastAsia="zh-CN" w:bidi="en-US"/>
              </w:rPr>
            </w:pPr>
            <w:r>
              <w:rPr>
                <w:rFonts w:hint="eastAsia" w:ascii="Arial" w:hAnsi="Arial" w:eastAsia="仿宋_GB2312"/>
                <w:b w:val="0"/>
                <w:bCs/>
                <w:sz w:val="21"/>
                <w:szCs w:val="21"/>
                <w:highlight w:val="none"/>
                <w:lang w:val="en-US" w:eastAsia="zh-CN"/>
              </w:rPr>
              <w:t>保密审核部门</w:t>
            </w: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default" w:ascii="仿宋_GB2312" w:hAnsi="仿宋_GB2312" w:eastAsia="仿宋_GB2312" w:cs="仿宋_GB2312"/>
                <w:b/>
                <w:color w:val="000000"/>
                <w:sz w:val="21"/>
                <w:szCs w:val="21"/>
                <w:highlight w:val="none"/>
                <w:lang w:val="en-US" w:eastAsia="zh-CN" w:bidi="en-US"/>
              </w:rPr>
            </w:pPr>
            <w:r>
              <w:rPr>
                <w:rFonts w:hint="eastAsia" w:ascii="仿宋_GB2312" w:hAnsi="仿宋_GB2312" w:cs="仿宋_GB2312"/>
                <w:b w:val="0"/>
                <w:bCs/>
                <w:color w:val="000000"/>
                <w:sz w:val="21"/>
                <w:szCs w:val="21"/>
                <w:highlight w:val="none"/>
                <w:lang w:val="en-US" w:eastAsia="zh-CN" w:bidi="en-US"/>
              </w:rPr>
              <w:t>保密管理部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continue"/>
            <w:tcBorders>
              <w:left w:val="nil"/>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vMerge w:val="restart"/>
            <w:tcBorders>
              <w:top w:val="single" w:color="A4A4A4" w:themeColor="background1" w:themeShade="A5" w:sz="4" w:space="0"/>
              <w:left w:val="single" w:color="A4A4A4" w:themeColor="background1" w:themeShade="A5" w:sz="4" w:space="0"/>
              <w:right w:val="single" w:color="A4A4A4" w:themeColor="background1" w:themeShade="A5" w:sz="4" w:space="0"/>
            </w:tcBorders>
            <w:shd w:val="clear" w:color="auto" w:fill="auto"/>
            <w:vAlign w:val="center"/>
          </w:tcPr>
          <w:p>
            <w:pPr>
              <w:spacing w:line="300" w:lineRule="exact"/>
              <w:ind w:left="0" w:leftChars="0" w:firstLine="0" w:firstLineChars="0"/>
              <w:jc w:val="center"/>
              <w:rPr>
                <w:rFonts w:hint="default" w:ascii="仿宋_GB2312" w:hAnsi="仿宋_GB2312" w:eastAsia="仿宋_GB2312" w:cs="仿宋_GB2312"/>
                <w:b/>
                <w:sz w:val="21"/>
                <w:szCs w:val="21"/>
                <w:highlight w:val="none"/>
                <w:lang w:val="en-US" w:eastAsia="zh-CN"/>
              </w:rPr>
            </w:pPr>
            <w:r>
              <w:rPr>
                <w:rFonts w:hint="eastAsia" w:ascii="仿宋_GB2312" w:hAnsi="仿宋_GB2312" w:cs="仿宋_GB2312"/>
                <w:b w:val="0"/>
                <w:bCs/>
                <w:sz w:val="21"/>
                <w:szCs w:val="21"/>
                <w:highlight w:val="none"/>
                <w:lang w:val="en-US" w:eastAsia="zh-CN"/>
              </w:rPr>
              <w:t>业务关联部门</w:t>
            </w: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eastAsia" w:ascii="仿宋_GB2312" w:hAnsi="仿宋_GB2312" w:eastAsia="仿宋_GB2312" w:cs="仿宋_GB2312"/>
                <w:b/>
                <w:color w:val="000000"/>
                <w:sz w:val="21"/>
                <w:szCs w:val="21"/>
                <w:highlight w:val="none"/>
                <w:lang w:val="en-US" w:eastAsia="zh-CN" w:bidi="en-US"/>
              </w:rPr>
            </w:pPr>
            <w:r>
              <w:rPr>
                <w:rFonts w:hint="eastAsia" w:ascii="仿宋_GB2312" w:hAnsi="仿宋_GB2312" w:cs="仿宋_GB2312"/>
                <w:b w:val="0"/>
                <w:sz w:val="21"/>
                <w:szCs w:val="21"/>
                <w:highlight w:val="none"/>
                <w:lang w:eastAsia="zh-CN"/>
              </w:rPr>
              <w:t>纪委办公室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753" w:type="dxa"/>
            <w:vMerge w:val="continue"/>
            <w:tcBorders>
              <w:left w:val="nil"/>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vMerge w:val="continue"/>
            <w:tcBorders>
              <w:left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422"/>
              <w:rPr>
                <w:rFonts w:hint="eastAsia" w:ascii="仿宋_GB2312" w:hAnsi="仿宋_GB2312" w:cs="仿宋_GB2312"/>
                <w:b/>
                <w:sz w:val="21"/>
                <w:szCs w:val="21"/>
                <w:highlight w:val="none"/>
                <w:lang w:val="en-US" w:eastAsia="zh-CN"/>
              </w:rPr>
            </w:pP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eastAsia" w:ascii="仿宋_GB2312" w:hAnsi="仿宋_GB2312" w:cs="仿宋_GB2312"/>
                <w:b w:val="0"/>
                <w:sz w:val="21"/>
                <w:szCs w:val="21"/>
                <w:highlight w:val="none"/>
                <w:lang w:eastAsia="zh-CN"/>
              </w:rPr>
            </w:pPr>
            <w:r>
              <w:rPr>
                <w:rFonts w:hint="eastAsia" w:ascii="仿宋_GB2312" w:hAnsi="仿宋_GB2312" w:cs="仿宋_GB2312"/>
                <w:b w:val="0"/>
                <w:sz w:val="21"/>
                <w:szCs w:val="21"/>
                <w:highlight w:val="none"/>
                <w:lang w:eastAsia="zh-CN"/>
              </w:rPr>
              <w:t>组织人事部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1753" w:type="dxa"/>
            <w:vMerge w:val="continue"/>
            <w:tcBorders>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420"/>
              <w:rPr>
                <w:rFonts w:ascii="仿宋_GB2312" w:hAnsi="仿宋_GB2312" w:cs="仿宋_GB2312"/>
                <w:sz w:val="21"/>
                <w:szCs w:val="21"/>
                <w:highlight w:val="none"/>
              </w:rPr>
            </w:pPr>
          </w:p>
        </w:tc>
        <w:tc>
          <w:tcPr>
            <w:tcW w:w="3489" w:type="dxa"/>
            <w:gridSpan w:val="2"/>
            <w:vMerge w:val="continue"/>
            <w:tcBorders>
              <w:left w:val="single" w:color="A4A4A4" w:themeColor="background1" w:themeShade="A5" w:sz="4" w:space="0"/>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422"/>
              <w:rPr>
                <w:rFonts w:hint="eastAsia" w:ascii="仿宋_GB2312" w:hAnsi="仿宋_GB2312" w:cs="仿宋_GB2312"/>
                <w:b/>
                <w:sz w:val="21"/>
                <w:szCs w:val="21"/>
                <w:highlight w:val="none"/>
                <w:lang w:val="en-US" w:eastAsia="zh-CN"/>
              </w:rPr>
            </w:pPr>
          </w:p>
        </w:tc>
        <w:tc>
          <w:tcPr>
            <w:tcW w:w="3596" w:type="dxa"/>
            <w:gridSpan w:val="2"/>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firstLine="420" w:firstLineChars="200"/>
              <w:rPr>
                <w:rFonts w:hint="eastAsia" w:ascii="仿宋_GB2312" w:hAnsi="仿宋_GB2312" w:cs="仿宋_GB2312"/>
                <w:b w:val="0"/>
                <w:sz w:val="21"/>
                <w:szCs w:val="21"/>
                <w:highlight w:val="none"/>
                <w:lang w:eastAsia="zh-CN"/>
              </w:rPr>
            </w:pPr>
            <w:r>
              <w:rPr>
                <w:rFonts w:hint="eastAsia" w:ascii="仿宋_GB2312" w:hAnsi="仿宋_GB2312" w:cs="仿宋_GB2312"/>
                <w:b w:val="0"/>
                <w:sz w:val="21"/>
                <w:szCs w:val="21"/>
                <w:highlight w:val="none"/>
                <w:lang w:eastAsia="zh-CN"/>
              </w:rPr>
              <w:t>财务管理部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1753" w:type="dxa"/>
            <w:tcBorders>
              <w:left w:val="nil"/>
              <w:bottom w:val="single" w:color="A4A4A4" w:themeColor="background1" w:themeShade="A5" w:sz="4" w:space="0"/>
              <w:right w:val="single" w:color="A4A4A4" w:themeColor="background1" w:themeShade="A5"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cs="仿宋_GB2312"/>
                <w:b/>
                <w:sz w:val="21"/>
                <w:szCs w:val="21"/>
                <w:highlight w:val="none"/>
                <w:lang w:eastAsia="zh-CN"/>
              </w:rPr>
            </w:pPr>
            <w:r>
              <w:rPr>
                <w:rFonts w:hint="eastAsia" w:ascii="仿宋_GB2312" w:hAnsi="仿宋_GB2312" w:cs="仿宋_GB2312"/>
                <w:b/>
                <w:sz w:val="21"/>
                <w:szCs w:val="21"/>
                <w:highlight w:val="none"/>
                <w:lang w:eastAsia="zh-CN"/>
              </w:rPr>
              <w:t>审</w:t>
            </w:r>
            <w:r>
              <w:rPr>
                <w:rFonts w:hint="eastAsia" w:ascii="仿宋_GB2312" w:hAnsi="仿宋_GB2312" w:cs="仿宋_GB2312"/>
                <w:b/>
                <w:sz w:val="21"/>
                <w:szCs w:val="21"/>
                <w:highlight w:val="none"/>
                <w:lang w:val="en-US" w:eastAsia="zh-CN"/>
              </w:rPr>
              <w:t xml:space="preserve">  </w:t>
            </w:r>
            <w:r>
              <w:rPr>
                <w:rFonts w:hint="eastAsia" w:ascii="仿宋_GB2312" w:hAnsi="仿宋_GB2312" w:cs="仿宋_GB2312"/>
                <w:b/>
                <w:sz w:val="21"/>
                <w:szCs w:val="21"/>
                <w:highlight w:val="none"/>
                <w:lang w:eastAsia="zh-CN"/>
              </w:rPr>
              <w:t>核</w:t>
            </w:r>
          </w:p>
        </w:tc>
        <w:tc>
          <w:tcPr>
            <w:tcW w:w="7085" w:type="dxa"/>
            <w:gridSpan w:val="4"/>
            <w:tcBorders>
              <w:left w:val="single" w:color="A4A4A4" w:themeColor="background1" w:themeShade="A5" w:sz="4" w:space="0"/>
              <w:bottom w:val="single" w:color="A4A4A4" w:themeColor="background1" w:themeShade="A5" w:sz="4" w:space="0"/>
              <w:right w:val="nil"/>
            </w:tcBorders>
            <w:shd w:val="clear" w:color="auto" w:fill="auto"/>
            <w:vAlign w:val="center"/>
          </w:tcPr>
          <w:p>
            <w:pPr>
              <w:tabs>
                <w:tab w:val="left" w:pos="1915"/>
              </w:tabs>
              <w:spacing w:line="300" w:lineRule="exact"/>
              <w:ind w:left="0" w:leftChars="0" w:firstLine="0" w:firstLineChars="0"/>
              <w:rPr>
                <w:rFonts w:hint="eastAsia" w:ascii="仿宋_GB2312" w:hAnsi="仿宋_GB2312" w:cs="仿宋_GB2312"/>
                <w:b w:val="0"/>
                <w:sz w:val="21"/>
                <w:szCs w:val="21"/>
                <w:highlight w:val="none"/>
                <w:lang w:eastAsia="zh-CN"/>
              </w:rPr>
            </w:pPr>
            <w:r>
              <w:rPr>
                <w:rFonts w:hint="eastAsia" w:ascii="Arial" w:hAnsi="Arial" w:eastAsia="仿宋_GB2312"/>
                <w:b w:val="0"/>
                <w:bCs/>
                <w:sz w:val="21"/>
                <w:szCs w:val="21"/>
                <w:highlight w:val="none"/>
                <w:lang w:val="en-US" w:eastAsia="zh-CN"/>
              </w:rPr>
              <w:t>分管公司办公室的公司领导、分管组织人事部的公司领导、总经理、董事长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1753" w:type="dxa"/>
            <w:tcBorders>
              <w:left w:val="nil"/>
              <w:bottom w:val="single" w:color="A4A4A4" w:themeColor="background1" w:themeShade="A5" w:sz="4" w:space="0"/>
              <w:right w:val="single" w:color="A4A4A4" w:themeColor="background1" w:themeShade="A5"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仿宋_GB2312" w:hAnsi="仿宋_GB2312" w:cs="仿宋_GB2312"/>
                <w:b/>
                <w:sz w:val="21"/>
                <w:szCs w:val="21"/>
                <w:highlight w:val="none"/>
                <w:lang w:eastAsia="zh-CN"/>
              </w:rPr>
            </w:pPr>
            <w:r>
              <w:rPr>
                <w:rFonts w:hint="eastAsia" w:ascii="仿宋_GB2312" w:hAnsi="仿宋_GB2312" w:cs="仿宋_GB2312"/>
                <w:b/>
                <w:sz w:val="21"/>
                <w:szCs w:val="21"/>
                <w:highlight w:val="none"/>
                <w:lang w:eastAsia="zh-CN"/>
              </w:rPr>
              <w:t>审</w:t>
            </w:r>
            <w:r>
              <w:rPr>
                <w:rFonts w:hint="eastAsia" w:ascii="仿宋_GB2312" w:hAnsi="仿宋_GB2312" w:cs="仿宋_GB2312"/>
                <w:b/>
                <w:sz w:val="21"/>
                <w:szCs w:val="21"/>
                <w:highlight w:val="none"/>
                <w:lang w:val="en-US" w:eastAsia="zh-CN"/>
              </w:rPr>
              <w:t xml:space="preserve">  </w:t>
            </w:r>
            <w:r>
              <w:rPr>
                <w:rFonts w:hint="eastAsia" w:ascii="仿宋_GB2312" w:hAnsi="仿宋_GB2312" w:cs="仿宋_GB2312"/>
                <w:b/>
                <w:sz w:val="21"/>
                <w:szCs w:val="21"/>
                <w:highlight w:val="none"/>
                <w:lang w:eastAsia="zh-CN"/>
              </w:rPr>
              <w:t>批</w:t>
            </w:r>
          </w:p>
        </w:tc>
        <w:tc>
          <w:tcPr>
            <w:tcW w:w="7085" w:type="dxa"/>
            <w:gridSpan w:val="4"/>
            <w:tcBorders>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left="0" w:leftChars="0" w:firstLine="0" w:firstLineChars="0"/>
              <w:rPr>
                <w:rFonts w:hint="eastAsia" w:ascii="仿宋_GB2312" w:hAnsi="仿宋_GB2312" w:cs="仿宋_GB2312"/>
                <w:b w:val="0"/>
                <w:sz w:val="21"/>
                <w:szCs w:val="21"/>
                <w:highlight w:val="none"/>
                <w:lang w:eastAsia="zh-CN"/>
              </w:rPr>
            </w:pPr>
            <w:r>
              <w:rPr>
                <w:rFonts w:hint="eastAsia" w:ascii="Arial" w:hAnsi="Arial" w:eastAsia="仿宋_GB2312"/>
                <w:b w:val="0"/>
                <w:bCs/>
                <w:sz w:val="21"/>
                <w:szCs w:val="21"/>
                <w:highlight w:val="none"/>
                <w:lang w:val="en-US" w:eastAsia="zh-CN"/>
              </w:rPr>
              <w:t>党委会前置审议、董事会审批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rPr>
        <w:tc>
          <w:tcPr>
            <w:tcW w:w="1753" w:type="dxa"/>
            <w:tcBorders>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left="0" w:leftChars="0" w:firstLine="0" w:firstLineChars="0"/>
              <w:rPr>
                <w:rFonts w:hint="eastAsia" w:ascii="仿宋_GB2312" w:hAnsi="仿宋_GB2312" w:eastAsia="仿宋_GB2312" w:cs="仿宋_GB2312"/>
                <w:sz w:val="21"/>
                <w:szCs w:val="21"/>
                <w:highlight w:val="none"/>
                <w:lang w:eastAsia="zh-CN"/>
              </w:rPr>
            </w:pPr>
            <w:r>
              <w:rPr>
                <w:rFonts w:hint="eastAsia" w:ascii="仿宋_GB2312" w:hAnsi="仿宋_GB2312" w:cs="仿宋_GB2312"/>
                <w:b/>
                <w:sz w:val="21"/>
                <w:szCs w:val="21"/>
                <w:highlight w:val="none"/>
                <w:lang w:eastAsia="zh-CN"/>
              </w:rPr>
              <w:t>制度公开范围</w:t>
            </w:r>
          </w:p>
        </w:tc>
        <w:tc>
          <w:tcPr>
            <w:tcW w:w="7085" w:type="dxa"/>
            <w:gridSpan w:val="4"/>
            <w:tcBorders>
              <w:left w:val="single" w:color="A4A4A4" w:themeColor="background1" w:themeShade="A5" w:sz="4" w:space="0"/>
              <w:bottom w:val="single" w:color="A4A4A4" w:themeColor="background1" w:themeShade="A5" w:sz="4" w:space="0"/>
              <w:right w:val="nil"/>
            </w:tcBorders>
            <w:shd w:val="clear" w:color="auto" w:fill="auto"/>
            <w:vAlign w:val="center"/>
          </w:tcPr>
          <w:p>
            <w:pPr>
              <w:spacing w:line="300" w:lineRule="exact"/>
              <w:ind w:left="0" w:leftChars="0" w:firstLine="0" w:firstLineChars="0"/>
              <w:rPr>
                <w:rFonts w:hint="eastAsia" w:ascii="仿宋_GB2312" w:hAnsi="仿宋_GB2312" w:cs="仿宋_GB2312"/>
                <w:b w:val="0"/>
                <w:sz w:val="21"/>
                <w:szCs w:val="21"/>
                <w:highlight w:val="none"/>
                <w:lang w:eastAsia="zh-CN"/>
              </w:rPr>
            </w:pPr>
            <w:r>
              <w:rPr>
                <w:rFonts w:hint="eastAsia" w:ascii="仿宋_GB2312" w:hAnsi="仿宋_GB2312" w:cs="仿宋_GB2312"/>
                <w:b w:val="0"/>
                <w:sz w:val="21"/>
                <w:szCs w:val="21"/>
                <w:highlight w:val="none"/>
                <w:lang w:eastAsia="zh-CN"/>
              </w:rPr>
              <w:t>总部中层及以上管理人员，下属公司经营班子成员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7" w:hRule="atLeast"/>
        </w:trPr>
        <w:tc>
          <w:tcPr>
            <w:tcW w:w="1753" w:type="dxa"/>
            <w:tcBorders>
              <w:top w:val="single" w:color="A4A4A4" w:themeColor="background1" w:themeShade="A5" w:sz="4" w:space="0"/>
              <w:left w:val="nil"/>
              <w:bottom w:val="single" w:color="A4A4A4" w:themeColor="background1" w:themeShade="A5" w:sz="4" w:space="0"/>
              <w:right w:val="single" w:color="A4A4A4" w:themeColor="background1" w:themeShade="A5" w:sz="4" w:space="0"/>
            </w:tcBorders>
            <w:shd w:val="clear" w:color="auto" w:fill="auto"/>
            <w:vAlign w:val="center"/>
          </w:tcPr>
          <w:p>
            <w:pPr>
              <w:spacing w:line="300" w:lineRule="exact"/>
              <w:ind w:firstLine="210" w:firstLineChars="100"/>
              <w:rPr>
                <w:rFonts w:ascii="仿宋_GB2312" w:hAnsi="仿宋_GB2312" w:cs="仿宋_GB2312"/>
                <w:b/>
                <w:sz w:val="21"/>
                <w:szCs w:val="21"/>
                <w:highlight w:val="none"/>
              </w:rPr>
            </w:pPr>
            <w:r>
              <w:rPr>
                <w:rFonts w:hint="eastAsia" w:ascii="仿宋_GB2312" w:hAnsi="仿宋_GB2312" w:cs="仿宋_GB2312"/>
                <w:b/>
                <w:sz w:val="21"/>
                <w:szCs w:val="21"/>
                <w:highlight w:val="none"/>
              </w:rPr>
              <w:t>历</w:t>
            </w:r>
            <w:r>
              <w:rPr>
                <w:rFonts w:hint="eastAsia" w:ascii="仿宋_GB2312" w:hAnsi="仿宋_GB2312" w:cs="仿宋_GB2312"/>
                <w:b/>
                <w:sz w:val="21"/>
                <w:szCs w:val="21"/>
                <w:highlight w:val="none"/>
                <w:lang w:eastAsia="zh-CN"/>
              </w:rPr>
              <w:t>史</w:t>
            </w:r>
            <w:r>
              <w:rPr>
                <w:rFonts w:hint="eastAsia" w:ascii="仿宋_GB2312" w:hAnsi="仿宋_GB2312" w:cs="仿宋_GB2312"/>
                <w:b/>
                <w:sz w:val="21"/>
                <w:szCs w:val="21"/>
                <w:highlight w:val="none"/>
              </w:rPr>
              <w:t>记录</w:t>
            </w:r>
          </w:p>
        </w:tc>
        <w:tc>
          <w:tcPr>
            <w:tcW w:w="7085" w:type="dxa"/>
            <w:gridSpan w:val="4"/>
            <w:tcBorders>
              <w:top w:val="single" w:color="A4A4A4" w:themeColor="background1" w:themeShade="A5" w:sz="4" w:space="0"/>
              <w:left w:val="single" w:color="A4A4A4" w:themeColor="background1" w:themeShade="A5" w:sz="4" w:space="0"/>
              <w:bottom w:val="single" w:color="A4A4A4" w:themeColor="background1" w:themeShade="A5"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both"/>
              <w:textAlignment w:val="auto"/>
              <w:rPr>
                <w:rFonts w:hint="eastAsia" w:ascii="仿宋_GB2312" w:eastAsia="仿宋_GB2312"/>
                <w:szCs w:val="21"/>
                <w:highlight w:val="none"/>
              </w:rPr>
            </w:pPr>
            <w:r>
              <w:rPr>
                <w:rFonts w:hint="eastAsia" w:ascii="仿宋_GB2312" w:hAnsi="仿宋_GB2312" w:cs="仿宋_GB2312"/>
                <w:b/>
                <w:bCs/>
                <w:sz w:val="21"/>
                <w:szCs w:val="21"/>
                <w:highlight w:val="none"/>
                <w:lang w:eastAsia="zh-CN"/>
              </w:rPr>
              <w:t>新增：</w:t>
            </w:r>
            <w:r>
              <w:rPr>
                <w:rFonts w:hint="eastAsia" w:ascii="仿宋_GB2312" w:hAnsi="仿宋_GB2312" w:cs="仿宋_GB2312"/>
                <w:b/>
                <w:bCs/>
                <w:sz w:val="21"/>
                <w:szCs w:val="21"/>
                <w:highlight w:val="none"/>
                <w:lang w:val="en-US" w:eastAsia="zh-CN"/>
              </w:rPr>
              <w:t>2024</w:t>
            </w:r>
            <w:r>
              <w:rPr>
                <w:rFonts w:hint="eastAsia" w:ascii="仿宋_GB2312" w:hAnsi="仿宋_GB2312" w:cs="仿宋_GB2312"/>
                <w:b/>
                <w:bCs/>
                <w:sz w:val="21"/>
                <w:szCs w:val="21"/>
                <w:highlight w:val="none"/>
                <w:lang w:eastAsia="zh-CN"/>
              </w:rPr>
              <w:t>年</w:t>
            </w:r>
            <w:r>
              <w:rPr>
                <w:rFonts w:hint="eastAsia" w:ascii="仿宋_GB2312" w:hAnsi="仿宋_GB2312" w:cs="仿宋_GB2312"/>
                <w:b/>
                <w:bCs/>
                <w:sz w:val="21"/>
                <w:szCs w:val="21"/>
                <w:highlight w:val="none"/>
                <w:lang w:val="en-US" w:eastAsia="zh-CN"/>
              </w:rPr>
              <w:t xml:space="preserve"> 月 </w:t>
            </w:r>
            <w:r>
              <w:rPr>
                <w:rFonts w:hint="eastAsia" w:ascii="仿宋_GB2312" w:hAnsi="仿宋_GB2312" w:cs="仿宋_GB2312"/>
                <w:b/>
                <w:bCs/>
                <w:sz w:val="21"/>
                <w:szCs w:val="21"/>
                <w:highlight w:val="none"/>
                <w:lang w:eastAsia="zh-CN"/>
              </w:rPr>
              <w:t>日</w:t>
            </w:r>
            <w:r>
              <w:rPr>
                <w:rFonts w:hint="eastAsia" w:ascii="仿宋_GB2312" w:hAnsi="仿宋_GB2312" w:cs="仿宋_GB2312"/>
                <w:sz w:val="21"/>
                <w:szCs w:val="21"/>
                <w:highlight w:val="none"/>
                <w:lang w:eastAsia="zh-CN"/>
              </w:rPr>
              <w:t>第一次修订，</w:t>
            </w:r>
            <w:r>
              <w:rPr>
                <w:rFonts w:hint="eastAsia" w:ascii="仿宋_GB2312" w:hAnsi="Calibri" w:eastAsia="仿宋_GB2312"/>
                <w:b w:val="0"/>
                <w:bCs w:val="0"/>
                <w:sz w:val="21"/>
                <w:szCs w:val="21"/>
                <w:highlight w:val="none"/>
                <w:lang w:val="en-US" w:eastAsia="zh-CN"/>
              </w:rPr>
              <w:t>经</w:t>
            </w:r>
            <w:r>
              <w:rPr>
                <w:rFonts w:hint="eastAsia" w:ascii="仿宋_GB2312" w:hAnsi="等线" w:eastAsia="仿宋_GB2312" w:cs="仿宋_GB2312"/>
                <w:b w:val="0"/>
                <w:bCs w:val="0"/>
                <w:snapToGrid w:val="0"/>
                <w:color w:val="000000"/>
                <w:kern w:val="2"/>
                <w:sz w:val="21"/>
                <w:szCs w:val="21"/>
                <w:lang w:val="en-US" w:eastAsia="zh-CN" w:bidi="ar"/>
              </w:rPr>
              <w:t>党委会前置审议</w:t>
            </w:r>
            <w:r>
              <w:rPr>
                <w:rFonts w:hint="eastAsia" w:ascii="仿宋_GB2312" w:hAnsi="仿宋_GB2312" w:eastAsia="仿宋_GB2312" w:cs="仿宋_GB2312"/>
                <w:b w:val="0"/>
                <w:bCs w:val="0"/>
                <w:kern w:val="2"/>
                <w:sz w:val="21"/>
                <w:szCs w:val="21"/>
                <w:highlight w:val="none"/>
                <w:lang w:val="en-US" w:eastAsia="zh-CN" w:bidi="ar"/>
              </w:rPr>
              <w:t>，</w:t>
            </w:r>
            <w:r>
              <w:rPr>
                <w:rFonts w:hint="eastAsia" w:ascii="仿宋_GB2312" w:hAnsi="Calibri" w:eastAsia="仿宋_GB2312"/>
                <w:b w:val="0"/>
                <w:bCs w:val="0"/>
                <w:sz w:val="21"/>
                <w:szCs w:val="21"/>
                <w:highlight w:val="none"/>
                <w:lang w:val="en-US" w:eastAsia="zh-CN"/>
              </w:rPr>
              <w:t>董事</w:t>
            </w:r>
            <w:r>
              <w:rPr>
                <w:rFonts w:hint="eastAsia" w:ascii="仿宋_GB2312" w:hAnsi="Calibri" w:eastAsia="仿宋_GB2312" w:cs="Times New Roman"/>
                <w:b w:val="0"/>
                <w:bCs w:val="0"/>
                <w:sz w:val="21"/>
                <w:szCs w:val="21"/>
                <w:highlight w:val="none"/>
                <w:lang w:val="en-US" w:eastAsia="zh-CN"/>
              </w:rPr>
              <w:t>会审批通过，于下发之日起施行</w:t>
            </w:r>
            <w:r>
              <w:rPr>
                <w:rFonts w:hint="eastAsia" w:ascii="仿宋_GB2312" w:hAnsi="Calibri" w:cs="Times New Roman"/>
                <w:b w:val="0"/>
                <w:bCs w:val="0"/>
                <w:sz w:val="21"/>
                <w:szCs w:val="21"/>
                <w:highlight w:val="none"/>
                <w:lang w:val="en-US" w:eastAsia="zh-CN"/>
              </w:rPr>
              <w:t>。</w:t>
            </w:r>
            <w:r>
              <w:rPr>
                <w:rFonts w:hint="eastAsia" w:ascii="仿宋_GB2312" w:hAnsi="Calibri" w:eastAsia="仿宋_GB2312" w:cs="Times New Roman"/>
                <w:b w:val="0"/>
                <w:bCs w:val="0"/>
                <w:sz w:val="21"/>
                <w:szCs w:val="21"/>
                <w:highlight w:val="none"/>
                <w:lang w:val="en-US" w:eastAsia="zh-CN"/>
              </w:rPr>
              <w:t>主要修订点简要如下：</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firstLine="420" w:firstLineChars="200"/>
              <w:jc w:val="both"/>
              <w:textAlignment w:val="auto"/>
              <w:rPr>
                <w:rFonts w:hint="eastAsia" w:ascii="仿宋_GB2312" w:hAnsi="仿宋_GB2312" w:cs="仿宋_GB2312"/>
                <w:sz w:val="21"/>
                <w:szCs w:val="21"/>
                <w:highlight w:val="none"/>
                <w:lang w:val="en-US" w:eastAsia="zh-CN"/>
              </w:rPr>
            </w:pPr>
            <w:r>
              <w:rPr>
                <w:rFonts w:hint="eastAsia" w:ascii="仿宋_GB2312" w:hAnsi="仿宋_GB2312" w:cs="仿宋_GB2312"/>
                <w:sz w:val="21"/>
                <w:szCs w:val="21"/>
                <w:highlight w:val="none"/>
                <w:lang w:val="en-US" w:eastAsia="zh-CN"/>
              </w:rPr>
              <w:t>明确公司负责人履职待遇、业务支出的分摊方式。公司在标准范围内据实承担公司负责人履职待遇、业务支出。公司负责人在下属公司兼任职务且主要职责在该公司的，其履职产生的公务交通补贴及业务招待费、国内差旅费和因公临时出国(境)费由该公司分摊。</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ind w:left="0" w:firstLine="420" w:firstLineChars="200"/>
              <w:jc w:val="both"/>
              <w:textAlignment w:val="auto"/>
              <w:rPr>
                <w:rFonts w:hint="eastAsia" w:ascii="仿宋_GB2312" w:hAnsi="仿宋_GB2312" w:cs="仿宋_GB2312"/>
                <w:sz w:val="21"/>
                <w:szCs w:val="21"/>
                <w:highlight w:val="none"/>
                <w:lang w:val="en-US" w:eastAsia="zh-CN"/>
              </w:rPr>
            </w:pPr>
            <w:r>
              <w:rPr>
                <w:rFonts w:hint="eastAsia" w:ascii="仿宋_GB2312" w:hAnsi="仿宋_GB2312" w:cs="仿宋_GB2312"/>
                <w:sz w:val="21"/>
                <w:szCs w:val="21"/>
                <w:highlight w:val="none"/>
                <w:lang w:val="en-US" w:eastAsia="zh-CN"/>
              </w:rPr>
              <w:t>明确离开领导班子岗位后，公司不得继续为其提供履职待遇、业务支出。</w:t>
            </w:r>
          </w:p>
          <w:p>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firstLine="420"/>
              <w:textAlignment w:val="auto"/>
              <w:rPr>
                <w:rFonts w:hint="eastAsia" w:ascii="仿宋_GB2312" w:hAnsi="仿宋_GB2312" w:cs="仿宋_GB2312"/>
                <w:sz w:val="21"/>
                <w:szCs w:val="21"/>
                <w:highlight w:val="none"/>
                <w:lang w:val="en-US" w:eastAsia="zh-CN"/>
              </w:rPr>
            </w:pPr>
            <w:r>
              <w:rPr>
                <w:rFonts w:hint="eastAsia" w:ascii="仿宋_GB2312" w:hAnsi="仿宋_GB2312" w:cs="仿宋_GB2312"/>
                <w:sz w:val="21"/>
                <w:szCs w:val="21"/>
                <w:highlight w:val="none"/>
                <w:lang w:val="en-US" w:eastAsia="zh-CN"/>
              </w:rPr>
              <w:t>明确了公司负责人在公务用车、办公用房、培训、业务招待、国内差旅、因公临时出国（境）、通讯费用等的标准和相关要求。</w:t>
            </w:r>
          </w:p>
          <w:p>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firstLine="420"/>
              <w:textAlignment w:val="auto"/>
              <w:rPr>
                <w:rFonts w:hint="eastAsia" w:ascii="仿宋_GB2312" w:hAnsi="仿宋_GB2312" w:cs="仿宋_GB2312"/>
                <w:sz w:val="21"/>
                <w:szCs w:val="21"/>
                <w:highlight w:val="none"/>
                <w:lang w:val="en-US" w:eastAsia="zh-CN"/>
              </w:rPr>
            </w:pPr>
            <w:r>
              <w:rPr>
                <w:rFonts w:hint="eastAsia" w:ascii="仿宋_GB2312" w:hAnsi="仿宋_GB2312" w:cs="仿宋_GB2312"/>
                <w:sz w:val="21"/>
                <w:szCs w:val="21"/>
                <w:highlight w:val="none"/>
                <w:lang w:val="en-US" w:eastAsia="zh-CN"/>
              </w:rPr>
              <w:t>规定了公司负责人履职待遇、业务支出纳入预算管理。</w:t>
            </w:r>
          </w:p>
          <w:p>
            <w:pPr>
              <w:keepNext w:val="0"/>
              <w:keepLines w:val="0"/>
              <w:pageBreakBefore w:val="0"/>
              <w:widowControl w:val="0"/>
              <w:numPr>
                <w:ilvl w:val="0"/>
                <w:numId w:val="1"/>
              </w:numPr>
              <w:kinsoku/>
              <w:wordWrap/>
              <w:overflowPunct/>
              <w:topLinePunct w:val="0"/>
              <w:autoSpaceDE/>
              <w:autoSpaceDN/>
              <w:bidi w:val="0"/>
              <w:adjustRightInd/>
              <w:snapToGrid/>
              <w:spacing w:line="300" w:lineRule="exact"/>
              <w:ind w:left="0" w:firstLine="420"/>
              <w:textAlignment w:val="auto"/>
              <w:rPr>
                <w:rFonts w:ascii="仿宋_GB2312" w:hAnsi="仿宋_GB2312" w:cs="仿宋_GB2312"/>
                <w:sz w:val="21"/>
                <w:szCs w:val="21"/>
                <w:highlight w:val="none"/>
              </w:rPr>
            </w:pPr>
            <w:r>
              <w:rPr>
                <w:rFonts w:hint="eastAsia" w:ascii="仿宋_GB2312" w:hAnsi="仿宋_GB2312" w:cs="仿宋_GB2312"/>
                <w:sz w:val="21"/>
                <w:szCs w:val="21"/>
                <w:highlight w:val="none"/>
                <w:lang w:val="en-US" w:eastAsia="zh-CN"/>
              </w:rPr>
              <w:t>明确了下属公司负责人履职待遇、业务支出标准不得高于集团非主要负责人履职待遇、业务支出标准。</w:t>
            </w:r>
          </w:p>
        </w:tc>
      </w:tr>
    </w:tbl>
    <w:p>
      <w:pPr>
        <w:spacing w:line="560" w:lineRule="exact"/>
        <w:ind w:left="0" w:leftChars="0" w:firstLine="0" w:firstLineChars="0"/>
        <w:jc w:val="both"/>
        <w:rPr>
          <w:rFonts w:ascii="方正小标宋简体" w:hAnsi="方正小标宋简体" w:eastAsia="方正小标宋简体" w:cs="方正小标宋简体"/>
          <w:spacing w:val="17"/>
          <w:sz w:val="44"/>
          <w:szCs w:val="44"/>
          <w:highlight w:val="none"/>
          <w:lang w:eastAsia="zh-CN"/>
        </w:rPr>
        <w:sectPr>
          <w:pgSz w:w="11920" w:h="16840"/>
          <w:pgMar w:top="2098" w:right="1474" w:bottom="1984" w:left="1587" w:header="0" w:footer="1579" w:gutter="0"/>
          <w:cols w:space="720" w:num="1"/>
        </w:sectPr>
      </w:pPr>
    </w:p>
    <w:sdt>
      <w:sdtPr>
        <w:rPr>
          <w:rFonts w:ascii="宋体" w:hAnsi="宋体" w:eastAsia="宋体"/>
          <w:b/>
          <w:kern w:val="44"/>
          <w:sz w:val="21"/>
          <w:highlight w:val="none"/>
        </w:rPr>
        <w:id w:val="147465128"/>
        <w15:color w:val="DBDBDB"/>
        <w:docPartObj>
          <w:docPartGallery w:val="Table of Contents"/>
          <w:docPartUnique/>
        </w:docPartObj>
      </w:sdtPr>
      <w:sdtEndPr>
        <w:rPr>
          <w:rFonts w:hint="eastAsia" w:ascii="方正小标宋简体" w:hAnsi="方正小标宋简体" w:eastAsia="方正小标宋简体" w:cs="方正小标宋简体"/>
          <w:b/>
          <w:bCs/>
          <w:kern w:val="44"/>
          <w:sz w:val="44"/>
          <w:highlight w:val="none"/>
          <w:lang w:eastAsia="zh-CN"/>
        </w:rPr>
      </w:sdtEndPr>
      <w:sdtContent>
        <w:p>
          <w:pPr>
            <w:spacing w:line="240" w:lineRule="auto"/>
            <w:ind w:firstLine="0" w:firstLineChars="0"/>
            <w:jc w:val="center"/>
            <w:rPr>
              <w:rFonts w:ascii="仿宋_GB2312" w:hAnsi="仿宋_GB2312" w:cs="仿宋_GB2312"/>
              <w:szCs w:val="32"/>
              <w:highlight w:val="none"/>
            </w:rPr>
          </w:pPr>
          <w:r>
            <w:rPr>
              <w:rFonts w:hint="eastAsia" w:ascii="仿宋_GB2312" w:hAnsi="仿宋_GB2312" w:cs="仿宋_GB2312"/>
              <w:szCs w:val="32"/>
              <w:highlight w:val="none"/>
            </w:rPr>
            <w:t>目</w:t>
          </w:r>
          <w:r>
            <w:rPr>
              <w:rFonts w:hint="eastAsia" w:ascii="仿宋_GB2312" w:hAnsi="仿宋_GB2312" w:cs="仿宋_GB2312"/>
              <w:szCs w:val="32"/>
              <w:highlight w:val="none"/>
              <w:lang w:eastAsia="zh-CN"/>
            </w:rPr>
            <w:t xml:space="preserve"> </w:t>
          </w:r>
          <w:r>
            <w:rPr>
              <w:rFonts w:hint="eastAsia" w:ascii="仿宋_GB2312" w:hAnsi="仿宋_GB2312" w:cs="仿宋_GB2312"/>
              <w:szCs w:val="32"/>
              <w:highlight w:val="none"/>
            </w:rPr>
            <w:t>录</w:t>
          </w:r>
        </w:p>
        <w:p>
          <w:pPr>
            <w:pStyle w:val="23"/>
            <w:tabs>
              <w:tab w:val="right" w:leader="dot" w:pos="8845"/>
            </w:tabs>
            <w:rPr>
              <w:rFonts w:ascii="仿宋_GB2312" w:hAnsi="仿宋_GB2312" w:eastAsia="仿宋_GB2312" w:cs="仿宋_GB2312"/>
              <w:b/>
              <w:sz w:val="32"/>
              <w:szCs w:val="32"/>
              <w:highlight w:val="none"/>
            </w:rPr>
          </w:pPr>
          <w:r>
            <w:rPr>
              <w:rFonts w:hint="eastAsia" w:ascii="仿宋_GB2312" w:hAnsi="仿宋_GB2312" w:eastAsia="仿宋_GB2312" w:cs="仿宋_GB2312"/>
              <w:bCs/>
              <w:sz w:val="32"/>
              <w:szCs w:val="32"/>
              <w:highlight w:val="none"/>
            </w:rPr>
            <w:fldChar w:fldCharType="begin"/>
          </w:r>
          <w:r>
            <w:rPr>
              <w:rFonts w:hint="eastAsia" w:ascii="仿宋_GB2312" w:hAnsi="仿宋_GB2312" w:eastAsia="仿宋_GB2312" w:cs="仿宋_GB2312"/>
              <w:bCs/>
              <w:sz w:val="32"/>
              <w:szCs w:val="32"/>
              <w:highlight w:val="none"/>
            </w:rPr>
            <w:instrText xml:space="preserve">TOC \o "1-2" \h \u </w:instrText>
          </w:r>
          <w:r>
            <w:rPr>
              <w:rFonts w:hint="eastAsia" w:ascii="仿宋_GB2312" w:hAnsi="仿宋_GB2312" w:eastAsia="仿宋_GB2312" w:cs="仿宋_GB2312"/>
              <w:bCs/>
              <w:sz w:val="32"/>
              <w:szCs w:val="32"/>
              <w:highlight w:val="none"/>
            </w:rPr>
            <w:fldChar w:fldCharType="separate"/>
          </w:r>
        </w:p>
        <w:p>
          <w:pPr>
            <w:pStyle w:val="24"/>
            <w:tabs>
              <w:tab w:val="right" w:leader="dot" w:pos="8845"/>
            </w:tabs>
            <w:ind w:left="640"/>
            <w:rPr>
              <w:rFonts w:ascii="仿宋_GB2312" w:hAnsi="仿宋_GB2312" w:eastAsia="仿宋_GB2312" w:cs="仿宋_GB2312"/>
              <w:sz w:val="32"/>
              <w:szCs w:val="32"/>
              <w:highlight w:val="none"/>
            </w:rPr>
          </w:pPr>
          <w:r>
            <w:rPr>
              <w:rFonts w:hint="eastAsia"/>
              <w:highlight w:val="none"/>
            </w:rPr>
            <w:fldChar w:fldCharType="begin"/>
          </w:r>
          <w:r>
            <w:rPr>
              <w:rFonts w:hint="eastAsia"/>
              <w:highlight w:val="none"/>
            </w:rPr>
            <w:instrText xml:space="preserve"> HYPERLINK \l "_Toc21526" </w:instrText>
          </w:r>
          <w:r>
            <w:rPr>
              <w:rFonts w:hint="eastAsia"/>
              <w:highlight w:val="none"/>
            </w:rPr>
            <w:fldChar w:fldCharType="separate"/>
          </w:r>
          <w:r>
            <w:rPr>
              <w:rFonts w:hint="eastAsia" w:ascii="仿宋_GB2312" w:hAnsi="仿宋_GB2312" w:eastAsia="仿宋_GB2312" w:cs="仿宋_GB2312"/>
              <w:bCs/>
              <w:sz w:val="32"/>
              <w:szCs w:val="32"/>
              <w:highlight w:val="none"/>
            </w:rPr>
            <w:t>第一章  总  则</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_Toc21526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"_Toc323" </w:instrText>
          </w:r>
          <w:r>
            <w:rPr>
              <w:highlight w:val="none"/>
            </w:rPr>
            <w:fldChar w:fldCharType="separate"/>
          </w:r>
          <w:r>
            <w:rPr>
              <w:rFonts w:hint="eastAsia" w:ascii="仿宋_GB2312" w:hAnsi="仿宋_GB2312" w:eastAsia="仿宋_GB2312" w:cs="仿宋_GB2312"/>
              <w:bCs/>
              <w:sz w:val="32"/>
              <w:szCs w:val="32"/>
              <w:highlight w:val="none"/>
            </w:rPr>
            <w:t>第二章  公务用车管理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_Toc323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"_Toc21599" </w:instrText>
          </w:r>
          <w:r>
            <w:rPr>
              <w:highlight w:val="none"/>
            </w:rPr>
            <w:fldChar w:fldCharType="separate"/>
          </w:r>
          <w:r>
            <w:rPr>
              <w:rFonts w:hint="eastAsia" w:ascii="仿宋_GB2312" w:hAnsi="仿宋_GB2312" w:eastAsia="仿宋_GB2312" w:cs="仿宋_GB2312"/>
              <w:bCs/>
              <w:sz w:val="32"/>
              <w:szCs w:val="32"/>
              <w:highlight w:val="none"/>
            </w:rPr>
            <w:t>第三章  办公用房管理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_Toc21599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"_Toc11924" </w:instrText>
          </w:r>
          <w:r>
            <w:rPr>
              <w:highlight w:val="none"/>
            </w:rPr>
            <w:fldChar w:fldCharType="separate"/>
          </w:r>
          <w:r>
            <w:rPr>
              <w:rFonts w:hint="eastAsia" w:ascii="仿宋_GB2312" w:hAnsi="仿宋_GB2312" w:eastAsia="仿宋_GB2312" w:cs="仿宋_GB2312"/>
              <w:bCs/>
              <w:sz w:val="32"/>
              <w:szCs w:val="32"/>
              <w:highlight w:val="none"/>
            </w:rPr>
            <w:t>第四章  培训管理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_Toc11924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"_Toc15111" </w:instrText>
          </w:r>
          <w:r>
            <w:rPr>
              <w:highlight w:val="none"/>
            </w:rPr>
            <w:fldChar w:fldCharType="separate"/>
          </w:r>
          <w:r>
            <w:rPr>
              <w:rFonts w:hint="eastAsia" w:ascii="仿宋_GB2312" w:hAnsi="仿宋_GB2312" w:eastAsia="仿宋_GB2312" w:cs="仿宋_GB2312"/>
              <w:bCs/>
              <w:sz w:val="32"/>
              <w:szCs w:val="32"/>
              <w:highlight w:val="none"/>
            </w:rPr>
            <w:t>第五章  业务招待管理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_Toc15111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"_Toc17253" </w:instrText>
          </w:r>
          <w:r>
            <w:rPr>
              <w:highlight w:val="none"/>
            </w:rPr>
            <w:fldChar w:fldCharType="separate"/>
          </w:r>
          <w:r>
            <w:rPr>
              <w:rFonts w:hint="eastAsia" w:ascii="仿宋_GB2312" w:hAnsi="仿宋_GB2312" w:eastAsia="仿宋_GB2312" w:cs="仿宋_GB2312"/>
              <w:bCs/>
              <w:sz w:val="32"/>
              <w:szCs w:val="32"/>
              <w:highlight w:val="none"/>
            </w:rPr>
            <w:t>第六章  国内差旅管理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_Toc17253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"_Toc25686" </w:instrText>
          </w:r>
          <w:r>
            <w:rPr>
              <w:highlight w:val="none"/>
            </w:rPr>
            <w:fldChar w:fldCharType="separate"/>
          </w:r>
          <w:r>
            <w:rPr>
              <w:rFonts w:hint="eastAsia" w:ascii="仿宋_GB2312" w:hAnsi="仿宋_GB2312" w:eastAsia="仿宋_GB2312" w:cs="仿宋_GB2312"/>
              <w:bCs/>
              <w:sz w:val="32"/>
              <w:szCs w:val="32"/>
              <w:highlight w:val="none"/>
            </w:rPr>
            <w:t>第七章  因公临时出国（境）管理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"_Toc18898" </w:instrText>
          </w:r>
          <w:r>
            <w:rPr>
              <w:highlight w:val="none"/>
            </w:rPr>
            <w:fldChar w:fldCharType="separate"/>
          </w:r>
          <w:r>
            <w:rPr>
              <w:rFonts w:hint="eastAsia" w:ascii="仿宋_GB2312" w:hAnsi="仿宋_GB2312" w:eastAsia="仿宋_GB2312" w:cs="仿宋_GB2312"/>
              <w:bCs/>
              <w:sz w:val="32"/>
              <w:szCs w:val="32"/>
              <w:highlight w:val="none"/>
            </w:rPr>
            <w:t>第八章  通信费用管理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"_Toc7456" </w:instrText>
          </w:r>
          <w:r>
            <w:rPr>
              <w:highlight w:val="none"/>
            </w:rPr>
            <w:fldChar w:fldCharType="separate"/>
          </w:r>
          <w:r>
            <w:rPr>
              <w:rFonts w:hint="eastAsia" w:ascii="仿宋_GB2312" w:hAnsi="仿宋_GB2312" w:eastAsia="仿宋_GB2312" w:cs="仿宋_GB2312"/>
              <w:bCs/>
              <w:sz w:val="32"/>
              <w:szCs w:val="32"/>
              <w:highlight w:val="none"/>
            </w:rPr>
            <w:t>第九章  预算管理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_Toc7456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9</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"_Toc16867" </w:instrText>
          </w:r>
          <w:r>
            <w:rPr>
              <w:highlight w:val="none"/>
            </w:rPr>
            <w:fldChar w:fldCharType="separate"/>
          </w:r>
          <w:r>
            <w:rPr>
              <w:rFonts w:hint="eastAsia" w:ascii="仿宋_GB2312" w:hAnsi="仿宋_GB2312" w:eastAsia="仿宋_GB2312" w:cs="仿宋_GB2312"/>
              <w:bCs/>
              <w:sz w:val="32"/>
              <w:szCs w:val="32"/>
              <w:highlight w:val="none"/>
            </w:rPr>
            <w:t>第十章  监督管理</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lang w:val="en-US" w:eastAsia="zh-CN"/>
            </w:rPr>
            <w:t>11</w:t>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"_Toc14793" </w:instrText>
          </w:r>
          <w:r>
            <w:rPr>
              <w:highlight w:val="none"/>
            </w:rPr>
            <w:fldChar w:fldCharType="separate"/>
          </w:r>
          <w:r>
            <w:rPr>
              <w:rFonts w:hint="eastAsia" w:ascii="仿宋_GB2312" w:hAnsi="仿宋_GB2312" w:eastAsia="仿宋_GB2312" w:cs="仿宋_GB2312"/>
              <w:bCs/>
              <w:sz w:val="32"/>
              <w:szCs w:val="32"/>
              <w:highlight w:val="none"/>
            </w:rPr>
            <w:t>第十一章  责任追究</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_Toc14793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4"/>
            <w:tabs>
              <w:tab w:val="right" w:leader="dot" w:pos="8845"/>
            </w:tabs>
            <w:ind w:left="640"/>
            <w:rPr>
              <w:rFonts w:ascii="仿宋_GB2312" w:hAnsi="仿宋_GB2312" w:eastAsia="仿宋_GB2312" w:cs="仿宋_GB2312"/>
              <w:sz w:val="32"/>
              <w:szCs w:val="32"/>
              <w:highlight w:val="none"/>
            </w:rPr>
          </w:pPr>
          <w:r>
            <w:rPr>
              <w:highlight w:val="none"/>
            </w:rPr>
            <w:fldChar w:fldCharType="begin"/>
          </w:r>
          <w:r>
            <w:rPr>
              <w:highlight w:val="none"/>
            </w:rPr>
            <w:instrText xml:space="preserve"> HYPERLINK \l "_Toc6392" </w:instrText>
          </w:r>
          <w:r>
            <w:rPr>
              <w:highlight w:val="none"/>
            </w:rPr>
            <w:fldChar w:fldCharType="separate"/>
          </w:r>
          <w:r>
            <w:rPr>
              <w:rFonts w:hint="eastAsia" w:ascii="仿宋_GB2312" w:hAnsi="仿宋_GB2312" w:eastAsia="仿宋_GB2312" w:cs="仿宋_GB2312"/>
              <w:bCs/>
              <w:sz w:val="32"/>
              <w:szCs w:val="32"/>
              <w:highlight w:val="none"/>
            </w:rPr>
            <w:t>第十二章  附  则</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_Toc6392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rPr>
            <w:t xml:space="preserve"> -</w:t>
          </w:r>
        </w:p>
        <w:p>
          <w:pPr>
            <w:pStyle w:val="2"/>
            <w:spacing w:before="0" w:after="0" w:line="576" w:lineRule="exact"/>
            <w:ind w:firstLine="0" w:firstLineChars="0"/>
            <w:jc w:val="center"/>
            <w:rPr>
              <w:rFonts w:ascii="方正小标宋简体" w:hAnsi="方正小标宋简体" w:eastAsia="方正小标宋简体" w:cs="方正小标宋简体"/>
              <w:b w:val="0"/>
              <w:bCs/>
              <w:highlight w:val="none"/>
              <w:lang w:eastAsia="zh-CN"/>
            </w:rPr>
            <w:sectPr>
              <w:footerReference r:id="rId7" w:type="default"/>
              <w:pgSz w:w="11906" w:h="16838"/>
              <w:pgMar w:top="2098" w:right="1474" w:bottom="1984" w:left="1587" w:header="851" w:footer="992" w:gutter="0"/>
              <w:cols w:space="425" w:num="1"/>
              <w:docGrid w:type="lines" w:linePitch="312" w:charSpace="0"/>
            </w:sectPr>
          </w:pPr>
          <w:r>
            <w:rPr>
              <w:rFonts w:hint="eastAsia" w:ascii="仿宋_GB2312" w:hAnsi="仿宋_GB2312" w:cs="仿宋_GB2312"/>
              <w:bCs/>
              <w:sz w:val="32"/>
              <w:szCs w:val="32"/>
              <w:highlight w:val="none"/>
              <w:lang w:eastAsia="zh-CN"/>
            </w:rPr>
            <w:fldChar w:fldCharType="end"/>
          </w:r>
        </w:p>
      </w:sdtContent>
    </w:sdt>
    <w:p>
      <w:pPr>
        <w:pStyle w:val="3"/>
        <w:keepNext/>
        <w:keepLines/>
        <w:pageBreakBefore w:val="0"/>
        <w:widowControl w:val="0"/>
        <w:kinsoku/>
        <w:wordWrap/>
        <w:overflowPunct/>
        <w:topLinePunct w:val="0"/>
        <w:autoSpaceDE/>
        <w:autoSpaceDN/>
        <w:bidi w:val="0"/>
        <w:adjustRightInd/>
        <w:snapToGrid/>
        <w:spacing w:before="260" w:after="260" w:line="560" w:lineRule="exact"/>
        <w:ind w:firstLine="0" w:firstLineChars="0"/>
        <w:jc w:val="center"/>
        <w:textAlignment w:val="auto"/>
        <w:rPr>
          <w:rFonts w:hint="eastAsia" w:ascii="黑体" w:hAnsi="黑体" w:cs="黑体"/>
          <w:b w:val="0"/>
          <w:bCs/>
          <w:szCs w:val="32"/>
          <w:highlight w:val="none"/>
          <w:lang w:eastAsia="zh-CN"/>
        </w:rPr>
      </w:pPr>
      <w:bookmarkStart w:id="2" w:name="_Toc21526"/>
      <w:bookmarkStart w:id="3" w:name="_Toc29159"/>
      <w:r>
        <w:rPr>
          <w:rFonts w:hint="eastAsia" w:ascii="黑体" w:hAnsi="黑体" w:cs="黑体"/>
          <w:b w:val="0"/>
          <w:bCs/>
          <w:szCs w:val="32"/>
          <w:highlight w:val="none"/>
          <w:lang w:eastAsia="zh-CN"/>
        </w:rPr>
        <w:t>第一章  总  则</w:t>
      </w:r>
      <w:bookmarkEnd w:id="2"/>
      <w:bookmarkEnd w:id="3"/>
    </w:p>
    <w:p>
      <w:pPr>
        <w:widowControl/>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第一条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szCs w:val="32"/>
          <w:highlight w:val="none"/>
          <w:lang w:eastAsia="zh-CN"/>
        </w:rPr>
        <w:t>为合理确定并严格规范公司负责人履职待遇、业务支出，加强公司党风廉政建设，根据《绵阳市市属公司负责人履职待遇、业务支出管理办法》（绵委办发〔2016〕7号）等有关规定和要求，结合公司实际，特制定本实施细则。</w:t>
      </w:r>
    </w:p>
    <w:p>
      <w:pPr>
        <w:widowControl/>
        <w:kinsoku w:val="0"/>
        <w:autoSpaceDE w:val="0"/>
        <w:autoSpaceDN w:val="0"/>
        <w:adjustRightInd w:val="0"/>
        <w:snapToGrid w:val="0"/>
        <w:spacing w:line="560" w:lineRule="atLeast"/>
        <w:ind w:firstLine="643"/>
        <w:jc w:val="left"/>
        <w:textAlignment w:val="baseline"/>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本实施细则适用于四川九洲投资控股集团有限公司（下称公司</w:t>
      </w:r>
      <w:r>
        <w:rPr>
          <w:rFonts w:hint="default" w:ascii="仿宋_GB2312" w:hAnsi="仿宋_GB2312" w:cs="仿宋_GB2312"/>
          <w:highlight w:val="none"/>
          <w:lang w:eastAsia="zh-CN"/>
        </w:rPr>
        <w:t>或总部</w:t>
      </w:r>
      <w:r>
        <w:rPr>
          <w:rFonts w:hint="eastAsia" w:ascii="仿宋_GB2312" w:hAnsi="仿宋_GB2312" w:cs="仿宋_GB2312"/>
          <w:highlight w:val="none"/>
          <w:lang w:eastAsia="zh-CN"/>
        </w:rPr>
        <w:t>）。本实施细则中公司负责人是指公司领导班子成员。</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第三条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本实施细则所称履职待遇是指为公司负责人履行工作职责提供的工作保障和条件，主要包括公务用车、办公用房、培训等；业务支出是指公司负责人在生产经营活动中因履行工作职责所发生的费用支出，主要包括业务招待、国内差旅、因公临时出国(境)、通信等方面的支出。</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第四条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公司负责人履职待遇、业务支出应遵循以下原则：</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（一）坚持依法依规。根据国家法律法规和相关规定，结合公司生产经营实际，坚决杜绝公司承担个人消费支出的行为。</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（二）坚持廉洁节俭。反对讲排场、比阔气，反对铺张浪费，坚决抵制享乐主义和奢靡之风。</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（三）坚持规范透明。通过完善制度、预算管理、加强监督，建立健全严格规范、公开透明的公司负责人履职待遇、业务支出管理制度体系。</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第五条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公司在标准范围内据实承担公司负责人履职待遇、业务支出。公司负责人在下属公司兼任职务的，其履职产生的公务交通补贴及业务招待费、国内差旅费和因公临时出国(境)费由该公司</w:t>
      </w:r>
      <w:r>
        <w:rPr>
          <w:rFonts w:hint="default" w:ascii="仿宋_GB2312" w:hAnsi="仿宋_GB2312" w:cs="仿宋_GB2312"/>
          <w:highlight w:val="none"/>
          <w:lang w:eastAsia="zh-CN"/>
        </w:rPr>
        <w:t>分摊</w:t>
      </w:r>
      <w:r>
        <w:rPr>
          <w:rFonts w:hint="eastAsia" w:ascii="仿宋_GB2312" w:hAnsi="仿宋_GB2312" w:cs="仿宋_GB2312"/>
          <w:highlight w:val="none"/>
          <w:lang w:eastAsia="zh-CN"/>
        </w:rPr>
        <w:t>。</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第六条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除按照本实施细则所规定的保障公司负责人履职待遇、业务支出外，严禁违反财经纪律，用公款支付公司负责人个人支出。</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（一）严禁按照职务为公司负责人个人设置定额消费。禁止用公款为公司负责人办理理疗保健卡、运动健身卡、会所和俱乐部会员卡、高尔夫球卡等各种消费卡。</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（二）严禁用公款支付公司负责人履行工作职责以外的、应当由个人承担的消费娱乐活动、宴请、赠送礼品及培训等各种费用，坚决制止用公款支付与企业经营管理无关的各种消费行为。</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（三）严禁公司负责人向</w:t>
      </w:r>
      <w:r>
        <w:rPr>
          <w:rFonts w:hint="default" w:ascii="仿宋_GB2312" w:hAnsi="仿宋_GB2312" w:cs="仿宋_GB2312"/>
          <w:highlight w:val="none"/>
          <w:lang w:eastAsia="zh-CN"/>
        </w:rPr>
        <w:t>公司</w:t>
      </w:r>
      <w:r>
        <w:rPr>
          <w:rFonts w:hint="eastAsia" w:ascii="仿宋_GB2312" w:hAnsi="仿宋_GB2312" w:cs="仿宋_GB2312"/>
          <w:highlight w:val="none"/>
          <w:lang w:eastAsia="zh-CN"/>
        </w:rPr>
        <w:t>、下属公司和其他有利益关系的单位转移或报销各种个人费用支出。</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（四）公司负责人退休、离开领导班子岗位或者离开公司后，公司不得继续为其提供履职待遇、业务支出。</w:t>
      </w:r>
    </w:p>
    <w:p>
      <w:pPr>
        <w:spacing w:line="560" w:lineRule="atLeast"/>
        <w:ind w:firstLine="598"/>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第七条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spacing w:val="-11"/>
          <w:highlight w:val="none"/>
          <w:lang w:eastAsia="zh-CN"/>
        </w:rPr>
        <w:t>公司负责人应当严格遵守相关规定，不得有下列行为：</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（一）履职待遇、业务支出超过预算额度。</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（二）在特定关系人经营的场所进行业务招待。</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（三）违反规定用公款进行高消费娱乐活动。</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（四）公款旅游或者变相公款旅游。</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（五）超标准报销履职待遇、业务支出，违反规定配备公务用车、装修办公室、添置高档办公用品。</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（六）不按照规定公开履职待遇、业务支出情况。</w:t>
      </w:r>
    </w:p>
    <w:p>
      <w:pPr>
        <w:spacing w:line="560" w:lineRule="atLeast"/>
        <w:ind w:firstLine="640"/>
        <w:rPr>
          <w:rFonts w:hint="eastAsia" w:ascii="仿宋_GB2312" w:hAnsi="仿宋_GB2312" w:cs="仿宋_GB2312"/>
          <w:highlight w:val="none"/>
          <w:lang w:eastAsia="zh-CN"/>
        </w:rPr>
      </w:pPr>
      <w:r>
        <w:rPr>
          <w:rFonts w:hint="eastAsia" w:ascii="仿宋_GB2312" w:hAnsi="仿宋_GB2312" w:cs="仿宋_GB2312"/>
          <w:highlight w:val="none"/>
          <w:lang w:eastAsia="zh-CN"/>
        </w:rPr>
        <w:t>（七）其他违反规定的履职待遇、业务支出及奢侈浪费行为。</w:t>
      </w:r>
    </w:p>
    <w:p>
      <w:pPr>
        <w:pStyle w:val="3"/>
        <w:spacing w:before="260" w:after="260" w:line="560" w:lineRule="atLeast"/>
        <w:ind w:firstLine="0" w:firstLineChars="0"/>
        <w:jc w:val="center"/>
        <w:rPr>
          <w:b w:val="0"/>
          <w:bCs/>
          <w:highlight w:val="none"/>
          <w:lang w:eastAsia="zh-CN"/>
        </w:rPr>
      </w:pPr>
      <w:bookmarkStart w:id="4" w:name="_Toc323"/>
      <w:r>
        <w:rPr>
          <w:rFonts w:hint="eastAsia"/>
          <w:b w:val="0"/>
          <w:bCs/>
          <w:highlight w:val="none"/>
          <w:lang w:eastAsia="zh-CN"/>
        </w:rPr>
        <w:t>第二章  公务用车管理</w:t>
      </w:r>
      <w:bookmarkEnd w:id="4"/>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第八条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公务用车管理是指对公司负责人公务用车及费用的管理。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第九条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已全面实施公务用车制度改革，不为公司负责人配备公务用车，通过发放公务交通补贴保障履职。其中，主要负责人（党委书记、董事长、总经理，下同）补贴标准为2800元每人每月，其他负责人补贴标准为2600元每人每月。</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公务交通补贴保障范围为绵阳中心城区含高新区、经开区、科创区、科学城、涪城区所辖城郊乡、石塘镇、新皂镇、青义镇、游仙区所辖游仙镇、小枧镇。</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在绵阳中心城区范围内，公司负责人只能在以下情形使用公车，即：参加市委、市人大、市政府、市政协副厅级及其以上领导主持召开的会议和活动，参加抢险救灾，处置突发事件，前往机场、车站接送站。</w:t>
      </w:r>
    </w:p>
    <w:p>
      <w:pPr>
        <w:pStyle w:val="3"/>
        <w:spacing w:before="260" w:after="260" w:line="560" w:lineRule="atLeast"/>
        <w:ind w:firstLine="0" w:firstLineChars="0"/>
        <w:jc w:val="center"/>
        <w:rPr>
          <w:b w:val="0"/>
          <w:bCs/>
          <w:highlight w:val="none"/>
          <w:lang w:eastAsia="zh-CN"/>
        </w:rPr>
      </w:pPr>
      <w:bookmarkStart w:id="5" w:name="_Toc21599"/>
      <w:r>
        <w:rPr>
          <w:rFonts w:hint="eastAsia"/>
          <w:b w:val="0"/>
          <w:bCs/>
          <w:highlight w:val="none"/>
          <w:lang w:eastAsia="zh-CN"/>
        </w:rPr>
        <w:t>第三章  办公用房管理</w:t>
      </w:r>
      <w:bookmarkEnd w:id="5"/>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办公用房管理是指对公司负责人因开展工作所需的办公用房配置标准及使用进行管理。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第十一条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公司只为公司负责人配置一处办公用房，其中，主要负责人办公用房使用面积标准为不超过45平方米，其他负责人办公用房使用面积标准为不超过35平方米。</w:t>
      </w:r>
    </w:p>
    <w:p>
      <w:pPr>
        <w:spacing w:line="560" w:lineRule="atLeast"/>
        <w:ind w:firstLine="643"/>
        <w:rPr>
          <w:rFonts w:hint="eastAsia" w:ascii="仿宋_GB2312" w:hAnsi="仿宋_GB2312" w:eastAsia="仿宋_GB2312" w:cs="仿宋_GB2312"/>
          <w:b/>
          <w:bCs/>
          <w:szCs w:val="32"/>
          <w:highlight w:val="none"/>
          <w:lang w:eastAsia="zh-CN"/>
        </w:rPr>
      </w:pPr>
      <w:r>
        <w:rPr>
          <w:rFonts w:hint="eastAsia" w:ascii="仿宋_GB2312" w:hAnsi="仿宋_GB2312" w:eastAsia="仿宋_GB2312" w:cs="仿宋_GB2312"/>
          <w:b/>
          <w:bCs/>
          <w:szCs w:val="32"/>
          <w:highlight w:val="none"/>
          <w:lang w:eastAsia="zh-CN"/>
        </w:rPr>
        <w:t>第十二条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办公用房因使用时间较长、设施设备老化、功能不全、不能满足办公需求的，可以进行维修改造。办公用房维修改造应当以消除安全隐患、恢复和完善使用功能、降低能源资源消耗为重点，不得超标准改造，不得因公司负责人调整而重新装饰办公用房。</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第十三条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严禁超标准新建办公用房，严禁豪华装饰办公用房，不得长期租用宾馆、酒店房间作为办公用房。</w:t>
      </w:r>
    </w:p>
    <w:p>
      <w:pPr>
        <w:pStyle w:val="3"/>
        <w:spacing w:before="260" w:after="260" w:line="560" w:lineRule="atLeast"/>
        <w:ind w:firstLine="0" w:firstLineChars="0"/>
        <w:jc w:val="center"/>
        <w:rPr>
          <w:b w:val="0"/>
          <w:bCs/>
          <w:highlight w:val="none"/>
          <w:lang w:eastAsia="zh-CN"/>
        </w:rPr>
      </w:pPr>
      <w:bookmarkStart w:id="6" w:name="_Toc11924"/>
      <w:r>
        <w:rPr>
          <w:rFonts w:hint="eastAsia"/>
          <w:b w:val="0"/>
          <w:bCs/>
          <w:highlight w:val="none"/>
          <w:lang w:eastAsia="zh-CN"/>
        </w:rPr>
        <w:t>第四章  培训管理</w:t>
      </w:r>
      <w:bookmarkEnd w:id="6"/>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第十四条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培训管理是指对提高公司负责人政治和专业素质、创新和经营管理能力所开展的必要培训活动及费用的管理。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第十五条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公司根据《四川九洲投资控股集团有限公司培训管理办法》，按层级实施培训管理，每年度统一编制培训计划和培训经费预算</w:t>
      </w:r>
      <w:r>
        <w:rPr>
          <w:rFonts w:hint="eastAsia" w:ascii="仿宋_GB2312" w:hAnsi="仿宋_GB2312" w:cs="仿宋_GB2312"/>
          <w:color w:val="auto"/>
          <w:highlight w:val="none"/>
          <w:lang w:eastAsia="zh-CN"/>
        </w:rPr>
        <w:t>。</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第十六条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公司不得在培训经费中列支业务招待费、会议费等与培训无关的费用。严禁以培训名义进行公款宴请、公款旅游等活动，严禁安排无实际需要的境外培训。</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第十七条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公司不得组织公司负责人参加高收费的培训项目和各类名为学习提高、实为交友联谊等无实质内容的培训项目。公司负责人亦不得在工作时间自费参加上述培训项目。</w:t>
      </w:r>
    </w:p>
    <w:p>
      <w:pPr>
        <w:pStyle w:val="3"/>
        <w:spacing w:before="260" w:after="260" w:line="560" w:lineRule="atLeast"/>
        <w:ind w:firstLine="0" w:firstLineChars="0"/>
        <w:jc w:val="center"/>
        <w:rPr>
          <w:b w:val="0"/>
          <w:bCs/>
          <w:highlight w:val="none"/>
          <w:lang w:eastAsia="zh-CN"/>
        </w:rPr>
      </w:pPr>
      <w:bookmarkStart w:id="7" w:name="_Toc15111"/>
      <w:r>
        <w:rPr>
          <w:rFonts w:hint="eastAsia"/>
          <w:b w:val="0"/>
          <w:bCs/>
          <w:highlight w:val="none"/>
          <w:lang w:eastAsia="zh-CN"/>
        </w:rPr>
        <w:t>第五章  业务招待管理</w:t>
      </w:r>
      <w:bookmarkEnd w:id="7"/>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第十八条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业务招待管理是指对公司负责人因公司经营管理等需要所发生的接待客户、合作方等活动和费用的管理。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第十九条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业务招待费包括商务宴请、外事活动、公务招待、赠送纪念品等产生的费用。业务招待应遵循“必需、合理、节约”的原则，严禁奢侈浪费，公司负责人业务招待费实行预算管理，并严格管控。</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商务宴请和外事活动是指公司负责人因公司生产经营需要接待境内外客户、合作洽谈方、经贸交流团组等人员的活动。商务宴请和外事活动应当遵循文明务实节俭、尊重国际惯例、促进公司发展的原则，内陆地区每餐接待标准原则上不超过450元/人（含酒水、饮料，下同）,在北京市及东部沿海发达地区的接待标准不得超过600元/人。陪餐人员和数量根据活动需要确定。赠送纪念品应当以宣传公司、展示公司文化为主要内容，不得赠送现金、有价证券、支付凭证和商业预付卡，以及贵重金属和其他贵重物品。</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第二十一条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务招待活动是指接待有关考察调研、检查指导和学习交流等人员的活动。公务招待活动参照党政机关公务接待标准执行，不得赠送纪念品。公务接待根据需要可安排一次工作餐，餐费标准不得超过150元/人。接待对象在10人及以内的，陪餐人数不得超过3人；超过10人的，不得超过接待对象人数的三分之一。</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第二十二条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业务招待应当体现地方特色，供应家常菜，不 得奢侈浪费，公务招待首选公司食堂或者协议饭店、宾馆。不得安排接待对象到私人会所、高消费餐饮、娱乐、休闲等经营场所活动。公司负责人不得参加下属公司或者其他有利益关系的单位和个人安排到上述场所的业务招待活动。</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第二十三条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公司负责人业务招待活动要严格执行《四川九洲投资控股集团有限公司业务接待管理办法》，从严控制业务招待费用支出。</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第二十四条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进行业务招待活动，由公司办公室统一编制预算、组织实施、统一结算，并实行年度业务招待费用总额控制管理。报销内容应当与业务招待活动内容一致，不得弄虚作假。严禁将公务招待列入商务宴请报销，严禁将业务招待费用摊派到下属公司报销。报销凭证不齐全或者内容不一致的，财务部门不得报销。报销凭证包括接待事项审批单和原始票据。接待事项审批单主要包括业务招待类型、接待日期、接待对象的单位、来宾人数、陪餐人数及负责人、经费预算、经办人签名、相关负责人审批等内容。</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第二十五条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公司不得将业务招待费用以会议、培训、调研等费用的名义虚列、隐匿。</w:t>
      </w:r>
    </w:p>
    <w:p>
      <w:pPr>
        <w:pStyle w:val="3"/>
        <w:spacing w:before="260" w:after="260" w:line="560" w:lineRule="atLeast"/>
        <w:ind w:firstLine="0" w:firstLineChars="0"/>
        <w:jc w:val="center"/>
        <w:rPr>
          <w:b w:val="0"/>
          <w:bCs/>
          <w:highlight w:val="none"/>
          <w:lang w:eastAsia="zh-CN"/>
        </w:rPr>
      </w:pPr>
      <w:bookmarkStart w:id="8" w:name="_Toc17253"/>
      <w:r>
        <w:rPr>
          <w:rFonts w:hint="eastAsia"/>
          <w:b w:val="0"/>
          <w:bCs/>
          <w:highlight w:val="none"/>
          <w:lang w:eastAsia="zh-CN"/>
        </w:rPr>
        <w:t>第六章  国内差旅管理</w:t>
      </w:r>
      <w:bookmarkEnd w:id="8"/>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第二十六条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国内差旅管理是指对公司负责人因公司生产经营需要所发生的国内差旅活动和费用的管理。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第二十七条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公司负责人差旅活动要严格执行《公司领导差旅费报销管理办法》，凭有效票据报销公司负责人差旅费用</w:t>
      </w:r>
      <w:r>
        <w:rPr>
          <w:rFonts w:hint="default" w:ascii="仿宋_GB2312" w:hAnsi="仿宋_GB2312" w:cs="仿宋_GB2312"/>
          <w:highlight w:val="none"/>
          <w:lang w:eastAsia="zh-CN"/>
        </w:rPr>
        <w:t>。公司负责人不得报销出差期间与活动无关的费用</w:t>
      </w:r>
      <w:r>
        <w:rPr>
          <w:rFonts w:hint="eastAsia" w:ascii="仿宋_GB2312" w:hAnsi="仿宋_GB2312" w:cs="仿宋_GB2312"/>
          <w:highlight w:val="none"/>
          <w:lang w:eastAsia="zh-CN"/>
        </w:rPr>
        <w:t>。</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第二十八条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严禁无明确公务目的的差旅活动，严禁以公务差旅为名变相旅游，严禁无实质内容的外出学习交流和考察调研，并从严控制国内差旅人数和天数。</w:t>
      </w:r>
    </w:p>
    <w:p>
      <w:pPr>
        <w:pStyle w:val="3"/>
        <w:spacing w:before="260" w:after="260" w:line="560" w:lineRule="atLeast"/>
        <w:ind w:firstLine="0" w:firstLineChars="0"/>
        <w:jc w:val="center"/>
        <w:rPr>
          <w:b w:val="0"/>
          <w:bCs/>
          <w:highlight w:val="none"/>
          <w:lang w:eastAsia="zh-CN"/>
        </w:rPr>
      </w:pPr>
      <w:bookmarkStart w:id="9" w:name="_Toc25686"/>
      <w:r>
        <w:rPr>
          <w:rFonts w:hint="eastAsia"/>
          <w:b w:val="0"/>
          <w:bCs/>
          <w:highlight w:val="none"/>
          <w:lang w:eastAsia="zh-CN"/>
        </w:rPr>
        <w:t>第七章  因公临时出国（境）管理</w:t>
      </w:r>
      <w:bookmarkEnd w:id="9"/>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第二十九条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因公临时出国（境）管理是指对公司负责人因</w:t>
      </w:r>
      <w:r>
        <w:rPr>
          <w:rFonts w:hint="eastAsia" w:ascii="仿宋_GB2312" w:hAnsi="仿宋_GB2312" w:cs="仿宋_GB2312"/>
          <w:spacing w:val="-6"/>
          <w:highlight w:val="none"/>
          <w:lang w:eastAsia="zh-CN"/>
        </w:rPr>
        <w:t>公司生产经营需要所发生的因公临时出国（境）活动和费用的管理。</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第三十条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公司负责人因公临时出国（境）活动要严格执行《关于进一步强化九洲集团人员因公出国（境）管理的实施意见</w:t>
      </w:r>
      <w:r>
        <w:rPr>
          <w:rFonts w:hint="default" w:ascii="仿宋_GB2312" w:hAnsi="仿宋_GB2312" w:cs="仿宋_GB2312"/>
          <w:highlight w:val="none"/>
          <w:lang w:eastAsia="zh-CN"/>
        </w:rPr>
        <w:t>》</w:t>
      </w:r>
      <w:r>
        <w:rPr>
          <w:rFonts w:hint="eastAsia" w:ascii="仿宋_GB2312" w:hAnsi="仿宋_GB2312" w:cs="仿宋_GB2312"/>
          <w:spacing w:val="-6"/>
          <w:highlight w:val="none"/>
          <w:lang w:eastAsia="zh-CN"/>
        </w:rPr>
        <w:t>和《四川九洲投资控股集团有限公司费用管理办法》，并按照干部管理权限，严格审批程序，从严控制因公临时出国（境</w:t>
      </w:r>
      <w:r>
        <w:rPr>
          <w:rFonts w:hint="eastAsia" w:ascii="仿宋_GB2312" w:hAnsi="仿宋_GB2312" w:cs="仿宋_GB2312"/>
          <w:highlight w:val="none"/>
          <w:lang w:eastAsia="zh-CN"/>
        </w:rPr>
        <w:t>）次数、出访团组人数、国家数、在外停留天数。主要负责人不在同一时间段集中出国（境）。</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第三十一条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公司负责人原则上不在国（境）外开展接待工作，确因工作需要在国（境）外接待的，接待费用不得超过国内最高标准，不得赠送纪念品。</w:t>
      </w:r>
    </w:p>
    <w:p>
      <w:pPr>
        <w:spacing w:line="560" w:lineRule="atLeast"/>
        <w:ind w:firstLine="643"/>
        <w:rPr>
          <w:rFonts w:ascii="仿宋_GB2312" w:hAnsi="仿宋_GB2312" w:cs="仿宋_GB2312"/>
          <w:highlight w:val="none"/>
          <w:lang w:eastAsia="zh-CN"/>
        </w:rPr>
      </w:pPr>
      <w:r>
        <w:rPr>
          <w:rFonts w:hint="eastAsia" w:ascii="仿宋_GB2312" w:hAnsi="仿宋_GB2312" w:eastAsia="仿宋_GB2312" w:cs="仿宋_GB2312"/>
          <w:b/>
          <w:bCs/>
          <w:szCs w:val="32"/>
          <w:highlight w:val="none"/>
          <w:lang w:eastAsia="zh-CN"/>
        </w:rPr>
        <w:t>第三十二条</w:t>
      </w:r>
      <w:r>
        <w:rPr>
          <w:rFonts w:hint="eastAsia" w:ascii="仿宋_GB2312" w:hAnsi="仿宋_GB2312" w:cs="仿宋_GB2312"/>
          <w:b/>
          <w:bCs/>
          <w:szCs w:val="32"/>
          <w:highlight w:val="none"/>
          <w:lang w:val="en-US" w:eastAsia="zh-CN"/>
        </w:rPr>
        <w:t xml:space="preserve"> </w:t>
      </w:r>
      <w:r>
        <w:rPr>
          <w:rFonts w:hint="eastAsia" w:ascii="仿宋_GB2312" w:hAnsi="仿宋_GB2312" w:cs="仿宋_GB2312"/>
          <w:highlight w:val="none"/>
          <w:lang w:eastAsia="zh-CN"/>
        </w:rPr>
        <w:t>公司应严格按照“因事定人”“人事相符”原则，根据生产经营需要，严格审批公司负责人因公临时出国（境）。公司负责人因公临时出国（境）的，必须有明确的出访任务，坚决禁止一般性考察和照顾性安排，不得把出国（境）作为个人待遇安排轮流出国，严禁以各种名义变相公款出国（境）旅游。</w:t>
      </w:r>
    </w:p>
    <w:p>
      <w:pPr>
        <w:pStyle w:val="3"/>
        <w:spacing w:before="260" w:after="260" w:line="560" w:lineRule="atLeast"/>
        <w:ind w:firstLine="0" w:firstLineChars="0"/>
        <w:jc w:val="center"/>
        <w:rPr>
          <w:b w:val="0"/>
          <w:bCs/>
          <w:highlight w:val="none"/>
          <w:lang w:eastAsia="zh-CN"/>
        </w:rPr>
      </w:pPr>
      <w:bookmarkStart w:id="10" w:name="_Toc18898"/>
      <w:r>
        <w:rPr>
          <w:rFonts w:hint="eastAsia"/>
          <w:b w:val="0"/>
          <w:bCs/>
          <w:highlight w:val="none"/>
          <w:lang w:eastAsia="zh-CN"/>
        </w:rPr>
        <w:t>第八章  通信费用管理</w:t>
      </w:r>
      <w:bookmarkEnd w:id="10"/>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第三十三条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通信费用管理是指对公司负责人因公务活动所发生的移动通信费用的管理。</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第三十四条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公司负责人通信费用采取年度预算额度内统一结算支付方式管理，由公司</w:t>
      </w:r>
      <w:r>
        <w:rPr>
          <w:highlight w:val="none"/>
        </w:rPr>
        <w:t>办公室</w:t>
      </w:r>
      <w:r>
        <w:rPr>
          <w:rFonts w:hint="eastAsia" w:ascii="仿宋_GB2312" w:hAnsi="仿宋_GB2312" w:cs="仿宋_GB2312"/>
          <w:highlight w:val="none"/>
          <w:lang w:eastAsia="zh-CN"/>
        </w:rPr>
        <w:t>在每年初将费用直接预存至运营商，不得以任何名目另行为公司负责人发放通信补贴。</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第三十五条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参考电信市场资费标准合理确定公司负责人通信费用年度预算额度，在预算额度内按照财务制度严格规范执行。其中，主要负责人通信费用年度预算额度原则上不超过9600元，其他负责人通信费用年度预算额度原则上不超过7200元。确因拓展业务需要或者特殊时段发生的超出个人年度预算额度的部分，</w:t>
      </w:r>
      <w:r>
        <w:rPr>
          <w:rFonts w:hint="default" w:ascii="仿宋_GB2312" w:hAnsi="仿宋_GB2312" w:cs="仿宋_GB2312"/>
          <w:highlight w:val="none"/>
          <w:lang w:eastAsia="zh-CN"/>
        </w:rPr>
        <w:t>报党委会审议通过</w:t>
      </w:r>
      <w:r>
        <w:rPr>
          <w:rFonts w:hint="eastAsia" w:ascii="仿宋_GB2312" w:hAnsi="仿宋_GB2312" w:cs="仿宋_GB2312"/>
          <w:highlight w:val="none"/>
          <w:lang w:eastAsia="zh-CN"/>
        </w:rPr>
        <w:t>后据实支付。</w:t>
      </w:r>
    </w:p>
    <w:p>
      <w:pPr>
        <w:pStyle w:val="3"/>
        <w:spacing w:before="260" w:after="260" w:line="560" w:lineRule="atLeast"/>
        <w:ind w:firstLine="0" w:firstLineChars="0"/>
        <w:jc w:val="center"/>
        <w:rPr>
          <w:b w:val="0"/>
          <w:bCs/>
          <w:highlight w:val="none"/>
          <w:lang w:eastAsia="zh-CN"/>
        </w:rPr>
      </w:pPr>
      <w:bookmarkStart w:id="11" w:name="_Toc7456"/>
      <w:r>
        <w:rPr>
          <w:rFonts w:hint="eastAsia"/>
          <w:b w:val="0"/>
          <w:bCs/>
          <w:highlight w:val="none"/>
          <w:lang w:eastAsia="zh-CN"/>
        </w:rPr>
        <w:t>第九章  预算管理</w:t>
      </w:r>
      <w:bookmarkEnd w:id="11"/>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第三十六条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公司负责人履职待遇、业务支出预算管理是指公司按照财务预算的相关规定，根据公司生产经营实际，结合公司负责人履行工作职责需求，对公司负责人履职待遇、业务支出年度费用水平的预计安排、控制监督。</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第三十七条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每年初，公司办公室根据上年度预算执行情况和本年度经营计划，按项目、人员编制公司负责人本年度履职待遇、业务支出预算方案。预算方案主要包括：公司负责人履职待遇、业务支出预算总体方案，公务用车、业务招待、国内出差、因公临时出国（境）、培训、通信等专项费用预算方案。</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（一）公务用车费用为发放的公务交通补贴，按人按标准编制预算。</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（二）业务招待预算应当结合公司年度生产经营计划、履职岗位特点、相关费用标准和物价水平等因素按人编制，实行总额控制。公司处于亏损期间，公司负责人年度业务招待预算额度不得增长。</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（三）国内差旅、因公临时出国（境）、培训费用预算应当结合公司年度生产经营计划和履职待遇岗位特点按人编制，实行总额控制。</w:t>
      </w:r>
    </w:p>
    <w:p>
      <w:pPr>
        <w:spacing w:line="560" w:lineRule="atLeast"/>
        <w:ind w:firstLine="640"/>
        <w:rPr>
          <w:rFonts w:ascii="仿宋_GB2312" w:hAnsi="仿宋_GB2312" w:cs="仿宋_GB2312"/>
          <w:highlight w:val="none"/>
          <w:lang w:eastAsia="zh-CN"/>
        </w:rPr>
      </w:pPr>
      <w:r>
        <w:rPr>
          <w:rFonts w:hint="eastAsia" w:ascii="仿宋_GB2312" w:hAnsi="仿宋_GB2312" w:cs="仿宋_GB2312"/>
          <w:highlight w:val="none"/>
          <w:lang w:eastAsia="zh-CN"/>
        </w:rPr>
        <w:t>（四）通信费用预算按人编制。</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第三十八条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履职待遇、业务支出年度预算在履行公司预算审批程序后，由公司办公室于每年1月底前报市国资委备案，作为经济责任审计和公司内部审计的重要内容。备案报告主要包括：上年度预算执行情况、本年度预算情况、本年度预算总体水平与上年度对比情况、预算总体水平与公司经营收入和费用支出预算的匹配情况等。</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第三十九条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公司和公司负责人应当严格执行公司负责人履职待遇、业务支出预算，公司办公室定期监测和分析预算执行情况。对执行过程中发生较大差异的，认真查找原因，及时采取措施予以解决。</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年度公司负责人履职待遇、业务支出预算在执行过程中原则上不予追加，因特殊情况需要调整的，由公司办公室履行预算调整审批程序后，报市国资委备案，备案内容包括：主要消费事项的调整情况、调整原因、预计执行情况及保障措施。</w:t>
      </w:r>
    </w:p>
    <w:p>
      <w:pPr>
        <w:pStyle w:val="3"/>
        <w:spacing w:before="260" w:after="260" w:line="560" w:lineRule="atLeast"/>
        <w:ind w:firstLine="0" w:firstLineChars="0"/>
        <w:jc w:val="center"/>
        <w:rPr>
          <w:b w:val="0"/>
          <w:bCs/>
          <w:highlight w:val="none"/>
          <w:lang w:eastAsia="zh-CN"/>
        </w:rPr>
      </w:pPr>
      <w:bookmarkStart w:id="12" w:name="_Toc16867"/>
      <w:r>
        <w:rPr>
          <w:rFonts w:hint="eastAsia"/>
          <w:b w:val="0"/>
          <w:bCs/>
          <w:highlight w:val="none"/>
          <w:lang w:eastAsia="zh-CN"/>
        </w:rPr>
        <w:t>第十章  监督管理</w:t>
      </w:r>
      <w:bookmarkEnd w:id="12"/>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第四十一条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公司负责人履职待遇、业务支出管理情况、年度预算及执行情况接受市国资委的指导监督和定期检查。</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第四十二条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履职待遇、业务支出管理制度、年度预算及执行情况，应通过职工代表大会等形式定期向职工公示，接受职工监督。公司负责人履职待遇、业务支出年度预算及执行情况，应作为民主生活会、年度述职述廉的重要内容，接受监督和民主评议。</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第四十三条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公司负责人履职待遇、业务支出管理情况积极接受上级纪检监察、审计、监事会等部门的监督检查，及时解决存在的问题。</w:t>
      </w:r>
    </w:p>
    <w:p>
      <w:pPr>
        <w:pStyle w:val="3"/>
        <w:spacing w:before="260" w:after="260" w:line="560" w:lineRule="atLeast"/>
        <w:ind w:firstLine="0" w:firstLineChars="0"/>
        <w:jc w:val="center"/>
        <w:rPr>
          <w:b w:val="0"/>
          <w:bCs/>
          <w:highlight w:val="none"/>
          <w:lang w:eastAsia="zh-CN"/>
        </w:rPr>
      </w:pPr>
      <w:bookmarkStart w:id="13" w:name="_Toc14793"/>
      <w:r>
        <w:rPr>
          <w:rFonts w:hint="eastAsia"/>
          <w:b w:val="0"/>
          <w:bCs/>
          <w:highlight w:val="none"/>
          <w:lang w:eastAsia="zh-CN"/>
        </w:rPr>
        <w:t>第十一章  责任追究</w:t>
      </w:r>
      <w:bookmarkEnd w:id="13"/>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第四十四条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对违反本实施细则规定的公司负责人，按照中共中央、国务院办公厅《国有企业领导人员廉洁从业若干规定》《中国共产党纪律处分条例》以及《绵阳市市属公司负责人履职待遇、业务支出管理办法》（绵委办发〔2016〕7号） 《四川九洲投资控股集团有限公司违规违纪违法行为问责管理办法（试行）》等有关规定进行责任追究。</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第四十五条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公司负责人违反本实施细则获取的不正当经济利益，应当全部清退</w:t>
      </w:r>
      <w:r>
        <w:rPr>
          <w:highlight w:val="none"/>
        </w:rPr>
        <w:t>至</w:t>
      </w:r>
      <w:r>
        <w:rPr>
          <w:rFonts w:hint="default" w:ascii="仿宋_GB2312" w:hAnsi="仿宋_GB2312" w:cs="仿宋_GB2312"/>
          <w:highlight w:val="none"/>
          <w:lang w:eastAsia="zh-CN"/>
        </w:rPr>
        <w:t>公司账户</w:t>
      </w:r>
      <w:r>
        <w:rPr>
          <w:rFonts w:hint="eastAsia" w:ascii="仿宋_GB2312" w:hAnsi="仿宋_GB2312" w:cs="仿宋_GB2312"/>
          <w:highlight w:val="none"/>
          <w:lang w:eastAsia="zh-CN"/>
        </w:rPr>
        <w:t>；给公司造成经济损失的，</w:t>
      </w:r>
      <w:r>
        <w:rPr>
          <w:rFonts w:hint="default" w:ascii="仿宋_GB2312" w:hAnsi="仿宋_GB2312" w:cs="仿宋_GB2312"/>
          <w:highlight w:val="none"/>
          <w:lang w:eastAsia="zh-CN"/>
        </w:rPr>
        <w:t>应</w:t>
      </w:r>
      <w:r>
        <w:rPr>
          <w:rFonts w:hint="eastAsia" w:ascii="仿宋_GB2312" w:hAnsi="仿宋_GB2312" w:cs="仿宋_GB2312"/>
          <w:highlight w:val="none"/>
          <w:lang w:eastAsia="zh-CN"/>
        </w:rPr>
        <w:t>承担经济赔偿责任。</w:t>
      </w:r>
    </w:p>
    <w:p>
      <w:pPr>
        <w:pStyle w:val="3"/>
        <w:spacing w:before="260" w:after="260" w:line="560" w:lineRule="atLeast"/>
        <w:ind w:firstLine="0" w:firstLineChars="0"/>
        <w:jc w:val="center"/>
        <w:rPr>
          <w:b w:val="0"/>
          <w:bCs/>
          <w:highlight w:val="none"/>
          <w:lang w:eastAsia="zh-CN"/>
        </w:rPr>
      </w:pPr>
      <w:bookmarkStart w:id="14" w:name="_Toc6392"/>
      <w:r>
        <w:rPr>
          <w:rFonts w:hint="eastAsia"/>
          <w:b w:val="0"/>
          <w:bCs/>
          <w:highlight w:val="none"/>
          <w:lang w:eastAsia="zh-CN"/>
        </w:rPr>
        <w:t>第十二章  附  则</w:t>
      </w:r>
      <w:bookmarkEnd w:id="14"/>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第四十六条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各下属公司应根据本实施细则，制定本单位负责人履职待遇、业务支出管理实施细则，明确相关标准，细化管理规定，严格审核程序，并按照内部决策程序审议通过后，报</w:t>
      </w:r>
      <w:r>
        <w:rPr>
          <w:rFonts w:hint="default" w:ascii="仿宋_GB2312" w:hAnsi="仿宋_GB2312" w:cs="仿宋_GB2312"/>
          <w:highlight w:val="none"/>
          <w:lang w:eastAsia="zh-CN"/>
        </w:rPr>
        <w:t>总部公司办公室</w:t>
      </w:r>
      <w:r>
        <w:rPr>
          <w:rFonts w:hint="eastAsia" w:ascii="仿宋_GB2312" w:hAnsi="仿宋_GB2312" w:cs="仿宋_GB2312"/>
          <w:highlight w:val="none"/>
          <w:lang w:eastAsia="zh-CN"/>
        </w:rPr>
        <w:t>备案。下属公司负责人履职待遇、业务支出标准不得高于</w:t>
      </w:r>
      <w:r>
        <w:rPr>
          <w:rFonts w:hint="default" w:ascii="仿宋_GB2312" w:hAnsi="仿宋_GB2312" w:cs="仿宋_GB2312"/>
          <w:highlight w:val="none"/>
          <w:lang w:eastAsia="zh-CN"/>
        </w:rPr>
        <w:t>总部</w:t>
      </w:r>
      <w:r>
        <w:rPr>
          <w:rFonts w:hint="eastAsia" w:ascii="仿宋_GB2312" w:hAnsi="仿宋_GB2312" w:cs="仿宋_GB2312"/>
          <w:highlight w:val="none"/>
          <w:lang w:eastAsia="zh-CN"/>
        </w:rPr>
        <w:t>非主要负责人履职待遇、业务支出标准。</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第四十七条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各下属公司市场化选聘的公司负责人，其薪酬体系中已包括履职待遇、业务支出相关费用的，该公司不再为其报销和支付相应的履职待遇、业务支出费用。</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第四十八条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履职待遇、业务支出各项上限标准根据经济社会发展水平、市场价格及消费水平变动情况适时调整。</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第四十九条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本实施细则由公司办公室负责解释。</w:t>
      </w:r>
    </w:p>
    <w:p>
      <w:pPr>
        <w:spacing w:line="560" w:lineRule="atLeast"/>
        <w:ind w:firstLine="643"/>
        <w:rPr>
          <w:rFonts w:ascii="仿宋_GB2312" w:hAnsi="仿宋_GB2312" w:cs="仿宋_GB2312"/>
          <w:highlight w:val="none"/>
          <w:lang w:eastAsia="zh-CN"/>
        </w:rPr>
      </w:pPr>
      <w:r>
        <w:rPr>
          <w:rFonts w:hint="eastAsia" w:ascii="仿宋_GB2312" w:hAnsi="仿宋_GB2312" w:cs="仿宋_GB2312"/>
          <w:b/>
          <w:bCs/>
          <w:highlight w:val="none"/>
          <w:lang w:eastAsia="zh-CN"/>
        </w:rPr>
        <w:t>第五十条</w:t>
      </w:r>
      <w:r>
        <w:rPr>
          <w:rFonts w:hint="eastAsia" w:ascii="仿宋_GB2312" w:hAnsi="仿宋_GB2312" w:cs="仿宋_GB2312"/>
          <w:b/>
          <w:bCs/>
          <w:highlight w:val="none"/>
          <w:lang w:val="en-US" w:eastAsia="zh-CN"/>
        </w:rPr>
        <w:t xml:space="preserve"> </w:t>
      </w:r>
      <w:r>
        <w:rPr>
          <w:rFonts w:hint="eastAsia" w:ascii="仿宋_GB2312" w:hAnsi="仿宋_GB2312" w:cs="仿宋_GB2312"/>
          <w:highlight w:val="none"/>
          <w:lang w:eastAsia="zh-CN"/>
        </w:rPr>
        <w:t>本实施细则自印发之日起施行。</w:t>
      </w:r>
    </w:p>
    <w:sectPr>
      <w:footerReference r:id="rId8" w:type="default"/>
      <w:pgSz w:w="11906" w:h="16838"/>
      <w:pgMar w:top="2098" w:right="1474" w:bottom="1984" w:left="1587" w:header="0" w:footer="850"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仿宋_GB2312">
    <w:altName w:val="汉仪仿宋KW"/>
    <w:panose1 w:val="02010609030101010101"/>
    <w:charset w:val="86"/>
    <w:family w:val="modern"/>
    <w:pitch w:val="default"/>
    <w:sig w:usb0="00000000" w:usb1="00000000" w:usb2="00000000" w:usb3="00000000" w:csb0="00040000" w:csb1="00000000"/>
  </w:font>
  <w:font w:name="Calibri Light">
    <w:altName w:val="Arial"/>
    <w:panose1 w:val="020F0302020204030204"/>
    <w:charset w:val="00"/>
    <w:family w:val="swiss"/>
    <w:pitch w:val="default"/>
    <w:sig w:usb0="00000000" w:usb1="00000000" w:usb2="00000000" w:usb3="00000000" w:csb0="2000019F" w:csb1="00000000"/>
  </w:font>
  <w:font w:name="仿宋">
    <w:altName w:val="汉仪仿宋KW"/>
    <w:panose1 w:val="02010609060101010101"/>
    <w:charset w:val="86"/>
    <w:family w:val="auto"/>
    <w:pitch w:val="default"/>
    <w:sig w:usb0="00000000" w:usb1="00000000" w:usb2="00000016" w:usb3="00000000" w:csb0="00040001" w:csb1="00000000"/>
  </w:font>
  <w:font w:name="方正小标宋简体">
    <w:altName w:val="汉仪书宋二KW"/>
    <w:panose1 w:val="03000509000000000000"/>
    <w:charset w:val="86"/>
    <w:family w:val="script"/>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仿宋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乐见体">
    <w:panose1 w:val="02020400000000000000"/>
    <w:charset w:val="86"/>
    <w:family w:val="auto"/>
    <w:pitch w:val="default"/>
    <w:sig w:usb0="80000003" w:usb1="08012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bookmarkStart w:id="15" w:name="_GoBack"/>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firstLine="560"/>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5pt;height:144pt;width:144pt;mso-position-horizontal:outside;mso-position-horizontal-relative:margin;mso-wrap-style:none;z-index:251659264;mso-width-relative:page;mso-height-relative:page;" filled="f" stroked="f" coordsize="21600,21600" o:gfxdata="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bqzjSAAAABwEAAA8AAAAAAAAAAQAgAAAAIgAAAGRycy9kb3ducmV2LnhtbFBLAQIUABQAAAAI&#10;AIdO4kAXDIm4LAIAAFUEAAAOAAAAAAAAAAEAIAAAACEBAABkcnMvZTJvRG9jLnhtbFBLBQYAAAAA&#10;BgAGAFkBAAC/BQAAAAA=&#10;">
              <v:fill on="f" focussize="0,0"/>
              <v:stroke on="f" weight="0.5pt"/>
              <v:imagedata o:title=""/>
              <o:lock v:ext="edit" aspectratio="f"/>
              <v:textbox inset="0mm,0mm,0mm,0mm" style="mso-fit-shape-to-text:t;">
                <w:txbxContent>
                  <w:p>
                    <w:pPr>
                      <w:pStyle w:val="10"/>
                      <w:ind w:firstLine="560"/>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bookmarkEnd w:id="15"/>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E8A14"/>
    <w:multiLevelType w:val="singleLevel"/>
    <w:tmpl w:val="146E8A14"/>
    <w:lvl w:ilvl="0" w:tentative="0">
      <w:start w:val="1"/>
      <w:numFmt w:val="decimal"/>
      <w:suff w:val="space"/>
      <w:lvlText w:val="%1."/>
      <w:lvlJc w:val="left"/>
      <w:pPr>
        <w:ind w:left="-2518"/>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3MmExOGUyZGJhM2Q0Mzg4NTdmZGYxYzZmYzc3NTEifQ=="/>
    <w:docVar w:name="KSO_WPS_MARK_KEY" w:val="127810c5-82c2-49d9-aeca-44b55e4ef3f5"/>
  </w:docVars>
  <w:rsids>
    <w:rsidRoot w:val="004A0867"/>
    <w:rsid w:val="00006646"/>
    <w:rsid w:val="0005123E"/>
    <w:rsid w:val="00080F54"/>
    <w:rsid w:val="000C241B"/>
    <w:rsid w:val="002B6923"/>
    <w:rsid w:val="003415BC"/>
    <w:rsid w:val="00384AD7"/>
    <w:rsid w:val="00480B52"/>
    <w:rsid w:val="004A0867"/>
    <w:rsid w:val="004B5662"/>
    <w:rsid w:val="005E49AA"/>
    <w:rsid w:val="006A5843"/>
    <w:rsid w:val="00876819"/>
    <w:rsid w:val="00A66764"/>
    <w:rsid w:val="00A8270F"/>
    <w:rsid w:val="00F66F31"/>
    <w:rsid w:val="01211544"/>
    <w:rsid w:val="01333A53"/>
    <w:rsid w:val="015D1A21"/>
    <w:rsid w:val="01603061"/>
    <w:rsid w:val="01D706A6"/>
    <w:rsid w:val="01EF5CA0"/>
    <w:rsid w:val="022C36EF"/>
    <w:rsid w:val="02321448"/>
    <w:rsid w:val="023C41F5"/>
    <w:rsid w:val="0241367A"/>
    <w:rsid w:val="02501126"/>
    <w:rsid w:val="0293255D"/>
    <w:rsid w:val="02C62C83"/>
    <w:rsid w:val="02DC3043"/>
    <w:rsid w:val="02E6245F"/>
    <w:rsid w:val="032A54EF"/>
    <w:rsid w:val="033342A7"/>
    <w:rsid w:val="033B15EB"/>
    <w:rsid w:val="03473BC6"/>
    <w:rsid w:val="035C60D2"/>
    <w:rsid w:val="037128CE"/>
    <w:rsid w:val="03C52BEB"/>
    <w:rsid w:val="03D56844"/>
    <w:rsid w:val="03F46FAF"/>
    <w:rsid w:val="040F67AD"/>
    <w:rsid w:val="043F1A6C"/>
    <w:rsid w:val="04462463"/>
    <w:rsid w:val="04583286"/>
    <w:rsid w:val="045F44FC"/>
    <w:rsid w:val="046C5722"/>
    <w:rsid w:val="04FE48D8"/>
    <w:rsid w:val="05046EF5"/>
    <w:rsid w:val="051A1B9D"/>
    <w:rsid w:val="052F5C3B"/>
    <w:rsid w:val="05340028"/>
    <w:rsid w:val="055661F0"/>
    <w:rsid w:val="056F4631"/>
    <w:rsid w:val="05A80FA6"/>
    <w:rsid w:val="05DA47A3"/>
    <w:rsid w:val="05DA4D5B"/>
    <w:rsid w:val="05E61FB3"/>
    <w:rsid w:val="05E635B9"/>
    <w:rsid w:val="06061154"/>
    <w:rsid w:val="064F3902"/>
    <w:rsid w:val="06692D5C"/>
    <w:rsid w:val="06856044"/>
    <w:rsid w:val="068C3AD4"/>
    <w:rsid w:val="06B847BC"/>
    <w:rsid w:val="06BA6443"/>
    <w:rsid w:val="06CD0876"/>
    <w:rsid w:val="06ED70F3"/>
    <w:rsid w:val="06FC0156"/>
    <w:rsid w:val="07012F31"/>
    <w:rsid w:val="07091040"/>
    <w:rsid w:val="07195D48"/>
    <w:rsid w:val="07302A71"/>
    <w:rsid w:val="07437D0A"/>
    <w:rsid w:val="074B6245"/>
    <w:rsid w:val="079E2AF6"/>
    <w:rsid w:val="07AF1BE8"/>
    <w:rsid w:val="07B479B7"/>
    <w:rsid w:val="07D9774A"/>
    <w:rsid w:val="07EA04ED"/>
    <w:rsid w:val="07F700E8"/>
    <w:rsid w:val="08250E28"/>
    <w:rsid w:val="08876261"/>
    <w:rsid w:val="08BE287C"/>
    <w:rsid w:val="08C74B52"/>
    <w:rsid w:val="08D11199"/>
    <w:rsid w:val="08D8516E"/>
    <w:rsid w:val="08DC5A54"/>
    <w:rsid w:val="09063A6C"/>
    <w:rsid w:val="09572537"/>
    <w:rsid w:val="09C8194C"/>
    <w:rsid w:val="09E5312A"/>
    <w:rsid w:val="09F00295"/>
    <w:rsid w:val="0A091547"/>
    <w:rsid w:val="0A434D38"/>
    <w:rsid w:val="0A4A11CF"/>
    <w:rsid w:val="0A4F1714"/>
    <w:rsid w:val="0A6830C3"/>
    <w:rsid w:val="0A8D2355"/>
    <w:rsid w:val="0A8D4ABA"/>
    <w:rsid w:val="0AAF317C"/>
    <w:rsid w:val="0AE0655C"/>
    <w:rsid w:val="0AF95F64"/>
    <w:rsid w:val="0B1F52D6"/>
    <w:rsid w:val="0B4C599F"/>
    <w:rsid w:val="0B753148"/>
    <w:rsid w:val="0B9745E7"/>
    <w:rsid w:val="0B985065"/>
    <w:rsid w:val="0BC139E3"/>
    <w:rsid w:val="0BEF1CBD"/>
    <w:rsid w:val="0BFD3C41"/>
    <w:rsid w:val="0C0F668B"/>
    <w:rsid w:val="0C191D25"/>
    <w:rsid w:val="0C2756C3"/>
    <w:rsid w:val="0C3259CB"/>
    <w:rsid w:val="0C774869"/>
    <w:rsid w:val="0C8976EA"/>
    <w:rsid w:val="0CA23AC9"/>
    <w:rsid w:val="0CC00104"/>
    <w:rsid w:val="0CF77F3A"/>
    <w:rsid w:val="0D1D487C"/>
    <w:rsid w:val="0D37741A"/>
    <w:rsid w:val="0D4977E2"/>
    <w:rsid w:val="0D5D0AB9"/>
    <w:rsid w:val="0D6E04A7"/>
    <w:rsid w:val="0D6F39FC"/>
    <w:rsid w:val="0DA933FA"/>
    <w:rsid w:val="0DB3410A"/>
    <w:rsid w:val="0DC10D00"/>
    <w:rsid w:val="0DDB73B8"/>
    <w:rsid w:val="0DE6032D"/>
    <w:rsid w:val="0DE856CA"/>
    <w:rsid w:val="0DEC782E"/>
    <w:rsid w:val="0DFC5E80"/>
    <w:rsid w:val="0E000520"/>
    <w:rsid w:val="0E665D17"/>
    <w:rsid w:val="0E7E28FB"/>
    <w:rsid w:val="0E8E5F1C"/>
    <w:rsid w:val="0ECD64BD"/>
    <w:rsid w:val="0F0A6C1D"/>
    <w:rsid w:val="0F3C2BF4"/>
    <w:rsid w:val="0F491BD2"/>
    <w:rsid w:val="0F64493F"/>
    <w:rsid w:val="0F7C2E84"/>
    <w:rsid w:val="0F832816"/>
    <w:rsid w:val="0F8B4CE8"/>
    <w:rsid w:val="0FA718CA"/>
    <w:rsid w:val="0FA77648"/>
    <w:rsid w:val="0FC34A9E"/>
    <w:rsid w:val="0FCC5B88"/>
    <w:rsid w:val="1000075E"/>
    <w:rsid w:val="100356B6"/>
    <w:rsid w:val="10847F21"/>
    <w:rsid w:val="10DB6DF3"/>
    <w:rsid w:val="10FE54DE"/>
    <w:rsid w:val="11356B33"/>
    <w:rsid w:val="11381971"/>
    <w:rsid w:val="11576D6C"/>
    <w:rsid w:val="1181157C"/>
    <w:rsid w:val="11AB00B6"/>
    <w:rsid w:val="11E93737"/>
    <w:rsid w:val="11EE5E84"/>
    <w:rsid w:val="120E0A7F"/>
    <w:rsid w:val="121A631B"/>
    <w:rsid w:val="1220319B"/>
    <w:rsid w:val="123A48D7"/>
    <w:rsid w:val="129C720C"/>
    <w:rsid w:val="12A22DAA"/>
    <w:rsid w:val="12A66888"/>
    <w:rsid w:val="12C14027"/>
    <w:rsid w:val="12D04F47"/>
    <w:rsid w:val="12DD44FB"/>
    <w:rsid w:val="12DF3BAE"/>
    <w:rsid w:val="12E666D9"/>
    <w:rsid w:val="12EE2B8D"/>
    <w:rsid w:val="12FA1BE8"/>
    <w:rsid w:val="1301536A"/>
    <w:rsid w:val="131018D8"/>
    <w:rsid w:val="13217712"/>
    <w:rsid w:val="133E7B15"/>
    <w:rsid w:val="137A3EB9"/>
    <w:rsid w:val="1381624B"/>
    <w:rsid w:val="13B60BAC"/>
    <w:rsid w:val="13BD38DE"/>
    <w:rsid w:val="1420454D"/>
    <w:rsid w:val="144011D9"/>
    <w:rsid w:val="14543108"/>
    <w:rsid w:val="1455306B"/>
    <w:rsid w:val="147935D1"/>
    <w:rsid w:val="14A34598"/>
    <w:rsid w:val="14A42B3E"/>
    <w:rsid w:val="14C5467E"/>
    <w:rsid w:val="14C56A76"/>
    <w:rsid w:val="14CF6D0A"/>
    <w:rsid w:val="14DF53CE"/>
    <w:rsid w:val="14FA4A33"/>
    <w:rsid w:val="14FC3F92"/>
    <w:rsid w:val="150F5ECF"/>
    <w:rsid w:val="151D2C7E"/>
    <w:rsid w:val="1573694A"/>
    <w:rsid w:val="157A0BBA"/>
    <w:rsid w:val="15A329A0"/>
    <w:rsid w:val="15C30A2E"/>
    <w:rsid w:val="15D8444F"/>
    <w:rsid w:val="15E668EF"/>
    <w:rsid w:val="164E14B1"/>
    <w:rsid w:val="16527CEB"/>
    <w:rsid w:val="168424C5"/>
    <w:rsid w:val="16CB1E22"/>
    <w:rsid w:val="16E561DF"/>
    <w:rsid w:val="1714349A"/>
    <w:rsid w:val="17193FAC"/>
    <w:rsid w:val="1737138B"/>
    <w:rsid w:val="173739A8"/>
    <w:rsid w:val="175C73AA"/>
    <w:rsid w:val="177B6610"/>
    <w:rsid w:val="1783099B"/>
    <w:rsid w:val="17A5583B"/>
    <w:rsid w:val="17BF6C88"/>
    <w:rsid w:val="17C92852"/>
    <w:rsid w:val="17D968E5"/>
    <w:rsid w:val="180F13A0"/>
    <w:rsid w:val="185D0018"/>
    <w:rsid w:val="187F004C"/>
    <w:rsid w:val="18A34890"/>
    <w:rsid w:val="18B2778A"/>
    <w:rsid w:val="19181366"/>
    <w:rsid w:val="19370ACC"/>
    <w:rsid w:val="194B136F"/>
    <w:rsid w:val="199C6E7E"/>
    <w:rsid w:val="19BA3F4C"/>
    <w:rsid w:val="19E81393"/>
    <w:rsid w:val="19FA01DC"/>
    <w:rsid w:val="1A047E1B"/>
    <w:rsid w:val="1A230EDF"/>
    <w:rsid w:val="1A2C6AD4"/>
    <w:rsid w:val="1A326402"/>
    <w:rsid w:val="1A78055F"/>
    <w:rsid w:val="1A7D269C"/>
    <w:rsid w:val="1A862C7C"/>
    <w:rsid w:val="1ABC486B"/>
    <w:rsid w:val="1AE14356"/>
    <w:rsid w:val="1B1D3F0F"/>
    <w:rsid w:val="1B453BA3"/>
    <w:rsid w:val="1B5737FC"/>
    <w:rsid w:val="1B8340A7"/>
    <w:rsid w:val="1BA258D9"/>
    <w:rsid w:val="1BB3298E"/>
    <w:rsid w:val="1BC10BDB"/>
    <w:rsid w:val="1BF37E8E"/>
    <w:rsid w:val="1BF40556"/>
    <w:rsid w:val="1C007E13"/>
    <w:rsid w:val="1C451DA7"/>
    <w:rsid w:val="1C7F4C8B"/>
    <w:rsid w:val="1C9B4951"/>
    <w:rsid w:val="1CCE50AB"/>
    <w:rsid w:val="1CD92676"/>
    <w:rsid w:val="1D0C4ADF"/>
    <w:rsid w:val="1D7172E5"/>
    <w:rsid w:val="1D8E280B"/>
    <w:rsid w:val="1D9E3940"/>
    <w:rsid w:val="1DC73F9C"/>
    <w:rsid w:val="1DD46EC4"/>
    <w:rsid w:val="1DE6177E"/>
    <w:rsid w:val="1DFA1BA5"/>
    <w:rsid w:val="1E33194B"/>
    <w:rsid w:val="1E4F5A7B"/>
    <w:rsid w:val="1E64262B"/>
    <w:rsid w:val="1EAB79EA"/>
    <w:rsid w:val="1EB61656"/>
    <w:rsid w:val="1EC7037C"/>
    <w:rsid w:val="1EDCFF57"/>
    <w:rsid w:val="1EEC32CA"/>
    <w:rsid w:val="1F02489B"/>
    <w:rsid w:val="1F1008E6"/>
    <w:rsid w:val="1F5F51A1"/>
    <w:rsid w:val="1F6410B2"/>
    <w:rsid w:val="1F66307C"/>
    <w:rsid w:val="1F867239"/>
    <w:rsid w:val="1FBF028E"/>
    <w:rsid w:val="1FD695D3"/>
    <w:rsid w:val="201237A1"/>
    <w:rsid w:val="20160AAB"/>
    <w:rsid w:val="20531852"/>
    <w:rsid w:val="209D5E82"/>
    <w:rsid w:val="20A915F0"/>
    <w:rsid w:val="20C936A4"/>
    <w:rsid w:val="21003698"/>
    <w:rsid w:val="210165B1"/>
    <w:rsid w:val="21133619"/>
    <w:rsid w:val="21534788"/>
    <w:rsid w:val="21645DD9"/>
    <w:rsid w:val="2180200E"/>
    <w:rsid w:val="219154AA"/>
    <w:rsid w:val="21925261"/>
    <w:rsid w:val="219C2D85"/>
    <w:rsid w:val="21B62607"/>
    <w:rsid w:val="21EC485E"/>
    <w:rsid w:val="2228286B"/>
    <w:rsid w:val="22404885"/>
    <w:rsid w:val="226333FC"/>
    <w:rsid w:val="22743018"/>
    <w:rsid w:val="227F639D"/>
    <w:rsid w:val="22B440FE"/>
    <w:rsid w:val="22E35F7D"/>
    <w:rsid w:val="22F3625D"/>
    <w:rsid w:val="231B23CF"/>
    <w:rsid w:val="235B4CB6"/>
    <w:rsid w:val="23AA795C"/>
    <w:rsid w:val="23B07E0C"/>
    <w:rsid w:val="23B14C33"/>
    <w:rsid w:val="23BC7C0F"/>
    <w:rsid w:val="23D762F6"/>
    <w:rsid w:val="23ED3D6C"/>
    <w:rsid w:val="244A42DF"/>
    <w:rsid w:val="248C664A"/>
    <w:rsid w:val="24977044"/>
    <w:rsid w:val="24EB64F8"/>
    <w:rsid w:val="24FB5FF1"/>
    <w:rsid w:val="250F01AF"/>
    <w:rsid w:val="253506EC"/>
    <w:rsid w:val="2535374E"/>
    <w:rsid w:val="253D1611"/>
    <w:rsid w:val="253D33E8"/>
    <w:rsid w:val="25BC7B04"/>
    <w:rsid w:val="260035EA"/>
    <w:rsid w:val="260E1A6D"/>
    <w:rsid w:val="26282034"/>
    <w:rsid w:val="262E3744"/>
    <w:rsid w:val="26A050C5"/>
    <w:rsid w:val="26B4725E"/>
    <w:rsid w:val="26CD39E1"/>
    <w:rsid w:val="26E01A85"/>
    <w:rsid w:val="2720199C"/>
    <w:rsid w:val="275E24C1"/>
    <w:rsid w:val="276E01BE"/>
    <w:rsid w:val="279A72CF"/>
    <w:rsid w:val="279B0A35"/>
    <w:rsid w:val="27A6495D"/>
    <w:rsid w:val="27E17743"/>
    <w:rsid w:val="27F16E11"/>
    <w:rsid w:val="280451E0"/>
    <w:rsid w:val="28336463"/>
    <w:rsid w:val="28772C3B"/>
    <w:rsid w:val="289112DA"/>
    <w:rsid w:val="28AC5FA3"/>
    <w:rsid w:val="28B20C08"/>
    <w:rsid w:val="28ED3EC6"/>
    <w:rsid w:val="290E4E30"/>
    <w:rsid w:val="291E6DE3"/>
    <w:rsid w:val="29201EFD"/>
    <w:rsid w:val="29294A61"/>
    <w:rsid w:val="29305DC8"/>
    <w:rsid w:val="29791BFE"/>
    <w:rsid w:val="299D417F"/>
    <w:rsid w:val="29A05674"/>
    <w:rsid w:val="29A06768"/>
    <w:rsid w:val="29DB3488"/>
    <w:rsid w:val="29FC2764"/>
    <w:rsid w:val="2A446872"/>
    <w:rsid w:val="2A4B17EC"/>
    <w:rsid w:val="2A681AD2"/>
    <w:rsid w:val="2A827625"/>
    <w:rsid w:val="2A9E191C"/>
    <w:rsid w:val="2AB4333B"/>
    <w:rsid w:val="2AD76BDC"/>
    <w:rsid w:val="2B4B7150"/>
    <w:rsid w:val="2B4F50DB"/>
    <w:rsid w:val="2B592977"/>
    <w:rsid w:val="2B683CD8"/>
    <w:rsid w:val="2BB34CEB"/>
    <w:rsid w:val="2BC3132A"/>
    <w:rsid w:val="2BE67F39"/>
    <w:rsid w:val="2C161A67"/>
    <w:rsid w:val="2C494727"/>
    <w:rsid w:val="2C5127D7"/>
    <w:rsid w:val="2C7F3EE9"/>
    <w:rsid w:val="2CF63C91"/>
    <w:rsid w:val="2D0207F1"/>
    <w:rsid w:val="2D062104"/>
    <w:rsid w:val="2D276EA6"/>
    <w:rsid w:val="2D2B18CC"/>
    <w:rsid w:val="2D347550"/>
    <w:rsid w:val="2D5236A5"/>
    <w:rsid w:val="2D720E3E"/>
    <w:rsid w:val="2D7470F9"/>
    <w:rsid w:val="2D806D8E"/>
    <w:rsid w:val="2D820DFF"/>
    <w:rsid w:val="2D8A2F49"/>
    <w:rsid w:val="2D8E211C"/>
    <w:rsid w:val="2D9C4CD0"/>
    <w:rsid w:val="2DC42F2F"/>
    <w:rsid w:val="2DCE7471"/>
    <w:rsid w:val="2DD3512E"/>
    <w:rsid w:val="2DF50F6E"/>
    <w:rsid w:val="2E132621"/>
    <w:rsid w:val="2E16447D"/>
    <w:rsid w:val="2E1E0284"/>
    <w:rsid w:val="2E59692B"/>
    <w:rsid w:val="2E6575F5"/>
    <w:rsid w:val="2E6A7689"/>
    <w:rsid w:val="2E7B028A"/>
    <w:rsid w:val="2E855AB1"/>
    <w:rsid w:val="2E8569E0"/>
    <w:rsid w:val="2EB47D57"/>
    <w:rsid w:val="2EC609DF"/>
    <w:rsid w:val="2EF319EB"/>
    <w:rsid w:val="2EF57F78"/>
    <w:rsid w:val="2F6A28CE"/>
    <w:rsid w:val="2FE866A1"/>
    <w:rsid w:val="2FFD59E9"/>
    <w:rsid w:val="30126E54"/>
    <w:rsid w:val="30236F63"/>
    <w:rsid w:val="302673EB"/>
    <w:rsid w:val="306D1726"/>
    <w:rsid w:val="308B3491"/>
    <w:rsid w:val="30A10FB0"/>
    <w:rsid w:val="30D00355"/>
    <w:rsid w:val="30EA5DB7"/>
    <w:rsid w:val="31484B16"/>
    <w:rsid w:val="31732520"/>
    <w:rsid w:val="31AA4141"/>
    <w:rsid w:val="31AB491E"/>
    <w:rsid w:val="31C7163E"/>
    <w:rsid w:val="31C75BFC"/>
    <w:rsid w:val="31CE57AF"/>
    <w:rsid w:val="31E3055C"/>
    <w:rsid w:val="31F23E0C"/>
    <w:rsid w:val="31FE5396"/>
    <w:rsid w:val="32175457"/>
    <w:rsid w:val="32270449"/>
    <w:rsid w:val="325425A3"/>
    <w:rsid w:val="32582CF8"/>
    <w:rsid w:val="32611F99"/>
    <w:rsid w:val="32B45338"/>
    <w:rsid w:val="32BA306B"/>
    <w:rsid w:val="32EC51EE"/>
    <w:rsid w:val="32FA235E"/>
    <w:rsid w:val="33096F97"/>
    <w:rsid w:val="33162C71"/>
    <w:rsid w:val="33403CA2"/>
    <w:rsid w:val="33990414"/>
    <w:rsid w:val="33C97385"/>
    <w:rsid w:val="342D2B19"/>
    <w:rsid w:val="34306C82"/>
    <w:rsid w:val="343713B3"/>
    <w:rsid w:val="34784F8C"/>
    <w:rsid w:val="347D25A2"/>
    <w:rsid w:val="34916019"/>
    <w:rsid w:val="34AE72C0"/>
    <w:rsid w:val="34BB406B"/>
    <w:rsid w:val="34D56A72"/>
    <w:rsid w:val="34F640A1"/>
    <w:rsid w:val="3562356D"/>
    <w:rsid w:val="3568088B"/>
    <w:rsid w:val="356B0CF0"/>
    <w:rsid w:val="35814314"/>
    <w:rsid w:val="35BF5103"/>
    <w:rsid w:val="35CC2CED"/>
    <w:rsid w:val="35F22181"/>
    <w:rsid w:val="35F83081"/>
    <w:rsid w:val="35FD57AC"/>
    <w:rsid w:val="36117958"/>
    <w:rsid w:val="36225BF6"/>
    <w:rsid w:val="3651423D"/>
    <w:rsid w:val="365B4B65"/>
    <w:rsid w:val="3663307F"/>
    <w:rsid w:val="3677E334"/>
    <w:rsid w:val="368B585E"/>
    <w:rsid w:val="36FC0106"/>
    <w:rsid w:val="37203291"/>
    <w:rsid w:val="372512B2"/>
    <w:rsid w:val="374C476C"/>
    <w:rsid w:val="378A1F64"/>
    <w:rsid w:val="378E1F37"/>
    <w:rsid w:val="37F87E6E"/>
    <w:rsid w:val="380D6333"/>
    <w:rsid w:val="38232F97"/>
    <w:rsid w:val="383F3D89"/>
    <w:rsid w:val="38517C12"/>
    <w:rsid w:val="385833EA"/>
    <w:rsid w:val="3866226C"/>
    <w:rsid w:val="38A81BB8"/>
    <w:rsid w:val="38B30776"/>
    <w:rsid w:val="38BF1ED3"/>
    <w:rsid w:val="38DB20B5"/>
    <w:rsid w:val="38EF1AE2"/>
    <w:rsid w:val="3911678C"/>
    <w:rsid w:val="39695A15"/>
    <w:rsid w:val="396E2E01"/>
    <w:rsid w:val="398E6FFF"/>
    <w:rsid w:val="39994850"/>
    <w:rsid w:val="39BA4569"/>
    <w:rsid w:val="39E3559D"/>
    <w:rsid w:val="39F46FDE"/>
    <w:rsid w:val="39F7CB6A"/>
    <w:rsid w:val="3A176FF5"/>
    <w:rsid w:val="3A223F8F"/>
    <w:rsid w:val="3A39033A"/>
    <w:rsid w:val="3A3F72B9"/>
    <w:rsid w:val="3A701AE7"/>
    <w:rsid w:val="3A931AC6"/>
    <w:rsid w:val="3AB048CB"/>
    <w:rsid w:val="3AD60114"/>
    <w:rsid w:val="3AE11721"/>
    <w:rsid w:val="3B564AA7"/>
    <w:rsid w:val="3B9867A0"/>
    <w:rsid w:val="3BAE3451"/>
    <w:rsid w:val="3BD14F4E"/>
    <w:rsid w:val="3C35239A"/>
    <w:rsid w:val="3C4579B5"/>
    <w:rsid w:val="3C5E02C4"/>
    <w:rsid w:val="3C601C63"/>
    <w:rsid w:val="3C7005A8"/>
    <w:rsid w:val="3C8A42BF"/>
    <w:rsid w:val="3CA3505E"/>
    <w:rsid w:val="3CB11983"/>
    <w:rsid w:val="3CE25679"/>
    <w:rsid w:val="3CE97620"/>
    <w:rsid w:val="3CEC0941"/>
    <w:rsid w:val="3D0E2F8E"/>
    <w:rsid w:val="3D3679ED"/>
    <w:rsid w:val="3D3C55A0"/>
    <w:rsid w:val="3D7824A0"/>
    <w:rsid w:val="3D842AAD"/>
    <w:rsid w:val="3D881AA1"/>
    <w:rsid w:val="3DA175E4"/>
    <w:rsid w:val="3DB84F6F"/>
    <w:rsid w:val="3DCD57A3"/>
    <w:rsid w:val="3DCD6387"/>
    <w:rsid w:val="3E06781D"/>
    <w:rsid w:val="3E33648A"/>
    <w:rsid w:val="3E5B5536"/>
    <w:rsid w:val="3E600D75"/>
    <w:rsid w:val="3E7D7230"/>
    <w:rsid w:val="3E927592"/>
    <w:rsid w:val="3E9B73A0"/>
    <w:rsid w:val="3EB9742F"/>
    <w:rsid w:val="3EBC016B"/>
    <w:rsid w:val="3EE8067C"/>
    <w:rsid w:val="3EFCA165"/>
    <w:rsid w:val="3F094A68"/>
    <w:rsid w:val="3F316DAB"/>
    <w:rsid w:val="3F631A82"/>
    <w:rsid w:val="3F6E66F9"/>
    <w:rsid w:val="3F810087"/>
    <w:rsid w:val="3F9E032F"/>
    <w:rsid w:val="3FD25463"/>
    <w:rsid w:val="400022D9"/>
    <w:rsid w:val="401A6A22"/>
    <w:rsid w:val="403E267A"/>
    <w:rsid w:val="40531FA6"/>
    <w:rsid w:val="406325B7"/>
    <w:rsid w:val="40793F9C"/>
    <w:rsid w:val="40A23FF8"/>
    <w:rsid w:val="40A86BF9"/>
    <w:rsid w:val="40BA5EA7"/>
    <w:rsid w:val="40C77C97"/>
    <w:rsid w:val="4156017B"/>
    <w:rsid w:val="415626A9"/>
    <w:rsid w:val="41770510"/>
    <w:rsid w:val="41B81C3A"/>
    <w:rsid w:val="41C31810"/>
    <w:rsid w:val="41CD609D"/>
    <w:rsid w:val="4296532A"/>
    <w:rsid w:val="42E75311"/>
    <w:rsid w:val="430A6153"/>
    <w:rsid w:val="43104F29"/>
    <w:rsid w:val="4341178F"/>
    <w:rsid w:val="43737FC8"/>
    <w:rsid w:val="4377622A"/>
    <w:rsid w:val="438873FE"/>
    <w:rsid w:val="43893B2F"/>
    <w:rsid w:val="43BE2696"/>
    <w:rsid w:val="43BE4F53"/>
    <w:rsid w:val="43CC6664"/>
    <w:rsid w:val="44141C79"/>
    <w:rsid w:val="441D751D"/>
    <w:rsid w:val="4429745B"/>
    <w:rsid w:val="4441183E"/>
    <w:rsid w:val="44A8189B"/>
    <w:rsid w:val="44B33803"/>
    <w:rsid w:val="44B50503"/>
    <w:rsid w:val="44B948C8"/>
    <w:rsid w:val="44C47D79"/>
    <w:rsid w:val="44CC0FB9"/>
    <w:rsid w:val="44DE3F75"/>
    <w:rsid w:val="44F1396C"/>
    <w:rsid w:val="44FE0825"/>
    <w:rsid w:val="450B1871"/>
    <w:rsid w:val="4552729A"/>
    <w:rsid w:val="45791880"/>
    <w:rsid w:val="457A782D"/>
    <w:rsid w:val="458F65D9"/>
    <w:rsid w:val="45A57BAB"/>
    <w:rsid w:val="45D94896"/>
    <w:rsid w:val="45DE130F"/>
    <w:rsid w:val="45E551ED"/>
    <w:rsid w:val="45FC4C14"/>
    <w:rsid w:val="46362EF9"/>
    <w:rsid w:val="4659191C"/>
    <w:rsid w:val="46643CD5"/>
    <w:rsid w:val="46902223"/>
    <w:rsid w:val="4695232D"/>
    <w:rsid w:val="47230AC1"/>
    <w:rsid w:val="47255B87"/>
    <w:rsid w:val="472D60AA"/>
    <w:rsid w:val="47571E56"/>
    <w:rsid w:val="475F66FF"/>
    <w:rsid w:val="47603655"/>
    <w:rsid w:val="47646F2B"/>
    <w:rsid w:val="478C156E"/>
    <w:rsid w:val="47AB31C0"/>
    <w:rsid w:val="47C17CDC"/>
    <w:rsid w:val="47C977ED"/>
    <w:rsid w:val="47ED7A56"/>
    <w:rsid w:val="48017CDC"/>
    <w:rsid w:val="48091514"/>
    <w:rsid w:val="483674F7"/>
    <w:rsid w:val="484336AB"/>
    <w:rsid w:val="488F7694"/>
    <w:rsid w:val="48F60B4F"/>
    <w:rsid w:val="49031B7D"/>
    <w:rsid w:val="49044390"/>
    <w:rsid w:val="49084370"/>
    <w:rsid w:val="492D4D8B"/>
    <w:rsid w:val="49470F79"/>
    <w:rsid w:val="49944D45"/>
    <w:rsid w:val="49945CF4"/>
    <w:rsid w:val="49A50722"/>
    <w:rsid w:val="49AE13C1"/>
    <w:rsid w:val="49C833F9"/>
    <w:rsid w:val="4A111CB3"/>
    <w:rsid w:val="4A435BE4"/>
    <w:rsid w:val="4A6600F8"/>
    <w:rsid w:val="4AC9424E"/>
    <w:rsid w:val="4ACB58F7"/>
    <w:rsid w:val="4B0F349C"/>
    <w:rsid w:val="4B2E56D2"/>
    <w:rsid w:val="4B465109"/>
    <w:rsid w:val="4B5753B5"/>
    <w:rsid w:val="4B644064"/>
    <w:rsid w:val="4B666982"/>
    <w:rsid w:val="4B76388E"/>
    <w:rsid w:val="4BA071DF"/>
    <w:rsid w:val="4BB16EEF"/>
    <w:rsid w:val="4BBE7E3D"/>
    <w:rsid w:val="4BF73D80"/>
    <w:rsid w:val="4C137B23"/>
    <w:rsid w:val="4C433C79"/>
    <w:rsid w:val="4C4F00D1"/>
    <w:rsid w:val="4C7D5CAE"/>
    <w:rsid w:val="4C9A1845"/>
    <w:rsid w:val="4CAA5ECA"/>
    <w:rsid w:val="4CF65190"/>
    <w:rsid w:val="4D0258E3"/>
    <w:rsid w:val="4D177DD3"/>
    <w:rsid w:val="4D351924"/>
    <w:rsid w:val="4D3F6B37"/>
    <w:rsid w:val="4D531B6F"/>
    <w:rsid w:val="4D550108"/>
    <w:rsid w:val="4D936AF4"/>
    <w:rsid w:val="4E21623C"/>
    <w:rsid w:val="4E313E0A"/>
    <w:rsid w:val="4E44209C"/>
    <w:rsid w:val="4E4D0C61"/>
    <w:rsid w:val="4EC52776"/>
    <w:rsid w:val="4ECC75F6"/>
    <w:rsid w:val="4F0F2539"/>
    <w:rsid w:val="4F2316E5"/>
    <w:rsid w:val="4F46004C"/>
    <w:rsid w:val="4F895686"/>
    <w:rsid w:val="4F9A62A6"/>
    <w:rsid w:val="502D0B14"/>
    <w:rsid w:val="50382E2A"/>
    <w:rsid w:val="504B75A0"/>
    <w:rsid w:val="504C61F5"/>
    <w:rsid w:val="506708F8"/>
    <w:rsid w:val="50CC06E1"/>
    <w:rsid w:val="50EE6BCB"/>
    <w:rsid w:val="515E23D9"/>
    <w:rsid w:val="517448D5"/>
    <w:rsid w:val="51771B13"/>
    <w:rsid w:val="51896E97"/>
    <w:rsid w:val="51B51175"/>
    <w:rsid w:val="51C62530"/>
    <w:rsid w:val="51E35D48"/>
    <w:rsid w:val="5219531B"/>
    <w:rsid w:val="52491DEA"/>
    <w:rsid w:val="52646F2D"/>
    <w:rsid w:val="527B23BF"/>
    <w:rsid w:val="52C548C4"/>
    <w:rsid w:val="52C65AFA"/>
    <w:rsid w:val="52E0534B"/>
    <w:rsid w:val="52F77C26"/>
    <w:rsid w:val="53591FD4"/>
    <w:rsid w:val="535D4EEE"/>
    <w:rsid w:val="536845DB"/>
    <w:rsid w:val="53C414DA"/>
    <w:rsid w:val="53C42A66"/>
    <w:rsid w:val="53ED52BE"/>
    <w:rsid w:val="543668C6"/>
    <w:rsid w:val="5453338D"/>
    <w:rsid w:val="5475158D"/>
    <w:rsid w:val="54752A66"/>
    <w:rsid w:val="54892CE5"/>
    <w:rsid w:val="548A2E17"/>
    <w:rsid w:val="54BE2AC3"/>
    <w:rsid w:val="55180457"/>
    <w:rsid w:val="555E1B24"/>
    <w:rsid w:val="55683E45"/>
    <w:rsid w:val="557B27B0"/>
    <w:rsid w:val="55B47996"/>
    <w:rsid w:val="56464A92"/>
    <w:rsid w:val="565C1AE7"/>
    <w:rsid w:val="5661140E"/>
    <w:rsid w:val="566B25D4"/>
    <w:rsid w:val="56A92F2C"/>
    <w:rsid w:val="56AB0D99"/>
    <w:rsid w:val="56B23ED5"/>
    <w:rsid w:val="56C40733"/>
    <w:rsid w:val="56D24578"/>
    <w:rsid w:val="56D4713A"/>
    <w:rsid w:val="56E664C5"/>
    <w:rsid w:val="56FD58DD"/>
    <w:rsid w:val="570471A7"/>
    <w:rsid w:val="572F3399"/>
    <w:rsid w:val="573C5441"/>
    <w:rsid w:val="57476D14"/>
    <w:rsid w:val="575C773C"/>
    <w:rsid w:val="578E06B0"/>
    <w:rsid w:val="57AA2DFF"/>
    <w:rsid w:val="57C77E54"/>
    <w:rsid w:val="57DC3785"/>
    <w:rsid w:val="57E94CAC"/>
    <w:rsid w:val="57F835F2"/>
    <w:rsid w:val="580A2D48"/>
    <w:rsid w:val="58150BC0"/>
    <w:rsid w:val="582C415B"/>
    <w:rsid w:val="5862223D"/>
    <w:rsid w:val="586F2E74"/>
    <w:rsid w:val="587A4EC7"/>
    <w:rsid w:val="58922210"/>
    <w:rsid w:val="589917C7"/>
    <w:rsid w:val="589D0A7D"/>
    <w:rsid w:val="589D0BB5"/>
    <w:rsid w:val="58DC299D"/>
    <w:rsid w:val="58FC6D00"/>
    <w:rsid w:val="59623267"/>
    <w:rsid w:val="59916541"/>
    <w:rsid w:val="59C97B27"/>
    <w:rsid w:val="5A0D3A01"/>
    <w:rsid w:val="5A2F20D0"/>
    <w:rsid w:val="5A374284"/>
    <w:rsid w:val="5A5D0C99"/>
    <w:rsid w:val="5A8409F3"/>
    <w:rsid w:val="5A95145E"/>
    <w:rsid w:val="5AB24529"/>
    <w:rsid w:val="5ABC4D26"/>
    <w:rsid w:val="5B0F5966"/>
    <w:rsid w:val="5B182775"/>
    <w:rsid w:val="5B6A23D0"/>
    <w:rsid w:val="5B705FB7"/>
    <w:rsid w:val="5B720A4B"/>
    <w:rsid w:val="5BAA37CD"/>
    <w:rsid w:val="5BAF3684"/>
    <w:rsid w:val="5BBA720C"/>
    <w:rsid w:val="5BCD7651"/>
    <w:rsid w:val="5BDFFBB5"/>
    <w:rsid w:val="5BFB4B6E"/>
    <w:rsid w:val="5C5C6C96"/>
    <w:rsid w:val="5C922AA1"/>
    <w:rsid w:val="5CA56029"/>
    <w:rsid w:val="5CD2321D"/>
    <w:rsid w:val="5CD50161"/>
    <w:rsid w:val="5CEA65A2"/>
    <w:rsid w:val="5D033329"/>
    <w:rsid w:val="5D1450ED"/>
    <w:rsid w:val="5D245401"/>
    <w:rsid w:val="5D4402EA"/>
    <w:rsid w:val="5D532514"/>
    <w:rsid w:val="5D7B2F3D"/>
    <w:rsid w:val="5DA402F0"/>
    <w:rsid w:val="5DB73331"/>
    <w:rsid w:val="5DEDB02F"/>
    <w:rsid w:val="5E140440"/>
    <w:rsid w:val="5E157BFD"/>
    <w:rsid w:val="5E43138F"/>
    <w:rsid w:val="5E5257EB"/>
    <w:rsid w:val="5E6B2E2D"/>
    <w:rsid w:val="5E783D07"/>
    <w:rsid w:val="5E8D29CF"/>
    <w:rsid w:val="5E987E55"/>
    <w:rsid w:val="5EC073AC"/>
    <w:rsid w:val="5EC7698C"/>
    <w:rsid w:val="5EC93D19"/>
    <w:rsid w:val="5ED10ED7"/>
    <w:rsid w:val="5EFB3E7D"/>
    <w:rsid w:val="5F116F65"/>
    <w:rsid w:val="5F1576F7"/>
    <w:rsid w:val="5F4D4D18"/>
    <w:rsid w:val="5F564C61"/>
    <w:rsid w:val="5F9A7BF0"/>
    <w:rsid w:val="5FBEAE9F"/>
    <w:rsid w:val="5FDB5835"/>
    <w:rsid w:val="5FF17192"/>
    <w:rsid w:val="601A302D"/>
    <w:rsid w:val="601D2883"/>
    <w:rsid w:val="6023602E"/>
    <w:rsid w:val="602D2273"/>
    <w:rsid w:val="605518C0"/>
    <w:rsid w:val="608C7760"/>
    <w:rsid w:val="609276BC"/>
    <w:rsid w:val="60C97A63"/>
    <w:rsid w:val="60D96503"/>
    <w:rsid w:val="612571E1"/>
    <w:rsid w:val="61297E0E"/>
    <w:rsid w:val="61471320"/>
    <w:rsid w:val="614C5323"/>
    <w:rsid w:val="616B7FB5"/>
    <w:rsid w:val="619F1626"/>
    <w:rsid w:val="61BE4076"/>
    <w:rsid w:val="61E67129"/>
    <w:rsid w:val="622E6623"/>
    <w:rsid w:val="62AF0FEF"/>
    <w:rsid w:val="62D3549E"/>
    <w:rsid w:val="62F12DE3"/>
    <w:rsid w:val="631758E7"/>
    <w:rsid w:val="63316ACA"/>
    <w:rsid w:val="635649AD"/>
    <w:rsid w:val="638B32A8"/>
    <w:rsid w:val="63A66B70"/>
    <w:rsid w:val="63AC77DC"/>
    <w:rsid w:val="63B3128D"/>
    <w:rsid w:val="642414EC"/>
    <w:rsid w:val="645F2958"/>
    <w:rsid w:val="64AF5EF8"/>
    <w:rsid w:val="64DF6B47"/>
    <w:rsid w:val="652B3CC5"/>
    <w:rsid w:val="653A7E8C"/>
    <w:rsid w:val="654037D2"/>
    <w:rsid w:val="65501D46"/>
    <w:rsid w:val="65817895"/>
    <w:rsid w:val="6592215B"/>
    <w:rsid w:val="659A6DF2"/>
    <w:rsid w:val="65C045E2"/>
    <w:rsid w:val="66300CD2"/>
    <w:rsid w:val="664A51A0"/>
    <w:rsid w:val="66586612"/>
    <w:rsid w:val="66996328"/>
    <w:rsid w:val="66A2075F"/>
    <w:rsid w:val="66C14CC1"/>
    <w:rsid w:val="66D93700"/>
    <w:rsid w:val="67047C48"/>
    <w:rsid w:val="67075EE0"/>
    <w:rsid w:val="670D469D"/>
    <w:rsid w:val="67144CC7"/>
    <w:rsid w:val="674D05B9"/>
    <w:rsid w:val="67507B97"/>
    <w:rsid w:val="67713671"/>
    <w:rsid w:val="677946C5"/>
    <w:rsid w:val="679B7423"/>
    <w:rsid w:val="67AB4CEB"/>
    <w:rsid w:val="67E55EF8"/>
    <w:rsid w:val="68071BA7"/>
    <w:rsid w:val="680E4E7E"/>
    <w:rsid w:val="68186335"/>
    <w:rsid w:val="682578CD"/>
    <w:rsid w:val="6842782D"/>
    <w:rsid w:val="68511335"/>
    <w:rsid w:val="68556E10"/>
    <w:rsid w:val="686E6BA6"/>
    <w:rsid w:val="687446BA"/>
    <w:rsid w:val="687E1428"/>
    <w:rsid w:val="68EE6D47"/>
    <w:rsid w:val="68F62978"/>
    <w:rsid w:val="68FB4B18"/>
    <w:rsid w:val="69092B56"/>
    <w:rsid w:val="69176894"/>
    <w:rsid w:val="69540E1C"/>
    <w:rsid w:val="69773AA7"/>
    <w:rsid w:val="697F233D"/>
    <w:rsid w:val="69992965"/>
    <w:rsid w:val="69BA6369"/>
    <w:rsid w:val="69C27945"/>
    <w:rsid w:val="69C77840"/>
    <w:rsid w:val="69DA0157"/>
    <w:rsid w:val="69F05E6F"/>
    <w:rsid w:val="69F76574"/>
    <w:rsid w:val="6A055234"/>
    <w:rsid w:val="6A224FFA"/>
    <w:rsid w:val="6A35006B"/>
    <w:rsid w:val="6A557427"/>
    <w:rsid w:val="6A6B0B13"/>
    <w:rsid w:val="6AE132B0"/>
    <w:rsid w:val="6AF26333"/>
    <w:rsid w:val="6B0A39EF"/>
    <w:rsid w:val="6B282B66"/>
    <w:rsid w:val="6B286A04"/>
    <w:rsid w:val="6B5376F4"/>
    <w:rsid w:val="6B5C2261"/>
    <w:rsid w:val="6B686E01"/>
    <w:rsid w:val="6B745CC4"/>
    <w:rsid w:val="6B9D0D65"/>
    <w:rsid w:val="6B9F131A"/>
    <w:rsid w:val="6BB45FD2"/>
    <w:rsid w:val="6BCC08DD"/>
    <w:rsid w:val="6BDC4F43"/>
    <w:rsid w:val="6BEE37F5"/>
    <w:rsid w:val="6BFD31F6"/>
    <w:rsid w:val="6C2F3C8A"/>
    <w:rsid w:val="6C4E5849"/>
    <w:rsid w:val="6C8F567A"/>
    <w:rsid w:val="6CA67BC3"/>
    <w:rsid w:val="6CE4167D"/>
    <w:rsid w:val="6D035033"/>
    <w:rsid w:val="6D3A2BDC"/>
    <w:rsid w:val="6D94212F"/>
    <w:rsid w:val="6DC22FB0"/>
    <w:rsid w:val="6DC876EA"/>
    <w:rsid w:val="6DE2002A"/>
    <w:rsid w:val="6DF766C3"/>
    <w:rsid w:val="6DFE5D2E"/>
    <w:rsid w:val="6DFFF249"/>
    <w:rsid w:val="6E43042E"/>
    <w:rsid w:val="6E8361A8"/>
    <w:rsid w:val="6E847EE2"/>
    <w:rsid w:val="6EAA1AE9"/>
    <w:rsid w:val="6EF6073B"/>
    <w:rsid w:val="6EFD5AB3"/>
    <w:rsid w:val="6F0A08FB"/>
    <w:rsid w:val="6F2A37E9"/>
    <w:rsid w:val="6F302961"/>
    <w:rsid w:val="6F446C47"/>
    <w:rsid w:val="6F48761F"/>
    <w:rsid w:val="6F8A6FEC"/>
    <w:rsid w:val="6F931A61"/>
    <w:rsid w:val="6FC52BA6"/>
    <w:rsid w:val="6FDC5D2F"/>
    <w:rsid w:val="6FE95867"/>
    <w:rsid w:val="7009539C"/>
    <w:rsid w:val="701E2B79"/>
    <w:rsid w:val="702F5CEE"/>
    <w:rsid w:val="7031711B"/>
    <w:rsid w:val="7044494C"/>
    <w:rsid w:val="70BD1A04"/>
    <w:rsid w:val="70D14E8F"/>
    <w:rsid w:val="70F13E72"/>
    <w:rsid w:val="70F51F68"/>
    <w:rsid w:val="70F533B4"/>
    <w:rsid w:val="710E7E11"/>
    <w:rsid w:val="717661CB"/>
    <w:rsid w:val="718D2C65"/>
    <w:rsid w:val="71B07FF4"/>
    <w:rsid w:val="71BF8EF5"/>
    <w:rsid w:val="71FB422D"/>
    <w:rsid w:val="720D425E"/>
    <w:rsid w:val="723331DC"/>
    <w:rsid w:val="723B704F"/>
    <w:rsid w:val="727A2FA1"/>
    <w:rsid w:val="728F7F60"/>
    <w:rsid w:val="73275099"/>
    <w:rsid w:val="733676C5"/>
    <w:rsid w:val="73432F6E"/>
    <w:rsid w:val="73E15372"/>
    <w:rsid w:val="73FF5520"/>
    <w:rsid w:val="740B42C1"/>
    <w:rsid w:val="740D6797"/>
    <w:rsid w:val="74577539"/>
    <w:rsid w:val="746F7EE5"/>
    <w:rsid w:val="748944A7"/>
    <w:rsid w:val="74A80B91"/>
    <w:rsid w:val="74AC5174"/>
    <w:rsid w:val="74BF934E"/>
    <w:rsid w:val="74EF3E3D"/>
    <w:rsid w:val="75886AAE"/>
    <w:rsid w:val="75A86FF9"/>
    <w:rsid w:val="75AF1417"/>
    <w:rsid w:val="75C66FCB"/>
    <w:rsid w:val="75CA6689"/>
    <w:rsid w:val="75DC5FEF"/>
    <w:rsid w:val="75DD0078"/>
    <w:rsid w:val="761D3C95"/>
    <w:rsid w:val="76522B87"/>
    <w:rsid w:val="76610A35"/>
    <w:rsid w:val="767B0330"/>
    <w:rsid w:val="767E392D"/>
    <w:rsid w:val="76C30EF7"/>
    <w:rsid w:val="774D2585"/>
    <w:rsid w:val="77505ADA"/>
    <w:rsid w:val="77862AE9"/>
    <w:rsid w:val="77DB6496"/>
    <w:rsid w:val="77FFC829"/>
    <w:rsid w:val="78097988"/>
    <w:rsid w:val="781E5417"/>
    <w:rsid w:val="782236A8"/>
    <w:rsid w:val="78345A42"/>
    <w:rsid w:val="783C3374"/>
    <w:rsid w:val="784529A4"/>
    <w:rsid w:val="78584698"/>
    <w:rsid w:val="78DE186C"/>
    <w:rsid w:val="78E57CE3"/>
    <w:rsid w:val="78EC66B9"/>
    <w:rsid w:val="78FE3336"/>
    <w:rsid w:val="79220F9E"/>
    <w:rsid w:val="794C6296"/>
    <w:rsid w:val="797F5A41"/>
    <w:rsid w:val="799217FC"/>
    <w:rsid w:val="79B834A0"/>
    <w:rsid w:val="79EB3F3A"/>
    <w:rsid w:val="79F91C98"/>
    <w:rsid w:val="79F989FB"/>
    <w:rsid w:val="7A19268B"/>
    <w:rsid w:val="7A212364"/>
    <w:rsid w:val="7A2E4AB4"/>
    <w:rsid w:val="7A904127"/>
    <w:rsid w:val="7AA82B72"/>
    <w:rsid w:val="7ABD7F88"/>
    <w:rsid w:val="7AE42997"/>
    <w:rsid w:val="7B222136"/>
    <w:rsid w:val="7B4532C4"/>
    <w:rsid w:val="7B4E0760"/>
    <w:rsid w:val="7B952652"/>
    <w:rsid w:val="7BA82155"/>
    <w:rsid w:val="7BA856CA"/>
    <w:rsid w:val="7BBA7B82"/>
    <w:rsid w:val="7BBB10FB"/>
    <w:rsid w:val="7BBF5542"/>
    <w:rsid w:val="7BED75DA"/>
    <w:rsid w:val="7BF7748B"/>
    <w:rsid w:val="7BFF80CC"/>
    <w:rsid w:val="7C1645EC"/>
    <w:rsid w:val="7C3938BA"/>
    <w:rsid w:val="7C522776"/>
    <w:rsid w:val="7C580A89"/>
    <w:rsid w:val="7C817EC7"/>
    <w:rsid w:val="7C934971"/>
    <w:rsid w:val="7CDC3218"/>
    <w:rsid w:val="7CE53BDF"/>
    <w:rsid w:val="7CEE663A"/>
    <w:rsid w:val="7CFD5DEA"/>
    <w:rsid w:val="7D307897"/>
    <w:rsid w:val="7D435972"/>
    <w:rsid w:val="7D516663"/>
    <w:rsid w:val="7D5F709D"/>
    <w:rsid w:val="7D6513F2"/>
    <w:rsid w:val="7D691E2E"/>
    <w:rsid w:val="7D727970"/>
    <w:rsid w:val="7D761278"/>
    <w:rsid w:val="7D8C5B26"/>
    <w:rsid w:val="7D8D661B"/>
    <w:rsid w:val="7DBF351B"/>
    <w:rsid w:val="7DC68296"/>
    <w:rsid w:val="7DFBF3EC"/>
    <w:rsid w:val="7E0F55C7"/>
    <w:rsid w:val="7E1211C8"/>
    <w:rsid w:val="7E186CB2"/>
    <w:rsid w:val="7E24557B"/>
    <w:rsid w:val="7EA47CF8"/>
    <w:rsid w:val="7EDE76AE"/>
    <w:rsid w:val="7EFE24AA"/>
    <w:rsid w:val="7F054669"/>
    <w:rsid w:val="7F065D81"/>
    <w:rsid w:val="7F080287"/>
    <w:rsid w:val="7F2F0735"/>
    <w:rsid w:val="7F2F3A66"/>
    <w:rsid w:val="7F6F272F"/>
    <w:rsid w:val="7FAF6B4F"/>
    <w:rsid w:val="7FDD34C2"/>
    <w:rsid w:val="7FE4B42C"/>
    <w:rsid w:val="7FF99E6E"/>
    <w:rsid w:val="7FFDAF8E"/>
    <w:rsid w:val="7FFF0103"/>
    <w:rsid w:val="7FFF2344"/>
    <w:rsid w:val="7FFFD946"/>
    <w:rsid w:val="863A7982"/>
    <w:rsid w:val="99F6C64D"/>
    <w:rsid w:val="9AEFF556"/>
    <w:rsid w:val="A276667B"/>
    <w:rsid w:val="B5B9664F"/>
    <w:rsid w:val="BBFB334B"/>
    <w:rsid w:val="BD724305"/>
    <w:rsid w:val="BD8317E0"/>
    <w:rsid w:val="BDE1EA90"/>
    <w:rsid w:val="BF056F27"/>
    <w:rsid w:val="BFBBA17E"/>
    <w:rsid w:val="BFFFD58C"/>
    <w:rsid w:val="CCFFC89A"/>
    <w:rsid w:val="DA9B3201"/>
    <w:rsid w:val="DF974592"/>
    <w:rsid w:val="DFBF1E44"/>
    <w:rsid w:val="DFEAFB20"/>
    <w:rsid w:val="DFEBBDBA"/>
    <w:rsid w:val="DFFF2F1F"/>
    <w:rsid w:val="E47F662B"/>
    <w:rsid w:val="E95FAA03"/>
    <w:rsid w:val="EBBF9D43"/>
    <w:rsid w:val="EEFD635D"/>
    <w:rsid w:val="EFC74C9A"/>
    <w:rsid w:val="F3571AEC"/>
    <w:rsid w:val="F3B917CF"/>
    <w:rsid w:val="F3EBBAD6"/>
    <w:rsid w:val="F97FFCA9"/>
    <w:rsid w:val="F9FF06DC"/>
    <w:rsid w:val="FBDF2706"/>
    <w:rsid w:val="FBDF733E"/>
    <w:rsid w:val="FD0F8A02"/>
    <w:rsid w:val="FDFFA89E"/>
    <w:rsid w:val="FEFFF402"/>
    <w:rsid w:val="FF7CB1CD"/>
    <w:rsid w:val="FFE7FBB3"/>
    <w:rsid w:val="FFFE62C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880" w:firstLineChars="200"/>
      <w:jc w:val="both"/>
    </w:pPr>
    <w:rPr>
      <w:rFonts w:ascii="Times New Roman" w:hAnsi="Times New Roman" w:eastAsia="仿宋_GB2312" w:cs="Times New Roman"/>
      <w:color w:val="000000"/>
      <w:sz w:val="32"/>
      <w:szCs w:val="24"/>
      <w:lang w:val="en-US" w:eastAsia="en-US" w:bidi="en-US"/>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b/>
      <w:bCs/>
      <w:sz w:val="27"/>
      <w:szCs w:val="27"/>
      <w:lang w:eastAsia="zh-CN" w:bidi="ar-SA"/>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semiHidden/>
    <w:qFormat/>
    <w:uiPriority w:val="0"/>
    <w:rPr>
      <w:rFonts w:ascii="仿宋" w:hAnsi="仿宋" w:eastAsia="仿宋" w:cs="仿宋"/>
      <w:sz w:val="35"/>
      <w:szCs w:val="35"/>
      <w:lang w:bidi="ar-SA"/>
    </w:rPr>
  </w:style>
  <w:style w:type="paragraph" w:styleId="8">
    <w:name w:val="Body Text Indent"/>
    <w:basedOn w:val="1"/>
    <w:semiHidden/>
    <w:unhideWhenUsed/>
    <w:qFormat/>
    <w:uiPriority w:val="0"/>
    <w:pPr>
      <w:spacing w:after="120"/>
      <w:ind w:left="420" w:leftChars="200"/>
    </w:pPr>
    <w:rPr>
      <w:rFonts w:eastAsia="宋体"/>
    </w:rPr>
  </w:style>
  <w:style w:type="paragraph" w:styleId="9">
    <w:name w:val="Body Text Indent 2"/>
    <w:basedOn w:val="1"/>
    <w:qFormat/>
    <w:uiPriority w:val="0"/>
    <w:pPr>
      <w:spacing w:after="120" w:line="480" w:lineRule="auto"/>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Body Text 2"/>
    <w:basedOn w:val="1"/>
    <w:qFormat/>
    <w:uiPriority w:val="0"/>
    <w:pPr>
      <w:spacing w:after="120" w:line="480" w:lineRule="auto"/>
    </w:pPr>
  </w:style>
  <w:style w:type="paragraph" w:styleId="13">
    <w:name w:val="Normal (Web)"/>
    <w:basedOn w:val="1"/>
    <w:qFormat/>
    <w:uiPriority w:val="0"/>
    <w:pPr>
      <w:spacing w:beforeAutospacing="1" w:afterAutospacing="1"/>
      <w:jc w:val="left"/>
    </w:pPr>
    <w:rPr>
      <w:sz w:val="24"/>
      <w:lang w:eastAsia="zh-CN" w:bidi="ar-SA"/>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qFormat/>
    <w:uiPriority w:val="0"/>
    <w:rPr>
      <w:color w:val="0000FF"/>
      <w:u w:val="single"/>
    </w:rPr>
  </w:style>
  <w:style w:type="paragraph" w:customStyle="1" w:styleId="18">
    <w:name w:val="Body text|1"/>
    <w:basedOn w:val="1"/>
    <w:qFormat/>
    <w:uiPriority w:val="0"/>
    <w:pPr>
      <w:spacing w:line="314" w:lineRule="auto"/>
    </w:pPr>
    <w:rPr>
      <w:rFonts w:ascii="宋体" w:hAnsi="宋体" w:eastAsia="宋体" w:cs="宋体"/>
      <w:sz w:val="30"/>
      <w:szCs w:val="30"/>
      <w:lang w:val="zh-TW" w:eastAsia="zh-TW" w:bidi="zh-TW"/>
    </w:rPr>
  </w:style>
  <w:style w:type="paragraph" w:customStyle="1" w:styleId="19">
    <w:name w:val="Header or footer|1"/>
    <w:basedOn w:val="1"/>
    <w:qFormat/>
    <w:uiPriority w:val="0"/>
    <w:rPr>
      <w:sz w:val="28"/>
      <w:szCs w:val="28"/>
      <w:lang w:val="zh-TW" w:eastAsia="zh-TW" w:bidi="zh-TW"/>
    </w:rPr>
  </w:style>
  <w:style w:type="paragraph" w:styleId="20">
    <w:name w:val="List Paragraph"/>
    <w:basedOn w:val="1"/>
    <w:qFormat/>
    <w:uiPriority w:val="34"/>
    <w:pPr>
      <w:ind w:firstLine="420"/>
    </w:pPr>
  </w:style>
  <w:style w:type="paragraph" w:customStyle="1" w:styleId="21">
    <w:name w:val="列表段落1"/>
    <w:basedOn w:val="1"/>
    <w:qFormat/>
    <w:uiPriority w:val="0"/>
    <w:pPr>
      <w:ind w:firstLine="420"/>
    </w:pPr>
    <w:rPr>
      <w:rFonts w:eastAsia="宋体"/>
      <w:szCs w:val="21"/>
    </w:rPr>
  </w:style>
  <w:style w:type="paragraph" w:styleId="22">
    <w:name w:val="No Spacing"/>
    <w:qFormat/>
    <w:uiPriority w:val="1"/>
    <w:rPr>
      <w:rFonts w:asciiTheme="minorHAnsi" w:hAnsiTheme="minorHAnsi" w:eastAsiaTheme="minorEastAsia" w:cstheme="minorBidi"/>
      <w:sz w:val="22"/>
      <w:szCs w:val="22"/>
      <w:lang w:val="en-US" w:eastAsia="zh-CN" w:bidi="ar-SA"/>
    </w:rPr>
  </w:style>
  <w:style w:type="paragraph" w:customStyle="1" w:styleId="23">
    <w:name w:val="WPSOffice手动目录 1"/>
    <w:qFormat/>
    <w:uiPriority w:val="0"/>
    <w:rPr>
      <w:rFonts w:ascii="Times New Roman" w:hAnsi="Times New Roman" w:eastAsia="宋体" w:cs="Times New Roman"/>
      <w:lang w:val="en-US" w:eastAsia="zh-CN" w:bidi="ar-SA"/>
    </w:rPr>
  </w:style>
  <w:style w:type="paragraph" w:customStyle="1" w:styleId="24">
    <w:name w:val="WPSOffice手动目录 2"/>
    <w:qFormat/>
    <w:uiPriority w:val="0"/>
    <w:pPr>
      <w:ind w:left="200" w:leftChars="200"/>
    </w:pPr>
    <w:rPr>
      <w:rFonts w:ascii="Times New Roman" w:hAnsi="Times New Roman" w:eastAsia="宋体" w:cs="Times New Roman"/>
      <w:lang w:val="en-US" w:eastAsia="zh-CN" w:bidi="ar-SA"/>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仿宋" w:hAnsi="仿宋" w:eastAsia="仿宋" w:cs="仿宋"/>
      <w:sz w:val="34"/>
      <w:szCs w:val="3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6314</Words>
  <Characters>6382</Characters>
  <Lines>1</Lines>
  <Paragraphs>1</Paragraphs>
  <TotalTime>0</TotalTime>
  <ScaleCrop>false</ScaleCrop>
  <LinksUpToDate>false</LinksUpToDate>
  <CharactersWithSpaces>6642</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2024-03-23T11:02:00Z</dcterms:created>
  <dc:creator>zlb</dc:creator>
  <cp:lastModifiedBy>A心有猛虎，细嗅蔷薇</cp:lastModifiedBy>
  <dcterms:modified xsi:type="dcterms:W3CDTF">2024-09-14T14:19:50Z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4FE7A929532A417CAACD7C43EF0DA3C4_13</vt:lpwstr>
  </property>
</Properties>
</file>