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Theme="majorEastAsia" w:hAnsiTheme="majorEastAsia" w:eastAsiaTheme="majorEastAsia" w:cstheme="majorEastAsia"/>
          <w:b/>
          <w:sz w:val="44"/>
          <w:lang w:val="en-US" w:eastAsia="zh-CN"/>
        </w:rPr>
      </w:pP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b/>
          <w:sz w:val="44"/>
          <w:lang w:val="en-US" w:eastAsia="zh-CN"/>
        </w:rPr>
        <w:t>四川九洲投资控股集团有限公司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Theme="majorEastAsia" w:hAnsiTheme="majorEastAsia" w:eastAsiaTheme="majorEastAsia" w:cstheme="majorEastAsia"/>
          <w:b/>
          <w:sz w:val="44"/>
        </w:rPr>
      </w:pPr>
      <w:r>
        <w:rPr>
          <w:rFonts w:hint="eastAsia" w:asciiTheme="majorEastAsia" w:hAnsiTheme="majorEastAsia" w:eastAsiaTheme="majorEastAsia" w:cstheme="majorEastAsia"/>
          <w:b/>
          <w:sz w:val="44"/>
        </w:rPr>
        <w:t>关于</w:t>
      </w:r>
      <w:r>
        <w:rPr>
          <w:rFonts w:hint="eastAsia" w:asciiTheme="majorEastAsia" w:hAnsiTheme="majorEastAsia" w:eastAsiaTheme="majorEastAsia" w:cstheme="majorEastAsia"/>
          <w:b/>
          <w:sz w:val="44"/>
          <w:lang w:val="en-US" w:eastAsia="zh-CN"/>
        </w:rPr>
        <w:t>文化产业园核心区</w:t>
      </w:r>
      <w:r>
        <w:rPr>
          <w:rFonts w:hint="eastAsia" w:asciiTheme="majorEastAsia" w:hAnsiTheme="majorEastAsia" w:eastAsiaTheme="majorEastAsia" w:cstheme="majorEastAsia"/>
          <w:b/>
          <w:sz w:val="44"/>
        </w:rPr>
        <w:t>D级危房处置的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Theme="majorEastAsia" w:hAnsiTheme="majorEastAsia" w:eastAsiaTheme="majorEastAsia" w:cstheme="majorEastAsia"/>
          <w:b/>
          <w:sz w:val="44"/>
        </w:rPr>
      </w:pPr>
      <w:r>
        <w:rPr>
          <w:rFonts w:hint="eastAsia" w:asciiTheme="majorEastAsia" w:hAnsiTheme="majorEastAsia" w:eastAsiaTheme="majorEastAsia" w:cstheme="majorEastAsia"/>
          <w:b/>
          <w:sz w:val="44"/>
        </w:rPr>
        <w:t>请</w:t>
      </w:r>
      <w:r>
        <w:rPr>
          <w:rFonts w:hint="eastAsia" w:asciiTheme="majorEastAsia" w:hAnsiTheme="majorEastAsia" w:eastAsiaTheme="majorEastAsia" w:cstheme="majorEastAsia"/>
          <w:b/>
          <w:sz w:val="44"/>
          <w:lang w:val="en-US" w:eastAsia="zh-CN"/>
        </w:rPr>
        <w:t xml:space="preserve">  </w:t>
      </w:r>
      <w:r>
        <w:rPr>
          <w:rFonts w:hint="eastAsia" w:asciiTheme="majorEastAsia" w:hAnsiTheme="majorEastAsia" w:eastAsiaTheme="majorEastAsia" w:cstheme="majorEastAsia"/>
          <w:b/>
          <w:sz w:val="44"/>
        </w:rPr>
        <w:t>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ascii="Times New Roman" w:hAnsi="Times New Roman" w:eastAsia="Times New Roman" w:cs="Times New Roman"/>
          <w:b/>
          <w:sz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绵阳市自然资源和规划局</w:t>
      </w:r>
      <w:r>
        <w:rPr>
          <w:rFonts w:hint="default" w:ascii="Times New Roman" w:hAnsi="Times New Roman" w:eastAsia="仿宋" w:cs="Times New Roman"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根据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市文化产业园建设专项机制办公室</w:t>
      </w:r>
      <w:r>
        <w:rPr>
          <w:rFonts w:hint="default" w:ascii="Times New Roman" w:hAnsi="Times New Roman" w:eastAsia="仿宋" w:cs="Times New Roman"/>
          <w:sz w:val="32"/>
          <w:szCs w:val="32"/>
        </w:rPr>
        <w:t>《关于征求&lt;绵阳市文化产业园建设工作方案（征求意见稿）&gt;意见建议的函》工作要求，4月27日市领导、市级部门现场专题调研会议指示精神，4月28日、5月7日市国资委专题会议精神，要求加快建设跃进路文化产业园，特别是加快文化产业园核心区内C、D级危房处置。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现就我公司在</w:t>
      </w:r>
      <w:r>
        <w:rPr>
          <w:rFonts w:hint="default" w:ascii="Times New Roman" w:hAnsi="Times New Roman" w:eastAsia="仿宋" w:cs="Times New Roman"/>
          <w:sz w:val="32"/>
          <w:szCs w:val="32"/>
        </w:rPr>
        <w:t>文化产业园核心区内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的</w:t>
      </w:r>
      <w:r>
        <w:rPr>
          <w:rFonts w:hint="default" w:ascii="Times New Roman" w:hAnsi="Times New Roman" w:eastAsia="仿宋" w:cs="Times New Roman"/>
          <w:sz w:val="32"/>
          <w:szCs w:val="32"/>
        </w:rPr>
        <w:t>D级危房处置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工作请示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一、危房的基本情况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九洲集团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在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文化产业园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核心区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有D级</w:t>
      </w:r>
      <w:r>
        <w:rPr>
          <w:rFonts w:hint="default" w:ascii="Times New Roman" w:hAnsi="Times New Roman" w:eastAsia="仿宋" w:cs="Times New Roman"/>
          <w:sz w:val="32"/>
          <w:szCs w:val="32"/>
        </w:rPr>
        <w:t>危房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" w:cs="Times New Roman"/>
          <w:sz w:val="32"/>
          <w:szCs w:val="32"/>
        </w:rPr>
        <w:t>栋。分别是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九洲一生活区</w:t>
      </w:r>
      <w:r>
        <w:rPr>
          <w:rFonts w:hint="default" w:ascii="Times New Roman" w:hAnsi="Times New Roman" w:eastAsia="仿宋" w:cs="Times New Roman"/>
          <w:sz w:val="32"/>
          <w:szCs w:val="32"/>
        </w:rPr>
        <w:t>1</w:t>
      </w:r>
      <w:r>
        <w:rPr>
          <w:rFonts w:hint="default" w:ascii="Times New Roman" w:hAnsi="Times New Roman" w:eastAsia="仿宋" w:cs="Times New Roman"/>
          <w:sz w:val="32"/>
          <w:szCs w:val="32"/>
          <w:vertAlign w:val="superscript"/>
        </w:rPr>
        <w:t>#</w:t>
      </w:r>
      <w:r>
        <w:rPr>
          <w:rFonts w:hint="default" w:ascii="Times New Roman" w:hAnsi="Times New Roman" w:eastAsia="仿宋" w:cs="Times New Roman"/>
          <w:sz w:val="32"/>
          <w:szCs w:val="32"/>
        </w:rPr>
        <w:t>、2</w:t>
      </w:r>
      <w:r>
        <w:rPr>
          <w:rFonts w:hint="default" w:ascii="Times New Roman" w:hAnsi="Times New Roman" w:eastAsia="仿宋" w:cs="Times New Roman"/>
          <w:sz w:val="32"/>
          <w:szCs w:val="32"/>
          <w:vertAlign w:val="superscript"/>
        </w:rPr>
        <w:t>#</w:t>
      </w:r>
      <w:r>
        <w:rPr>
          <w:rFonts w:hint="default" w:ascii="Times New Roman" w:hAnsi="Times New Roman" w:eastAsia="仿宋" w:cs="Times New Roman"/>
          <w:sz w:val="32"/>
          <w:szCs w:val="32"/>
        </w:rPr>
        <w:t>栋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（以下简称</w:t>
      </w:r>
      <w:r>
        <w:rPr>
          <w:rFonts w:hint="default" w:ascii="Times New Roman" w:hAnsi="Times New Roman" w:eastAsia="仿宋" w:cs="Times New Roman"/>
          <w:sz w:val="32"/>
          <w:szCs w:val="32"/>
        </w:rPr>
        <w:t>1</w:t>
      </w:r>
      <w:r>
        <w:rPr>
          <w:rFonts w:hint="default" w:ascii="Times New Roman" w:hAnsi="Times New Roman" w:eastAsia="仿宋" w:cs="Times New Roman"/>
          <w:sz w:val="32"/>
          <w:szCs w:val="32"/>
          <w:vertAlign w:val="superscript"/>
        </w:rPr>
        <w:t>#</w:t>
      </w:r>
      <w:r>
        <w:rPr>
          <w:rFonts w:hint="default" w:ascii="Times New Roman" w:hAnsi="Times New Roman" w:eastAsia="仿宋" w:cs="Times New Roman"/>
          <w:sz w:val="32"/>
          <w:szCs w:val="32"/>
        </w:rPr>
        <w:t>、2</w:t>
      </w:r>
      <w:r>
        <w:rPr>
          <w:rFonts w:hint="default" w:ascii="Times New Roman" w:hAnsi="Times New Roman" w:eastAsia="仿宋" w:cs="Times New Roman"/>
          <w:sz w:val="32"/>
          <w:szCs w:val="32"/>
          <w:vertAlign w:val="superscript"/>
        </w:rPr>
        <w:t>#</w:t>
      </w:r>
      <w:r>
        <w:rPr>
          <w:rFonts w:hint="default" w:ascii="Times New Roman" w:hAnsi="Times New Roman" w:eastAsia="仿宋" w:cs="Times New Roman"/>
          <w:sz w:val="32"/>
          <w:szCs w:val="32"/>
        </w:rPr>
        <w:t>栋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" w:cs="Times New Roman"/>
          <w:sz w:val="32"/>
          <w:szCs w:val="32"/>
        </w:rPr>
        <w:t>，均为4层，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套内</w:t>
      </w:r>
      <w:r>
        <w:rPr>
          <w:rFonts w:hint="default" w:ascii="Times New Roman" w:hAnsi="Times New Roman" w:eastAsia="仿宋" w:cs="Times New Roman"/>
          <w:sz w:val="32"/>
          <w:szCs w:val="32"/>
        </w:rPr>
        <w:t>面积为5473.53㎡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建筑面积约6500㎡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" w:cs="Times New Roman"/>
          <w:sz w:val="32"/>
          <w:szCs w:val="32"/>
        </w:rPr>
        <w:t>，1965年建成，有56个门面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和</w:t>
      </w:r>
      <w:r>
        <w:rPr>
          <w:rFonts w:hint="default" w:ascii="Times New Roman" w:hAnsi="Times New Roman" w:eastAsia="仿宋" w:cs="Times New Roman"/>
          <w:sz w:val="32"/>
          <w:szCs w:val="32"/>
        </w:rPr>
        <w:t>108套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不成套</w:t>
      </w:r>
      <w:r>
        <w:rPr>
          <w:rFonts w:hint="default" w:ascii="Times New Roman" w:hAnsi="Times New Roman" w:eastAsia="仿宋" w:cs="Times New Roman"/>
          <w:sz w:val="32"/>
          <w:szCs w:val="32"/>
        </w:rPr>
        <w:t>住房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（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阳台</w:t>
      </w:r>
      <w:r>
        <w:rPr>
          <w:rFonts w:hint="default" w:ascii="Times New Roman" w:hAnsi="Times New Roman" w:eastAsia="仿宋" w:cs="Times New Roman"/>
          <w:sz w:val="32"/>
          <w:szCs w:val="32"/>
        </w:rPr>
        <w:t>、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卫生间在室外，同单元同楼层公用，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每套套内面积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约30-60㎡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）。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两栋房屋前期主要用于九洲职工租住，包括九洲在职职工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退休职工及已故职工家属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。自2023年9月鉴定为D级危房后，公司立即启动商户和住户疏散搬离和安置工作，2024年4月1日已完成全部搬离，</w:t>
      </w:r>
      <w:r>
        <w:rPr>
          <w:rFonts w:hint="default" w:ascii="Times New Roman" w:hAnsi="Times New Roman" w:eastAsia="仿宋" w:cs="Times New Roman"/>
          <w:sz w:val="32"/>
          <w:szCs w:val="32"/>
        </w:rPr>
        <w:t>房屋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已</w:t>
      </w:r>
      <w:r>
        <w:rPr>
          <w:rFonts w:hint="default" w:ascii="Times New Roman" w:hAnsi="Times New Roman" w:eastAsia="仿宋" w:cs="Times New Roman"/>
          <w:sz w:val="32"/>
          <w:szCs w:val="32"/>
        </w:rPr>
        <w:t>断水断电断气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" w:cs="Times New Roman"/>
          <w:sz w:val="32"/>
          <w:szCs w:val="32"/>
        </w:rPr>
        <w:t>外围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已</w:t>
      </w:r>
      <w:r>
        <w:rPr>
          <w:rFonts w:hint="default" w:ascii="Times New Roman" w:hAnsi="Times New Roman" w:eastAsia="仿宋" w:cs="Times New Roman"/>
          <w:sz w:val="32"/>
          <w:szCs w:val="32"/>
        </w:rPr>
        <w:t>做打围处理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安置费每年约200万元</w:t>
      </w:r>
      <w:r>
        <w:rPr>
          <w:rFonts w:hint="default" w:ascii="Times New Roman" w:hAnsi="Times New Roman" w:eastAsia="仿宋" w:cs="Times New Roman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二、房屋鉴定情况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640" w:firstLineChars="200"/>
        <w:jc w:val="both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2023年8月，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四川标检工程质量检测有限责任公司出具了鉴定报告，</w:t>
      </w:r>
      <w:r>
        <w:rPr>
          <w:rFonts w:hint="default" w:ascii="Times New Roman" w:hAnsi="Times New Roman" w:eastAsia="仿宋" w:cs="Times New Roman"/>
          <w:kern w:val="2"/>
          <w:sz w:val="32"/>
          <w:szCs w:val="32"/>
          <w:lang w:val="en-US" w:eastAsia="zh-CN" w:bidi="ar"/>
        </w:rPr>
        <w:t>9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月</w:t>
      </w:r>
      <w:r>
        <w:rPr>
          <w:rFonts w:hint="default" w:ascii="Times New Roman" w:hAnsi="Times New Roman" w:eastAsia="仿宋" w:cs="Times New Roman"/>
          <w:kern w:val="2"/>
          <w:sz w:val="32"/>
          <w:szCs w:val="32"/>
          <w:lang w:val="en-US" w:eastAsia="zh-CN" w:bidi="ar"/>
        </w:rPr>
        <w:t>2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日，经涪城区住建局确认后，出具了正式的鉴定报告：</w:t>
      </w:r>
      <w:r>
        <w:rPr>
          <w:rFonts w:hint="default" w:ascii="Times New Roman" w:hAnsi="Times New Roman" w:eastAsia="仿宋" w:cs="Times New Roman"/>
          <w:kern w:val="2"/>
          <w:sz w:val="32"/>
          <w:szCs w:val="32"/>
          <w:lang w:val="en-US" w:eastAsia="zh-CN" w:bidi="ar"/>
        </w:rPr>
        <w:t>1</w:t>
      </w:r>
      <w:r>
        <w:rPr>
          <w:rFonts w:hint="eastAsia" w:ascii="Times New Roman" w:hAnsi="Times New Roman" w:eastAsia="仿宋" w:cs="Times New Roman"/>
          <w:kern w:val="2"/>
          <w:sz w:val="32"/>
          <w:szCs w:val="32"/>
          <w:vertAlign w:val="superscript"/>
          <w:lang w:val="en-US" w:eastAsia="zh-CN" w:bidi="ar"/>
        </w:rPr>
        <w:t>#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栋、</w:t>
      </w:r>
      <w:r>
        <w:rPr>
          <w:rFonts w:hint="default" w:ascii="Times New Roman" w:hAnsi="Times New Roman" w:eastAsia="仿宋" w:cs="Times New Roman"/>
          <w:kern w:val="2"/>
          <w:sz w:val="32"/>
          <w:szCs w:val="32"/>
          <w:lang w:val="en-US" w:eastAsia="zh-CN" w:bidi="ar"/>
        </w:rPr>
        <w:t>2</w:t>
      </w:r>
      <w:r>
        <w:rPr>
          <w:rFonts w:hint="eastAsia" w:ascii="Times New Roman" w:hAnsi="Times New Roman" w:eastAsia="仿宋" w:cs="Times New Roman"/>
          <w:kern w:val="2"/>
          <w:sz w:val="32"/>
          <w:szCs w:val="32"/>
          <w:vertAlign w:val="superscript"/>
          <w:lang w:val="en-US" w:eastAsia="zh-CN" w:bidi="ar"/>
        </w:rPr>
        <w:t>#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栋房屋为砖混结构，多处砌体结构已经严重风化，承重结构不能满足荷载作业需求、砌体构件与连接腐蚀、风化、破坏。酥碱非常严重、砖</w:t>
      </w:r>
      <w:r>
        <w:rPr>
          <w:rFonts w:hint="default" w:ascii="Times New Roman" w:hAnsi="Times New Roman" w:eastAsia="仿宋" w:cs="Times New Roman"/>
          <w:kern w:val="2"/>
          <w:sz w:val="32"/>
          <w:szCs w:val="32"/>
          <w:lang w:val="en-US" w:eastAsia="zh-CN" w:bidi="ar"/>
        </w:rPr>
        <w:t>/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砂浆强度等级不符合基本需求（其中部分砂浆等级为</w:t>
      </w:r>
      <w:r>
        <w:rPr>
          <w:rFonts w:hint="default" w:ascii="Times New Roman" w:hAnsi="Times New Roman" w:eastAsia="仿宋" w:cs="Times New Roman"/>
          <w:kern w:val="2"/>
          <w:sz w:val="32"/>
          <w:szCs w:val="32"/>
          <w:lang w:val="en-US" w:eastAsia="zh-CN" w:bidi="ar"/>
        </w:rPr>
        <w:t>1MP</w:t>
      </w:r>
      <w:r>
        <w:rPr>
          <w:rFonts w:hint="eastAsia" w:ascii="Times New Roman" w:hAnsi="Times New Roman" w:eastAsia="仿宋" w:cs="Times New Roman"/>
          <w:kern w:val="2"/>
          <w:sz w:val="32"/>
          <w:szCs w:val="32"/>
          <w:lang w:val="en-US" w:eastAsia="zh-CN" w:bidi="ar"/>
        </w:rPr>
        <w:t>a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，远远低于最低强度要求</w:t>
      </w:r>
      <w:r>
        <w:rPr>
          <w:rFonts w:hint="default" w:ascii="Times New Roman" w:hAnsi="Times New Roman" w:eastAsia="仿宋" w:cs="Times New Roman"/>
          <w:kern w:val="2"/>
          <w:sz w:val="32"/>
          <w:szCs w:val="32"/>
          <w:lang w:val="en-US" w:eastAsia="zh-CN" w:bidi="ar"/>
        </w:rPr>
        <w:t>5MP</w:t>
      </w:r>
      <w:r>
        <w:rPr>
          <w:rFonts w:hint="eastAsia" w:ascii="Times New Roman" w:hAnsi="Times New Roman" w:eastAsia="仿宋" w:cs="Times New Roman"/>
          <w:kern w:val="2"/>
          <w:sz w:val="32"/>
          <w:szCs w:val="32"/>
          <w:lang w:val="en-US" w:eastAsia="zh-CN" w:bidi="ar"/>
        </w:rPr>
        <w:t>a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），已无法满足正常的使用和安全要求，随时有可能丧失结构稳定和承载能力，严重影响居住和使用安全，评定为</w:t>
      </w:r>
      <w:r>
        <w:rPr>
          <w:rFonts w:hint="default" w:ascii="Times New Roman" w:hAnsi="Times New Roman" w:eastAsia="仿宋" w:cs="Times New Roman"/>
          <w:kern w:val="2"/>
          <w:sz w:val="32"/>
          <w:szCs w:val="32"/>
          <w:lang w:val="en-US" w:eastAsia="zh-CN" w:bidi="ar"/>
        </w:rPr>
        <w:t>D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级危房。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640" w:firstLineChars="200"/>
        <w:jc w:val="both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为了有效排除危房存在的安全隐患，公司多次邀请了省建科院、核工业西南勘察设计院等专业机构以及业内知名建筑结构、地勘专家现场踏勘并提出专业意见，现场踏勘专家一致认为：1</w:t>
      </w:r>
      <w:r>
        <w:rPr>
          <w:rFonts w:hint="eastAsia" w:ascii="仿宋" w:hAnsi="仿宋" w:eastAsia="仿宋" w:cs="仿宋"/>
          <w:kern w:val="2"/>
          <w:sz w:val="32"/>
          <w:szCs w:val="32"/>
          <w:vertAlign w:val="superscript"/>
          <w:lang w:val="en-US" w:eastAsia="zh-CN" w:bidi="ar"/>
        </w:rPr>
        <w:t>#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栋、2</w:t>
      </w:r>
      <w:r>
        <w:rPr>
          <w:rFonts w:hint="eastAsia" w:ascii="仿宋" w:hAnsi="仿宋" w:eastAsia="仿宋" w:cs="仿宋"/>
          <w:kern w:val="2"/>
          <w:sz w:val="32"/>
          <w:szCs w:val="32"/>
          <w:vertAlign w:val="superscript"/>
          <w:lang w:val="en-US" w:eastAsia="zh-CN" w:bidi="ar"/>
        </w:rPr>
        <w:t>#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栋</w:t>
      </w:r>
      <w:r>
        <w:rPr>
          <w:rFonts w:hint="default" w:ascii="Times New Roman" w:hAnsi="Times New Roman" w:eastAsia="仿宋" w:cs="Times New Roman"/>
          <w:kern w:val="2"/>
          <w:sz w:val="32"/>
          <w:szCs w:val="32"/>
          <w:lang w:val="en-US" w:eastAsia="zh-CN" w:bidi="ar"/>
        </w:rPr>
        <w:t>D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级危房原始建筑资料已遗失</w:t>
      </w:r>
      <w:r>
        <w:rPr>
          <w:rFonts w:hint="default" w:ascii="Times New Roman" w:hAnsi="Times New Roman" w:eastAsia="仿宋" w:cs="Times New Roman"/>
          <w:kern w:val="2"/>
          <w:sz w:val="32"/>
          <w:szCs w:val="32"/>
          <w:lang w:val="en-US" w:eastAsia="zh-CN" w:bidi="ar"/>
        </w:rPr>
        <w:t>,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地基基础持力层情况不明</w:t>
      </w:r>
      <w:r>
        <w:rPr>
          <w:rFonts w:hint="eastAsia" w:ascii="Times New Roman" w:hAnsi="Times New Roman" w:eastAsia="仿宋" w:cs="Times New Roman"/>
          <w:kern w:val="2"/>
          <w:sz w:val="32"/>
          <w:szCs w:val="32"/>
          <w:lang w:val="en-US" w:eastAsia="zh-CN" w:bidi="ar"/>
        </w:rPr>
        <w:t>，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主体结构材料强度严重降低</w:t>
      </w:r>
      <w:r>
        <w:rPr>
          <w:rFonts w:hint="eastAsia" w:ascii="Times New Roman" w:hAnsi="Times New Roman" w:eastAsia="仿宋" w:cs="Times New Roman"/>
          <w:kern w:val="2"/>
          <w:sz w:val="32"/>
          <w:szCs w:val="32"/>
          <w:lang w:val="en-US" w:eastAsia="zh-CN" w:bidi="ar"/>
        </w:rPr>
        <w:t>，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加固过程可能出现一些不可预见情况，存在较大风险</w:t>
      </w:r>
      <w:r>
        <w:rPr>
          <w:rFonts w:hint="eastAsia" w:ascii="Times New Roman" w:hAnsi="Times New Roman" w:eastAsia="仿宋" w:cs="Times New Roman"/>
          <w:kern w:val="2"/>
          <w:sz w:val="32"/>
          <w:szCs w:val="32"/>
          <w:lang w:val="en-US" w:eastAsia="zh-CN" w:bidi="ar"/>
        </w:rPr>
        <w:t>，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且无法加固至满足现行抗震规范要求，无法改造至满足现行消防规范要求，无加固价值，建议重建。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</w:t>
      </w:r>
      <w:r>
        <w:rPr>
          <w:rFonts w:hint="default" w:ascii="黑体" w:hAnsi="黑体" w:eastAsia="黑体" w:cs="黑体"/>
          <w:sz w:val="32"/>
          <w:szCs w:val="32"/>
          <w:lang w:val="en-US" w:eastAsia="zh-CN"/>
        </w:rPr>
        <w:t>、处置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请求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/>
        <w:ind w:left="0" w:right="0" w:firstLine="640"/>
        <w:jc w:val="both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按照《绵阳市历史建筑和历史文化街区保护条例》第三十六条，在历史文化街区核心保护范围内进行建设等活动，应当符合下列规定中第五款明确，拆除历史建筑以外的建（构）筑物或者其他设施的，应当经市、县（市）城乡规划主管部门会同同级文物主管部门批准。</w:t>
      </w:r>
      <w:r>
        <w:rPr>
          <w:rFonts w:hint="eastAsia" w:ascii="仿宋" w:hAnsi="仿宋" w:eastAsia="仿宋" w:cs="仿宋"/>
          <w:sz w:val="32"/>
          <w:szCs w:val="32"/>
        </w:rPr>
        <w:t>鉴于上述</w:t>
      </w:r>
      <w:r>
        <w:rPr>
          <w:rFonts w:hint="default" w:ascii="Times New Roman" w:hAnsi="Times New Roman" w:eastAsia="仿宋" w:cs="Times New Roman"/>
          <w:kern w:val="2"/>
          <w:sz w:val="32"/>
          <w:szCs w:val="32"/>
          <w:lang w:val="en-US" w:eastAsia="zh-CN" w:bidi="ar"/>
        </w:rPr>
        <w:t>1</w:t>
      </w:r>
      <w:r>
        <w:rPr>
          <w:rFonts w:hint="eastAsia" w:ascii="Times New Roman" w:hAnsi="Times New Roman" w:eastAsia="仿宋" w:cs="Times New Roman"/>
          <w:kern w:val="2"/>
          <w:sz w:val="32"/>
          <w:szCs w:val="32"/>
          <w:vertAlign w:val="superscript"/>
          <w:lang w:val="en-US" w:eastAsia="zh-CN" w:bidi="ar"/>
        </w:rPr>
        <w:t>#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栋、</w:t>
      </w:r>
      <w:r>
        <w:rPr>
          <w:rFonts w:hint="default" w:ascii="Times New Roman" w:hAnsi="Times New Roman" w:eastAsia="仿宋" w:cs="Times New Roman"/>
          <w:kern w:val="2"/>
          <w:sz w:val="32"/>
          <w:szCs w:val="32"/>
          <w:lang w:val="en-US" w:eastAsia="zh-CN" w:bidi="ar"/>
        </w:rPr>
        <w:t>2</w:t>
      </w:r>
      <w:r>
        <w:rPr>
          <w:rFonts w:hint="eastAsia" w:ascii="Times New Roman" w:hAnsi="Times New Roman" w:eastAsia="仿宋" w:cs="Times New Roman"/>
          <w:kern w:val="2"/>
          <w:sz w:val="32"/>
          <w:szCs w:val="32"/>
          <w:vertAlign w:val="superscript"/>
          <w:lang w:val="en-US" w:eastAsia="zh-CN" w:bidi="ar"/>
        </w:rPr>
        <w:t>#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栋</w:t>
      </w:r>
      <w:r>
        <w:rPr>
          <w:rFonts w:hint="eastAsia" w:ascii="仿宋" w:hAnsi="仿宋" w:eastAsia="仿宋" w:cs="仿宋"/>
          <w:sz w:val="32"/>
          <w:szCs w:val="32"/>
        </w:rPr>
        <w:t>建筑均不属于绵阳市第一批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第二批、第三批</w:t>
      </w:r>
      <w:r>
        <w:rPr>
          <w:rFonts w:hint="eastAsia" w:ascii="仿宋" w:hAnsi="仿宋" w:eastAsia="仿宋" w:cs="仿宋"/>
          <w:sz w:val="32"/>
          <w:szCs w:val="32"/>
        </w:rPr>
        <w:t>历史建筑名单，并非必须保留建筑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</w:rPr>
        <w:t>但为了使跃进路整体风格一致，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同时确保安全，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请求贵局批准同意九洲集团将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  <w:lang w:val="en-US" w:eastAsia="zh-CN" w:bidi="ar"/>
        </w:rPr>
        <w:t>1</w:t>
      </w:r>
      <w:r>
        <w:rPr>
          <w:rFonts w:hint="eastAsia" w:ascii="Times New Roman" w:hAnsi="Times New Roman" w:eastAsia="仿宋" w:cs="Times New Roman"/>
          <w:kern w:val="0"/>
          <w:sz w:val="32"/>
          <w:szCs w:val="32"/>
          <w:vertAlign w:val="superscript"/>
          <w:lang w:val="en-US" w:eastAsia="zh-CN" w:bidi="ar"/>
        </w:rPr>
        <w:t>#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栋、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  <w:lang w:val="en-US" w:eastAsia="zh-CN" w:bidi="ar"/>
        </w:rPr>
        <w:t>2</w:t>
      </w:r>
      <w:r>
        <w:rPr>
          <w:rFonts w:hint="eastAsia" w:ascii="Times New Roman" w:hAnsi="Times New Roman" w:eastAsia="仿宋" w:cs="Times New Roman"/>
          <w:kern w:val="0"/>
          <w:sz w:val="32"/>
          <w:szCs w:val="32"/>
          <w:vertAlign w:val="superscript"/>
          <w:lang w:val="en-US" w:eastAsia="zh-CN" w:bidi="ar"/>
        </w:rPr>
        <w:t>#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栋红砖房拆除后原地重建，修新如旧，两栋房屋外观完全按照原建筑外观修建。重建后，</w:t>
      </w:r>
      <w:r>
        <w:rPr>
          <w:rFonts w:hint="eastAsia" w:ascii="Times New Roman" w:hAnsi="Times New Roman" w:eastAsia="仿宋" w:cs="Times New Roman"/>
          <w:kern w:val="0"/>
          <w:sz w:val="32"/>
          <w:szCs w:val="32"/>
          <w:lang w:val="en-US" w:eastAsia="zh-CN" w:bidi="ar"/>
        </w:rPr>
        <w:t>两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栋房屋的1-4层业态都可按照文化产业园专班要求分布，以更大力度支持文化产业园发展。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妥否，请批示。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3840" w:firstLineChars="1200"/>
        <w:jc w:val="both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 xml:space="preserve">四川九洲投资控股集团有限公司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5120"/>
        <w:jc w:val="right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2024年5月1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" w:cs="Times New Roman"/>
          <w:sz w:val="32"/>
          <w:szCs w:val="32"/>
        </w:rPr>
        <w:t>日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 xml:space="preserve">        </w:t>
      </w:r>
    </w:p>
    <w:sectPr>
      <w:pgSz w:w="11906" w:h="16838"/>
      <w:pgMar w:top="2098" w:right="1474" w:bottom="1984" w:left="1587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楷体">
    <w:altName w:val="汉仪楷体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仿宋">
    <w:altName w:val="汉仪仿宋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trackRevisions w:val="1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3MmUzNThiZTk4MzlkODZhN2ZhMTFiMTZiMTU1YzAifQ=="/>
  </w:docVars>
  <w:rsids>
    <w:rsidRoot w:val="00770528"/>
    <w:rsid w:val="00243346"/>
    <w:rsid w:val="00770528"/>
    <w:rsid w:val="007B788A"/>
    <w:rsid w:val="00A23831"/>
    <w:rsid w:val="00A330C1"/>
    <w:rsid w:val="00B56915"/>
    <w:rsid w:val="00D83EEF"/>
    <w:rsid w:val="00E16AB8"/>
    <w:rsid w:val="10B36671"/>
    <w:rsid w:val="12FB2185"/>
    <w:rsid w:val="1800661A"/>
    <w:rsid w:val="1EFF70FC"/>
    <w:rsid w:val="26467763"/>
    <w:rsid w:val="2EFDB479"/>
    <w:rsid w:val="346803A6"/>
    <w:rsid w:val="35FFAA01"/>
    <w:rsid w:val="37DFD687"/>
    <w:rsid w:val="39284C34"/>
    <w:rsid w:val="42442951"/>
    <w:rsid w:val="49C64989"/>
    <w:rsid w:val="4E4A24E1"/>
    <w:rsid w:val="55B479DC"/>
    <w:rsid w:val="58696428"/>
    <w:rsid w:val="5E3F11BA"/>
    <w:rsid w:val="5F08322C"/>
    <w:rsid w:val="652D6065"/>
    <w:rsid w:val="69C62F62"/>
    <w:rsid w:val="6E964A23"/>
    <w:rsid w:val="6EDB41F2"/>
    <w:rsid w:val="701C24F3"/>
    <w:rsid w:val="72E431DD"/>
    <w:rsid w:val="76FA39E4"/>
    <w:rsid w:val="7FAF9772"/>
    <w:rsid w:val="D29F53C2"/>
    <w:rsid w:val="F67E93B7"/>
    <w:rsid w:val="F77FDF28"/>
    <w:rsid w:val="FBE59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toc 2"/>
    <w:basedOn w:val="1"/>
    <w:next w:val="1"/>
    <w:unhideWhenUsed/>
    <w:qFormat/>
    <w:uiPriority w:val="39"/>
    <w:pPr>
      <w:ind w:left="420" w:leftChars="200"/>
    </w:pPr>
    <w:rPr>
      <w:rFonts w:ascii="Calibri" w:hAnsi="Calibri" w:eastAsia="宋体" w:cs="Times New Roman"/>
      <w:kern w:val="2"/>
      <w:szCs w:val="24"/>
    </w:rPr>
  </w:style>
  <w:style w:type="character" w:customStyle="1" w:styleId="7">
    <w:name w:val="页眉 Char"/>
    <w:basedOn w:val="6"/>
    <w:link w:val="3"/>
    <w:qFormat/>
    <w:uiPriority w:val="0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sz w:val="18"/>
      <w:szCs w:val="18"/>
    </w:rPr>
  </w:style>
  <w:style w:type="paragraph" w:customStyle="1" w:styleId="9">
    <w:name w:val="目录 21"/>
    <w:basedOn w:val="1"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center"/>
    </w:pPr>
    <w:rPr>
      <w:rFonts w:hint="eastAsia" w:ascii="楷体" w:hAnsi="Times New Roman" w:eastAsia="楷体" w:cs="Times New Roman"/>
      <w:kern w:val="0"/>
      <w:sz w:val="32"/>
      <w:szCs w:val="32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微软中国</Company>
  <Pages>3</Pages>
  <Words>232</Words>
  <Characters>1326</Characters>
  <Lines>11</Lines>
  <Paragraphs>3</Paragraphs>
  <TotalTime>17</TotalTime>
  <ScaleCrop>false</ScaleCrop>
  <LinksUpToDate>false</LinksUpToDate>
  <CharactersWithSpaces>1555</CharactersWithSpaces>
  <Application>WPS Office WWO_wpscloud_20240412112938-af9c631797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2024-05-11T00:14:00Z</dcterms:created>
  <dc:creator>admin</dc:creator>
  <cp:lastModifiedBy>落叶知秋</cp:lastModifiedBy>
  <dcterms:modified xsi:type="dcterms:W3CDTF">2024-05-17T14:08:58Z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CDF69FEAAFCB4973862ACDD5F8BB09B1_13</vt:lpwstr>
  </property>
</Properties>
</file>