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成都微精电机股份公司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甲方（考核方、授权代表）：谢海东</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身份证号码：612623197902170119</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任职单位及职务：董事长</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郭文平</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u w:val="none"/>
          <w:lang w:val="en-US" w:eastAsia="zh-CN"/>
        </w:rPr>
        <w:t>身份证号码：510923198707161319</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0"/>
        <w:tblW w:w="494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573"/>
        <w:gridCol w:w="526"/>
        <w:gridCol w:w="635"/>
        <w:gridCol w:w="560"/>
        <w:gridCol w:w="570"/>
        <w:gridCol w:w="510"/>
        <w:gridCol w:w="455"/>
        <w:gridCol w:w="640"/>
        <w:gridCol w:w="460"/>
        <w:gridCol w:w="590"/>
        <w:gridCol w:w="615"/>
        <w:gridCol w:w="680"/>
        <w:gridCol w:w="523"/>
        <w:gridCol w:w="387"/>
        <w:gridCol w:w="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8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公司（部门）</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19"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63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利润总额(万元)</w:t>
            </w:r>
          </w:p>
        </w:tc>
        <w:tc>
          <w:tcPr>
            <w:tcW w:w="53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在绵产值/营收(万元)</w:t>
            </w:r>
          </w:p>
        </w:tc>
        <w:tc>
          <w:tcPr>
            <w:tcW w:w="6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人工成本</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利润率</w:t>
            </w:r>
          </w:p>
        </w:tc>
        <w:tc>
          <w:tcPr>
            <w:tcW w:w="6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人均利润</w:t>
            </w:r>
          </w:p>
        </w:tc>
        <w:tc>
          <w:tcPr>
            <w:tcW w:w="67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期间</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费用率</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b/>
                <w:color w:val="auto"/>
                <w:sz w:val="21"/>
                <w:szCs w:val="21"/>
                <w:lang w:bidi="ar"/>
              </w:rPr>
            </w:pPr>
            <w:r>
              <w:rPr>
                <w:rStyle w:val="44"/>
                <w:b/>
                <w:color w:val="auto"/>
                <w:sz w:val="21"/>
                <w:szCs w:val="21"/>
                <w:lang w:bidi="ar"/>
              </w:rPr>
              <w:t>两金</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4"/>
                <w:b/>
                <w:color w:val="auto"/>
                <w:sz w:val="21"/>
                <w:szCs w:val="21"/>
                <w:lang w:bidi="ar"/>
              </w:rPr>
              <w:t>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380"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240" w:lineRule="exact"/>
              <w:jc w:val="center"/>
              <w:rPr>
                <w:rFonts w:hint="eastAsia" w:ascii="仿宋_GB2312" w:hAnsi="仿宋_GB2312" w:eastAsia="仿宋_GB2312" w:cs="仿宋_GB2312"/>
                <w:b/>
                <w:bCs/>
                <w:i w:val="0"/>
                <w:iCs w:val="0"/>
                <w:color w:val="auto"/>
                <w:sz w:val="21"/>
                <w:szCs w:val="21"/>
                <w:highlight w:val="none"/>
                <w:u w:val="none"/>
              </w:rPr>
            </w:pPr>
          </w:p>
        </w:tc>
        <w:tc>
          <w:tcPr>
            <w:tcW w:w="319"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82" w:type="dxa"/>
            <w:tcBorders>
              <w:top w:val="single" w:color="auto" w:sz="4" w:space="0"/>
              <w:left w:val="single" w:color="000000" w:sz="4" w:space="0"/>
              <w:bottom w:val="single" w:color="000000" w:sz="4" w:space="0"/>
              <w:right w:val="single" w:color="000000" w:sz="4" w:space="0"/>
            </w:tcBorders>
            <w:noWrap/>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仿宋_GB2312" w:hAnsi="仿宋_GB2312" w:eastAsia="仿宋_GB2312" w:cs="仿宋_GB2312"/>
                <w:b/>
                <w:bCs/>
                <w:i w:val="0"/>
                <w:iCs w:val="0"/>
                <w:color w:val="auto"/>
                <w:sz w:val="16"/>
                <w:szCs w:val="16"/>
                <w:highlight w:val="none"/>
                <w:u w:val="none"/>
                <w:lang w:val="en-US" w:eastAsia="zh-CN"/>
              </w:rPr>
            </w:pPr>
            <w:r>
              <w:rPr>
                <w:rFonts w:hint="eastAsia" w:ascii="仿宋_GB2312" w:hAnsi="仿宋_GB2312" w:eastAsia="仿宋_GB2312" w:cs="仿宋_GB2312"/>
                <w:b/>
                <w:bCs/>
                <w:i w:val="0"/>
                <w:iCs w:val="0"/>
                <w:color w:val="auto"/>
                <w:sz w:val="16"/>
                <w:szCs w:val="16"/>
                <w:highlight w:val="none"/>
                <w:u w:val="none"/>
                <w:lang w:val="en-US" w:eastAsia="zh-CN"/>
              </w:rPr>
              <w:t>成都微精</w:t>
            </w:r>
          </w:p>
        </w:tc>
        <w:tc>
          <w:tcPr>
            <w:tcW w:w="573" w:type="dxa"/>
            <w:tcBorders>
              <w:top w:val="single" w:color="auto" w:sz="4" w:space="0"/>
              <w:left w:val="single" w:color="000000" w:sz="4" w:space="0"/>
              <w:bottom w:val="single" w:color="auto"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仿宋_GB2312" w:hAnsi="仿宋_GB2312" w:eastAsia="仿宋_GB2312" w:cs="仿宋_GB2312"/>
                <w:b/>
                <w:bCs/>
                <w:i w:val="0"/>
                <w:iCs w:val="0"/>
                <w:color w:val="auto"/>
                <w:kern w:val="0"/>
                <w:sz w:val="16"/>
                <w:szCs w:val="16"/>
                <w:highlight w:val="none"/>
                <w:u w:val="none"/>
                <w:lang w:val="en-US" w:eastAsia="zh-CN" w:bidi="ar"/>
              </w:rPr>
            </w:pPr>
            <w:r>
              <w:rPr>
                <w:rFonts w:hint="eastAsia" w:ascii="仿宋_GB2312" w:hAnsi="仿宋_GB2312" w:eastAsia="仿宋_GB2312" w:cs="仿宋_GB2312"/>
                <w:b/>
                <w:bCs/>
                <w:i w:val="0"/>
                <w:iCs w:val="0"/>
                <w:color w:val="auto"/>
                <w:kern w:val="0"/>
                <w:sz w:val="16"/>
                <w:szCs w:val="16"/>
                <w:highlight w:val="none"/>
                <w:u w:val="none"/>
                <w:lang w:val="en-US" w:eastAsia="zh-CN" w:bidi="ar"/>
              </w:rPr>
              <w:t>100%</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仿宋_GB2312" w:hAnsi="仿宋_GB2312" w:eastAsia="仿宋_GB2312" w:cs="仿宋_GB2312"/>
                <w:b/>
                <w:bCs/>
                <w:i w:val="0"/>
                <w:iCs w:val="0"/>
                <w:color w:val="auto"/>
                <w:kern w:val="0"/>
                <w:sz w:val="16"/>
                <w:szCs w:val="16"/>
                <w:highlight w:val="none"/>
                <w:u w:val="none"/>
                <w:lang w:val="en-US" w:eastAsia="zh-CN" w:bidi="ar"/>
              </w:rPr>
            </w:pPr>
            <w:r>
              <w:rPr>
                <w:rFonts w:hint="eastAsia" w:ascii="仿宋_GB2312" w:hAnsi="仿宋_GB2312" w:eastAsia="仿宋_GB2312" w:cs="仿宋_GB2312"/>
                <w:b/>
                <w:bCs/>
                <w:i w:val="0"/>
                <w:iCs w:val="0"/>
                <w:color w:val="000000"/>
                <w:sz w:val="16"/>
                <w:szCs w:val="16"/>
                <w:highlight w:val="none"/>
                <w:u w:val="none"/>
                <w:lang w:val="en-US" w:eastAsia="zh-CN"/>
              </w:rPr>
              <w:t>23000</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40%</w:t>
            </w:r>
          </w:p>
        </w:tc>
        <w:tc>
          <w:tcPr>
            <w:tcW w:w="560" w:type="dxa"/>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5500</w:t>
            </w:r>
          </w:p>
        </w:tc>
        <w:tc>
          <w:tcPr>
            <w:tcW w:w="570" w:type="dxa"/>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40%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w:t>
            </w:r>
          </w:p>
        </w:tc>
        <w:tc>
          <w:tcPr>
            <w:tcW w:w="4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73.3%</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11.3</w:t>
            </w:r>
          </w:p>
        </w:tc>
        <w:tc>
          <w:tcPr>
            <w:tcW w:w="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200" w:lineRule="exact"/>
              <w:jc w:val="left"/>
              <w:textAlignment w:val="auto"/>
              <w:rPr>
                <w:rFonts w:hint="default" w:ascii="仿宋_GB2312" w:hAnsi="仿宋_GB2312" w:eastAsia="仿宋_GB2312" w:cs="仿宋_GB2312"/>
                <w:b/>
                <w:bCs/>
                <w:kern w:val="2"/>
                <w:sz w:val="16"/>
                <w:szCs w:val="16"/>
                <w:highlight w:val="none"/>
                <w:vertAlign w:val="baseline"/>
                <w:lang w:val="en-US" w:eastAsia="zh-CN" w:bidi="ar-SA"/>
              </w:rPr>
            </w:pPr>
            <w:r>
              <w:rPr>
                <w:rFonts w:hint="eastAsia" w:ascii="仿宋_GB2312" w:hAnsi="仿宋_GB2312" w:eastAsia="仿宋_GB2312" w:cs="仿宋_GB2312"/>
                <w:b/>
                <w:bCs/>
                <w:kern w:val="2"/>
                <w:sz w:val="16"/>
                <w:szCs w:val="16"/>
                <w:highlight w:val="none"/>
                <w:vertAlign w:val="baseline"/>
                <w:lang w:val="en-US" w:eastAsia="zh-CN" w:bidi="ar-SA"/>
              </w:rPr>
              <w:t>23.9%</w:t>
            </w:r>
          </w:p>
        </w:tc>
        <w:tc>
          <w:tcPr>
            <w:tcW w:w="5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c>
          <w:tcPr>
            <w:tcW w:w="3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Fonts w:hint="default" w:ascii="仿宋_GB2312" w:hAnsi="仿宋_GB2312" w:eastAsia="仿宋_GB2312" w:cs="仿宋_GB2312"/>
                <w:b/>
                <w:bCs/>
                <w:i w:val="0"/>
                <w:iCs w:val="0"/>
                <w:color w:val="auto"/>
                <w:kern w:val="0"/>
                <w:sz w:val="16"/>
                <w:szCs w:val="16"/>
                <w:highlight w:val="none"/>
                <w:u w:val="none"/>
                <w:lang w:val="en-US" w:eastAsia="zh-CN" w:bidi="ar"/>
              </w:rPr>
            </w:pPr>
            <w:r>
              <w:rPr>
                <w:rFonts w:hint="eastAsia" w:ascii="仿宋_GB2312" w:hAnsi="仿宋_GB2312" w:eastAsia="仿宋_GB2312" w:cs="仿宋_GB2312"/>
                <w:b/>
                <w:bCs/>
                <w:i w:val="0"/>
                <w:iCs w:val="0"/>
                <w:color w:val="auto"/>
                <w:kern w:val="0"/>
                <w:sz w:val="16"/>
                <w:szCs w:val="16"/>
                <w:highlight w:val="none"/>
                <w:u w:val="none"/>
                <w:lang w:val="en-US" w:eastAsia="zh-CN" w:bidi="ar"/>
              </w:rPr>
              <w:t>按专项办法</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r>
    </w:tbl>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6"/>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4"/>
        <w:gridCol w:w="1316"/>
        <w:gridCol w:w="5864"/>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3"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292" w:type="pct"/>
            <w:noWrap w:val="0"/>
            <w:vAlign w:val="center"/>
          </w:tcPr>
          <w:p>
            <w:pPr>
              <w:pStyle w:val="45"/>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 w:hAnsi="仿宋" w:eastAsia="仿宋" w:cs="仿宋_GB2312"/>
                <w:kern w:val="24"/>
                <w:lang w:val="en-US" w:eastAsia="zh-CN"/>
              </w:rPr>
            </w:pPr>
            <w:r>
              <w:rPr>
                <w:rFonts w:hint="eastAsia" w:ascii="仿宋_GB2312" w:hAnsi="仿宋_GB2312" w:eastAsia="仿宋_GB2312" w:cs="仿宋_GB2312"/>
                <w:spacing w:val="3"/>
                <w:sz w:val="24"/>
                <w:szCs w:val="24"/>
                <w:highlight w:val="none"/>
                <w:lang w:val="en-US" w:eastAsia="zh-CN"/>
              </w:rPr>
              <w:t>优化调整</w:t>
            </w:r>
            <w:r>
              <w:rPr>
                <w:rFonts w:hint="eastAsia" w:ascii="仿宋" w:hAnsi="仿宋" w:eastAsia="仿宋" w:cs="仿宋_GB2312"/>
                <w:kern w:val="24"/>
              </w:rPr>
              <w:t>“科改行动”</w:t>
            </w:r>
            <w:r>
              <w:rPr>
                <w:rFonts w:hint="eastAsia" w:ascii="仿宋" w:hAnsi="仿宋" w:eastAsia="仿宋" w:cs="仿宋_GB2312"/>
                <w:kern w:val="24"/>
                <w:lang w:val="en-US" w:eastAsia="zh-CN"/>
              </w:rPr>
              <w:t>2024年工作任务，并推进实施，完成年度任务验收；</w:t>
            </w:r>
          </w:p>
          <w:p>
            <w:pPr>
              <w:pStyle w:val="45"/>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 w:hAnsi="仿宋" w:eastAsia="仿宋" w:cs="仿宋_GB2312"/>
                <w:kern w:val="24"/>
                <w:lang w:val="en-US" w:eastAsia="zh-CN"/>
              </w:rPr>
            </w:pPr>
            <w:r>
              <w:rPr>
                <w:rFonts w:hint="eastAsia" w:ascii="仿宋" w:hAnsi="仿宋" w:eastAsia="仿宋" w:cs="仿宋_GB2312"/>
                <w:kern w:val="24"/>
                <w:lang w:val="en-US" w:eastAsia="zh-CN"/>
              </w:rPr>
              <w:t>两金周转完成集团下达目标；</w:t>
            </w:r>
          </w:p>
          <w:p>
            <w:pPr>
              <w:pStyle w:val="45"/>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 w:hAnsi="仿宋" w:eastAsia="仿宋" w:cs="仿宋_GB2312"/>
                <w:kern w:val="24"/>
                <w:lang w:val="en-US" w:eastAsia="zh-CN"/>
              </w:rPr>
            </w:pPr>
            <w:r>
              <w:rPr>
                <w:rFonts w:hint="eastAsia" w:ascii="仿宋" w:hAnsi="仿宋" w:eastAsia="仿宋" w:cs="仿宋_GB2312"/>
                <w:kern w:val="24"/>
                <w:lang w:val="en-US" w:eastAsia="zh-CN"/>
              </w:rPr>
              <w:t>完成上市尽调规范化整改清单事项；</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3"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2</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数字化转型</w:t>
            </w:r>
          </w:p>
        </w:tc>
        <w:tc>
          <w:tcPr>
            <w:tcW w:w="3292" w:type="pct"/>
            <w:noWrap w:val="0"/>
            <w:vAlign w:val="center"/>
          </w:tcPr>
          <w:p>
            <w:pPr>
              <w:keepNext w:val="0"/>
              <w:keepLines w:val="0"/>
              <w:widowControl/>
              <w:numPr>
                <w:ilvl w:val="0"/>
                <w:numId w:val="2"/>
              </w:numPr>
              <w:suppressLineNumbers w:val="0"/>
              <w:jc w:val="left"/>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成立以业务牵头的相关数字化转型工作组，落实集团数字</w:t>
            </w:r>
            <w:r>
              <w:rPr>
                <w:rFonts w:hint="default" w:ascii="仿宋_GB2312" w:hAnsi="仿宋_GB2312" w:eastAsia="仿宋_GB2312" w:cs="仿宋_GB2312"/>
                <w:spacing w:val="3"/>
                <w:kern w:val="2"/>
                <w:sz w:val="24"/>
                <w:szCs w:val="24"/>
                <w:highlight w:val="none"/>
                <w:lang w:val="en-US" w:eastAsia="zh-CN" w:bidi="ar-SA"/>
              </w:rPr>
              <w:t>化工作部署</w:t>
            </w:r>
            <w:r>
              <w:rPr>
                <w:rFonts w:hint="eastAsia" w:ascii="仿宋_GB2312" w:hAnsi="仿宋_GB2312" w:eastAsia="仿宋_GB2312" w:cs="仿宋_GB2312"/>
                <w:spacing w:val="3"/>
                <w:kern w:val="2"/>
                <w:sz w:val="24"/>
                <w:szCs w:val="24"/>
                <w:highlight w:val="none"/>
                <w:lang w:val="en-US" w:eastAsia="zh-CN" w:bidi="ar-SA"/>
              </w:rPr>
              <w:t>，</w:t>
            </w:r>
            <w:r>
              <w:rPr>
                <w:rFonts w:hint="default" w:ascii="仿宋_GB2312" w:hAnsi="仿宋_GB2312" w:eastAsia="仿宋_GB2312" w:cs="仿宋_GB2312"/>
                <w:spacing w:val="3"/>
                <w:kern w:val="2"/>
                <w:sz w:val="24"/>
                <w:szCs w:val="24"/>
                <w:highlight w:val="none"/>
                <w:lang w:val="en-US" w:eastAsia="zh-CN" w:bidi="ar-SA"/>
              </w:rPr>
              <w:t>配合完成财务</w:t>
            </w:r>
            <w:r>
              <w:rPr>
                <w:rFonts w:hint="eastAsia" w:ascii="仿宋_GB2312" w:hAnsi="仿宋_GB2312" w:eastAsia="仿宋_GB2312" w:cs="仿宋_GB2312"/>
                <w:spacing w:val="3"/>
                <w:kern w:val="2"/>
                <w:sz w:val="24"/>
                <w:szCs w:val="24"/>
                <w:highlight w:val="none"/>
                <w:lang w:val="en-US" w:eastAsia="zh-CN" w:bidi="ar-SA"/>
              </w:rPr>
              <w:t>、</w:t>
            </w:r>
            <w:r>
              <w:rPr>
                <w:rFonts w:hint="default" w:ascii="仿宋_GB2312" w:hAnsi="仿宋_GB2312" w:eastAsia="仿宋_GB2312" w:cs="仿宋_GB2312"/>
                <w:spacing w:val="3"/>
                <w:kern w:val="2"/>
                <w:sz w:val="24"/>
                <w:szCs w:val="24"/>
                <w:highlight w:val="none"/>
                <w:lang w:val="en-US" w:eastAsia="zh-CN" w:bidi="ar-SA"/>
              </w:rPr>
              <w:t>商旅</w:t>
            </w:r>
            <w:r>
              <w:rPr>
                <w:rFonts w:hint="eastAsia" w:ascii="仿宋_GB2312" w:hAnsi="仿宋_GB2312" w:eastAsia="仿宋_GB2312" w:cs="仿宋_GB2312"/>
                <w:spacing w:val="3"/>
                <w:kern w:val="2"/>
                <w:sz w:val="24"/>
                <w:szCs w:val="24"/>
                <w:highlight w:val="none"/>
                <w:lang w:val="en-US" w:eastAsia="zh-CN" w:bidi="ar-SA"/>
              </w:rPr>
              <w:t>、</w:t>
            </w:r>
            <w:r>
              <w:rPr>
                <w:rFonts w:hint="default" w:ascii="仿宋_GB2312" w:hAnsi="仿宋_GB2312" w:eastAsia="仿宋_GB2312" w:cs="仿宋_GB2312"/>
                <w:spacing w:val="3"/>
                <w:kern w:val="2"/>
                <w:sz w:val="24"/>
                <w:szCs w:val="24"/>
                <w:highlight w:val="none"/>
                <w:lang w:val="en-US" w:eastAsia="zh-CN" w:bidi="ar-SA"/>
              </w:rPr>
              <w:t>集采</w:t>
            </w:r>
            <w:r>
              <w:rPr>
                <w:rFonts w:hint="eastAsia" w:ascii="仿宋_GB2312" w:hAnsi="仿宋_GB2312" w:eastAsia="仿宋_GB2312" w:cs="仿宋_GB2312"/>
                <w:spacing w:val="3"/>
                <w:kern w:val="2"/>
                <w:sz w:val="24"/>
                <w:szCs w:val="24"/>
                <w:highlight w:val="none"/>
                <w:lang w:val="en-US" w:eastAsia="zh-CN" w:bidi="ar-SA"/>
              </w:rPr>
              <w:t>、</w:t>
            </w:r>
            <w:r>
              <w:rPr>
                <w:rFonts w:hint="default" w:ascii="仿宋_GB2312" w:hAnsi="仿宋_GB2312" w:eastAsia="仿宋_GB2312" w:cs="仿宋_GB2312"/>
                <w:spacing w:val="3"/>
                <w:kern w:val="2"/>
                <w:sz w:val="24"/>
                <w:szCs w:val="24"/>
                <w:highlight w:val="none"/>
                <w:lang w:val="en-US" w:eastAsia="zh-CN" w:bidi="ar-SA"/>
              </w:rPr>
              <w:t>人资等垂直管控线条的数字</w:t>
            </w:r>
            <w:bookmarkStart w:id="0" w:name="_GoBack"/>
            <w:bookmarkEnd w:id="0"/>
            <w:r>
              <w:rPr>
                <w:rFonts w:hint="default" w:ascii="仿宋_GB2312" w:hAnsi="仿宋_GB2312" w:eastAsia="仿宋_GB2312" w:cs="仿宋_GB2312"/>
                <w:spacing w:val="3"/>
                <w:kern w:val="2"/>
                <w:sz w:val="24"/>
                <w:szCs w:val="24"/>
                <w:highlight w:val="none"/>
                <w:lang w:val="en-US" w:eastAsia="zh-CN" w:bidi="ar-SA"/>
              </w:rPr>
              <w:t>化转型落地；</w:t>
            </w:r>
          </w:p>
          <w:p>
            <w:pPr>
              <w:keepNext w:val="0"/>
              <w:keepLines w:val="0"/>
              <w:widowControl/>
              <w:numPr>
                <w:ilvl w:val="0"/>
                <w:numId w:val="2"/>
              </w:numPr>
              <w:suppressLineNumbers w:val="0"/>
              <w:jc w:val="left"/>
              <w:rPr>
                <w:rFonts w:hint="eastAsia" w:ascii="仿宋_GB2312" w:hAnsi="仿宋_GB2312" w:eastAsia="仿宋_GB2312" w:cs="仿宋_GB2312"/>
                <w:spacing w:val="3"/>
                <w:sz w:val="24"/>
                <w:szCs w:val="24"/>
                <w:highlight w:val="none"/>
                <w:lang w:eastAsia="zh-CN"/>
              </w:rPr>
            </w:pPr>
            <w:r>
              <w:rPr>
                <w:rFonts w:hint="default" w:ascii="仿宋_GB2312" w:hAnsi="仿宋_GB2312" w:eastAsia="仿宋_GB2312" w:cs="仿宋_GB2312"/>
                <w:spacing w:val="3"/>
                <w:kern w:val="2"/>
                <w:sz w:val="24"/>
                <w:szCs w:val="24"/>
                <w:highlight w:val="none"/>
                <w:lang w:val="en-US" w:eastAsia="zh-CN" w:bidi="ar-SA"/>
              </w:rPr>
              <w:t>主要业务流程上线率达到 80%;</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6"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投融资</w:t>
            </w:r>
          </w:p>
        </w:tc>
        <w:tc>
          <w:tcPr>
            <w:tcW w:w="3292" w:type="pct"/>
            <w:noWrap w:val="0"/>
            <w:vAlign w:val="center"/>
          </w:tcPr>
          <w:p>
            <w:pPr>
              <w:keepNext w:val="0"/>
              <w:keepLines w:val="0"/>
              <w:widowControl/>
              <w:suppressLineNumbers w:val="0"/>
              <w:jc w:val="left"/>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引进1个战略投资人，完成增资协议签订。</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rPr>
            </w:pPr>
            <w:r>
              <w:rPr>
                <w:rFonts w:hint="eastAsia" w:ascii="仿宋_GB2312" w:hAnsi="仿宋_GB2312" w:eastAsia="仿宋_GB2312" w:cs="仿宋_GB2312"/>
                <w:spacing w:val="3"/>
                <w:sz w:val="24"/>
                <w:szCs w:val="24"/>
                <w:highlight w:val="none"/>
                <w:lang w:val="en-US" w:eastAsia="zh-CN"/>
              </w:rPr>
              <w:t>专项工作</w:t>
            </w:r>
          </w:p>
        </w:tc>
        <w:tc>
          <w:tcPr>
            <w:tcW w:w="3292" w:type="pct"/>
            <w:noWrap w:val="0"/>
            <w:vAlign w:val="center"/>
          </w:tcPr>
          <w:p>
            <w:pPr>
              <w:pStyle w:val="45"/>
              <w:keepNext w:val="0"/>
              <w:keepLines w:val="0"/>
              <w:pageBreakBefore w:val="0"/>
              <w:widowControl w:val="0"/>
              <w:numPr>
                <w:ilvl w:val="0"/>
                <w:numId w:val="3"/>
              </w:numPr>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通过二级保密资质审查认证；</w:t>
            </w:r>
          </w:p>
          <w:p>
            <w:pPr>
              <w:pStyle w:val="45"/>
              <w:keepNext w:val="0"/>
              <w:keepLines w:val="0"/>
              <w:pageBreakBefore w:val="0"/>
              <w:widowControl w:val="0"/>
              <w:numPr>
                <w:ilvl w:val="0"/>
                <w:numId w:val="3"/>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通过</w:t>
            </w:r>
            <w:r>
              <w:rPr>
                <w:rFonts w:hint="default" w:ascii="仿宋_GB2312" w:hAnsi="仿宋_GB2312" w:eastAsia="仿宋_GB2312" w:cs="仿宋_GB2312"/>
                <w:spacing w:val="3"/>
                <w:sz w:val="24"/>
                <w:szCs w:val="24"/>
                <w:highlight w:val="none"/>
                <w:lang w:val="en-US" w:eastAsia="zh-CN"/>
              </w:rPr>
              <w:t>国家专精特新“小巨人”复核</w:t>
            </w:r>
            <w:r>
              <w:rPr>
                <w:rFonts w:hint="eastAsia" w:ascii="仿宋_GB2312" w:hAnsi="仿宋_GB2312" w:eastAsia="仿宋_GB2312" w:cs="仿宋_GB2312"/>
                <w:spacing w:val="3"/>
                <w:sz w:val="24"/>
                <w:szCs w:val="24"/>
                <w:highlight w:val="none"/>
                <w:lang w:val="en-US" w:eastAsia="zh-CN"/>
              </w:rPr>
              <w:t>；</w:t>
            </w:r>
          </w:p>
          <w:p>
            <w:pPr>
              <w:pStyle w:val="45"/>
              <w:keepNext w:val="0"/>
              <w:keepLines w:val="0"/>
              <w:pageBreakBefore w:val="0"/>
              <w:widowControl w:val="0"/>
              <w:numPr>
                <w:ilvl w:val="0"/>
                <w:numId w:val="3"/>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政策争取获批政府补贴不低于200万元；</w:t>
            </w:r>
          </w:p>
          <w:p>
            <w:pPr>
              <w:pStyle w:val="45"/>
              <w:keepNext w:val="0"/>
              <w:keepLines w:val="0"/>
              <w:pageBreakBefore w:val="0"/>
              <w:widowControl w:val="0"/>
              <w:numPr>
                <w:ilvl w:val="0"/>
                <w:numId w:val="3"/>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default" w:ascii="仿宋_GB2312" w:hAnsi="仿宋_GB2312" w:eastAsia="仿宋_GB2312" w:cs="仿宋_GB2312"/>
                <w:spacing w:val="3"/>
                <w:sz w:val="24"/>
                <w:szCs w:val="24"/>
                <w:highlight w:val="none"/>
                <w:lang w:val="en-US" w:eastAsia="zh-CN"/>
              </w:rPr>
              <w:t>引进成熟型研发人才10-15人</w:t>
            </w:r>
            <w:r>
              <w:rPr>
                <w:rFonts w:hint="eastAsia" w:ascii="仿宋_GB2312" w:hAnsi="仿宋_GB2312" w:eastAsia="仿宋_GB2312" w:cs="仿宋_GB2312"/>
                <w:spacing w:val="3"/>
                <w:sz w:val="24"/>
                <w:szCs w:val="24"/>
                <w:highlight w:val="none"/>
                <w:lang w:val="en-US" w:eastAsia="zh-CN"/>
              </w:rPr>
              <w:t>。</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bl>
    <w:p>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法定代表人（签字）：</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rPr>
          <w:rFonts w:hint="default" w:ascii="仿宋_GB2312" w:hAnsi="宋体" w:eastAsia="仿宋_GB2312" w:cs="宋体"/>
          <w:color w:val="000000"/>
          <w:kern w:val="0"/>
          <w:sz w:val="32"/>
          <w:szCs w:val="32"/>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15F411-2C52-4409-9193-C5EF731DEE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FD8D7DA3-2901-47DF-B004-F328059C9E62}"/>
  </w:font>
  <w:font w:name="仿宋_GB2312">
    <w:panose1 w:val="02010609030101010101"/>
    <w:charset w:val="86"/>
    <w:family w:val="auto"/>
    <w:pitch w:val="default"/>
    <w:sig w:usb0="00000001" w:usb1="080E0000" w:usb2="00000000" w:usb3="00000000" w:csb0="00040000" w:csb1="00000000"/>
    <w:embedRegular r:id="rId3" w:fontKey="{C01773F5-B7A0-456C-BFB3-EA9EB10DF7ED}"/>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embedRegular r:id="rId4" w:fontKey="{86DF16BB-8976-4146-A86F-FB1CAA6BE852}"/>
  </w:font>
  <w:font w:name="仿宋">
    <w:panose1 w:val="02010609060101010101"/>
    <w:charset w:val="86"/>
    <w:family w:val="modern"/>
    <w:pitch w:val="default"/>
    <w:sig w:usb0="800002BF" w:usb1="38CF7CFA" w:usb2="00000016" w:usb3="00000000" w:csb0="00040001" w:csb1="00000000"/>
    <w:embedRegular r:id="rId5" w:fontKey="{76408A3E-F147-4D0F-BAD3-EB51791136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5DF2D"/>
    <w:multiLevelType w:val="singleLevel"/>
    <w:tmpl w:val="8D35DF2D"/>
    <w:lvl w:ilvl="0" w:tentative="0">
      <w:start w:val="1"/>
      <w:numFmt w:val="decimal"/>
      <w:lvlText w:val="%1."/>
      <w:lvlJc w:val="left"/>
      <w:pPr>
        <w:tabs>
          <w:tab w:val="left" w:pos="312"/>
        </w:tabs>
      </w:pPr>
    </w:lvl>
  </w:abstractNum>
  <w:abstractNum w:abstractNumId="1">
    <w:nsid w:val="9422905D"/>
    <w:multiLevelType w:val="singleLevel"/>
    <w:tmpl w:val="9422905D"/>
    <w:lvl w:ilvl="0" w:tentative="0">
      <w:start w:val="1"/>
      <w:numFmt w:val="decimal"/>
      <w:lvlText w:val="%1."/>
      <w:lvlJc w:val="left"/>
      <w:pPr>
        <w:tabs>
          <w:tab w:val="left" w:pos="312"/>
        </w:tabs>
      </w:pPr>
    </w:lvl>
  </w:abstractNum>
  <w:abstractNum w:abstractNumId="2">
    <w:nsid w:val="485DA81A"/>
    <w:multiLevelType w:val="singleLevel"/>
    <w:tmpl w:val="485DA81A"/>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zZjk2OTU3OGM4ZTVhYTAyNzkxODBjMmJjOTBlNzA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2F428EC"/>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581A70"/>
    <w:rsid w:val="08D613F6"/>
    <w:rsid w:val="090A6581"/>
    <w:rsid w:val="09165225"/>
    <w:rsid w:val="092B2231"/>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8433B"/>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214607"/>
    <w:rsid w:val="17667442"/>
    <w:rsid w:val="178B5F49"/>
    <w:rsid w:val="18323663"/>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CB70B54"/>
    <w:rsid w:val="1D1F566C"/>
    <w:rsid w:val="1D526E45"/>
    <w:rsid w:val="1D770C9F"/>
    <w:rsid w:val="1D781367"/>
    <w:rsid w:val="1D934F03"/>
    <w:rsid w:val="1DC422B8"/>
    <w:rsid w:val="1DDC1D26"/>
    <w:rsid w:val="1DF63C75"/>
    <w:rsid w:val="1E30234F"/>
    <w:rsid w:val="1E4D585F"/>
    <w:rsid w:val="1E675979"/>
    <w:rsid w:val="1E8C601F"/>
    <w:rsid w:val="1EB353CC"/>
    <w:rsid w:val="1EC975DB"/>
    <w:rsid w:val="1EE10644"/>
    <w:rsid w:val="1F4D7724"/>
    <w:rsid w:val="1F6D61B8"/>
    <w:rsid w:val="20144886"/>
    <w:rsid w:val="20382371"/>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832D34"/>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4307CD"/>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476DFD"/>
    <w:rsid w:val="47617B01"/>
    <w:rsid w:val="477A0BC3"/>
    <w:rsid w:val="47A04ACD"/>
    <w:rsid w:val="47D81FA9"/>
    <w:rsid w:val="486B440C"/>
    <w:rsid w:val="494E5D41"/>
    <w:rsid w:val="49583186"/>
    <w:rsid w:val="49937C6C"/>
    <w:rsid w:val="49A03796"/>
    <w:rsid w:val="49A53CC1"/>
    <w:rsid w:val="49BF7253"/>
    <w:rsid w:val="49C83E68"/>
    <w:rsid w:val="49F3676E"/>
    <w:rsid w:val="4A1B0F21"/>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ED762C"/>
    <w:rsid w:val="4EFF13E5"/>
    <w:rsid w:val="4F8C0F92"/>
    <w:rsid w:val="4FBA7B2E"/>
    <w:rsid w:val="4FCD544B"/>
    <w:rsid w:val="4FF77255"/>
    <w:rsid w:val="50376EC1"/>
    <w:rsid w:val="503E03F4"/>
    <w:rsid w:val="50442E41"/>
    <w:rsid w:val="506440B6"/>
    <w:rsid w:val="50EF1724"/>
    <w:rsid w:val="511104C5"/>
    <w:rsid w:val="51772403"/>
    <w:rsid w:val="5245097E"/>
    <w:rsid w:val="52575455"/>
    <w:rsid w:val="526F57C8"/>
    <w:rsid w:val="527B604B"/>
    <w:rsid w:val="52F932E4"/>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5A5EE1"/>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CE189D"/>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2E2E4D"/>
    <w:rsid w:val="6CDA3D2E"/>
    <w:rsid w:val="6D257FA0"/>
    <w:rsid w:val="6D400F45"/>
    <w:rsid w:val="6DC42A14"/>
    <w:rsid w:val="6DCE3893"/>
    <w:rsid w:val="6DD55F01"/>
    <w:rsid w:val="6DE20811"/>
    <w:rsid w:val="6F245233"/>
    <w:rsid w:val="6F854425"/>
    <w:rsid w:val="6F8D6E36"/>
    <w:rsid w:val="6FA14932"/>
    <w:rsid w:val="6FC974CE"/>
    <w:rsid w:val="6FE401BA"/>
    <w:rsid w:val="6FF10FE9"/>
    <w:rsid w:val="701778DC"/>
    <w:rsid w:val="70661C93"/>
    <w:rsid w:val="70A87041"/>
    <w:rsid w:val="70AE3508"/>
    <w:rsid w:val="70BC4B51"/>
    <w:rsid w:val="711F4406"/>
    <w:rsid w:val="71305F03"/>
    <w:rsid w:val="71353C29"/>
    <w:rsid w:val="7189187F"/>
    <w:rsid w:val="71C172BE"/>
    <w:rsid w:val="71E075D7"/>
    <w:rsid w:val="71FA1A60"/>
    <w:rsid w:val="726B5B54"/>
    <w:rsid w:val="729F75AC"/>
    <w:rsid w:val="731F06ED"/>
    <w:rsid w:val="733C4DFB"/>
    <w:rsid w:val="73566279"/>
    <w:rsid w:val="73B66440"/>
    <w:rsid w:val="73CD63C4"/>
    <w:rsid w:val="742A559B"/>
    <w:rsid w:val="746A1C1D"/>
    <w:rsid w:val="746C1710"/>
    <w:rsid w:val="74817FA7"/>
    <w:rsid w:val="74C829A2"/>
    <w:rsid w:val="75FB0F9D"/>
    <w:rsid w:val="76366479"/>
    <w:rsid w:val="76742AFE"/>
    <w:rsid w:val="76870A83"/>
    <w:rsid w:val="76A038F3"/>
    <w:rsid w:val="76B455F0"/>
    <w:rsid w:val="770B16B4"/>
    <w:rsid w:val="7715608F"/>
    <w:rsid w:val="78451E90"/>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2"/>
    <w:autoRedefine/>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autoRedefine/>
    <w:semiHidden/>
    <w:qFormat/>
    <w:uiPriority w:val="9"/>
    <w:rPr>
      <w:rFonts w:cstheme="majorBidi"/>
      <w:color w:val="104862" w:themeColor="accent1" w:themeShade="BF"/>
      <w:sz w:val="28"/>
      <w:szCs w:val="28"/>
    </w:rPr>
  </w:style>
  <w:style w:type="character" w:customStyle="1" w:styleId="27">
    <w:name w:val="标题 5 字符"/>
    <w:basedOn w:val="22"/>
    <w:link w:val="6"/>
    <w:autoRedefine/>
    <w:semiHidden/>
    <w:qFormat/>
    <w:uiPriority w:val="9"/>
    <w:rPr>
      <w:rFonts w:cstheme="majorBidi"/>
      <w:color w:val="104862" w:themeColor="accent1" w:themeShade="BF"/>
      <w:sz w:val="24"/>
      <w:szCs w:val="24"/>
    </w:rPr>
  </w:style>
  <w:style w:type="character" w:customStyle="1" w:styleId="28">
    <w:name w:val="标题 6 字符"/>
    <w:basedOn w:val="22"/>
    <w:link w:val="7"/>
    <w:autoRedefine/>
    <w:semiHidden/>
    <w:qFormat/>
    <w:uiPriority w:val="9"/>
    <w:rPr>
      <w:rFonts w:cstheme="majorBidi"/>
      <w:b/>
      <w:bCs/>
      <w:color w:val="104862" w:themeColor="accent1" w:themeShade="BF"/>
    </w:rPr>
  </w:style>
  <w:style w:type="character" w:customStyle="1" w:styleId="29">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autoRedefine/>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autoRedefine/>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autoRedefine/>
    <w:qFormat/>
    <w:uiPriority w:val="34"/>
    <w:pPr>
      <w:ind w:left="720"/>
      <w:contextualSpacing/>
    </w:pPr>
  </w:style>
  <w:style w:type="character" w:customStyle="1" w:styleId="37">
    <w:name w:val="Intense Emphasis"/>
    <w:basedOn w:val="22"/>
    <w:autoRedefine/>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autoRedefine/>
    <w:qFormat/>
    <w:uiPriority w:val="30"/>
    <w:rPr>
      <w:i/>
      <w:iCs/>
      <w:color w:val="104862" w:themeColor="accent1" w:themeShade="BF"/>
    </w:rPr>
  </w:style>
  <w:style w:type="character" w:customStyle="1" w:styleId="40">
    <w:name w:val="Intense Reference"/>
    <w:basedOn w:val="22"/>
    <w:autoRedefine/>
    <w:qFormat/>
    <w:uiPriority w:val="32"/>
    <w:rPr>
      <w:b/>
      <w:bCs/>
      <w:smallCaps/>
      <w:color w:val="104862" w:themeColor="accent1" w:themeShade="BF"/>
      <w:spacing w:val="5"/>
    </w:rPr>
  </w:style>
  <w:style w:type="character" w:customStyle="1" w:styleId="41">
    <w:name w:val="页眉 字符"/>
    <w:basedOn w:val="22"/>
    <w:link w:val="14"/>
    <w:autoRedefine/>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autoRedefine/>
    <w:qFormat/>
    <w:uiPriority w:val="0"/>
    <w:rPr>
      <w:rFonts w:hint="eastAsia" w:ascii="仿宋_GB2312" w:eastAsia="仿宋_GB2312" w:cs="仿宋_GB2312"/>
      <w:color w:val="000000"/>
      <w:sz w:val="22"/>
      <w:szCs w:val="22"/>
      <w:u w:val="none"/>
    </w:rPr>
  </w:style>
  <w:style w:type="paragraph" w:customStyle="1" w:styleId="45">
    <w:name w:val="Table Text"/>
    <w:basedOn w:val="1"/>
    <w:autoRedefine/>
    <w:semiHidden/>
    <w:qFormat/>
    <w:uiPriority w:val="0"/>
    <w:rPr>
      <w:rFonts w:ascii="宋体" w:hAnsi="宋体" w:eastAsia="宋体" w:cs="宋体"/>
      <w:sz w:val="24"/>
      <w:szCs w:val="24"/>
      <w:lang w:val="en-US" w:eastAsia="en-US" w:bidi="ar-SA"/>
    </w:rPr>
  </w:style>
  <w:style w:type="table" w:customStyle="1" w:styleId="46">
    <w:name w:val="Table Normal"/>
    <w:autoRedefine/>
    <w:unhideWhenUsed/>
    <w:qFormat/>
    <w:uiPriority w:val="0"/>
    <w:tblPr>
      <w:tblCellMar>
        <w:top w:w="0" w:type="dxa"/>
        <w:left w:w="0" w:type="dxa"/>
        <w:bottom w:w="0" w:type="dxa"/>
        <w:right w:w="0" w:type="dxa"/>
      </w:tblCellMar>
    </w:tblPr>
  </w:style>
  <w:style w:type="paragraph" w:customStyle="1" w:styleId="47">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2882</Words>
  <Characters>3079</Characters>
  <Lines>25</Lines>
  <Paragraphs>7</Paragraphs>
  <TotalTime>8</TotalTime>
  <ScaleCrop>false</ScaleCrop>
  <LinksUpToDate>false</LinksUpToDate>
  <CharactersWithSpaces>3141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WPS_1686623223</cp:lastModifiedBy>
  <cp:lastPrinted>2024-06-05T01:41:00Z</cp:lastPrinted>
  <dcterms:modified xsi:type="dcterms:W3CDTF">2024-06-20T07:02:02Z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