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adjustRightInd w:val="0"/>
        <w:snapToGrid w:val="0"/>
        <w:spacing w:line="360" w:lineRule="auto"/>
        <w:jc w:val="center"/>
        <w:rPr>
          <w:rFonts w:ascii="黑体" w:hAnsi="黑体" w:eastAsia="黑体" w:cs="黑体"/>
          <w:color w:val="000000" w:themeColor="text1"/>
          <w:kern w:val="2"/>
          <w:sz w:val="36"/>
          <w:szCs w:val="36"/>
          <w:lang w:val="en-US" w:bidi="ar-SA"/>
          <w14:textFill>
            <w14:solidFill>
              <w14:schemeClr w14:val="tx1"/>
            </w14:solidFill>
          </w14:textFill>
        </w:rPr>
      </w:pPr>
      <w:bookmarkStart w:id="0" w:name="_Toc27243"/>
      <w:bookmarkStart w:id="1" w:name="_Toc7149"/>
      <w:bookmarkStart w:id="2" w:name="_Toc654"/>
      <w:bookmarkStart w:id="3" w:name="_Toc963"/>
      <w:r>
        <w:rPr>
          <w:rFonts w:hint="eastAsia" w:ascii="黑体" w:hAnsi="黑体" w:eastAsia="黑体" w:cs="黑体"/>
          <w:color w:val="000000" w:themeColor="text1"/>
          <w:kern w:val="2"/>
          <w:sz w:val="36"/>
          <w:szCs w:val="36"/>
          <w:lang w:val="en-US" w:bidi="ar-SA"/>
          <w14:textFill>
            <w14:solidFill>
              <w14:schemeClr w14:val="tx1"/>
            </w14:solidFill>
          </w14:textFill>
        </w:rPr>
        <w:t>四川九洲投资控股集团有限公司</w:t>
      </w:r>
      <w:bookmarkEnd w:id="0"/>
      <w:bookmarkEnd w:id="1"/>
      <w:bookmarkEnd w:id="2"/>
      <w:bookmarkEnd w:id="3"/>
    </w:p>
    <w:p>
      <w:pPr>
        <w:autoSpaceDE/>
        <w:autoSpaceDN/>
        <w:adjustRightInd w:val="0"/>
        <w:snapToGrid w:val="0"/>
        <w:spacing w:line="360" w:lineRule="auto"/>
        <w:jc w:val="center"/>
        <w:rPr>
          <w:rFonts w:hint="eastAsia" w:ascii="黑体" w:hAnsi="黑体" w:eastAsia="黑体" w:cs="黑体"/>
          <w:color w:val="000000" w:themeColor="text1"/>
          <w:kern w:val="2"/>
          <w:sz w:val="36"/>
          <w:szCs w:val="36"/>
          <w:lang w:val="en-US" w:bidi="ar-SA"/>
          <w14:textFill>
            <w14:solidFill>
              <w14:schemeClr w14:val="tx1"/>
            </w14:solidFill>
          </w14:textFill>
        </w:rPr>
      </w:pPr>
      <w:bookmarkStart w:id="4" w:name="_Toc29601"/>
      <w:bookmarkStart w:id="5" w:name="_Toc17603"/>
      <w:bookmarkStart w:id="6" w:name="_Toc17772"/>
      <w:bookmarkStart w:id="7" w:name="_Toc17066"/>
      <w:r>
        <w:rPr>
          <w:rFonts w:hint="eastAsia" w:ascii="黑体" w:hAnsi="黑体" w:eastAsia="黑体" w:cs="黑体"/>
          <w:color w:val="000000" w:themeColor="text1"/>
          <w:kern w:val="2"/>
          <w:sz w:val="36"/>
          <w:szCs w:val="36"/>
          <w:lang w:val="en-US" w:bidi="ar-SA"/>
          <w14:textFill>
            <w14:solidFill>
              <w14:schemeClr w14:val="tx1"/>
            </w14:solidFill>
          </w14:textFill>
        </w:rPr>
        <w:t>企业国有股权流转监督管理办法</w:t>
      </w:r>
      <w:bookmarkEnd w:id="4"/>
      <w:bookmarkEnd w:id="5"/>
      <w:bookmarkEnd w:id="6"/>
      <w:bookmarkEnd w:id="7"/>
    </w:p>
    <w:p>
      <w:pPr>
        <w:pStyle w:val="2"/>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color w:val="000000" w:themeColor="text1"/>
          <w:kern w:val="2"/>
          <w:sz w:val="32"/>
          <w:szCs w:val="32"/>
          <w:lang w:val="en-US" w:eastAsia="zh-CN" w:bidi="ar-SA"/>
          <w14:textFill>
            <w14:solidFill>
              <w14:schemeClr w14:val="tx1"/>
            </w14:solidFill>
          </w14:textFill>
        </w:rPr>
        <w:t>（送审稿）</w:t>
      </w:r>
    </w:p>
    <w:p>
      <w:pPr>
        <w:autoSpaceDE/>
        <w:autoSpaceDN/>
        <w:adjustRightInd w:val="0"/>
        <w:snapToGrid w:val="0"/>
        <w:spacing w:line="360" w:lineRule="auto"/>
        <w:jc w:val="center"/>
        <w:rPr>
          <w:rFonts w:ascii="黑体" w:hAnsi="黑体" w:eastAsia="黑体" w:cs="黑体"/>
          <w:color w:val="000000" w:themeColor="text1"/>
          <w:kern w:val="2"/>
          <w:sz w:val="28"/>
          <w:szCs w:val="28"/>
          <w:lang w:val="en-US" w:bidi="ar-SA"/>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pStyle w:val="6"/>
        <w:adjustRightInd w:val="0"/>
        <w:snapToGrid w:val="0"/>
        <w:spacing w:line="560" w:lineRule="exact"/>
        <w:ind w:firstLine="560"/>
        <w:rPr>
          <w:rFonts w:ascii="黑体" w:hAnsi="黑体" w:eastAsia="黑体" w:cs="黑体"/>
          <w:color w:val="000000" w:themeColor="text1"/>
          <w:sz w:val="28"/>
          <w:szCs w:val="28"/>
          <w:lang w:val="en-US" w:bidi="ar-SA"/>
          <w14:textFill>
            <w14:solidFill>
              <w14:schemeClr w14:val="tx1"/>
            </w14:solidFill>
          </w14:textFill>
        </w:rPr>
      </w:pPr>
    </w:p>
    <w:p>
      <w:pPr>
        <w:pStyle w:val="19"/>
        <w:spacing w:line="360" w:lineRule="auto"/>
        <w:jc w:val="righ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编号：JZJT-ZB-2024-***</w:t>
      </w:r>
    </w:p>
    <w:p>
      <w:pPr>
        <w:pStyle w:val="19"/>
        <w:spacing w:line="360" w:lineRule="auto"/>
        <w:jc w:val="righ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版本号：202</w:t>
      </w:r>
      <w:r>
        <w:rPr>
          <w:rFonts w:ascii="黑体" w:hAnsi="黑体" w:eastAsia="黑体" w:cs="黑体"/>
          <w:color w:val="000000" w:themeColor="text1"/>
          <w:sz w:val="28"/>
          <w:szCs w:val="28"/>
          <w14:textFill>
            <w14:solidFill>
              <w14:schemeClr w14:val="tx1"/>
            </w14:solidFill>
          </w14:textFill>
        </w:rPr>
        <w:t>4</w:t>
      </w:r>
      <w:r>
        <w:rPr>
          <w:rFonts w:hint="eastAsia" w:ascii="黑体" w:hAnsi="黑体" w:eastAsia="黑体" w:cs="黑体"/>
          <w:color w:val="000000" w:themeColor="text1"/>
          <w:sz w:val="28"/>
          <w:szCs w:val="28"/>
          <w14:textFill>
            <w14:solidFill>
              <w14:schemeClr w14:val="tx1"/>
            </w14:solidFill>
          </w14:textFill>
        </w:rPr>
        <w:t>（01）版</w:t>
      </w:r>
    </w:p>
    <w:p>
      <w:pPr>
        <w:spacing w:line="360" w:lineRule="auto"/>
        <w:jc w:val="right"/>
        <w:rPr>
          <w:rFonts w:ascii="黑体" w:hAnsi="黑体" w:eastAsia="黑体" w:cs="黑体"/>
          <w:color w:val="000000" w:themeColor="text1"/>
          <w:sz w:val="28"/>
          <w:szCs w:val="28"/>
          <w:lang w:val="en-US" w:bidi="ar-SA"/>
          <w14:textFill>
            <w14:solidFill>
              <w14:schemeClr w14:val="tx1"/>
            </w14:solidFill>
          </w14:textFill>
        </w:rPr>
        <w:sectPr>
          <w:footerReference r:id="rId3" w:type="even"/>
          <w:pgSz w:w="11928" w:h="16860"/>
          <w:pgMar w:top="2098" w:right="1474" w:bottom="1984" w:left="1587" w:header="850" w:footer="992" w:gutter="0"/>
          <w:pgNumType w:fmt="numberInDash" w:start="1"/>
          <w:cols w:space="0" w:num="1"/>
          <w:docGrid w:linePitch="312" w:charSpace="0"/>
        </w:sectPr>
      </w:pPr>
      <w:r>
        <w:rPr>
          <w:rFonts w:hint="eastAsia" w:ascii="黑体" w:hAnsi="黑体" w:eastAsia="黑体" w:cs="黑体"/>
          <w:color w:val="000000" w:themeColor="text1"/>
          <w:sz w:val="28"/>
          <w:szCs w:val="28"/>
          <w:lang w:val="en-US" w:bidi="ar-SA"/>
          <w14:textFill>
            <w14:solidFill>
              <w14:schemeClr w14:val="tx1"/>
            </w14:solidFill>
          </w14:textFill>
        </w:rPr>
        <w:t>生效日期：2024年*月*日</w:t>
      </w:r>
    </w:p>
    <w:p>
      <w:pPr>
        <w:pStyle w:val="6"/>
        <w:adjustRightInd w:val="0"/>
        <w:snapToGrid w:val="0"/>
        <w:spacing w:line="560" w:lineRule="exact"/>
        <w:ind w:firstLine="640"/>
        <w:rPr>
          <w:rFonts w:ascii="黑体"/>
          <w:color w:val="000000" w:themeColor="text1"/>
          <w:sz w:val="32"/>
          <w:szCs w:val="32"/>
          <w14:textFill>
            <w14:solidFill>
              <w14:schemeClr w14:val="tx1"/>
            </w14:solidFill>
          </w14:textFill>
        </w:rPr>
      </w:pPr>
    </w:p>
    <w:p>
      <w:pPr>
        <w:tabs>
          <w:tab w:val="left" w:pos="7369"/>
        </w:tabs>
        <w:jc w:val="center"/>
        <w:rPr>
          <w:rFonts w:ascii="Arial" w:hAnsi="Arial" w:cs="Arial"/>
          <w:color w:val="000000" w:themeColor="text1"/>
          <w14:textFill>
            <w14:solidFill>
              <w14:schemeClr w14:val="tx1"/>
            </w14:solidFill>
          </w14:textFill>
        </w:rPr>
      </w:pPr>
      <w:bookmarkStart w:id="8" w:name="_Toc20244"/>
      <w:bookmarkStart w:id="9" w:name="_Toc100"/>
      <w:bookmarkStart w:id="10" w:name="_Toc13320"/>
      <w:bookmarkStart w:id="11" w:name="_Toc24393"/>
      <w:r>
        <w:rPr>
          <w:rFonts w:ascii="Arial" w:hAnsi="Arial" w:cs="Arial"/>
          <w:color w:val="000000" w:themeColor="text1"/>
          <w:sz w:val="24"/>
          <w:szCs w:val="24"/>
          <w14:textFill>
            <w14:solidFill>
              <w14:schemeClr w14:val="tx1"/>
            </w14:solidFill>
          </w14:textFill>
        </w:rPr>
        <w:t>制度履历表</w:t>
      </w:r>
      <w:bookmarkEnd w:id="8"/>
      <w:bookmarkEnd w:id="9"/>
      <w:bookmarkEnd w:id="10"/>
      <w:bookmarkEnd w:id="11"/>
    </w:p>
    <w:p>
      <w:pPr>
        <w:tabs>
          <w:tab w:val="left" w:pos="7369"/>
        </w:tabs>
        <w:ind w:firstLine="6960" w:firstLineChars="2900"/>
        <w:rPr>
          <w:rFonts w:ascii="Arial" w:hAnsi="Arial" w:cs="Arial"/>
          <w:color w:val="000000" w:themeColor="text1"/>
          <w:sz w:val="24"/>
          <w:szCs w:val="24"/>
          <w14:textFill>
            <w14:solidFill>
              <w14:schemeClr w14:val="tx1"/>
            </w14:solidFill>
          </w14:textFill>
        </w:rPr>
      </w:pPr>
    </w:p>
    <w:tbl>
      <w:tblPr>
        <w:tblStyle w:val="14"/>
        <w:tblW w:w="90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202"/>
        <w:gridCol w:w="620"/>
        <w:gridCol w:w="620"/>
        <w:gridCol w:w="1349"/>
        <w:gridCol w:w="1111"/>
        <w:gridCol w:w="660"/>
        <w:gridCol w:w="21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334" w:type="dxa"/>
            <w:tcBorders>
              <w:top w:val="single" w:color="auto" w:sz="12" w:space="0"/>
              <w:left w:val="single" w:color="auto" w:sz="12"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制度名称</w:t>
            </w:r>
          </w:p>
        </w:tc>
        <w:tc>
          <w:tcPr>
            <w:tcW w:w="1202" w:type="dxa"/>
            <w:tcBorders>
              <w:top w:val="single" w:color="auto" w:sz="12"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编制(修改)时间</w:t>
            </w:r>
          </w:p>
        </w:tc>
        <w:tc>
          <w:tcPr>
            <w:tcW w:w="620" w:type="dxa"/>
            <w:tcBorders>
              <w:top w:val="single" w:color="auto" w:sz="12"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首次编制</w:t>
            </w:r>
          </w:p>
        </w:tc>
        <w:tc>
          <w:tcPr>
            <w:tcW w:w="620" w:type="dxa"/>
            <w:tcBorders>
              <w:top w:val="single" w:color="auto" w:sz="12"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修订编制</w:t>
            </w:r>
          </w:p>
        </w:tc>
        <w:tc>
          <w:tcPr>
            <w:tcW w:w="1349" w:type="dxa"/>
            <w:tcBorders>
              <w:top w:val="single" w:color="auto" w:sz="12"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编制部门</w:t>
            </w:r>
          </w:p>
        </w:tc>
        <w:tc>
          <w:tcPr>
            <w:tcW w:w="1111" w:type="dxa"/>
            <w:tcBorders>
              <w:top w:val="single" w:color="auto" w:sz="12"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审批</w:t>
            </w:r>
          </w:p>
        </w:tc>
        <w:tc>
          <w:tcPr>
            <w:tcW w:w="660" w:type="dxa"/>
            <w:tcBorders>
              <w:top w:val="single" w:color="auto" w:sz="12"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废止</w:t>
            </w:r>
          </w:p>
        </w:tc>
        <w:tc>
          <w:tcPr>
            <w:tcW w:w="2164" w:type="dxa"/>
            <w:tcBorders>
              <w:top w:val="single" w:color="auto" w:sz="12" w:space="0"/>
              <w:left w:val="single" w:color="auto" w:sz="6" w:space="0"/>
              <w:bottom w:val="single" w:color="auto" w:sz="6" w:space="0"/>
              <w:right w:val="single" w:color="auto" w:sz="12"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1334" w:type="dxa"/>
            <w:vMerge w:val="restart"/>
            <w:tcBorders>
              <w:top w:val="single" w:color="auto" w:sz="6" w:space="0"/>
              <w:left w:val="single" w:color="auto" w:sz="12"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《四川九洲投资控股集团有限公司企业国有资产流转监督管理办法（试行）》</w:t>
            </w:r>
          </w:p>
        </w:tc>
        <w:tc>
          <w:tcPr>
            <w:tcW w:w="1202"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2021年</w:t>
            </w:r>
          </w:p>
        </w:tc>
        <w:tc>
          <w:tcPr>
            <w:tcW w:w="62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p>
        </w:tc>
        <w:tc>
          <w:tcPr>
            <w:tcW w:w="62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eastAsia="微软雅黑" w:cs="Arial"/>
                <w:color w:val="000000" w:themeColor="text1"/>
                <w:szCs w:val="21"/>
                <w14:textFill>
                  <w14:solidFill>
                    <w14:schemeClr w14:val="tx1"/>
                  </w14:solidFill>
                </w14:textFill>
              </w:rPr>
              <w:t>√</w:t>
            </w:r>
          </w:p>
        </w:tc>
        <w:tc>
          <w:tcPr>
            <w:tcW w:w="1349"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资本运营部</w:t>
            </w:r>
          </w:p>
        </w:tc>
        <w:tc>
          <w:tcPr>
            <w:tcW w:w="1111"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董事会</w:t>
            </w:r>
          </w:p>
        </w:tc>
        <w:tc>
          <w:tcPr>
            <w:tcW w:w="66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12" w:space="0"/>
            </w:tcBorders>
            <w:vAlign w:val="center"/>
          </w:tcPr>
          <w:p>
            <w:pPr>
              <w:pStyle w:val="7"/>
              <w:adjustRightInd w:val="0"/>
              <w:snapToGrid w:val="0"/>
              <w:spacing w:after="0"/>
              <w:ind w:left="0" w:leftChars="0"/>
              <w:jc w:val="center"/>
              <w:rPr>
                <w:rFonts w:ascii="Arial" w:hAnsi="Arial" w:eastAsia="黑体" w:cs="Arial"/>
                <w:color w:val="000000" w:themeColor="text1"/>
                <w:szCs w:val="21"/>
                <w14:textFill>
                  <w14:solidFill>
                    <w14:schemeClr w14:val="tx1"/>
                  </w14:solidFill>
                </w14:textFill>
              </w:rPr>
            </w:pPr>
            <w:r>
              <w:rPr>
                <w:rFonts w:ascii="Arial" w:hAnsi="Arial" w:eastAsia="黑体" w:cs="Arial"/>
                <w:color w:val="000000" w:themeColor="text1"/>
                <w:spacing w:val="-6"/>
                <w14:textFill>
                  <w14:solidFill>
                    <w14:schemeClr w14:val="tx1"/>
                  </w14:solidFill>
                </w14:textFill>
              </w:rPr>
              <w:t>JZJT-ZB-2021-000</w:t>
            </w:r>
            <w:r>
              <w:rPr>
                <w:rFonts w:ascii="Arial" w:hAnsi="Arial" w:eastAsia="黑体" w:cs="Arial"/>
                <w:color w:val="000000" w:themeColor="text1"/>
                <w14:textFill>
                  <w14:solidFill>
                    <w14:schemeClr w14:val="tx1"/>
                  </w14:solidFill>
                </w14:textFill>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1334" w:type="dxa"/>
            <w:vMerge w:val="continue"/>
            <w:tcBorders>
              <w:top w:val="single" w:color="auto" w:sz="6" w:space="0"/>
              <w:left w:val="single" w:color="auto" w:sz="12" w:space="0"/>
              <w:bottom w:val="single" w:color="auto" w:sz="6" w:space="0"/>
              <w:right w:val="single" w:color="auto" w:sz="6" w:space="0"/>
            </w:tcBorders>
            <w:vAlign w:val="center"/>
          </w:tcPr>
          <w:p>
            <w:pPr>
              <w:widowControl/>
              <w:spacing w:beforeAutospacing="1" w:afterAutospacing="1"/>
              <w:rPr>
                <w:rFonts w:ascii="Arial" w:hAnsi="Arial" w:cs="Arial"/>
                <w:color w:val="000000" w:themeColor="text1"/>
                <w14:textFill>
                  <w14:solidFill>
                    <w14:schemeClr w14:val="tx1"/>
                  </w14:solidFill>
                </w14:textFill>
              </w:rPr>
            </w:pPr>
          </w:p>
        </w:tc>
        <w:tc>
          <w:tcPr>
            <w:tcW w:w="7726" w:type="dxa"/>
            <w:gridSpan w:val="7"/>
            <w:tcBorders>
              <w:top w:val="single" w:color="auto" w:sz="6" w:space="0"/>
              <w:left w:val="single" w:color="auto" w:sz="6" w:space="0"/>
              <w:bottom w:val="single" w:color="auto" w:sz="6" w:space="0"/>
              <w:right w:val="single" w:color="auto" w:sz="12"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说明：</w:t>
            </w:r>
          </w:p>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1.将一级下属企业及其各级下属企业作为转让方的企业产权转让事项，以及二级及以下下属企业的解散事项等由一级下属企业审议决策调整为九洲集团董事会决策。</w:t>
            </w:r>
          </w:p>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2.删除对非股权类资产的对外转让行为的有关条款，为该类资产的主管部门制定相应管理办法留出空间。</w:t>
            </w:r>
          </w:p>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3.对上市公司</w:t>
            </w:r>
            <w:r>
              <w:rPr>
                <w:rFonts w:hint="eastAsia" w:ascii="Arial" w:hAnsi="Arial" w:cs="Arial"/>
                <w:color w:val="000000" w:themeColor="text1"/>
                <w:szCs w:val="21"/>
                <w:lang w:eastAsia="zh-CN"/>
                <w14:textFill>
                  <w14:solidFill>
                    <w14:schemeClr w14:val="tx1"/>
                  </w14:solidFill>
                </w14:textFill>
              </w:rPr>
              <w:t>涉及的</w:t>
            </w:r>
            <w:r>
              <w:rPr>
                <w:rFonts w:ascii="Arial" w:hAnsi="Arial" w:cs="Arial"/>
                <w:color w:val="000000" w:themeColor="text1"/>
                <w:szCs w:val="21"/>
                <w14:textFill>
                  <w14:solidFill>
                    <w14:schemeClr w14:val="tx1"/>
                  </w14:solidFill>
                </w14:textFill>
              </w:rPr>
              <w:t>国有资产流转行为进行了规定。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334" w:type="dxa"/>
            <w:vMerge w:val="restart"/>
            <w:tcBorders>
              <w:top w:val="single" w:color="auto" w:sz="6" w:space="0"/>
              <w:left w:val="single" w:color="auto" w:sz="12"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《四川九洲投资控股集团有限公司企业国有</w:t>
            </w:r>
            <w:r>
              <w:rPr>
                <w:rFonts w:hint="eastAsia" w:ascii="Arial" w:hAnsi="Arial" w:cs="Arial"/>
                <w:color w:val="000000" w:themeColor="text1"/>
                <w:szCs w:val="21"/>
                <w14:textFill>
                  <w14:solidFill>
                    <w14:schemeClr w14:val="tx1"/>
                  </w14:solidFill>
                </w14:textFill>
              </w:rPr>
              <w:t>股权流转</w:t>
            </w:r>
            <w:r>
              <w:rPr>
                <w:rFonts w:ascii="Arial" w:hAnsi="Arial" w:cs="Arial"/>
                <w:color w:val="000000" w:themeColor="text1"/>
                <w:szCs w:val="21"/>
                <w14:textFill>
                  <w14:solidFill>
                    <w14:schemeClr w14:val="tx1"/>
                  </w14:solidFill>
                </w14:textFill>
              </w:rPr>
              <w:t>监督管理办法》</w:t>
            </w:r>
          </w:p>
        </w:tc>
        <w:tc>
          <w:tcPr>
            <w:tcW w:w="1202"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lang w:val="en-US"/>
                <w14:textFill>
                  <w14:solidFill>
                    <w14:schemeClr w14:val="tx1"/>
                  </w14:solidFill>
                </w14:textFill>
              </w:rPr>
            </w:pPr>
            <w:r>
              <w:rPr>
                <w:rFonts w:ascii="Arial" w:hAnsi="Arial" w:cs="Arial"/>
                <w:color w:val="000000" w:themeColor="text1"/>
                <w:szCs w:val="21"/>
                <w:lang w:val="en-US"/>
                <w14:textFill>
                  <w14:solidFill>
                    <w14:schemeClr w14:val="tx1"/>
                  </w14:solidFill>
                </w14:textFill>
              </w:rPr>
              <w:t>202</w:t>
            </w:r>
            <w:r>
              <w:rPr>
                <w:rFonts w:hint="eastAsia" w:ascii="Arial" w:hAnsi="Arial" w:cs="Arial"/>
                <w:color w:val="000000" w:themeColor="text1"/>
                <w:szCs w:val="21"/>
                <w:lang w:val="en-US"/>
                <w14:textFill>
                  <w14:solidFill>
                    <w14:schemeClr w14:val="tx1"/>
                  </w14:solidFill>
                </w14:textFill>
              </w:rPr>
              <w:t>4年</w:t>
            </w:r>
          </w:p>
        </w:tc>
        <w:tc>
          <w:tcPr>
            <w:tcW w:w="62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c>
          <w:tcPr>
            <w:tcW w:w="62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ascii="Arial" w:hAnsi="Arial" w:eastAsia="微软雅黑" w:cs="Arial"/>
                <w:color w:val="000000" w:themeColor="text1"/>
                <w:szCs w:val="21"/>
                <w14:textFill>
                  <w14:solidFill>
                    <w14:schemeClr w14:val="tx1"/>
                  </w14:solidFill>
                </w14:textFill>
              </w:rPr>
              <w:t>√</w:t>
            </w:r>
          </w:p>
        </w:tc>
        <w:tc>
          <w:tcPr>
            <w:tcW w:w="1349"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hint="eastAsia" w:ascii="Arial" w:hAnsi="Arial" w:cs="Arial"/>
                <w:color w:val="000000" w:themeColor="text1"/>
                <w:szCs w:val="21"/>
                <w14:textFill>
                  <w14:solidFill>
                    <w14:schemeClr w14:val="tx1"/>
                  </w14:solidFill>
                </w14:textFill>
              </w:rPr>
              <w:t>资本运营部</w:t>
            </w:r>
          </w:p>
        </w:tc>
        <w:tc>
          <w:tcPr>
            <w:tcW w:w="1111"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r>
              <w:rPr>
                <w:rFonts w:hint="eastAsia" w:ascii="Arial" w:hAnsi="Arial" w:cs="Arial"/>
                <w:color w:val="000000" w:themeColor="text1"/>
                <w:szCs w:val="21"/>
                <w14:textFill>
                  <w14:solidFill>
                    <w14:schemeClr w14:val="tx1"/>
                  </w14:solidFill>
                </w14:textFill>
              </w:rPr>
              <w:t>董事会</w:t>
            </w:r>
          </w:p>
        </w:tc>
        <w:tc>
          <w:tcPr>
            <w:tcW w:w="66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jc w:val="center"/>
              <w:rPr>
                <w:rFonts w:ascii="Arial" w:hAnsi="Arial" w:cs="Arial"/>
                <w:color w:val="000000" w:themeColor="text1"/>
                <w:szCs w:val="21"/>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12" w:space="0"/>
            </w:tcBorders>
            <w:vAlign w:val="center"/>
          </w:tcPr>
          <w:p>
            <w:pPr>
              <w:pStyle w:val="7"/>
              <w:adjustRightInd w:val="0"/>
              <w:snapToGrid w:val="0"/>
              <w:spacing w:after="0"/>
              <w:ind w:left="0" w:leftChars="0"/>
              <w:jc w:val="center"/>
              <w:rPr>
                <w:rFonts w:ascii="Arial" w:hAnsi="Arial" w:eastAsia="黑体" w:cs="Arial"/>
                <w:color w:val="000000" w:themeColor="text1"/>
                <w:szCs w:val="21"/>
                <w14:textFill>
                  <w14:solidFill>
                    <w14:schemeClr w14:val="tx1"/>
                  </w14:solidFill>
                </w14:textFill>
              </w:rPr>
            </w:pPr>
            <w:r>
              <w:rPr>
                <w:rFonts w:ascii="Arial" w:hAnsi="Arial" w:eastAsia="黑体" w:cs="Arial"/>
                <w:color w:val="000000" w:themeColor="text1"/>
                <w:spacing w:val="-6"/>
                <w14:textFill>
                  <w14:solidFill>
                    <w14:schemeClr w14:val="tx1"/>
                  </w14:solidFill>
                </w14:textFill>
              </w:rPr>
              <w:t>JZJT-ZB-202</w:t>
            </w:r>
            <w:r>
              <w:rPr>
                <w:rFonts w:hint="eastAsia" w:ascii="Arial" w:hAnsi="Arial" w:eastAsia="黑体" w:cs="Arial"/>
                <w:color w:val="000000" w:themeColor="text1"/>
                <w:spacing w:val="-6"/>
                <w:lang w:val="en-US"/>
                <w14:textFill>
                  <w14:solidFill>
                    <w14:schemeClr w14:val="tx1"/>
                  </w14:solidFill>
                </w14:textFill>
              </w:rPr>
              <w:t>4</w:t>
            </w:r>
            <w:r>
              <w:rPr>
                <w:rFonts w:ascii="Arial" w:hAnsi="Arial" w:eastAsia="黑体" w:cs="Arial"/>
                <w:color w:val="000000" w:themeColor="text1"/>
                <w:spacing w:val="-6"/>
                <w14:textFill>
                  <w14:solidFill>
                    <w14:schemeClr w14:val="tx1"/>
                  </w14:solidFill>
                </w14:textFill>
              </w:rPr>
              <w:t>-</w:t>
            </w:r>
            <w:r>
              <w:rPr>
                <w:rFonts w:ascii="Arial" w:hAnsi="Arial" w:eastAsia="黑体" w:cs="Arial"/>
                <w:color w:val="000000" w:themeColor="text1"/>
                <w:spacing w:val="-6"/>
                <w:lang w:val="en-US"/>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1334" w:type="dxa"/>
            <w:vMerge w:val="continue"/>
            <w:tcBorders>
              <w:top w:val="single" w:color="auto" w:sz="6" w:space="0"/>
              <w:left w:val="single" w:color="auto" w:sz="12" w:space="0"/>
              <w:bottom w:val="single" w:color="auto" w:sz="6" w:space="0"/>
              <w:right w:val="single" w:color="auto" w:sz="6" w:space="0"/>
            </w:tcBorders>
            <w:vAlign w:val="center"/>
          </w:tcPr>
          <w:p>
            <w:pPr>
              <w:widowControl/>
              <w:spacing w:beforeAutospacing="1" w:afterAutospacing="1"/>
              <w:rPr>
                <w:rFonts w:ascii="Arial" w:hAnsi="Arial" w:cs="Arial"/>
                <w:color w:val="000000" w:themeColor="text1"/>
                <w14:textFill>
                  <w14:solidFill>
                    <w14:schemeClr w14:val="tx1"/>
                  </w14:solidFill>
                </w14:textFill>
              </w:rPr>
            </w:pPr>
          </w:p>
        </w:tc>
        <w:tc>
          <w:tcPr>
            <w:tcW w:w="7726" w:type="dxa"/>
            <w:gridSpan w:val="7"/>
            <w:tcBorders>
              <w:top w:val="single" w:color="auto" w:sz="6" w:space="0"/>
              <w:left w:val="single" w:color="auto" w:sz="6" w:space="0"/>
              <w:bottom w:val="single" w:color="auto" w:sz="6" w:space="0"/>
              <w:right w:val="single" w:color="auto" w:sz="12"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说明：</w:t>
            </w:r>
          </w:p>
          <w:p>
            <w:pPr>
              <w:pStyle w:val="7"/>
              <w:numPr>
                <w:ilvl w:val="255"/>
                <w:numId w:val="0"/>
              </w:numPr>
              <w:adjustRightInd w:val="0"/>
              <w:snapToGrid w:val="0"/>
              <w:spacing w:after="0"/>
              <w:rPr>
                <w:rFonts w:ascii="Arial" w:hAnsi="Arial" w:cs="Arial"/>
                <w:color w:val="000000" w:themeColor="text1"/>
                <w:szCs w:val="21"/>
                <w:lang w:val="en-US"/>
                <w14:textFill>
                  <w14:solidFill>
                    <w14:schemeClr w14:val="tx1"/>
                  </w14:solidFill>
                </w14:textFill>
              </w:rPr>
            </w:pPr>
            <w:r>
              <w:rPr>
                <w:rFonts w:ascii="Arial" w:hAnsi="Arial" w:cs="Arial"/>
                <w:color w:val="000000" w:themeColor="text1"/>
                <w:szCs w:val="21"/>
                <w:lang w:val="en-US"/>
                <w14:textFill>
                  <w14:solidFill>
                    <w14:schemeClr w14:val="tx1"/>
                  </w14:solidFill>
                </w14:textFill>
              </w:rPr>
              <w:t>1.</w:t>
            </w:r>
            <w:r>
              <w:rPr>
                <w:rFonts w:hint="eastAsia" w:ascii="Arial" w:hAnsi="Arial" w:cs="Arial"/>
                <w:color w:val="000000" w:themeColor="text1"/>
                <w:szCs w:val="21"/>
                <w:lang w:val="en-US"/>
                <w14:textFill>
                  <w14:solidFill>
                    <w14:schemeClr w14:val="tx1"/>
                  </w14:solidFill>
                </w14:textFill>
              </w:rPr>
              <w:t>增加产权置换流转行为有关规定。</w:t>
            </w:r>
          </w:p>
          <w:p>
            <w:pPr>
              <w:pStyle w:val="7"/>
              <w:numPr>
                <w:ilvl w:val="255"/>
                <w:numId w:val="0"/>
              </w:numPr>
              <w:adjustRightInd w:val="0"/>
              <w:snapToGrid w:val="0"/>
              <w:spacing w:after="0"/>
              <w:rPr>
                <w:rFonts w:ascii="Arial" w:hAnsi="Arial" w:cs="Arial"/>
                <w:color w:val="000000" w:themeColor="text1"/>
                <w:szCs w:val="21"/>
                <w:lang w:val="en-US"/>
                <w14:textFill>
                  <w14:solidFill>
                    <w14:schemeClr w14:val="tx1"/>
                  </w14:solidFill>
                </w14:textFill>
              </w:rPr>
            </w:pPr>
            <w:r>
              <w:rPr>
                <w:rFonts w:ascii="Arial" w:hAnsi="Arial" w:cs="Arial"/>
                <w:color w:val="000000" w:themeColor="text1"/>
                <w:szCs w:val="21"/>
                <w:lang w:val="en-US"/>
                <w14:textFill>
                  <w14:solidFill>
                    <w14:schemeClr w14:val="tx1"/>
                  </w14:solidFill>
                </w14:textFill>
              </w:rPr>
              <w:t>2.</w:t>
            </w:r>
            <w:r>
              <w:rPr>
                <w:rFonts w:hint="eastAsia" w:ascii="Arial" w:hAnsi="Arial" w:cs="Arial"/>
                <w:color w:val="000000" w:themeColor="text1"/>
                <w:szCs w:val="21"/>
                <w:lang w:val="en-US"/>
                <w14:textFill>
                  <w14:solidFill>
                    <w14:schemeClr w14:val="tx1"/>
                  </w14:solidFill>
                </w14:textFill>
              </w:rPr>
              <w:t>明确需单独委托中介机构提供服务的股权流转事项党委会前置研究，董事长审批，其他事项不立项；所有事项均须提交集团党委会前置研究、董事会审批（根据需要报上级机关审批）。</w:t>
            </w:r>
          </w:p>
          <w:p>
            <w:pPr>
              <w:pStyle w:val="7"/>
              <w:adjustRightInd w:val="0"/>
              <w:snapToGrid w:val="0"/>
              <w:spacing w:after="0"/>
              <w:ind w:left="0" w:leftChars="0"/>
              <w:rPr>
                <w:rFonts w:ascii="Arial" w:hAnsi="Arial" w:cs="Arial"/>
                <w:color w:val="000000" w:themeColor="text1"/>
                <w:szCs w:val="21"/>
                <w:lang w:val="en-US"/>
                <w14:textFill>
                  <w14:solidFill>
                    <w14:schemeClr w14:val="tx1"/>
                  </w14:solidFill>
                </w14:textFill>
              </w:rPr>
            </w:pPr>
            <w:r>
              <w:rPr>
                <w:rFonts w:ascii="Arial" w:hAnsi="Arial" w:cs="Arial"/>
                <w:color w:val="000000" w:themeColor="text1"/>
                <w:szCs w:val="21"/>
                <w:lang w:val="en-US"/>
                <w14:textFill>
                  <w14:solidFill>
                    <w14:schemeClr w14:val="tx1"/>
                  </w14:solidFill>
                </w14:textFill>
              </w:rPr>
              <w:t>3.</w:t>
            </w:r>
            <w:r>
              <w:rPr>
                <w:rFonts w:hint="eastAsia" w:ascii="Arial" w:hAnsi="Arial" w:cs="Arial"/>
                <w:color w:val="000000" w:themeColor="text1"/>
                <w:szCs w:val="21"/>
                <w:lang w:val="en-US"/>
                <w14:textFill>
                  <w14:solidFill>
                    <w14:schemeClr w14:val="tx1"/>
                  </w14:solidFill>
                </w14:textFill>
              </w:rPr>
              <w:t>增加产权转让、增资公开挂牌涉及信息披露的有关条款。</w:t>
            </w:r>
          </w:p>
          <w:p>
            <w:pPr>
              <w:pStyle w:val="7"/>
              <w:adjustRightInd w:val="0"/>
              <w:snapToGrid w:val="0"/>
              <w:spacing w:after="0"/>
              <w:ind w:left="0" w:leftChars="0"/>
              <w:rPr>
                <w:rFonts w:ascii="Arial" w:hAnsi="Arial" w:cs="Arial"/>
                <w:color w:val="000000" w:themeColor="text1"/>
                <w:szCs w:val="21"/>
                <w:lang w:val="en-US"/>
                <w14:textFill>
                  <w14:solidFill>
                    <w14:schemeClr w14:val="tx1"/>
                  </w14:solidFill>
                </w14:textFill>
              </w:rPr>
            </w:pPr>
            <w:r>
              <w:rPr>
                <w:rFonts w:ascii="Arial" w:hAnsi="Arial" w:cs="Arial"/>
                <w:color w:val="000000" w:themeColor="text1"/>
                <w:szCs w:val="21"/>
                <w:lang w:val="en-US"/>
                <w14:textFill>
                  <w14:solidFill>
                    <w14:schemeClr w14:val="tx1"/>
                  </w14:solidFill>
                </w14:textFill>
              </w:rPr>
              <w:t>4.</w:t>
            </w:r>
            <w:r>
              <w:rPr>
                <w:rFonts w:hint="eastAsia" w:ascii="Arial" w:hAnsi="Arial" w:cs="Arial"/>
                <w:color w:val="000000" w:themeColor="text1"/>
                <w:szCs w:val="21"/>
                <w:lang w:val="en-US"/>
                <w14:textFill>
                  <w14:solidFill>
                    <w14:schemeClr w14:val="tx1"/>
                  </w14:solidFill>
                </w14:textFill>
              </w:rPr>
              <w:t>增加《关于企业国有资产交易流转有关事项的通知》（国资发产权规〔</w:t>
            </w:r>
            <w:r>
              <w:rPr>
                <w:rFonts w:ascii="Arial" w:hAnsi="Arial" w:cs="Arial"/>
                <w:color w:val="000000" w:themeColor="text1"/>
                <w:szCs w:val="21"/>
                <w:lang w:val="en-US"/>
                <w14:textFill>
                  <w14:solidFill>
                    <w14:schemeClr w14:val="tx1"/>
                  </w14:solidFill>
                </w14:textFill>
              </w:rPr>
              <w:t>2022</w:t>
            </w:r>
            <w:r>
              <w:rPr>
                <w:rFonts w:hint="eastAsia" w:ascii="Arial" w:hAnsi="Arial" w:cs="Arial"/>
                <w:color w:val="000000" w:themeColor="text1"/>
                <w:szCs w:val="21"/>
                <w:lang w:val="en-US"/>
                <w14:textFill>
                  <w14:solidFill>
                    <w14:schemeClr w14:val="tx1"/>
                  </w14:solidFill>
                </w14:textFill>
              </w:rPr>
              <w:t>〕</w:t>
            </w:r>
            <w:r>
              <w:rPr>
                <w:rFonts w:ascii="Arial" w:hAnsi="Arial" w:cs="Arial"/>
                <w:color w:val="000000" w:themeColor="text1"/>
                <w:szCs w:val="21"/>
                <w:lang w:val="en-US"/>
                <w14:textFill>
                  <w14:solidFill>
                    <w14:schemeClr w14:val="tx1"/>
                  </w14:solidFill>
                </w14:textFill>
              </w:rPr>
              <w:t>39</w:t>
            </w:r>
            <w:r>
              <w:rPr>
                <w:rFonts w:hint="eastAsia" w:ascii="Arial" w:hAnsi="Arial" w:cs="Arial"/>
                <w:color w:val="000000" w:themeColor="text1"/>
                <w:szCs w:val="21"/>
                <w:lang w:val="en-US"/>
                <w14:textFill>
                  <w14:solidFill>
                    <w14:schemeClr w14:val="tx1"/>
                  </w14:solidFill>
                </w14:textFill>
              </w:rPr>
              <w:t>号）有关新增规定。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1334" w:type="dxa"/>
            <w:vMerge w:val="restart"/>
            <w:tcBorders>
              <w:top w:val="single" w:color="auto" w:sz="6" w:space="0"/>
              <w:left w:val="single" w:color="auto" w:sz="12" w:space="0"/>
              <w:bottom w:val="single" w:color="auto" w:sz="6" w:space="0"/>
              <w:right w:val="single" w:color="auto" w:sz="6" w:space="0"/>
            </w:tcBorders>
            <w:vAlign w:val="center"/>
          </w:tcPr>
          <w:p>
            <w:pPr>
              <w:widowControl/>
              <w:spacing w:beforeAutospacing="1" w:afterAutospacing="1"/>
              <w:rPr>
                <w:rFonts w:ascii="Arial" w:hAnsi="Arial" w:cs="Arial"/>
                <w:color w:val="000000" w:themeColor="text1"/>
                <w14:textFill>
                  <w14:solidFill>
                    <w14:schemeClr w14:val="tx1"/>
                  </w14:solidFill>
                </w14:textFill>
              </w:rPr>
            </w:pPr>
          </w:p>
        </w:tc>
        <w:tc>
          <w:tcPr>
            <w:tcW w:w="1202"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c>
          <w:tcPr>
            <w:tcW w:w="62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c>
          <w:tcPr>
            <w:tcW w:w="62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c>
          <w:tcPr>
            <w:tcW w:w="1349"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c>
          <w:tcPr>
            <w:tcW w:w="1111"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12" w:space="0"/>
            </w:tcBorders>
            <w:vAlign w:val="center"/>
          </w:tcPr>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1334" w:type="dxa"/>
            <w:vMerge w:val="continue"/>
            <w:tcBorders>
              <w:top w:val="single" w:color="auto" w:sz="6" w:space="0"/>
              <w:left w:val="single" w:color="auto" w:sz="12" w:space="0"/>
              <w:bottom w:val="single" w:color="auto" w:sz="12" w:space="0"/>
              <w:right w:val="single" w:color="auto" w:sz="6" w:space="0"/>
            </w:tcBorders>
            <w:vAlign w:val="center"/>
          </w:tcPr>
          <w:p>
            <w:pPr>
              <w:widowControl/>
              <w:spacing w:beforeAutospacing="1" w:afterAutospacing="1"/>
              <w:rPr>
                <w:rFonts w:ascii="Arial" w:hAnsi="Arial" w:cs="Arial"/>
                <w:color w:val="000000" w:themeColor="text1"/>
                <w14:textFill>
                  <w14:solidFill>
                    <w14:schemeClr w14:val="tx1"/>
                  </w14:solidFill>
                </w14:textFill>
              </w:rPr>
            </w:pPr>
          </w:p>
        </w:tc>
        <w:tc>
          <w:tcPr>
            <w:tcW w:w="7726" w:type="dxa"/>
            <w:gridSpan w:val="7"/>
            <w:tcBorders>
              <w:top w:val="single" w:color="auto" w:sz="6" w:space="0"/>
              <w:left w:val="single" w:color="auto" w:sz="6" w:space="0"/>
              <w:bottom w:val="single" w:color="auto" w:sz="12" w:space="0"/>
              <w:right w:val="single" w:color="auto" w:sz="12" w:space="0"/>
            </w:tcBorders>
            <w:vAlign w:val="center"/>
          </w:tcPr>
          <w:p>
            <w:pPr>
              <w:pStyle w:val="7"/>
              <w:adjustRightInd w:val="0"/>
              <w:snapToGrid w:val="0"/>
              <w:spacing w:after="0"/>
              <w:ind w:left="0" w:leftChars="0"/>
              <w:rPr>
                <w:rFonts w:ascii="Arial" w:hAnsi="Arial" w:eastAsia="黑体"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说明：</w:t>
            </w:r>
          </w:p>
          <w:p>
            <w:pPr>
              <w:pStyle w:val="7"/>
              <w:adjustRightInd w:val="0"/>
              <w:snapToGrid w:val="0"/>
              <w:spacing w:after="0"/>
              <w:ind w:left="0" w:leftChars="0"/>
              <w:rPr>
                <w:rFonts w:ascii="Arial" w:hAnsi="Arial" w:cs="Arial"/>
                <w:color w:val="000000" w:themeColor="text1"/>
                <w:szCs w:val="21"/>
                <w14:textFill>
                  <w14:solidFill>
                    <w14:schemeClr w14:val="tx1"/>
                  </w14:solidFill>
                </w14:textFill>
              </w:rPr>
            </w:pPr>
          </w:p>
        </w:tc>
      </w:tr>
    </w:tbl>
    <w:p>
      <w:pPr>
        <w:adjustRightInd w:val="0"/>
        <w:snapToGrid w:val="0"/>
        <w:spacing w:line="560" w:lineRule="exact"/>
        <w:ind w:firstLine="4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注：“说明”阐述修改的主要内容</w:t>
      </w:r>
    </w:p>
    <w:p>
      <w:pPr>
        <w:pStyle w:val="2"/>
        <w:ind w:firstLine="440"/>
        <w:rPr>
          <w:color w:val="000000" w:themeColor="text1"/>
          <w14:textFill>
            <w14:solidFill>
              <w14:schemeClr w14:val="tx1"/>
            </w14:solidFill>
          </w14:textFill>
        </w:rPr>
      </w:pPr>
    </w:p>
    <w:p>
      <w:pPr>
        <w:pStyle w:val="2"/>
        <w:ind w:firstLine="440"/>
        <w:rPr>
          <w:color w:val="000000" w:themeColor="text1"/>
          <w14:textFill>
            <w14:solidFill>
              <w14:schemeClr w14:val="tx1"/>
            </w14:solidFill>
          </w14:textFill>
        </w:rPr>
        <w:sectPr>
          <w:headerReference r:id="rId4" w:type="default"/>
          <w:footerReference r:id="rId5" w:type="default"/>
          <w:footerReference r:id="rId6" w:type="even"/>
          <w:pgSz w:w="11928" w:h="16860"/>
          <w:pgMar w:top="2098" w:right="1474" w:bottom="1984" w:left="1587" w:header="850" w:footer="992" w:gutter="0"/>
          <w:pgNumType w:fmt="numberInDash"/>
          <w:cols w:space="0" w:num="1"/>
        </w:sectPr>
      </w:pPr>
    </w:p>
    <w:p>
      <w:pPr>
        <w:pStyle w:val="6"/>
        <w:adjustRightInd w:val="0"/>
        <w:snapToGrid w:val="0"/>
        <w:spacing w:line="560" w:lineRule="exact"/>
        <w:ind w:firstLine="0" w:firstLineChars="0"/>
        <w:jc w:val="center"/>
      </w:pPr>
      <w:r>
        <w:rPr>
          <w:rFonts w:hint="eastAsia"/>
          <w:b/>
          <w:bCs/>
          <w:sz w:val="32"/>
          <w:szCs w:val="32"/>
        </w:rPr>
        <w:t>目</w:t>
      </w:r>
      <w:r>
        <w:rPr>
          <w:rFonts w:hint="eastAsia"/>
          <w:b/>
          <w:bCs/>
          <w:sz w:val="32"/>
          <w:szCs w:val="32"/>
          <w:lang w:val="en-US"/>
        </w:rPr>
        <w:t xml:space="preserve">  </w:t>
      </w:r>
      <w:r>
        <w:rPr>
          <w:rFonts w:hint="eastAsia"/>
          <w:b/>
          <w:bCs/>
          <w:sz w:val="32"/>
          <w:szCs w:val="32"/>
        </w:rPr>
        <w:t>录</w:t>
      </w:r>
    </w:p>
    <w:sdt>
      <w:sdtPr>
        <w:rPr>
          <w:rFonts w:ascii="宋体" w:hAnsi="宋体" w:eastAsia="宋体"/>
          <w:sz w:val="21"/>
        </w:rPr>
        <w:id w:val="147463111"/>
        <w15:color w:val="DBDBDB"/>
        <w:docPartObj>
          <w:docPartGallery w:val="Table of Contents"/>
          <w:docPartUnique/>
        </w:docPartObj>
      </w:sdtPr>
      <w:sdtEndPr>
        <w:rPr>
          <w:rFonts w:ascii="宋体" w:hAnsi="宋体" w:eastAsia="宋体"/>
          <w:b/>
          <w:sz w:val="21"/>
        </w:rPr>
      </w:sdtEndPr>
      <w:sdtContent>
        <w:p>
          <w:pPr>
            <w:rPr>
              <w:rFonts w:ascii="仿宋_GB2312" w:hAnsi="仿宋_GB2312" w:eastAsia="仿宋_GB2312" w:cs="仿宋_GB2312"/>
              <w:b/>
              <w:sz w:val="22"/>
              <w:szCs w:val="22"/>
              <w:lang w:val="zh-CN" w:eastAsia="zh-CN" w:bidi="zh-CN"/>
            </w:rPr>
          </w:pPr>
          <w:r>
            <w:fldChar w:fldCharType="begin"/>
          </w:r>
          <w:r>
            <w:instrText xml:space="preserve">TOC \o "1-2" \h \u </w:instrText>
          </w:r>
          <w:r>
            <w:fldChar w:fldCharType="separate"/>
          </w:r>
        </w:p>
        <w:p>
          <w:pPr>
            <w:pStyle w:val="11"/>
            <w:tabs>
              <w:tab w:val="right" w:leader="dot" w:pos="8867"/>
            </w:tabs>
            <w:spacing w:before="0" w:line="560" w:lineRule="exact"/>
            <w:rPr>
              <w:sz w:val="32"/>
              <w:szCs w:val="32"/>
            </w:rPr>
          </w:pPr>
          <w:r>
            <w:rPr>
              <w:sz w:val="32"/>
              <w:szCs w:val="32"/>
            </w:rPr>
            <w:fldChar w:fldCharType="begin"/>
          </w:r>
          <w:r>
            <w:rPr>
              <w:sz w:val="32"/>
              <w:szCs w:val="32"/>
            </w:rPr>
            <w:instrText xml:space="preserve"> HYPERLINK \l _Toc19056 </w:instrText>
          </w:r>
          <w:r>
            <w:rPr>
              <w:sz w:val="32"/>
              <w:szCs w:val="32"/>
            </w:rPr>
            <w:fldChar w:fldCharType="separate"/>
          </w:r>
          <w:r>
            <w:rPr>
              <w:rFonts w:hint="eastAsia"/>
              <w:sz w:val="32"/>
              <w:szCs w:val="32"/>
              <w:lang w:val="en-US"/>
            </w:rPr>
            <w:t>第一章  总  则</w:t>
          </w:r>
          <w:r>
            <w:rPr>
              <w:sz w:val="32"/>
              <w:szCs w:val="32"/>
            </w:rPr>
            <w:tab/>
          </w:r>
          <w:r>
            <w:rPr>
              <w:sz w:val="32"/>
              <w:szCs w:val="32"/>
            </w:rPr>
            <w:fldChar w:fldCharType="begin"/>
          </w:r>
          <w:r>
            <w:rPr>
              <w:sz w:val="32"/>
              <w:szCs w:val="32"/>
            </w:rPr>
            <w:instrText xml:space="preserve"> PAGEREF _Toc19056 \h </w:instrText>
          </w:r>
          <w:r>
            <w:rPr>
              <w:sz w:val="32"/>
              <w:szCs w:val="32"/>
            </w:rPr>
            <w:fldChar w:fldCharType="separate"/>
          </w:r>
          <w:r>
            <w:rPr>
              <w:sz w:val="32"/>
              <w:szCs w:val="32"/>
            </w:rPr>
            <w:t>1</w:t>
          </w:r>
          <w:r>
            <w:rPr>
              <w:sz w:val="32"/>
              <w:szCs w:val="32"/>
            </w:rPr>
            <w:fldChar w:fldCharType="end"/>
          </w:r>
          <w:r>
            <w:rPr>
              <w:sz w:val="32"/>
              <w:szCs w:val="32"/>
            </w:rPr>
            <w:fldChar w:fldCharType="end"/>
          </w:r>
        </w:p>
        <w:p>
          <w:pPr>
            <w:pStyle w:val="11"/>
            <w:tabs>
              <w:tab w:val="right" w:leader="dot" w:pos="8867"/>
            </w:tabs>
            <w:spacing w:before="0" w:line="560" w:lineRule="exact"/>
            <w:rPr>
              <w:sz w:val="32"/>
              <w:szCs w:val="32"/>
            </w:rPr>
          </w:pPr>
          <w:r>
            <w:rPr>
              <w:sz w:val="32"/>
              <w:szCs w:val="32"/>
            </w:rPr>
            <w:fldChar w:fldCharType="begin"/>
          </w:r>
          <w:r>
            <w:rPr>
              <w:sz w:val="32"/>
              <w:szCs w:val="32"/>
            </w:rPr>
            <w:instrText xml:space="preserve"> HYPERLINK \l _Toc27446 </w:instrText>
          </w:r>
          <w:r>
            <w:rPr>
              <w:sz w:val="32"/>
              <w:szCs w:val="32"/>
            </w:rPr>
            <w:fldChar w:fldCharType="separate"/>
          </w:r>
          <w:r>
            <w:rPr>
              <w:rFonts w:hint="eastAsia" w:ascii="仿宋_GB2312" w:hAnsi="仿宋_GB2312" w:eastAsia="仿宋_GB2312" w:cs="仿宋_GB2312"/>
              <w:bCs/>
              <w:sz w:val="32"/>
              <w:szCs w:val="32"/>
              <w:lang w:val="en-US"/>
            </w:rPr>
            <w:t>第二章  决策机构及决策权限</w:t>
          </w:r>
          <w:r>
            <w:rPr>
              <w:sz w:val="32"/>
              <w:szCs w:val="32"/>
            </w:rPr>
            <w:tab/>
          </w:r>
          <w:r>
            <w:rPr>
              <w:sz w:val="32"/>
              <w:szCs w:val="32"/>
            </w:rPr>
            <w:fldChar w:fldCharType="begin"/>
          </w:r>
          <w:r>
            <w:rPr>
              <w:sz w:val="32"/>
              <w:szCs w:val="32"/>
            </w:rPr>
            <w:instrText xml:space="preserve"> PAGEREF _Toc27446 \h </w:instrText>
          </w:r>
          <w:r>
            <w:rPr>
              <w:sz w:val="32"/>
              <w:szCs w:val="32"/>
            </w:rPr>
            <w:fldChar w:fldCharType="separate"/>
          </w:r>
          <w:r>
            <w:rPr>
              <w:sz w:val="32"/>
              <w:szCs w:val="32"/>
            </w:rPr>
            <w:t>3</w:t>
          </w:r>
          <w:r>
            <w:rPr>
              <w:sz w:val="32"/>
              <w:szCs w:val="32"/>
            </w:rPr>
            <w:fldChar w:fldCharType="end"/>
          </w:r>
          <w:r>
            <w:rPr>
              <w:sz w:val="32"/>
              <w:szCs w:val="32"/>
            </w:rPr>
            <w:fldChar w:fldCharType="end"/>
          </w:r>
        </w:p>
        <w:p>
          <w:pPr>
            <w:pStyle w:val="11"/>
            <w:tabs>
              <w:tab w:val="right" w:leader="dot" w:pos="8867"/>
            </w:tabs>
            <w:spacing w:before="0" w:line="560" w:lineRule="exact"/>
            <w:rPr>
              <w:sz w:val="32"/>
              <w:szCs w:val="32"/>
            </w:rPr>
          </w:pPr>
          <w:r>
            <w:rPr>
              <w:sz w:val="32"/>
              <w:szCs w:val="32"/>
            </w:rPr>
            <w:fldChar w:fldCharType="begin"/>
          </w:r>
          <w:r>
            <w:rPr>
              <w:sz w:val="32"/>
              <w:szCs w:val="32"/>
            </w:rPr>
            <w:instrText xml:space="preserve"> HYPERLINK \l _Toc10851 </w:instrText>
          </w:r>
          <w:r>
            <w:rPr>
              <w:sz w:val="32"/>
              <w:szCs w:val="32"/>
            </w:rPr>
            <w:fldChar w:fldCharType="separate"/>
          </w:r>
          <w:r>
            <w:rPr>
              <w:rFonts w:hint="eastAsia" w:ascii="仿宋_GB2312" w:hAnsi="仿宋_GB2312" w:eastAsia="仿宋_GB2312" w:cs="仿宋_GB2312"/>
              <w:bCs/>
              <w:sz w:val="32"/>
              <w:szCs w:val="32"/>
              <w:lang w:val="en-US"/>
            </w:rPr>
            <w:t>第三章  股权流转管理流程</w:t>
          </w:r>
          <w:r>
            <w:rPr>
              <w:sz w:val="32"/>
              <w:szCs w:val="32"/>
            </w:rPr>
            <w:tab/>
          </w:r>
          <w:r>
            <w:rPr>
              <w:sz w:val="32"/>
              <w:szCs w:val="32"/>
            </w:rPr>
            <w:fldChar w:fldCharType="begin"/>
          </w:r>
          <w:r>
            <w:rPr>
              <w:sz w:val="32"/>
              <w:szCs w:val="32"/>
            </w:rPr>
            <w:instrText xml:space="preserve"> PAGEREF _Toc10851 \h </w:instrText>
          </w:r>
          <w:r>
            <w:rPr>
              <w:sz w:val="32"/>
              <w:szCs w:val="32"/>
            </w:rPr>
            <w:fldChar w:fldCharType="separate"/>
          </w:r>
          <w:r>
            <w:rPr>
              <w:sz w:val="32"/>
              <w:szCs w:val="32"/>
            </w:rPr>
            <w:t>4</w:t>
          </w:r>
          <w:r>
            <w:rPr>
              <w:sz w:val="32"/>
              <w:szCs w:val="32"/>
            </w:rPr>
            <w:fldChar w:fldCharType="end"/>
          </w:r>
          <w:r>
            <w:rPr>
              <w:sz w:val="32"/>
              <w:szCs w:val="32"/>
            </w:rPr>
            <w:fldChar w:fldCharType="end"/>
          </w:r>
        </w:p>
        <w:p>
          <w:pPr>
            <w:pStyle w:val="11"/>
            <w:tabs>
              <w:tab w:val="right" w:leader="dot" w:pos="8867"/>
            </w:tabs>
            <w:spacing w:before="0" w:line="560" w:lineRule="exact"/>
            <w:rPr>
              <w:sz w:val="32"/>
              <w:szCs w:val="32"/>
            </w:rPr>
          </w:pPr>
          <w:r>
            <w:rPr>
              <w:sz w:val="32"/>
              <w:szCs w:val="32"/>
            </w:rPr>
            <w:fldChar w:fldCharType="begin"/>
          </w:r>
          <w:r>
            <w:rPr>
              <w:sz w:val="32"/>
              <w:szCs w:val="32"/>
            </w:rPr>
            <w:instrText xml:space="preserve"> HYPERLINK \l _Toc84 </w:instrText>
          </w:r>
          <w:r>
            <w:rPr>
              <w:sz w:val="32"/>
              <w:szCs w:val="32"/>
            </w:rPr>
            <w:fldChar w:fldCharType="separate"/>
          </w:r>
          <w:r>
            <w:rPr>
              <w:rFonts w:hint="eastAsia" w:ascii="仿宋_GB2312" w:hAnsi="仿宋_GB2312" w:eastAsia="仿宋_GB2312" w:cs="仿宋_GB2312"/>
              <w:bCs/>
              <w:sz w:val="32"/>
              <w:szCs w:val="32"/>
              <w:lang w:val="en-US"/>
            </w:rPr>
            <w:t>第四章  股权流转特别规定</w:t>
          </w:r>
          <w:r>
            <w:rPr>
              <w:sz w:val="32"/>
              <w:szCs w:val="32"/>
            </w:rPr>
            <w:tab/>
          </w:r>
          <w:r>
            <w:rPr>
              <w:sz w:val="32"/>
              <w:szCs w:val="32"/>
            </w:rPr>
            <w:fldChar w:fldCharType="begin"/>
          </w:r>
          <w:r>
            <w:rPr>
              <w:sz w:val="32"/>
              <w:szCs w:val="32"/>
            </w:rPr>
            <w:instrText xml:space="preserve"> PAGEREF _Toc84 \h </w:instrText>
          </w:r>
          <w:r>
            <w:rPr>
              <w:sz w:val="32"/>
              <w:szCs w:val="32"/>
            </w:rPr>
            <w:fldChar w:fldCharType="separate"/>
          </w:r>
          <w:r>
            <w:rPr>
              <w:sz w:val="32"/>
              <w:szCs w:val="32"/>
            </w:rPr>
            <w:t>5</w:t>
          </w:r>
          <w:r>
            <w:rPr>
              <w:sz w:val="32"/>
              <w:szCs w:val="32"/>
            </w:rPr>
            <w:fldChar w:fldCharType="end"/>
          </w:r>
          <w:r>
            <w:rPr>
              <w:sz w:val="32"/>
              <w:szCs w:val="32"/>
            </w:rPr>
            <w:fldChar w:fldCharType="end"/>
          </w:r>
        </w:p>
        <w:p>
          <w:pPr>
            <w:pStyle w:val="12"/>
            <w:tabs>
              <w:tab w:val="right" w:leader="dot" w:pos="8867"/>
            </w:tabs>
            <w:spacing w:line="560" w:lineRule="exact"/>
            <w:rPr>
              <w:sz w:val="32"/>
              <w:szCs w:val="32"/>
            </w:rPr>
          </w:pPr>
          <w:r>
            <w:rPr>
              <w:sz w:val="32"/>
              <w:szCs w:val="32"/>
            </w:rPr>
            <w:fldChar w:fldCharType="begin"/>
          </w:r>
          <w:r>
            <w:rPr>
              <w:sz w:val="32"/>
              <w:szCs w:val="32"/>
            </w:rPr>
            <w:instrText xml:space="preserve"> HYPERLINK \l _Toc7239 </w:instrText>
          </w:r>
          <w:r>
            <w:rPr>
              <w:sz w:val="32"/>
              <w:szCs w:val="32"/>
            </w:rPr>
            <w:fldChar w:fldCharType="separate"/>
          </w:r>
          <w:r>
            <w:rPr>
              <w:rFonts w:hint="eastAsia" w:ascii="仿宋_GB2312" w:hAnsi="仿宋_GB2312" w:cs="仿宋_GB2312"/>
              <w:sz w:val="32"/>
              <w:szCs w:val="32"/>
              <w:lang w:val="en-US"/>
            </w:rPr>
            <w:t>第一节  企业产权转让</w:t>
          </w:r>
          <w:r>
            <w:rPr>
              <w:sz w:val="32"/>
              <w:szCs w:val="32"/>
            </w:rPr>
            <w:tab/>
          </w:r>
          <w:r>
            <w:rPr>
              <w:sz w:val="32"/>
              <w:szCs w:val="32"/>
            </w:rPr>
            <w:fldChar w:fldCharType="begin"/>
          </w:r>
          <w:r>
            <w:rPr>
              <w:sz w:val="32"/>
              <w:szCs w:val="32"/>
            </w:rPr>
            <w:instrText xml:space="preserve"> PAGEREF _Toc7239 \h </w:instrText>
          </w:r>
          <w:r>
            <w:rPr>
              <w:sz w:val="32"/>
              <w:szCs w:val="32"/>
            </w:rPr>
            <w:fldChar w:fldCharType="separate"/>
          </w:r>
          <w:r>
            <w:rPr>
              <w:sz w:val="32"/>
              <w:szCs w:val="32"/>
            </w:rPr>
            <w:t>5</w:t>
          </w:r>
          <w:r>
            <w:rPr>
              <w:sz w:val="32"/>
              <w:szCs w:val="32"/>
            </w:rPr>
            <w:fldChar w:fldCharType="end"/>
          </w:r>
          <w:r>
            <w:rPr>
              <w:sz w:val="32"/>
              <w:szCs w:val="32"/>
            </w:rPr>
            <w:fldChar w:fldCharType="end"/>
          </w:r>
        </w:p>
        <w:p>
          <w:pPr>
            <w:pStyle w:val="12"/>
            <w:tabs>
              <w:tab w:val="right" w:leader="dot" w:pos="8867"/>
            </w:tabs>
            <w:spacing w:line="560" w:lineRule="exact"/>
            <w:rPr>
              <w:sz w:val="32"/>
              <w:szCs w:val="32"/>
            </w:rPr>
          </w:pPr>
          <w:r>
            <w:rPr>
              <w:sz w:val="32"/>
              <w:szCs w:val="32"/>
            </w:rPr>
            <w:fldChar w:fldCharType="begin"/>
          </w:r>
          <w:r>
            <w:rPr>
              <w:sz w:val="32"/>
              <w:szCs w:val="32"/>
            </w:rPr>
            <w:instrText xml:space="preserve"> HYPERLINK \l _Toc9863 </w:instrText>
          </w:r>
          <w:r>
            <w:rPr>
              <w:sz w:val="32"/>
              <w:szCs w:val="32"/>
            </w:rPr>
            <w:fldChar w:fldCharType="separate"/>
          </w:r>
          <w:r>
            <w:rPr>
              <w:rFonts w:hint="eastAsia" w:ascii="仿宋_GB2312" w:hAnsi="仿宋_GB2312" w:cs="仿宋_GB2312"/>
              <w:sz w:val="32"/>
              <w:szCs w:val="32"/>
              <w:lang w:val="en-US"/>
            </w:rPr>
            <w:t>第二节  企业增资</w:t>
          </w:r>
          <w:r>
            <w:rPr>
              <w:sz w:val="32"/>
              <w:szCs w:val="32"/>
            </w:rPr>
            <w:tab/>
          </w:r>
          <w:r>
            <w:rPr>
              <w:sz w:val="32"/>
              <w:szCs w:val="32"/>
            </w:rPr>
            <w:fldChar w:fldCharType="begin"/>
          </w:r>
          <w:r>
            <w:rPr>
              <w:sz w:val="32"/>
              <w:szCs w:val="32"/>
            </w:rPr>
            <w:instrText xml:space="preserve"> PAGEREF _Toc9863 \h </w:instrText>
          </w:r>
          <w:r>
            <w:rPr>
              <w:sz w:val="32"/>
              <w:szCs w:val="32"/>
            </w:rPr>
            <w:fldChar w:fldCharType="separate"/>
          </w:r>
          <w:r>
            <w:rPr>
              <w:sz w:val="32"/>
              <w:szCs w:val="32"/>
            </w:rPr>
            <w:t>10</w:t>
          </w:r>
          <w:r>
            <w:rPr>
              <w:sz w:val="32"/>
              <w:szCs w:val="32"/>
            </w:rPr>
            <w:fldChar w:fldCharType="end"/>
          </w:r>
          <w:r>
            <w:rPr>
              <w:sz w:val="32"/>
              <w:szCs w:val="32"/>
            </w:rPr>
            <w:fldChar w:fldCharType="end"/>
          </w:r>
        </w:p>
        <w:p>
          <w:pPr>
            <w:pStyle w:val="12"/>
            <w:tabs>
              <w:tab w:val="right" w:leader="dot" w:pos="8867"/>
            </w:tabs>
            <w:spacing w:line="560" w:lineRule="exact"/>
            <w:rPr>
              <w:sz w:val="32"/>
              <w:szCs w:val="32"/>
            </w:rPr>
          </w:pPr>
          <w:r>
            <w:rPr>
              <w:sz w:val="32"/>
              <w:szCs w:val="32"/>
            </w:rPr>
            <w:fldChar w:fldCharType="begin"/>
          </w:r>
          <w:r>
            <w:rPr>
              <w:sz w:val="32"/>
              <w:szCs w:val="32"/>
            </w:rPr>
            <w:instrText xml:space="preserve"> HYPERLINK \l _Toc1831 </w:instrText>
          </w:r>
          <w:r>
            <w:rPr>
              <w:sz w:val="32"/>
              <w:szCs w:val="32"/>
            </w:rPr>
            <w:fldChar w:fldCharType="separate"/>
          </w:r>
          <w:r>
            <w:rPr>
              <w:rFonts w:hint="eastAsia" w:ascii="仿宋_GB2312" w:hAnsi="仿宋_GB2312" w:cs="仿宋_GB2312"/>
              <w:sz w:val="32"/>
              <w:szCs w:val="32"/>
              <w:lang w:val="en-US"/>
            </w:rPr>
            <w:t>第三节  企业产权无偿划转</w:t>
          </w:r>
          <w:r>
            <w:rPr>
              <w:sz w:val="32"/>
              <w:szCs w:val="32"/>
            </w:rPr>
            <w:tab/>
          </w:r>
          <w:r>
            <w:rPr>
              <w:sz w:val="32"/>
              <w:szCs w:val="32"/>
            </w:rPr>
            <w:fldChar w:fldCharType="begin"/>
          </w:r>
          <w:r>
            <w:rPr>
              <w:sz w:val="32"/>
              <w:szCs w:val="32"/>
            </w:rPr>
            <w:instrText xml:space="preserve"> PAGEREF _Toc1831 \h </w:instrText>
          </w:r>
          <w:r>
            <w:rPr>
              <w:sz w:val="32"/>
              <w:szCs w:val="32"/>
            </w:rPr>
            <w:fldChar w:fldCharType="separate"/>
          </w:r>
          <w:r>
            <w:rPr>
              <w:sz w:val="32"/>
              <w:szCs w:val="32"/>
            </w:rPr>
            <w:t>12</w:t>
          </w:r>
          <w:r>
            <w:rPr>
              <w:sz w:val="32"/>
              <w:szCs w:val="32"/>
            </w:rPr>
            <w:fldChar w:fldCharType="end"/>
          </w:r>
          <w:r>
            <w:rPr>
              <w:sz w:val="32"/>
              <w:szCs w:val="32"/>
            </w:rPr>
            <w:fldChar w:fldCharType="end"/>
          </w:r>
        </w:p>
        <w:p>
          <w:pPr>
            <w:pStyle w:val="12"/>
            <w:tabs>
              <w:tab w:val="right" w:leader="dot" w:pos="8867"/>
            </w:tabs>
            <w:spacing w:line="560" w:lineRule="exact"/>
            <w:rPr>
              <w:sz w:val="32"/>
              <w:szCs w:val="32"/>
            </w:rPr>
          </w:pPr>
          <w:r>
            <w:rPr>
              <w:sz w:val="32"/>
              <w:szCs w:val="32"/>
            </w:rPr>
            <w:fldChar w:fldCharType="begin"/>
          </w:r>
          <w:r>
            <w:rPr>
              <w:sz w:val="32"/>
              <w:szCs w:val="32"/>
            </w:rPr>
            <w:instrText xml:space="preserve"> HYPERLINK \l _Toc23064 </w:instrText>
          </w:r>
          <w:r>
            <w:rPr>
              <w:sz w:val="32"/>
              <w:szCs w:val="32"/>
            </w:rPr>
            <w:fldChar w:fldCharType="separate"/>
          </w:r>
          <w:r>
            <w:rPr>
              <w:rFonts w:hint="eastAsia" w:ascii="仿宋_GB2312" w:hAnsi="仿宋_GB2312" w:cs="仿宋_GB2312"/>
              <w:sz w:val="32"/>
              <w:szCs w:val="32"/>
              <w:lang w:val="en-US"/>
            </w:rPr>
            <w:t>第四节  企业解散</w:t>
          </w:r>
          <w:r>
            <w:rPr>
              <w:sz w:val="32"/>
              <w:szCs w:val="32"/>
            </w:rPr>
            <w:tab/>
          </w:r>
          <w:r>
            <w:rPr>
              <w:sz w:val="32"/>
              <w:szCs w:val="32"/>
            </w:rPr>
            <w:fldChar w:fldCharType="begin"/>
          </w:r>
          <w:r>
            <w:rPr>
              <w:sz w:val="32"/>
              <w:szCs w:val="32"/>
            </w:rPr>
            <w:instrText xml:space="preserve"> PAGEREF _Toc23064 \h </w:instrText>
          </w:r>
          <w:r>
            <w:rPr>
              <w:sz w:val="32"/>
              <w:szCs w:val="32"/>
            </w:rPr>
            <w:fldChar w:fldCharType="separate"/>
          </w:r>
          <w:r>
            <w:rPr>
              <w:sz w:val="32"/>
              <w:szCs w:val="32"/>
            </w:rPr>
            <w:t>14</w:t>
          </w:r>
          <w:r>
            <w:rPr>
              <w:sz w:val="32"/>
              <w:szCs w:val="32"/>
            </w:rPr>
            <w:fldChar w:fldCharType="end"/>
          </w:r>
          <w:r>
            <w:rPr>
              <w:sz w:val="32"/>
              <w:szCs w:val="32"/>
            </w:rPr>
            <w:fldChar w:fldCharType="end"/>
          </w:r>
        </w:p>
        <w:p>
          <w:pPr>
            <w:pStyle w:val="12"/>
            <w:tabs>
              <w:tab w:val="right" w:leader="dot" w:pos="8867"/>
            </w:tabs>
            <w:spacing w:line="560" w:lineRule="exact"/>
            <w:rPr>
              <w:sz w:val="32"/>
              <w:szCs w:val="32"/>
            </w:rPr>
          </w:pPr>
          <w:r>
            <w:rPr>
              <w:sz w:val="32"/>
              <w:szCs w:val="32"/>
            </w:rPr>
            <w:fldChar w:fldCharType="begin"/>
          </w:r>
          <w:r>
            <w:rPr>
              <w:sz w:val="32"/>
              <w:szCs w:val="32"/>
            </w:rPr>
            <w:instrText xml:space="preserve"> HYPERLINK \l _Toc27143 </w:instrText>
          </w:r>
          <w:r>
            <w:rPr>
              <w:sz w:val="32"/>
              <w:szCs w:val="32"/>
            </w:rPr>
            <w:fldChar w:fldCharType="separate"/>
          </w:r>
          <w:r>
            <w:rPr>
              <w:rFonts w:hint="eastAsia" w:ascii="仿宋_GB2312" w:hAnsi="仿宋_GB2312" w:cs="仿宋_GB2312"/>
              <w:sz w:val="32"/>
              <w:szCs w:val="32"/>
              <w:lang w:val="en-US"/>
            </w:rPr>
            <w:t>第五节  企业产权置换</w:t>
          </w:r>
          <w:r>
            <w:rPr>
              <w:sz w:val="32"/>
              <w:szCs w:val="32"/>
            </w:rPr>
            <w:tab/>
          </w:r>
          <w:r>
            <w:rPr>
              <w:sz w:val="32"/>
              <w:szCs w:val="32"/>
            </w:rPr>
            <w:fldChar w:fldCharType="begin"/>
          </w:r>
          <w:r>
            <w:rPr>
              <w:sz w:val="32"/>
              <w:szCs w:val="32"/>
            </w:rPr>
            <w:instrText xml:space="preserve"> PAGEREF _Toc27143 \h </w:instrText>
          </w:r>
          <w:r>
            <w:rPr>
              <w:sz w:val="32"/>
              <w:szCs w:val="32"/>
            </w:rPr>
            <w:fldChar w:fldCharType="separate"/>
          </w:r>
          <w:r>
            <w:rPr>
              <w:sz w:val="32"/>
              <w:szCs w:val="32"/>
            </w:rPr>
            <w:t>16</w:t>
          </w:r>
          <w:r>
            <w:rPr>
              <w:sz w:val="32"/>
              <w:szCs w:val="32"/>
            </w:rPr>
            <w:fldChar w:fldCharType="end"/>
          </w:r>
          <w:r>
            <w:rPr>
              <w:sz w:val="32"/>
              <w:szCs w:val="32"/>
            </w:rPr>
            <w:fldChar w:fldCharType="end"/>
          </w:r>
        </w:p>
        <w:p>
          <w:pPr>
            <w:pStyle w:val="12"/>
            <w:tabs>
              <w:tab w:val="right" w:leader="dot" w:pos="8867"/>
            </w:tabs>
            <w:spacing w:line="560" w:lineRule="exact"/>
            <w:rPr>
              <w:sz w:val="32"/>
              <w:szCs w:val="32"/>
            </w:rPr>
          </w:pPr>
          <w:r>
            <w:rPr>
              <w:sz w:val="32"/>
              <w:szCs w:val="32"/>
            </w:rPr>
            <w:fldChar w:fldCharType="begin"/>
          </w:r>
          <w:r>
            <w:rPr>
              <w:sz w:val="32"/>
              <w:szCs w:val="32"/>
            </w:rPr>
            <w:instrText xml:space="preserve"> HYPERLINK \l _Toc10857 </w:instrText>
          </w:r>
          <w:r>
            <w:rPr>
              <w:sz w:val="32"/>
              <w:szCs w:val="32"/>
            </w:rPr>
            <w:fldChar w:fldCharType="separate"/>
          </w:r>
          <w:r>
            <w:rPr>
              <w:rFonts w:hint="eastAsia" w:ascii="仿宋_GB2312" w:hAnsi="仿宋_GB2312" w:cs="仿宋_GB2312"/>
              <w:sz w:val="32"/>
              <w:szCs w:val="32"/>
              <w:lang w:val="en-US"/>
            </w:rPr>
            <w:t>第六节  相关要求</w:t>
          </w:r>
          <w:r>
            <w:rPr>
              <w:sz w:val="32"/>
              <w:szCs w:val="32"/>
            </w:rPr>
            <w:tab/>
          </w:r>
          <w:r>
            <w:rPr>
              <w:sz w:val="32"/>
              <w:szCs w:val="32"/>
            </w:rPr>
            <w:fldChar w:fldCharType="begin"/>
          </w:r>
          <w:r>
            <w:rPr>
              <w:sz w:val="32"/>
              <w:szCs w:val="32"/>
            </w:rPr>
            <w:instrText xml:space="preserve"> PAGEREF _Toc10857 \h </w:instrText>
          </w:r>
          <w:r>
            <w:rPr>
              <w:sz w:val="32"/>
              <w:szCs w:val="32"/>
            </w:rPr>
            <w:fldChar w:fldCharType="separate"/>
          </w:r>
          <w:r>
            <w:rPr>
              <w:sz w:val="32"/>
              <w:szCs w:val="32"/>
            </w:rPr>
            <w:t>17</w:t>
          </w:r>
          <w:r>
            <w:rPr>
              <w:sz w:val="32"/>
              <w:szCs w:val="32"/>
            </w:rPr>
            <w:fldChar w:fldCharType="end"/>
          </w:r>
          <w:r>
            <w:rPr>
              <w:sz w:val="32"/>
              <w:szCs w:val="32"/>
            </w:rPr>
            <w:fldChar w:fldCharType="end"/>
          </w:r>
        </w:p>
        <w:p>
          <w:pPr>
            <w:pStyle w:val="11"/>
            <w:tabs>
              <w:tab w:val="right" w:leader="dot" w:pos="8867"/>
            </w:tabs>
            <w:spacing w:before="0" w:line="560" w:lineRule="exact"/>
            <w:rPr>
              <w:sz w:val="32"/>
              <w:szCs w:val="32"/>
            </w:rPr>
          </w:pPr>
          <w:r>
            <w:rPr>
              <w:sz w:val="32"/>
              <w:szCs w:val="32"/>
            </w:rPr>
            <w:fldChar w:fldCharType="begin"/>
          </w:r>
          <w:r>
            <w:rPr>
              <w:sz w:val="32"/>
              <w:szCs w:val="32"/>
            </w:rPr>
            <w:instrText xml:space="preserve"> HYPERLINK \l _Toc14691 </w:instrText>
          </w:r>
          <w:r>
            <w:rPr>
              <w:sz w:val="32"/>
              <w:szCs w:val="32"/>
            </w:rPr>
            <w:fldChar w:fldCharType="separate"/>
          </w:r>
          <w:r>
            <w:rPr>
              <w:rFonts w:hint="eastAsia"/>
              <w:sz w:val="32"/>
              <w:szCs w:val="32"/>
              <w:lang w:val="en-US"/>
            </w:rPr>
            <w:t>第五章  法律责任</w:t>
          </w:r>
          <w:r>
            <w:rPr>
              <w:sz w:val="32"/>
              <w:szCs w:val="32"/>
            </w:rPr>
            <w:tab/>
          </w:r>
          <w:r>
            <w:rPr>
              <w:sz w:val="32"/>
              <w:szCs w:val="32"/>
            </w:rPr>
            <w:fldChar w:fldCharType="begin"/>
          </w:r>
          <w:r>
            <w:rPr>
              <w:sz w:val="32"/>
              <w:szCs w:val="32"/>
            </w:rPr>
            <w:instrText xml:space="preserve"> PAGEREF _Toc14691 \h </w:instrText>
          </w:r>
          <w:r>
            <w:rPr>
              <w:sz w:val="32"/>
              <w:szCs w:val="32"/>
            </w:rPr>
            <w:fldChar w:fldCharType="separate"/>
          </w:r>
          <w:r>
            <w:rPr>
              <w:sz w:val="32"/>
              <w:szCs w:val="32"/>
            </w:rPr>
            <w:t>18</w:t>
          </w:r>
          <w:r>
            <w:rPr>
              <w:sz w:val="32"/>
              <w:szCs w:val="32"/>
            </w:rPr>
            <w:fldChar w:fldCharType="end"/>
          </w:r>
          <w:r>
            <w:rPr>
              <w:sz w:val="32"/>
              <w:szCs w:val="32"/>
            </w:rPr>
            <w:fldChar w:fldCharType="end"/>
          </w:r>
        </w:p>
        <w:p>
          <w:pPr>
            <w:pStyle w:val="11"/>
            <w:tabs>
              <w:tab w:val="right" w:leader="dot" w:pos="8867"/>
            </w:tabs>
            <w:spacing w:before="0" w:line="560" w:lineRule="exact"/>
            <w:rPr>
              <w:sz w:val="32"/>
              <w:szCs w:val="32"/>
            </w:rPr>
          </w:pPr>
          <w:r>
            <w:rPr>
              <w:sz w:val="32"/>
              <w:szCs w:val="32"/>
            </w:rPr>
            <w:fldChar w:fldCharType="begin"/>
          </w:r>
          <w:r>
            <w:rPr>
              <w:sz w:val="32"/>
              <w:szCs w:val="32"/>
            </w:rPr>
            <w:instrText xml:space="preserve"> HYPERLINK \l _Toc31241 </w:instrText>
          </w:r>
          <w:r>
            <w:rPr>
              <w:sz w:val="32"/>
              <w:szCs w:val="32"/>
            </w:rPr>
            <w:fldChar w:fldCharType="separate"/>
          </w:r>
          <w:r>
            <w:rPr>
              <w:rFonts w:hint="eastAsia"/>
              <w:sz w:val="32"/>
              <w:szCs w:val="32"/>
              <w:lang w:val="en-US"/>
            </w:rPr>
            <w:t>第六章  附  则</w:t>
          </w:r>
          <w:r>
            <w:rPr>
              <w:sz w:val="32"/>
              <w:szCs w:val="32"/>
            </w:rPr>
            <w:tab/>
          </w:r>
          <w:r>
            <w:rPr>
              <w:sz w:val="32"/>
              <w:szCs w:val="32"/>
            </w:rPr>
            <w:fldChar w:fldCharType="begin"/>
          </w:r>
          <w:r>
            <w:rPr>
              <w:sz w:val="32"/>
              <w:szCs w:val="32"/>
            </w:rPr>
            <w:instrText xml:space="preserve"> PAGEREF _Toc31241 \h </w:instrText>
          </w:r>
          <w:r>
            <w:rPr>
              <w:sz w:val="32"/>
              <w:szCs w:val="32"/>
            </w:rPr>
            <w:fldChar w:fldCharType="separate"/>
          </w:r>
          <w:r>
            <w:rPr>
              <w:sz w:val="32"/>
              <w:szCs w:val="32"/>
            </w:rPr>
            <w:t>18</w:t>
          </w:r>
          <w:r>
            <w:rPr>
              <w:sz w:val="32"/>
              <w:szCs w:val="32"/>
            </w:rPr>
            <w:fldChar w:fldCharType="end"/>
          </w:r>
          <w:r>
            <w:rPr>
              <w:sz w:val="32"/>
              <w:szCs w:val="32"/>
            </w:rPr>
            <w:fldChar w:fldCharType="end"/>
          </w:r>
        </w:p>
        <w:p>
          <w:pPr>
            <w:jc w:val="center"/>
          </w:pPr>
          <w:r>
            <w:rPr>
              <w:b/>
            </w:rPr>
            <w:fldChar w:fldCharType="end"/>
          </w:r>
        </w:p>
      </w:sdtContent>
    </w:sdt>
    <w:p>
      <w:pPr>
        <w:autoSpaceDE/>
        <w:autoSpaceDN/>
        <w:adjustRightInd w:val="0"/>
        <w:snapToGrid w:val="0"/>
        <w:spacing w:line="560" w:lineRule="exact"/>
        <w:jc w:val="center"/>
        <w:rPr>
          <w:rFonts w:ascii="方正小标宋简体" w:hAnsi="方正小标宋简体" w:eastAsia="方正小标宋简体" w:cs="方正小标宋简体"/>
          <w:color w:val="000000" w:themeColor="text1"/>
          <w:kern w:val="2"/>
          <w:sz w:val="44"/>
          <w:szCs w:val="44"/>
          <w:lang w:val="en-US" w:bidi="ar-SA"/>
          <w14:textFill>
            <w14:solidFill>
              <w14:schemeClr w14:val="tx1"/>
            </w14:solidFill>
          </w14:textFill>
        </w:rPr>
        <w:sectPr>
          <w:headerReference r:id="rId7" w:type="default"/>
          <w:footerReference r:id="rId9" w:type="default"/>
          <w:headerReference r:id="rId8" w:type="even"/>
          <w:footerReference r:id="rId10" w:type="even"/>
          <w:pgSz w:w="11928" w:h="16860"/>
          <w:pgMar w:top="2098" w:right="1474" w:bottom="1984" w:left="1587" w:header="850" w:footer="992" w:gutter="0"/>
          <w:pgNumType w:fmt="numberInDash"/>
          <w:cols w:space="0" w:num="1"/>
          <w:docGrid w:linePitch="299" w:charSpace="0"/>
        </w:sectPr>
      </w:pPr>
      <w:bookmarkStart w:id="12" w:name="_bookmark8"/>
      <w:bookmarkEnd w:id="12"/>
      <w:bookmarkStart w:id="13" w:name="_Toc19318"/>
      <w:bookmarkStart w:id="14" w:name="_Toc17321"/>
    </w:p>
    <w:p>
      <w:pPr>
        <w:autoSpaceDE/>
        <w:autoSpaceDN/>
        <w:adjustRightInd w:val="0"/>
        <w:snapToGrid w:val="0"/>
        <w:spacing w:line="560" w:lineRule="exact"/>
        <w:jc w:val="center"/>
        <w:rPr>
          <w:rFonts w:ascii="方正小标宋简体" w:hAnsi="方正小标宋简体" w:eastAsia="方正小标宋简体" w:cs="方正小标宋简体"/>
          <w:color w:val="000000" w:themeColor="text1"/>
          <w:kern w:val="2"/>
          <w:sz w:val="44"/>
          <w:szCs w:val="44"/>
          <w:lang w:val="en-US" w:bidi="ar-SA"/>
          <w14:textFill>
            <w14:solidFill>
              <w14:schemeClr w14:val="tx1"/>
            </w14:solidFill>
          </w14:textFill>
        </w:rPr>
      </w:pPr>
      <w:bookmarkStart w:id="15" w:name="_Toc22557"/>
      <w:bookmarkStart w:id="16" w:name="_Toc30008"/>
      <w:r>
        <w:rPr>
          <w:rFonts w:hint="eastAsia" w:ascii="方正小标宋简体" w:hAnsi="方正小标宋简体" w:eastAsia="方正小标宋简体" w:cs="方正小标宋简体"/>
          <w:color w:val="000000" w:themeColor="text1"/>
          <w:kern w:val="2"/>
          <w:sz w:val="44"/>
          <w:szCs w:val="44"/>
          <w:lang w:val="en-US" w:bidi="ar-SA"/>
          <w14:textFill>
            <w14:solidFill>
              <w14:schemeClr w14:val="tx1"/>
            </w14:solidFill>
          </w14:textFill>
        </w:rPr>
        <w:t>四川九洲投资控股集团有限公司</w:t>
      </w:r>
      <w:bookmarkEnd w:id="13"/>
      <w:bookmarkEnd w:id="15"/>
      <w:bookmarkEnd w:id="16"/>
    </w:p>
    <w:p>
      <w:pPr>
        <w:autoSpaceDE/>
        <w:autoSpaceDN/>
        <w:adjustRightInd w:val="0"/>
        <w:snapToGrid w:val="0"/>
        <w:spacing w:line="560" w:lineRule="exact"/>
        <w:jc w:val="center"/>
        <w:rPr>
          <w:rFonts w:ascii="方正小标宋简体" w:hAnsi="方正小标宋简体" w:eastAsia="方正小标宋简体" w:cs="方正小标宋简体"/>
          <w:color w:val="000000" w:themeColor="text1"/>
          <w:kern w:val="2"/>
          <w:sz w:val="44"/>
          <w:szCs w:val="44"/>
          <w:lang w:val="en-US" w:bidi="ar-SA"/>
          <w14:textFill>
            <w14:solidFill>
              <w14:schemeClr w14:val="tx1"/>
            </w14:solidFill>
          </w14:textFill>
        </w:rPr>
      </w:pPr>
      <w:bookmarkStart w:id="17" w:name="_Toc18598"/>
      <w:bookmarkStart w:id="18" w:name="_Toc18560"/>
      <w:bookmarkStart w:id="19" w:name="_Toc8768"/>
      <w:r>
        <w:rPr>
          <w:rFonts w:hint="eastAsia" w:ascii="方正小标宋简体" w:hAnsi="方正小标宋简体" w:eastAsia="方正小标宋简体" w:cs="方正小标宋简体"/>
          <w:color w:val="000000" w:themeColor="text1"/>
          <w:kern w:val="2"/>
          <w:sz w:val="44"/>
          <w:szCs w:val="44"/>
          <w:lang w:val="en-US" w:bidi="ar-SA"/>
          <w14:textFill>
            <w14:solidFill>
              <w14:schemeClr w14:val="tx1"/>
            </w14:solidFill>
          </w14:textFill>
        </w:rPr>
        <w:t>企业国有股权流转监督管理办法</w:t>
      </w:r>
      <w:bookmarkEnd w:id="17"/>
      <w:bookmarkEnd w:id="18"/>
      <w:bookmarkEnd w:id="19"/>
    </w:p>
    <w:p>
      <w:pPr>
        <w:autoSpaceDE/>
        <w:autoSpaceDN/>
        <w:jc w:val="center"/>
        <w:rPr>
          <w:rFonts w:ascii="楷体_GB2312" w:hAnsi="楷体_GB2312" w:eastAsia="楷体_GB2312" w:cs="楷体_GB2312"/>
          <w:b/>
          <w:bCs/>
          <w:color w:val="FF0000"/>
          <w:sz w:val="32"/>
          <w:szCs w:val="32"/>
          <w:lang w:val="en-US"/>
        </w:rPr>
      </w:pPr>
      <w:bookmarkStart w:id="20" w:name="_Toc20962"/>
      <w:bookmarkStart w:id="21" w:name="_Toc28380"/>
      <w:r>
        <w:rPr>
          <w:rFonts w:hint="eastAsia" w:ascii="楷体_GB2312" w:hAnsi="楷体_GB2312" w:eastAsia="楷体_GB2312" w:cs="楷体_GB2312"/>
          <w:b/>
          <w:bCs/>
          <w:sz w:val="32"/>
          <w:szCs w:val="32"/>
          <w:lang w:val="en-US"/>
        </w:rPr>
        <w:t>（送审稿）</w:t>
      </w:r>
      <w:bookmarkEnd w:id="20"/>
      <w:bookmarkEnd w:id="21"/>
    </w:p>
    <w:p>
      <w:pPr>
        <w:pStyle w:val="3"/>
        <w:spacing w:before="240" w:beforeLines="100" w:after="240" w:afterLines="100"/>
        <w:rPr>
          <w:color w:val="000000" w:themeColor="text1"/>
          <w:szCs w:val="32"/>
          <w:lang w:val="en-US"/>
          <w14:textFill>
            <w14:solidFill>
              <w14:schemeClr w14:val="tx1"/>
            </w14:solidFill>
          </w14:textFill>
        </w:rPr>
      </w:pPr>
      <w:bookmarkStart w:id="22" w:name="_Toc14888"/>
      <w:bookmarkStart w:id="23" w:name="_Toc5322"/>
      <w:bookmarkStart w:id="24" w:name="_Toc19056"/>
      <w:bookmarkStart w:id="25" w:name="_Toc12815"/>
      <w:bookmarkStart w:id="26" w:name="_Toc19148"/>
      <w:r>
        <w:rPr>
          <w:rFonts w:hint="eastAsia"/>
          <w:color w:val="000000" w:themeColor="text1"/>
          <w:szCs w:val="32"/>
          <w:lang w:val="en-US"/>
          <w14:textFill>
            <w14:solidFill>
              <w14:schemeClr w14:val="tx1"/>
            </w14:solidFill>
          </w14:textFill>
        </w:rPr>
        <w:t>第一章  总  则</w:t>
      </w:r>
      <w:bookmarkEnd w:id="14"/>
      <w:bookmarkEnd w:id="22"/>
      <w:bookmarkEnd w:id="23"/>
      <w:bookmarkEnd w:id="24"/>
      <w:bookmarkEnd w:id="25"/>
      <w:bookmarkEnd w:id="26"/>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b/>
          <w:bCs/>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为规范四川九洲投资控股集团有限公司股权流转行为，加强股权流转监督管理，防止国有资产流失，根据《中华人民共和国公司法》《中华人民共和国企业国有资产法》《</w:t>
      </w:r>
      <w:r>
        <w:rPr>
          <w:rFonts w:hint="eastAsia"/>
          <w:color w:val="000000" w:themeColor="text1"/>
          <w:sz w:val="32"/>
          <w:szCs w:val="32"/>
          <w:lang w:val="en-US"/>
          <w14:textFill>
            <w14:solidFill>
              <w14:schemeClr w14:val="tx1"/>
            </w14:solidFill>
          </w14:textFill>
        </w:rPr>
        <w:t>企业国有资产交易监督管理办法</w:t>
      </w:r>
      <w:r>
        <w:rPr>
          <w:rFonts w:hint="eastAsia"/>
          <w:color w:val="000000" w:themeColor="text1"/>
          <w:sz w:val="32"/>
          <w:szCs w:val="32"/>
          <w14:textFill>
            <w14:solidFill>
              <w14:schemeClr w14:val="tx1"/>
            </w14:solidFill>
          </w14:textFill>
        </w:rPr>
        <w:t>》《绵阳市企业国有资产流转监督管理办法》</w:t>
      </w:r>
      <w:r>
        <w:rPr>
          <w:rFonts w:hint="eastAsia"/>
          <w:color w:val="000000" w:themeColor="text1"/>
          <w:sz w:val="32"/>
          <w:szCs w:val="32"/>
          <w:lang w:eastAsia="zh-CN"/>
          <w14:textFill>
            <w14:solidFill>
              <w14:schemeClr w14:val="tx1"/>
            </w14:solidFill>
          </w14:textFill>
        </w:rPr>
        <w:t>《关于企业国有资产交易流转有关事项的通知》</w:t>
      </w:r>
      <w:r>
        <w:rPr>
          <w:rFonts w:hint="eastAsia"/>
          <w:color w:val="000000" w:themeColor="text1"/>
          <w:sz w:val="32"/>
          <w:szCs w:val="32"/>
          <w14:textFill>
            <w14:solidFill>
              <w14:schemeClr w14:val="tx1"/>
            </w14:solidFill>
          </w14:textFill>
        </w:rPr>
        <w:t>等法律法规及规章的规定，结合公司实际，制定本办法。</w:t>
      </w:r>
    </w:p>
    <w:p>
      <w:pPr>
        <w:pStyle w:val="6"/>
        <w:numPr>
          <w:ilvl w:val="0"/>
          <w:numId w:val="1"/>
        </w:numPr>
        <w:tabs>
          <w:tab w:val="left" w:pos="2324"/>
        </w:tabs>
        <w:spacing w:line="560" w:lineRule="exact"/>
        <w:ind w:left="0" w:firstLine="640"/>
        <w:jc w:val="both"/>
        <w:rPr>
          <w:sz w:val="32"/>
          <w:szCs w:val="32"/>
          <w:lang w:val="en-US"/>
        </w:rPr>
      </w:pPr>
      <w:r>
        <w:rPr>
          <w:rFonts w:hint="eastAsia"/>
          <w:b/>
          <w:sz w:val="32"/>
          <w:szCs w:val="32"/>
          <w:lang w:val="en-US"/>
        </w:rPr>
        <w:t xml:space="preserve">  </w:t>
      </w:r>
      <w:r>
        <w:rPr>
          <w:rFonts w:hint="eastAsia"/>
          <w:sz w:val="32"/>
          <w:szCs w:val="32"/>
        </w:rPr>
        <w:t>本办法适用于四川九洲投资控股集团有限公司（下称总部）及下属各级全资、控股及有实际控制权的企业（下称下属</w:t>
      </w:r>
      <w:r>
        <w:rPr>
          <w:rFonts w:hint="eastAsia"/>
          <w:sz w:val="32"/>
          <w:szCs w:val="32"/>
          <w:lang w:val="en-US"/>
        </w:rPr>
        <w:t>企业</w:t>
      </w:r>
      <w:r>
        <w:rPr>
          <w:rFonts w:hint="eastAsia"/>
          <w:sz w:val="32"/>
          <w:szCs w:val="32"/>
        </w:rPr>
        <w:t>）。</w:t>
      </w:r>
      <w:r>
        <w:rPr>
          <w:rFonts w:hint="eastAsia"/>
          <w:sz w:val="32"/>
          <w:szCs w:val="32"/>
          <w:lang w:val="en-US"/>
        </w:rPr>
        <w:t>总部和下属企业统称为集团。</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本办法所称企业国有</w:t>
      </w:r>
      <w:r>
        <w:rPr>
          <w:rFonts w:hint="eastAsia"/>
          <w:color w:val="000000" w:themeColor="text1"/>
          <w:sz w:val="32"/>
          <w:szCs w:val="32"/>
          <w:lang w:val="en-US"/>
          <w14:textFill>
            <w14:solidFill>
              <w14:schemeClr w14:val="tx1"/>
            </w14:solidFill>
          </w14:textFill>
        </w:rPr>
        <w:t>股权</w:t>
      </w:r>
      <w:r>
        <w:rPr>
          <w:rFonts w:hint="eastAsia"/>
          <w:color w:val="000000" w:themeColor="text1"/>
          <w:sz w:val="32"/>
          <w:szCs w:val="32"/>
          <w14:textFill>
            <w14:solidFill>
              <w14:schemeClr w14:val="tx1"/>
            </w14:solidFill>
          </w14:textFill>
        </w:rPr>
        <w:t>流转</w:t>
      </w:r>
      <w:r>
        <w:rPr>
          <w:rFonts w:hint="eastAsia"/>
          <w:color w:val="000000" w:themeColor="text1"/>
          <w:sz w:val="32"/>
          <w:szCs w:val="32"/>
          <w:lang w:val="en-US"/>
          <w14:textFill>
            <w14:solidFill>
              <w14:schemeClr w14:val="tx1"/>
            </w14:solidFill>
          </w14:textFill>
        </w:rPr>
        <w:t>行为（统称股权流转）</w:t>
      </w:r>
      <w:r>
        <w:rPr>
          <w:rFonts w:hint="eastAsia"/>
          <w:color w:val="000000" w:themeColor="text1"/>
          <w:sz w:val="32"/>
          <w:szCs w:val="32"/>
          <w14:textFill>
            <w14:solidFill>
              <w14:schemeClr w14:val="tx1"/>
            </w14:solidFill>
          </w14:textFill>
        </w:rPr>
        <w:t>包括：</w:t>
      </w:r>
    </w:p>
    <w:p>
      <w:pPr>
        <w:pStyle w:val="6"/>
        <w:tabs>
          <w:tab w:val="left" w:pos="0"/>
        </w:tabs>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（一）总部及下属企业转让其对所出资单位各种形式出资所形成权益的行为（以下称企业产权转让）；</w:t>
      </w:r>
    </w:p>
    <w:p>
      <w:pPr>
        <w:pStyle w:val="6"/>
        <w:tabs>
          <w:tab w:val="left" w:pos="0"/>
        </w:tabs>
        <w:adjustRightInd w:val="0"/>
        <w:snapToGrid w:val="0"/>
        <w:spacing w:line="560" w:lineRule="exact"/>
        <w:ind w:firstLine="640"/>
        <w:rPr>
          <w:rFonts w:hint="eastAsia" w:eastAsia="仿宋_GB2312"/>
          <w:color w:val="000000" w:themeColor="text1"/>
          <w:sz w:val="32"/>
          <w:szCs w:val="32"/>
          <w:lang w:eastAsia="zh-CN"/>
          <w14:textFill>
            <w14:solidFill>
              <w14:schemeClr w14:val="tx1"/>
            </w14:solidFill>
          </w14:textFill>
        </w:rPr>
      </w:pPr>
      <w:r>
        <w:rPr>
          <w:rFonts w:hint="eastAsia"/>
          <w:color w:val="000000" w:themeColor="text1"/>
          <w:sz w:val="32"/>
          <w:szCs w:val="32"/>
          <w14:textFill>
            <w14:solidFill>
              <w14:schemeClr w14:val="tx1"/>
            </w14:solidFill>
          </w14:textFill>
        </w:rPr>
        <w:t>（二）下属企业增加资本的行为（以下称企业增资）</w:t>
      </w:r>
      <w:r>
        <w:rPr>
          <w:rFonts w:hint="eastAsia"/>
          <w:color w:val="000000" w:themeColor="text1"/>
          <w:sz w:val="32"/>
          <w:szCs w:val="32"/>
          <w:lang w:eastAsia="zh-CN"/>
          <w14:textFill>
            <w14:solidFill>
              <w14:schemeClr w14:val="tx1"/>
            </w14:solidFill>
          </w14:textFill>
        </w:rPr>
        <w:t>；</w:t>
      </w:r>
    </w:p>
    <w:p>
      <w:pPr>
        <w:pStyle w:val="6"/>
        <w:tabs>
          <w:tab w:val="left" w:pos="0"/>
        </w:tabs>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w:t>
      </w:r>
      <w:r>
        <w:rPr>
          <w:rFonts w:hint="eastAsia"/>
          <w:color w:val="000000" w:themeColor="text1"/>
          <w:sz w:val="32"/>
          <w:szCs w:val="32"/>
          <w:lang w:val="en-US"/>
          <w14:textFill>
            <w14:solidFill>
              <w14:schemeClr w14:val="tx1"/>
            </w14:solidFill>
          </w14:textFill>
        </w:rPr>
        <w:t>三</w:t>
      </w:r>
      <w:r>
        <w:rPr>
          <w:rFonts w:hint="eastAsia"/>
          <w:color w:val="000000" w:themeColor="text1"/>
          <w:sz w:val="32"/>
          <w:szCs w:val="32"/>
          <w14:textFill>
            <w14:solidFill>
              <w14:schemeClr w14:val="tx1"/>
            </w14:solidFill>
          </w14:textFill>
        </w:rPr>
        <w:t>）下属企业国有产权在</w:t>
      </w:r>
      <w:r>
        <w:rPr>
          <w:rFonts w:hint="eastAsia"/>
          <w:color w:val="000000" w:themeColor="text1"/>
          <w:sz w:val="32"/>
          <w:szCs w:val="32"/>
          <w:lang w:val="en-US"/>
          <w14:textFill>
            <w14:solidFill>
              <w14:schemeClr w14:val="tx1"/>
            </w14:solidFill>
          </w14:textFill>
        </w:rPr>
        <w:t>总部</w:t>
      </w:r>
      <w:r>
        <w:rPr>
          <w:rFonts w:hint="eastAsia"/>
          <w:color w:val="000000" w:themeColor="text1"/>
          <w:sz w:val="32"/>
          <w:szCs w:val="32"/>
          <w14:textFill>
            <w14:solidFill>
              <w14:schemeClr w14:val="tx1"/>
            </w14:solidFill>
          </w14:textFill>
        </w:rPr>
        <w:t>及全资下属企业之间的无偿转移行为（以下称企业产权无偿划转）；</w:t>
      </w:r>
    </w:p>
    <w:p>
      <w:pPr>
        <w:pStyle w:val="6"/>
        <w:tabs>
          <w:tab w:val="left" w:pos="0"/>
        </w:tabs>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（四）</w:t>
      </w:r>
      <w:r>
        <w:rPr>
          <w:rFonts w:hint="eastAsia"/>
          <w:color w:val="000000" w:themeColor="text1"/>
          <w:sz w:val="32"/>
          <w:szCs w:val="32"/>
          <w14:textFill>
            <w14:solidFill>
              <w14:schemeClr w14:val="tx1"/>
            </w14:solidFill>
          </w14:textFill>
        </w:rPr>
        <w:t>下属企业解散的行为（以下称企业解散）；</w:t>
      </w:r>
    </w:p>
    <w:p>
      <w:pPr>
        <w:pStyle w:val="6"/>
        <w:tabs>
          <w:tab w:val="left" w:pos="0"/>
        </w:tabs>
        <w:spacing w:line="560" w:lineRule="exact"/>
        <w:ind w:firstLine="640"/>
        <w:rPr>
          <w:color w:val="000000" w:themeColor="text1"/>
          <w:sz w:val="32"/>
          <w:szCs w:val="32"/>
          <w14:textFill>
            <w14:solidFill>
              <w14:schemeClr w14:val="tx1"/>
            </w14:solidFill>
          </w14:textFill>
        </w:rPr>
      </w:pPr>
      <w:r>
        <w:rPr>
          <w:color w:val="000000" w:themeColor="text1"/>
          <w:sz w:val="32"/>
          <w:szCs w:val="32"/>
          <w:lang w:val="en-US"/>
          <w14:textFill>
            <w14:solidFill>
              <w14:schemeClr w14:val="tx1"/>
            </w14:solidFill>
          </w14:textFill>
        </w:rPr>
        <w:t>（五）总部及下属企业以所持企业产权进行交换的行为（以下称企业产权置换）。</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b/>
          <w:bCs/>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 xml:space="preserve"> 股权</w:t>
      </w:r>
      <w:r>
        <w:rPr>
          <w:rFonts w:hint="eastAsia"/>
          <w:color w:val="000000" w:themeColor="text1"/>
          <w:sz w:val="32"/>
          <w:szCs w:val="32"/>
          <w14:textFill>
            <w14:solidFill>
              <w14:schemeClr w14:val="tx1"/>
            </w14:solidFill>
          </w14:textFill>
        </w:rPr>
        <w:t>流转应当遵守国家法律法规和政策以及集团的相关规定，符合企业发展战略，有利于企业产业布局和结构调整优化，充分发挥市场配置资源作用，遵循等价有偿和公开、公平、公正的原则，在依法设立的产权交易机构中公开进行，国家法律法规和本办法另有规定的从其规定。</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b/>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股权</w:t>
      </w:r>
      <w:r>
        <w:rPr>
          <w:rFonts w:hint="eastAsia"/>
          <w:color w:val="000000" w:themeColor="text1"/>
          <w:sz w:val="32"/>
          <w:szCs w:val="32"/>
          <w14:textFill>
            <w14:solidFill>
              <w14:schemeClr w14:val="tx1"/>
            </w14:solidFill>
          </w14:textFill>
        </w:rPr>
        <w:t>流转标的应当权属清晰，不存在法律法规禁止或限制流转的情形。已设定担保物权的资产流转，应当符合《中华人民共和国民法典》等有关法律法规规定。</w:t>
      </w:r>
    </w:p>
    <w:p>
      <w:pPr>
        <w:pStyle w:val="6"/>
        <w:numPr>
          <w:ilvl w:val="0"/>
          <w:numId w:val="1"/>
        </w:numPr>
        <w:tabs>
          <w:tab w:val="left" w:pos="2324"/>
        </w:tabs>
        <w:adjustRightInd w:val="0"/>
        <w:snapToGrid w:val="0"/>
        <w:spacing w:line="560" w:lineRule="exact"/>
        <w:ind w:left="0" w:firstLine="640"/>
        <w:jc w:val="both"/>
        <w:rPr>
          <w:sz w:val="32"/>
          <w:szCs w:val="32"/>
          <w:lang w:val="en-US"/>
        </w:rPr>
      </w:pPr>
      <w:r>
        <w:rPr>
          <w:rFonts w:hint="eastAsia"/>
          <w:b/>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资本运营部为</w:t>
      </w:r>
      <w:r>
        <w:rPr>
          <w:rFonts w:hint="eastAsia"/>
          <w:color w:val="000000" w:themeColor="text1"/>
          <w:sz w:val="32"/>
          <w:szCs w:val="32"/>
          <w:lang w:val="en-US"/>
          <w14:textFill>
            <w14:solidFill>
              <w14:schemeClr w14:val="tx1"/>
            </w14:solidFill>
          </w14:textFill>
        </w:rPr>
        <w:t>集团股权</w:t>
      </w:r>
      <w:r>
        <w:rPr>
          <w:rFonts w:hint="eastAsia"/>
          <w:color w:val="000000" w:themeColor="text1"/>
          <w:sz w:val="32"/>
          <w:szCs w:val="32"/>
          <w14:textFill>
            <w14:solidFill>
              <w14:schemeClr w14:val="tx1"/>
            </w14:solidFill>
          </w14:textFill>
        </w:rPr>
        <w:t>流转事项的归口管理部门，</w:t>
      </w:r>
      <w:r>
        <w:rPr>
          <w:rFonts w:hint="eastAsia"/>
          <w:color w:val="000000" w:themeColor="text1"/>
          <w:sz w:val="32"/>
          <w:szCs w:val="32"/>
          <w:lang w:val="en-US"/>
          <w14:textFill>
            <w14:solidFill>
              <w14:schemeClr w14:val="tx1"/>
            </w14:solidFill>
          </w14:textFill>
        </w:rPr>
        <w:t>管理职责主要包括：</w:t>
      </w:r>
    </w:p>
    <w:p>
      <w:pPr>
        <w:pStyle w:val="6"/>
        <w:spacing w:line="560" w:lineRule="exact"/>
        <w:ind w:firstLine="640"/>
        <w:jc w:val="both"/>
        <w:rPr>
          <w:sz w:val="32"/>
          <w:szCs w:val="32"/>
          <w:lang w:val="en-US"/>
        </w:rPr>
      </w:pPr>
      <w:r>
        <w:rPr>
          <w:sz w:val="32"/>
          <w:szCs w:val="32"/>
        </w:rPr>
        <w:t>（一）</w:t>
      </w:r>
      <w:r>
        <w:rPr>
          <w:rFonts w:hint="eastAsia"/>
          <w:sz w:val="32"/>
          <w:szCs w:val="32"/>
        </w:rPr>
        <w:t>负责</w:t>
      </w:r>
      <w:r>
        <w:rPr>
          <w:rFonts w:hint="eastAsia"/>
          <w:sz w:val="32"/>
          <w:szCs w:val="32"/>
          <w:lang w:val="en-US"/>
        </w:rPr>
        <w:t>制订或修订集团股权流转管理制度；</w:t>
      </w:r>
    </w:p>
    <w:p>
      <w:pPr>
        <w:pStyle w:val="6"/>
        <w:adjustRightInd w:val="0"/>
        <w:snapToGrid w:val="0"/>
        <w:spacing w:line="560" w:lineRule="exact"/>
        <w:ind w:firstLine="640"/>
        <w:rPr>
          <w:sz w:val="32"/>
          <w:szCs w:val="32"/>
          <w:lang w:val="en-US"/>
        </w:rPr>
      </w:pPr>
      <w:r>
        <w:rPr>
          <w:sz w:val="32"/>
          <w:szCs w:val="32"/>
        </w:rPr>
        <w:t>（</w:t>
      </w:r>
      <w:r>
        <w:rPr>
          <w:rFonts w:hint="eastAsia"/>
          <w:sz w:val="32"/>
          <w:szCs w:val="32"/>
          <w:lang w:val="en-US"/>
        </w:rPr>
        <w:t>二</w:t>
      </w:r>
      <w:r>
        <w:rPr>
          <w:sz w:val="32"/>
          <w:szCs w:val="32"/>
        </w:rPr>
        <w:t>）</w:t>
      </w:r>
      <w:r>
        <w:rPr>
          <w:rFonts w:hint="eastAsia"/>
          <w:sz w:val="32"/>
          <w:szCs w:val="32"/>
          <w:lang w:val="en-US"/>
        </w:rPr>
        <w:t>负</w:t>
      </w:r>
      <w:r>
        <w:rPr>
          <w:rFonts w:hint="eastAsia"/>
          <w:spacing w:val="-6"/>
          <w:sz w:val="32"/>
          <w:szCs w:val="32"/>
          <w:lang w:val="en-US"/>
        </w:rPr>
        <w:t>责集团股权流转事项的全过程</w:t>
      </w:r>
      <w:r>
        <w:rPr>
          <w:spacing w:val="-6"/>
          <w:sz w:val="32"/>
          <w:szCs w:val="32"/>
        </w:rPr>
        <w:t>管理</w:t>
      </w:r>
      <w:r>
        <w:rPr>
          <w:rFonts w:hint="eastAsia"/>
          <w:spacing w:val="-6"/>
          <w:sz w:val="32"/>
          <w:szCs w:val="32"/>
          <w:lang w:val="en-US"/>
        </w:rPr>
        <w:t>和日常监督管理；</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w:t>
      </w:r>
      <w:r>
        <w:rPr>
          <w:rFonts w:hint="eastAsia"/>
          <w:color w:val="000000" w:themeColor="text1"/>
          <w:sz w:val="32"/>
          <w:szCs w:val="32"/>
          <w:lang w:val="en-US"/>
          <w14:textFill>
            <w14:solidFill>
              <w14:schemeClr w14:val="tx1"/>
            </w14:solidFill>
          </w14:textFill>
        </w:rPr>
        <w:t>三</w:t>
      </w:r>
      <w:r>
        <w:rPr>
          <w:rFonts w:hint="eastAsia"/>
          <w:color w:val="000000" w:themeColor="text1"/>
          <w:sz w:val="32"/>
          <w:szCs w:val="32"/>
          <w14:textFill>
            <w14:solidFill>
              <w14:schemeClr w14:val="tx1"/>
            </w14:solidFill>
          </w14:textFill>
        </w:rPr>
        <w:t>）负责集团</w:t>
      </w:r>
      <w:r>
        <w:rPr>
          <w:rFonts w:hint="eastAsia"/>
          <w:color w:val="000000" w:themeColor="text1"/>
          <w:sz w:val="32"/>
          <w:szCs w:val="32"/>
          <w:lang w:val="en-US"/>
          <w14:textFill>
            <w14:solidFill>
              <w14:schemeClr w14:val="tx1"/>
            </w14:solidFill>
          </w14:textFill>
        </w:rPr>
        <w:t>股权</w:t>
      </w:r>
      <w:r>
        <w:rPr>
          <w:rFonts w:hint="eastAsia"/>
          <w:color w:val="000000" w:themeColor="text1"/>
          <w:sz w:val="32"/>
          <w:szCs w:val="32"/>
          <w14:textFill>
            <w14:solidFill>
              <w14:schemeClr w14:val="tx1"/>
            </w14:solidFill>
          </w14:textFill>
        </w:rPr>
        <w:t>流转信息的汇总、分析和上报工作。</w:t>
      </w:r>
    </w:p>
    <w:p>
      <w:pPr>
        <w:pStyle w:val="6"/>
        <w:numPr>
          <w:ilvl w:val="0"/>
          <w:numId w:val="1"/>
        </w:numPr>
        <w:tabs>
          <w:tab w:val="left" w:pos="2324"/>
        </w:tabs>
        <w:autoSpaceDE/>
        <w:autoSpaceDN/>
        <w:spacing w:line="560" w:lineRule="exact"/>
        <w:ind w:left="0" w:firstLine="640"/>
        <w:jc w:val="both"/>
        <w:rPr>
          <w:sz w:val="32"/>
          <w:szCs w:val="32"/>
        </w:rPr>
      </w:pPr>
      <w:r>
        <w:rPr>
          <w:rFonts w:hint="eastAsia"/>
          <w:b/>
          <w:sz w:val="32"/>
          <w:szCs w:val="32"/>
          <w:lang w:val="en-US"/>
        </w:rPr>
        <w:t xml:space="preserve">  </w:t>
      </w:r>
      <w:r>
        <w:rPr>
          <w:rFonts w:hint="eastAsia"/>
          <w:sz w:val="32"/>
          <w:szCs w:val="32"/>
        </w:rPr>
        <w:t>总部</w:t>
      </w:r>
      <w:r>
        <w:rPr>
          <w:rFonts w:hint="eastAsia"/>
          <w:sz w:val="32"/>
          <w:szCs w:val="32"/>
          <w:lang w:val="en-US"/>
        </w:rPr>
        <w:t>其他</w:t>
      </w:r>
      <w:r>
        <w:rPr>
          <w:sz w:val="32"/>
          <w:szCs w:val="32"/>
        </w:rPr>
        <w:t>部门负责</w:t>
      </w:r>
      <w:r>
        <w:rPr>
          <w:rFonts w:hint="eastAsia"/>
          <w:sz w:val="32"/>
          <w:szCs w:val="32"/>
        </w:rPr>
        <w:t>配合</w:t>
      </w:r>
      <w:r>
        <w:rPr>
          <w:sz w:val="32"/>
          <w:szCs w:val="32"/>
        </w:rPr>
        <w:t>归口管理</w:t>
      </w:r>
      <w:r>
        <w:rPr>
          <w:rFonts w:hint="eastAsia"/>
          <w:sz w:val="32"/>
          <w:szCs w:val="32"/>
          <w:lang w:val="en-US"/>
        </w:rPr>
        <w:t>部门</w:t>
      </w:r>
      <w:r>
        <w:rPr>
          <w:sz w:val="32"/>
          <w:szCs w:val="32"/>
        </w:rPr>
        <w:t>开展</w:t>
      </w:r>
      <w:r>
        <w:rPr>
          <w:rFonts w:hint="eastAsia"/>
          <w:sz w:val="32"/>
          <w:szCs w:val="32"/>
          <w:lang w:val="en-US"/>
        </w:rPr>
        <w:t>股权流转</w:t>
      </w:r>
      <w:r>
        <w:rPr>
          <w:sz w:val="32"/>
          <w:szCs w:val="32"/>
        </w:rPr>
        <w:t>相关工作。其中：</w:t>
      </w:r>
    </w:p>
    <w:p>
      <w:pPr>
        <w:pStyle w:val="6"/>
        <w:spacing w:line="560" w:lineRule="exact"/>
        <w:ind w:firstLine="640"/>
        <w:jc w:val="both"/>
        <w:rPr>
          <w:sz w:val="32"/>
          <w:szCs w:val="32"/>
        </w:rPr>
      </w:pPr>
      <w:r>
        <w:rPr>
          <w:sz w:val="32"/>
          <w:szCs w:val="32"/>
        </w:rPr>
        <w:t>（一）战略发展部</w:t>
      </w:r>
      <w:r>
        <w:rPr>
          <w:rFonts w:hint="eastAsia"/>
          <w:sz w:val="32"/>
          <w:szCs w:val="32"/>
        </w:rPr>
        <w:t>负责</w:t>
      </w:r>
      <w:r>
        <w:rPr>
          <w:rFonts w:hint="eastAsia"/>
          <w:sz w:val="32"/>
          <w:szCs w:val="32"/>
          <w:lang w:val="en-US"/>
        </w:rPr>
        <w:t>股权流转事项的战略符合性研判，并</w:t>
      </w:r>
      <w:r>
        <w:rPr>
          <w:sz w:val="32"/>
          <w:szCs w:val="32"/>
        </w:rPr>
        <w:t>提供</w:t>
      </w:r>
      <w:r>
        <w:rPr>
          <w:rFonts w:hint="eastAsia"/>
          <w:sz w:val="32"/>
          <w:szCs w:val="32"/>
          <w:lang w:val="en-US"/>
        </w:rPr>
        <w:t>行业</w:t>
      </w:r>
      <w:r>
        <w:rPr>
          <w:sz w:val="32"/>
          <w:szCs w:val="32"/>
        </w:rPr>
        <w:t>分析支持。</w:t>
      </w:r>
    </w:p>
    <w:p>
      <w:pPr>
        <w:pStyle w:val="6"/>
        <w:spacing w:line="560" w:lineRule="exact"/>
        <w:ind w:firstLine="640"/>
        <w:jc w:val="both"/>
        <w:rPr>
          <w:sz w:val="32"/>
          <w:szCs w:val="32"/>
        </w:rPr>
      </w:pPr>
      <w:r>
        <w:rPr>
          <w:sz w:val="32"/>
          <w:szCs w:val="32"/>
        </w:rPr>
        <w:t>（二）财务管理部</w:t>
      </w:r>
      <w:r>
        <w:rPr>
          <w:rFonts w:hint="eastAsia"/>
          <w:sz w:val="32"/>
          <w:szCs w:val="32"/>
        </w:rPr>
        <w:t>负责</w:t>
      </w:r>
      <w:r>
        <w:rPr>
          <w:rFonts w:hint="eastAsia"/>
          <w:sz w:val="32"/>
          <w:szCs w:val="32"/>
          <w:lang w:val="en-US"/>
        </w:rPr>
        <w:t>为股权流转事项提供</w:t>
      </w:r>
      <w:r>
        <w:rPr>
          <w:sz w:val="32"/>
          <w:szCs w:val="32"/>
        </w:rPr>
        <w:t>财务分析和税务筹划等支持。</w:t>
      </w:r>
    </w:p>
    <w:p>
      <w:pPr>
        <w:pStyle w:val="6"/>
        <w:spacing w:line="560" w:lineRule="exact"/>
        <w:ind w:firstLine="640"/>
        <w:jc w:val="both"/>
        <w:rPr>
          <w:sz w:val="32"/>
          <w:szCs w:val="32"/>
        </w:rPr>
      </w:pPr>
      <w:r>
        <w:rPr>
          <w:sz w:val="32"/>
          <w:szCs w:val="32"/>
        </w:rPr>
        <w:t>（三）法务审计部</w:t>
      </w:r>
      <w:r>
        <w:rPr>
          <w:rFonts w:hint="eastAsia"/>
          <w:sz w:val="32"/>
          <w:szCs w:val="32"/>
        </w:rPr>
        <w:t>负责</w:t>
      </w:r>
      <w:r>
        <w:rPr>
          <w:rFonts w:hint="eastAsia"/>
          <w:sz w:val="32"/>
          <w:szCs w:val="32"/>
          <w:lang w:val="en-US"/>
        </w:rPr>
        <w:t>股权流转事项的</w:t>
      </w:r>
      <w:r>
        <w:rPr>
          <w:sz w:val="32"/>
          <w:szCs w:val="32"/>
        </w:rPr>
        <w:t>合法合规审查</w:t>
      </w:r>
      <w:r>
        <w:rPr>
          <w:rFonts w:hint="eastAsia"/>
          <w:sz w:val="32"/>
          <w:szCs w:val="32"/>
        </w:rPr>
        <w:t>和风险研判，并</w:t>
      </w:r>
      <w:r>
        <w:rPr>
          <w:sz w:val="32"/>
          <w:szCs w:val="32"/>
        </w:rPr>
        <w:t>提供法务支持。</w:t>
      </w:r>
    </w:p>
    <w:p>
      <w:pPr>
        <w:pStyle w:val="6"/>
        <w:numPr>
          <w:ilvl w:val="255"/>
          <w:numId w:val="0"/>
        </w:numPr>
        <w:spacing w:line="560" w:lineRule="exact"/>
        <w:ind w:firstLine="640" w:firstLineChars="200"/>
        <w:jc w:val="both"/>
        <w:rPr>
          <w:sz w:val="32"/>
          <w:szCs w:val="32"/>
        </w:rPr>
      </w:pPr>
      <w:r>
        <w:rPr>
          <w:rFonts w:hint="eastAsia"/>
          <w:sz w:val="32"/>
          <w:szCs w:val="32"/>
        </w:rPr>
        <w:t>（四）科技管理部</w:t>
      </w:r>
      <w:r>
        <w:rPr>
          <w:rFonts w:hint="eastAsia"/>
          <w:sz w:val="32"/>
          <w:szCs w:val="32"/>
          <w:lang w:val="en-US"/>
        </w:rPr>
        <w:t>负责协调</w:t>
      </w:r>
      <w:r>
        <w:rPr>
          <w:rFonts w:hint="eastAsia"/>
          <w:sz w:val="32"/>
          <w:szCs w:val="32"/>
        </w:rPr>
        <w:t>科学技术委员会</w:t>
      </w:r>
      <w:r>
        <w:rPr>
          <w:rFonts w:hint="eastAsia"/>
          <w:sz w:val="32"/>
          <w:szCs w:val="32"/>
          <w:lang w:val="en-US"/>
        </w:rPr>
        <w:t>为股权流转事项</w:t>
      </w:r>
      <w:r>
        <w:rPr>
          <w:sz w:val="32"/>
          <w:szCs w:val="32"/>
        </w:rPr>
        <w:t>提供技术</w:t>
      </w:r>
      <w:r>
        <w:rPr>
          <w:rFonts w:hint="eastAsia"/>
          <w:sz w:val="32"/>
          <w:szCs w:val="32"/>
          <w:lang w:val="en-US"/>
        </w:rPr>
        <w:t>分析和研判（如涉及）</w:t>
      </w:r>
      <w:r>
        <w:rPr>
          <w:sz w:val="32"/>
          <w:szCs w:val="32"/>
        </w:rPr>
        <w:t>。</w:t>
      </w:r>
    </w:p>
    <w:p>
      <w:pPr>
        <w:pStyle w:val="6"/>
        <w:numPr>
          <w:ilvl w:val="255"/>
          <w:numId w:val="0"/>
        </w:numPr>
        <w:spacing w:line="560" w:lineRule="exact"/>
        <w:ind w:firstLine="640" w:firstLineChars="200"/>
        <w:jc w:val="both"/>
        <w:rPr>
          <w:sz w:val="32"/>
          <w:szCs w:val="32"/>
        </w:rPr>
      </w:pPr>
      <w:r>
        <w:rPr>
          <w:rFonts w:hint="eastAsia"/>
          <w:sz w:val="32"/>
          <w:szCs w:val="32"/>
        </w:rPr>
        <w:t>（五）</w:t>
      </w:r>
      <w:r>
        <w:rPr>
          <w:rFonts w:hint="eastAsia"/>
          <w:sz w:val="32"/>
          <w:szCs w:val="32"/>
          <w:lang w:val="en-US"/>
        </w:rPr>
        <w:t>组织人事</w:t>
      </w:r>
      <w:r>
        <w:rPr>
          <w:rFonts w:hint="eastAsia"/>
          <w:sz w:val="32"/>
          <w:szCs w:val="32"/>
        </w:rPr>
        <w:t>部负责</w:t>
      </w:r>
      <w:r>
        <w:rPr>
          <w:rFonts w:hint="eastAsia"/>
          <w:sz w:val="32"/>
          <w:szCs w:val="32"/>
          <w:lang w:val="en-US"/>
        </w:rPr>
        <w:t>为股权</w:t>
      </w:r>
      <w:r>
        <w:rPr>
          <w:rFonts w:hint="eastAsia"/>
          <w:sz w:val="32"/>
          <w:szCs w:val="32"/>
        </w:rPr>
        <w:t>流转事项提供职工安置方面</w:t>
      </w:r>
      <w:r>
        <w:rPr>
          <w:rFonts w:hint="eastAsia"/>
          <w:sz w:val="32"/>
          <w:szCs w:val="32"/>
          <w:lang w:val="en-US"/>
        </w:rPr>
        <w:t>的</w:t>
      </w:r>
      <w:r>
        <w:rPr>
          <w:rFonts w:hint="eastAsia"/>
          <w:sz w:val="32"/>
          <w:szCs w:val="32"/>
        </w:rPr>
        <w:t>指导</w:t>
      </w:r>
      <w:r>
        <w:rPr>
          <w:rFonts w:hint="eastAsia"/>
          <w:sz w:val="32"/>
          <w:szCs w:val="32"/>
          <w:lang w:val="en-US"/>
        </w:rPr>
        <w:t>和</w:t>
      </w:r>
      <w:r>
        <w:rPr>
          <w:rFonts w:hint="eastAsia"/>
          <w:sz w:val="32"/>
          <w:szCs w:val="32"/>
        </w:rPr>
        <w:t>支持（如涉及）。</w:t>
      </w:r>
    </w:p>
    <w:p>
      <w:pPr>
        <w:pStyle w:val="6"/>
        <w:numPr>
          <w:ilvl w:val="0"/>
          <w:numId w:val="1"/>
        </w:numPr>
        <w:tabs>
          <w:tab w:val="left" w:pos="2324"/>
        </w:tabs>
        <w:autoSpaceDE/>
        <w:autoSpaceDN/>
        <w:spacing w:line="560" w:lineRule="exact"/>
        <w:ind w:left="0" w:firstLine="640"/>
        <w:jc w:val="both"/>
        <w:rPr>
          <w:bCs/>
          <w:sz w:val="32"/>
          <w:szCs w:val="32"/>
          <w:lang w:val="en-US"/>
        </w:rPr>
      </w:pPr>
      <w:r>
        <w:rPr>
          <w:rFonts w:hint="eastAsia"/>
          <w:bCs/>
          <w:sz w:val="32"/>
          <w:szCs w:val="32"/>
          <w:lang w:val="en-US"/>
        </w:rPr>
        <w:t xml:space="preserve">  下</w:t>
      </w:r>
      <w:r>
        <w:rPr>
          <w:rFonts w:hint="eastAsia"/>
          <w:bCs/>
          <w:spacing w:val="-6"/>
          <w:sz w:val="32"/>
          <w:szCs w:val="32"/>
          <w:lang w:val="en-US"/>
        </w:rPr>
        <w:t>属企业负责根据发展需要，提出股权流转需求，会同总部推进股权流转事项的研究论证、项目实施及事后管理等。</w:t>
      </w:r>
    </w:p>
    <w:p>
      <w:pPr>
        <w:pStyle w:val="6"/>
        <w:tabs>
          <w:tab w:val="left" w:pos="2324"/>
        </w:tabs>
        <w:adjustRightInd w:val="0"/>
        <w:snapToGrid w:val="0"/>
        <w:spacing w:before="240" w:beforeLines="100" w:after="240" w:afterLines="100" w:line="560" w:lineRule="exact"/>
        <w:ind w:firstLine="0" w:firstLineChars="0"/>
        <w:jc w:val="center"/>
        <w:outlineLvl w:val="0"/>
        <w:rPr>
          <w:rFonts w:ascii="黑体" w:hAnsi="黑体" w:eastAsia="黑体" w:cs="黑体"/>
          <w:bCs/>
          <w:color w:val="000000" w:themeColor="text1"/>
          <w:sz w:val="32"/>
          <w:szCs w:val="32"/>
          <w:lang w:val="en-US"/>
          <w14:textFill>
            <w14:solidFill>
              <w14:schemeClr w14:val="tx1"/>
            </w14:solidFill>
          </w14:textFill>
        </w:rPr>
      </w:pPr>
      <w:bookmarkStart w:id="27" w:name="_Toc27446"/>
      <w:bookmarkStart w:id="28" w:name="_Toc8926"/>
      <w:bookmarkStart w:id="29" w:name="_Toc9635"/>
      <w:bookmarkStart w:id="30" w:name="_Toc20876"/>
      <w:bookmarkStart w:id="31" w:name="_Toc44"/>
      <w:r>
        <w:rPr>
          <w:rFonts w:hint="eastAsia" w:ascii="黑体" w:hAnsi="黑体" w:eastAsia="黑体" w:cs="黑体"/>
          <w:bCs/>
          <w:color w:val="000000" w:themeColor="text1"/>
          <w:sz w:val="32"/>
          <w:szCs w:val="32"/>
          <w:lang w:val="en-US"/>
          <w14:textFill>
            <w14:solidFill>
              <w14:schemeClr w14:val="tx1"/>
            </w14:solidFill>
          </w14:textFill>
        </w:rPr>
        <w:t>第二章  决策机构及决策权限</w:t>
      </w:r>
      <w:bookmarkEnd w:id="27"/>
      <w:bookmarkEnd w:id="28"/>
      <w:bookmarkEnd w:id="29"/>
      <w:bookmarkEnd w:id="30"/>
      <w:bookmarkEnd w:id="31"/>
    </w:p>
    <w:p>
      <w:pPr>
        <w:pStyle w:val="6"/>
        <w:numPr>
          <w:ilvl w:val="0"/>
          <w:numId w:val="1"/>
        </w:numPr>
        <w:tabs>
          <w:tab w:val="left" w:pos="2324"/>
        </w:tabs>
        <w:autoSpaceDE/>
        <w:autoSpaceDN/>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集团所有</w:t>
      </w:r>
      <w:r>
        <w:rPr>
          <w:rFonts w:hint="eastAsia"/>
          <w:color w:val="000000" w:themeColor="text1"/>
          <w:sz w:val="32"/>
          <w:szCs w:val="32"/>
          <w:lang w:val="en-US" w:eastAsia="zh-CN"/>
          <w14:textFill>
            <w14:solidFill>
              <w14:schemeClr w14:val="tx1"/>
            </w14:solidFill>
          </w14:textFill>
        </w:rPr>
        <w:t>股权</w:t>
      </w:r>
      <w:r>
        <w:rPr>
          <w:rFonts w:hint="eastAsia"/>
          <w:color w:val="000000" w:themeColor="text1"/>
          <w:sz w:val="32"/>
          <w:szCs w:val="32"/>
          <w:lang w:val="en-US"/>
          <w14:textFill>
            <w14:solidFill>
              <w14:schemeClr w14:val="tx1"/>
            </w14:solidFill>
          </w14:textFill>
        </w:rPr>
        <w:t>流转事项，应按照“三重一大”相关管理规定提交集团党委会前置研究后，提交集团董事会决策。其中，下述情况的股权流转事项在履行集团内部决策程序后，由总部报国资监管机构批准。</w:t>
      </w:r>
    </w:p>
    <w:p>
      <w:pPr>
        <w:pStyle w:val="6"/>
        <w:tabs>
          <w:tab w:val="left" w:pos="2324"/>
        </w:tabs>
        <w:spacing w:line="560" w:lineRule="exact"/>
        <w:ind w:firstLine="640"/>
        <w:jc w:val="both"/>
        <w:rPr>
          <w:bCs/>
          <w:color w:val="000000" w:themeColor="text1"/>
          <w:sz w:val="32"/>
          <w:szCs w:val="32"/>
          <w:highlight w:val="yellow"/>
          <w:lang w:val="en-US"/>
          <w14:textFill>
            <w14:solidFill>
              <w14:schemeClr w14:val="tx1"/>
            </w14:solidFill>
          </w14:textFill>
        </w:rPr>
      </w:pPr>
      <w:r>
        <w:rPr>
          <w:rFonts w:hint="eastAsia"/>
          <w:bCs/>
          <w:color w:val="000000" w:themeColor="text1"/>
          <w:sz w:val="32"/>
          <w:szCs w:val="32"/>
          <w:lang w:val="en-US"/>
          <w14:textFill>
            <w14:solidFill>
              <w14:schemeClr w14:val="tx1"/>
            </w14:solidFill>
          </w14:textFill>
        </w:rPr>
        <w:t>（一）对主业处于关系国家安全、国民经济命脉的重要行业和关键领域，主要承担重大专项任务下属企业的产权转让、增资行为；</w:t>
      </w:r>
    </w:p>
    <w:p>
      <w:pPr>
        <w:pStyle w:val="6"/>
        <w:numPr>
          <w:ilvl w:val="255"/>
          <w:numId w:val="0"/>
        </w:numPr>
        <w:tabs>
          <w:tab w:val="left" w:pos="2324"/>
        </w:tabs>
        <w:adjustRightInd w:val="0"/>
        <w:snapToGrid w:val="0"/>
        <w:spacing w:line="560" w:lineRule="exact"/>
        <w:ind w:firstLine="640" w:firstLineChars="200"/>
        <w:jc w:val="both"/>
        <w:rPr>
          <w:color w:val="000000" w:themeColor="text1"/>
          <w:sz w:val="32"/>
          <w:szCs w:val="32"/>
          <w:lang w:val="en-US"/>
          <w14:textFill>
            <w14:solidFill>
              <w14:schemeClr w14:val="tx1"/>
            </w14:solidFill>
          </w14:textFill>
        </w:rPr>
      </w:pPr>
      <w:r>
        <w:rPr>
          <w:rFonts w:hint="eastAsia"/>
          <w:bCs/>
          <w:color w:val="000000" w:themeColor="text1"/>
          <w:sz w:val="32"/>
          <w:szCs w:val="32"/>
          <w:lang w:val="en-US"/>
          <w14:textFill>
            <w14:solidFill>
              <w14:schemeClr w14:val="tx1"/>
            </w14:solidFill>
          </w14:textFill>
        </w:rPr>
        <w:t>（二）</w:t>
      </w:r>
      <w:r>
        <w:rPr>
          <w:rFonts w:hint="eastAsia"/>
          <w:color w:val="000000" w:themeColor="text1"/>
          <w:sz w:val="32"/>
          <w:szCs w:val="32"/>
          <w:lang w:val="en-US"/>
          <w14:textFill>
            <w14:solidFill>
              <w14:schemeClr w14:val="tx1"/>
            </w14:solidFill>
          </w14:textFill>
        </w:rPr>
        <w:t>企业国有产权在同一国资监管</w:t>
      </w:r>
      <w:r>
        <w:rPr>
          <w:rFonts w:hint="eastAsia"/>
          <w:color w:val="000000" w:themeColor="text1"/>
          <w:sz w:val="32"/>
          <w:szCs w:val="32"/>
          <w:lang w:val="en-US" w:eastAsia="zh-CN"/>
          <w14:textFill>
            <w14:solidFill>
              <w14:schemeClr w14:val="tx1"/>
            </w14:solidFill>
          </w14:textFill>
        </w:rPr>
        <w:t>机构</w:t>
      </w:r>
      <w:r>
        <w:rPr>
          <w:rFonts w:hint="eastAsia"/>
          <w:color w:val="000000" w:themeColor="text1"/>
          <w:sz w:val="32"/>
          <w:szCs w:val="32"/>
          <w:lang w:val="en-US"/>
          <w14:textFill>
            <w14:solidFill>
              <w14:schemeClr w14:val="tx1"/>
            </w14:solidFill>
          </w14:textFill>
        </w:rPr>
        <w:t>所出资企业之间无偿划转和不同国资监管机构所出资企业之间无偿划转的；</w:t>
      </w:r>
    </w:p>
    <w:p>
      <w:pPr>
        <w:pStyle w:val="6"/>
        <w:tabs>
          <w:tab w:val="left" w:pos="2324"/>
        </w:tabs>
        <w:adjustRightInd w:val="0"/>
        <w:snapToGrid w:val="0"/>
        <w:spacing w:line="560" w:lineRule="exact"/>
        <w:ind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（三）集团与其他市属企业，集团与其他各级履行出资人职责的机构所属全资、控股企业之间的产权置换；</w:t>
      </w:r>
    </w:p>
    <w:p>
      <w:pPr>
        <w:pStyle w:val="6"/>
        <w:tabs>
          <w:tab w:val="left" w:pos="2324"/>
        </w:tabs>
        <w:adjustRightInd w:val="0"/>
        <w:snapToGrid w:val="0"/>
        <w:spacing w:line="560" w:lineRule="exact"/>
        <w:ind w:firstLine="640"/>
        <w:jc w:val="both"/>
        <w:rPr>
          <w:b/>
          <w:spacing w:val="28"/>
          <w:sz w:val="32"/>
          <w:szCs w:val="32"/>
          <w:lang w:val="en-US"/>
        </w:rPr>
      </w:pPr>
      <w:r>
        <w:rPr>
          <w:rFonts w:hint="eastAsia"/>
          <w:color w:val="000000" w:themeColor="text1"/>
          <w:sz w:val="32"/>
          <w:szCs w:val="32"/>
          <w:lang w:val="en-US"/>
          <w14:textFill>
            <w14:solidFill>
              <w14:schemeClr w14:val="tx1"/>
            </w14:solidFill>
          </w14:textFill>
        </w:rPr>
        <w:t>（四）企业产权置换涉及与总部下属上市公司所持产权进行交换的。</w:t>
      </w:r>
    </w:p>
    <w:p>
      <w:pPr>
        <w:pStyle w:val="6"/>
        <w:numPr>
          <w:ilvl w:val="0"/>
          <w:numId w:val="1"/>
        </w:numPr>
        <w:tabs>
          <w:tab w:val="left" w:pos="2324"/>
        </w:tabs>
        <w:autoSpaceDE/>
        <w:autoSpaceDN/>
        <w:spacing w:line="560" w:lineRule="exact"/>
        <w:ind w:left="0" w:firstLine="752"/>
        <w:jc w:val="both"/>
        <w:rPr>
          <w:sz w:val="32"/>
          <w:szCs w:val="32"/>
        </w:rPr>
      </w:pPr>
      <w:r>
        <w:rPr>
          <w:rFonts w:hint="eastAsia"/>
          <w:color w:val="000000" w:themeColor="text1"/>
          <w:sz w:val="32"/>
          <w:szCs w:val="32"/>
          <w:lang w:val="en-US"/>
          <w14:textFill>
            <w14:solidFill>
              <w14:schemeClr w14:val="tx1"/>
            </w14:solidFill>
          </w14:textFill>
        </w:rPr>
        <w:t xml:space="preserve">  </w:t>
      </w:r>
      <w:r>
        <w:rPr>
          <w:rFonts w:hint="eastAsia"/>
          <w:sz w:val="32"/>
          <w:szCs w:val="32"/>
        </w:rPr>
        <w:t>集团自主决策股权流转事项中，</w:t>
      </w:r>
      <w:r>
        <w:rPr>
          <w:rFonts w:hint="eastAsia"/>
          <w:color w:val="000000" w:themeColor="text1"/>
          <w:sz w:val="32"/>
          <w:szCs w:val="32"/>
          <w:lang w:val="en-US"/>
          <w14:textFill>
            <w14:solidFill>
              <w14:schemeClr w14:val="tx1"/>
            </w14:solidFill>
          </w14:textFill>
        </w:rPr>
        <w:t>内部国有产权无偿划转、产权置换事项</w:t>
      </w:r>
      <w:r>
        <w:rPr>
          <w:rFonts w:hint="eastAsia"/>
          <w:sz w:val="32"/>
          <w:szCs w:val="32"/>
        </w:rPr>
        <w:t>，应在集团</w:t>
      </w:r>
      <w:r>
        <w:rPr>
          <w:rFonts w:hint="eastAsia"/>
          <w:sz w:val="32"/>
          <w:szCs w:val="32"/>
          <w:lang w:val="en-US"/>
        </w:rPr>
        <w:t>决策后</w:t>
      </w:r>
      <w:r>
        <w:rPr>
          <w:sz w:val="32"/>
          <w:szCs w:val="32"/>
          <w:lang w:val="en-US"/>
        </w:rPr>
        <w:t>抄报</w:t>
      </w:r>
      <w:r>
        <w:rPr>
          <w:rFonts w:hint="eastAsia"/>
          <w:sz w:val="32"/>
          <w:szCs w:val="32"/>
        </w:rPr>
        <w:t>国资监管机构。</w:t>
      </w:r>
    </w:p>
    <w:p>
      <w:pPr>
        <w:pStyle w:val="6"/>
        <w:widowControl/>
        <w:numPr>
          <w:ilvl w:val="255"/>
          <w:numId w:val="0"/>
        </w:numPr>
        <w:tabs>
          <w:tab w:val="left" w:pos="2324"/>
        </w:tabs>
        <w:autoSpaceDE/>
        <w:autoSpaceDN/>
        <w:adjustRightInd w:val="0"/>
        <w:snapToGrid w:val="0"/>
        <w:spacing w:before="240" w:beforeLines="100" w:after="240" w:afterLines="100" w:line="560" w:lineRule="exact"/>
        <w:jc w:val="center"/>
        <w:outlineLvl w:val="0"/>
        <w:rPr>
          <w:rFonts w:ascii="黑体" w:hAnsi="黑体" w:eastAsia="黑体" w:cs="黑体"/>
          <w:bCs/>
          <w:color w:val="000000" w:themeColor="text1"/>
          <w:sz w:val="32"/>
          <w:szCs w:val="32"/>
          <w:lang w:val="en-US"/>
          <w14:textFill>
            <w14:solidFill>
              <w14:schemeClr w14:val="tx1"/>
            </w14:solidFill>
          </w14:textFill>
        </w:rPr>
      </w:pPr>
      <w:bookmarkStart w:id="32" w:name="_Toc20818"/>
      <w:bookmarkStart w:id="33" w:name="_Toc20616"/>
      <w:bookmarkStart w:id="34" w:name="_Toc9218"/>
      <w:bookmarkStart w:id="35" w:name="_Toc10851"/>
      <w:bookmarkStart w:id="36" w:name="_Toc22640"/>
      <w:r>
        <w:rPr>
          <w:rFonts w:hint="eastAsia" w:ascii="黑体" w:hAnsi="黑体" w:eastAsia="黑体" w:cs="黑体"/>
          <w:bCs/>
          <w:color w:val="000000" w:themeColor="text1"/>
          <w:sz w:val="32"/>
          <w:szCs w:val="32"/>
          <w:lang w:val="en-US"/>
          <w14:textFill>
            <w14:solidFill>
              <w14:schemeClr w14:val="tx1"/>
            </w14:solidFill>
          </w14:textFill>
        </w:rPr>
        <w:t>第三章  股权流转管理流程</w:t>
      </w:r>
      <w:bookmarkEnd w:id="32"/>
      <w:bookmarkEnd w:id="33"/>
      <w:bookmarkEnd w:id="34"/>
      <w:bookmarkEnd w:id="35"/>
      <w:bookmarkEnd w:id="36"/>
    </w:p>
    <w:p>
      <w:pPr>
        <w:pStyle w:val="6"/>
        <w:numPr>
          <w:ilvl w:val="0"/>
          <w:numId w:val="1"/>
        </w:numPr>
        <w:tabs>
          <w:tab w:val="left" w:pos="2324"/>
        </w:tabs>
        <w:autoSpaceDE/>
        <w:autoSpaceDN/>
        <w:spacing w:line="560" w:lineRule="exact"/>
        <w:ind w:left="0" w:firstLine="640"/>
        <w:jc w:val="both"/>
        <w:rPr>
          <w:sz w:val="32"/>
          <w:szCs w:val="32"/>
        </w:rPr>
      </w:pPr>
      <w:r>
        <w:rPr>
          <w:rFonts w:hint="eastAsia"/>
          <w:b/>
          <w:sz w:val="32"/>
          <w:szCs w:val="32"/>
          <w:lang w:val="en-US"/>
        </w:rPr>
        <w:t xml:space="preserve">  </w:t>
      </w:r>
      <w:r>
        <w:rPr>
          <w:rFonts w:hint="eastAsia"/>
          <w:sz w:val="32"/>
          <w:szCs w:val="32"/>
          <w:lang w:val="en-US"/>
        </w:rPr>
        <w:t>股权流转事项</w:t>
      </w:r>
      <w:r>
        <w:rPr>
          <w:sz w:val="32"/>
          <w:szCs w:val="32"/>
        </w:rPr>
        <w:t>管理流程</w:t>
      </w:r>
      <w:r>
        <w:rPr>
          <w:rFonts w:hint="eastAsia"/>
          <w:sz w:val="32"/>
          <w:szCs w:val="32"/>
        </w:rPr>
        <w:t>。</w:t>
      </w:r>
    </w:p>
    <w:p>
      <w:pPr>
        <w:pStyle w:val="6"/>
        <w:spacing w:line="560" w:lineRule="exact"/>
        <w:ind w:firstLine="644"/>
        <w:jc w:val="both"/>
        <w:rPr>
          <w:spacing w:val="1"/>
          <w:sz w:val="32"/>
          <w:szCs w:val="32"/>
          <w:lang w:val="en-US"/>
        </w:rPr>
      </w:pPr>
      <w:r>
        <w:rPr>
          <w:rFonts w:hint="eastAsia"/>
          <w:spacing w:val="1"/>
          <w:sz w:val="32"/>
          <w:szCs w:val="32"/>
        </w:rPr>
        <w:t>（一）总部相关单位或下属企业（统称需求单位）</w:t>
      </w:r>
      <w:r>
        <w:rPr>
          <w:rFonts w:hint="eastAsia"/>
          <w:spacing w:val="1"/>
          <w:sz w:val="32"/>
          <w:szCs w:val="32"/>
          <w:lang w:val="en-US"/>
        </w:rPr>
        <w:t>提出股权流转需求，经需求单位的集团分管领导确认后，提交资本运营部。</w:t>
      </w:r>
    </w:p>
    <w:p>
      <w:pPr>
        <w:pStyle w:val="6"/>
        <w:spacing w:line="560" w:lineRule="exact"/>
        <w:ind w:firstLine="640"/>
        <w:jc w:val="both"/>
        <w:rPr>
          <w:sz w:val="32"/>
          <w:szCs w:val="32"/>
        </w:rPr>
      </w:pPr>
      <w:r>
        <w:rPr>
          <w:rFonts w:hint="eastAsia"/>
          <w:sz w:val="32"/>
          <w:szCs w:val="32"/>
        </w:rPr>
        <w:t>（</w:t>
      </w:r>
      <w:r>
        <w:rPr>
          <w:rFonts w:hint="eastAsia"/>
          <w:sz w:val="32"/>
          <w:szCs w:val="32"/>
          <w:lang w:val="en-US"/>
        </w:rPr>
        <w:t>二</w:t>
      </w:r>
      <w:r>
        <w:rPr>
          <w:rFonts w:hint="eastAsia"/>
          <w:sz w:val="32"/>
          <w:szCs w:val="32"/>
        </w:rPr>
        <w:t>）资本运营部</w:t>
      </w:r>
      <w:r>
        <w:rPr>
          <w:sz w:val="32"/>
          <w:szCs w:val="32"/>
        </w:rPr>
        <w:t>组织</w:t>
      </w:r>
      <w:r>
        <w:rPr>
          <w:rFonts w:hint="eastAsia"/>
          <w:sz w:val="32"/>
          <w:szCs w:val="32"/>
        </w:rPr>
        <w:t>总部相关单位和需求单位开展</w:t>
      </w:r>
      <w:r>
        <w:rPr>
          <w:rFonts w:hint="eastAsia"/>
          <w:sz w:val="32"/>
          <w:szCs w:val="32"/>
          <w:lang w:val="en-US"/>
        </w:rPr>
        <w:t>流转</w:t>
      </w:r>
      <w:r>
        <w:rPr>
          <w:rFonts w:hint="eastAsia"/>
          <w:sz w:val="32"/>
          <w:szCs w:val="32"/>
        </w:rPr>
        <w:t>事项的</w:t>
      </w:r>
      <w:r>
        <w:rPr>
          <w:sz w:val="32"/>
          <w:szCs w:val="32"/>
        </w:rPr>
        <w:t>研究论证，形成</w:t>
      </w:r>
      <w:r>
        <w:rPr>
          <w:rFonts w:hint="eastAsia"/>
          <w:sz w:val="32"/>
          <w:szCs w:val="32"/>
        </w:rPr>
        <w:t>立项议案，会同需求单位提请集团党委会前置研究后，由集团董事长根据党委会审议意见签发立项。不需单独委托中介机构提供服务的股权流转事项，可不立项。</w:t>
      </w:r>
    </w:p>
    <w:p>
      <w:pPr>
        <w:pStyle w:val="6"/>
        <w:spacing w:line="560" w:lineRule="exact"/>
        <w:ind w:firstLine="640"/>
        <w:jc w:val="both"/>
        <w:rPr>
          <w:sz w:val="32"/>
          <w:szCs w:val="32"/>
        </w:rPr>
      </w:pPr>
      <w:r>
        <w:rPr>
          <w:sz w:val="32"/>
          <w:szCs w:val="32"/>
        </w:rPr>
        <w:t>（</w:t>
      </w:r>
      <w:r>
        <w:rPr>
          <w:rFonts w:hint="eastAsia"/>
          <w:sz w:val="32"/>
          <w:szCs w:val="32"/>
          <w:lang w:val="en-US"/>
        </w:rPr>
        <w:t>三</w:t>
      </w:r>
      <w:r>
        <w:rPr>
          <w:spacing w:val="-46"/>
          <w:sz w:val="32"/>
          <w:szCs w:val="32"/>
        </w:rPr>
        <w:t>）</w:t>
      </w:r>
      <w:r>
        <w:rPr>
          <w:sz w:val="32"/>
          <w:szCs w:val="32"/>
        </w:rPr>
        <w:t>立项审批通过后，资本运营部组织开展</w:t>
      </w:r>
      <w:r>
        <w:rPr>
          <w:rFonts w:hint="eastAsia"/>
          <w:sz w:val="32"/>
          <w:szCs w:val="32"/>
          <w:lang w:val="en-US"/>
        </w:rPr>
        <w:t>可行性研究</w:t>
      </w:r>
      <w:r>
        <w:rPr>
          <w:sz w:val="32"/>
          <w:szCs w:val="32"/>
        </w:rPr>
        <w:t>论证，</w:t>
      </w:r>
      <w:r>
        <w:rPr>
          <w:rFonts w:hint="eastAsia"/>
          <w:sz w:val="32"/>
          <w:szCs w:val="32"/>
          <w:lang w:val="en-US"/>
        </w:rPr>
        <w:t>根据需要联合产权相关方</w:t>
      </w:r>
      <w:r>
        <w:rPr>
          <w:sz w:val="32"/>
          <w:szCs w:val="32"/>
        </w:rPr>
        <w:t>聘请中介机构开展尽职调查</w:t>
      </w:r>
      <w:r>
        <w:rPr>
          <w:rFonts w:hint="eastAsia"/>
          <w:sz w:val="32"/>
          <w:szCs w:val="32"/>
        </w:rPr>
        <w:t>、</w:t>
      </w:r>
      <w:r>
        <w:rPr>
          <w:rFonts w:hint="eastAsia"/>
          <w:sz w:val="32"/>
          <w:szCs w:val="32"/>
          <w:lang w:val="en-US"/>
        </w:rPr>
        <w:t>财务审计、资产评估。</w:t>
      </w:r>
    </w:p>
    <w:p>
      <w:pPr>
        <w:pStyle w:val="6"/>
        <w:spacing w:line="560" w:lineRule="exact"/>
        <w:ind w:firstLine="640"/>
        <w:jc w:val="both"/>
        <w:rPr>
          <w:sz w:val="32"/>
          <w:szCs w:val="32"/>
        </w:rPr>
      </w:pPr>
      <w:r>
        <w:rPr>
          <w:rFonts w:hint="eastAsia"/>
          <w:sz w:val="32"/>
          <w:szCs w:val="32"/>
        </w:rPr>
        <w:t>（</w:t>
      </w:r>
      <w:r>
        <w:rPr>
          <w:rFonts w:hint="eastAsia"/>
          <w:sz w:val="32"/>
          <w:szCs w:val="32"/>
          <w:lang w:val="en-US"/>
        </w:rPr>
        <w:t>四</w:t>
      </w:r>
      <w:r>
        <w:rPr>
          <w:rFonts w:hint="eastAsia"/>
          <w:sz w:val="32"/>
          <w:szCs w:val="32"/>
        </w:rPr>
        <w:t>）</w:t>
      </w:r>
      <w:r>
        <w:rPr>
          <w:rFonts w:hint="eastAsia"/>
          <w:sz w:val="32"/>
          <w:szCs w:val="32"/>
          <w:lang w:val="en-US"/>
        </w:rPr>
        <w:t>资本运营部拟制股权流转事项决策议案，</w:t>
      </w:r>
      <w:r>
        <w:rPr>
          <w:rFonts w:hint="eastAsia"/>
          <w:sz w:val="32"/>
          <w:szCs w:val="32"/>
        </w:rPr>
        <w:t>经集团投融资分管领导审核，提请集团党委会前置研究后，提交集团董事会决策。</w:t>
      </w:r>
    </w:p>
    <w:p>
      <w:pPr>
        <w:pStyle w:val="6"/>
        <w:spacing w:line="560" w:lineRule="exact"/>
        <w:ind w:firstLine="640"/>
        <w:jc w:val="both"/>
        <w:rPr>
          <w:sz w:val="32"/>
          <w:szCs w:val="32"/>
          <w:lang w:val="en-US"/>
        </w:rPr>
      </w:pPr>
      <w:r>
        <w:rPr>
          <w:rFonts w:hint="eastAsia"/>
          <w:sz w:val="32"/>
          <w:szCs w:val="32"/>
        </w:rPr>
        <w:t>（</w:t>
      </w:r>
      <w:r>
        <w:rPr>
          <w:rFonts w:hint="eastAsia"/>
          <w:sz w:val="32"/>
          <w:szCs w:val="32"/>
          <w:lang w:val="en-US"/>
        </w:rPr>
        <w:t>五</w:t>
      </w:r>
      <w:r>
        <w:rPr>
          <w:rFonts w:hint="eastAsia"/>
          <w:sz w:val="32"/>
          <w:szCs w:val="32"/>
        </w:rPr>
        <w:t>）</w:t>
      </w:r>
      <w:r>
        <w:rPr>
          <w:rFonts w:hint="eastAsia"/>
          <w:sz w:val="32"/>
          <w:szCs w:val="32"/>
          <w:lang w:val="en-US"/>
        </w:rPr>
        <w:t>根据决策权限要求，报请或抄报国资监管机构。</w:t>
      </w:r>
    </w:p>
    <w:p>
      <w:pPr>
        <w:pStyle w:val="6"/>
        <w:spacing w:line="560" w:lineRule="exact"/>
        <w:ind w:firstLine="640"/>
        <w:jc w:val="both"/>
        <w:rPr>
          <w:sz w:val="32"/>
          <w:szCs w:val="32"/>
        </w:rPr>
      </w:pPr>
      <w:r>
        <w:rPr>
          <w:rFonts w:hint="eastAsia"/>
          <w:sz w:val="32"/>
          <w:szCs w:val="32"/>
        </w:rPr>
        <w:t>（</w:t>
      </w:r>
      <w:r>
        <w:rPr>
          <w:rFonts w:hint="eastAsia"/>
          <w:sz w:val="32"/>
          <w:szCs w:val="32"/>
          <w:lang w:val="en-US"/>
        </w:rPr>
        <w:t>六</w:t>
      </w:r>
      <w:r>
        <w:rPr>
          <w:rFonts w:hint="eastAsia"/>
          <w:sz w:val="32"/>
          <w:szCs w:val="32"/>
        </w:rPr>
        <w:t>）总部股权流转事项，由</w:t>
      </w:r>
      <w:r>
        <w:rPr>
          <w:sz w:val="32"/>
          <w:szCs w:val="32"/>
        </w:rPr>
        <w:t>资本运营部根据</w:t>
      </w:r>
      <w:r>
        <w:rPr>
          <w:rFonts w:hint="eastAsia"/>
          <w:sz w:val="32"/>
          <w:szCs w:val="32"/>
        </w:rPr>
        <w:t>决策或审批意见组织实施；下属企业股权流转事项，由下属企业根据法人治理要求及时履行法定决策</w:t>
      </w:r>
      <w:r>
        <w:rPr>
          <w:rFonts w:hint="eastAsia"/>
          <w:sz w:val="32"/>
          <w:szCs w:val="32"/>
          <w:lang w:val="en-US"/>
        </w:rPr>
        <w:t>程序</w:t>
      </w:r>
      <w:r>
        <w:rPr>
          <w:rFonts w:hint="eastAsia"/>
          <w:sz w:val="32"/>
          <w:szCs w:val="32"/>
        </w:rPr>
        <w:t>，待法定决策</w:t>
      </w:r>
      <w:r>
        <w:rPr>
          <w:rFonts w:hint="eastAsia"/>
          <w:sz w:val="32"/>
          <w:szCs w:val="32"/>
          <w:lang w:val="en-US"/>
        </w:rPr>
        <w:t>程序</w:t>
      </w:r>
      <w:r>
        <w:rPr>
          <w:rFonts w:hint="eastAsia"/>
          <w:sz w:val="32"/>
          <w:szCs w:val="32"/>
        </w:rPr>
        <w:t>通过后实施。</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股权流转事项涉</w:t>
      </w:r>
      <w:r>
        <w:rPr>
          <w:rFonts w:hint="eastAsia"/>
          <w:sz w:val="32"/>
          <w:szCs w:val="32"/>
          <w:lang w:val="en-US"/>
        </w:rPr>
        <w:t>及职工安置的，</w:t>
      </w:r>
      <w:r>
        <w:rPr>
          <w:rFonts w:hint="eastAsia"/>
          <w:sz w:val="32"/>
          <w:szCs w:val="32"/>
        </w:rPr>
        <w:t>安置方案应当经职工代表大会或职工大会或其他民主形式审议通过。</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ascii="Arial" w:hAnsi="Arial" w:cs="Arial"/>
          <w:sz w:val="32"/>
          <w:szCs w:val="32"/>
        </w:rPr>
        <w:t>股权流转</w:t>
      </w:r>
      <w:r>
        <w:rPr>
          <w:rFonts w:hint="eastAsia" w:ascii="Arial" w:hAnsi="Arial" w:cs="Arial"/>
          <w:sz w:val="32"/>
          <w:szCs w:val="32"/>
          <w:lang w:val="en-US"/>
        </w:rPr>
        <w:t>事项完成后，</w:t>
      </w:r>
      <w:r>
        <w:rPr>
          <w:rFonts w:hint="eastAsia" w:ascii="Arial" w:hAnsi="Arial" w:cs="Arial"/>
          <w:sz w:val="32"/>
          <w:szCs w:val="32"/>
        </w:rPr>
        <w:t>应</w:t>
      </w:r>
      <w:r>
        <w:rPr>
          <w:rFonts w:ascii="Arial" w:hAnsi="Arial" w:cs="Arial"/>
          <w:sz w:val="32"/>
          <w:szCs w:val="32"/>
        </w:rPr>
        <w:t>根据</w:t>
      </w:r>
      <w:r>
        <w:rPr>
          <w:rFonts w:hint="eastAsia" w:ascii="Arial" w:hAnsi="Arial" w:cs="Arial"/>
          <w:sz w:val="32"/>
          <w:szCs w:val="32"/>
          <w:lang w:val="en-US"/>
        </w:rPr>
        <w:t>集团</w:t>
      </w:r>
      <w:r>
        <w:rPr>
          <w:rFonts w:ascii="Arial" w:hAnsi="Arial" w:cs="Arial"/>
          <w:sz w:val="32"/>
          <w:szCs w:val="32"/>
        </w:rPr>
        <w:t>产权登记管理</w:t>
      </w:r>
      <w:r>
        <w:rPr>
          <w:rFonts w:hint="eastAsia" w:ascii="Arial" w:hAnsi="Arial" w:cs="Arial"/>
          <w:sz w:val="32"/>
          <w:szCs w:val="32"/>
          <w:lang w:val="en-US"/>
        </w:rPr>
        <w:t>制度</w:t>
      </w:r>
      <w:r>
        <w:rPr>
          <w:rFonts w:ascii="Arial" w:hAnsi="Arial" w:cs="Arial"/>
          <w:sz w:val="32"/>
          <w:szCs w:val="32"/>
        </w:rPr>
        <w:t>规定，及时完成国有产权登记工作。</w:t>
      </w:r>
    </w:p>
    <w:p>
      <w:pPr>
        <w:pStyle w:val="6"/>
        <w:widowControl/>
        <w:numPr>
          <w:ilvl w:val="255"/>
          <w:numId w:val="0"/>
        </w:numPr>
        <w:tabs>
          <w:tab w:val="left" w:pos="2324"/>
        </w:tabs>
        <w:autoSpaceDE/>
        <w:autoSpaceDN/>
        <w:adjustRightInd w:val="0"/>
        <w:snapToGrid w:val="0"/>
        <w:spacing w:before="240" w:beforeLines="100" w:after="240" w:afterLines="100" w:line="560" w:lineRule="exact"/>
        <w:jc w:val="center"/>
        <w:outlineLvl w:val="0"/>
        <w:rPr>
          <w:rFonts w:ascii="黑体" w:hAnsi="黑体" w:eastAsia="黑体" w:cs="黑体"/>
          <w:bCs/>
          <w:color w:val="000000" w:themeColor="text1"/>
          <w:sz w:val="32"/>
          <w:szCs w:val="32"/>
          <w:lang w:val="en-US"/>
          <w14:textFill>
            <w14:solidFill>
              <w14:schemeClr w14:val="tx1"/>
            </w14:solidFill>
          </w14:textFill>
        </w:rPr>
      </w:pPr>
      <w:bookmarkStart w:id="37" w:name="_Toc84"/>
      <w:bookmarkStart w:id="38" w:name="_Toc201"/>
      <w:bookmarkStart w:id="39" w:name="_Toc25467"/>
      <w:bookmarkStart w:id="40" w:name="_Toc11199"/>
      <w:bookmarkStart w:id="41" w:name="_Toc13775"/>
      <w:r>
        <w:rPr>
          <w:rFonts w:hint="eastAsia" w:ascii="黑体" w:hAnsi="黑体" w:eastAsia="黑体" w:cs="黑体"/>
          <w:bCs/>
          <w:color w:val="000000" w:themeColor="text1"/>
          <w:sz w:val="32"/>
          <w:szCs w:val="32"/>
          <w:lang w:val="en-US"/>
          <w14:textFill>
            <w14:solidFill>
              <w14:schemeClr w14:val="tx1"/>
            </w14:solidFill>
          </w14:textFill>
        </w:rPr>
        <w:t>第四章  股权流转特别规定</w:t>
      </w:r>
      <w:bookmarkEnd w:id="37"/>
      <w:bookmarkEnd w:id="38"/>
      <w:bookmarkEnd w:id="39"/>
      <w:bookmarkEnd w:id="40"/>
      <w:bookmarkEnd w:id="41"/>
    </w:p>
    <w:p>
      <w:pPr>
        <w:pStyle w:val="4"/>
        <w:adjustRightInd/>
        <w:snapToGrid/>
        <w:spacing w:before="240" w:after="240"/>
        <w:rPr>
          <w:rFonts w:ascii="楷体_GB2312" w:hAnsi="楷体_GB2312" w:cs="楷体_GB2312"/>
          <w:color w:val="000000" w:themeColor="text1"/>
          <w:szCs w:val="32"/>
          <w:lang w:val="en-US"/>
          <w14:textFill>
            <w14:solidFill>
              <w14:schemeClr w14:val="tx1"/>
            </w14:solidFill>
          </w14:textFill>
        </w:rPr>
      </w:pPr>
      <w:bookmarkStart w:id="42" w:name="_bookmark9"/>
      <w:bookmarkEnd w:id="42"/>
      <w:bookmarkStart w:id="43" w:name="_Toc7239"/>
      <w:bookmarkStart w:id="44" w:name="_Toc3746"/>
      <w:bookmarkStart w:id="45" w:name="_Toc31017"/>
      <w:bookmarkStart w:id="46" w:name="_Toc19776"/>
      <w:bookmarkStart w:id="47" w:name="_Toc23408"/>
      <w:bookmarkStart w:id="48" w:name="_Toc19333"/>
      <w:r>
        <w:rPr>
          <w:rFonts w:hint="eastAsia" w:ascii="楷体_GB2312" w:hAnsi="楷体_GB2312" w:cs="楷体_GB2312"/>
          <w:color w:val="000000" w:themeColor="text1"/>
          <w:szCs w:val="32"/>
          <w:lang w:val="en-US"/>
          <w14:textFill>
            <w14:solidFill>
              <w14:schemeClr w14:val="tx1"/>
            </w14:solidFill>
          </w14:textFill>
        </w:rPr>
        <w:t>第一节  企业产权转让</w:t>
      </w:r>
      <w:bookmarkEnd w:id="43"/>
      <w:bookmarkEnd w:id="44"/>
      <w:bookmarkEnd w:id="45"/>
      <w:bookmarkEnd w:id="46"/>
      <w:bookmarkEnd w:id="47"/>
      <w:bookmarkEnd w:id="48"/>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产权转让是指</w:t>
      </w:r>
      <w:r>
        <w:rPr>
          <w:rFonts w:hint="eastAsia"/>
          <w:color w:val="000000" w:themeColor="text1"/>
          <w:sz w:val="32"/>
          <w:szCs w:val="32"/>
          <w14:textFill>
            <w14:solidFill>
              <w14:schemeClr w14:val="tx1"/>
            </w14:solidFill>
          </w14:textFill>
        </w:rPr>
        <w:t>总部及下属企业转让其对所出资单位各种形式出资所形成权益的行为。</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产权转让事项经立项后，由转让方委托会计师事务所对转让标的企业进行审计。涉及参股权转让不宜单独进行专项审计的，转让方应当取得转让标的企业最近一期年度审计报告以及最近一期财务报表。</w:t>
      </w:r>
    </w:p>
    <w:p>
      <w:pPr>
        <w:pStyle w:val="6"/>
        <w:numPr>
          <w:ilvl w:val="0"/>
          <w:numId w:val="1"/>
        </w:numPr>
        <w:tabs>
          <w:tab w:val="left" w:pos="2324"/>
        </w:tabs>
        <w:autoSpaceDE/>
        <w:autoSpaceDN/>
        <w:adjustRightInd w:val="0"/>
        <w:snapToGrid w:val="0"/>
        <w:spacing w:line="560" w:lineRule="exact"/>
        <w:ind w:left="0" w:firstLine="640" w:firstLineChars="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对按照有关法律法规要求必须进行资产评估的产权转让事项，</w:t>
      </w:r>
      <w:r>
        <w:rPr>
          <w:rFonts w:hint="eastAsia"/>
          <w:color w:val="000000" w:themeColor="text1"/>
          <w:sz w:val="32"/>
          <w:szCs w:val="32"/>
          <w:lang w:val="en-US"/>
          <w14:textFill>
            <w14:solidFill>
              <w14:schemeClr w14:val="tx1"/>
            </w14:solidFill>
          </w14:textFill>
        </w:rPr>
        <w:t>由</w:t>
      </w:r>
      <w:r>
        <w:rPr>
          <w:rFonts w:hint="eastAsia"/>
          <w:color w:val="000000" w:themeColor="text1"/>
          <w:sz w:val="32"/>
          <w:szCs w:val="32"/>
          <w14:textFill>
            <w14:solidFill>
              <w14:schemeClr w14:val="tx1"/>
            </w14:solidFill>
          </w14:textFill>
        </w:rPr>
        <w:t>转让方</w:t>
      </w:r>
      <w:r>
        <w:rPr>
          <w:rFonts w:hint="eastAsia"/>
          <w:color w:val="000000" w:themeColor="text1"/>
          <w:sz w:val="32"/>
          <w:szCs w:val="32"/>
          <w:lang w:val="en-US"/>
          <w14:textFill>
            <w14:solidFill>
              <w14:schemeClr w14:val="tx1"/>
            </w14:solidFill>
          </w14:textFill>
        </w:rPr>
        <w:t>应当</w:t>
      </w:r>
      <w:r>
        <w:rPr>
          <w:rFonts w:hint="eastAsia"/>
          <w:color w:val="000000" w:themeColor="text1"/>
          <w:sz w:val="32"/>
          <w:szCs w:val="32"/>
          <w14:textFill>
            <w14:solidFill>
              <w14:schemeClr w14:val="tx1"/>
            </w14:solidFill>
          </w14:textFill>
        </w:rPr>
        <w:t>委托具有资质的资产评估机构对转让标的进行资产评估。</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产权转让原则上通过产权交易机构公开进行。转让方可采取信息预披露和正式披露相结合的方式分阶段对外披露产权转让信息，公开征集受让方。其中正式披露信息时间不得少于20个工作日。</w:t>
      </w:r>
    </w:p>
    <w:p>
      <w:pPr>
        <w:pStyle w:val="6"/>
        <w:numPr>
          <w:ilvl w:val="255"/>
          <w:numId w:val="0"/>
        </w:numPr>
        <w:tabs>
          <w:tab w:val="left" w:pos="2324"/>
        </w:tabs>
        <w:autoSpaceDE/>
        <w:autoSpaceDN/>
        <w:adjustRightInd w:val="0"/>
        <w:snapToGrid w:val="0"/>
        <w:spacing w:line="560" w:lineRule="exact"/>
        <w:ind w:firstLine="640" w:firstLineChars="20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因产权转让导致转让标的企业的实际控制权发生转移的，转让方应当在转让行为立项获批后10个工作日内，通过产权交易机构进行信息预披露，时间不得少于20个工作日。</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产权转让可在</w:t>
      </w:r>
      <w:r>
        <w:rPr>
          <w:rFonts w:hint="eastAsia"/>
          <w:color w:val="000000" w:themeColor="text1"/>
          <w:sz w:val="32"/>
          <w:szCs w:val="32"/>
          <w:lang w:val="en-US"/>
          <w14:textFill>
            <w14:solidFill>
              <w14:schemeClr w14:val="tx1"/>
            </w14:solidFill>
          </w14:textFill>
        </w:rPr>
        <w:t>总部同意立项并经</w:t>
      </w:r>
      <w:r>
        <w:rPr>
          <w:rFonts w:hint="eastAsia"/>
          <w:color w:val="000000" w:themeColor="text1"/>
          <w:sz w:val="32"/>
          <w:szCs w:val="32"/>
          <w14:textFill>
            <w14:solidFill>
              <w14:schemeClr w14:val="tx1"/>
            </w14:solidFill>
          </w14:textFill>
        </w:rPr>
        <w:t>产权直接持有单位履行内部程序后进行信息预披露</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涉及需要履行最终批准程序的，应当</w:t>
      </w:r>
      <w:r>
        <w:rPr>
          <w:rFonts w:hint="eastAsia"/>
          <w:color w:val="000000" w:themeColor="text1"/>
          <w:sz w:val="32"/>
          <w:szCs w:val="32"/>
          <w:lang w:val="en-US"/>
          <w14:textFill>
            <w14:solidFill>
              <w14:schemeClr w14:val="tx1"/>
            </w14:solidFill>
          </w14:textFill>
        </w:rPr>
        <w:t>提示尚须经过最终批准单位批准后进行正式披露</w:t>
      </w:r>
      <w:r>
        <w:rPr>
          <w:rFonts w:hint="eastAsia"/>
          <w:color w:val="000000" w:themeColor="text1"/>
          <w:sz w:val="32"/>
          <w:szCs w:val="32"/>
          <w14:textFill>
            <w14:solidFill>
              <w14:schemeClr w14:val="tx1"/>
            </w14:solidFill>
          </w14:textFill>
        </w:rPr>
        <w:t>。</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产权转让原则上不得针对受让方设置资格条件，确需设置的，不得有明确指向性或违反公平竞争原则，所设资格条件相关内容</w:t>
      </w:r>
      <w:r>
        <w:rPr>
          <w:rFonts w:hint="eastAsia"/>
          <w:color w:val="000000" w:themeColor="text1"/>
          <w:sz w:val="32"/>
          <w:szCs w:val="32"/>
          <w:lang w:val="en-US"/>
          <w14:textFill>
            <w14:solidFill>
              <w14:schemeClr w14:val="tx1"/>
            </w14:solidFill>
          </w14:textFill>
        </w:rPr>
        <w:t>应当在信息披露前</w:t>
      </w:r>
      <w:r>
        <w:rPr>
          <w:rFonts w:hint="eastAsia"/>
          <w:color w:val="000000" w:themeColor="text1"/>
          <w:sz w:val="32"/>
          <w:szCs w:val="32"/>
          <w14:textFill>
            <w14:solidFill>
              <w14:schemeClr w14:val="tx1"/>
            </w14:solidFill>
          </w14:textFill>
        </w:rPr>
        <w:t>报国资监管机构备案。</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转让方披露信息包括但不限于以下内容：</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（一）转让标的基本情况；</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（二）转让标的企业的股东结构；</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（三）产权转让行为的决策及批准情况；</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四）转让标的企业最近一个年度审计报告和最近一期财务报表中的主要财务指标数据，包括但不限于资产总额、负债总额、所有者权益、营业收入、净利润等（转让参股权的，披露最近一个年度审计报告中的相应数据）：</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（五）受让方资格条件（适用于对受让方有特殊要求的情形）；</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（六）交易条件、转让底价；</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（七）企业管理层是否参与受让，有优先受让权的原股东是否放弃优先受让权；</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（八）交易方式，受让方选择的相关评判标准；</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（九）其他需要披露的事项。</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其中信息预披露应当包括但不限于以上（一）</w:t>
      </w:r>
      <w:r>
        <w:rPr>
          <w:rFonts w:hint="eastAsia"/>
          <w:color w:val="000000" w:themeColor="text1"/>
          <w:sz w:val="32"/>
          <w:szCs w:val="32"/>
          <w:lang w:eastAsia="zh-CN"/>
          <w14:textFill>
            <w14:solidFill>
              <w14:schemeClr w14:val="tx1"/>
            </w14:solidFill>
          </w14:textFill>
        </w:rPr>
        <w:t>（二）（三）（四）</w:t>
      </w:r>
      <w:r>
        <w:rPr>
          <w:rFonts w:hint="eastAsia"/>
          <w:color w:val="000000" w:themeColor="text1"/>
          <w:sz w:val="32"/>
          <w:szCs w:val="32"/>
          <w14:textFill>
            <w14:solidFill>
              <w14:schemeClr w14:val="tx1"/>
            </w14:solidFill>
          </w14:textFill>
        </w:rPr>
        <w:t>（五）款内容。</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首次正式信息披露的转让底价不得低于经核准或备案的转让标的评估结果。信息披露期满未征集到意向受让方的，可以延期或在降低转让底价、变更受让条件后重新进行信息披露。仅调整转让底价后重新披露信息的，产权转让披露时间不少于</w:t>
      </w:r>
      <w:r>
        <w:rPr>
          <w:color w:val="000000" w:themeColor="text1"/>
          <w:sz w:val="32"/>
          <w:szCs w:val="32"/>
          <w:lang w:val="en-US"/>
          <w14:textFill>
            <w14:solidFill>
              <w14:schemeClr w14:val="tx1"/>
            </w14:solidFill>
          </w14:textFill>
        </w:rPr>
        <w:t>10</w:t>
      </w:r>
      <w:r>
        <w:rPr>
          <w:rFonts w:hint="eastAsia"/>
          <w:color w:val="000000" w:themeColor="text1"/>
          <w:sz w:val="32"/>
          <w:szCs w:val="32"/>
          <w:lang w:val="en-US"/>
          <w14:textFill>
            <w14:solidFill>
              <w14:schemeClr w14:val="tx1"/>
            </w14:solidFill>
          </w14:textFill>
        </w:rPr>
        <w:t>个工作日，其他变更受让条件后重新披露信息的，披露时间不得少于</w:t>
      </w:r>
      <w:r>
        <w:rPr>
          <w:color w:val="000000" w:themeColor="text1"/>
          <w:sz w:val="32"/>
          <w:szCs w:val="32"/>
          <w:lang w:val="en-US"/>
          <w14:textFill>
            <w14:solidFill>
              <w14:schemeClr w14:val="tx1"/>
            </w14:solidFill>
          </w14:textFill>
        </w:rPr>
        <w:t>20</w:t>
      </w:r>
      <w:r>
        <w:rPr>
          <w:rFonts w:hint="eastAsia"/>
          <w:color w:val="000000" w:themeColor="text1"/>
          <w:sz w:val="32"/>
          <w:szCs w:val="32"/>
          <w:lang w:val="en-US"/>
          <w14:textFill>
            <w14:solidFill>
              <w14:schemeClr w14:val="tx1"/>
            </w14:solidFill>
          </w14:textFill>
        </w:rPr>
        <w:t>个工作日。</w:t>
      </w:r>
      <w:r>
        <w:rPr>
          <w:rFonts w:hint="eastAsia"/>
          <w:color w:val="000000" w:themeColor="text1"/>
          <w:sz w:val="32"/>
          <w:szCs w:val="32"/>
          <w14:textFill>
            <w14:solidFill>
              <w14:schemeClr w14:val="tx1"/>
            </w14:solidFill>
          </w14:textFill>
        </w:rPr>
        <w:t>新的转让底价低于评估结果的</w:t>
      </w:r>
      <w:r>
        <w:rPr>
          <w:color w:val="000000" w:themeColor="text1"/>
          <w:sz w:val="32"/>
          <w:szCs w:val="32"/>
          <w:lang w:val="en-US"/>
          <w14:textFill>
            <w14:solidFill>
              <w14:schemeClr w14:val="tx1"/>
            </w14:solidFill>
          </w14:textFill>
        </w:rPr>
        <w:t>90%</w:t>
      </w:r>
      <w:r>
        <w:rPr>
          <w:rFonts w:hint="eastAsia"/>
          <w:color w:val="000000" w:themeColor="text1"/>
          <w:sz w:val="32"/>
          <w:szCs w:val="32"/>
          <w:lang w:val="en-US"/>
          <w14:textFill>
            <w14:solidFill>
              <w14:schemeClr w14:val="tx1"/>
            </w14:solidFill>
          </w14:textFill>
        </w:rPr>
        <w:t>时，应当经转让行为批准单位书面同意</w:t>
      </w:r>
      <w:r>
        <w:rPr>
          <w:rFonts w:hint="eastAsia"/>
          <w:color w:val="000000" w:themeColor="text1"/>
          <w:sz w:val="32"/>
          <w:szCs w:val="32"/>
          <w14:textFill>
            <w14:solidFill>
              <w14:schemeClr w14:val="tx1"/>
            </w14:solidFill>
          </w14:textFill>
        </w:rPr>
        <w:t>。变更受让条件的，转让方应当重新履行报批或备案程序。</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转让项目自首次正式披露信息之日起超过12个月未征集到合格受让方的，应当重新履行审计、资产评估以及信息披露等产权转让工作程序。</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在正式披露信息期间，转让方不得变更产权转让公告中公布的内容，由于非转让方原因或其他不可抗力因素导致可能对转让标的价值判断造成影响的，转让方应当及时调整补充披露信息内容，并相应延长信息披露时间，延长时间不少于</w:t>
      </w:r>
      <w:r>
        <w:rPr>
          <w:color w:val="000000" w:themeColor="text1"/>
          <w:sz w:val="32"/>
          <w:szCs w:val="32"/>
          <w:lang w:val="en-US"/>
          <w14:textFill>
            <w14:solidFill>
              <w14:schemeClr w14:val="tx1"/>
            </w14:solidFill>
          </w14:textFill>
        </w:rPr>
        <w:t>10</w:t>
      </w:r>
      <w:r>
        <w:rPr>
          <w:rFonts w:hint="eastAsia"/>
          <w:color w:val="000000" w:themeColor="text1"/>
          <w:sz w:val="32"/>
          <w:szCs w:val="32"/>
          <w:lang w:val="en-US"/>
          <w14:textFill>
            <w14:solidFill>
              <w14:schemeClr w14:val="tx1"/>
            </w14:solidFill>
          </w14:textFill>
        </w:rPr>
        <w:t>个工作日</w:t>
      </w:r>
      <w:r>
        <w:rPr>
          <w:rFonts w:hint="eastAsia"/>
          <w:color w:val="000000" w:themeColor="text1"/>
          <w:sz w:val="32"/>
          <w:szCs w:val="32"/>
          <w14:textFill>
            <w14:solidFill>
              <w14:schemeClr w14:val="tx1"/>
            </w14:solidFill>
          </w14:textFill>
        </w:rPr>
        <w:t>。</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产权转让信息披露期满、产生符合条件的意向受让方的，按照披露的交易方式组织交易。符合竞价条件的应当采取拍卖、招投标、网络竞价以及其他竞价方式，且不得违反国家法律法规的规定。</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受让方确定后，转让方与受让方应当签订产权交易合同，交易双方不得以交易期间企业经营性损益等理由对已达成的交易条件和交易价格进行调整。</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产权转让导致国有股东持有上市公司股份间接转让的，应当同时遵守上市公司国有股权管理</w:t>
      </w:r>
      <w:r>
        <w:rPr>
          <w:rFonts w:hint="eastAsia"/>
          <w:color w:val="000000" w:themeColor="text1"/>
          <w:sz w:val="32"/>
          <w:szCs w:val="32"/>
          <w:lang w:val="en-US"/>
          <w14:textFill>
            <w14:solidFill>
              <w14:schemeClr w14:val="tx1"/>
            </w14:solidFill>
          </w14:textFill>
        </w:rPr>
        <w:t>以及</w:t>
      </w:r>
      <w:r>
        <w:rPr>
          <w:rFonts w:hint="eastAsia"/>
          <w:color w:val="000000" w:themeColor="text1"/>
          <w:sz w:val="32"/>
          <w:szCs w:val="32"/>
          <w14:textFill>
            <w14:solidFill>
              <w14:schemeClr w14:val="tx1"/>
            </w14:solidFill>
          </w14:textFill>
        </w:rPr>
        <w:t>证券监管相关规定。</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企业产权转让涉及交易主体资格审查、反垄断审查、特许经营权、国有划拨土地使用权等政府审批事项的，按照相关规定执行。</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受让方为境外投资者的，应当符合外商投资产业指导目录和负面清单管理要求，以及外商投资安全审查有关规定。</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交易价款应当以人民币计价，通过产权交易机构以货币进行结算。因特殊情况不能通过产权交易机构结算的，转让方应当向产权交易机构提供转让行为批准单位的书面意见以及受让方付款凭证。</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交易价款原则上应当自合同生效之日起</w:t>
      </w:r>
      <w:r>
        <w:rPr>
          <w:rFonts w:hint="eastAsia"/>
          <w:color w:val="000000" w:themeColor="text1"/>
          <w:sz w:val="32"/>
          <w:szCs w:val="32"/>
          <w:lang w:val="en-US"/>
          <w14:textFill>
            <w14:solidFill>
              <w14:schemeClr w14:val="tx1"/>
            </w14:solidFill>
          </w14:textFill>
        </w:rPr>
        <w:t>5</w:t>
      </w:r>
      <w:r>
        <w:rPr>
          <w:rFonts w:hint="eastAsia"/>
          <w:color w:val="000000" w:themeColor="text1"/>
          <w:sz w:val="32"/>
          <w:szCs w:val="32"/>
          <w14:textFill>
            <w14:solidFill>
              <w14:schemeClr w14:val="tx1"/>
            </w14:solidFill>
          </w14:textFill>
        </w:rPr>
        <w:t>个工作日内一次付清。</w:t>
      </w:r>
    </w:p>
    <w:p>
      <w:pPr>
        <w:pStyle w:val="6"/>
        <w:numPr>
          <w:ilvl w:val="255"/>
          <w:numId w:val="0"/>
        </w:numPr>
        <w:tabs>
          <w:tab w:val="left" w:pos="2324"/>
        </w:tabs>
        <w:adjustRightInd w:val="0"/>
        <w:snapToGrid w:val="0"/>
        <w:spacing w:line="560" w:lineRule="exact"/>
        <w:ind w:firstLine="640" w:firstLineChars="20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金额较大、一次付清确有困难的，可以采取分期付款方式。采用分期付款方式的，首期付款不得低于总价款的30%，并在合同生效之日起</w:t>
      </w:r>
      <w:r>
        <w:rPr>
          <w:rFonts w:hint="eastAsia"/>
          <w:color w:val="000000" w:themeColor="text1"/>
          <w:sz w:val="32"/>
          <w:szCs w:val="32"/>
          <w:lang w:val="en-US"/>
          <w14:textFill>
            <w14:solidFill>
              <w14:schemeClr w14:val="tx1"/>
            </w14:solidFill>
          </w14:textFill>
        </w:rPr>
        <w:t>5</w:t>
      </w:r>
      <w:r>
        <w:rPr>
          <w:rFonts w:hint="eastAsia"/>
          <w:color w:val="000000" w:themeColor="text1"/>
          <w:sz w:val="32"/>
          <w:szCs w:val="32"/>
          <w14:textFill>
            <w14:solidFill>
              <w14:schemeClr w14:val="tx1"/>
            </w14:solidFill>
          </w14:textFill>
        </w:rPr>
        <w:t>个工作日内支付；其余款项应当提供转让方认可的合法有效担保，并按同期银行贷款利率支付延期付款期间的利息，付款期限不得超过</w:t>
      </w:r>
      <w:r>
        <w:rPr>
          <w:rFonts w:hint="eastAsia"/>
          <w:color w:val="000000" w:themeColor="text1"/>
          <w:sz w:val="32"/>
          <w:szCs w:val="32"/>
          <w:lang w:val="en-US"/>
          <w14:textFill>
            <w14:solidFill>
              <w14:schemeClr w14:val="tx1"/>
            </w14:solidFill>
          </w14:textFill>
        </w:rPr>
        <w:t>1</w:t>
      </w:r>
      <w:r>
        <w:rPr>
          <w:rFonts w:hint="eastAsia"/>
          <w:color w:val="000000" w:themeColor="text1"/>
          <w:sz w:val="32"/>
          <w:szCs w:val="32"/>
          <w14:textFill>
            <w14:solidFill>
              <w14:schemeClr w14:val="tx1"/>
            </w14:solidFill>
          </w14:textFill>
        </w:rPr>
        <w:t>年。</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以下情形的企业产权转让可以采取非公开协议转让方式：</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涉及主业处于关系国家安全、国民经济命脉的重要行业和关键领域企业的重组整合，对受让方有特殊要求，企业产权需要向集团以外的其他国有及国有控股企业转让的，经国资监管机构批准，可以采取非公开协议转让方式；</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涉及政府或国资监管机构主导推动的国有资本布局优化和结构调整，以及专业化重组等重大事项，企业产权需要向集团以外的其他国有及国有控股企业转让的，且对受让方有特殊要求的，可以采取协议方式进行；</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w:t>
      </w:r>
      <w:r>
        <w:rPr>
          <w:rFonts w:hint="eastAsia"/>
          <w:color w:val="000000" w:themeColor="text1"/>
          <w:sz w:val="32"/>
          <w:szCs w:val="32"/>
          <w:lang w:val="en-US"/>
          <w14:textFill>
            <w14:solidFill>
              <w14:schemeClr w14:val="tx1"/>
            </w14:solidFill>
          </w14:textFill>
        </w:rPr>
        <w:t>集团</w:t>
      </w:r>
      <w:r>
        <w:rPr>
          <w:rFonts w:hint="eastAsia"/>
          <w:color w:val="000000" w:themeColor="text1"/>
          <w:sz w:val="32"/>
          <w:szCs w:val="32"/>
          <w14:textFill>
            <w14:solidFill>
              <w14:schemeClr w14:val="tx1"/>
            </w14:solidFill>
          </w14:textFill>
        </w:rPr>
        <w:t>因实施内部重组整合进行产权转让的，经</w:t>
      </w:r>
      <w:r>
        <w:rPr>
          <w:rFonts w:hint="eastAsia"/>
          <w:color w:val="000000" w:themeColor="text1"/>
          <w:sz w:val="32"/>
          <w:szCs w:val="32"/>
          <w:lang w:val="en-US"/>
          <w14:textFill>
            <w14:solidFill>
              <w14:schemeClr w14:val="tx1"/>
            </w14:solidFill>
          </w14:textFill>
        </w:rPr>
        <w:t>总部</w:t>
      </w:r>
      <w:r>
        <w:rPr>
          <w:rFonts w:hint="eastAsia"/>
          <w:color w:val="000000" w:themeColor="text1"/>
          <w:sz w:val="32"/>
          <w:szCs w:val="32"/>
          <w14:textFill>
            <w14:solidFill>
              <w14:schemeClr w14:val="tx1"/>
            </w14:solidFill>
          </w14:textFill>
        </w:rPr>
        <w:t>批准，可以采取非公开协议转让方式。</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采取非公开协议转让方式转让企业产权，转让价格不得低于经核准或备案的评估结果。以下情形按照法律法规、企业章程履行决策程序后，转让价格可以资产评估报告或最近一期审计报告确认的净资产值为基础确定，且不得低于经评估或审计的净资产值：</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（一）集团内部实施重组整合，转让方和受让方为</w:t>
      </w:r>
      <w:r>
        <w:rPr>
          <w:rFonts w:hint="eastAsia"/>
          <w:color w:val="000000" w:themeColor="text1"/>
          <w:sz w:val="32"/>
          <w:szCs w:val="32"/>
          <w:lang w:val="en-US"/>
          <w14:textFill>
            <w14:solidFill>
              <w14:schemeClr w14:val="tx1"/>
            </w14:solidFill>
          </w14:textFill>
        </w:rPr>
        <w:t>总部</w:t>
      </w:r>
      <w:r>
        <w:rPr>
          <w:rFonts w:hint="eastAsia"/>
          <w:color w:val="000000" w:themeColor="text1"/>
          <w:sz w:val="32"/>
          <w:szCs w:val="32"/>
          <w14:textFill>
            <w14:solidFill>
              <w14:schemeClr w14:val="tx1"/>
            </w14:solidFill>
          </w14:textFill>
        </w:rPr>
        <w:t>及其直接或间接全资拥有的下属企业；</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（二）下属企业内部实施重组整合，转让方和受让方为该下属企业及其直接、间接全资拥有的企业。</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采取非公开协议转让的，经批准后，转让方应当在产权交易机构进行成交公告，公告期不少于5个工作日，公告结束后由产权交易机构出具交易凭证。</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产权转让的重要环节，应当通过公告或公示的形式向公众或转让标的企业披露有关信息。</w:t>
      </w:r>
    </w:p>
    <w:p>
      <w:pPr>
        <w:pStyle w:val="4"/>
        <w:adjustRightInd/>
        <w:snapToGrid/>
        <w:spacing w:before="240" w:after="240"/>
        <w:rPr>
          <w:rFonts w:ascii="楷体_GB2312" w:hAnsi="楷体_GB2312" w:cs="楷体_GB2312"/>
          <w:color w:val="000000" w:themeColor="text1"/>
          <w:szCs w:val="32"/>
          <w:lang w:val="en-US"/>
          <w14:textFill>
            <w14:solidFill>
              <w14:schemeClr w14:val="tx1"/>
            </w14:solidFill>
          </w14:textFill>
        </w:rPr>
      </w:pPr>
      <w:bookmarkStart w:id="49" w:name="_Toc604"/>
      <w:bookmarkStart w:id="50" w:name="_Toc20727"/>
      <w:bookmarkStart w:id="51" w:name="_Toc9863"/>
      <w:bookmarkStart w:id="52" w:name="_Toc32369"/>
      <w:bookmarkStart w:id="53" w:name="_Toc4977"/>
      <w:r>
        <w:rPr>
          <w:rFonts w:hint="eastAsia" w:ascii="楷体_GB2312" w:hAnsi="楷体_GB2312" w:cs="楷体_GB2312"/>
          <w:color w:val="000000" w:themeColor="text1"/>
          <w:szCs w:val="32"/>
          <w:lang w:val="en-US"/>
          <w14:textFill>
            <w14:solidFill>
              <w14:schemeClr w14:val="tx1"/>
            </w14:solidFill>
          </w14:textFill>
        </w:rPr>
        <w:t>第二节  企业增资</w:t>
      </w:r>
      <w:bookmarkEnd w:id="49"/>
      <w:bookmarkEnd w:id="50"/>
      <w:bookmarkEnd w:id="51"/>
      <w:bookmarkEnd w:id="52"/>
      <w:bookmarkEnd w:id="53"/>
    </w:p>
    <w:p>
      <w:pPr>
        <w:pStyle w:val="6"/>
        <w:numPr>
          <w:ilvl w:val="0"/>
          <w:numId w:val="1"/>
        </w:numPr>
        <w:tabs>
          <w:tab w:val="left" w:pos="2324"/>
        </w:tabs>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企业增资是指下属企业增加资本的行为。</w:t>
      </w:r>
    </w:p>
    <w:p>
      <w:pPr>
        <w:pStyle w:val="6"/>
        <w:numPr>
          <w:ilvl w:val="0"/>
          <w:numId w:val="1"/>
        </w:numPr>
        <w:tabs>
          <w:tab w:val="left" w:pos="2324"/>
        </w:tabs>
        <w:adjustRightInd w:val="0"/>
        <w:snapToGrid w:val="0"/>
        <w:spacing w:line="560" w:lineRule="exact"/>
        <w:ind w:firstLine="640"/>
        <w:jc w:val="both"/>
        <w:rPr>
          <w:color w:val="000000" w:themeColor="text1"/>
          <w:sz w:val="32"/>
          <w:szCs w:val="32"/>
          <w14:textFill>
            <w14:solidFill>
              <w14:schemeClr w14:val="tx1"/>
            </w14:solidFill>
          </w14:textFill>
        </w:rPr>
      </w:pPr>
      <w:r>
        <w:rPr>
          <w:sz w:val="32"/>
          <w:szCs w:val="32"/>
          <w:lang w:val="en-US"/>
        </w:rPr>
        <w:t xml:space="preserve">  </w:t>
      </w:r>
      <w:r>
        <w:rPr>
          <w:rFonts w:hint="eastAsia"/>
          <w:sz w:val="32"/>
          <w:szCs w:val="32"/>
        </w:rPr>
        <w:t>增资</w:t>
      </w:r>
      <w:r>
        <w:rPr>
          <w:rFonts w:hint="eastAsia"/>
          <w:sz w:val="32"/>
          <w:szCs w:val="32"/>
          <w:lang w:val="en-US"/>
        </w:rPr>
        <w:t>项目</w:t>
      </w:r>
      <w:r>
        <w:rPr>
          <w:rFonts w:hint="eastAsia"/>
          <w:sz w:val="32"/>
          <w:szCs w:val="32"/>
        </w:rPr>
        <w:t>立项后，增资企业及产权持有人</w:t>
      </w:r>
      <w:r>
        <w:rPr>
          <w:rFonts w:hint="eastAsia"/>
          <w:sz w:val="32"/>
          <w:szCs w:val="32"/>
          <w:lang w:val="en-US"/>
        </w:rPr>
        <w:t>应</w:t>
      </w:r>
      <w:r>
        <w:rPr>
          <w:rFonts w:hint="eastAsia"/>
          <w:sz w:val="32"/>
          <w:szCs w:val="32"/>
        </w:rPr>
        <w:t>共同委托具有相应资质的中介机构开展审计和资产评估。</w:t>
      </w:r>
      <w:r>
        <w:rPr>
          <w:rFonts w:hint="eastAsia"/>
          <w:color w:val="000000" w:themeColor="text1"/>
          <w:sz w:val="32"/>
          <w:szCs w:val="32"/>
          <w14:textFill>
            <w14:solidFill>
              <w14:schemeClr w14:val="tx1"/>
            </w14:solidFill>
          </w14:textFill>
        </w:rPr>
        <w:t>以下情形按照法律法规、企业章程履行决策程序后，可以依据评估报告或最近一期审计报告确定企业资本及股权比例：</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（一）增资企业原股东同比例增资的；</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w:t>
      </w:r>
      <w:r>
        <w:rPr>
          <w:rFonts w:hint="eastAsia"/>
          <w:color w:val="000000" w:themeColor="text1"/>
          <w:sz w:val="32"/>
          <w:szCs w:val="32"/>
          <w:lang w:val="en-US" w:eastAsia="zh-CN"/>
          <w14:textFill>
            <w14:solidFill>
              <w14:schemeClr w14:val="tx1"/>
            </w14:solidFill>
          </w14:textFill>
        </w:rPr>
        <w:t>总部或</w:t>
      </w:r>
      <w:r>
        <w:rPr>
          <w:rFonts w:hint="eastAsia"/>
          <w:color w:val="000000" w:themeColor="text1"/>
          <w:sz w:val="32"/>
          <w:szCs w:val="32"/>
          <w14:textFill>
            <w14:solidFill>
              <w14:schemeClr w14:val="tx1"/>
            </w14:solidFill>
          </w14:textFill>
        </w:rPr>
        <w:t>下属企业对其独资子企业增资的；</w:t>
      </w:r>
    </w:p>
    <w:p>
      <w:pPr>
        <w:pStyle w:val="6"/>
        <w:numPr>
          <w:ilvl w:val="0"/>
          <w:numId w:val="1"/>
        </w:numPr>
        <w:tabs>
          <w:tab w:val="left" w:pos="2324"/>
        </w:tabs>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企业增资通过产权交易机构网站对外披露信息公开征集投资方，</w:t>
      </w:r>
      <w:r>
        <w:rPr>
          <w:rFonts w:hint="eastAsia"/>
          <w:color w:val="000000" w:themeColor="text1"/>
          <w:sz w:val="32"/>
          <w:szCs w:val="32"/>
          <w:lang w:val="en-US"/>
          <w14:textFill>
            <w14:solidFill>
              <w14:schemeClr w14:val="tx1"/>
            </w14:solidFill>
          </w14:textFill>
        </w:rPr>
        <w:t>可采取信息预披露和正式披露相结合的方式，分阶段对外披露增资信息，合计披露时间不少于40个工作日</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其中正式披露时间不少于20个工作日。信息预披露应当包括但不限于企业基本情况、产权结构、近3年审计报告中的主要财务指标、拟募集资金金额等内容。信息正式</w:t>
      </w:r>
      <w:r>
        <w:rPr>
          <w:rFonts w:hint="eastAsia"/>
          <w:color w:val="000000" w:themeColor="text1"/>
          <w:sz w:val="32"/>
          <w:szCs w:val="32"/>
          <w14:textFill>
            <w14:solidFill>
              <w14:schemeClr w14:val="tx1"/>
            </w14:solidFill>
          </w14:textFill>
        </w:rPr>
        <w:t>披露内容包括但不限于：</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（一）企业的基本情况；</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（二）企业目前的股权结构；</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（三）企业增资行为的决策及批准情况；</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（四）近三年企业审计报告中的主要财务指标；</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（五）企业拟募集资金金额和增资后的企业股权结构，法人</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治理结构安排；</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（六）募集资金用途；</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（七）投资方的资格条件，以及投资金额和持股比例要求等：</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（八）投资方的遴选方式；</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（九）增资终止的条件；</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（十）其他需要披露的事项。</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企业</w:t>
      </w:r>
      <w:r>
        <w:rPr>
          <w:rFonts w:hint="eastAsia"/>
          <w:color w:val="000000" w:themeColor="text1"/>
          <w:sz w:val="32"/>
          <w:szCs w:val="32"/>
          <w14:textFill>
            <w14:solidFill>
              <w14:schemeClr w14:val="tx1"/>
            </w14:solidFill>
          </w14:textFill>
        </w:rPr>
        <w:t>增资可在</w:t>
      </w:r>
      <w:r>
        <w:rPr>
          <w:rFonts w:hint="eastAsia"/>
          <w:color w:val="000000" w:themeColor="text1"/>
          <w:sz w:val="32"/>
          <w:szCs w:val="32"/>
          <w:lang w:val="en-US"/>
          <w14:textFill>
            <w14:solidFill>
              <w14:schemeClr w14:val="tx1"/>
            </w14:solidFill>
          </w14:textFill>
        </w:rPr>
        <w:t>总部同意立项并经</w:t>
      </w:r>
      <w:r>
        <w:rPr>
          <w:rFonts w:hint="eastAsia"/>
          <w:color w:val="000000" w:themeColor="text1"/>
          <w:sz w:val="32"/>
          <w:szCs w:val="32"/>
          <w14:textFill>
            <w14:solidFill>
              <w14:schemeClr w14:val="tx1"/>
            </w14:solidFill>
          </w14:textFill>
        </w:rPr>
        <w:t>增资企业履行内部决策程序后进行信息预披露</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涉及需要履行最终批准程序的，应当</w:t>
      </w:r>
      <w:r>
        <w:rPr>
          <w:rFonts w:hint="eastAsia"/>
          <w:color w:val="000000" w:themeColor="text1"/>
          <w:sz w:val="32"/>
          <w:szCs w:val="32"/>
          <w:lang w:val="en-US"/>
          <w14:textFill>
            <w14:solidFill>
              <w14:schemeClr w14:val="tx1"/>
            </w14:solidFill>
          </w14:textFill>
        </w:rPr>
        <w:t>提示尚须经过最终批准单位批准后进行正式披露</w:t>
      </w:r>
      <w:r>
        <w:rPr>
          <w:rFonts w:hint="eastAsia"/>
          <w:color w:val="000000" w:themeColor="text1"/>
          <w:sz w:val="32"/>
          <w:szCs w:val="32"/>
          <w14:textFill>
            <w14:solidFill>
              <w14:schemeClr w14:val="tx1"/>
            </w14:solidFill>
          </w14:textFill>
        </w:rPr>
        <w:t>。</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企</w:t>
      </w:r>
      <w:r>
        <w:rPr>
          <w:rFonts w:hint="eastAsia"/>
          <w:color w:val="000000" w:themeColor="text1"/>
          <w:spacing w:val="-6"/>
          <w:sz w:val="32"/>
          <w:szCs w:val="32"/>
          <w14:textFill>
            <w14:solidFill>
              <w14:schemeClr w14:val="tx1"/>
            </w14:solidFill>
          </w14:textFill>
        </w:rPr>
        <w:t>业增资涉及上市公司实际控制人发生变更的，应当同时遵守上市公司国有股权管理以</w:t>
      </w:r>
      <w:r>
        <w:rPr>
          <w:rFonts w:hint="eastAsia"/>
          <w:color w:val="000000" w:themeColor="text1"/>
          <w:spacing w:val="-6"/>
          <w:sz w:val="32"/>
          <w:szCs w:val="32"/>
          <w:lang w:eastAsia="zh-CN"/>
          <w14:textFill>
            <w14:solidFill>
              <w14:schemeClr w14:val="tx1"/>
            </w14:solidFill>
          </w14:textFill>
        </w:rPr>
        <w:t>及证</w:t>
      </w:r>
      <w:r>
        <w:rPr>
          <w:rFonts w:hint="eastAsia"/>
          <w:color w:val="000000" w:themeColor="text1"/>
          <w:spacing w:val="-6"/>
          <w:sz w:val="32"/>
          <w:szCs w:val="32"/>
          <w14:textFill>
            <w14:solidFill>
              <w14:schemeClr w14:val="tx1"/>
            </w14:solidFill>
          </w14:textFill>
        </w:rPr>
        <w:t>券监管相关规定。</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通</w:t>
      </w:r>
      <w:r>
        <w:rPr>
          <w:rFonts w:hint="eastAsia"/>
          <w:color w:val="000000" w:themeColor="text1"/>
          <w:spacing w:val="-6"/>
          <w:sz w:val="32"/>
          <w:szCs w:val="32"/>
          <w14:textFill>
            <w14:solidFill>
              <w14:schemeClr w14:val="tx1"/>
            </w14:solidFill>
          </w14:textFill>
        </w:rPr>
        <w:t>过资格审查的意向投资方数量较多时，可以采用竞价、竞争性谈判、综合评议等方式进行多轮次遴选，以资产评估结果为基础，结合意向投资方条件和报价等因素选定投资方。</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投资方以非货币资产出资的，应当经增资企业董事会或股东会审议同意，并委托具有相应资质的评估机构进行评估，确认投资方的出资金额。</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以下情形经国资监管机构批准，可以采取非公开协议方式进行增资：</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（一）因国有资本布局结构调整需要，由特定的国有及国有控股企业或国有实际控制企业参与增资；</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（二）因集团与特定投资方建立战略合作伙伴或利益共同体需要，由该投资方参与下属企业增资。</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以下情形经</w:t>
      </w:r>
      <w:r>
        <w:rPr>
          <w:rFonts w:hint="eastAsia"/>
          <w:color w:val="000000" w:themeColor="text1"/>
          <w:sz w:val="32"/>
          <w:szCs w:val="32"/>
          <w:lang w:val="en-US"/>
          <w14:textFill>
            <w14:solidFill>
              <w14:schemeClr w14:val="tx1"/>
            </w14:solidFill>
          </w14:textFill>
        </w:rPr>
        <w:t>总部</w:t>
      </w:r>
      <w:r>
        <w:rPr>
          <w:rFonts w:hint="eastAsia"/>
          <w:color w:val="000000" w:themeColor="text1"/>
          <w:sz w:val="32"/>
          <w:szCs w:val="32"/>
          <w14:textFill>
            <w14:solidFill>
              <w14:schemeClr w14:val="tx1"/>
            </w14:solidFill>
          </w14:textFill>
        </w:rPr>
        <w:t>批准，可以采取非公开协议方式进行增资：</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（一）总部直接或指定下属企业参与增资；</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（二）企业债权转为股权；</w:t>
      </w:r>
    </w:p>
    <w:p>
      <w:pPr>
        <w:pStyle w:val="6"/>
        <w:adjustRightInd w:val="0"/>
        <w:snapToGrid w:val="0"/>
        <w:spacing w:line="560" w:lineRule="exact"/>
        <w:ind w:firstLine="640"/>
        <w:jc w:val="both"/>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（三）企业原股东增资。</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采取非公开协议增资的，经批准后，增资企业应当在产权交易机构进行公告，公告期不少于5个工作日。公告结束后由产权交易机构出具交易凭证。</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企业增资的重要环节，应当通过公告或公示的形式向公众或标的企业披露有关信息。</w:t>
      </w:r>
    </w:p>
    <w:p>
      <w:pPr>
        <w:pStyle w:val="4"/>
        <w:keepNext w:val="0"/>
        <w:keepLines w:val="0"/>
        <w:adjustRightInd/>
        <w:snapToGrid/>
        <w:spacing w:before="240" w:after="240"/>
        <w:rPr>
          <w:rFonts w:ascii="楷体_GB2312" w:hAnsi="楷体_GB2312" w:cs="楷体_GB2312"/>
          <w:color w:val="000000" w:themeColor="text1"/>
          <w:szCs w:val="32"/>
          <w:lang w:val="en-US"/>
          <w14:textFill>
            <w14:solidFill>
              <w14:schemeClr w14:val="tx1"/>
            </w14:solidFill>
          </w14:textFill>
        </w:rPr>
      </w:pPr>
      <w:bookmarkStart w:id="54" w:name="_bookmark11"/>
      <w:bookmarkEnd w:id="54"/>
      <w:bookmarkStart w:id="55" w:name="_Toc21358"/>
      <w:bookmarkStart w:id="56" w:name="_Toc12899"/>
      <w:bookmarkStart w:id="57" w:name="_Toc1831"/>
      <w:bookmarkStart w:id="58" w:name="_Toc4697"/>
      <w:bookmarkStart w:id="59" w:name="_Toc8155"/>
      <w:bookmarkStart w:id="60" w:name="_Toc17549"/>
      <w:r>
        <w:rPr>
          <w:rFonts w:hint="eastAsia" w:ascii="楷体_GB2312" w:hAnsi="楷体_GB2312" w:cs="楷体_GB2312"/>
          <w:color w:val="000000" w:themeColor="text1"/>
          <w:szCs w:val="32"/>
          <w:lang w:val="en-US"/>
          <w14:textFill>
            <w14:solidFill>
              <w14:schemeClr w14:val="tx1"/>
            </w14:solidFill>
          </w14:textFill>
        </w:rPr>
        <w:t>第三节  企业产权无偿划转</w:t>
      </w:r>
      <w:bookmarkEnd w:id="55"/>
      <w:bookmarkEnd w:id="56"/>
      <w:bookmarkEnd w:id="57"/>
      <w:bookmarkEnd w:id="58"/>
      <w:bookmarkEnd w:id="59"/>
      <w:bookmarkEnd w:id="60"/>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企业产权无偿划转是指</w:t>
      </w:r>
      <w:r>
        <w:rPr>
          <w:rFonts w:hint="eastAsia"/>
          <w:color w:val="000000" w:themeColor="text1"/>
          <w:sz w:val="32"/>
          <w:szCs w:val="32"/>
          <w14:textFill>
            <w14:solidFill>
              <w14:schemeClr w14:val="tx1"/>
            </w14:solidFill>
          </w14:textFill>
        </w:rPr>
        <w:t>下属企业国有产权在</w:t>
      </w:r>
      <w:r>
        <w:rPr>
          <w:rFonts w:hint="eastAsia"/>
          <w:color w:val="000000" w:themeColor="text1"/>
          <w:sz w:val="32"/>
          <w:szCs w:val="32"/>
          <w:lang w:val="en-US"/>
          <w14:textFill>
            <w14:solidFill>
              <w14:schemeClr w14:val="tx1"/>
            </w14:solidFill>
          </w14:textFill>
        </w:rPr>
        <w:t>总部</w:t>
      </w:r>
      <w:r>
        <w:rPr>
          <w:rFonts w:hint="eastAsia"/>
          <w:color w:val="000000" w:themeColor="text1"/>
          <w:sz w:val="32"/>
          <w:szCs w:val="32"/>
          <w14:textFill>
            <w14:solidFill>
              <w14:schemeClr w14:val="tx1"/>
            </w14:solidFill>
          </w14:textFill>
        </w:rPr>
        <w:t>及全资下属企业之间的无偿转移行为。</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企业产权无偿划转可行性研究报告一般应当载明下列内容：</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（一）被划转企业所处行业情况及国家有关法律法规、产业政策规定；</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（二）被划转企业主业情况及与划入、划出方企业主业和发展规划的关系；</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（三）被划转企业的财务状况及或有负债情况；</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（四）被划转企业的人员情况；</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（五）划入方对被划转企业的重组方案，包括投入计划、资金来源、效益预测及风险对策等；</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（六）其他需要说明的情况。</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涉及需通知债权人情形的，划出方应当就无偿划转事项通知本企业债权人，并</w:t>
      </w:r>
      <w:r>
        <w:rPr>
          <w:rFonts w:hint="eastAsia"/>
          <w:color w:val="000000" w:themeColor="text1"/>
          <w:sz w:val="32"/>
          <w:szCs w:val="32"/>
          <w:lang w:eastAsia="zh-CN"/>
          <w14:textFill>
            <w14:solidFill>
              <w14:schemeClr w14:val="tx1"/>
            </w14:solidFill>
          </w14:textFill>
        </w:rPr>
        <w:t>制定</w:t>
      </w:r>
      <w:r>
        <w:rPr>
          <w:rFonts w:hint="eastAsia"/>
          <w:color w:val="000000" w:themeColor="text1"/>
          <w:sz w:val="32"/>
          <w:szCs w:val="32"/>
          <w14:textFill>
            <w14:solidFill>
              <w14:schemeClr w14:val="tx1"/>
            </w14:solidFill>
          </w14:textFill>
        </w:rPr>
        <w:t>相应的债务处置方案。</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划转双方应当组织被划转企业按照有关规定开展审计或清产核资，以中介机构出具的审计报告或经国资监管机构批准的清产核资结果作为企业国有产权无偿划转的依据。</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划转双方协商一致后，应当签订企业国有产权无偿划转协议。划转协议应当包括下列主要内容：</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（一）划入划出双方的名称与住所；</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（二）被划转企业的基本情况；</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（三）被划转企业国有产权数额及划转基准日；</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（四）被划转企业涉及的职工分流安置方案；</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（五）被划转企业涉及的债权、债务</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包括拖欠职工债务</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以及或有负债的处理方案；</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（六）划转双方的违约责任；</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（七）纠纷的解决方式；</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（八）协议生效条件；</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（九）划转双方认为必要的其他条款。</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无偿划转事项按照本办法规定程序批准后，划转协议生效。划转协议生效以前，划转双方不得履行或者部分履行。</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划转双方应当依据相关批复文件及划转协议，进行账务调整。</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企业产权无偿划转事项经批准后，划出方和划入方调整产权划转比例或者划转协议有重大变化的，应当按照规定程序重新报批。</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有下列情况之一的，不得实施无偿划转：</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（一）被划转企业主业不符合划入方主业及发展规划的；</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（二）中介机构对被划转企业划转基准日的财务报告出具否定意见、无法表示意见或保留意见的审计报告的；</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（三）无偿划转涉及的职工分流安置事项未经被划转企业的职工代表大会或职工大会审议通过的；</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（四）被划转企业或有负债未有妥善解决方案的；</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（五）划出方债务未有妥善处置方案的。</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总部或下属企业内部实施重组整合，经集团董事会批准</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总部或该下属企业与其直接、间接全资拥有的子企业之间</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或其直接、间接全资拥有的子企业之间</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可无偿划转所持企业产权。</w:t>
      </w:r>
    </w:p>
    <w:p>
      <w:pPr>
        <w:pStyle w:val="4"/>
        <w:keepNext w:val="0"/>
        <w:keepLines w:val="0"/>
        <w:adjustRightInd/>
        <w:snapToGrid/>
        <w:spacing w:before="240" w:after="240"/>
        <w:rPr>
          <w:rFonts w:ascii="楷体_GB2312" w:hAnsi="楷体_GB2312" w:cs="楷体_GB2312"/>
          <w:color w:val="000000" w:themeColor="text1"/>
          <w:szCs w:val="32"/>
          <w:lang w:val="en-US"/>
          <w14:textFill>
            <w14:solidFill>
              <w14:schemeClr w14:val="tx1"/>
            </w14:solidFill>
          </w14:textFill>
        </w:rPr>
      </w:pPr>
      <w:bookmarkStart w:id="61" w:name="_bookmark12"/>
      <w:bookmarkEnd w:id="61"/>
      <w:bookmarkStart w:id="62" w:name="_Toc13019"/>
      <w:bookmarkStart w:id="63" w:name="_Toc26137"/>
      <w:bookmarkStart w:id="64" w:name="_Toc29545"/>
      <w:bookmarkStart w:id="65" w:name="_Toc23064"/>
      <w:bookmarkStart w:id="66" w:name="_Toc26681"/>
      <w:bookmarkStart w:id="67" w:name="_Toc13727"/>
      <w:r>
        <w:rPr>
          <w:rFonts w:hint="eastAsia" w:ascii="楷体_GB2312" w:hAnsi="楷体_GB2312" w:cs="楷体_GB2312"/>
          <w:color w:val="000000" w:themeColor="text1"/>
          <w:szCs w:val="32"/>
          <w:lang w:val="en-US"/>
          <w14:textFill>
            <w14:solidFill>
              <w14:schemeClr w14:val="tx1"/>
            </w14:solidFill>
          </w14:textFill>
        </w:rPr>
        <w:t>第四节  企业解散</w:t>
      </w:r>
      <w:bookmarkEnd w:id="62"/>
      <w:bookmarkEnd w:id="63"/>
      <w:bookmarkEnd w:id="64"/>
      <w:bookmarkEnd w:id="65"/>
      <w:bookmarkEnd w:id="66"/>
      <w:bookmarkEnd w:id="67"/>
    </w:p>
    <w:p>
      <w:pPr>
        <w:pStyle w:val="6"/>
        <w:numPr>
          <w:ilvl w:val="0"/>
          <w:numId w:val="1"/>
        </w:numPr>
        <w:tabs>
          <w:tab w:val="left" w:pos="2324"/>
        </w:tabs>
        <w:adjustRightInd w:val="0"/>
        <w:snapToGrid w:val="0"/>
        <w:spacing w:line="560" w:lineRule="exact"/>
        <w:ind w:left="17" w:firstLine="640" w:firstLineChars="0"/>
        <w:jc w:val="both"/>
        <w:rPr>
          <w:color w:val="000000" w:themeColor="text1"/>
          <w:sz w:val="32"/>
          <w:szCs w:val="32"/>
          <w:lang w:val="en-US"/>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企业解散是指企业发生章程规定或法律规定的解散事由而停止业务活动，并进行清算的状态和过程。</w:t>
      </w:r>
    </w:p>
    <w:p>
      <w:pPr>
        <w:pStyle w:val="6"/>
        <w:numPr>
          <w:ilvl w:val="0"/>
          <w:numId w:val="1"/>
        </w:numPr>
        <w:tabs>
          <w:tab w:val="left" w:pos="2324"/>
        </w:tabs>
        <w:adjustRightInd w:val="0"/>
        <w:snapToGrid w:val="0"/>
        <w:spacing w:line="560" w:lineRule="exact"/>
        <w:ind w:left="17" w:firstLine="640" w:firstLineChars="0"/>
        <w:jc w:val="both"/>
        <w:rPr>
          <w:color w:val="000000" w:themeColor="text1"/>
          <w:sz w:val="32"/>
          <w:szCs w:val="32"/>
          <w:lang w:val="en-US"/>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企业解散</w:t>
      </w:r>
      <w:r>
        <w:rPr>
          <w:color w:val="000000" w:themeColor="text1"/>
          <w:sz w:val="32"/>
          <w:szCs w:val="32"/>
          <w:lang w:val="en-US"/>
          <w14:textFill>
            <w14:solidFill>
              <w14:schemeClr w14:val="tx1"/>
            </w14:solidFill>
          </w14:textFill>
        </w:rPr>
        <w:t>工作应严格按照国家有关</w:t>
      </w:r>
      <w:r>
        <w:rPr>
          <w:rFonts w:hint="eastAsia"/>
          <w:color w:val="000000" w:themeColor="text1"/>
          <w:sz w:val="32"/>
          <w:szCs w:val="32"/>
          <w:lang w:val="en-US" w:eastAsia="zh-CN"/>
          <w14:textFill>
            <w14:solidFill>
              <w14:schemeClr w14:val="tx1"/>
            </w14:solidFill>
          </w14:textFill>
        </w:rPr>
        <w:t>法律法规</w:t>
      </w:r>
      <w:r>
        <w:rPr>
          <w:color w:val="000000" w:themeColor="text1"/>
          <w:sz w:val="32"/>
          <w:szCs w:val="32"/>
          <w:lang w:val="en-US"/>
          <w14:textFill>
            <w14:solidFill>
              <w14:schemeClr w14:val="tx1"/>
            </w14:solidFill>
          </w14:textFill>
        </w:rPr>
        <w:t>和</w:t>
      </w:r>
      <w:r>
        <w:rPr>
          <w:rFonts w:hint="eastAsia"/>
          <w:color w:val="000000" w:themeColor="text1"/>
          <w:sz w:val="32"/>
          <w:szCs w:val="32"/>
          <w:lang w:val="en-US"/>
          <w14:textFill>
            <w14:solidFill>
              <w14:schemeClr w14:val="tx1"/>
            </w14:solidFill>
          </w14:textFill>
        </w:rPr>
        <w:t>本办法</w:t>
      </w:r>
      <w:r>
        <w:rPr>
          <w:color w:val="000000" w:themeColor="text1"/>
          <w:sz w:val="32"/>
          <w:szCs w:val="32"/>
          <w:lang w:val="en-US"/>
          <w14:textFill>
            <w14:solidFill>
              <w14:schemeClr w14:val="tx1"/>
            </w14:solidFill>
          </w14:textFill>
        </w:rPr>
        <w:t>、</w:t>
      </w:r>
      <w:r>
        <w:rPr>
          <w:rFonts w:hint="eastAsia"/>
          <w:color w:val="000000" w:themeColor="text1"/>
          <w:sz w:val="32"/>
          <w:szCs w:val="32"/>
          <w:lang w:val="en-US"/>
          <w14:textFill>
            <w14:solidFill>
              <w14:schemeClr w14:val="tx1"/>
            </w14:solidFill>
          </w14:textFill>
        </w:rPr>
        <w:t>被解散公司章程等</w:t>
      </w:r>
      <w:r>
        <w:rPr>
          <w:color w:val="000000" w:themeColor="text1"/>
          <w:sz w:val="32"/>
          <w:szCs w:val="32"/>
          <w:lang w:val="en-US"/>
          <w14:textFill>
            <w14:solidFill>
              <w14:schemeClr w14:val="tx1"/>
            </w14:solidFill>
          </w14:textFill>
        </w:rPr>
        <w:t>有关制度</w:t>
      </w:r>
      <w:r>
        <w:rPr>
          <w:rFonts w:hint="eastAsia"/>
          <w:color w:val="000000" w:themeColor="text1"/>
          <w:sz w:val="32"/>
          <w:szCs w:val="32"/>
          <w:lang w:val="en-US"/>
          <w14:textFill>
            <w14:solidFill>
              <w14:schemeClr w14:val="tx1"/>
            </w14:solidFill>
          </w14:textFill>
        </w:rPr>
        <w:t>文件</w:t>
      </w:r>
      <w:r>
        <w:rPr>
          <w:color w:val="000000" w:themeColor="text1"/>
          <w:sz w:val="32"/>
          <w:szCs w:val="32"/>
          <w:lang w:val="en-US"/>
          <w14:textFill>
            <w14:solidFill>
              <w14:schemeClr w14:val="tx1"/>
            </w14:solidFill>
          </w14:textFill>
        </w:rPr>
        <w:t>的要求，规范操作，确保国有资产不流失。</w:t>
      </w:r>
    </w:p>
    <w:p>
      <w:pPr>
        <w:pStyle w:val="6"/>
        <w:numPr>
          <w:ilvl w:val="0"/>
          <w:numId w:val="1"/>
        </w:numPr>
        <w:tabs>
          <w:tab w:val="left" w:pos="2324"/>
        </w:tabs>
        <w:adjustRightInd w:val="0"/>
        <w:snapToGrid w:val="0"/>
        <w:spacing w:line="560" w:lineRule="exact"/>
        <w:ind w:left="17" w:firstLine="64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解散方案应当包括但不限于以下内容：</w:t>
      </w:r>
    </w:p>
    <w:p>
      <w:pPr>
        <w:tabs>
          <w:tab w:val="left" w:pos="3014"/>
        </w:tabs>
        <w:adjustRightInd w:val="0"/>
        <w:snapToGrid w:val="0"/>
        <w:spacing w:line="560" w:lineRule="exact"/>
        <w:ind w:firstLine="640" w:firstLineChars="200"/>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（一）企业的基本情况和股权结构；</w:t>
      </w:r>
    </w:p>
    <w:p>
      <w:pPr>
        <w:tabs>
          <w:tab w:val="left" w:pos="3014"/>
        </w:tabs>
        <w:adjustRightInd w:val="0"/>
        <w:snapToGrid w:val="0"/>
        <w:spacing w:line="560" w:lineRule="exact"/>
        <w:ind w:firstLine="640" w:firstLineChars="200"/>
        <w:rPr>
          <w:color w:val="000000" w:themeColor="text1"/>
          <w:sz w:val="32"/>
          <w:szCs w:val="32"/>
          <w14:textFill>
            <w14:solidFill>
              <w14:schemeClr w14:val="tx1"/>
            </w14:solidFill>
          </w14:textFill>
        </w:rPr>
      </w:pPr>
      <w:r>
        <w:rPr>
          <w:rFonts w:hint="eastAsia"/>
          <w:color w:val="000000" w:themeColor="text1"/>
          <w:sz w:val="32"/>
          <w:szCs w:val="32"/>
          <w:lang w:val="en-US"/>
          <w14:textFill>
            <w14:solidFill>
              <w14:schemeClr w14:val="tx1"/>
            </w14:solidFill>
          </w14:textFill>
        </w:rPr>
        <w:t>（二）企业近三年财务状况和经营情况</w:t>
      </w:r>
      <w:r>
        <w:rPr>
          <w:rFonts w:hint="eastAsia"/>
          <w:color w:val="000000" w:themeColor="text1"/>
          <w:sz w:val="32"/>
          <w:szCs w:val="32"/>
          <w14:textFill>
            <w14:solidFill>
              <w14:schemeClr w14:val="tx1"/>
            </w14:solidFill>
          </w14:textFill>
        </w:rPr>
        <w:t>；</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（三）解散事由及解散必要性分析；</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（四）清算组组建方案；</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（五）资产债务处置预案以及是否存在破产的风险；</w:t>
      </w:r>
    </w:p>
    <w:p>
      <w:pPr>
        <w:pStyle w:val="6"/>
        <w:adjustRightInd w:val="0"/>
        <w:snapToGrid w:val="0"/>
        <w:spacing w:line="560" w:lineRule="exact"/>
        <w:ind w:firstLine="640"/>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（六）职工安置预案；</w:t>
      </w:r>
    </w:p>
    <w:p>
      <w:pPr>
        <w:pStyle w:val="6"/>
        <w:adjustRightInd w:val="0"/>
        <w:snapToGrid w:val="0"/>
        <w:spacing w:line="560" w:lineRule="exact"/>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（七）其他需要说明的事项。</w:t>
      </w:r>
    </w:p>
    <w:p>
      <w:pPr>
        <w:pStyle w:val="6"/>
        <w:numPr>
          <w:ilvl w:val="0"/>
          <w:numId w:val="1"/>
        </w:numPr>
        <w:tabs>
          <w:tab w:val="left" w:pos="2324"/>
        </w:tabs>
        <w:adjustRightInd w:val="0"/>
        <w:snapToGrid w:val="0"/>
        <w:spacing w:line="560" w:lineRule="exact"/>
        <w:ind w:firstLine="640"/>
        <w:jc w:val="both"/>
        <w:rPr>
          <w:rFonts w:hint="default" w:eastAsia="仿宋_GB2312"/>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清算组由被解散公司董事组成，但被解散公司的公司章程另有规定或股东会决议（股东决定）另选他人的，按章程规定或股东会决议（股东决定）执行。</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企业解散事项经总部批准后，清算组制定清算方案，报总部备案后按照有关法律法规的规定开展清算事宜，在清算期间行使下列职权</w:t>
      </w:r>
      <w:r>
        <w:rPr>
          <w:rFonts w:hint="eastAsia"/>
          <w:color w:val="000000" w:themeColor="text1"/>
          <w:sz w:val="32"/>
          <w:szCs w:val="32"/>
          <w:lang w:val="en-US" w:eastAsia="zh-CN"/>
          <w14:textFill>
            <w14:solidFill>
              <w14:schemeClr w14:val="tx1"/>
            </w14:solidFill>
          </w14:textFill>
        </w:rPr>
        <w:t>：</w:t>
      </w:r>
    </w:p>
    <w:p>
      <w:pPr>
        <w:pStyle w:val="6"/>
        <w:tabs>
          <w:tab w:val="left" w:pos="2324"/>
        </w:tabs>
        <w:adjustRightInd w:val="0"/>
        <w:snapToGrid w:val="0"/>
        <w:spacing w:line="560" w:lineRule="exact"/>
        <w:ind w:left="640" w:firstLine="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一</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清理公司财产，分别编制资产负债表和财产清单</w:t>
      </w:r>
      <w:r>
        <w:rPr>
          <w:rFonts w:hint="eastAsia"/>
          <w:color w:val="000000" w:themeColor="text1"/>
          <w:sz w:val="32"/>
          <w:szCs w:val="32"/>
          <w:lang w:val="en-US" w:eastAsia="zh-CN"/>
          <w14:textFill>
            <w14:solidFill>
              <w14:schemeClr w14:val="tx1"/>
            </w14:solidFill>
          </w14:textFill>
        </w:rPr>
        <w:t>；</w:t>
      </w:r>
    </w:p>
    <w:p>
      <w:pPr>
        <w:pStyle w:val="6"/>
        <w:tabs>
          <w:tab w:val="left" w:pos="2324"/>
        </w:tabs>
        <w:adjustRightInd w:val="0"/>
        <w:snapToGrid w:val="0"/>
        <w:spacing w:line="560" w:lineRule="exact"/>
        <w:ind w:left="640" w:firstLine="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二</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通知、公告债权人</w:t>
      </w:r>
      <w:r>
        <w:rPr>
          <w:rFonts w:hint="eastAsia"/>
          <w:color w:val="000000" w:themeColor="text1"/>
          <w:sz w:val="32"/>
          <w:szCs w:val="32"/>
          <w:lang w:val="en-US" w:eastAsia="zh-CN"/>
          <w14:textFill>
            <w14:solidFill>
              <w14:schemeClr w14:val="tx1"/>
            </w14:solidFill>
          </w14:textFill>
        </w:rPr>
        <w:t>；</w:t>
      </w:r>
    </w:p>
    <w:p>
      <w:pPr>
        <w:pStyle w:val="6"/>
        <w:tabs>
          <w:tab w:val="left" w:pos="2324"/>
        </w:tabs>
        <w:adjustRightInd w:val="0"/>
        <w:snapToGrid w:val="0"/>
        <w:spacing w:line="560" w:lineRule="exact"/>
        <w:ind w:left="640" w:firstLine="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三</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处理与清算有关公司未了结的业务</w:t>
      </w:r>
      <w:r>
        <w:rPr>
          <w:rFonts w:hint="eastAsia"/>
          <w:color w:val="000000" w:themeColor="text1"/>
          <w:sz w:val="32"/>
          <w:szCs w:val="32"/>
          <w:lang w:val="en-US" w:eastAsia="zh-CN"/>
          <w14:textFill>
            <w14:solidFill>
              <w14:schemeClr w14:val="tx1"/>
            </w14:solidFill>
          </w14:textFill>
        </w:rPr>
        <w:t>；</w:t>
      </w:r>
    </w:p>
    <w:p>
      <w:pPr>
        <w:pStyle w:val="6"/>
        <w:tabs>
          <w:tab w:val="left" w:pos="2324"/>
        </w:tabs>
        <w:adjustRightInd w:val="0"/>
        <w:snapToGrid w:val="0"/>
        <w:spacing w:line="560" w:lineRule="exact"/>
        <w:ind w:left="640" w:firstLine="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四</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清缴所欠税款以及清算过程中产生的税款</w:t>
      </w:r>
      <w:r>
        <w:rPr>
          <w:rFonts w:hint="eastAsia"/>
          <w:color w:val="000000" w:themeColor="text1"/>
          <w:sz w:val="32"/>
          <w:szCs w:val="32"/>
          <w:lang w:val="en-US" w:eastAsia="zh-CN"/>
          <w14:textFill>
            <w14:solidFill>
              <w14:schemeClr w14:val="tx1"/>
            </w14:solidFill>
          </w14:textFill>
        </w:rPr>
        <w:t>；</w:t>
      </w:r>
    </w:p>
    <w:p>
      <w:pPr>
        <w:pStyle w:val="6"/>
        <w:tabs>
          <w:tab w:val="left" w:pos="2324"/>
        </w:tabs>
        <w:adjustRightInd w:val="0"/>
        <w:snapToGrid w:val="0"/>
        <w:spacing w:line="560" w:lineRule="exact"/>
        <w:ind w:left="640" w:firstLine="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五</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清理债权、债务</w:t>
      </w:r>
      <w:r>
        <w:rPr>
          <w:rFonts w:hint="eastAsia"/>
          <w:color w:val="000000" w:themeColor="text1"/>
          <w:sz w:val="32"/>
          <w:szCs w:val="32"/>
          <w:lang w:val="en-US" w:eastAsia="zh-CN"/>
          <w14:textFill>
            <w14:solidFill>
              <w14:schemeClr w14:val="tx1"/>
            </w14:solidFill>
          </w14:textFill>
        </w:rPr>
        <w:t>；</w:t>
      </w:r>
    </w:p>
    <w:p>
      <w:pPr>
        <w:pStyle w:val="6"/>
        <w:tabs>
          <w:tab w:val="left" w:pos="2324"/>
        </w:tabs>
        <w:adjustRightInd w:val="0"/>
        <w:snapToGrid w:val="0"/>
        <w:spacing w:line="560" w:lineRule="exact"/>
        <w:ind w:left="640" w:firstLine="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六</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公司清偿债务后的剩余财产归股东所有</w:t>
      </w:r>
      <w:r>
        <w:rPr>
          <w:rFonts w:hint="eastAsia"/>
          <w:color w:val="000000" w:themeColor="text1"/>
          <w:sz w:val="32"/>
          <w:szCs w:val="32"/>
          <w:lang w:val="en-US" w:eastAsia="zh-CN"/>
          <w14:textFill>
            <w14:solidFill>
              <w14:schemeClr w14:val="tx1"/>
            </w14:solidFill>
          </w14:textFill>
        </w:rPr>
        <w:t>；</w:t>
      </w:r>
    </w:p>
    <w:p>
      <w:pPr>
        <w:pStyle w:val="6"/>
        <w:tabs>
          <w:tab w:val="left" w:pos="2324"/>
        </w:tabs>
        <w:adjustRightInd w:val="0"/>
        <w:snapToGrid w:val="0"/>
        <w:spacing w:line="560" w:lineRule="exact"/>
        <w:ind w:left="640" w:firstLine="0" w:firstLineChars="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七</w:t>
      </w:r>
      <w:r>
        <w:rPr>
          <w:rFonts w:hint="eastAsia"/>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14:textFill>
            <w14:solidFill>
              <w14:schemeClr w14:val="tx1"/>
            </w14:solidFill>
          </w14:textFill>
        </w:rPr>
        <w:t>代表公司参与民事诉讼活动。</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清算组制定清算方案、取得税务注销通知书、取得工商注销登记通知书等事项后一周内，应当报总部资本运营部备案。</w:t>
      </w:r>
    </w:p>
    <w:p>
      <w:pPr>
        <w:pStyle w:val="4"/>
        <w:keepNext w:val="0"/>
        <w:keepLines w:val="0"/>
        <w:adjustRightInd/>
        <w:snapToGrid/>
        <w:spacing w:before="240" w:after="240"/>
        <w:rPr>
          <w:rFonts w:ascii="楷体_GB2312" w:hAnsi="楷体_GB2312" w:cs="楷体_GB2312"/>
          <w:color w:val="000000" w:themeColor="text1"/>
          <w:szCs w:val="32"/>
          <w:lang w:val="en-US"/>
          <w14:textFill>
            <w14:solidFill>
              <w14:schemeClr w14:val="tx1"/>
            </w14:solidFill>
          </w14:textFill>
        </w:rPr>
      </w:pPr>
      <w:bookmarkStart w:id="68" w:name="_Toc15895"/>
      <w:bookmarkStart w:id="69" w:name="_Toc10500"/>
      <w:bookmarkStart w:id="70" w:name="_Toc5709"/>
      <w:bookmarkStart w:id="71" w:name="_Toc14169"/>
      <w:bookmarkStart w:id="72" w:name="_Toc27143"/>
      <w:bookmarkStart w:id="73" w:name="_Toc4161"/>
      <w:r>
        <w:rPr>
          <w:rFonts w:hint="eastAsia" w:ascii="楷体_GB2312" w:hAnsi="楷体_GB2312" w:cs="楷体_GB2312"/>
          <w:color w:val="000000" w:themeColor="text1"/>
          <w:szCs w:val="32"/>
          <w:lang w:val="en-US"/>
          <w14:textFill>
            <w14:solidFill>
              <w14:schemeClr w14:val="tx1"/>
            </w14:solidFill>
          </w14:textFill>
        </w:rPr>
        <w:t>第五节  企业产权置换</w:t>
      </w:r>
      <w:bookmarkEnd w:id="68"/>
      <w:bookmarkEnd w:id="69"/>
      <w:bookmarkEnd w:id="70"/>
      <w:bookmarkEnd w:id="71"/>
      <w:bookmarkEnd w:id="72"/>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rFonts w:hint="eastAsia"/>
          <w:b/>
          <w:bCs/>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 xml:space="preserve"> 企业产权置换是指</w:t>
      </w:r>
      <w:r>
        <w:rPr>
          <w:rFonts w:hint="eastAsia"/>
          <w:color w:val="000000" w:themeColor="text1"/>
          <w:sz w:val="32"/>
          <w:szCs w:val="32"/>
          <w:lang w:val="en-US" w:eastAsia="zh-CN"/>
          <w14:textFill>
            <w14:solidFill>
              <w14:schemeClr w14:val="tx1"/>
            </w14:solidFill>
          </w14:textFill>
        </w:rPr>
        <w:t>九洲集团</w:t>
      </w:r>
      <w:r>
        <w:rPr>
          <w:rFonts w:hint="eastAsia"/>
          <w:color w:val="000000" w:themeColor="text1"/>
          <w:sz w:val="32"/>
          <w:szCs w:val="32"/>
          <w:lang w:val="en-US"/>
          <w14:textFill>
            <w14:solidFill>
              <w14:schemeClr w14:val="tx1"/>
            </w14:solidFill>
          </w14:textFill>
        </w:rPr>
        <w:t>实施资产重组时，</w:t>
      </w:r>
      <w:r>
        <w:rPr>
          <w:rFonts w:hint="eastAsia"/>
          <w:color w:val="000000" w:themeColor="text1"/>
          <w:sz w:val="32"/>
          <w:szCs w:val="32"/>
          <w:lang w:val="en-US" w:eastAsia="zh-CN"/>
          <w14:textFill>
            <w14:solidFill>
              <w14:schemeClr w14:val="tx1"/>
            </w14:solidFill>
          </w14:textFill>
        </w:rPr>
        <w:t>九洲集团</w:t>
      </w:r>
      <w:r>
        <w:rPr>
          <w:rFonts w:hint="eastAsia"/>
          <w:color w:val="000000" w:themeColor="text1"/>
          <w:sz w:val="32"/>
          <w:szCs w:val="32"/>
          <w:lang w:val="en-US"/>
          <w14:textFill>
            <w14:solidFill>
              <w14:schemeClr w14:val="tx1"/>
            </w14:solidFill>
          </w14:textFill>
        </w:rPr>
        <w:t>及其全资、控股企业相互之间以所持企业产权进行交换，或者</w:t>
      </w:r>
      <w:r>
        <w:rPr>
          <w:rFonts w:hint="eastAsia"/>
          <w:color w:val="000000" w:themeColor="text1"/>
          <w:sz w:val="32"/>
          <w:szCs w:val="32"/>
          <w:lang w:val="en-US" w:eastAsia="zh-CN"/>
          <w14:textFill>
            <w14:solidFill>
              <w14:schemeClr w14:val="tx1"/>
            </w14:solidFill>
          </w14:textFill>
        </w:rPr>
        <w:t>九洲集团及其</w:t>
      </w:r>
      <w:r>
        <w:rPr>
          <w:rFonts w:hint="eastAsia"/>
          <w:color w:val="000000" w:themeColor="text1"/>
          <w:sz w:val="32"/>
          <w:szCs w:val="32"/>
          <w:lang w:val="en-US"/>
          <w14:textFill>
            <w14:solidFill>
              <w14:schemeClr w14:val="tx1"/>
            </w14:solidFill>
          </w14:textFill>
        </w:rPr>
        <w:t>全资、控股企业以所持企业产权与</w:t>
      </w:r>
      <w:r>
        <w:rPr>
          <w:rFonts w:hint="eastAsia"/>
          <w:color w:val="000000" w:themeColor="text1"/>
          <w:sz w:val="32"/>
          <w:szCs w:val="32"/>
          <w:lang w:val="en-US" w:eastAsia="zh-CN"/>
          <w14:textFill>
            <w14:solidFill>
              <w14:schemeClr w14:val="tx1"/>
            </w14:solidFill>
          </w14:textFill>
        </w:rPr>
        <w:t>九洲集团</w:t>
      </w:r>
      <w:r>
        <w:rPr>
          <w:rFonts w:hint="eastAsia"/>
          <w:color w:val="000000" w:themeColor="text1"/>
          <w:sz w:val="32"/>
          <w:szCs w:val="32"/>
          <w:lang w:val="en-US"/>
          <w14:textFill>
            <w14:solidFill>
              <w14:schemeClr w14:val="tx1"/>
            </w14:solidFill>
          </w14:textFill>
        </w:rPr>
        <w:t>实际控制企业所持产权进行交换，且现金作为补价占整个产权交换金额比例低于25%的行为。</w:t>
      </w:r>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国有企业产权置换应当遵循以下原则：</w:t>
      </w:r>
    </w:p>
    <w:p>
      <w:pPr>
        <w:pStyle w:val="6"/>
        <w:spacing w:line="560" w:lineRule="exact"/>
        <w:ind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（一）符合国家有关法律法规和产业政策的规定；</w:t>
      </w:r>
    </w:p>
    <w:p>
      <w:pPr>
        <w:pStyle w:val="6"/>
        <w:spacing w:line="560" w:lineRule="exact"/>
        <w:ind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（二）符合国有经济布局和结构调整的需要；</w:t>
      </w:r>
    </w:p>
    <w:p>
      <w:pPr>
        <w:pStyle w:val="6"/>
        <w:spacing w:line="560" w:lineRule="exact"/>
        <w:ind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（三）有利于做强主业和优化资源配置，提高企业核心竞争力</w:t>
      </w:r>
      <w:r>
        <w:rPr>
          <w:rFonts w:hint="eastAsia"/>
          <w:color w:val="000000" w:themeColor="text1"/>
          <w:sz w:val="32"/>
          <w:szCs w:val="32"/>
          <w:lang w:val="en-US" w:eastAsia="zh-CN"/>
          <w14:textFill>
            <w14:solidFill>
              <w14:schemeClr w14:val="tx1"/>
            </w14:solidFill>
          </w14:textFill>
        </w:rPr>
        <w:t>；</w:t>
      </w:r>
    </w:p>
    <w:p>
      <w:pPr>
        <w:pStyle w:val="6"/>
        <w:spacing w:line="560" w:lineRule="exact"/>
        <w:ind w:firstLine="640"/>
        <w:jc w:val="both"/>
        <w:rPr>
          <w:b/>
          <w:bCs/>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（四）置换标的权属清晰，标的交付或转移不存在法律障碍。</w:t>
      </w:r>
    </w:p>
    <w:p>
      <w:pPr>
        <w:numPr>
          <w:ilvl w:val="0"/>
          <w:numId w:val="1"/>
        </w:numPr>
        <w:tabs>
          <w:tab w:val="left" w:pos="3014"/>
        </w:tabs>
        <w:adjustRightInd w:val="0"/>
        <w:snapToGrid w:val="0"/>
        <w:spacing w:line="560" w:lineRule="exact"/>
        <w:ind w:left="0" w:firstLine="640" w:firstLineChars="20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w:t>
      </w:r>
      <w:r>
        <w:rPr>
          <w:rFonts w:hint="eastAsia"/>
          <w:color w:val="000000" w:themeColor="text1"/>
          <w:spacing w:val="-6"/>
          <w:sz w:val="32"/>
          <w:szCs w:val="32"/>
          <w:lang w:val="en-US"/>
          <w14:textFill>
            <w14:solidFill>
              <w14:schemeClr w14:val="tx1"/>
            </w14:solidFill>
          </w14:textFill>
        </w:rPr>
        <w:t>企业产权置换的可行性研究应认真分析本次置换对经营业绩和未来发展的影响；</w:t>
      </w:r>
      <w:r>
        <w:rPr>
          <w:rFonts w:hint="eastAsia"/>
          <w:color w:val="000000" w:themeColor="text1"/>
          <w:spacing w:val="-6"/>
          <w:sz w:val="32"/>
          <w:szCs w:val="32"/>
          <w14:textFill>
            <w14:solidFill>
              <w14:schemeClr w14:val="tx1"/>
            </w14:solidFill>
          </w14:textFill>
        </w:rPr>
        <w:t>如涉及职工安置和债权债务处理等事宜，应当制订相关解决方案。</w:t>
      </w:r>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置换各方应当按照有关法律法规以及企业章程的有关规定，履行内部决策程序，形成书面决议，并将书面决议情况在标的企业进行公示，公示期</w:t>
      </w:r>
      <w:r>
        <w:rPr>
          <w:color w:val="000000" w:themeColor="text1"/>
          <w:sz w:val="32"/>
          <w:szCs w:val="32"/>
          <w:lang w:val="en-US"/>
          <w14:textFill>
            <w14:solidFill>
              <w14:schemeClr w14:val="tx1"/>
            </w14:solidFill>
          </w14:textFill>
        </w:rPr>
        <w:t>5</w:t>
      </w:r>
      <w:r>
        <w:rPr>
          <w:rFonts w:hint="eastAsia"/>
          <w:color w:val="000000" w:themeColor="text1"/>
          <w:sz w:val="32"/>
          <w:szCs w:val="32"/>
          <w:lang w:val="en-US"/>
          <w14:textFill>
            <w14:solidFill>
              <w14:schemeClr w14:val="tx1"/>
            </w14:solidFill>
          </w14:textFill>
        </w:rPr>
        <w:t>个工作日。</w:t>
      </w:r>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由置换双方联合委托具有相应资质的资产</w:t>
      </w:r>
      <w:r>
        <w:rPr>
          <w:rFonts w:hint="eastAsia"/>
          <w:color w:val="000000" w:themeColor="text1"/>
          <w:sz w:val="32"/>
          <w:szCs w:val="32"/>
          <w:lang w:val="en-US" w:eastAsia="zh-CN"/>
          <w14:textFill>
            <w14:solidFill>
              <w14:schemeClr w14:val="tx1"/>
            </w14:solidFill>
          </w14:textFill>
        </w:rPr>
        <w:t>评估</w:t>
      </w:r>
      <w:r>
        <w:rPr>
          <w:rFonts w:hint="eastAsia"/>
          <w:color w:val="000000" w:themeColor="text1"/>
          <w:sz w:val="32"/>
          <w:szCs w:val="32"/>
          <w:lang w:val="en-US"/>
          <w14:textFill>
            <w14:solidFill>
              <w14:schemeClr w14:val="tx1"/>
            </w14:solidFill>
          </w14:textFill>
        </w:rPr>
        <w:t>机构，对相关置换标的进行资产评估，并按照规定办理评估备案手续。经备案的资产评估结果，作为确定置换价格的依据。</w:t>
      </w:r>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置换双方协商一致后，应当签订置换协议。置换协议应当明确置换价格及补价方式、置换标的交割、违约责任和纠纷解决方式以及协议生效条件等。</w:t>
      </w:r>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国有产权置换事项需由股东会作出决议的，应当在总部或者同级国资监管机构出具意见后，提交股东会审议。</w:t>
      </w:r>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国有产权置换事项经批准后，应当按照公平、公正、公开的原则进行产权置换。</w:t>
      </w:r>
    </w:p>
    <w:p>
      <w:pPr>
        <w:pStyle w:val="6"/>
        <w:numPr>
          <w:ilvl w:val="0"/>
          <w:numId w:val="1"/>
        </w:numPr>
        <w:spacing w:line="560" w:lineRule="exact"/>
        <w:ind w:left="0" w:firstLine="640"/>
        <w:jc w:val="both"/>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总部以所持上市公司股份进行置换，总部与上市公司之间置换并涉及总部所持上市公司股份发生变化的，按照相关规定办理。</w:t>
      </w:r>
    </w:p>
    <w:p>
      <w:pPr>
        <w:pStyle w:val="4"/>
        <w:keepNext w:val="0"/>
        <w:keepLines w:val="0"/>
        <w:numPr>
          <w:ilvl w:val="255"/>
          <w:numId w:val="0"/>
        </w:numPr>
        <w:adjustRightInd/>
        <w:snapToGrid/>
        <w:spacing w:before="240" w:after="240"/>
        <w:rPr>
          <w:rFonts w:ascii="楷体_GB2312" w:hAnsi="楷体_GB2312" w:cs="楷体_GB2312"/>
          <w:color w:val="000000" w:themeColor="text1"/>
          <w:szCs w:val="32"/>
          <w:lang w:val="en-US"/>
          <w14:textFill>
            <w14:solidFill>
              <w14:schemeClr w14:val="tx1"/>
            </w14:solidFill>
          </w14:textFill>
        </w:rPr>
      </w:pPr>
      <w:bookmarkStart w:id="74" w:name="_Toc8203"/>
      <w:bookmarkStart w:id="75" w:name="_Toc15164"/>
      <w:bookmarkStart w:id="76" w:name="_Toc16092"/>
      <w:bookmarkStart w:id="77" w:name="_Toc10857"/>
      <w:r>
        <w:rPr>
          <w:rFonts w:hint="eastAsia" w:ascii="楷体_GB2312" w:hAnsi="楷体_GB2312" w:cs="楷体_GB2312"/>
          <w:color w:val="000000" w:themeColor="text1"/>
          <w:szCs w:val="32"/>
          <w:lang w:val="en-US"/>
          <w14:textFill>
            <w14:solidFill>
              <w14:schemeClr w14:val="tx1"/>
            </w14:solidFill>
          </w14:textFill>
        </w:rPr>
        <w:t xml:space="preserve">第六节 </w:t>
      </w:r>
      <w:bookmarkStart w:id="78" w:name="_Toc28803"/>
      <w:r>
        <w:rPr>
          <w:rFonts w:hint="eastAsia" w:ascii="楷体_GB2312" w:hAnsi="楷体_GB2312" w:cs="楷体_GB2312"/>
          <w:color w:val="000000" w:themeColor="text1"/>
          <w:szCs w:val="32"/>
          <w:lang w:val="en-US"/>
          <w14:textFill>
            <w14:solidFill>
              <w14:schemeClr w14:val="tx1"/>
            </w14:solidFill>
          </w14:textFill>
        </w:rPr>
        <w:t xml:space="preserve"> 相关要求</w:t>
      </w:r>
      <w:bookmarkEnd w:id="74"/>
      <w:bookmarkEnd w:id="75"/>
      <w:bookmarkEnd w:id="76"/>
      <w:bookmarkEnd w:id="77"/>
      <w:bookmarkEnd w:id="78"/>
    </w:p>
    <w:p>
      <w:pPr>
        <w:pStyle w:val="6"/>
        <w:numPr>
          <w:ilvl w:val="0"/>
          <w:numId w:val="1"/>
        </w:numPr>
        <w:spacing w:line="560" w:lineRule="exact"/>
        <w:ind w:firstLine="640"/>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主业处于关系国家安全、国民经济命脉的重要行业和关键领域，主要承担重大专项任务的子企业，不得因产权转让、企业增资失去国有资本控股地位。</w:t>
      </w:r>
    </w:p>
    <w:p>
      <w:pPr>
        <w:pStyle w:val="6"/>
        <w:numPr>
          <w:ilvl w:val="0"/>
          <w:numId w:val="1"/>
        </w:numPr>
        <w:spacing w:line="560" w:lineRule="exact"/>
        <w:ind w:firstLine="640"/>
        <w:rPr>
          <w:color w:val="000000" w:themeColor="text1"/>
          <w:sz w:val="32"/>
          <w:szCs w:val="32"/>
          <w:lang w:val="en-US"/>
          <w14:textFill>
            <w14:solidFill>
              <w14:schemeClr w14:val="tx1"/>
            </w14:solidFill>
          </w14:textFill>
        </w:rPr>
      </w:pPr>
      <w:r>
        <w:rPr>
          <w:rFonts w:hint="eastAsia"/>
          <w:b/>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产权转让、</w:t>
      </w:r>
      <w:r>
        <w:rPr>
          <w:rFonts w:hint="eastAsia"/>
          <w:color w:val="000000" w:themeColor="text1"/>
          <w:sz w:val="32"/>
          <w:szCs w:val="32"/>
          <w:lang w:val="en-US"/>
          <w14:textFill>
            <w14:solidFill>
              <w14:schemeClr w14:val="tx1"/>
            </w14:solidFill>
          </w14:textFill>
        </w:rPr>
        <w:t>企业增资等流转行为导致集团失去标的企业实际控制权的，交易完成后标的企业不得继续使用</w:t>
      </w:r>
      <w:r>
        <w:rPr>
          <w:rFonts w:hint="eastAsia"/>
          <w:color w:val="000000" w:themeColor="text1"/>
          <w:sz w:val="32"/>
          <w:szCs w:val="32"/>
          <w:lang w:val="en-US" w:eastAsia="zh-CN"/>
          <w14:textFill>
            <w14:solidFill>
              <w14:schemeClr w14:val="tx1"/>
            </w14:solidFill>
          </w14:textFill>
        </w:rPr>
        <w:t>总部及下属公司</w:t>
      </w:r>
      <w:r>
        <w:rPr>
          <w:rFonts w:hint="eastAsia"/>
          <w:color w:val="000000" w:themeColor="text1"/>
          <w:sz w:val="32"/>
          <w:szCs w:val="32"/>
          <w:lang w:val="en-US"/>
          <w14:textFill>
            <w14:solidFill>
              <w14:schemeClr w14:val="tx1"/>
            </w14:solidFill>
          </w14:textFill>
        </w:rPr>
        <w:t>字号、经营资质和特许经营权等无形资产，不得继续以</w:t>
      </w:r>
      <w:r>
        <w:rPr>
          <w:rFonts w:hint="eastAsia"/>
          <w:color w:val="000000" w:themeColor="text1"/>
          <w:sz w:val="32"/>
          <w:szCs w:val="32"/>
          <w:lang w:val="en-US" w:eastAsia="zh-CN"/>
          <w14:textFill>
            <w14:solidFill>
              <w14:schemeClr w14:val="tx1"/>
            </w14:solidFill>
          </w14:textFill>
        </w:rPr>
        <w:t>总部下属企业</w:t>
      </w:r>
      <w:r>
        <w:rPr>
          <w:rFonts w:hint="eastAsia"/>
          <w:color w:val="000000" w:themeColor="text1"/>
          <w:sz w:val="32"/>
          <w:szCs w:val="32"/>
          <w:lang w:val="en-US"/>
          <w14:textFill>
            <w14:solidFill>
              <w14:schemeClr w14:val="tx1"/>
            </w14:solidFill>
          </w14:textFill>
        </w:rPr>
        <w:t>名义开展经营活动</w:t>
      </w:r>
      <w:r>
        <w:rPr>
          <w:rFonts w:hint="eastAsia"/>
          <w:color w:val="000000" w:themeColor="text1"/>
          <w:sz w:val="32"/>
          <w:szCs w:val="32"/>
          <w:lang w:val="en-US" w:eastAsia="zh-CN"/>
          <w14:textFill>
            <w14:solidFill>
              <w14:schemeClr w14:val="tx1"/>
            </w14:solidFill>
          </w14:textFill>
        </w:rPr>
        <w:t>（具体要求参照集团品牌及商标管理的相关办法执行）。</w:t>
      </w:r>
      <w:r>
        <w:rPr>
          <w:rFonts w:hint="eastAsia"/>
          <w:color w:val="000000" w:themeColor="text1"/>
          <w:sz w:val="32"/>
          <w:szCs w:val="32"/>
          <w:lang w:val="en-US"/>
          <w14:textFill>
            <w14:solidFill>
              <w14:schemeClr w14:val="tx1"/>
            </w14:solidFill>
          </w14:textFill>
        </w:rPr>
        <w:t>上述要求应当在信息披露中作为交易条件予以明确，并在交易合同中对工商变更、字号变更等安排作出相应约定。</w:t>
      </w:r>
    </w:p>
    <w:p>
      <w:pPr>
        <w:pStyle w:val="6"/>
        <w:numPr>
          <w:ilvl w:val="0"/>
          <w:numId w:val="1"/>
        </w:numPr>
        <w:spacing w:line="560" w:lineRule="exact"/>
        <w:ind w:firstLine="640"/>
        <w:rPr>
          <w:color w:val="000000" w:themeColor="text1"/>
          <w:sz w:val="32"/>
          <w:szCs w:val="32"/>
          <w:lang w:val="en-US"/>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应当按照国有企业经营管理重大事项公开有关要求，做好股权流转事项的信息公开工作。</w:t>
      </w:r>
    </w:p>
    <w:p>
      <w:pPr>
        <w:pStyle w:val="6"/>
        <w:numPr>
          <w:ilvl w:val="0"/>
          <w:numId w:val="1"/>
        </w:numPr>
        <w:spacing w:line="560" w:lineRule="exact"/>
        <w:ind w:firstLine="640"/>
        <w:rPr>
          <w:color w:val="000000" w:themeColor="text1"/>
          <w:sz w:val="32"/>
          <w:szCs w:val="32"/>
          <w:lang w:val="en-US"/>
          <w14:textFill>
            <w14:solidFill>
              <w14:schemeClr w14:val="tx1"/>
            </w14:solidFill>
          </w14:textFill>
        </w:rPr>
      </w:pPr>
      <w:r>
        <w:rPr>
          <w:rFonts w:hint="eastAsia"/>
          <w:color w:val="000000" w:themeColor="text1"/>
          <w:sz w:val="32"/>
          <w:szCs w:val="32"/>
          <w:lang w:val="en-US"/>
          <w14:textFill>
            <w14:solidFill>
              <w14:schemeClr w14:val="tx1"/>
            </w14:solidFill>
          </w14:textFill>
        </w:rPr>
        <w:t xml:space="preserve">  股权流转事项中涉及审计和评估业务不得由同一实际控制人控制下的中介机构进行。</w:t>
      </w:r>
    </w:p>
    <w:p>
      <w:pPr>
        <w:pStyle w:val="3"/>
        <w:rPr>
          <w:color w:val="000000" w:themeColor="text1"/>
          <w:szCs w:val="32"/>
          <w:lang w:val="en-US"/>
          <w14:textFill>
            <w14:solidFill>
              <w14:schemeClr w14:val="tx1"/>
            </w14:solidFill>
          </w14:textFill>
        </w:rPr>
      </w:pPr>
      <w:bookmarkStart w:id="79" w:name="_Toc15545"/>
      <w:bookmarkStart w:id="80" w:name="_Toc28623"/>
      <w:bookmarkStart w:id="81" w:name="_Toc11731"/>
      <w:bookmarkStart w:id="82" w:name="_Toc14354"/>
      <w:bookmarkStart w:id="83" w:name="_Toc14691"/>
      <w:r>
        <w:rPr>
          <w:rFonts w:hint="eastAsia"/>
          <w:color w:val="000000" w:themeColor="text1"/>
          <w:szCs w:val="32"/>
          <w:lang w:val="en-US"/>
          <w14:textFill>
            <w14:solidFill>
              <w14:schemeClr w14:val="tx1"/>
            </w14:solidFill>
          </w14:textFill>
        </w:rPr>
        <w:t>第五章  法律责任</w:t>
      </w:r>
      <w:bookmarkEnd w:id="73"/>
      <w:bookmarkEnd w:id="79"/>
      <w:bookmarkEnd w:id="80"/>
      <w:bookmarkEnd w:id="81"/>
      <w:bookmarkEnd w:id="82"/>
      <w:bookmarkEnd w:id="83"/>
    </w:p>
    <w:p>
      <w:pPr>
        <w:pStyle w:val="6"/>
        <w:numPr>
          <w:ilvl w:val="0"/>
          <w:numId w:val="1"/>
        </w:numPr>
        <w:tabs>
          <w:tab w:val="left" w:pos="2324"/>
        </w:tabs>
        <w:adjustRightInd w:val="0"/>
        <w:snapToGrid w:val="0"/>
        <w:spacing w:line="560" w:lineRule="exact"/>
        <w:ind w:left="0" w:firstLine="640"/>
        <w:jc w:val="both"/>
        <w:rPr>
          <w:color w:val="000000" w:themeColor="text1"/>
          <w:sz w:val="32"/>
          <w:szCs w:val="32"/>
          <w:lang w:val="en-US"/>
          <w14:textFill>
            <w14:solidFill>
              <w14:schemeClr w14:val="tx1"/>
            </w14:solidFill>
          </w14:textFill>
        </w:rPr>
      </w:pPr>
      <w:r>
        <w:rPr>
          <w:rFonts w:hint="eastAsia"/>
          <w:b/>
          <w:color w:val="000000" w:themeColor="text1"/>
          <w:sz w:val="32"/>
          <w:szCs w:val="32"/>
          <w:lang w:val="en-US"/>
          <w14:textFill>
            <w14:solidFill>
              <w14:schemeClr w14:val="tx1"/>
            </w14:solidFill>
          </w14:textFill>
        </w:rPr>
        <w:t xml:space="preserve">  </w:t>
      </w:r>
      <w:r>
        <w:rPr>
          <w:rFonts w:hint="eastAsia"/>
          <w:bCs/>
          <w:color w:val="000000" w:themeColor="text1"/>
          <w:sz w:val="32"/>
          <w:szCs w:val="32"/>
          <w:lang w:val="en-US"/>
          <w14:textFill>
            <w14:solidFill>
              <w14:schemeClr w14:val="tx1"/>
            </w14:solidFill>
          </w14:textFill>
        </w:rPr>
        <w:t>国有股权流转应当严格执行“三重一大”决策机制。</w:t>
      </w:r>
      <w:r>
        <w:rPr>
          <w:rFonts w:hint="eastAsia"/>
          <w:color w:val="000000" w:themeColor="text1"/>
          <w:sz w:val="32"/>
          <w:szCs w:val="32"/>
          <w14:textFill>
            <w14:solidFill>
              <w14:schemeClr w14:val="tx1"/>
            </w14:solidFill>
          </w14:textFill>
        </w:rPr>
        <w:t>有关人员违反规定越权决策、批准相关交易事项，或者玩忽职守、以权谋私致使国有权益受到侵害的，按照人事和干部管理权限给予相关责任人员相应处分；造成国有资产损失的，相关责任人员应当承担赔偿责任；构成犯罪的，依法追究其刑事责任。</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b/>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中</w:t>
      </w:r>
      <w:r>
        <w:rPr>
          <w:rFonts w:hint="eastAsia"/>
          <w:color w:val="000000" w:themeColor="text1"/>
          <w:spacing w:val="-6"/>
          <w:sz w:val="32"/>
          <w:szCs w:val="32"/>
          <w14:textFill>
            <w14:solidFill>
              <w14:schemeClr w14:val="tx1"/>
            </w14:solidFill>
          </w14:textFill>
        </w:rPr>
        <w:t>介机构在为</w:t>
      </w:r>
      <w:r>
        <w:rPr>
          <w:rFonts w:hint="eastAsia"/>
          <w:color w:val="000000" w:themeColor="text1"/>
          <w:spacing w:val="-6"/>
          <w:sz w:val="32"/>
          <w:szCs w:val="32"/>
          <w:lang w:val="en-US"/>
          <w14:textFill>
            <w14:solidFill>
              <w14:schemeClr w14:val="tx1"/>
            </w14:solidFill>
          </w14:textFill>
        </w:rPr>
        <w:t>股权流转事项</w:t>
      </w:r>
      <w:r>
        <w:rPr>
          <w:rFonts w:hint="eastAsia"/>
          <w:color w:val="000000" w:themeColor="text1"/>
          <w:spacing w:val="-6"/>
          <w:sz w:val="32"/>
          <w:szCs w:val="32"/>
          <w14:textFill>
            <w14:solidFill>
              <w14:schemeClr w14:val="tx1"/>
            </w14:solidFill>
          </w14:textFill>
        </w:rPr>
        <w:t>提供审计、资产评估和法律服务中存在违规执业行为的，应及时</w:t>
      </w:r>
      <w:r>
        <w:rPr>
          <w:rFonts w:hint="eastAsia"/>
          <w:color w:val="000000" w:themeColor="text1"/>
          <w:spacing w:val="-6"/>
          <w:sz w:val="32"/>
          <w:szCs w:val="32"/>
          <w:lang w:val="en-US"/>
          <w14:textFill>
            <w14:solidFill>
              <w14:schemeClr w14:val="tx1"/>
            </w14:solidFill>
          </w14:textFill>
        </w:rPr>
        <w:t>报告</w:t>
      </w:r>
      <w:r>
        <w:rPr>
          <w:rFonts w:hint="eastAsia"/>
          <w:color w:val="000000" w:themeColor="text1"/>
          <w:spacing w:val="-6"/>
          <w:sz w:val="32"/>
          <w:szCs w:val="32"/>
          <w14:textFill>
            <w14:solidFill>
              <w14:schemeClr w14:val="tx1"/>
            </w14:solidFill>
          </w14:textFill>
        </w:rPr>
        <w:t>国资监管机构。</w:t>
      </w:r>
      <w:bookmarkStart w:id="84" w:name="_bookmark14"/>
      <w:bookmarkEnd w:id="84"/>
    </w:p>
    <w:p>
      <w:pPr>
        <w:pStyle w:val="3"/>
        <w:spacing w:before="240" w:beforeLines="100" w:after="240" w:afterLines="100"/>
        <w:rPr>
          <w:color w:val="000000" w:themeColor="text1"/>
          <w:szCs w:val="32"/>
          <w:lang w:val="en-US"/>
          <w14:textFill>
            <w14:solidFill>
              <w14:schemeClr w14:val="tx1"/>
            </w14:solidFill>
          </w14:textFill>
        </w:rPr>
      </w:pPr>
      <w:bookmarkStart w:id="85" w:name="_Toc11779"/>
      <w:bookmarkStart w:id="86" w:name="_Toc21847"/>
      <w:bookmarkStart w:id="87" w:name="_Toc31241"/>
      <w:bookmarkStart w:id="88" w:name="_Toc19"/>
      <w:bookmarkStart w:id="89" w:name="_Toc16404"/>
      <w:r>
        <w:rPr>
          <w:rFonts w:hint="eastAsia"/>
          <w:color w:val="000000" w:themeColor="text1"/>
          <w:szCs w:val="32"/>
          <w:lang w:val="en-US"/>
          <w14:textFill>
            <w14:solidFill>
              <w14:schemeClr w14:val="tx1"/>
            </w14:solidFill>
          </w14:textFill>
        </w:rPr>
        <w:t>第六章  附  则</w:t>
      </w:r>
      <w:bookmarkEnd w:id="85"/>
      <w:bookmarkEnd w:id="86"/>
      <w:bookmarkEnd w:id="87"/>
      <w:bookmarkEnd w:id="88"/>
      <w:bookmarkEnd w:id="89"/>
    </w:p>
    <w:p>
      <w:pPr>
        <w:pStyle w:val="6"/>
        <w:numPr>
          <w:ilvl w:val="0"/>
          <w:numId w:val="1"/>
        </w:numPr>
        <w:tabs>
          <w:tab w:val="left" w:pos="2324"/>
        </w:tabs>
        <w:adjustRightInd w:val="0"/>
        <w:snapToGrid w:val="0"/>
        <w:spacing w:line="560" w:lineRule="exact"/>
        <w:ind w:left="0" w:firstLine="640"/>
        <w:jc w:val="both"/>
        <w:rPr>
          <w:bCs/>
          <w:color w:val="000000" w:themeColor="text1"/>
          <w:sz w:val="32"/>
          <w:szCs w:val="32"/>
          <w14:textFill>
            <w14:solidFill>
              <w14:schemeClr w14:val="tx1"/>
            </w14:solidFill>
          </w14:textFill>
        </w:rPr>
      </w:pPr>
      <w:r>
        <w:rPr>
          <w:rFonts w:hint="eastAsia"/>
          <w:bCs/>
          <w:color w:val="000000" w:themeColor="text1"/>
          <w:sz w:val="32"/>
          <w:szCs w:val="32"/>
          <w:lang w:val="en-US"/>
          <w14:textFill>
            <w14:solidFill>
              <w14:schemeClr w14:val="tx1"/>
            </w14:solidFill>
          </w14:textFill>
        </w:rPr>
        <w:t xml:space="preserve">  </w:t>
      </w:r>
      <w:r>
        <w:rPr>
          <w:rFonts w:hint="eastAsia"/>
          <w:bCs/>
          <w:color w:val="000000" w:themeColor="text1"/>
          <w:sz w:val="32"/>
          <w:szCs w:val="32"/>
          <w14:textFill>
            <w14:solidFill>
              <w14:schemeClr w14:val="tx1"/>
            </w14:solidFill>
          </w14:textFill>
        </w:rPr>
        <w:t>本办法中的产权交易机构指省级以上国资监管机构对外公布的具有开展企业国有资产交易业务资格的机构。</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bCs/>
          <w:color w:val="000000" w:themeColor="text1"/>
          <w:sz w:val="32"/>
          <w:szCs w:val="32"/>
          <w:lang w:val="en-US"/>
          <w14:textFill>
            <w14:solidFill>
              <w14:schemeClr w14:val="tx1"/>
            </w14:solidFill>
          </w14:textFill>
        </w:rPr>
        <w:t xml:space="preserve">  本办法未尽事宜，依照国家及省、市有关规定办理。</w:t>
      </w:r>
      <w:r>
        <w:rPr>
          <w:rFonts w:hint="eastAsia"/>
          <w:color w:val="000000" w:themeColor="text1"/>
          <w:sz w:val="32"/>
          <w:szCs w:val="32"/>
          <w14:textFill>
            <w14:solidFill>
              <w14:schemeClr w14:val="tx1"/>
            </w14:solidFill>
          </w14:textFill>
        </w:rPr>
        <w:t>上市公司的股权流转行为，国家另有规定的，依照其规定。</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color w:val="000000" w:themeColor="text1"/>
          <w:sz w:val="32"/>
          <w:szCs w:val="32"/>
          <w:lang w:val="en-US"/>
          <w14:textFill>
            <w14:solidFill>
              <w14:schemeClr w14:val="tx1"/>
            </w14:solidFill>
          </w14:textFill>
        </w:rPr>
        <w:t xml:space="preserve">  </w:t>
      </w:r>
      <w:r>
        <w:rPr>
          <w:rFonts w:hint="eastAsia"/>
          <w:color w:val="000000" w:themeColor="text1"/>
          <w:sz w:val="32"/>
          <w:szCs w:val="32"/>
          <w:lang w:val="en-US"/>
          <w14:textFill>
            <w14:solidFill>
              <w14:schemeClr w14:val="tx1"/>
            </w14:solidFill>
          </w14:textFill>
        </w:rPr>
        <w:t>下属企业减资、合并、分立等事项，以及非股权类资产的无偿划转、产权置换等行为，参照</w:t>
      </w:r>
      <w:r>
        <w:rPr>
          <w:rFonts w:hint="eastAsia"/>
          <w:color w:val="000000" w:themeColor="text1"/>
          <w:sz w:val="32"/>
          <w:szCs w:val="32"/>
          <w14:textFill>
            <w14:solidFill>
              <w14:schemeClr w14:val="tx1"/>
            </w14:solidFill>
          </w14:textFill>
        </w:rPr>
        <w:t>本办法</w:t>
      </w:r>
      <w:r>
        <w:rPr>
          <w:rFonts w:hint="eastAsia"/>
          <w:color w:val="000000" w:themeColor="text1"/>
          <w:sz w:val="32"/>
          <w:szCs w:val="32"/>
          <w:lang w:val="en-US"/>
          <w14:textFill>
            <w14:solidFill>
              <w14:schemeClr w14:val="tx1"/>
            </w14:solidFill>
          </w14:textFill>
        </w:rPr>
        <w:t>决策权限、管理流程执行。</w:t>
      </w:r>
    </w:p>
    <w:p>
      <w:pPr>
        <w:pStyle w:val="6"/>
        <w:numPr>
          <w:ilvl w:val="0"/>
          <w:numId w:val="1"/>
        </w:numPr>
        <w:tabs>
          <w:tab w:val="left" w:pos="2324"/>
        </w:tabs>
        <w:adjustRightInd w:val="0"/>
        <w:snapToGrid w:val="0"/>
        <w:spacing w:line="560" w:lineRule="exact"/>
        <w:ind w:left="0" w:firstLine="640"/>
        <w:jc w:val="both"/>
        <w:rPr>
          <w:color w:val="000000" w:themeColor="text1"/>
          <w:sz w:val="32"/>
          <w:szCs w:val="32"/>
          <w14:textFill>
            <w14:solidFill>
              <w14:schemeClr w14:val="tx1"/>
            </w14:solidFill>
          </w14:textFill>
        </w:rPr>
      </w:pPr>
      <w:r>
        <w:rPr>
          <w:rFonts w:hint="eastAsia"/>
          <w:bCs/>
          <w:color w:val="000000" w:themeColor="text1"/>
          <w:sz w:val="32"/>
          <w:szCs w:val="32"/>
          <w:lang w:val="en-US"/>
          <w14:textFill>
            <w14:solidFill>
              <w14:schemeClr w14:val="tx1"/>
            </w14:solidFill>
          </w14:textFill>
        </w:rPr>
        <w:t xml:space="preserve">  </w:t>
      </w:r>
      <w:r>
        <w:rPr>
          <w:rFonts w:hint="eastAsia"/>
          <w:color w:val="000000" w:themeColor="text1"/>
          <w:sz w:val="32"/>
          <w:szCs w:val="32"/>
          <w14:textFill>
            <w14:solidFill>
              <w14:schemeClr w14:val="tx1"/>
            </w14:solidFill>
          </w14:textFill>
        </w:rPr>
        <w:t>参股公司涉及的股权流转行为，</w:t>
      </w:r>
      <w:r>
        <w:rPr>
          <w:rFonts w:hint="eastAsia"/>
          <w:color w:val="000000" w:themeColor="text1"/>
          <w:sz w:val="32"/>
          <w:szCs w:val="32"/>
          <w:lang w:val="en-US"/>
          <w14:textFill>
            <w14:solidFill>
              <w14:schemeClr w14:val="tx1"/>
            </w14:solidFill>
          </w14:textFill>
        </w:rPr>
        <w:t>集团</w:t>
      </w:r>
      <w:r>
        <w:rPr>
          <w:rFonts w:hint="eastAsia"/>
          <w:color w:val="000000" w:themeColor="text1"/>
          <w:sz w:val="32"/>
          <w:szCs w:val="32"/>
          <w14:textFill>
            <w14:solidFill>
              <w14:schemeClr w14:val="tx1"/>
            </w14:solidFill>
          </w14:textFill>
        </w:rPr>
        <w:t>委派的股东代表、董事应当参照本办法的精神，根据《中华人民共和国公司法》《公司章程》发表意见。</w:t>
      </w:r>
    </w:p>
    <w:p>
      <w:pPr>
        <w:pStyle w:val="6"/>
        <w:numPr>
          <w:ilvl w:val="0"/>
          <w:numId w:val="1"/>
        </w:numPr>
        <w:tabs>
          <w:tab w:val="left" w:pos="2324"/>
        </w:tabs>
        <w:adjustRightInd w:val="0"/>
        <w:snapToGrid w:val="0"/>
        <w:spacing w:line="560" w:lineRule="exact"/>
        <w:ind w:firstLine="640"/>
        <w:jc w:val="both"/>
        <w:rPr>
          <w:color w:val="000000" w:themeColor="text1"/>
          <w:spacing w:val="4"/>
          <w:sz w:val="32"/>
          <w:szCs w:val="32"/>
          <w:lang w:val="en-US"/>
          <w14:textFill>
            <w14:solidFill>
              <w14:schemeClr w14:val="tx1"/>
            </w14:solidFill>
          </w14:textFill>
        </w:rPr>
      </w:pPr>
      <w:r>
        <w:rPr>
          <w:bCs/>
          <w:color w:val="000000" w:themeColor="text1"/>
          <w:sz w:val="32"/>
          <w:szCs w:val="32"/>
          <w:lang w:val="en-US"/>
          <w14:textFill>
            <w14:solidFill>
              <w14:schemeClr w14:val="tx1"/>
            </w14:solidFill>
          </w14:textFill>
        </w:rPr>
        <w:t xml:space="preserve">  </w:t>
      </w:r>
      <w:r>
        <w:rPr>
          <w:rFonts w:hint="eastAsia"/>
          <w:bCs/>
          <w:color w:val="000000" w:themeColor="text1"/>
          <w:sz w:val="32"/>
          <w:szCs w:val="32"/>
          <w:lang w:val="en-US"/>
          <w14:textFill>
            <w14:solidFill>
              <w14:schemeClr w14:val="tx1"/>
            </w14:solidFill>
          </w14:textFill>
        </w:rPr>
        <w:t>本办法由资本运营部负责解释。</w:t>
      </w:r>
    </w:p>
    <w:p>
      <w:pPr>
        <w:pStyle w:val="6"/>
        <w:numPr>
          <w:ilvl w:val="0"/>
          <w:numId w:val="1"/>
        </w:numPr>
        <w:tabs>
          <w:tab w:val="left" w:pos="2324"/>
        </w:tabs>
        <w:adjustRightInd w:val="0"/>
        <w:snapToGrid w:val="0"/>
        <w:spacing w:line="560" w:lineRule="exact"/>
        <w:ind w:firstLine="640"/>
        <w:jc w:val="both"/>
        <w:rPr>
          <w:color w:val="000000" w:themeColor="text1"/>
          <w:spacing w:val="4"/>
          <w:sz w:val="32"/>
          <w:szCs w:val="32"/>
          <w:lang w:val="en-US"/>
          <w14:textFill>
            <w14:solidFill>
              <w14:schemeClr w14:val="tx1"/>
            </w14:solidFill>
          </w14:textFill>
        </w:rPr>
      </w:pPr>
      <w:r>
        <w:rPr>
          <w:rFonts w:hint="eastAsia"/>
          <w:bCs/>
          <w:color w:val="000000" w:themeColor="text1"/>
          <w:sz w:val="32"/>
          <w:szCs w:val="32"/>
          <w:lang w:val="en-US" w:eastAsia="zh-CN"/>
          <w14:textFill>
            <w14:solidFill>
              <w14:schemeClr w14:val="tx1"/>
            </w14:solidFill>
          </w14:textFill>
        </w:rPr>
        <w:t xml:space="preserve">  </w:t>
      </w:r>
      <w:r>
        <w:rPr>
          <w:rFonts w:hint="eastAsia"/>
          <w:bCs/>
          <w:color w:val="000000" w:themeColor="text1"/>
          <w:sz w:val="32"/>
          <w:szCs w:val="32"/>
          <w:lang w:val="en-US"/>
          <w14:textFill>
            <w14:solidFill>
              <w14:schemeClr w14:val="tx1"/>
            </w14:solidFill>
          </w14:textFill>
        </w:rPr>
        <w:t>本办法自印发之日起施行。《四川九洲投资控股集团有限公司企业国有资产流转监督管理办法（试行）》（九洲集团资本〔2021〕123号）同时废止。</w:t>
      </w:r>
      <w:bookmarkStart w:id="90" w:name="_bookmark19"/>
      <w:bookmarkEnd w:id="90"/>
      <w:bookmarkStart w:id="91" w:name="_bookmark17"/>
      <w:bookmarkEnd w:id="91"/>
      <w:bookmarkStart w:id="92" w:name="_bookmark16"/>
      <w:bookmarkEnd w:id="92"/>
      <w:bookmarkStart w:id="93" w:name="_bookmark22"/>
      <w:bookmarkEnd w:id="93"/>
      <w:bookmarkStart w:id="94" w:name="_bookmark15"/>
      <w:bookmarkEnd w:id="94"/>
      <w:bookmarkStart w:id="95" w:name="_bookmark20"/>
      <w:bookmarkEnd w:id="95"/>
      <w:bookmarkStart w:id="96" w:name="_bookmark18"/>
      <w:bookmarkEnd w:id="96"/>
      <w:bookmarkStart w:id="97" w:name="_bookmark21"/>
      <w:bookmarkEnd w:id="97"/>
    </w:p>
    <w:sectPr>
      <w:headerReference r:id="rId11" w:type="default"/>
      <w:footerReference r:id="rId13" w:type="default"/>
      <w:headerReference r:id="rId12" w:type="even"/>
      <w:footerReference r:id="rId14" w:type="even"/>
      <w:pgSz w:w="11928" w:h="16860"/>
      <w:pgMar w:top="2098" w:right="1474" w:bottom="1984" w:left="1587" w:header="850" w:footer="992" w:gutter="0"/>
      <w:pgNumType w:start="1"/>
      <w:cols w:space="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楷体_GB2312">
    <w:altName w:val="汉仪楷体KW"/>
    <w:panose1 w:val="02010609030101010101"/>
    <w:charset w:val="86"/>
    <w:family w:val="modern"/>
    <w:pitch w:val="default"/>
    <w:sig w:usb0="00000000" w:usb1="00000000" w:usb2="00000000" w:usb3="00000000" w:csb0="00040000" w:csb1="00000000"/>
  </w:font>
  <w:font w:name="微软雅黑">
    <w:altName w:val="汉仪旗黑KW 55S"/>
    <w:panose1 w:val="020B0503020204020204"/>
    <w:charset w:val="86"/>
    <w:family w:val="swiss"/>
    <w:pitch w:val="default"/>
    <w:sig w:usb0="00000000" w:usb1="00000000" w:usb2="00000016" w:usb3="00000000" w:csb0="0004001F" w:csb1="00000000"/>
  </w:font>
  <w:font w:name="方正小标宋简体">
    <w:altName w:val="汉仪书宋二KW"/>
    <w:panose1 w:val="03000509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汉仪旗黑KW 55S">
    <w:panose1 w:val="00020600040101010101"/>
    <w:charset w:val="86"/>
    <w:family w:val="auto"/>
    <w:pitch w:val="default"/>
    <w:sig w:usb0="A00002BF" w:usb1="3ACF7CFA" w:usb2="00000016" w:usb3="00000000" w:csb0="0004009F" w:csb1="DFD70000"/>
  </w:font>
  <w:font w:name="乐见体">
    <w:panose1 w:val="02020400000000000000"/>
    <w:charset w:val="86"/>
    <w:family w:val="auto"/>
    <w:pitch w:val="default"/>
    <w:sig w:usb0="80000003" w:usb1="08012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ind w:firstLine="620"/>
      <w:rPr>
        <w:sz w:val="20"/>
      </w:rPr>
    </w:pPr>
    <w:r>
      <w:rPr>
        <w:lang w:val="en-US" w:bidi="ar-SA"/>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234950" cy="153670"/>
              <wp:effectExtent l="0" t="0" r="0" b="0"/>
              <wp:wrapNone/>
              <wp:docPr id="2" name="文本框 4"/>
              <wp:cNvGraphicFramePr/>
              <a:graphic xmlns:a="http://schemas.openxmlformats.org/drawingml/2006/main">
                <a:graphicData uri="http://schemas.microsoft.com/office/word/2010/wordprocessingShape">
                  <wps:wsp>
                    <wps:cNvSpPr txBox="1"/>
                    <wps:spPr>
                      <a:xfrm>
                        <a:off x="0" y="0"/>
                        <a:ext cx="234950" cy="153670"/>
                      </a:xfrm>
                      <a:prstGeom prst="rect">
                        <a:avLst/>
                      </a:prstGeom>
                      <a:noFill/>
                      <a:ln>
                        <a:noFill/>
                      </a:ln>
                    </wps:spPr>
                    <wps:txbx>
                      <w:txbxContent>
                        <w:p>
                          <w:pPr>
                            <w:spacing w:before="14"/>
                            <w:ind w:left="20"/>
                            <w:rPr>
                              <w:rFonts w:ascii="Arial"/>
                              <w:sz w:val="18"/>
                            </w:rPr>
                          </w:pPr>
                          <w:r>
                            <w:rPr>
                              <w:rFonts w:ascii="Arial"/>
                              <w:sz w:val="18"/>
                            </w:rPr>
                            <w:fldChar w:fldCharType="begin"/>
                          </w:r>
                          <w:r>
                            <w:rPr>
                              <w:rFonts w:ascii="Arial"/>
                              <w:sz w:val="18"/>
                            </w:rPr>
                            <w:instrText xml:space="preserve"> PAGE  \* MERGEFORMAT </w:instrText>
                          </w:r>
                          <w:r>
                            <w:rPr>
                              <w:rFonts w:ascii="Arial"/>
                              <w:sz w:val="18"/>
                            </w:rPr>
                            <w:fldChar w:fldCharType="separate"/>
                          </w:r>
                          <w:r>
                            <w:rPr>
                              <w:rFonts w:ascii="Arial"/>
                              <w:sz w:val="18"/>
                            </w:rPr>
                            <w:t>- 1 -</w:t>
                          </w:r>
                          <w:r>
                            <w:rPr>
                              <w:rFonts w:ascii="Arial"/>
                              <w:sz w:val="18"/>
                            </w:rPr>
                            <w:fldChar w:fldCharType="end"/>
                          </w:r>
                        </w:p>
                      </w:txbxContent>
                    </wps:txbx>
                    <wps:bodyPr lIns="0" tIns="0" rIns="0" bIns="0" upright="1"/>
                  </wps:wsp>
                </a:graphicData>
              </a:graphic>
            </wp:anchor>
          </w:drawing>
        </mc:Choice>
        <mc:Fallback>
          <w:pict>
            <v:shape id="文本框 4" o:spid="_x0000_s1026" o:spt="202" type="#_x0000_t202" style="position:absolute;left:0pt;margin-top:0pt;height:12.1pt;width:18.5pt;mso-position-horizontal:right;mso-position-horizontal-relative:margin;z-index:251659264;mso-width-relative:page;mso-height-relative:page;" filled="f" stroked="f" coordsize="21600,21600" o:gfxdata="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FuOSdMAAAADAQAADwAAAAAAAAABACAAAAAiAAAAZHJzL2Rvd25yZXYueG1sUEsBAhQAFAAA&#10;AAgAh07iQIBCCTe7AQAAcQMAAA4AAAAAAAAAAQAgAAAAIgEAAGRycy9lMm9Eb2MueG1sUEsFBgAA&#10;AAAGAAYAWQEAAE8FAAAAAA==&#10;">
              <v:fill on="f" focussize="0,0"/>
              <v:stroke on="f"/>
              <v:imagedata o:title=""/>
              <o:lock v:ext="edit" aspectratio="f"/>
              <v:textbox inset="0mm,0mm,0mm,0mm">
                <w:txbxContent>
                  <w:p>
                    <w:pPr>
                      <w:spacing w:before="14"/>
                      <w:ind w:left="20"/>
                      <w:rPr>
                        <w:rFonts w:ascii="Arial"/>
                        <w:sz w:val="18"/>
                      </w:rPr>
                    </w:pPr>
                    <w:r>
                      <w:rPr>
                        <w:rFonts w:ascii="Arial"/>
                        <w:sz w:val="18"/>
                      </w:rPr>
                      <w:fldChar w:fldCharType="begin"/>
                    </w:r>
                    <w:r>
                      <w:rPr>
                        <w:rFonts w:ascii="Arial"/>
                        <w:sz w:val="18"/>
                      </w:rPr>
                      <w:instrText xml:space="preserve"> PAGE  \* MERGEFORMAT </w:instrText>
                    </w:r>
                    <w:r>
                      <w:rPr>
                        <w:rFonts w:ascii="Arial"/>
                        <w:sz w:val="18"/>
                      </w:rPr>
                      <w:fldChar w:fldCharType="separate"/>
                    </w:r>
                    <w:r>
                      <w:rPr>
                        <w:rFonts w:ascii="Arial"/>
                        <w:sz w:val="18"/>
                      </w:rPr>
                      <w:t>- 1 -</w:t>
                    </w:r>
                    <w:r>
                      <w:rPr>
                        <w:rFonts w:ascii="Arial"/>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3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3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ind w:firstLine="40"/>
      <w:rPr>
        <w:sz w:val="2"/>
      </w:rPr>
    </w:pPr>
    <w:r>
      <w:rPr>
        <w:sz w:val="2"/>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宋体" w:hAnsi="宋体" w:eastAsia="宋体" w:cs="宋体"/>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bookmarkStart w:id="98" w:name="_GoBack"/>
    <w:r>
      <w:rPr>
        <w:rFonts w:hint="eastAsia" w:ascii="宋体" w:hAnsi="宋体" w:eastAsia="宋体" w:cs="宋体"/>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spacing w:line="14" w:lineRule="auto"/>
                            <w:ind w:firstLine="400"/>
                          </w:pPr>
                        </w:p>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pPr>
                      <w:pStyle w:val="9"/>
                      <w:spacing w:line="14" w:lineRule="auto"/>
                      <w:ind w:firstLine="400"/>
                    </w:pPr>
                  </w:p>
                  <w:p/>
                </w:txbxContent>
              </v:textbox>
            </v:shape>
          </w:pict>
        </mc:Fallback>
      </mc:AlternateContent>
    </w:r>
    <w:bookmarkEnd w:id="98"/>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63D5AE"/>
    <w:multiLevelType w:val="singleLevel"/>
    <w:tmpl w:val="5D63D5AE"/>
    <w:lvl w:ilvl="0" w:tentative="0">
      <w:start w:val="1"/>
      <w:numFmt w:val="chineseCounting"/>
      <w:suff w:val="nothing"/>
      <w:lvlText w:val="第%1条"/>
      <w:lvlJc w:val="left"/>
      <w:pPr>
        <w:ind w:left="20" w:firstLine="42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420"/>
  <w:evenAndOddHeaders w:val="1"/>
  <w:drawingGridHorizontalSpacing w:val="220"/>
  <w:drawingGridVerticalSpacing w:val="-794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xMGQxMWE2OTQxYWQwOGNmZDgxMzNiNmQxOWQzOTYifQ=="/>
    <w:docVar w:name="KSO_WPS_MARK_KEY" w:val="9842ff7f-13ac-4fb7-b19d-310666d824b4"/>
  </w:docVars>
  <w:rsids>
    <w:rsidRoot w:val="0011281E"/>
    <w:rsid w:val="0000237F"/>
    <w:rsid w:val="000A7C94"/>
    <w:rsid w:val="000C3478"/>
    <w:rsid w:val="000C54F1"/>
    <w:rsid w:val="000F70F5"/>
    <w:rsid w:val="00101AE9"/>
    <w:rsid w:val="0011281E"/>
    <w:rsid w:val="00167927"/>
    <w:rsid w:val="001827CD"/>
    <w:rsid w:val="00307393"/>
    <w:rsid w:val="003860AF"/>
    <w:rsid w:val="003E6276"/>
    <w:rsid w:val="00480B6A"/>
    <w:rsid w:val="00657FF9"/>
    <w:rsid w:val="00667A00"/>
    <w:rsid w:val="006D70EC"/>
    <w:rsid w:val="006F082C"/>
    <w:rsid w:val="006F2CE2"/>
    <w:rsid w:val="006F2DBA"/>
    <w:rsid w:val="007433A5"/>
    <w:rsid w:val="007D1E0A"/>
    <w:rsid w:val="008D1F88"/>
    <w:rsid w:val="00941CA6"/>
    <w:rsid w:val="009B4E64"/>
    <w:rsid w:val="00A87171"/>
    <w:rsid w:val="00A97387"/>
    <w:rsid w:val="00BA5248"/>
    <w:rsid w:val="00BC5B8F"/>
    <w:rsid w:val="00CC59B1"/>
    <w:rsid w:val="00CE6FC7"/>
    <w:rsid w:val="00D1348D"/>
    <w:rsid w:val="00D55861"/>
    <w:rsid w:val="00DD7722"/>
    <w:rsid w:val="00DE6FF5"/>
    <w:rsid w:val="00E02D05"/>
    <w:rsid w:val="00E30E8B"/>
    <w:rsid w:val="00EA3F69"/>
    <w:rsid w:val="00EC74BF"/>
    <w:rsid w:val="00EE3C32"/>
    <w:rsid w:val="00EE4BF5"/>
    <w:rsid w:val="00F136E4"/>
    <w:rsid w:val="00F60CFA"/>
    <w:rsid w:val="00F72670"/>
    <w:rsid w:val="01080A12"/>
    <w:rsid w:val="01317F69"/>
    <w:rsid w:val="01384838"/>
    <w:rsid w:val="01FB0577"/>
    <w:rsid w:val="03305FFE"/>
    <w:rsid w:val="03990047"/>
    <w:rsid w:val="03AD764F"/>
    <w:rsid w:val="03BB4356"/>
    <w:rsid w:val="03EF56E5"/>
    <w:rsid w:val="043067EE"/>
    <w:rsid w:val="04B073F7"/>
    <w:rsid w:val="04B953D6"/>
    <w:rsid w:val="04FB7101"/>
    <w:rsid w:val="050B0AD1"/>
    <w:rsid w:val="052851DF"/>
    <w:rsid w:val="065344DE"/>
    <w:rsid w:val="07061070"/>
    <w:rsid w:val="078F68A6"/>
    <w:rsid w:val="0797489E"/>
    <w:rsid w:val="07B13BB2"/>
    <w:rsid w:val="084C38DA"/>
    <w:rsid w:val="086A3D60"/>
    <w:rsid w:val="08880E9C"/>
    <w:rsid w:val="08A502BB"/>
    <w:rsid w:val="08EE4992"/>
    <w:rsid w:val="093A75CB"/>
    <w:rsid w:val="09B25BEE"/>
    <w:rsid w:val="0A0739E1"/>
    <w:rsid w:val="0A2E2EBC"/>
    <w:rsid w:val="0B112BB9"/>
    <w:rsid w:val="0B7F7B23"/>
    <w:rsid w:val="0BD47E6F"/>
    <w:rsid w:val="0C6D7155"/>
    <w:rsid w:val="0C992E66"/>
    <w:rsid w:val="0CA5180B"/>
    <w:rsid w:val="0CE560AB"/>
    <w:rsid w:val="0D305579"/>
    <w:rsid w:val="0EE02FCE"/>
    <w:rsid w:val="0F242EBB"/>
    <w:rsid w:val="104B4477"/>
    <w:rsid w:val="11661E9E"/>
    <w:rsid w:val="123538F1"/>
    <w:rsid w:val="12A614BB"/>
    <w:rsid w:val="12AB744F"/>
    <w:rsid w:val="130247D9"/>
    <w:rsid w:val="13B011C1"/>
    <w:rsid w:val="14700951"/>
    <w:rsid w:val="14E54FC3"/>
    <w:rsid w:val="15363948"/>
    <w:rsid w:val="1571672E"/>
    <w:rsid w:val="179B6BEC"/>
    <w:rsid w:val="17B60D70"/>
    <w:rsid w:val="17BF5E77"/>
    <w:rsid w:val="187A7855"/>
    <w:rsid w:val="190E6870"/>
    <w:rsid w:val="198237FF"/>
    <w:rsid w:val="1990096F"/>
    <w:rsid w:val="199B1FCC"/>
    <w:rsid w:val="19E03E83"/>
    <w:rsid w:val="1A587EBD"/>
    <w:rsid w:val="1AAE21D3"/>
    <w:rsid w:val="1ADF413A"/>
    <w:rsid w:val="1B527002"/>
    <w:rsid w:val="1B634D6B"/>
    <w:rsid w:val="1B866CAC"/>
    <w:rsid w:val="1B8A054A"/>
    <w:rsid w:val="1BCA6B98"/>
    <w:rsid w:val="1C827A72"/>
    <w:rsid w:val="1CA90EA4"/>
    <w:rsid w:val="1CC32911"/>
    <w:rsid w:val="1D74693F"/>
    <w:rsid w:val="1DB039A4"/>
    <w:rsid w:val="1E982F7E"/>
    <w:rsid w:val="20713A86"/>
    <w:rsid w:val="207E61A3"/>
    <w:rsid w:val="20823EE5"/>
    <w:rsid w:val="20C63AF3"/>
    <w:rsid w:val="20F052F3"/>
    <w:rsid w:val="211C60E8"/>
    <w:rsid w:val="212C3E51"/>
    <w:rsid w:val="21D44D8B"/>
    <w:rsid w:val="21E767C4"/>
    <w:rsid w:val="2208613E"/>
    <w:rsid w:val="2217240B"/>
    <w:rsid w:val="223B434C"/>
    <w:rsid w:val="22877591"/>
    <w:rsid w:val="22D3020A"/>
    <w:rsid w:val="22D327D6"/>
    <w:rsid w:val="22D87DED"/>
    <w:rsid w:val="23040BE2"/>
    <w:rsid w:val="23335EC8"/>
    <w:rsid w:val="2378337E"/>
    <w:rsid w:val="23857798"/>
    <w:rsid w:val="23A10A77"/>
    <w:rsid w:val="25F25669"/>
    <w:rsid w:val="267511C1"/>
    <w:rsid w:val="268C6B04"/>
    <w:rsid w:val="2749325F"/>
    <w:rsid w:val="27816AAD"/>
    <w:rsid w:val="27834C71"/>
    <w:rsid w:val="27E965F8"/>
    <w:rsid w:val="28B5297E"/>
    <w:rsid w:val="291E49C7"/>
    <w:rsid w:val="297E745E"/>
    <w:rsid w:val="29D54EAE"/>
    <w:rsid w:val="29D74341"/>
    <w:rsid w:val="2A37595F"/>
    <w:rsid w:val="2ABA427C"/>
    <w:rsid w:val="2AE522F9"/>
    <w:rsid w:val="2AF94DA4"/>
    <w:rsid w:val="2B544E73"/>
    <w:rsid w:val="2B58762A"/>
    <w:rsid w:val="2BDE1B98"/>
    <w:rsid w:val="2BFF288E"/>
    <w:rsid w:val="2C074DC7"/>
    <w:rsid w:val="2C097269"/>
    <w:rsid w:val="2C1E4C16"/>
    <w:rsid w:val="2C3D6286"/>
    <w:rsid w:val="2C712816"/>
    <w:rsid w:val="2D92328E"/>
    <w:rsid w:val="2DC633AD"/>
    <w:rsid w:val="2F662C24"/>
    <w:rsid w:val="2FD65C01"/>
    <w:rsid w:val="2FEC3129"/>
    <w:rsid w:val="303B3BF6"/>
    <w:rsid w:val="304E5B92"/>
    <w:rsid w:val="306E7FE2"/>
    <w:rsid w:val="30BB2AFC"/>
    <w:rsid w:val="30D065A7"/>
    <w:rsid w:val="311B7C4E"/>
    <w:rsid w:val="31E16592"/>
    <w:rsid w:val="327411B4"/>
    <w:rsid w:val="32943604"/>
    <w:rsid w:val="32DD4FAB"/>
    <w:rsid w:val="3364747B"/>
    <w:rsid w:val="3400497A"/>
    <w:rsid w:val="35702107"/>
    <w:rsid w:val="35DB63B9"/>
    <w:rsid w:val="361C403D"/>
    <w:rsid w:val="36631C6B"/>
    <w:rsid w:val="3699568D"/>
    <w:rsid w:val="36AF6C5F"/>
    <w:rsid w:val="3707052D"/>
    <w:rsid w:val="375C1D07"/>
    <w:rsid w:val="37CF580A"/>
    <w:rsid w:val="38465695"/>
    <w:rsid w:val="38BE2B84"/>
    <w:rsid w:val="38C4464A"/>
    <w:rsid w:val="39534219"/>
    <w:rsid w:val="3A6F5E8E"/>
    <w:rsid w:val="3AB74E19"/>
    <w:rsid w:val="3B633841"/>
    <w:rsid w:val="3B824942"/>
    <w:rsid w:val="3C3814A4"/>
    <w:rsid w:val="3C693C0B"/>
    <w:rsid w:val="3CE84B14"/>
    <w:rsid w:val="3CFC0724"/>
    <w:rsid w:val="3D395675"/>
    <w:rsid w:val="3E285C74"/>
    <w:rsid w:val="3EB94B1E"/>
    <w:rsid w:val="3EEF22EE"/>
    <w:rsid w:val="3EF43F6A"/>
    <w:rsid w:val="3F283A52"/>
    <w:rsid w:val="3F4559BA"/>
    <w:rsid w:val="3FA255B3"/>
    <w:rsid w:val="3FAC4683"/>
    <w:rsid w:val="3FD339BE"/>
    <w:rsid w:val="402D6DBB"/>
    <w:rsid w:val="4116310F"/>
    <w:rsid w:val="42280555"/>
    <w:rsid w:val="4262727B"/>
    <w:rsid w:val="42854AF2"/>
    <w:rsid w:val="43816001"/>
    <w:rsid w:val="43886445"/>
    <w:rsid w:val="43972F54"/>
    <w:rsid w:val="43BB4E95"/>
    <w:rsid w:val="44223166"/>
    <w:rsid w:val="446A295A"/>
    <w:rsid w:val="44DF20D7"/>
    <w:rsid w:val="467D4684"/>
    <w:rsid w:val="469E6895"/>
    <w:rsid w:val="46EA0DB8"/>
    <w:rsid w:val="46F34946"/>
    <w:rsid w:val="47266AC9"/>
    <w:rsid w:val="47B50D1E"/>
    <w:rsid w:val="47DE0818"/>
    <w:rsid w:val="48735D3E"/>
    <w:rsid w:val="48895562"/>
    <w:rsid w:val="48FF12F0"/>
    <w:rsid w:val="49885819"/>
    <w:rsid w:val="4993288E"/>
    <w:rsid w:val="49B52386"/>
    <w:rsid w:val="4A767D68"/>
    <w:rsid w:val="4B95421D"/>
    <w:rsid w:val="4BB87675"/>
    <w:rsid w:val="4BBC5C4E"/>
    <w:rsid w:val="4BD5286C"/>
    <w:rsid w:val="4C3752D5"/>
    <w:rsid w:val="4C667968"/>
    <w:rsid w:val="4C7C718B"/>
    <w:rsid w:val="4C923D85"/>
    <w:rsid w:val="4CE9064C"/>
    <w:rsid w:val="4D302450"/>
    <w:rsid w:val="4D4102C7"/>
    <w:rsid w:val="4E0F02B7"/>
    <w:rsid w:val="4E3B48A4"/>
    <w:rsid w:val="4E882528"/>
    <w:rsid w:val="4F0040A4"/>
    <w:rsid w:val="4F0469D7"/>
    <w:rsid w:val="4F3D0E54"/>
    <w:rsid w:val="500B02DD"/>
    <w:rsid w:val="502B33A2"/>
    <w:rsid w:val="504558A7"/>
    <w:rsid w:val="504F0E3F"/>
    <w:rsid w:val="51431FAD"/>
    <w:rsid w:val="520843A4"/>
    <w:rsid w:val="52426781"/>
    <w:rsid w:val="52AD62F0"/>
    <w:rsid w:val="53431742"/>
    <w:rsid w:val="53F046E7"/>
    <w:rsid w:val="5514671A"/>
    <w:rsid w:val="555E4B27"/>
    <w:rsid w:val="556759A8"/>
    <w:rsid w:val="557124C2"/>
    <w:rsid w:val="562A5CAC"/>
    <w:rsid w:val="568A7075"/>
    <w:rsid w:val="57141A86"/>
    <w:rsid w:val="57763155"/>
    <w:rsid w:val="57E00F16"/>
    <w:rsid w:val="580F7F07"/>
    <w:rsid w:val="581B5AAA"/>
    <w:rsid w:val="586F6658"/>
    <w:rsid w:val="58B24661"/>
    <w:rsid w:val="58D31D13"/>
    <w:rsid w:val="58D40582"/>
    <w:rsid w:val="58FD70CB"/>
    <w:rsid w:val="59835FFD"/>
    <w:rsid w:val="59DE1BBC"/>
    <w:rsid w:val="59DF5DCD"/>
    <w:rsid w:val="59EE55DA"/>
    <w:rsid w:val="5A054C64"/>
    <w:rsid w:val="5A5359CF"/>
    <w:rsid w:val="5A853501"/>
    <w:rsid w:val="5A9B1210"/>
    <w:rsid w:val="5AF36EBF"/>
    <w:rsid w:val="5B296730"/>
    <w:rsid w:val="5C184FB2"/>
    <w:rsid w:val="5C2D76D7"/>
    <w:rsid w:val="5CA72002"/>
    <w:rsid w:val="5D2B6790"/>
    <w:rsid w:val="5D423AD9"/>
    <w:rsid w:val="5D87118C"/>
    <w:rsid w:val="5DC07DAC"/>
    <w:rsid w:val="5DC82230"/>
    <w:rsid w:val="5E525F9E"/>
    <w:rsid w:val="5E906A56"/>
    <w:rsid w:val="5FB57000"/>
    <w:rsid w:val="60310561"/>
    <w:rsid w:val="60BE791B"/>
    <w:rsid w:val="60F82E2D"/>
    <w:rsid w:val="615A7643"/>
    <w:rsid w:val="617312F0"/>
    <w:rsid w:val="61C34F91"/>
    <w:rsid w:val="61CF0031"/>
    <w:rsid w:val="62D00CFA"/>
    <w:rsid w:val="63E91153"/>
    <w:rsid w:val="63F3621E"/>
    <w:rsid w:val="641461CF"/>
    <w:rsid w:val="6469306B"/>
    <w:rsid w:val="65A610A9"/>
    <w:rsid w:val="65FB1923"/>
    <w:rsid w:val="660E4EA0"/>
    <w:rsid w:val="665F5FD9"/>
    <w:rsid w:val="66BB0B84"/>
    <w:rsid w:val="679C6C08"/>
    <w:rsid w:val="694E3F32"/>
    <w:rsid w:val="69BD3CF3"/>
    <w:rsid w:val="6A082F12"/>
    <w:rsid w:val="6A687275"/>
    <w:rsid w:val="6AAF6C52"/>
    <w:rsid w:val="6BFCD505"/>
    <w:rsid w:val="6C0A7EB8"/>
    <w:rsid w:val="6C3B438C"/>
    <w:rsid w:val="6D1E1E6D"/>
    <w:rsid w:val="6D2737DF"/>
    <w:rsid w:val="6D4C5795"/>
    <w:rsid w:val="6D5D0BE7"/>
    <w:rsid w:val="6D6F628E"/>
    <w:rsid w:val="6D88378A"/>
    <w:rsid w:val="6DB36A59"/>
    <w:rsid w:val="6E647D53"/>
    <w:rsid w:val="6EA87141"/>
    <w:rsid w:val="6F1A6664"/>
    <w:rsid w:val="6FF965C9"/>
    <w:rsid w:val="700C58CB"/>
    <w:rsid w:val="70111815"/>
    <w:rsid w:val="70730722"/>
    <w:rsid w:val="70D72A5F"/>
    <w:rsid w:val="7102460C"/>
    <w:rsid w:val="71AB5C99"/>
    <w:rsid w:val="71B2329F"/>
    <w:rsid w:val="72404633"/>
    <w:rsid w:val="724F4877"/>
    <w:rsid w:val="72F145C1"/>
    <w:rsid w:val="73426189"/>
    <w:rsid w:val="7398041B"/>
    <w:rsid w:val="740F6C0C"/>
    <w:rsid w:val="74820F33"/>
    <w:rsid w:val="74AA2238"/>
    <w:rsid w:val="74B12CDD"/>
    <w:rsid w:val="74C257D4"/>
    <w:rsid w:val="75776592"/>
    <w:rsid w:val="75CB34BA"/>
    <w:rsid w:val="75EA3234"/>
    <w:rsid w:val="75EF084A"/>
    <w:rsid w:val="76DA5C7E"/>
    <w:rsid w:val="78D745CA"/>
    <w:rsid w:val="792A1B99"/>
    <w:rsid w:val="79DA789B"/>
    <w:rsid w:val="7A01351B"/>
    <w:rsid w:val="7A5549C5"/>
    <w:rsid w:val="7ABC4A73"/>
    <w:rsid w:val="7B923A26"/>
    <w:rsid w:val="7BFF67E2"/>
    <w:rsid w:val="7C556F2D"/>
    <w:rsid w:val="7CC222D9"/>
    <w:rsid w:val="7CE938BB"/>
    <w:rsid w:val="7D103D88"/>
    <w:rsid w:val="7D1908A1"/>
    <w:rsid w:val="7D2E754C"/>
    <w:rsid w:val="7D673D8B"/>
    <w:rsid w:val="7DE5369E"/>
    <w:rsid w:val="7EC16AFC"/>
    <w:rsid w:val="7F1E7AAB"/>
    <w:rsid w:val="7F5E7720"/>
    <w:rsid w:val="7F606315"/>
    <w:rsid w:val="7F9A1827"/>
    <w:rsid w:val="7FFD3060"/>
    <w:rsid w:val="BFEF3FC1"/>
    <w:rsid w:val="F5A8E6A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1" w:semiHidden="0" w:name="toc 1"/>
    <w:lsdException w:qFormat="1"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仿宋_GB2312" w:hAnsi="仿宋_GB2312" w:eastAsia="仿宋_GB2312" w:cs="仿宋_GB2312"/>
      <w:sz w:val="22"/>
      <w:szCs w:val="22"/>
      <w:lang w:val="zh-CN" w:eastAsia="zh-CN" w:bidi="zh-CN"/>
    </w:rPr>
  </w:style>
  <w:style w:type="paragraph" w:styleId="3">
    <w:name w:val="heading 1"/>
    <w:basedOn w:val="1"/>
    <w:next w:val="1"/>
    <w:qFormat/>
    <w:uiPriority w:val="1"/>
    <w:pPr>
      <w:spacing w:before="260" w:after="260" w:line="560" w:lineRule="exact"/>
      <w:jc w:val="center"/>
      <w:outlineLvl w:val="0"/>
    </w:pPr>
    <w:rPr>
      <w:rFonts w:ascii="黑体" w:hAnsi="黑体" w:eastAsia="黑体" w:cs="黑体"/>
      <w:bCs/>
      <w:sz w:val="32"/>
      <w:szCs w:val="31"/>
    </w:rPr>
  </w:style>
  <w:style w:type="paragraph" w:styleId="4">
    <w:name w:val="heading 2"/>
    <w:basedOn w:val="1"/>
    <w:next w:val="1"/>
    <w:unhideWhenUsed/>
    <w:qFormat/>
    <w:uiPriority w:val="0"/>
    <w:pPr>
      <w:keepNext/>
      <w:keepLines/>
      <w:adjustRightInd w:val="0"/>
      <w:snapToGrid w:val="0"/>
      <w:spacing w:before="100" w:beforeLines="100" w:after="100" w:afterLines="100" w:line="560" w:lineRule="exact"/>
      <w:jc w:val="center"/>
      <w:outlineLvl w:val="1"/>
    </w:pPr>
    <w:rPr>
      <w:rFonts w:ascii="Arial" w:hAnsi="Arial" w:eastAsia="楷体_GB2312"/>
      <w:b/>
      <w:sz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annotation text"/>
    <w:basedOn w:val="1"/>
    <w:link w:val="24"/>
    <w:qFormat/>
    <w:uiPriority w:val="0"/>
  </w:style>
  <w:style w:type="paragraph" w:styleId="6">
    <w:name w:val="Body Text"/>
    <w:basedOn w:val="1"/>
    <w:qFormat/>
    <w:uiPriority w:val="1"/>
    <w:pPr>
      <w:ind w:firstLine="720" w:firstLineChars="200"/>
    </w:pPr>
    <w:rPr>
      <w:sz w:val="31"/>
      <w:szCs w:val="31"/>
    </w:rPr>
  </w:style>
  <w:style w:type="paragraph" w:styleId="7">
    <w:name w:val="Body Text Indent"/>
    <w:basedOn w:val="1"/>
    <w:semiHidden/>
    <w:unhideWhenUsed/>
    <w:qFormat/>
    <w:uiPriority w:val="0"/>
    <w:pPr>
      <w:spacing w:after="120"/>
      <w:ind w:left="420" w:leftChars="200"/>
    </w:pPr>
    <w:rPr>
      <w:rFonts w:ascii="Times New Roman" w:hAnsi="Times New Roman" w:cs="Times New Roman"/>
      <w:szCs w:val="24"/>
    </w:rPr>
  </w:style>
  <w:style w:type="paragraph" w:styleId="8">
    <w:name w:val="Balloon Text"/>
    <w:basedOn w:val="1"/>
    <w:link w:val="21"/>
    <w:qFormat/>
    <w:uiPriority w:val="0"/>
    <w:rPr>
      <w:sz w:val="18"/>
      <w:szCs w:val="18"/>
    </w:rPr>
  </w:style>
  <w:style w:type="paragraph" w:styleId="9">
    <w:name w:val="footer"/>
    <w:basedOn w:val="1"/>
    <w:link w:val="20"/>
    <w:qFormat/>
    <w:uiPriority w:val="99"/>
    <w:pPr>
      <w:tabs>
        <w:tab w:val="center" w:pos="4153"/>
        <w:tab w:val="right" w:pos="8306"/>
      </w:tabs>
      <w:snapToGrid w:val="0"/>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qFormat/>
    <w:uiPriority w:val="1"/>
    <w:pPr>
      <w:spacing w:before="233"/>
      <w:jc w:val="center"/>
    </w:pPr>
    <w:rPr>
      <w:sz w:val="31"/>
      <w:szCs w:val="31"/>
    </w:rPr>
  </w:style>
  <w:style w:type="paragraph" w:styleId="12">
    <w:name w:val="toc 2"/>
    <w:basedOn w:val="1"/>
    <w:next w:val="1"/>
    <w:semiHidden/>
    <w:unhideWhenUsed/>
    <w:qFormat/>
    <w:uiPriority w:val="0"/>
    <w:pPr>
      <w:ind w:left="420" w:leftChars="200"/>
    </w:pPr>
  </w:style>
  <w:style w:type="paragraph" w:styleId="13">
    <w:name w:val="annotation subject"/>
    <w:basedOn w:val="5"/>
    <w:next w:val="5"/>
    <w:link w:val="25"/>
    <w:semiHidden/>
    <w:unhideWhenUsed/>
    <w:qFormat/>
    <w:uiPriority w:val="0"/>
    <w:rPr>
      <w:b/>
      <w:bCs/>
    </w:rPr>
  </w:style>
  <w:style w:type="character" w:styleId="16">
    <w:name w:val="annotation reference"/>
    <w:basedOn w:val="15"/>
    <w:qFormat/>
    <w:uiPriority w:val="0"/>
    <w:rPr>
      <w:sz w:val="21"/>
      <w:szCs w:val="21"/>
    </w:rPr>
  </w:style>
  <w:style w:type="paragraph" w:customStyle="1" w:styleId="17">
    <w:name w:val="Table Paragraph"/>
    <w:basedOn w:val="1"/>
    <w:qFormat/>
    <w:uiPriority w:val="1"/>
  </w:style>
  <w:style w:type="paragraph" w:customStyle="1" w:styleId="18">
    <w:name w:val="列表段落1"/>
    <w:basedOn w:val="1"/>
    <w:qFormat/>
    <w:uiPriority w:val="1"/>
    <w:pPr>
      <w:spacing w:before="173"/>
      <w:ind w:left="450" w:firstLine="645"/>
    </w:pPr>
  </w:style>
  <w:style w:type="paragraph" w:styleId="19">
    <w:name w:val="No Spacing"/>
    <w:qFormat/>
    <w:uiPriority w:val="1"/>
    <w:rPr>
      <w:rFonts w:ascii="Calibri" w:hAnsi="Calibri" w:eastAsia="宋体" w:cs="Times New Roman"/>
      <w:sz w:val="22"/>
      <w:szCs w:val="22"/>
      <w:lang w:val="en-US" w:eastAsia="zh-CN" w:bidi="ar-SA"/>
    </w:rPr>
  </w:style>
  <w:style w:type="character" w:customStyle="1" w:styleId="20">
    <w:name w:val="页脚 字符"/>
    <w:basedOn w:val="15"/>
    <w:link w:val="9"/>
    <w:qFormat/>
    <w:uiPriority w:val="99"/>
    <w:rPr>
      <w:rFonts w:ascii="仿宋_GB2312" w:hAnsi="仿宋_GB2312" w:eastAsia="仿宋_GB2312" w:cs="仿宋_GB2312"/>
      <w:sz w:val="18"/>
      <w:szCs w:val="22"/>
      <w:lang w:val="zh-CN" w:bidi="zh-CN"/>
    </w:rPr>
  </w:style>
  <w:style w:type="character" w:customStyle="1" w:styleId="21">
    <w:name w:val="批注框文本 字符"/>
    <w:basedOn w:val="15"/>
    <w:link w:val="8"/>
    <w:qFormat/>
    <w:uiPriority w:val="0"/>
    <w:rPr>
      <w:rFonts w:ascii="仿宋_GB2312" w:hAnsi="仿宋_GB2312" w:eastAsia="仿宋_GB2312" w:cs="仿宋_GB2312"/>
      <w:sz w:val="18"/>
      <w:szCs w:val="18"/>
      <w:lang w:val="zh-CN" w:bidi="zh-CN"/>
    </w:r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修订1"/>
    <w:hidden/>
    <w:unhideWhenUsed/>
    <w:qFormat/>
    <w:uiPriority w:val="99"/>
    <w:rPr>
      <w:rFonts w:ascii="仿宋_GB2312" w:hAnsi="仿宋_GB2312" w:eastAsia="仿宋_GB2312" w:cs="仿宋_GB2312"/>
      <w:sz w:val="22"/>
      <w:szCs w:val="22"/>
      <w:lang w:val="zh-CN" w:eastAsia="zh-CN" w:bidi="zh-CN"/>
    </w:rPr>
  </w:style>
  <w:style w:type="character" w:customStyle="1" w:styleId="24">
    <w:name w:val="批注文字 字符"/>
    <w:basedOn w:val="15"/>
    <w:link w:val="5"/>
    <w:qFormat/>
    <w:uiPriority w:val="0"/>
    <w:rPr>
      <w:rFonts w:ascii="仿宋_GB2312" w:hAnsi="仿宋_GB2312" w:eastAsia="仿宋_GB2312" w:cs="仿宋_GB2312"/>
      <w:sz w:val="22"/>
      <w:szCs w:val="22"/>
      <w:lang w:val="zh-CN" w:bidi="zh-CN"/>
    </w:rPr>
  </w:style>
  <w:style w:type="character" w:customStyle="1" w:styleId="25">
    <w:name w:val="批注主题 字符"/>
    <w:basedOn w:val="24"/>
    <w:link w:val="13"/>
    <w:semiHidden/>
    <w:qFormat/>
    <w:uiPriority w:val="0"/>
    <w:rPr>
      <w:rFonts w:ascii="仿宋_GB2312" w:hAnsi="仿宋_GB2312" w:eastAsia="仿宋_GB2312" w:cs="仿宋_GB2312"/>
      <w:b/>
      <w:bCs/>
      <w:sz w:val="22"/>
      <w:szCs w:val="22"/>
      <w:lang w:val="zh-CN" w:bidi="zh-CN"/>
    </w:rPr>
  </w:style>
  <w:style w:type="paragraph" w:customStyle="1" w:styleId="2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7">
    <w:name w:val="Revision"/>
    <w:hidden/>
    <w:unhideWhenUsed/>
    <w:qFormat/>
    <w:uiPriority w:val="99"/>
    <w:rPr>
      <w:rFonts w:ascii="仿宋_GB2312" w:hAnsi="仿宋_GB2312" w:eastAsia="仿宋_GB2312" w:cs="仿宋_GB2312"/>
      <w:sz w:val="22"/>
      <w:szCs w:val="2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QBPC</Company>
  <Pages>23</Pages>
  <Words>8741</Words>
  <Characters>8839</Characters>
  <Lines>71</Lines>
  <Paragraphs>20</Paragraphs>
  <TotalTime>27</TotalTime>
  <ScaleCrop>false</ScaleCrop>
  <LinksUpToDate>false</LinksUpToDate>
  <CharactersWithSpaces>9095</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2023-04-16T15:43:00Z</dcterms:created>
  <dc:creator>WPS_1557992113</dc:creator>
  <cp:lastModifiedBy>权</cp:lastModifiedBy>
  <cp:lastPrinted>2024-04-10T16:11:00Z</cp:lastPrinted>
  <dcterms:modified xsi:type="dcterms:W3CDTF">2024-06-16T00:14:11Z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9E1EFAB035D34AECAD5AFAF1A8F51A8F</vt:lpwstr>
  </property>
</Properties>
</file>