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val="en-US" w:eastAsia="zh-CN"/>
        </w:rPr>
        <w:t>四川九洲后勤服务有限责任公司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：王锌</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身份证号码：510703198707261911</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W w:w="51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9"/>
        <w:gridCol w:w="672"/>
        <w:gridCol w:w="624"/>
        <w:gridCol w:w="600"/>
        <w:gridCol w:w="552"/>
        <w:gridCol w:w="552"/>
        <w:gridCol w:w="660"/>
        <w:gridCol w:w="552"/>
        <w:gridCol w:w="564"/>
        <w:gridCol w:w="456"/>
        <w:gridCol w:w="432"/>
        <w:gridCol w:w="404"/>
        <w:gridCol w:w="495"/>
        <w:gridCol w:w="429"/>
        <w:gridCol w:w="464"/>
        <w:gridCol w:w="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rPr>
            </w:pPr>
            <w:r>
              <w:rPr>
                <w:rFonts w:hint="eastAsia" w:ascii="仿宋_GB2312" w:hAnsi="仿宋_GB2312" w:eastAsia="仿宋_GB2312" w:cs="仿宋_GB2312"/>
                <w:b/>
                <w:bCs/>
                <w:i w:val="0"/>
                <w:iCs w:val="0"/>
                <w:color w:val="000000"/>
                <w:kern w:val="0"/>
                <w:sz w:val="21"/>
                <w:szCs w:val="21"/>
                <w:highlight w:val="none"/>
                <w:u w:val="none"/>
                <w:lang w:val="en-US" w:eastAsia="zh-CN"/>
              </w:rPr>
              <w:t>公司</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rPr>
            </w:pPr>
            <w:r>
              <w:rPr>
                <w:rFonts w:hint="eastAsia" w:ascii="仿宋_GB2312" w:hAnsi="仿宋_GB2312" w:eastAsia="仿宋_GB2312" w:cs="仿宋_GB2312"/>
                <w:b/>
                <w:bCs/>
                <w:i w:val="0"/>
                <w:iCs w:val="0"/>
                <w:color w:val="000000"/>
                <w:kern w:val="0"/>
                <w:sz w:val="21"/>
                <w:szCs w:val="21"/>
                <w:highlight w:val="none"/>
                <w:u w:val="none"/>
                <w:lang w:val="en-US" w:eastAsia="zh-CN"/>
              </w:rPr>
              <w:t>（部门）</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Fonts w:hint="eastAsia" w:ascii="仿宋_GB2312" w:hAnsi="仿宋_GB2312" w:eastAsia="仿宋_GB2312" w:cs="仿宋_GB2312"/>
                <w:b/>
                <w:bCs/>
                <w:i w:val="0"/>
                <w:iCs w:val="0"/>
                <w:color w:val="000000"/>
                <w:kern w:val="0"/>
                <w:sz w:val="21"/>
                <w:szCs w:val="21"/>
                <w:highlight w:val="none"/>
                <w:u w:val="none"/>
                <w:lang w:val="en-US" w:eastAsia="zh-CN"/>
              </w:rPr>
              <w:t>名称</w:t>
            </w:r>
          </w:p>
        </w:tc>
        <w:tc>
          <w:tcPr>
            <w:tcW w:w="358" w:type="pct"/>
            <w:vMerge w:val="restart"/>
            <w:tcBorders>
              <w:top w:val="single" w:color="000000" w:sz="4" w:space="0"/>
              <w:left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权</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重</w:t>
            </w:r>
          </w:p>
        </w:tc>
        <w:tc>
          <w:tcPr>
            <w:tcW w:w="652"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营业收入</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Fonts w:hint="eastAsia" w:ascii="仿宋_GB2312" w:hAnsi="仿宋_GB2312" w:eastAsia="仿宋_GB2312" w:cs="仿宋_GB2312"/>
                <w:b/>
                <w:bCs/>
                <w:i w:val="0"/>
                <w:iCs w:val="0"/>
                <w:color w:val="000000"/>
                <w:kern w:val="0"/>
                <w:sz w:val="21"/>
                <w:szCs w:val="21"/>
                <w:highlight w:val="none"/>
                <w:u w:val="none"/>
                <w:lang w:val="en-US" w:eastAsia="zh-CN"/>
              </w:rPr>
              <w:t>(万元)</w:t>
            </w:r>
          </w:p>
        </w:tc>
        <w:tc>
          <w:tcPr>
            <w:tcW w:w="588"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利润总额</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(万元)</w:t>
            </w:r>
          </w:p>
        </w:tc>
        <w:tc>
          <w:tcPr>
            <w:tcW w:w="646"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在绵产值/营收</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(万元)</w:t>
            </w:r>
          </w:p>
        </w:tc>
        <w:tc>
          <w:tcPr>
            <w:tcW w:w="543"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人工成本</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利润率</w:t>
            </w:r>
          </w:p>
        </w:tc>
        <w:tc>
          <w:tcPr>
            <w:tcW w:w="445"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人均利润</w:t>
            </w:r>
          </w:p>
        </w:tc>
        <w:tc>
          <w:tcPr>
            <w:tcW w:w="492"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期间费用率</w:t>
            </w:r>
          </w:p>
        </w:tc>
        <w:tc>
          <w:tcPr>
            <w:tcW w:w="551"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Cs/>
                <w:color w:val="000000"/>
                <w:sz w:val="21"/>
                <w:szCs w:val="21"/>
                <w:highlight w:val="none"/>
                <w:vertAlign w:val="baseline"/>
                <w:lang w:val="en-US" w:eastAsia="zh-CN"/>
              </w:rPr>
            </w:pPr>
            <w:r>
              <w:rPr>
                <w:rStyle w:val="44"/>
                <w:b/>
                <w:color w:val="000000"/>
                <w:sz w:val="21"/>
                <w:szCs w:val="21"/>
              </w:rPr>
              <w:t>两金周转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719"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440" w:lineRule="exact"/>
              <w:jc w:val="center"/>
              <w:rPr>
                <w:rFonts w:hint="eastAsia" w:ascii="仿宋_GB2312" w:hAnsi="仿宋_GB2312" w:eastAsia="仿宋_GB2312" w:cs="仿宋_GB2312"/>
                <w:b/>
                <w:bCs/>
                <w:i w:val="0"/>
                <w:iCs w:val="0"/>
                <w:color w:val="000000"/>
                <w:sz w:val="21"/>
                <w:szCs w:val="21"/>
                <w:highlight w:val="none"/>
                <w:u w:val="none"/>
              </w:rPr>
            </w:pPr>
          </w:p>
        </w:tc>
        <w:tc>
          <w:tcPr>
            <w:tcW w:w="358" w:type="pct"/>
            <w:vMerge w:val="continue"/>
            <w:tcBorders>
              <w:left w:val="single" w:color="000000" w:sz="4" w:space="0"/>
              <w:bottom w:val="single" w:color="auto"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rPr>
            </w:pPr>
          </w:p>
        </w:tc>
        <w:tc>
          <w:tcPr>
            <w:tcW w:w="332"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kern w:val="0"/>
                <w:sz w:val="21"/>
                <w:szCs w:val="21"/>
                <w:highlight w:val="none"/>
                <w:u w:val="none"/>
                <w:lang w:val="en-US" w:eastAsia="zh-CN"/>
              </w:rPr>
            </w:pPr>
            <w:r>
              <w:rPr>
                <w:rFonts w:hint="eastAsia" w:ascii="仿宋_GB2312" w:hAnsi="仿宋_GB2312" w:eastAsia="仿宋_GB2312" w:cs="仿宋_GB2312"/>
                <w:b/>
                <w:bCs/>
                <w:i w:val="0"/>
                <w:iCs w:val="0"/>
                <w:color w:val="000000"/>
                <w:kern w:val="0"/>
                <w:sz w:val="21"/>
                <w:szCs w:val="21"/>
                <w:highlight w:val="none"/>
                <w:u w:val="none"/>
                <w:lang w:val="en-US" w:eastAsia="zh-CN"/>
              </w:rPr>
              <w:t>目</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Fonts w:hint="eastAsia" w:ascii="仿宋_GB2312" w:hAnsi="仿宋_GB2312" w:eastAsia="仿宋_GB2312" w:cs="仿宋_GB2312"/>
                <w:b/>
                <w:bCs/>
                <w:i w:val="0"/>
                <w:iCs w:val="0"/>
                <w:color w:val="000000"/>
                <w:kern w:val="0"/>
                <w:sz w:val="21"/>
                <w:szCs w:val="21"/>
                <w:highlight w:val="none"/>
                <w:u w:val="none"/>
                <w:lang w:val="en-US" w:eastAsia="zh-CN"/>
              </w:rPr>
              <w:t>标</w:t>
            </w:r>
          </w:p>
        </w:tc>
        <w:tc>
          <w:tcPr>
            <w:tcW w:w="319"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权重</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目标</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权重</w:t>
            </w:r>
          </w:p>
        </w:tc>
        <w:tc>
          <w:tcPr>
            <w:tcW w:w="351"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目</w:t>
            </w:r>
          </w:p>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bidi="ar-SA"/>
              </w:rPr>
            </w:pPr>
            <w:r>
              <w:rPr>
                <w:rStyle w:val="44"/>
                <w:rFonts w:hint="eastAsia" w:ascii="仿宋_GB2312" w:hAnsi="仿宋_GB2312" w:eastAsia="仿宋_GB2312" w:cs="仿宋_GB2312"/>
                <w:b/>
                <w:bCs/>
                <w:color w:val="000000"/>
                <w:sz w:val="21"/>
                <w:szCs w:val="21"/>
                <w:highlight w:val="none"/>
                <w:lang w:val="en-US" w:eastAsia="zh-CN"/>
              </w:rPr>
              <w:t>标</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bidi="ar-SA"/>
              </w:rPr>
            </w:pPr>
            <w:r>
              <w:rPr>
                <w:rStyle w:val="44"/>
                <w:rFonts w:hint="eastAsia" w:ascii="仿宋_GB2312" w:hAnsi="仿宋_GB2312" w:eastAsia="仿宋_GB2312" w:cs="仿宋_GB2312"/>
                <w:b/>
                <w:bCs/>
                <w:color w:val="000000"/>
                <w:sz w:val="21"/>
                <w:szCs w:val="21"/>
                <w:highlight w:val="none"/>
                <w:lang w:val="en-US" w:eastAsia="zh-CN"/>
              </w:rPr>
              <w:t>权重</w:t>
            </w:r>
          </w:p>
        </w:tc>
        <w:tc>
          <w:tcPr>
            <w:tcW w:w="30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目标</w:t>
            </w:r>
          </w:p>
        </w:tc>
        <w:tc>
          <w:tcPr>
            <w:tcW w:w="24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权重</w:t>
            </w:r>
          </w:p>
        </w:tc>
        <w:tc>
          <w:tcPr>
            <w:tcW w:w="23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目标</w:t>
            </w:r>
          </w:p>
        </w:tc>
        <w:tc>
          <w:tcPr>
            <w:tcW w:w="215"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权重</w:t>
            </w:r>
          </w:p>
        </w:tc>
        <w:tc>
          <w:tcPr>
            <w:tcW w:w="26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目标</w:t>
            </w:r>
          </w:p>
        </w:tc>
        <w:tc>
          <w:tcPr>
            <w:tcW w:w="228"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Style w:val="44"/>
                <w:rFonts w:hint="eastAsia" w:ascii="仿宋_GB2312" w:hAnsi="仿宋_GB2312" w:eastAsia="仿宋_GB2312" w:cs="仿宋_GB2312"/>
                <w:b/>
                <w:bCs/>
                <w:color w:val="000000"/>
                <w:sz w:val="21"/>
                <w:szCs w:val="21"/>
                <w:highlight w:val="none"/>
                <w:lang w:val="en-US" w:eastAsia="zh-CN"/>
              </w:rPr>
              <w:t>权重</w:t>
            </w:r>
          </w:p>
        </w:tc>
        <w:tc>
          <w:tcPr>
            <w:tcW w:w="247"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eastAsia" w:ascii="仿宋_GB2312" w:hAnsi="仿宋_GB2312" w:eastAsia="仿宋_GB2312" w:cs="仿宋_GB2312"/>
                <w:b/>
                <w:bCs/>
                <w:i w:val="0"/>
                <w:iCs w:val="0"/>
                <w:color w:val="000000"/>
                <w:sz w:val="21"/>
                <w:szCs w:val="21"/>
                <w:highlight w:val="none"/>
                <w:u w:val="none"/>
              </w:rPr>
            </w:pPr>
            <w:r>
              <w:rPr>
                <w:rFonts w:hint="eastAsia" w:ascii="仿宋_GB2312" w:hAnsi="仿宋_GB2312" w:eastAsia="仿宋_GB2312" w:cs="仿宋_GB2312"/>
                <w:b/>
                <w:bCs/>
                <w:i w:val="0"/>
                <w:iCs w:val="0"/>
                <w:color w:val="000000"/>
                <w:kern w:val="0"/>
                <w:sz w:val="21"/>
                <w:szCs w:val="21"/>
                <w:highlight w:val="none"/>
                <w:u w:val="none"/>
                <w:lang w:val="en-US" w:eastAsia="zh-CN"/>
              </w:rPr>
              <w:t>目标</w:t>
            </w:r>
          </w:p>
        </w:tc>
        <w:tc>
          <w:tcPr>
            <w:tcW w:w="30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eastAsia" w:ascii="仿宋_GB2312" w:hAnsi="仿宋_GB2312" w:eastAsia="仿宋_GB2312" w:cs="仿宋_GB2312"/>
                <w:b/>
                <w:bCs/>
                <w:color w:val="000000"/>
                <w:sz w:val="21"/>
                <w:szCs w:val="21"/>
                <w:highlight w:val="none"/>
                <w:lang w:val="en-US" w:eastAsia="zh-CN"/>
              </w:rPr>
            </w:pPr>
            <w:r>
              <w:rPr>
                <w:rStyle w:val="44"/>
                <w:rFonts w:hint="eastAsia" w:ascii="仿宋_GB2312" w:hAnsi="仿宋_GB2312" w:eastAsia="仿宋_GB2312" w:cs="仿宋_GB2312"/>
                <w:b/>
                <w:bCs/>
                <w:color w:val="000000"/>
                <w:sz w:val="21"/>
                <w:szCs w:val="21"/>
                <w:highlight w:val="none"/>
                <w:lang w:val="en-US" w:eastAsia="zh-CN"/>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jc w:val="center"/>
        </w:trPr>
        <w:tc>
          <w:tcPr>
            <w:tcW w:w="719" w:type="pct"/>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default" w:ascii="仿宋_GB2312" w:hAnsi="仿宋_GB2312" w:eastAsia="仿宋_GB2312" w:cs="仿宋_GB2312"/>
                <w:b/>
                <w:bCs/>
                <w:i w:val="0"/>
                <w:iCs w:val="0"/>
                <w:color w:val="000000"/>
                <w:sz w:val="20"/>
                <w:szCs w:val="20"/>
                <w:highlight w:val="none"/>
                <w:u w:val="none"/>
                <w:lang w:val="en-US" w:eastAsia="zh-CN"/>
              </w:rPr>
            </w:pPr>
            <w:r>
              <w:rPr>
                <w:rFonts w:hint="eastAsia" w:ascii="仿宋_GB2312" w:hAnsi="仿宋_GB2312" w:eastAsia="仿宋_GB2312" w:cs="仿宋_GB2312"/>
                <w:b w:val="0"/>
                <w:bCs w:val="0"/>
                <w:i w:val="0"/>
                <w:iCs w:val="0"/>
                <w:color w:val="000000"/>
                <w:sz w:val="20"/>
                <w:szCs w:val="20"/>
                <w:highlight w:val="none"/>
                <w:u w:val="none"/>
                <w:lang w:val="en-US" w:eastAsia="zh-CN"/>
              </w:rPr>
              <w:t>四川九洲后勤服务有限责任公司</w:t>
            </w:r>
          </w:p>
        </w:tc>
        <w:tc>
          <w:tcPr>
            <w:tcW w:w="358" w:type="pct"/>
            <w:tcBorders>
              <w:top w:val="single" w:color="auto" w:sz="4" w:space="0"/>
              <w:left w:val="single" w:color="000000" w:sz="4" w:space="0"/>
              <w:bottom w:val="single" w:color="auto"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default" w:ascii="仿宋_GB2312" w:hAnsi="仿宋_GB2312" w:eastAsia="仿宋_GB2312" w:cs="仿宋_GB2312"/>
                <w:b w:val="0"/>
                <w:bCs w:val="0"/>
                <w:i w:val="0"/>
                <w:iCs w:val="0"/>
                <w:color w:val="000000"/>
                <w:kern w:val="0"/>
                <w:sz w:val="18"/>
                <w:szCs w:val="18"/>
                <w:highlight w:val="none"/>
                <w:u w:val="none"/>
                <w:lang w:val="en-US" w:eastAsia="zh-CN"/>
              </w:rPr>
            </w:pPr>
            <w:r>
              <w:rPr>
                <w:rFonts w:hint="eastAsia" w:ascii="仿宋_GB2312" w:hAnsi="仿宋_GB2312" w:eastAsia="仿宋_GB2312" w:cs="仿宋_GB2312"/>
                <w:b w:val="0"/>
                <w:bCs w:val="0"/>
                <w:i w:val="0"/>
                <w:iCs w:val="0"/>
                <w:color w:val="000000"/>
                <w:kern w:val="0"/>
                <w:sz w:val="18"/>
                <w:szCs w:val="18"/>
                <w:highlight w:val="none"/>
                <w:u w:val="none"/>
                <w:lang w:val="en-US" w:eastAsia="zh-CN"/>
              </w:rPr>
              <w:t>100%</w:t>
            </w:r>
          </w:p>
        </w:tc>
        <w:tc>
          <w:tcPr>
            <w:tcW w:w="332"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default" w:ascii="仿宋_GB2312" w:hAnsi="仿宋_GB2312" w:eastAsia="仿宋_GB2312" w:cs="仿宋_GB2312"/>
                <w:b w:val="0"/>
                <w:bCs w:val="0"/>
                <w:i w:val="0"/>
                <w:iCs w:val="0"/>
                <w:color w:val="000000"/>
                <w:kern w:val="0"/>
                <w:sz w:val="18"/>
                <w:szCs w:val="18"/>
                <w:highlight w:val="none"/>
                <w:u w:val="none"/>
                <w:lang w:val="en-US" w:eastAsia="zh-CN"/>
              </w:rPr>
            </w:pPr>
            <w:r>
              <w:rPr>
                <w:rFonts w:hint="eastAsia" w:ascii="仿宋_GB2312" w:hAnsi="仿宋_GB2312" w:eastAsia="仿宋_GB2312" w:cs="仿宋_GB2312"/>
                <w:b w:val="0"/>
                <w:bCs w:val="0"/>
                <w:i w:val="0"/>
                <w:iCs w:val="0"/>
                <w:color w:val="000000"/>
                <w:sz w:val="18"/>
                <w:szCs w:val="18"/>
                <w:highlight w:val="none"/>
                <w:u w:val="none"/>
                <w:lang w:val="en-US" w:eastAsia="zh-CN"/>
              </w:rPr>
              <w:t>9000</w:t>
            </w:r>
          </w:p>
        </w:tc>
        <w:tc>
          <w:tcPr>
            <w:tcW w:w="319"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100%</w:t>
            </w:r>
          </w:p>
        </w:tc>
        <w:tc>
          <w:tcPr>
            <w:tcW w:w="294"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94" w:type="pct"/>
            <w:tcBorders>
              <w:top w:val="single" w:color="000000" w:sz="4" w:space="0"/>
              <w:left w:val="single" w:color="000000" w:sz="4" w:space="0"/>
              <w:bottom w:val="single" w:color="000000" w:sz="4" w:space="0"/>
              <w:right w:val="single" w:color="000000"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351"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7600</w:t>
            </w:r>
          </w:p>
        </w:tc>
        <w:tc>
          <w:tcPr>
            <w:tcW w:w="294"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84%</w:t>
            </w:r>
          </w:p>
        </w:tc>
        <w:tc>
          <w:tcPr>
            <w:tcW w:w="30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4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30"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15"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6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suppressAutoHyphens/>
              <w:kinsoku/>
              <w:wordWrap/>
              <w:overflowPunct/>
              <w:topLinePunct w:val="0"/>
              <w:autoSpaceDE/>
              <w:autoSpaceDN/>
              <w:bidi w:val="0"/>
              <w:adjustRightInd w:val="0"/>
              <w:snapToGrid w:val="0"/>
              <w:spacing w:line="440" w:lineRule="exact"/>
              <w:jc w:val="center"/>
              <w:textAlignment w:val="auto"/>
              <w:rPr>
                <w:rFonts w:hint="default" w:ascii="仿宋_GB2312" w:hAnsi="仿宋_GB2312" w:eastAsia="仿宋_GB2312" w:cs="仿宋_GB2312"/>
                <w:b w:val="0"/>
                <w:bCs w:val="0"/>
                <w:color w:val="000000"/>
                <w:kern w:val="2"/>
                <w:sz w:val="18"/>
                <w:szCs w:val="18"/>
                <w:highlight w:val="none"/>
                <w:vertAlign w:val="baseline"/>
                <w:lang w:val="en-US" w:eastAsia="zh-CN" w:bidi="ar-SA"/>
              </w:rPr>
            </w:pPr>
            <w:r>
              <w:rPr>
                <w:rFonts w:hint="eastAsia" w:ascii="仿宋_GB2312" w:hAnsi="仿宋_GB2312" w:eastAsia="仿宋_GB2312" w:cs="仿宋_GB2312"/>
                <w:b w:val="0"/>
                <w:bCs w:val="0"/>
                <w:color w:val="000000"/>
                <w:kern w:val="2"/>
                <w:sz w:val="18"/>
                <w:szCs w:val="18"/>
                <w:highlight w:val="none"/>
                <w:vertAlign w:val="baseline"/>
                <w:lang w:val="en-US" w:eastAsia="zh-CN" w:bidi="ar-SA"/>
              </w:rPr>
              <w:t>0</w:t>
            </w:r>
          </w:p>
        </w:tc>
        <w:tc>
          <w:tcPr>
            <w:tcW w:w="228"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c>
          <w:tcPr>
            <w:tcW w:w="247"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Fonts w:hint="default" w:ascii="仿宋_GB2312" w:hAnsi="仿宋_GB2312" w:eastAsia="仿宋_GB2312" w:cs="仿宋_GB2312"/>
                <w:b w:val="0"/>
                <w:bCs w:val="0"/>
                <w:i w:val="0"/>
                <w:iCs w:val="0"/>
                <w:color w:val="000000"/>
                <w:kern w:val="0"/>
                <w:sz w:val="18"/>
                <w:szCs w:val="18"/>
                <w:highlight w:val="none"/>
                <w:u w:val="none"/>
                <w:lang w:val="en-US" w:eastAsia="zh-CN"/>
              </w:rPr>
            </w:pPr>
            <w:r>
              <w:rPr>
                <w:rFonts w:hint="eastAsia" w:ascii="仿宋_GB2312" w:hAnsi="仿宋_GB2312" w:eastAsia="仿宋_GB2312" w:cs="仿宋_GB2312"/>
                <w:b w:val="0"/>
                <w:bCs w:val="0"/>
                <w:i w:val="0"/>
                <w:iCs w:val="0"/>
                <w:color w:val="000000"/>
                <w:kern w:val="0"/>
                <w:sz w:val="18"/>
                <w:szCs w:val="18"/>
                <w:highlight w:val="none"/>
                <w:u w:val="none"/>
                <w:lang w:val="en-US" w:eastAsia="zh-CN"/>
              </w:rPr>
              <w:t>0</w:t>
            </w:r>
          </w:p>
        </w:tc>
        <w:tc>
          <w:tcPr>
            <w:tcW w:w="303" w:type="pc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spacing w:line="440" w:lineRule="exact"/>
              <w:jc w:val="center"/>
              <w:textAlignment w:val="center"/>
              <w:rPr>
                <w:rStyle w:val="44"/>
                <w:rFonts w:hint="default" w:ascii="仿宋_GB2312" w:hAnsi="仿宋_GB2312" w:eastAsia="仿宋_GB2312" w:cs="仿宋_GB2312"/>
                <w:b w:val="0"/>
                <w:bCs w:val="0"/>
                <w:color w:val="000000"/>
                <w:sz w:val="18"/>
                <w:szCs w:val="18"/>
                <w:highlight w:val="none"/>
                <w:lang w:val="en-US" w:eastAsia="zh-CN"/>
              </w:rPr>
            </w:pPr>
            <w:r>
              <w:rPr>
                <w:rStyle w:val="44"/>
                <w:rFonts w:hint="eastAsia" w:ascii="仿宋_GB2312" w:hAnsi="仿宋_GB2312" w:eastAsia="仿宋_GB2312" w:cs="仿宋_GB2312"/>
                <w:b w:val="0"/>
                <w:bCs w:val="0"/>
                <w:color w:val="000000"/>
                <w:sz w:val="18"/>
                <w:szCs w:val="18"/>
                <w:highlight w:val="none"/>
                <w:lang w:val="en-US" w:eastAsia="zh-CN"/>
              </w:rPr>
              <w:t>0</w:t>
            </w:r>
          </w:p>
        </w:tc>
      </w:tr>
    </w:tbl>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b/>
          <w:bCs w:val="0"/>
          <w:sz w:val="32"/>
          <w:szCs w:val="32"/>
          <w:highlight w:val="none"/>
        </w:rPr>
      </w:pPr>
      <w:r>
        <w:rPr>
          <w:rFonts w:hint="eastAsia" w:ascii="仿宋_GB2312" w:hAnsi="Times New Roman" w:eastAsia="仿宋_GB2312" w:cs="Times New Roman"/>
          <w:b w:val="0"/>
          <w:bCs/>
          <w:sz w:val="32"/>
          <w:szCs w:val="32"/>
          <w:highlight w:val="none"/>
          <w:lang w:eastAsia="zh-CN"/>
        </w:rPr>
        <w:t>备注：</w:t>
      </w:r>
      <w:r>
        <w:rPr>
          <w:rFonts w:hint="eastAsia" w:ascii="仿宋_GB2312" w:hAnsi="Times New Roman" w:eastAsia="仿宋_GB2312" w:cs="Times New Roman"/>
          <w:b w:val="0"/>
          <w:bCs/>
          <w:sz w:val="32"/>
          <w:szCs w:val="32"/>
          <w:highlight w:val="none"/>
          <w:lang w:val="en-US" w:eastAsia="zh-CN"/>
        </w:rPr>
        <w:t>人工成本利润率不低于“较上年人工成本利润率优化2%”。（以上指标根据快报数测算，待薪酬分配专项审计报告出具后进行调整）</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6"/>
        <w:tblW w:w="51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6"/>
        <w:gridCol w:w="1336"/>
        <w:gridCol w:w="6193"/>
        <w:gridCol w:w="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trPr>
        <w:tc>
          <w:tcPr>
            <w:tcW w:w="312"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41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539"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41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val="en-US" w:eastAsia="zh-CN"/>
              </w:rPr>
              <w:t>九洲科工园后勤服务满意度达到80%。</w:t>
            </w:r>
          </w:p>
        </w:tc>
        <w:tc>
          <w:tcPr>
            <w:tcW w:w="53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w:t>
            </w:r>
            <w:r>
              <w:rPr>
                <w:rFonts w:hint="default" w:ascii="仿宋_GB2312" w:hAnsi="仿宋_GB2312" w:eastAsia="仿宋_GB2312" w:cs="仿宋_GB2312"/>
                <w:spacing w:val="3"/>
                <w:kern w:val="2"/>
                <w:sz w:val="24"/>
                <w:szCs w:val="24"/>
                <w:highlight w:val="none"/>
                <w:lang w:val="en-US" w:eastAsia="zh-CN" w:bidi="ar-SA"/>
              </w:rPr>
              <w:t>5</w:t>
            </w:r>
            <w:r>
              <w:rPr>
                <w:rFonts w:hint="eastAsia" w:ascii="仿宋_GB2312" w:hAnsi="仿宋_GB2312" w:eastAsia="仿宋_GB2312" w:cs="仿宋_GB2312"/>
                <w:spacing w:val="3"/>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2</w:t>
            </w:r>
          </w:p>
        </w:tc>
        <w:tc>
          <w:tcPr>
            <w:tcW w:w="73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经营发展</w:t>
            </w:r>
          </w:p>
        </w:tc>
        <w:tc>
          <w:tcPr>
            <w:tcW w:w="341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统筹管理在绵产业公司能源、后勤相关业务（能动、特种设备委外维保检测）情况梳理</w:t>
            </w:r>
            <w:r>
              <w:rPr>
                <w:rFonts w:hint="default" w:ascii="仿宋_GB2312" w:hAnsi="仿宋_GB2312" w:eastAsia="仿宋_GB2312" w:cs="仿宋_GB2312"/>
                <w:spacing w:val="3"/>
                <w:sz w:val="24"/>
                <w:szCs w:val="24"/>
                <w:highlight w:val="none"/>
                <w:lang w:val="en-US" w:eastAsia="zh-CN"/>
              </w:rPr>
              <w:t>形成建议方案</w:t>
            </w:r>
            <w:r>
              <w:rPr>
                <w:rFonts w:hint="eastAsia" w:ascii="仿宋_GB2312" w:hAnsi="仿宋_GB2312" w:eastAsia="仿宋_GB2312" w:cs="仿宋_GB2312"/>
                <w:spacing w:val="3"/>
                <w:sz w:val="24"/>
                <w:szCs w:val="24"/>
                <w:highlight w:val="none"/>
                <w:lang w:val="en-US" w:eastAsia="zh-CN"/>
              </w:rPr>
              <w:t>，并</w:t>
            </w:r>
            <w:r>
              <w:rPr>
                <w:rFonts w:hint="eastAsia" w:ascii="仿宋_GB2312" w:hAnsi="仿宋_GB2312" w:eastAsia="仿宋_GB2312" w:cs="仿宋_GB2312"/>
                <w:color w:val="000000"/>
                <w:spacing w:val="3"/>
                <w:sz w:val="24"/>
                <w:szCs w:val="24"/>
                <w:highlight w:val="none"/>
                <w:lang w:val="en-US" w:eastAsia="zh-CN"/>
              </w:rPr>
              <w:t>按集团决策意见推进实施</w:t>
            </w:r>
            <w:r>
              <w:rPr>
                <w:rFonts w:hint="eastAsia" w:ascii="仿宋_GB2312" w:hAnsi="仿宋_GB2312" w:eastAsia="仿宋_GB2312" w:cs="仿宋_GB2312"/>
                <w:spacing w:val="3"/>
                <w:sz w:val="24"/>
                <w:szCs w:val="24"/>
                <w:highlight w:val="none"/>
                <w:lang w:val="en-US" w:eastAsia="zh-CN"/>
              </w:rPr>
              <w:t>。</w:t>
            </w:r>
          </w:p>
        </w:tc>
        <w:tc>
          <w:tcPr>
            <w:tcW w:w="539"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3</w:t>
            </w:r>
          </w:p>
        </w:tc>
        <w:tc>
          <w:tcPr>
            <w:tcW w:w="736"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能源保障</w:t>
            </w:r>
          </w:p>
        </w:tc>
        <w:tc>
          <w:tcPr>
            <w:tcW w:w="3411" w:type="pct"/>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确保能源动力系统、特种设备保养、检测率达到100%，能源、动力供给率不低于99.5%。（不可抗力因素断供除外）</w:t>
            </w:r>
          </w:p>
        </w:tc>
        <w:tc>
          <w:tcPr>
            <w:tcW w:w="53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4</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能源保障</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积极推动落实园区消防水灭火系统的维修更新，解决消防系统不达标的安全隐患，有效提升泄漏故障定位能力，减少维修成本和周期，提高维修效率，项目实施完成将园区不明（漏）水量减少50%以上。</w:t>
            </w:r>
          </w:p>
        </w:tc>
        <w:tc>
          <w:tcPr>
            <w:tcW w:w="539"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w:t>
            </w:r>
            <w:r>
              <w:rPr>
                <w:rFonts w:hint="default" w:ascii="仿宋_GB2312" w:hAnsi="仿宋_GB2312" w:eastAsia="仿宋_GB2312" w:cs="仿宋_GB2312"/>
                <w:spacing w:val="3"/>
                <w:kern w:val="2"/>
                <w:sz w:val="24"/>
                <w:szCs w:val="24"/>
                <w:highlight w:val="none"/>
                <w:lang w:val="en-US" w:eastAsia="zh-CN" w:bidi="ar-SA"/>
              </w:rPr>
              <w:t>0</w:t>
            </w:r>
            <w:r>
              <w:rPr>
                <w:rFonts w:hint="eastAsia" w:ascii="仿宋_GB2312" w:hAnsi="仿宋_GB2312" w:eastAsia="仿宋_GB2312" w:cs="仿宋_GB2312"/>
                <w:spacing w:val="3"/>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5</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能源保障</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采取切实有效措施，减少电气安全隐患，提供高品质供电服务，降低园区能耗成本</w:t>
            </w:r>
            <w:r>
              <w:rPr>
                <w:rFonts w:hint="default" w:ascii="仿宋_GB2312" w:hAnsi="仿宋_GB2312" w:eastAsia="仿宋_GB2312" w:cs="仿宋_GB2312"/>
                <w:spacing w:val="3"/>
                <w:sz w:val="24"/>
                <w:szCs w:val="24"/>
                <w:highlight w:val="none"/>
                <w:lang w:val="en-US" w:eastAsia="zh-CN"/>
              </w:rPr>
              <w:t>150</w:t>
            </w:r>
            <w:r>
              <w:rPr>
                <w:rFonts w:hint="eastAsia" w:ascii="仿宋_GB2312" w:hAnsi="仿宋_GB2312" w:eastAsia="仿宋_GB2312" w:cs="仿宋_GB2312"/>
                <w:spacing w:val="3"/>
                <w:sz w:val="24"/>
                <w:szCs w:val="24"/>
                <w:highlight w:val="none"/>
                <w:lang w:val="en-US" w:eastAsia="zh-CN"/>
              </w:rPr>
              <w:t>万元以上。</w:t>
            </w:r>
          </w:p>
        </w:tc>
        <w:tc>
          <w:tcPr>
            <w:tcW w:w="53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6</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园区服务</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优化食堂运营管理模式，调整食堂经营业态，为员工提供安全、多样的就餐选择，全年平均就餐满意度达到70%，有效投诉总量不超过3起。</w:t>
            </w:r>
          </w:p>
        </w:tc>
        <w:tc>
          <w:tcPr>
            <w:tcW w:w="539"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15</w:t>
            </w:r>
            <w:bookmarkStart w:id="0" w:name="_GoBack"/>
            <w:bookmarkEnd w:id="0"/>
            <w:r>
              <w:rPr>
                <w:rFonts w:hint="eastAsia" w:ascii="仿宋_GB2312" w:hAnsi="仿宋_GB2312" w:eastAsia="仿宋_GB2312" w:cs="仿宋_GB2312"/>
                <w:spacing w:val="3"/>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7</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园区服务</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按照集团决策意见推进职工六食堂建设运营。</w:t>
            </w:r>
          </w:p>
        </w:tc>
        <w:tc>
          <w:tcPr>
            <w:tcW w:w="539"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8</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数字化转型</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主要业务流程上线率达到80%。</w:t>
            </w:r>
          </w:p>
        </w:tc>
        <w:tc>
          <w:tcPr>
            <w:tcW w:w="53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12"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9</w:t>
            </w:r>
          </w:p>
        </w:tc>
        <w:tc>
          <w:tcPr>
            <w:tcW w:w="736"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党建</w:t>
            </w:r>
          </w:p>
        </w:tc>
        <w:tc>
          <w:tcPr>
            <w:tcW w:w="3411"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sz w:val="24"/>
                <w:szCs w:val="24"/>
                <w:highlight w:val="none"/>
                <w:lang w:val="en-US" w:eastAsia="zh-CN"/>
              </w:rPr>
              <w:t>加强党组织建设、推进党的理论建设、加强党风廉政建设。</w:t>
            </w:r>
          </w:p>
        </w:tc>
        <w:tc>
          <w:tcPr>
            <w:tcW w:w="539" w:type="pct"/>
            <w:tcBorders>
              <w:top w:val="single" w:color="auto" w:sz="4" w:space="0"/>
              <w:left w:val="single" w:color="auto" w:sz="4" w:space="0"/>
              <w:bottom w:val="single" w:color="auto" w:sz="4" w:space="0"/>
              <w:right w:val="single" w:color="auto" w:sz="4" w:space="0"/>
            </w:tcBorders>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pacing w:val="-11"/>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pacing w:val="-11"/>
          <w:sz w:val="32"/>
          <w:szCs w:val="32"/>
          <w:highlight w:val="none"/>
          <w:lang w:val="en-US" w:eastAsia="zh-CN"/>
        </w:rPr>
        <w:t>各单位其他纳入九洲集团公司职数管理的中层管理人员</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adjustRightInd/>
        <w:snapToGrid/>
        <w:spacing w:line="560" w:lineRule="exact"/>
        <w:ind w:left="641" w:leftChars="0"/>
        <w:jc w:val="left"/>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adjustRightInd/>
        <w:snapToGrid/>
        <w:spacing w:line="560" w:lineRule="exact"/>
        <w:ind w:left="641" w:leftChars="0"/>
        <w:jc w:val="left"/>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w:t>
      </w:r>
      <w:r>
        <w:rPr>
          <w:rFonts w:hint="eastAsia" w:ascii="黑体" w:hAnsi="黑体" w:eastAsia="黑体" w:cs="黑体"/>
          <w:b w:val="0"/>
          <w:bCs/>
          <w:sz w:val="32"/>
          <w:szCs w:val="32"/>
          <w:highlight w:val="none"/>
          <w:lang w:val="en-US" w:eastAsia="zh-CN"/>
        </w:rPr>
        <w:t>/授权代表</w:t>
      </w:r>
      <w:r>
        <w:rPr>
          <w:rFonts w:hint="eastAsia" w:ascii="黑体" w:hAnsi="黑体" w:eastAsia="黑体" w:cs="黑体"/>
          <w:b w:val="0"/>
          <w:bCs/>
          <w:sz w:val="32"/>
          <w:szCs w:val="32"/>
          <w:highlight w:val="none"/>
        </w:rPr>
        <w:t>（签字）：</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default" w:ascii="方正小标宋简体" w:hAnsi="方正小标宋简体" w:eastAsia="方正小标宋简体" w:cs="方正小标宋简体"/>
          <w:b w:val="0"/>
          <w:bCs/>
          <w:sz w:val="44"/>
          <w:szCs w:val="44"/>
          <w:highlight w:val="none"/>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0769922-C6FD-49A8-B8D1-24A020B46C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7E42766B-3DA6-4295-A383-BE8D7CD77663}"/>
  </w:font>
  <w:font w:name="方正小标宋简体">
    <w:panose1 w:val="02000000000000000000"/>
    <w:charset w:val="86"/>
    <w:family w:val="script"/>
    <w:pitch w:val="default"/>
    <w:sig w:usb0="00000001" w:usb1="08000000" w:usb2="00000000" w:usb3="00000000" w:csb0="00040000" w:csb1="00000000"/>
    <w:embedRegular r:id="rId3" w:fontKey="{807946F5-A117-4E2F-83BE-A204B9DFFD70}"/>
  </w:font>
  <w:font w:name="楷体_GB2312">
    <w:panose1 w:val="02010609030101010101"/>
    <w:charset w:val="86"/>
    <w:family w:val="modern"/>
    <w:pitch w:val="default"/>
    <w:sig w:usb0="00000001" w:usb1="080E0000" w:usb2="00000000" w:usb3="00000000" w:csb0="00040000" w:csb1="00000000"/>
    <w:embedRegular r:id="rId4" w:fontKey="{36AE3E6E-7C85-4F4F-813A-F271A76E05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300" w:lineRule="exact"/>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zNzk0ODNkZmU4OTFlOTUyZTZkMGVhYjJmZjUxZTIifQ=="/>
    <w:docVar w:name="KSO_WPS_MARK_KEY" w:val="d1bb6706-7bf4-4be0-8739-b0d6aa59482f"/>
  </w:docVars>
  <w:rsids>
    <w:rsidRoot w:val="00000000"/>
    <w:rsid w:val="05666CFF"/>
    <w:rsid w:val="5EBB4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等线 Light" w:hAnsi="等线 Light" w:eastAsia="等线 Light" w:cs="宋体"/>
      <w:color w:val="104862"/>
      <w:sz w:val="48"/>
      <w:szCs w:val="48"/>
    </w:rPr>
  </w:style>
  <w:style w:type="paragraph" w:styleId="3">
    <w:name w:val="heading 2"/>
    <w:basedOn w:val="1"/>
    <w:next w:val="1"/>
    <w:link w:val="24"/>
    <w:qFormat/>
    <w:uiPriority w:val="9"/>
    <w:pPr>
      <w:keepNext/>
      <w:keepLines/>
      <w:spacing w:before="160" w:after="80"/>
      <w:outlineLvl w:val="1"/>
    </w:pPr>
    <w:rPr>
      <w:rFonts w:ascii="等线 Light" w:hAnsi="等线 Light" w:eastAsia="等线 Light" w:cs="宋体"/>
      <w:color w:val="104862"/>
      <w:sz w:val="40"/>
      <w:szCs w:val="40"/>
    </w:rPr>
  </w:style>
  <w:style w:type="paragraph" w:styleId="4">
    <w:name w:val="heading 3"/>
    <w:basedOn w:val="1"/>
    <w:next w:val="1"/>
    <w:link w:val="25"/>
    <w:qFormat/>
    <w:uiPriority w:val="9"/>
    <w:pPr>
      <w:keepNext/>
      <w:keepLines/>
      <w:spacing w:before="160" w:after="80"/>
      <w:outlineLvl w:val="2"/>
    </w:pPr>
    <w:rPr>
      <w:rFonts w:ascii="等线 Light" w:hAnsi="等线 Light" w:eastAsia="等线 Light" w:cs="宋体"/>
      <w:color w:val="104862"/>
      <w:sz w:val="32"/>
      <w:szCs w:val="32"/>
    </w:rPr>
  </w:style>
  <w:style w:type="paragraph" w:styleId="5">
    <w:name w:val="heading 4"/>
    <w:basedOn w:val="1"/>
    <w:next w:val="1"/>
    <w:link w:val="26"/>
    <w:qFormat/>
    <w:uiPriority w:val="9"/>
    <w:pPr>
      <w:keepNext/>
      <w:keepLines/>
      <w:spacing w:before="80" w:after="40"/>
      <w:outlineLvl w:val="3"/>
    </w:pPr>
    <w:rPr>
      <w:rFonts w:cs="宋体"/>
      <w:color w:val="104862"/>
      <w:sz w:val="28"/>
      <w:szCs w:val="28"/>
    </w:rPr>
  </w:style>
  <w:style w:type="paragraph" w:styleId="6">
    <w:name w:val="heading 5"/>
    <w:basedOn w:val="1"/>
    <w:next w:val="1"/>
    <w:link w:val="27"/>
    <w:qFormat/>
    <w:uiPriority w:val="9"/>
    <w:pPr>
      <w:keepNext/>
      <w:keepLines/>
      <w:spacing w:before="80" w:after="40"/>
      <w:outlineLvl w:val="4"/>
    </w:pPr>
    <w:rPr>
      <w:rFonts w:cs="宋体"/>
      <w:color w:val="104862"/>
      <w:sz w:val="24"/>
      <w:szCs w:val="24"/>
    </w:rPr>
  </w:style>
  <w:style w:type="paragraph" w:styleId="7">
    <w:name w:val="heading 6"/>
    <w:basedOn w:val="1"/>
    <w:next w:val="1"/>
    <w:link w:val="28"/>
    <w:qFormat/>
    <w:uiPriority w:val="9"/>
    <w:pPr>
      <w:keepNext/>
      <w:keepLines/>
      <w:spacing w:before="40"/>
      <w:outlineLvl w:val="5"/>
    </w:pPr>
    <w:rPr>
      <w:rFonts w:cs="宋体"/>
      <w:b/>
      <w:bCs/>
      <w:color w:val="104862"/>
    </w:rPr>
  </w:style>
  <w:style w:type="paragraph" w:styleId="8">
    <w:name w:val="heading 7"/>
    <w:basedOn w:val="1"/>
    <w:next w:val="1"/>
    <w:link w:val="29"/>
    <w:qFormat/>
    <w:uiPriority w:val="9"/>
    <w:pPr>
      <w:keepNext/>
      <w:keepLines/>
      <w:spacing w:before="40"/>
      <w:outlineLvl w:val="6"/>
    </w:pPr>
    <w:rPr>
      <w:rFonts w:cs="宋体"/>
      <w:b/>
      <w:bCs/>
      <w:color w:val="595959"/>
    </w:rPr>
  </w:style>
  <w:style w:type="paragraph" w:styleId="9">
    <w:name w:val="heading 8"/>
    <w:basedOn w:val="1"/>
    <w:next w:val="1"/>
    <w:link w:val="30"/>
    <w:qFormat/>
    <w:uiPriority w:val="9"/>
    <w:pPr>
      <w:keepNext/>
      <w:keepLines/>
      <w:outlineLvl w:val="7"/>
    </w:pPr>
    <w:rPr>
      <w:rFonts w:cs="宋体"/>
      <w:color w:val="595959"/>
    </w:rPr>
  </w:style>
  <w:style w:type="paragraph" w:styleId="10">
    <w:name w:val="heading 9"/>
    <w:basedOn w:val="1"/>
    <w:next w:val="1"/>
    <w:link w:val="31"/>
    <w:qFormat/>
    <w:uiPriority w:val="9"/>
    <w:pPr>
      <w:keepNext/>
      <w:keepLines/>
      <w:outlineLvl w:val="8"/>
    </w:pPr>
    <w:rPr>
      <w:rFonts w:eastAsia="等线 Light" w:cs="宋体"/>
      <w:color w:val="595959"/>
    </w:rPr>
  </w:style>
  <w:style w:type="character" w:default="1" w:styleId="22">
    <w:name w:val="Default Paragraph Font"/>
    <w:qFormat/>
    <w:uiPriority w:val="1"/>
  </w:style>
  <w:style w:type="table" w:default="1" w:styleId="20">
    <w:name w:val="Normal Table"/>
    <w:qFormat/>
    <w:uiPriority w:val="99"/>
    <w:tblPr>
      <w:tblCellMar>
        <w:top w:w="0" w:type="dxa"/>
        <w:left w:w="108" w:type="dxa"/>
        <w:bottom w:w="0" w:type="dxa"/>
        <w:right w:w="108" w:type="dxa"/>
      </w:tblCellMar>
    </w:tblPr>
  </w:style>
  <w:style w:type="paragraph" w:styleId="11">
    <w:name w:val="Body Text"/>
    <w:basedOn w:val="1"/>
    <w:next w:val="1"/>
    <w:qFormat/>
    <w:uiPriority w:val="99"/>
    <w:pPr>
      <w:spacing w:after="120"/>
    </w:pPr>
  </w:style>
  <w:style w:type="paragraph" w:styleId="12">
    <w:name w:val="Plain Text"/>
    <w:basedOn w:val="1"/>
    <w:qFormat/>
    <w:uiPriority w:val="0"/>
    <w:rPr>
      <w:rFonts w:ascii="宋体" w:hAnsi="Courier New" w:cs="Courier New"/>
      <w:szCs w:val="21"/>
    </w:rPr>
  </w:style>
  <w:style w:type="paragraph" w:styleId="13">
    <w:name w:val="footer"/>
    <w:basedOn w:val="1"/>
    <w:link w:val="42"/>
    <w:qFormat/>
    <w:uiPriority w:val="99"/>
    <w:pPr>
      <w:tabs>
        <w:tab w:val="center" w:pos="4153"/>
        <w:tab w:val="right" w:pos="8306"/>
      </w:tabs>
      <w:snapToGrid w:val="0"/>
      <w:jc w:val="left"/>
    </w:pPr>
    <w:rPr>
      <w:sz w:val="18"/>
      <w:szCs w:val="18"/>
    </w:rPr>
  </w:style>
  <w:style w:type="paragraph" w:styleId="14">
    <w:name w:val="header"/>
    <w:basedOn w:val="1"/>
    <w:link w:val="41"/>
    <w:qFormat/>
    <w:uiPriority w:val="99"/>
    <w:pPr>
      <w:tabs>
        <w:tab w:val="center" w:pos="4153"/>
        <w:tab w:val="right" w:pos="8306"/>
      </w:tabs>
      <w:snapToGrid w:val="0"/>
      <w:jc w:val="center"/>
    </w:pPr>
    <w:rPr>
      <w:sz w:val="18"/>
      <w:szCs w:val="18"/>
    </w:rPr>
  </w:style>
  <w:style w:type="paragraph" w:styleId="15">
    <w:name w:val="toc 1"/>
    <w:basedOn w:val="1"/>
    <w:next w:val="1"/>
    <w:qFormat/>
    <w:uiPriority w:val="0"/>
    <w:rPr>
      <w:rFonts w:ascii="Calibri" w:hAnsi="Calibri"/>
    </w:rPr>
  </w:style>
  <w:style w:type="paragraph" w:styleId="16">
    <w:name w:val="Subtitle"/>
    <w:basedOn w:val="1"/>
    <w:next w:val="1"/>
    <w:link w:val="33"/>
    <w:qFormat/>
    <w:uiPriority w:val="11"/>
    <w:pPr>
      <w:spacing w:after="160"/>
      <w:jc w:val="center"/>
    </w:pPr>
    <w:rPr>
      <w:rFonts w:ascii="等线 Light" w:hAnsi="等线 Light" w:eastAsia="等线 Light" w:cs="宋体"/>
      <w:color w:val="595959"/>
      <w:spacing w:val="15"/>
      <w:sz w:val="28"/>
      <w:szCs w:val="28"/>
    </w:rPr>
  </w:style>
  <w:style w:type="paragraph" w:styleId="17">
    <w:name w:val="Body Text 2"/>
    <w:basedOn w:val="1"/>
    <w:qFormat/>
    <w:uiPriority w:val="0"/>
    <w:pPr>
      <w:widowControl w:val="0"/>
      <w:kinsoku/>
      <w:autoSpaceDE/>
      <w:autoSpaceDN/>
      <w:spacing w:line="600" w:lineRule="exact"/>
      <w:ind w:left="1280" w:hanging="1280" w:hangingChars="400"/>
      <w:textAlignment w:val="auto"/>
    </w:p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等线 Light" w:hAnsi="等线 Light" w:eastAsia="等线 Light" w:cs="宋体"/>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qFormat/>
    <w:uiPriority w:val="9"/>
    <w:rPr>
      <w:rFonts w:ascii="等线 Light" w:hAnsi="等线 Light" w:eastAsia="等线 Light" w:cs="宋体"/>
      <w:color w:val="104862"/>
      <w:sz w:val="48"/>
      <w:szCs w:val="48"/>
    </w:rPr>
  </w:style>
  <w:style w:type="character" w:customStyle="1" w:styleId="24">
    <w:name w:val="标题 2 字符"/>
    <w:basedOn w:val="22"/>
    <w:link w:val="3"/>
    <w:qFormat/>
    <w:uiPriority w:val="9"/>
    <w:rPr>
      <w:rFonts w:ascii="等线 Light" w:hAnsi="等线 Light" w:eastAsia="等线 Light" w:cs="宋体"/>
      <w:color w:val="104862"/>
      <w:sz w:val="40"/>
      <w:szCs w:val="40"/>
    </w:rPr>
  </w:style>
  <w:style w:type="character" w:customStyle="1" w:styleId="25">
    <w:name w:val="标题 3 字符"/>
    <w:basedOn w:val="22"/>
    <w:link w:val="4"/>
    <w:qFormat/>
    <w:uiPriority w:val="9"/>
    <w:rPr>
      <w:rFonts w:ascii="等线 Light" w:hAnsi="等线 Light" w:eastAsia="等线 Light" w:cs="宋体"/>
      <w:color w:val="104862"/>
      <w:sz w:val="32"/>
      <w:szCs w:val="32"/>
    </w:rPr>
  </w:style>
  <w:style w:type="character" w:customStyle="1" w:styleId="26">
    <w:name w:val="标题 4 字符"/>
    <w:basedOn w:val="22"/>
    <w:link w:val="5"/>
    <w:qFormat/>
    <w:uiPriority w:val="9"/>
    <w:rPr>
      <w:rFonts w:cs="宋体"/>
      <w:color w:val="104862"/>
      <w:sz w:val="28"/>
      <w:szCs w:val="28"/>
    </w:rPr>
  </w:style>
  <w:style w:type="character" w:customStyle="1" w:styleId="27">
    <w:name w:val="标题 5 字符"/>
    <w:basedOn w:val="22"/>
    <w:link w:val="6"/>
    <w:qFormat/>
    <w:uiPriority w:val="9"/>
    <w:rPr>
      <w:rFonts w:cs="宋体"/>
      <w:color w:val="104862"/>
      <w:sz w:val="24"/>
      <w:szCs w:val="24"/>
    </w:rPr>
  </w:style>
  <w:style w:type="character" w:customStyle="1" w:styleId="28">
    <w:name w:val="标题 6 字符"/>
    <w:basedOn w:val="22"/>
    <w:link w:val="7"/>
    <w:qFormat/>
    <w:uiPriority w:val="9"/>
    <w:rPr>
      <w:rFonts w:cs="宋体"/>
      <w:b/>
      <w:bCs/>
      <w:color w:val="104862"/>
    </w:rPr>
  </w:style>
  <w:style w:type="character" w:customStyle="1" w:styleId="29">
    <w:name w:val="标题 7 字符"/>
    <w:basedOn w:val="22"/>
    <w:link w:val="8"/>
    <w:qFormat/>
    <w:uiPriority w:val="9"/>
    <w:rPr>
      <w:rFonts w:cs="宋体"/>
      <w:b/>
      <w:bCs/>
      <w:color w:val="595959"/>
    </w:rPr>
  </w:style>
  <w:style w:type="character" w:customStyle="1" w:styleId="30">
    <w:name w:val="标题 8 字符"/>
    <w:basedOn w:val="22"/>
    <w:link w:val="9"/>
    <w:qFormat/>
    <w:uiPriority w:val="9"/>
    <w:rPr>
      <w:rFonts w:cs="宋体"/>
      <w:color w:val="595959"/>
    </w:rPr>
  </w:style>
  <w:style w:type="character" w:customStyle="1" w:styleId="31">
    <w:name w:val="标题 9 字符"/>
    <w:basedOn w:val="22"/>
    <w:link w:val="10"/>
    <w:qFormat/>
    <w:uiPriority w:val="9"/>
    <w:rPr>
      <w:rFonts w:eastAsia="等线 Light" w:cs="宋体"/>
      <w:color w:val="595959"/>
    </w:rPr>
  </w:style>
  <w:style w:type="character" w:customStyle="1" w:styleId="32">
    <w:name w:val="标题 字符"/>
    <w:basedOn w:val="22"/>
    <w:link w:val="19"/>
    <w:qFormat/>
    <w:uiPriority w:val="10"/>
    <w:rPr>
      <w:rFonts w:ascii="等线 Light" w:hAnsi="等线 Light" w:eastAsia="等线 Light" w:cs="宋体"/>
      <w:spacing w:val="-10"/>
      <w:kern w:val="28"/>
      <w:sz w:val="56"/>
      <w:szCs w:val="56"/>
    </w:rPr>
  </w:style>
  <w:style w:type="character" w:customStyle="1" w:styleId="33">
    <w:name w:val="副标题 字符"/>
    <w:basedOn w:val="22"/>
    <w:link w:val="16"/>
    <w:qFormat/>
    <w:uiPriority w:val="11"/>
    <w:rPr>
      <w:rFonts w:ascii="等线 Light" w:hAnsi="等线 Light" w:eastAsia="等线 Light" w:cs="宋体"/>
      <w:color w:val="595959"/>
      <w:spacing w:val="15"/>
      <w:sz w:val="28"/>
      <w:szCs w:val="28"/>
    </w:rPr>
  </w:style>
  <w:style w:type="paragraph" w:styleId="34">
    <w:name w:val="Quote"/>
    <w:basedOn w:val="1"/>
    <w:next w:val="1"/>
    <w:link w:val="35"/>
    <w:qFormat/>
    <w:uiPriority w:val="29"/>
    <w:pPr>
      <w:spacing w:before="160" w:after="160"/>
      <w:jc w:val="center"/>
    </w:pPr>
    <w:rPr>
      <w:i/>
      <w:iCs/>
      <w:color w:val="3F3F3F"/>
    </w:rPr>
  </w:style>
  <w:style w:type="character" w:customStyle="1" w:styleId="35">
    <w:name w:val="引用 字符"/>
    <w:basedOn w:val="22"/>
    <w:link w:val="34"/>
    <w:qFormat/>
    <w:uiPriority w:val="29"/>
    <w:rPr>
      <w:i/>
      <w:iCs/>
      <w:color w:val="3F3F3F"/>
    </w:rPr>
  </w:style>
  <w:style w:type="paragraph" w:styleId="36">
    <w:name w:val="List Paragraph"/>
    <w:basedOn w:val="1"/>
    <w:qFormat/>
    <w:uiPriority w:val="34"/>
    <w:pPr>
      <w:ind w:left="720"/>
      <w:contextualSpacing/>
    </w:pPr>
  </w:style>
  <w:style w:type="character" w:customStyle="1" w:styleId="37">
    <w:name w:val="Intense Emphasis_5b89e5c3-495b-41b1-951f-6424100f19f0"/>
    <w:basedOn w:val="22"/>
    <w:qFormat/>
    <w:uiPriority w:val="21"/>
    <w:rPr>
      <w:i/>
      <w:iCs/>
      <w:color w:val="104862"/>
    </w:rPr>
  </w:style>
  <w:style w:type="paragraph" w:styleId="38">
    <w:name w:val="Intense Quote"/>
    <w:basedOn w:val="1"/>
    <w:next w:val="1"/>
    <w:link w:val="39"/>
    <w:qFormat/>
    <w:uiPriority w:val="30"/>
    <w:pPr>
      <w:pBdr>
        <w:top w:val="single" w:color="0F4761" w:sz="4" w:space="10"/>
        <w:bottom w:val="single" w:color="0F4761" w:sz="4" w:space="10"/>
      </w:pBdr>
      <w:spacing w:before="360" w:after="360"/>
      <w:ind w:left="864" w:right="864"/>
      <w:jc w:val="center"/>
    </w:pPr>
    <w:rPr>
      <w:i/>
      <w:iCs/>
      <w:color w:val="104862"/>
    </w:rPr>
  </w:style>
  <w:style w:type="character" w:customStyle="1" w:styleId="39">
    <w:name w:val="明显引用 字符"/>
    <w:basedOn w:val="22"/>
    <w:link w:val="38"/>
    <w:qFormat/>
    <w:uiPriority w:val="30"/>
    <w:rPr>
      <w:i/>
      <w:iCs/>
      <w:color w:val="104862"/>
    </w:rPr>
  </w:style>
  <w:style w:type="character" w:customStyle="1" w:styleId="40">
    <w:name w:val="Intense Reference_ad27208e-18f4-40b5-ab27-c99edea81a49"/>
    <w:basedOn w:val="22"/>
    <w:qFormat/>
    <w:uiPriority w:val="32"/>
    <w:rPr>
      <w:b/>
      <w:bCs/>
      <w:smallCaps/>
      <w:color w:val="104862"/>
      <w:spacing w:val="5"/>
    </w:rPr>
  </w:style>
  <w:style w:type="character" w:customStyle="1" w:styleId="41">
    <w:name w:val="页眉 字符"/>
    <w:basedOn w:val="22"/>
    <w:link w:val="14"/>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qFormat/>
    <w:uiPriority w:val="0"/>
    <w:rPr>
      <w:rFonts w:hint="eastAsia" w:ascii="仿宋_GB2312" w:eastAsia="仿宋_GB2312" w:cs="仿宋_GB2312"/>
      <w:color w:val="000000"/>
      <w:sz w:val="22"/>
      <w:szCs w:val="22"/>
      <w:u w:val="none"/>
    </w:rPr>
  </w:style>
  <w:style w:type="paragraph" w:customStyle="1" w:styleId="45">
    <w:name w:val="Table Text"/>
    <w:basedOn w:val="1"/>
    <w:qFormat/>
    <w:uiPriority w:val="0"/>
    <w:rPr>
      <w:rFonts w:ascii="宋体" w:hAnsi="宋体" w:eastAsia="宋体" w:cs="宋体"/>
      <w:sz w:val="24"/>
      <w:szCs w:val="24"/>
      <w:lang w:val="en-US" w:eastAsia="en-US" w:bidi="ar-SA"/>
    </w:rPr>
  </w:style>
  <w:style w:type="table" w:customStyle="1" w:styleId="46">
    <w:name w:val="Table Normal"/>
    <w:qFormat/>
    <w:uiPriority w:val="0"/>
    <w:tblPr>
      <w:tblCellMar>
        <w:top w:w="0" w:type="dxa"/>
        <w:left w:w="0" w:type="dxa"/>
        <w:bottom w:w="0" w:type="dxa"/>
        <w:right w:w="0" w:type="dxa"/>
      </w:tblCellMar>
    </w:tblPr>
  </w:style>
  <w:style w:type="paragraph" w:customStyle="1" w:styleId="47">
    <w:name w:val="普通(网站)1"/>
    <w:basedOn w:val="1"/>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1820</Words>
  <Characters>1956</Characters>
  <Paragraphs>165</Paragraphs>
  <TotalTime>0</TotalTime>
  <ScaleCrop>false</ScaleCrop>
  <LinksUpToDate>false</LinksUpToDate>
  <CharactersWithSpaces>1986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王宁</cp:lastModifiedBy>
  <cp:lastPrinted>2024-06-05T01:41:00Z</cp:lastPrinted>
  <dcterms:modified xsi:type="dcterms:W3CDTF">2024-06-13T08:08:55Z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00B50384E596492A813C9F49EC64156B_13</vt:lpwstr>
  </property>
</Properties>
</file>