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105" w:leftChars="50" w:right="105" w:rightChars="50"/>
        <w:jc w:val="center"/>
        <w:textAlignment w:val="auto"/>
        <w:rPr>
          <w:rFonts w:ascii="华文仿宋" w:hAnsi="华文仿宋" w:eastAsia="华文仿宋"/>
          <w:b w:val="0"/>
          <w:bCs/>
          <w:sz w:val="44"/>
          <w:szCs w:val="44"/>
        </w:rPr>
      </w:pPr>
      <w:bookmarkStart w:id="0" w:name="_Toc32489_WPSOffice_Level1"/>
      <w:r>
        <w:rPr>
          <w:rFonts w:hint="eastAsia" w:ascii="方正小标宋简体" w:hAnsi="方正小标宋简体" w:eastAsia="方正小标宋简体" w:cs="方正小标宋简体"/>
          <w:b w:val="0"/>
          <w:bCs/>
          <w:sz w:val="44"/>
          <w:szCs w:val="44"/>
          <w:lang w:eastAsia="zh-CN"/>
        </w:rPr>
        <w:t>企业年金管理委员会</w:t>
      </w:r>
      <w:r>
        <w:rPr>
          <w:rFonts w:hint="eastAsia" w:ascii="方正小标宋简体" w:hAnsi="方正小标宋简体" w:eastAsia="方正小标宋简体" w:cs="方正小标宋简体"/>
          <w:b w:val="0"/>
          <w:bCs/>
          <w:sz w:val="44"/>
          <w:szCs w:val="44"/>
        </w:rPr>
        <w:t>会议决议表</w:t>
      </w:r>
      <w:bookmarkEnd w:id="0"/>
    </w:p>
    <w:p>
      <w:pPr>
        <w:spacing w:line="360" w:lineRule="exact"/>
        <w:jc w:val="center"/>
        <w:rPr>
          <w:rFonts w:ascii="华文仿宋" w:hAnsi="华文仿宋" w:eastAsia="华文仿宋"/>
          <w:sz w:val="24"/>
          <w:szCs w:val="32"/>
        </w:rPr>
      </w:pPr>
    </w:p>
    <w:tbl>
      <w:tblPr>
        <w:tblStyle w:val="23"/>
        <w:tblW w:w="9041"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1253"/>
        <w:gridCol w:w="951"/>
        <w:gridCol w:w="2496"/>
        <w:gridCol w:w="873"/>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1607" w:type="dxa"/>
            <w:vAlign w:val="center"/>
          </w:tcPr>
          <w:p>
            <w:pPr>
              <w:spacing w:line="520" w:lineRule="exact"/>
              <w:jc w:val="center"/>
              <w:rPr>
                <w:rFonts w:ascii="华文仿宋" w:hAnsi="华文仿宋" w:eastAsia="华文仿宋"/>
                <w:b/>
                <w:sz w:val="28"/>
                <w:szCs w:val="28"/>
              </w:rPr>
            </w:pPr>
            <w:r>
              <w:rPr>
                <w:rFonts w:ascii="华文仿宋" w:hAnsi="华文仿宋" w:eastAsia="华文仿宋"/>
                <w:b/>
                <w:sz w:val="28"/>
                <w:szCs w:val="28"/>
              </w:rPr>
              <w:t>会议议题</w:t>
            </w:r>
          </w:p>
        </w:tc>
        <w:tc>
          <w:tcPr>
            <w:tcW w:w="7434" w:type="dxa"/>
            <w:gridSpan w:val="5"/>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val="0"/>
                <w:bCs/>
                <w:sz w:val="28"/>
                <w:szCs w:val="28"/>
                <w:lang w:val="en-US" w:eastAsia="zh-CN"/>
              </w:rPr>
              <w:t>审议</w:t>
            </w:r>
            <w:r>
              <w:rPr>
                <w:rFonts w:hint="eastAsia" w:ascii="仿宋_GB2312" w:hAnsi="仿宋_GB2312" w:eastAsia="仿宋_GB2312" w:cs="仿宋_GB2312"/>
                <w:b w:val="0"/>
                <w:bCs/>
                <w:kern w:val="2"/>
                <w:sz w:val="28"/>
                <w:szCs w:val="28"/>
                <w:lang w:val="en-US" w:eastAsia="zh-CN" w:bidi="ar-SA"/>
              </w:rPr>
              <w:t>四川九洲建筑工程有限公司修订企业年金</w:t>
            </w:r>
            <w:r>
              <w:rPr>
                <w:rFonts w:hint="eastAsia" w:ascii="仿宋_GB2312" w:hAnsi="仿宋_GB2312" w:eastAsia="仿宋_GB2312" w:cs="仿宋_GB2312"/>
                <w:b w:val="0"/>
                <w:bCs/>
                <w:sz w:val="28"/>
                <w:szCs w:val="28"/>
                <w:lang w:val="en-US" w:eastAsia="zh-CN"/>
              </w:rPr>
              <w:t>子计划事宜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607" w:type="dxa"/>
            <w:vAlign w:val="center"/>
          </w:tcPr>
          <w:p>
            <w:pPr>
              <w:spacing w:line="520" w:lineRule="exact"/>
              <w:jc w:val="center"/>
              <w:rPr>
                <w:rFonts w:ascii="华文仿宋" w:hAnsi="华文仿宋" w:eastAsia="华文仿宋"/>
                <w:b/>
                <w:sz w:val="28"/>
                <w:szCs w:val="28"/>
              </w:rPr>
            </w:pPr>
            <w:r>
              <w:rPr>
                <w:rFonts w:ascii="华文仿宋" w:hAnsi="华文仿宋" w:eastAsia="华文仿宋"/>
                <w:b/>
                <w:sz w:val="28"/>
                <w:szCs w:val="28"/>
              </w:rPr>
              <w:t>主持人</w:t>
            </w:r>
          </w:p>
        </w:tc>
        <w:tc>
          <w:tcPr>
            <w:tcW w:w="1253"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val="0"/>
                <w:bCs/>
                <w:sz w:val="28"/>
                <w:szCs w:val="28"/>
                <w:lang w:val="en-US" w:eastAsia="zh-CN"/>
              </w:rPr>
              <w:t>游鲁</w:t>
            </w:r>
          </w:p>
        </w:tc>
        <w:tc>
          <w:tcPr>
            <w:tcW w:w="951"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时间</w:t>
            </w:r>
          </w:p>
        </w:tc>
        <w:tc>
          <w:tcPr>
            <w:tcW w:w="2496"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2024年5月27日</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val="0"/>
                <w:bCs/>
                <w:sz w:val="28"/>
                <w:szCs w:val="28"/>
                <w:lang w:val="en-US" w:eastAsia="zh-CN"/>
              </w:rPr>
              <w:t>14:00-16:00</w:t>
            </w:r>
          </w:p>
        </w:tc>
        <w:tc>
          <w:tcPr>
            <w:tcW w:w="873"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地点</w:t>
            </w:r>
          </w:p>
        </w:tc>
        <w:tc>
          <w:tcPr>
            <w:tcW w:w="1861"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val="0"/>
                <w:bCs/>
                <w:sz w:val="28"/>
                <w:szCs w:val="28"/>
                <w:lang w:val="en-US" w:eastAsia="zh-CN"/>
              </w:rPr>
              <w:t>201#大楼A206会议室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1607" w:type="dxa"/>
            <w:vAlign w:val="center"/>
          </w:tcPr>
          <w:p>
            <w:pPr>
              <w:spacing w:line="520" w:lineRule="exact"/>
              <w:jc w:val="center"/>
              <w:rPr>
                <w:rFonts w:ascii="华文仿宋" w:hAnsi="华文仿宋" w:eastAsia="华文仿宋"/>
                <w:b/>
                <w:sz w:val="28"/>
                <w:szCs w:val="28"/>
              </w:rPr>
            </w:pPr>
            <w:r>
              <w:rPr>
                <w:rFonts w:ascii="华文仿宋" w:hAnsi="华文仿宋" w:eastAsia="华文仿宋"/>
                <w:b/>
                <w:sz w:val="28"/>
                <w:szCs w:val="28"/>
              </w:rPr>
              <w:t>参会人员</w:t>
            </w:r>
          </w:p>
          <w:p>
            <w:pPr>
              <w:spacing w:line="520" w:lineRule="exact"/>
              <w:jc w:val="center"/>
              <w:rPr>
                <w:rFonts w:ascii="华文仿宋" w:hAnsi="华文仿宋" w:eastAsia="华文仿宋"/>
                <w:b/>
                <w:sz w:val="28"/>
                <w:szCs w:val="28"/>
              </w:rPr>
            </w:pPr>
            <w:r>
              <w:rPr>
                <w:rFonts w:hint="eastAsia" w:ascii="华文仿宋" w:hAnsi="华文仿宋" w:eastAsia="华文仿宋"/>
                <w:b/>
                <w:sz w:val="28"/>
                <w:szCs w:val="28"/>
              </w:rPr>
              <w:t>（共</w:t>
            </w:r>
            <w:r>
              <w:rPr>
                <w:rFonts w:hint="eastAsia" w:ascii="华文仿宋" w:hAnsi="华文仿宋" w:eastAsia="华文仿宋"/>
                <w:b/>
                <w:sz w:val="28"/>
                <w:szCs w:val="28"/>
                <w:lang w:val="en-US" w:eastAsia="zh-CN"/>
              </w:rPr>
              <w:t>8</w:t>
            </w:r>
            <w:r>
              <w:rPr>
                <w:rFonts w:hint="eastAsia" w:ascii="华文仿宋" w:hAnsi="华文仿宋" w:eastAsia="华文仿宋"/>
                <w:b/>
                <w:sz w:val="28"/>
                <w:szCs w:val="28"/>
              </w:rPr>
              <w:t>人）</w:t>
            </w:r>
          </w:p>
        </w:tc>
        <w:tc>
          <w:tcPr>
            <w:tcW w:w="7434" w:type="dxa"/>
            <w:gridSpan w:val="5"/>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公司领导：游鲁、袁红</w:t>
            </w:r>
          </w:p>
          <w:p>
            <w:pPr>
              <w:keepNext w:val="0"/>
              <w:keepLines w:val="0"/>
              <w:pageBreakBefore w:val="0"/>
              <w:widowControl w:val="0"/>
              <w:kinsoku/>
              <w:wordWrap/>
              <w:overflowPunct/>
              <w:topLinePunct w:val="0"/>
              <w:autoSpaceDE/>
              <w:autoSpaceDN/>
              <w:bidi w:val="0"/>
              <w:adjustRightInd/>
              <w:snapToGrid/>
              <w:spacing w:line="480" w:lineRule="exact"/>
              <w:ind w:left="1960" w:hanging="1960" w:hangingChars="700"/>
              <w:jc w:val="left"/>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val="0"/>
                <w:bCs/>
                <w:sz w:val="28"/>
                <w:szCs w:val="28"/>
                <w:lang w:val="en-US" w:eastAsia="zh-CN"/>
              </w:rPr>
              <w:t>参会人员：方崇敏、蒋艳梅、文波、曾邱、寿毅、杨辉敏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5" w:hRule="atLeast"/>
        </w:trPr>
        <w:tc>
          <w:tcPr>
            <w:tcW w:w="1607" w:type="dxa"/>
            <w:vAlign w:val="center"/>
          </w:tcPr>
          <w:p>
            <w:pPr>
              <w:spacing w:line="520" w:lineRule="exact"/>
              <w:jc w:val="center"/>
              <w:rPr>
                <w:rFonts w:ascii="华文仿宋" w:hAnsi="华文仿宋" w:eastAsia="华文仿宋"/>
                <w:b/>
                <w:sz w:val="28"/>
                <w:szCs w:val="28"/>
              </w:rPr>
            </w:pPr>
            <w:r>
              <w:rPr>
                <w:rFonts w:ascii="华文仿宋" w:hAnsi="华文仿宋" w:eastAsia="华文仿宋"/>
                <w:b/>
                <w:sz w:val="28"/>
                <w:szCs w:val="28"/>
              </w:rPr>
              <w:t>决议内容</w:t>
            </w:r>
          </w:p>
        </w:tc>
        <w:tc>
          <w:tcPr>
            <w:tcW w:w="7434" w:type="dxa"/>
            <w:gridSpan w:val="5"/>
            <w:vAlign w:val="top"/>
          </w:tcPr>
          <w:p>
            <w:pPr>
              <w:spacing w:line="480" w:lineRule="exact"/>
              <w:ind w:firstLine="560"/>
              <w:rPr>
                <w:rFonts w:hint="eastAsia" w:ascii="仿宋_GB2312" w:hAnsi="仿宋" w:eastAsia="仿宋_GB2312" w:cs="仿宋"/>
                <w:kern w:val="2"/>
                <w:sz w:val="28"/>
                <w:szCs w:val="28"/>
                <w:lang w:val="en-US" w:eastAsia="zh-CN" w:bidi="ar-SA"/>
              </w:rPr>
            </w:pPr>
            <w:r>
              <w:rPr>
                <w:rFonts w:hint="eastAsia" w:ascii="仿宋_GB2312" w:hAnsi="仿宋" w:eastAsia="仿宋_GB2312" w:cs="仿宋"/>
                <w:sz w:val="28"/>
                <w:szCs w:val="28"/>
              </w:rPr>
              <w:t>经与会委员研究，</w:t>
            </w:r>
            <w:r>
              <w:rPr>
                <w:rFonts w:hint="eastAsia" w:ascii="仿宋_GB2312" w:hAnsi="仿宋_GB2312" w:eastAsia="仿宋_GB2312" w:cs="仿宋_GB2312"/>
                <w:b w:val="0"/>
                <w:bCs/>
                <w:sz w:val="28"/>
                <w:szCs w:val="28"/>
                <w:lang w:val="en-US" w:eastAsia="zh-CN"/>
              </w:rPr>
              <w:t>同意</w:t>
            </w:r>
            <w:r>
              <w:rPr>
                <w:rFonts w:hint="eastAsia" w:ascii="仿宋_GB2312" w:hAnsi="仿宋_GB2312" w:eastAsia="仿宋_GB2312" w:cs="仿宋_GB2312"/>
                <w:b w:val="0"/>
                <w:bCs/>
                <w:kern w:val="2"/>
                <w:sz w:val="28"/>
                <w:szCs w:val="28"/>
                <w:lang w:val="en-US" w:eastAsia="zh-CN" w:bidi="ar-SA"/>
              </w:rPr>
              <w:t>四川九洲建筑工程有限公司</w:t>
            </w:r>
            <w:r>
              <w:rPr>
                <w:rFonts w:hint="eastAsia" w:ascii="仿宋_GB2312" w:hAnsi="仿宋" w:eastAsia="仿宋_GB2312" w:cs="仿宋"/>
                <w:kern w:val="2"/>
                <w:sz w:val="28"/>
                <w:szCs w:val="28"/>
                <w:lang w:val="en-US" w:eastAsia="zh-CN" w:bidi="ar-SA"/>
              </w:rPr>
              <w:t>申请修订《</w:t>
            </w:r>
            <w:r>
              <w:rPr>
                <w:rFonts w:hint="eastAsia" w:ascii="仿宋_GB2312" w:hAnsi="仿宋_GB2312" w:eastAsia="仿宋_GB2312" w:cs="仿宋_GB2312"/>
                <w:b w:val="0"/>
                <w:bCs/>
                <w:kern w:val="2"/>
                <w:sz w:val="28"/>
                <w:szCs w:val="28"/>
                <w:lang w:val="en-US" w:eastAsia="zh-CN" w:bidi="ar-SA"/>
              </w:rPr>
              <w:t>四川九洲建筑工程有限公司</w:t>
            </w:r>
            <w:r>
              <w:rPr>
                <w:rFonts w:hint="eastAsia" w:ascii="仿宋_GB2312" w:hAnsi="仿宋" w:eastAsia="仿宋_GB2312" w:cs="仿宋"/>
                <w:kern w:val="2"/>
                <w:sz w:val="28"/>
                <w:szCs w:val="28"/>
                <w:lang w:val="en-US" w:eastAsia="zh-CN" w:bidi="ar-SA"/>
              </w:rPr>
              <w:t>企业年金方案实施细则》。</w:t>
            </w:r>
          </w:p>
          <w:p>
            <w:pPr>
              <w:spacing w:line="480" w:lineRule="exact"/>
              <w:ind w:firstLine="56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kern w:val="2"/>
                <w:sz w:val="28"/>
                <w:szCs w:val="28"/>
                <w:lang w:val="en-US" w:eastAsia="zh-CN" w:bidi="ar-SA"/>
              </w:rPr>
              <w:t>四川九洲建筑工程有限公司</w:t>
            </w:r>
            <w:r>
              <w:rPr>
                <w:rFonts w:hint="eastAsia" w:ascii="仿宋_GB2312" w:hAnsi="仿宋" w:eastAsia="仿宋_GB2312" w:cs="仿宋"/>
                <w:kern w:val="2"/>
                <w:sz w:val="28"/>
                <w:szCs w:val="28"/>
                <w:lang w:val="en-US" w:eastAsia="zh-CN" w:bidi="ar-SA"/>
              </w:rPr>
              <w:t>根据其战略发展、人才队伍建设及职级管理等要求，于2023年初梳理人力资源管理制度，并建立岗位职级图谱，结合现阶段实际情况，申请调整九洲建工企业年金方案实施细则，</w:t>
            </w:r>
            <w:r>
              <w:rPr>
                <w:rFonts w:hint="eastAsia" w:ascii="仿宋_GB2312" w:hAnsi="仿宋_GB2312" w:eastAsia="仿宋_GB2312" w:cs="仿宋_GB2312"/>
                <w:b w:val="0"/>
                <w:bCs/>
                <w:sz w:val="28"/>
                <w:szCs w:val="28"/>
                <w:lang w:val="en-US" w:eastAsia="zh-CN"/>
              </w:rPr>
              <w:t>通过其职工（代表）大会。</w:t>
            </w:r>
            <w:r>
              <w:rPr>
                <w:rFonts w:hint="eastAsia" w:ascii="仿宋_GB2312" w:hAnsi="仿宋_GB2312" w:eastAsia="仿宋_GB2312" w:cs="仿宋_GB2312"/>
                <w:sz w:val="28"/>
                <w:szCs w:val="28"/>
                <w:lang w:val="en-US" w:eastAsia="zh-CN"/>
              </w:rPr>
              <w:t>主要调整内容如下：</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1.更新集团公司名称</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结合九洲集团公司实际情</w:t>
            </w:r>
            <w:r>
              <w:rPr>
                <w:rFonts w:hint="eastAsia" w:ascii="仿宋_GB2312" w:hAnsi="仿宋_GB2312" w:eastAsia="仿宋_GB2312" w:cs="仿宋_GB2312"/>
                <w:sz w:val="32"/>
                <w:szCs w:val="32"/>
                <w:lang w:val="en-US" w:eastAsia="zh-CN"/>
              </w:rPr>
              <w:t>况，将</w:t>
            </w:r>
            <w:r>
              <w:rPr>
                <w:rFonts w:hint="eastAsia" w:ascii="仿宋_GB2312" w:hAnsi="仿宋_GB2312" w:eastAsia="仿宋_GB2312" w:cs="仿宋_GB2312"/>
                <w:sz w:val="28"/>
                <w:szCs w:val="28"/>
                <w:lang w:val="en-US" w:eastAsia="zh-CN"/>
              </w:rPr>
              <w:t>原细则中的“</w:t>
            </w:r>
            <w:r>
              <w:rPr>
                <w:rFonts w:hint="default" w:ascii="仿宋_GB2312" w:hAnsi="仿宋_GB2312" w:eastAsia="仿宋_GB2312" w:cs="仿宋_GB2312"/>
                <w:sz w:val="28"/>
                <w:szCs w:val="28"/>
                <w:lang w:val="en-US" w:eastAsia="zh-CN"/>
              </w:rPr>
              <w:t>四川九洲电器集团有限责任公司</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highlight w:val="none"/>
                <w:lang w:val="en-US" w:eastAsia="zh-CN"/>
              </w:rPr>
              <w:t>调整为“</w:t>
            </w:r>
            <w:r>
              <w:rPr>
                <w:rFonts w:hint="eastAsia" w:ascii="仿宋_GB2312" w:hAnsi="仿宋_GB2312" w:eastAsia="仿宋_GB2312" w:cs="仿宋_GB2312"/>
                <w:sz w:val="28"/>
                <w:szCs w:val="28"/>
                <w:lang w:val="en-US" w:eastAsia="zh-CN"/>
              </w:rPr>
              <w:t>九洲投资控股集团有限责任公司</w:t>
            </w:r>
            <w:r>
              <w:rPr>
                <w:rFonts w:hint="eastAsia" w:ascii="仿宋_GB2312" w:hAnsi="仿宋_GB2312" w:eastAsia="仿宋_GB2312" w:cs="仿宋_GB2312"/>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原方案：</w:t>
            </w:r>
            <w:r>
              <w:rPr>
                <w:rFonts w:hint="eastAsia" w:ascii="仿宋_GB2312" w:hAnsi="仿宋_GB2312" w:eastAsia="仿宋_GB2312" w:cs="仿宋_GB2312"/>
                <w:sz w:val="28"/>
                <w:szCs w:val="28"/>
                <w:lang w:val="en-US" w:eastAsia="zh-CN"/>
              </w:rPr>
              <w:t>四川九洲建筑工程有限责任公司决定纳入</w:t>
            </w:r>
            <w:r>
              <w:rPr>
                <w:rFonts w:hint="default" w:ascii="仿宋_GB2312" w:hAnsi="仿宋_GB2312" w:eastAsia="仿宋_GB2312" w:cs="仿宋_GB2312"/>
                <w:sz w:val="28"/>
                <w:szCs w:val="28"/>
                <w:lang w:val="en-US" w:eastAsia="zh-CN"/>
              </w:rPr>
              <w:t>四川九洲电器集团有限责任公司</w:t>
            </w:r>
            <w:r>
              <w:rPr>
                <w:rFonts w:hint="eastAsia" w:ascii="仿宋_GB2312" w:hAnsi="仿宋_GB2312" w:eastAsia="仿宋_GB2312" w:cs="仿宋_GB2312"/>
                <w:sz w:val="28"/>
                <w:szCs w:val="28"/>
                <w:highlight w:val="none"/>
              </w:rPr>
              <w:t>企业年金</w:t>
            </w:r>
            <w:r>
              <w:rPr>
                <w:rFonts w:hint="eastAsia" w:ascii="仿宋_GB2312" w:hAnsi="仿宋_GB2312" w:eastAsia="仿宋_GB2312" w:cs="仿宋_GB2312"/>
                <w:sz w:val="28"/>
                <w:szCs w:val="28"/>
                <w:highlight w:val="none"/>
                <w:lang w:eastAsia="zh-CN"/>
              </w:rPr>
              <w:t>计划子计划管理</w:t>
            </w:r>
            <w:r>
              <w:rPr>
                <w:rFonts w:hint="eastAsia" w:ascii="仿宋_GB2312" w:hAnsi="仿宋_GB2312" w:eastAsia="仿宋_GB2312" w:cs="仿宋_GB2312"/>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新方案：</w:t>
            </w:r>
            <w:r>
              <w:rPr>
                <w:rFonts w:hint="eastAsia" w:ascii="仿宋_GB2312" w:hAnsi="仿宋_GB2312" w:eastAsia="仿宋_GB2312" w:cs="仿宋_GB2312"/>
                <w:sz w:val="28"/>
                <w:szCs w:val="28"/>
                <w:lang w:val="en-US" w:eastAsia="zh-CN"/>
              </w:rPr>
              <w:t>四川九洲建筑工程有限责任公司决定纳入四川九洲投资控股集团有限责任公司企业年金计划子计划管理。</w:t>
            </w:r>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2.规范参加本方案的职工范围</w:t>
            </w:r>
          </w:p>
          <w:p>
            <w:pPr>
              <w:spacing w:line="560" w:lineRule="exact"/>
              <w:ind w:firstLine="560" w:firstLineChars="200"/>
              <w:rPr>
                <w:rFonts w:hint="eastAsia" w:ascii="仿宋_GB2312" w:hAnsi="仿宋_GB2312" w:eastAsia="仿宋_GB2312" w:cs="仿宋_GB2312"/>
                <w:sz w:val="28"/>
                <w:szCs w:val="28"/>
                <w:highlight w:val="none"/>
                <w:shd w:val="clear" w:color="auto" w:fill="auto"/>
                <w:lang w:val="en-US" w:eastAsia="zh-CN"/>
              </w:rPr>
            </w:pPr>
            <w:r>
              <w:rPr>
                <w:rFonts w:hint="eastAsia" w:ascii="仿宋_GB2312" w:hAnsi="仿宋_GB2312" w:eastAsia="仿宋_GB2312" w:cs="仿宋_GB2312"/>
                <w:sz w:val="28"/>
                <w:szCs w:val="28"/>
                <w:lang w:val="en-US" w:eastAsia="zh-CN"/>
              </w:rPr>
              <w:t>九洲建工部分项目员工签订的是以完成一定工作（或任务）为期限的劳动合同，因各工程施工时间期限不等，工程竣工后即解除劳动关系，故明确该类员工不在本细则内</w:t>
            </w:r>
            <w:r>
              <w:rPr>
                <w:rFonts w:hint="eastAsia" w:ascii="仿宋_GB2312" w:hAnsi="仿宋_GB2312" w:eastAsia="仿宋_GB2312" w:cs="仿宋_GB2312"/>
                <w:sz w:val="28"/>
                <w:szCs w:val="28"/>
                <w:highlight w:val="none"/>
                <w:shd w:val="clear" w:color="auto" w:fill="auto"/>
                <w:lang w:eastAsia="zh-CN"/>
              </w:rPr>
              <w:t>。</w:t>
            </w:r>
          </w:p>
          <w:p>
            <w:pPr>
              <w:spacing w:line="360" w:lineRule="auto"/>
              <w:ind w:firstLine="640"/>
              <w:rPr>
                <w:rFonts w:hint="eastAsia" w:ascii="仿宋_GB2312" w:hAnsi="仿宋_GB2312" w:eastAsia="仿宋_GB2312" w:cs="仿宋_GB2312"/>
                <w:sz w:val="28"/>
                <w:szCs w:val="28"/>
                <w:highlight w:val="none"/>
                <w:shd w:val="clear" w:color="auto" w:fill="auto"/>
                <w:lang w:val="en-US" w:eastAsia="zh-CN"/>
              </w:rPr>
            </w:pPr>
            <w:r>
              <w:rPr>
                <w:rFonts w:hint="eastAsia" w:ascii="仿宋_GB2312" w:hAnsi="仿宋_GB2312" w:eastAsia="仿宋_GB2312" w:cs="仿宋_GB2312"/>
                <w:b/>
                <w:bCs/>
                <w:sz w:val="28"/>
                <w:szCs w:val="28"/>
                <w:lang w:val="en-US" w:eastAsia="zh-CN"/>
              </w:rPr>
              <w:t>原方案：</w:t>
            </w:r>
            <w:r>
              <w:rPr>
                <w:rFonts w:hint="eastAsia" w:ascii="仿宋_GB2312" w:hAnsi="仿宋_GB2312" w:eastAsia="仿宋_GB2312" w:cs="仿宋_GB2312"/>
                <w:sz w:val="28"/>
                <w:szCs w:val="28"/>
                <w:highlight w:val="none"/>
                <w:shd w:val="clear" w:color="auto" w:fill="auto"/>
              </w:rPr>
              <w:t>与</w:t>
            </w:r>
            <w:r>
              <w:rPr>
                <w:rFonts w:hint="eastAsia" w:ascii="仿宋_GB2312" w:hAnsi="仿宋_GB2312" w:eastAsia="仿宋_GB2312" w:cs="仿宋_GB2312"/>
                <w:sz w:val="28"/>
                <w:szCs w:val="28"/>
                <w:highlight w:val="none"/>
                <w:shd w:val="clear" w:color="auto" w:fill="auto"/>
                <w:lang w:eastAsia="zh-CN"/>
              </w:rPr>
              <w:t>建工公司</w:t>
            </w:r>
            <w:r>
              <w:rPr>
                <w:rFonts w:hint="eastAsia" w:ascii="仿宋_GB2312" w:hAnsi="仿宋_GB2312" w:eastAsia="仿宋_GB2312" w:cs="仿宋_GB2312"/>
                <w:sz w:val="28"/>
                <w:szCs w:val="28"/>
                <w:highlight w:val="none"/>
                <w:shd w:val="clear" w:color="auto" w:fill="auto"/>
              </w:rPr>
              <w:t>订立劳动合同并试用期</w:t>
            </w:r>
            <w:r>
              <w:rPr>
                <w:rFonts w:hint="eastAsia" w:ascii="仿宋_GB2312" w:hAnsi="仿宋_GB2312" w:eastAsia="仿宋_GB2312" w:cs="仿宋_GB2312"/>
                <w:sz w:val="28"/>
                <w:szCs w:val="28"/>
                <w:highlight w:val="none"/>
                <w:shd w:val="clear" w:color="auto" w:fill="auto"/>
                <w:lang w:eastAsia="zh-CN"/>
              </w:rPr>
              <w:t>届</w:t>
            </w:r>
            <w:r>
              <w:rPr>
                <w:rFonts w:hint="eastAsia" w:ascii="仿宋_GB2312" w:hAnsi="仿宋_GB2312" w:eastAsia="仿宋_GB2312" w:cs="仿宋_GB2312"/>
                <w:sz w:val="28"/>
                <w:szCs w:val="28"/>
                <w:highlight w:val="none"/>
                <w:shd w:val="clear" w:color="auto" w:fill="auto"/>
              </w:rPr>
              <w:t>满</w:t>
            </w:r>
            <w:r>
              <w:rPr>
                <w:rFonts w:hint="eastAsia" w:ascii="仿宋_GB2312" w:hAnsi="仿宋_GB2312" w:eastAsia="仿宋_GB2312" w:cs="仿宋_GB2312"/>
                <w:sz w:val="28"/>
                <w:szCs w:val="28"/>
                <w:highlight w:val="none"/>
                <w:shd w:val="clear" w:color="auto" w:fill="auto"/>
                <w:lang w:eastAsia="zh-CN"/>
              </w:rPr>
              <w:t>的员工</w:t>
            </w:r>
            <w:r>
              <w:rPr>
                <w:rFonts w:hint="eastAsia" w:ascii="仿宋_GB2312" w:hAnsi="仿宋_GB2312" w:eastAsia="仿宋_GB2312" w:cs="仿宋_GB2312"/>
                <w:sz w:val="28"/>
                <w:szCs w:val="28"/>
                <w:highlight w:val="none"/>
                <w:shd w:val="clear" w:color="auto" w:fill="auto"/>
                <w:lang w:val="en-US" w:eastAsia="zh-CN"/>
              </w:rPr>
              <w:t>。</w:t>
            </w:r>
          </w:p>
          <w:p>
            <w:pPr>
              <w:spacing w:line="560" w:lineRule="exact"/>
              <w:ind w:firstLine="562" w:firstLineChars="200"/>
              <w:rPr>
                <w:rFonts w:hint="eastAsia" w:ascii="仿宋_GB2312" w:hAnsi="仿宋_GB2312" w:eastAsia="仿宋_GB2312" w:cs="仿宋_GB2312"/>
                <w:sz w:val="28"/>
                <w:szCs w:val="28"/>
                <w:highlight w:val="none"/>
                <w:shd w:val="clear" w:color="auto" w:fill="auto"/>
                <w:lang w:eastAsia="zh-CN"/>
              </w:rPr>
            </w:pPr>
            <w:r>
              <w:rPr>
                <w:rFonts w:hint="eastAsia" w:ascii="仿宋_GB2312" w:hAnsi="仿宋_GB2312" w:eastAsia="仿宋_GB2312" w:cs="仿宋_GB2312"/>
                <w:b/>
                <w:bCs/>
                <w:sz w:val="28"/>
                <w:szCs w:val="28"/>
                <w:lang w:val="en-US" w:eastAsia="zh-CN"/>
              </w:rPr>
              <w:t>新方案：</w:t>
            </w:r>
            <w:r>
              <w:rPr>
                <w:rFonts w:hint="eastAsia" w:ascii="仿宋_GB2312" w:hAnsi="仿宋_GB2312" w:eastAsia="仿宋_GB2312" w:cs="仿宋_GB2312"/>
                <w:sz w:val="28"/>
                <w:szCs w:val="28"/>
              </w:rPr>
              <w:t>与本单位订立</w:t>
            </w:r>
            <w:r>
              <w:rPr>
                <w:rFonts w:hint="eastAsia" w:ascii="仿宋_GB2312" w:hAnsi="仿宋_GB2312" w:eastAsia="仿宋_GB2312" w:cs="仿宋_GB2312"/>
                <w:sz w:val="28"/>
                <w:szCs w:val="28"/>
                <w:lang w:val="en-US" w:eastAsia="zh-CN"/>
              </w:rPr>
              <w:t>固定/无固定期限</w:t>
            </w:r>
            <w:r>
              <w:rPr>
                <w:rFonts w:hint="eastAsia" w:ascii="仿宋_GB2312" w:hAnsi="仿宋_GB2312" w:eastAsia="仿宋_GB2312" w:cs="仿宋_GB2312"/>
                <w:sz w:val="28"/>
                <w:szCs w:val="28"/>
              </w:rPr>
              <w:t>劳动合同并试用期满</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签订以完成一定工作（或任务）</w:t>
            </w:r>
            <w:bookmarkStart w:id="1" w:name="_GoBack"/>
            <w:bookmarkEnd w:id="1"/>
            <w:r>
              <w:rPr>
                <w:rFonts w:hint="eastAsia" w:ascii="仿宋_GB2312" w:hAnsi="仿宋_GB2312" w:eastAsia="仿宋_GB2312" w:cs="仿宋_GB2312"/>
                <w:sz w:val="28"/>
                <w:szCs w:val="28"/>
                <w:lang w:val="en-US" w:eastAsia="zh-CN"/>
              </w:rPr>
              <w:t>为期限的劳动合同的员工不在本条件内</w:t>
            </w:r>
            <w:r>
              <w:rPr>
                <w:rFonts w:hint="eastAsia" w:ascii="仿宋_GB2312" w:hAnsi="仿宋_GB2312" w:eastAsia="仿宋_GB2312" w:cs="仿宋_GB2312"/>
                <w:sz w:val="28"/>
                <w:szCs w:val="28"/>
                <w:highlight w:val="none"/>
                <w:shd w:val="clear" w:color="auto" w:fill="auto"/>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43" w:firstLineChars="3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3.调整级别定义及对应的单位缴费比例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40" w:firstLineChars="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根据集团公司企业年金政策，九洲建工更新级别内容并参照集团单位缴费比例。同时，增加和明确了年度先进个人和纳入公司管理职数的项目负责人的单位缴费</w:t>
            </w:r>
            <w:r>
              <w:rPr>
                <w:rFonts w:hint="eastAsia" w:ascii="仿宋_GB2312" w:hAnsi="仿宋_GB2312" w:eastAsia="仿宋_GB2312" w:cs="仿宋_GB2312"/>
                <w:sz w:val="32"/>
                <w:szCs w:val="32"/>
                <w:lang w:val="en-US" w:eastAsia="zh-CN"/>
              </w:rPr>
              <w:t>比例。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b/>
                <w:bCs/>
                <w:sz w:val="28"/>
                <w:szCs w:val="28"/>
                <w:lang w:val="en-US" w:eastAsia="zh-CN"/>
              </w:rPr>
              <w:t>原方案：</w:t>
            </w:r>
            <w:r>
              <w:rPr>
                <w:rFonts w:hint="eastAsia" w:ascii="仿宋_GB2312" w:hAnsi="仿宋_GB2312" w:eastAsia="仿宋_GB2312" w:cs="仿宋_GB2312"/>
                <w:sz w:val="28"/>
                <w:szCs w:val="28"/>
                <w:highlight w:val="none"/>
              </w:rPr>
              <w:t>企业年缴费总额为上一年度企业工资总额的2%，根据职工个人缴费基数乘以企业缴费比例，按月分配至个人账户。企业缴费比例以</w:t>
            </w:r>
            <w:r>
              <w:rPr>
                <w:rFonts w:hint="eastAsia" w:ascii="仿宋_GB2312" w:hAnsi="仿宋_GB2312" w:eastAsia="仿宋_GB2312" w:cs="仿宋_GB2312"/>
                <w:sz w:val="28"/>
                <w:szCs w:val="28"/>
                <w:highlight w:val="none"/>
                <w:lang w:eastAsia="zh-CN"/>
              </w:rPr>
              <w:t>级别</w:t>
            </w:r>
            <w:r>
              <w:rPr>
                <w:rFonts w:hint="eastAsia" w:ascii="仿宋_GB2312" w:hAnsi="仿宋_GB2312" w:eastAsia="仿宋_GB2312" w:cs="仿宋_GB2312"/>
                <w:sz w:val="28"/>
                <w:szCs w:val="28"/>
                <w:highlight w:val="none"/>
              </w:rPr>
              <w:t>作为分配要素</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具体如</w:t>
            </w:r>
            <w:r>
              <w:rPr>
                <w:rFonts w:hint="eastAsia" w:ascii="仿宋_GB2312" w:hAnsi="仿宋_GB2312" w:eastAsia="仿宋_GB2312" w:cs="仿宋_GB2312"/>
                <w:sz w:val="32"/>
                <w:szCs w:val="32"/>
                <w:highlight w:val="none"/>
              </w:rPr>
              <w:t>下</w:t>
            </w:r>
            <w:r>
              <w:rPr>
                <w:rFonts w:hint="eastAsia" w:ascii="仿宋_GB2312" w:hAnsi="仿宋_GB2312" w:eastAsia="仿宋_GB2312" w:cs="仿宋_GB2312"/>
                <w:sz w:val="28"/>
                <w:szCs w:val="28"/>
                <w:highlight w:val="none"/>
              </w:rPr>
              <w:t>表：</w:t>
            </w:r>
          </w:p>
          <w:tbl>
            <w:tblPr>
              <w:tblStyle w:val="23"/>
              <w:tblW w:w="7235" w:type="dxa"/>
              <w:tblInd w:w="-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5" w:type="dxa"/>
                </w:tcPr>
                <w:tbl>
                  <w:tblPr>
                    <w:tblStyle w:val="23"/>
                    <w:tblW w:w="15846"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815"/>
                    <w:gridCol w:w="1410"/>
                    <w:gridCol w:w="4777"/>
                    <w:gridCol w:w="1750"/>
                    <w:gridCol w:w="1750"/>
                    <w:gridCol w:w="1751"/>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序</w:t>
                        </w:r>
                        <w:r>
                          <w:rPr>
                            <w:rFonts w:hint="eastAsia" w:ascii="仿宋_GB2312" w:hAnsi="仿宋_GB2312" w:eastAsia="仿宋_GB2312" w:cs="仿宋_GB2312"/>
                            <w:bCs/>
                            <w:sz w:val="21"/>
                            <w:szCs w:val="21"/>
                            <w:highlight w:val="none"/>
                            <w:vertAlign w:val="baseline"/>
                            <w:lang w:val="en-US" w:eastAsia="zh-CN"/>
                          </w:rPr>
                          <w:t xml:space="preserve">  </w:t>
                        </w:r>
                        <w:r>
                          <w:rPr>
                            <w:rFonts w:hint="eastAsia" w:ascii="仿宋_GB2312" w:hAnsi="仿宋_GB2312" w:eastAsia="仿宋_GB2312" w:cs="仿宋_GB2312"/>
                            <w:bCs/>
                            <w:sz w:val="21"/>
                            <w:szCs w:val="21"/>
                            <w:highlight w:val="none"/>
                            <w:vertAlign w:val="baseline"/>
                            <w:lang w:eastAsia="zh-CN"/>
                          </w:rPr>
                          <w:t>号</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级</w:t>
                        </w:r>
                        <w:r>
                          <w:rPr>
                            <w:rFonts w:hint="eastAsia" w:ascii="仿宋_GB2312" w:hAnsi="仿宋_GB2312" w:eastAsia="仿宋_GB2312" w:cs="仿宋_GB2312"/>
                            <w:bCs/>
                            <w:sz w:val="21"/>
                            <w:szCs w:val="21"/>
                            <w:highlight w:val="none"/>
                            <w:vertAlign w:val="baseline"/>
                            <w:lang w:val="en-US" w:eastAsia="zh-CN"/>
                          </w:rPr>
                          <w:t xml:space="preserve">  </w:t>
                        </w:r>
                        <w:r>
                          <w:rPr>
                            <w:rFonts w:hint="eastAsia" w:ascii="仿宋_GB2312" w:hAnsi="仿宋_GB2312" w:eastAsia="仿宋_GB2312" w:cs="仿宋_GB2312"/>
                            <w:bCs/>
                            <w:sz w:val="21"/>
                            <w:szCs w:val="21"/>
                            <w:highlight w:val="none"/>
                            <w:vertAlign w:val="baseline"/>
                            <w:lang w:eastAsia="zh-CN"/>
                          </w:rPr>
                          <w:t>别</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比</w:t>
                        </w:r>
                        <w:r>
                          <w:rPr>
                            <w:rFonts w:hint="eastAsia" w:ascii="仿宋_GB2312" w:hAnsi="仿宋_GB2312" w:eastAsia="仿宋_GB2312" w:cs="仿宋_GB2312"/>
                            <w:bCs/>
                            <w:sz w:val="21"/>
                            <w:szCs w:val="21"/>
                            <w:highlight w:val="none"/>
                            <w:vertAlign w:val="baseline"/>
                            <w:lang w:val="en-US" w:eastAsia="zh-CN"/>
                          </w:rPr>
                          <w:t xml:space="preserve">  </w:t>
                        </w:r>
                        <w:r>
                          <w:rPr>
                            <w:rFonts w:hint="eastAsia" w:ascii="仿宋_GB2312" w:hAnsi="仿宋_GB2312" w:eastAsia="仿宋_GB2312" w:cs="仿宋_GB2312"/>
                            <w:bCs/>
                            <w:sz w:val="21"/>
                            <w:szCs w:val="21"/>
                            <w:highlight w:val="none"/>
                            <w:vertAlign w:val="baseline"/>
                            <w:lang w:eastAsia="zh-CN"/>
                          </w:rPr>
                          <w:t>例</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备</w:t>
                        </w:r>
                        <w:r>
                          <w:rPr>
                            <w:rFonts w:hint="eastAsia" w:ascii="仿宋_GB2312" w:hAnsi="仿宋_GB2312" w:eastAsia="仿宋_GB2312" w:cs="仿宋_GB2312"/>
                            <w:bCs/>
                            <w:sz w:val="21"/>
                            <w:szCs w:val="21"/>
                            <w:highlight w:val="none"/>
                            <w:vertAlign w:val="baseline"/>
                            <w:lang w:val="en-US" w:eastAsia="zh-CN"/>
                          </w:rPr>
                          <w:t xml:space="preserve">  </w:t>
                        </w:r>
                        <w:r>
                          <w:rPr>
                            <w:rFonts w:hint="eastAsia" w:ascii="仿宋_GB2312" w:hAnsi="仿宋_GB2312" w:eastAsia="仿宋_GB2312" w:cs="仿宋_GB2312"/>
                            <w:bCs/>
                            <w:sz w:val="21"/>
                            <w:szCs w:val="21"/>
                            <w:highlight w:val="none"/>
                            <w:vertAlign w:val="baseline"/>
                            <w:lang w:eastAsia="zh-CN"/>
                          </w:rPr>
                          <w:t>注</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1</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职员一级</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1.5%</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职能部门及项目部一般员工</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2</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职员二级</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2%</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职能部门主管及项目部副经理</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3</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职员三级</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2.5%</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sz w:val="15"/>
                            <w:szCs w:val="15"/>
                            <w:highlight w:val="none"/>
                            <w:vertAlign w:val="baseline"/>
                            <w:lang w:val="en-US" w:eastAsia="zh-CN"/>
                          </w:rPr>
                        </w:pPr>
                        <w:r>
                          <w:rPr>
                            <w:rFonts w:hint="eastAsia" w:ascii="仿宋_GB2312" w:hAnsi="仿宋_GB2312" w:eastAsia="仿宋_GB2312" w:cs="仿宋_GB2312"/>
                            <w:bCs/>
                            <w:sz w:val="15"/>
                            <w:szCs w:val="15"/>
                            <w:highlight w:val="none"/>
                            <w:vertAlign w:val="baseline"/>
                            <w:lang w:val="en-US" w:eastAsia="zh-CN"/>
                          </w:rPr>
                          <w:t>职能部门高级主管、部长助理及原集团公司</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15"/>
                            <w:szCs w:val="15"/>
                            <w:highlight w:val="none"/>
                            <w:vertAlign w:val="baseline"/>
                            <w:lang w:val="en-US" w:eastAsia="zh-CN"/>
                          </w:rPr>
                          <w:t>建工筹备组的普通职工纳入该级</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4</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副</w:t>
                        </w:r>
                        <w:r>
                          <w:rPr>
                            <w:rFonts w:hint="eastAsia" w:ascii="仿宋_GB2312" w:hAnsi="仿宋_GB2312" w:eastAsia="仿宋_GB2312" w:cs="仿宋_GB2312"/>
                            <w:bCs/>
                            <w:sz w:val="21"/>
                            <w:szCs w:val="21"/>
                            <w:highlight w:val="none"/>
                            <w:vertAlign w:val="baseline"/>
                            <w:lang w:val="en-US" w:eastAsia="zh-CN"/>
                          </w:rPr>
                          <w:t>部长</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3%</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纳入公司副职管理、项目经理</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5</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部长</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3.5%</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纳入公司正职管理</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6</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副总经理</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4.0%</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纳入集团副职管理</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7</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eastAsia="zh-CN"/>
                          </w:rPr>
                          <w:t>副总经理</w:t>
                        </w:r>
                        <w:r>
                          <w:rPr>
                            <w:rFonts w:hint="eastAsia" w:ascii="仿宋_GB2312" w:hAnsi="仿宋_GB2312" w:eastAsia="仿宋_GB2312" w:cs="仿宋_GB2312"/>
                            <w:bCs/>
                            <w:sz w:val="21"/>
                            <w:szCs w:val="21"/>
                            <w:highlight w:val="none"/>
                            <w:vertAlign w:val="baseline"/>
                            <w:lang w:val="en-US" w:eastAsia="zh-CN"/>
                          </w:rPr>
                          <w:t>及以上</w:t>
                        </w:r>
                      </w:p>
                    </w:tc>
                    <w:tc>
                      <w:tcPr>
                        <w:tcW w:w="141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4.2%</w:t>
                        </w:r>
                      </w:p>
                    </w:tc>
                    <w:tc>
                      <w:tcPr>
                        <w:tcW w:w="4777"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纳入集团正职管理</w:t>
                        </w: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0"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c>
                      <w:tcPr>
                        <w:tcW w:w="1751"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lang w:val="en-US" w:eastAsia="zh-CN"/>
              </w:rPr>
              <w:t>新方案：</w:t>
            </w:r>
            <w:r>
              <w:rPr>
                <w:rFonts w:hint="eastAsia" w:ascii="仿宋_GB2312" w:hAnsi="仿宋_GB2312" w:eastAsia="仿宋_GB2312" w:cs="仿宋_GB2312"/>
                <w:sz w:val="28"/>
                <w:szCs w:val="28"/>
                <w:highlight w:val="none"/>
              </w:rPr>
              <w:t>企业年缴费总额为上一年度企业工资总额的2%，根据职工个人缴费基数乘以企业缴费比例，按月分配至个人账户。企业缴费比例以</w:t>
            </w:r>
            <w:r>
              <w:rPr>
                <w:rFonts w:hint="eastAsia" w:ascii="仿宋_GB2312" w:hAnsi="仿宋_GB2312" w:eastAsia="仿宋_GB2312" w:cs="仿宋_GB2312"/>
                <w:sz w:val="28"/>
                <w:szCs w:val="28"/>
                <w:highlight w:val="none"/>
                <w:lang w:eastAsia="zh-CN"/>
              </w:rPr>
              <w:t>级别</w:t>
            </w:r>
            <w:r>
              <w:rPr>
                <w:rFonts w:hint="eastAsia" w:ascii="仿宋_GB2312" w:hAnsi="仿宋_GB2312" w:eastAsia="仿宋_GB2312" w:cs="仿宋_GB2312"/>
                <w:sz w:val="28"/>
                <w:szCs w:val="28"/>
                <w:highlight w:val="none"/>
              </w:rPr>
              <w:t>作为分配要素</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具体如下表：</w:t>
            </w:r>
          </w:p>
          <w:tbl>
            <w:tblPr>
              <w:tblStyle w:val="23"/>
              <w:tblW w:w="16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6"/>
              <w:gridCol w:w="4586"/>
              <w:gridCol w:w="1625"/>
              <w:gridCol w:w="1582"/>
              <w:gridCol w:w="1804"/>
              <w:gridCol w:w="1804"/>
              <w:gridCol w:w="1805"/>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序  号</w:t>
                  </w:r>
                </w:p>
              </w:tc>
              <w:tc>
                <w:tcPr>
                  <w:tcW w:w="458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级  别</w:t>
                  </w:r>
                </w:p>
              </w:tc>
              <w:tc>
                <w:tcPr>
                  <w:tcW w:w="162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比  例</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备  注</w:t>
                  </w: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1</w:t>
                  </w:r>
                </w:p>
              </w:tc>
              <w:tc>
                <w:tcPr>
                  <w:tcW w:w="458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九洲建工公司职级1-2、项目职级P1-P5</w:t>
                  </w:r>
                </w:p>
              </w:tc>
              <w:tc>
                <w:tcPr>
                  <w:tcW w:w="162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2.0%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2</w:t>
                  </w:r>
                </w:p>
              </w:tc>
              <w:tc>
                <w:tcPr>
                  <w:tcW w:w="458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九洲建工公司职级3-4、项目职级P6-P10</w:t>
                  </w:r>
                </w:p>
              </w:tc>
              <w:tc>
                <w:tcPr>
                  <w:tcW w:w="162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3.0%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3</w:t>
                  </w:r>
                </w:p>
              </w:tc>
              <w:tc>
                <w:tcPr>
                  <w:tcW w:w="458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九洲建工公司职级5-8</w:t>
                  </w:r>
                </w:p>
              </w:tc>
              <w:tc>
                <w:tcPr>
                  <w:tcW w:w="162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4.0%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4</w:t>
                  </w:r>
                </w:p>
              </w:tc>
              <w:tc>
                <w:tcPr>
                  <w:tcW w:w="458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九洲建工公司职级9-10、集团公司10-12级</w:t>
                  </w:r>
                </w:p>
              </w:tc>
              <w:tc>
                <w:tcPr>
                  <w:tcW w:w="162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5.0%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5</w:t>
                  </w:r>
                </w:p>
              </w:tc>
              <w:tc>
                <w:tcPr>
                  <w:tcW w:w="4586"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集团公司13-15级</w:t>
                  </w:r>
                </w:p>
              </w:tc>
              <w:tc>
                <w:tcPr>
                  <w:tcW w:w="1625"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6.0%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bCs/>
                      <w:kern w:val="2"/>
                      <w:sz w:val="21"/>
                      <w:szCs w:val="21"/>
                      <w:highlight w:val="none"/>
                      <w:vertAlign w:val="baseline"/>
                      <w:lang w:val="en-US" w:eastAsia="zh-CN" w:bidi="ar-SA"/>
                    </w:rPr>
                  </w:pP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883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sz w:val="21"/>
                      <w:szCs w:val="21"/>
                      <w:highlight w:val="none"/>
                      <w:vertAlign w:val="baseline"/>
                      <w:lang w:val="en-US" w:eastAsia="zh-CN"/>
                    </w:rPr>
                  </w:pPr>
                  <w:r>
                    <w:rPr>
                      <w:rFonts w:hint="eastAsia" w:ascii="仿宋_GB2312" w:hAnsi="仿宋_GB2312" w:eastAsia="仿宋_GB2312" w:cs="仿宋_GB2312"/>
                      <w:bCs/>
                      <w:sz w:val="21"/>
                      <w:szCs w:val="21"/>
                      <w:highlight w:val="none"/>
                      <w:vertAlign w:val="baseline"/>
                      <w:lang w:val="en-US" w:eastAsia="zh-CN"/>
                    </w:rPr>
                    <w:t>备注：1.集团公司年度突出贡献员工(优秀经营管理人员、杰出员工、优秀员工)在当年职级对应的缴费比例上上浮1%。</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Cs/>
                      <w:sz w:val="21"/>
                      <w:szCs w:val="21"/>
                      <w:highlight w:val="none"/>
                      <w:vertAlign w:val="baseline"/>
                      <w:lang w:val="en-US" w:eastAsia="zh-CN"/>
                    </w:rPr>
                  </w:pPr>
                  <w:r>
                    <w:rPr>
                      <w:rFonts w:hint="eastAsia" w:ascii="仿宋_GB2312" w:hAnsi="仿宋_GB2312" w:eastAsia="仿宋_GB2312" w:cs="仿宋_GB2312"/>
                      <w:bCs/>
                      <w:sz w:val="21"/>
                      <w:szCs w:val="21"/>
                      <w:highlight w:val="none"/>
                      <w:vertAlign w:val="baseline"/>
                      <w:lang w:val="en-US" w:eastAsia="zh-CN"/>
                    </w:rPr>
                    <w:t>2.公司级年度“评优选能”获奖员工在当年职级对应的缴费比例上上浮0.5%。</w:t>
                  </w:r>
                </w:p>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bCs/>
                      <w:kern w:val="2"/>
                      <w:sz w:val="21"/>
                      <w:szCs w:val="21"/>
                      <w:highlight w:val="none"/>
                      <w:vertAlign w:val="baseline"/>
                      <w:lang w:val="en-US" w:eastAsia="zh-CN" w:bidi="ar-SA"/>
                    </w:rPr>
                  </w:pPr>
                  <w:r>
                    <w:rPr>
                      <w:rFonts w:hint="eastAsia" w:ascii="仿宋_GB2312" w:hAnsi="仿宋_GB2312" w:eastAsia="仿宋_GB2312" w:cs="仿宋_GB2312"/>
                      <w:bCs/>
                      <w:sz w:val="21"/>
                      <w:szCs w:val="21"/>
                      <w:highlight w:val="none"/>
                      <w:vertAlign w:val="baseline"/>
                      <w:lang w:val="en-US" w:eastAsia="zh-CN"/>
                    </w:rPr>
                    <w:t>3.纳入公司正、副职管理的项目经理（项目负责人）员工按照4.0</w:t>
                  </w:r>
                  <w:r>
                    <w:rPr>
                      <w:rFonts w:hint="default" w:ascii="仿宋_GB2312" w:hAnsi="仿宋_GB2312" w:eastAsia="仿宋_GB2312" w:cs="仿宋_GB2312"/>
                      <w:bCs/>
                      <w:sz w:val="21"/>
                      <w:szCs w:val="21"/>
                      <w:highlight w:val="none"/>
                      <w:vertAlign w:val="baseline"/>
                      <w:lang w:val="en-US" w:eastAsia="zh-CN"/>
                    </w:rPr>
                    <w:t>%</w:t>
                  </w:r>
                  <w:r>
                    <w:rPr>
                      <w:rFonts w:hint="eastAsia" w:ascii="仿宋_GB2312" w:hAnsi="仿宋_GB2312" w:eastAsia="仿宋_GB2312" w:cs="仿宋_GB2312"/>
                      <w:bCs/>
                      <w:sz w:val="21"/>
                      <w:szCs w:val="21"/>
                      <w:highlight w:val="none"/>
                      <w:vertAlign w:val="baseline"/>
                      <w:lang w:val="en-US" w:eastAsia="zh-CN"/>
                    </w:rPr>
                    <w:t>比例缴纳。</w:t>
                  </w:r>
                </w:p>
              </w:tc>
              <w:tc>
                <w:tcPr>
                  <w:tcW w:w="1804" w:type="dxa"/>
                </w:tcPr>
                <w:p>
                  <w:pPr>
                    <w:pStyle w:val="2"/>
                    <w:rPr>
                      <w:rFonts w:hint="default"/>
                      <w:vertAlign w:val="baseline"/>
                      <w:lang w:val="en-US" w:eastAsia="zh-CN"/>
                    </w:rPr>
                  </w:pPr>
                </w:p>
              </w:tc>
              <w:tc>
                <w:tcPr>
                  <w:tcW w:w="1804"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c>
                <w:tcPr>
                  <w:tcW w:w="1805" w:type="dxa"/>
                </w:tcPr>
                <w:p>
                  <w:pPr>
                    <w:pStyle w:val="2"/>
                    <w:rPr>
                      <w:rFonts w:hint="default"/>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_GB2312" w:hAnsi="仿宋_GB2312" w:eastAsia="仿宋_GB2312" w:cs="仿宋_GB2312"/>
                <w:b w:val="0"/>
                <w:bCs/>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3" w:hRule="atLeast"/>
        </w:trPr>
        <w:tc>
          <w:tcPr>
            <w:tcW w:w="1607" w:type="dxa"/>
            <w:vAlign w:val="center"/>
          </w:tcPr>
          <w:p>
            <w:pPr>
              <w:spacing w:line="520" w:lineRule="exact"/>
              <w:jc w:val="center"/>
              <w:rPr>
                <w:rFonts w:ascii="华文仿宋" w:hAnsi="华文仿宋" w:eastAsia="华文仿宋"/>
                <w:b/>
                <w:sz w:val="28"/>
                <w:szCs w:val="28"/>
              </w:rPr>
            </w:pPr>
            <w:r>
              <w:rPr>
                <w:rFonts w:ascii="华文仿宋" w:hAnsi="华文仿宋" w:eastAsia="华文仿宋"/>
                <w:b/>
                <w:sz w:val="28"/>
                <w:szCs w:val="28"/>
              </w:rPr>
              <w:t>委员签名</w:t>
            </w:r>
          </w:p>
        </w:tc>
        <w:tc>
          <w:tcPr>
            <w:tcW w:w="7434" w:type="dxa"/>
            <w:gridSpan w:val="5"/>
            <w:vAlign w:val="top"/>
          </w:tcPr>
          <w:p>
            <w:pPr>
              <w:keepNext w:val="0"/>
              <w:keepLines w:val="0"/>
              <w:pageBreakBefore w:val="0"/>
              <w:widowControl w:val="0"/>
              <w:kinsoku/>
              <w:wordWrap/>
              <w:overflowPunct/>
              <w:topLinePunct w:val="0"/>
              <w:autoSpaceDE/>
              <w:autoSpaceDN/>
              <w:bidi w:val="0"/>
              <w:adjustRightInd/>
              <w:snapToGrid/>
              <w:spacing w:before="157" w:beforeLines="50" w:line="480" w:lineRule="exact"/>
              <w:jc w:val="left"/>
              <w:textAlignment w:val="auto"/>
              <w:rPr>
                <w:rFonts w:hint="eastAsia" w:ascii="华文仿宋" w:hAnsi="华文仿宋" w:eastAsia="华文仿宋"/>
                <w:b/>
                <w:sz w:val="28"/>
                <w:szCs w:val="28"/>
                <w:lang w:val="en-US" w:eastAsia="zh-CN"/>
              </w:rPr>
            </w:pPr>
            <w:r>
              <w:rPr>
                <w:rFonts w:hint="eastAsia" w:ascii="华文仿宋" w:hAnsi="华文仿宋" w:eastAsia="华文仿宋"/>
                <w:b/>
                <w:sz w:val="28"/>
                <w:szCs w:val="28"/>
                <w:lang w:val="en-US" w:eastAsia="zh-CN"/>
              </w:rPr>
              <w:t>同意委员签名：</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华文仿宋" w:hAnsi="华文仿宋" w:eastAsia="华文仿宋"/>
                <w:b/>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华文仿宋" w:hAnsi="华文仿宋" w:eastAsia="华文仿宋"/>
                <w:b/>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华文仿宋" w:hAnsi="华文仿宋" w:eastAsia="华文仿宋"/>
                <w:b/>
                <w:sz w:val="28"/>
                <w:szCs w:val="28"/>
                <w:lang w:val="en-US" w:eastAsia="zh-CN"/>
              </w:rPr>
            </w:pPr>
            <w:r>
              <w:rPr>
                <w:rFonts w:hint="eastAsia" w:ascii="华文仿宋" w:hAnsi="华文仿宋" w:eastAsia="华文仿宋"/>
                <w:b/>
                <w:sz w:val="28"/>
                <w:szCs w:val="28"/>
                <w:lang w:val="en-US" w:eastAsia="zh-CN"/>
              </w:rPr>
              <w:t>反对委员签名：</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华文仿宋" w:hAnsi="华文仿宋" w:eastAsia="华文仿宋"/>
                <w:b/>
                <w:sz w:val="28"/>
                <w:szCs w:val="28"/>
                <w:lang w:val="en-US" w:eastAsia="zh-CN"/>
              </w:rPr>
            </w:pPr>
          </w:p>
          <w:p>
            <w:pPr>
              <w:spacing w:line="520" w:lineRule="exact"/>
              <w:jc w:val="left"/>
              <w:rPr>
                <w:rFonts w:hint="default" w:ascii="华文仿宋" w:hAnsi="华文仿宋" w:eastAsia="华文仿宋"/>
                <w:b/>
                <w:sz w:val="28"/>
                <w:szCs w:val="28"/>
                <w:lang w:val="en-US" w:eastAsia="zh-CN"/>
              </w:rPr>
            </w:pPr>
          </w:p>
        </w:tc>
      </w:tr>
    </w:tbl>
    <w:p>
      <w:pPr>
        <w:keepNext w:val="0"/>
        <w:keepLines w:val="0"/>
        <w:pageBreakBefore w:val="0"/>
        <w:widowControl/>
        <w:shd w:val="clear" w:color="auto" w:fill="FFFFFF"/>
        <w:kinsoku/>
        <w:wordWrap/>
        <w:overflowPunct/>
        <w:topLinePunct w:val="0"/>
        <w:autoSpaceDE/>
        <w:autoSpaceDN/>
        <w:bidi w:val="0"/>
        <w:adjustRightInd/>
        <w:snapToGrid/>
        <w:spacing w:line="260" w:lineRule="exact"/>
        <w:jc w:val="both"/>
        <w:textAlignment w:val="auto"/>
        <w:outlineLvl w:val="1"/>
        <w:rPr>
          <w:rFonts w:hint="default" w:ascii="方正小标宋简体" w:hAnsi="黑体" w:eastAsia="方正小标宋简体" w:cs="宋体"/>
          <w:b w:val="0"/>
          <w:bCs w:val="0"/>
          <w:color w:val="000000"/>
          <w:kern w:val="0"/>
          <w:sz w:val="44"/>
          <w:szCs w:val="44"/>
          <w:lang w:val="en-US" w:eastAsia="zh-CN"/>
        </w:rPr>
      </w:pP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AE95E0-8A38-4D45-8DDB-16A25ED0681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embedRegular r:id="rId2" w:fontKey="{522F9C2F-99A3-4F17-9F05-5674455BE2D4}"/>
  </w:font>
  <w:font w:name="方正小标宋简体">
    <w:panose1 w:val="02000000000000000000"/>
    <w:charset w:val="86"/>
    <w:family w:val="script"/>
    <w:pitch w:val="default"/>
    <w:sig w:usb0="A00002BF" w:usb1="184F6CFA" w:usb2="00000012" w:usb3="00000000" w:csb0="00040001" w:csb1="00000000"/>
    <w:embedRegular r:id="rId3" w:fontKey="{E155AF74-D544-45CD-9CEB-8DABDA551DBD}"/>
  </w:font>
  <w:font w:name="仿宋_GB2312">
    <w:panose1 w:val="02010609030101010101"/>
    <w:charset w:val="86"/>
    <w:family w:val="modern"/>
    <w:pitch w:val="default"/>
    <w:sig w:usb0="00000001" w:usb1="080E0000" w:usb2="00000000" w:usb3="00000000" w:csb0="00040000" w:csb1="00000000"/>
    <w:embedRegular r:id="rId4" w:fontKey="{3549F995-E2DE-4806-94B8-49958D46D9D7}"/>
  </w:font>
  <w:font w:name="仿宋">
    <w:panose1 w:val="02010609060101010101"/>
    <w:charset w:val="86"/>
    <w:family w:val="modern"/>
    <w:pitch w:val="default"/>
    <w:sig w:usb0="800002BF" w:usb1="38CF7CFA" w:usb2="00000016" w:usb3="00000000" w:csb0="00040001" w:csb1="00000000"/>
    <w:embedRegular r:id="rId5" w:fontKey="{497FFDCE-812E-41D7-8C4D-422FBF3C4346}"/>
  </w:font>
  <w:font w:name="QisiAaBanSong">
    <w:panose1 w:val="00020600040101010101"/>
    <w:charset w:val="86"/>
    <w:family w:val="auto"/>
    <w:pitch w:val="default"/>
    <w:sig w:usb0="A00002BF" w:usb1="18EF7CFA" w:usb2="00000016" w:usb3="00000000" w:csb0="0004009F" w:csb1="DFD70000"/>
    <w:embedRegular r:id="rId6" w:fontKey="{18C4C5E1-8201-47A5-AE8B-464E968022D3}"/>
  </w:font>
  <w:font w:name="华文新魏">
    <w:panose1 w:val="02010800040101010101"/>
    <w:charset w:val="86"/>
    <w:family w:val="auto"/>
    <w:pitch w:val="default"/>
    <w:sig w:usb0="00000001" w:usb1="080F0000" w:usb2="00000000" w:usb3="00000000" w:csb0="00040000" w:csb1="00000000"/>
    <w:embedRegular r:id="rId7" w:fontKey="{ACEAC9EE-E706-444A-AB1D-2AA5E7A6948E}"/>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pacing w:line="300" w:lineRule="exact"/>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客户第一  奋斗为本</w:t>
    </w:r>
  </w:p>
  <w:p>
    <w:pPr>
      <w:pStyle w:val="16"/>
      <w:spacing w:line="300" w:lineRule="exact"/>
      <w:jc w:val="cente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整体至上  团结协作</w:t>
    </w:r>
  </w:p>
  <w:p>
    <w:pPr>
      <w:pStyle w:val="16"/>
      <w:spacing w:line="300" w:lineRule="exact"/>
      <w:ind w:firstLine="7310" w:firstLineChars="4300"/>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自我革新  开放包容</w:t>
    </w:r>
  </w:p>
  <w:p>
    <w:pPr>
      <w:pStyle w:val="16"/>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yYmE0NmQyMDJiYzNkMWZjYzM2Nzg5MDE3YmQzMTg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0F1A5E"/>
    <w:rsid w:val="1D1F566C"/>
    <w:rsid w:val="1D526E45"/>
    <w:rsid w:val="1D770C9F"/>
    <w:rsid w:val="1D781367"/>
    <w:rsid w:val="1D934F03"/>
    <w:rsid w:val="1DC422B8"/>
    <w:rsid w:val="1DDC1D26"/>
    <w:rsid w:val="1DF63C75"/>
    <w:rsid w:val="1E30234F"/>
    <w:rsid w:val="1E56438C"/>
    <w:rsid w:val="1E675979"/>
    <w:rsid w:val="1E8C601F"/>
    <w:rsid w:val="1EB353CC"/>
    <w:rsid w:val="1EC975DB"/>
    <w:rsid w:val="1EE10644"/>
    <w:rsid w:val="1F4D7724"/>
    <w:rsid w:val="1F6D61B8"/>
    <w:rsid w:val="20144886"/>
    <w:rsid w:val="208A4797"/>
    <w:rsid w:val="20F76FFF"/>
    <w:rsid w:val="21176FBB"/>
    <w:rsid w:val="212B730E"/>
    <w:rsid w:val="21736403"/>
    <w:rsid w:val="218B39C0"/>
    <w:rsid w:val="21DE15EF"/>
    <w:rsid w:val="220F79FB"/>
    <w:rsid w:val="223631D9"/>
    <w:rsid w:val="22600256"/>
    <w:rsid w:val="23005595"/>
    <w:rsid w:val="23136EEB"/>
    <w:rsid w:val="233C3E4E"/>
    <w:rsid w:val="23E57486"/>
    <w:rsid w:val="24106586"/>
    <w:rsid w:val="241E3F33"/>
    <w:rsid w:val="2425014F"/>
    <w:rsid w:val="245E4322"/>
    <w:rsid w:val="24954595"/>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7F0CBD"/>
    <w:rsid w:val="29A30A29"/>
    <w:rsid w:val="29A92DEF"/>
    <w:rsid w:val="2A4B5348"/>
    <w:rsid w:val="2A6C3D63"/>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F1F4A"/>
    <w:rsid w:val="30CC6AB7"/>
    <w:rsid w:val="312D57A8"/>
    <w:rsid w:val="31CB6D6E"/>
    <w:rsid w:val="31D9592F"/>
    <w:rsid w:val="320504D2"/>
    <w:rsid w:val="32807969"/>
    <w:rsid w:val="329459AD"/>
    <w:rsid w:val="329E4165"/>
    <w:rsid w:val="32C00582"/>
    <w:rsid w:val="335C6818"/>
    <w:rsid w:val="33C26591"/>
    <w:rsid w:val="33FA7593"/>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702A3"/>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14684E"/>
    <w:rsid w:val="409E3FCC"/>
    <w:rsid w:val="40D55514"/>
    <w:rsid w:val="40ED3BA3"/>
    <w:rsid w:val="412F51E3"/>
    <w:rsid w:val="41B17D2F"/>
    <w:rsid w:val="41CF7F32"/>
    <w:rsid w:val="424E1A22"/>
    <w:rsid w:val="42611755"/>
    <w:rsid w:val="429531AD"/>
    <w:rsid w:val="42D8613A"/>
    <w:rsid w:val="42FA7159"/>
    <w:rsid w:val="43AA0BC1"/>
    <w:rsid w:val="43AF3320"/>
    <w:rsid w:val="43F92FEC"/>
    <w:rsid w:val="441B1E39"/>
    <w:rsid w:val="44501A81"/>
    <w:rsid w:val="44600F13"/>
    <w:rsid w:val="446B68BB"/>
    <w:rsid w:val="447517CB"/>
    <w:rsid w:val="4484172B"/>
    <w:rsid w:val="44A41DCD"/>
    <w:rsid w:val="44FF34A7"/>
    <w:rsid w:val="45442C68"/>
    <w:rsid w:val="457A48DC"/>
    <w:rsid w:val="45A36FE1"/>
    <w:rsid w:val="45DE1D77"/>
    <w:rsid w:val="45FB5626"/>
    <w:rsid w:val="460F7548"/>
    <w:rsid w:val="462A2F7C"/>
    <w:rsid w:val="4654337F"/>
    <w:rsid w:val="4694464B"/>
    <w:rsid w:val="471C5485"/>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3664CE"/>
    <w:rsid w:val="4EFF13E5"/>
    <w:rsid w:val="4F4E2378"/>
    <w:rsid w:val="4F8C0F92"/>
    <w:rsid w:val="4FBA7B2E"/>
    <w:rsid w:val="4FCD544B"/>
    <w:rsid w:val="4FF77255"/>
    <w:rsid w:val="50376EC1"/>
    <w:rsid w:val="50442E41"/>
    <w:rsid w:val="507052B9"/>
    <w:rsid w:val="50EF1724"/>
    <w:rsid w:val="511104C5"/>
    <w:rsid w:val="51772403"/>
    <w:rsid w:val="5245097E"/>
    <w:rsid w:val="52575455"/>
    <w:rsid w:val="526F57C8"/>
    <w:rsid w:val="527B604B"/>
    <w:rsid w:val="52871D67"/>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7703B"/>
    <w:rsid w:val="5FDC6B40"/>
    <w:rsid w:val="5FF437B1"/>
    <w:rsid w:val="60673F83"/>
    <w:rsid w:val="60A76AF7"/>
    <w:rsid w:val="60B10AFA"/>
    <w:rsid w:val="60FD670A"/>
    <w:rsid w:val="61265BEC"/>
    <w:rsid w:val="61483335"/>
    <w:rsid w:val="615F7CCE"/>
    <w:rsid w:val="61CE3B8D"/>
    <w:rsid w:val="61D75138"/>
    <w:rsid w:val="624C78D4"/>
    <w:rsid w:val="62785DEC"/>
    <w:rsid w:val="62CD2097"/>
    <w:rsid w:val="62E3123D"/>
    <w:rsid w:val="63942E7F"/>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3EF0598"/>
    <w:rsid w:val="73F712F9"/>
    <w:rsid w:val="742A559B"/>
    <w:rsid w:val="746A1C1D"/>
    <w:rsid w:val="746C1710"/>
    <w:rsid w:val="74817FA7"/>
    <w:rsid w:val="74C829A2"/>
    <w:rsid w:val="75AB2AFD"/>
    <w:rsid w:val="75FB0F9D"/>
    <w:rsid w:val="76366479"/>
    <w:rsid w:val="76742AFE"/>
    <w:rsid w:val="76870A83"/>
    <w:rsid w:val="76A038F3"/>
    <w:rsid w:val="76B455F0"/>
    <w:rsid w:val="770B16B4"/>
    <w:rsid w:val="7715608F"/>
    <w:rsid w:val="786A065C"/>
    <w:rsid w:val="788A29CD"/>
    <w:rsid w:val="788E2CEB"/>
    <w:rsid w:val="78CE6DB3"/>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6"/>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7"/>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12">
    <w:name w:val="Body Text"/>
    <w:basedOn w:val="1"/>
    <w:next w:val="1"/>
    <w:semiHidden/>
    <w:unhideWhenUsed/>
    <w:qFormat/>
    <w:uiPriority w:val="99"/>
    <w:pPr>
      <w:spacing w:after="120"/>
    </w:pPr>
  </w:style>
  <w:style w:type="paragraph" w:styleId="13">
    <w:name w:val="Plain Text"/>
    <w:basedOn w:val="1"/>
    <w:qFormat/>
    <w:uiPriority w:val="0"/>
    <w:rPr>
      <w:rFonts w:ascii="宋体" w:hAnsi="Courier New" w:cs="Courier New"/>
      <w:szCs w:val="21"/>
    </w:rPr>
  </w:style>
  <w:style w:type="paragraph" w:styleId="14">
    <w:name w:val="Body Text Indent 2"/>
    <w:basedOn w:val="1"/>
    <w:next w:val="1"/>
    <w:qFormat/>
    <w:uiPriority w:val="0"/>
    <w:pPr>
      <w:spacing w:after="120" w:line="480" w:lineRule="auto"/>
      <w:ind w:left="200" w:leftChars="200"/>
    </w:pPr>
    <w:rPr>
      <w:rFonts w:ascii="Times New Roman" w:hAnsi="Times New Roman"/>
    </w:rPr>
  </w:style>
  <w:style w:type="paragraph" w:styleId="15">
    <w:name w:val="footer"/>
    <w:basedOn w:val="1"/>
    <w:next w:val="1"/>
    <w:link w:val="44"/>
    <w:unhideWhenUsed/>
    <w:qFormat/>
    <w:uiPriority w:val="99"/>
    <w:pPr>
      <w:tabs>
        <w:tab w:val="center" w:pos="4153"/>
        <w:tab w:val="right" w:pos="8306"/>
      </w:tabs>
      <w:snapToGrid w:val="0"/>
      <w:jc w:val="left"/>
    </w:pPr>
    <w:rPr>
      <w:sz w:val="18"/>
      <w:szCs w:val="18"/>
    </w:rPr>
  </w:style>
  <w:style w:type="paragraph" w:styleId="16">
    <w:name w:val="header"/>
    <w:basedOn w:val="1"/>
    <w:link w:val="43"/>
    <w:unhideWhenUsed/>
    <w:qFormat/>
    <w:uiPriority w:val="99"/>
    <w:pPr>
      <w:tabs>
        <w:tab w:val="center" w:pos="4153"/>
        <w:tab w:val="right" w:pos="8306"/>
      </w:tabs>
      <w:snapToGrid w:val="0"/>
      <w:jc w:val="center"/>
    </w:pPr>
    <w:rPr>
      <w:sz w:val="18"/>
      <w:szCs w:val="18"/>
    </w:rPr>
  </w:style>
  <w:style w:type="paragraph" w:styleId="17">
    <w:name w:val="toc 1"/>
    <w:basedOn w:val="1"/>
    <w:next w:val="1"/>
    <w:semiHidden/>
    <w:qFormat/>
    <w:uiPriority w:val="0"/>
    <w:rPr>
      <w:rFonts w:ascii="Calibri" w:hAnsi="Calibri"/>
    </w:rPr>
  </w:style>
  <w:style w:type="paragraph" w:styleId="18">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Body Text 2"/>
    <w:basedOn w:val="1"/>
    <w:qFormat/>
    <w:uiPriority w:val="0"/>
    <w:pPr>
      <w:widowControl w:val="0"/>
      <w:kinsoku/>
      <w:autoSpaceDE/>
      <w:autoSpaceDN/>
      <w:spacing w:line="600" w:lineRule="exact"/>
      <w:ind w:left="1280" w:hanging="1280" w:hangingChars="400"/>
      <w:textAlignment w:val="auto"/>
    </w:pPr>
  </w:style>
  <w:style w:type="paragraph" w:styleId="2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
    <w:name w:val="标题 1 字符"/>
    <w:basedOn w:val="24"/>
    <w:link w:val="3"/>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4"/>
    <w:link w:val="4"/>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4"/>
    <w:link w:val="5"/>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4"/>
    <w:link w:val="6"/>
    <w:semiHidden/>
    <w:qFormat/>
    <w:uiPriority w:val="9"/>
    <w:rPr>
      <w:rFonts w:cstheme="majorBidi"/>
      <w:color w:val="104862" w:themeColor="accent1" w:themeShade="BF"/>
      <w:sz w:val="28"/>
      <w:szCs w:val="28"/>
    </w:rPr>
  </w:style>
  <w:style w:type="character" w:customStyle="1" w:styleId="29">
    <w:name w:val="标题 5 字符"/>
    <w:basedOn w:val="24"/>
    <w:link w:val="7"/>
    <w:semiHidden/>
    <w:qFormat/>
    <w:uiPriority w:val="9"/>
    <w:rPr>
      <w:rFonts w:cstheme="majorBidi"/>
      <w:color w:val="104862" w:themeColor="accent1" w:themeShade="BF"/>
      <w:sz w:val="24"/>
      <w:szCs w:val="24"/>
    </w:rPr>
  </w:style>
  <w:style w:type="character" w:customStyle="1" w:styleId="30">
    <w:name w:val="标题 6 字符"/>
    <w:basedOn w:val="24"/>
    <w:link w:val="8"/>
    <w:semiHidden/>
    <w:qFormat/>
    <w:uiPriority w:val="9"/>
    <w:rPr>
      <w:rFonts w:cstheme="majorBidi"/>
      <w:b/>
      <w:bCs/>
      <w:color w:val="104862" w:themeColor="accent1" w:themeShade="BF"/>
    </w:rPr>
  </w:style>
  <w:style w:type="character" w:customStyle="1" w:styleId="31">
    <w:name w:val="标题 7 字符"/>
    <w:basedOn w:val="24"/>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4"/>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4"/>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4"/>
    <w:link w:val="21"/>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4"/>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4"/>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4"/>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4"/>
    <w:link w:val="40"/>
    <w:qFormat/>
    <w:uiPriority w:val="30"/>
    <w:rPr>
      <w:i/>
      <w:iCs/>
      <w:color w:val="104862" w:themeColor="accent1" w:themeShade="BF"/>
    </w:rPr>
  </w:style>
  <w:style w:type="character" w:customStyle="1" w:styleId="42">
    <w:name w:val="Intense Reference"/>
    <w:basedOn w:val="24"/>
    <w:qFormat/>
    <w:uiPriority w:val="32"/>
    <w:rPr>
      <w:b/>
      <w:bCs/>
      <w:smallCaps/>
      <w:color w:val="104862" w:themeColor="accent1" w:themeShade="BF"/>
      <w:spacing w:val="5"/>
    </w:rPr>
  </w:style>
  <w:style w:type="character" w:customStyle="1" w:styleId="43">
    <w:name w:val="页眉 字符"/>
    <w:basedOn w:val="24"/>
    <w:link w:val="16"/>
    <w:qFormat/>
    <w:uiPriority w:val="99"/>
    <w:rPr>
      <w:sz w:val="18"/>
      <w:szCs w:val="18"/>
    </w:rPr>
  </w:style>
  <w:style w:type="character" w:customStyle="1" w:styleId="44">
    <w:name w:val="页脚 字符"/>
    <w:basedOn w:val="24"/>
    <w:link w:val="15"/>
    <w:qFormat/>
    <w:uiPriority w:val="99"/>
    <w:rPr>
      <w:sz w:val="18"/>
      <w:szCs w:val="18"/>
    </w:rPr>
  </w:style>
  <w:style w:type="paragraph" w:customStyle="1" w:styleId="4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1212</Words>
  <Characters>1308</Characters>
  <Lines>25</Lines>
  <Paragraphs>7</Paragraphs>
  <TotalTime>5</TotalTime>
  <ScaleCrop>false</ScaleCrop>
  <LinksUpToDate>false</LinksUpToDate>
  <CharactersWithSpaces>1324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user</cp:lastModifiedBy>
  <cp:lastPrinted>2024-02-01T08:47:00Z</cp:lastPrinted>
  <dcterms:modified xsi:type="dcterms:W3CDTF">2024-05-29T06:14:26Z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94CF98BADB484982AD7942432F264B38</vt:lpwstr>
  </property>
</Properties>
</file>