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r>
        <w:rPr>
          <w:rFonts w:ascii="方正小标宋简体" w:hAnsi="方正小标宋简体" w:eastAsia="方正小标宋简体" w:cs="方正小标宋简体"/>
          <w:b w:val="0"/>
          <w:bCs/>
          <w:sz w:val="44"/>
          <w:szCs w:val="44"/>
          <w:highlight w:val="none"/>
        </w:rPr>
        <w:t>202</w:t>
      </w:r>
      <w:r>
        <w:rPr>
          <w:rFonts w:hint="eastAsia" w:ascii="方正小标宋简体" w:hAnsi="方正小标宋简体" w:eastAsia="方正小标宋简体" w:cs="方正小标宋简体"/>
          <w:b w:val="0"/>
          <w:bCs/>
          <w:sz w:val="44"/>
          <w:szCs w:val="44"/>
          <w:highlight w:val="none"/>
          <w:lang w:val="en-US" w:eastAsia="zh-CN"/>
        </w:rPr>
        <w:t>4</w:t>
      </w:r>
      <w:r>
        <w:rPr>
          <w:rFonts w:ascii="方正小标宋简体" w:hAnsi="方正小标宋简体" w:eastAsia="方正小标宋简体" w:cs="方正小标宋简体"/>
          <w:b w:val="0"/>
          <w:bCs/>
          <w:sz w:val="44"/>
          <w:szCs w:val="44"/>
          <w:highlight w:val="none"/>
        </w:rPr>
        <w:t>年度经营业绩责任书</w:t>
      </w:r>
    </w:p>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single"/>
          <w:lang w:val="en-US" w:eastAsia="zh-CN"/>
        </w:rPr>
      </w:pPr>
      <w:r>
        <w:rPr>
          <w:rFonts w:hint="eastAsia" w:ascii="仿宋_GB2312" w:hAnsi="仿宋_GB2312" w:eastAsia="仿宋_GB2312" w:cs="仿宋_GB2312"/>
          <w:b w:val="0"/>
          <w:bCs/>
          <w:sz w:val="32"/>
          <w:szCs w:val="32"/>
          <w:highlight w:val="none"/>
          <w:lang w:val="en-US" w:eastAsia="zh-CN"/>
        </w:rPr>
        <w:t>公司</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u w:val="single"/>
          <w:lang w:val="en-US" w:eastAsia="zh-CN"/>
        </w:rPr>
        <w:t>成都微精电机股份公司</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甲方（考核方、授权代表）：谢海东</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身份证号码：612623197902170119</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任职单位及职务：董事长</w:t>
      </w:r>
    </w:p>
    <w:p>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jc w:val="left"/>
        <w:rPr>
          <w:rFonts w:hint="default" w:ascii="仿宋_GB2312" w:hAnsi="仿宋_GB2312" w:eastAsia="仿宋_GB2312" w:cs="仿宋_GB2312"/>
          <w:b w:val="0"/>
          <w:bCs/>
          <w:sz w:val="32"/>
          <w:szCs w:val="32"/>
          <w:highlight w:val="none"/>
          <w:u w:val="single"/>
          <w:lang w:val="en-US" w:eastAsia="zh-CN"/>
        </w:rPr>
      </w:pPr>
      <w:r>
        <w:rPr>
          <w:rFonts w:hint="eastAsia" w:ascii="仿宋_GB2312" w:hAnsi="仿宋_GB2312" w:eastAsia="仿宋_GB2312" w:cs="仿宋_GB2312"/>
          <w:b w:val="0"/>
          <w:bCs/>
          <w:sz w:val="32"/>
          <w:szCs w:val="32"/>
          <w:highlight w:val="none"/>
          <w:lang w:val="en-US" w:eastAsia="zh-CN"/>
        </w:rPr>
        <w:t>乙方（</w:t>
      </w:r>
      <w:r>
        <w:rPr>
          <w:rFonts w:hint="eastAsia" w:ascii="仿宋_GB2312" w:hAnsi="仿宋_GB2312" w:eastAsia="仿宋_GB2312" w:cs="仿宋_GB2312"/>
          <w:b w:val="0"/>
          <w:bCs/>
          <w:sz w:val="32"/>
          <w:szCs w:val="32"/>
          <w:highlight w:val="none"/>
        </w:rPr>
        <w:t>被考核方</w:t>
      </w:r>
      <w:r>
        <w:rPr>
          <w:rFonts w:hint="eastAsia" w:ascii="仿宋_GB2312" w:hAnsi="仿宋_GB2312" w:eastAsia="仿宋_GB2312" w:cs="仿宋_GB2312"/>
          <w:b w:val="0"/>
          <w:bCs/>
          <w:sz w:val="32"/>
          <w:szCs w:val="32"/>
          <w:highlight w:val="none"/>
          <w:lang w:val="en-US" w:eastAsia="zh-CN"/>
        </w:rPr>
        <w:t>）</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u w:val="single"/>
          <w:lang w:val="en-US" w:eastAsia="zh-CN"/>
        </w:rPr>
        <w:t>石利俊</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身份证号码：142202198204070610</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为充分调动公司经营者的积极性，鼓励为公司经营发展找增量、提效益，引导其全面完成年度和任期经营目标任务，结合《绵阳市市属国有企业负责人经营业绩考核办法》（绵府办发〔2021〕24号）及九洲集团薪酬绩效等相关管理制度,业绩指标一年一签。为此特制定本责任书。</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一、</w:t>
      </w:r>
      <w:r>
        <w:rPr>
          <w:rFonts w:hint="eastAsia" w:ascii="黑体" w:hAnsi="黑体" w:eastAsia="黑体" w:cs="黑体"/>
          <w:b w:val="0"/>
          <w:bCs/>
          <w:sz w:val="32"/>
          <w:szCs w:val="32"/>
          <w:highlight w:val="none"/>
        </w:rPr>
        <w:t>考核周期</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考核期限：</w:t>
      </w:r>
      <w:r>
        <w:rPr>
          <w:rFonts w:hint="eastAsia" w:ascii="仿宋_GB2312" w:hAnsi="仿宋_GB2312" w:eastAsia="仿宋_GB2312" w:cs="仿宋_GB2312"/>
          <w:b w:val="0"/>
          <w:bCs/>
          <w:sz w:val="32"/>
          <w:szCs w:val="32"/>
          <w:highlight w:val="none"/>
          <w:u w:val="single"/>
        </w:rPr>
        <w:t>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年1月1日至202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年12月31日</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val="en-US" w:eastAsia="zh-CN"/>
        </w:rPr>
        <w:t>二、</w:t>
      </w:r>
      <w:r>
        <w:rPr>
          <w:rFonts w:hint="eastAsia" w:ascii="黑体" w:hAnsi="黑体" w:eastAsia="黑体" w:cs="黑体"/>
          <w:b w:val="0"/>
          <w:bCs/>
          <w:sz w:val="32"/>
          <w:szCs w:val="32"/>
          <w:highlight w:val="none"/>
          <w:lang w:eastAsia="zh-CN"/>
        </w:rPr>
        <w:t>考核指标</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经营业绩指标分为组织绩效指标、任务绩效指标、协同绩效指标和红线指标等四个维度</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由甲方根据企业发展战略、经营计划、历史数据、行业对标情况以及乙方岗位职责等确定，202</w:t>
      </w:r>
      <w:r>
        <w:rPr>
          <w:rFonts w:hint="eastAsia" w:ascii="仿宋_GB2312" w:hAnsi="仿宋_GB2312" w:eastAsia="仿宋_GB2312" w:cs="仿宋_GB2312"/>
          <w:b w:val="0"/>
          <w:bCs/>
          <w:sz w:val="32"/>
          <w:szCs w:val="32"/>
          <w:highlight w:val="none"/>
          <w:lang w:val="en-US" w:eastAsia="zh-CN"/>
        </w:rPr>
        <w:t>4</w:t>
      </w:r>
      <w:r>
        <w:rPr>
          <w:rFonts w:hint="eastAsia" w:ascii="仿宋_GB2312" w:hAnsi="仿宋_GB2312" w:eastAsia="仿宋_GB2312" w:cs="仿宋_GB2312"/>
          <w:b w:val="0"/>
          <w:bCs/>
          <w:sz w:val="32"/>
          <w:szCs w:val="32"/>
          <w:highlight w:val="none"/>
        </w:rPr>
        <w:t>年业绩目标如下：</w:t>
      </w:r>
    </w:p>
    <w:p>
      <w:pPr>
        <w:keepNext w:val="0"/>
        <w:keepLines w:val="0"/>
        <w:pageBreakBefore w:val="0"/>
        <w:kinsoku/>
        <w:wordWrap/>
        <w:overflowPunct/>
        <w:topLinePunct w:val="0"/>
        <w:autoSpaceDE/>
        <w:autoSpaceDN/>
        <w:bidi w:val="0"/>
        <w:spacing w:line="560" w:lineRule="exact"/>
        <w:ind w:firstLine="643" w:firstLineChars="200"/>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（一）组织绩效</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b w:val="0"/>
          <w:bCs/>
          <w:sz w:val="32"/>
          <w:szCs w:val="32"/>
          <w:highlight w:val="none"/>
        </w:rPr>
      </w:pPr>
      <w:r>
        <w:rPr>
          <w:rFonts w:hint="eastAsia" w:ascii="仿宋_GB2312" w:eastAsia="仿宋_GB2312"/>
          <w:b w:val="0"/>
          <w:bCs/>
          <w:sz w:val="32"/>
          <w:szCs w:val="32"/>
          <w:highlight w:val="none"/>
        </w:rPr>
        <w:t>组织绩效指标为定量的经济指标，主要包括所在公司营业收入、利润总额、人工成本利润率、期间费用率、应收账款周转率、存货周转率等指标，指标得分上不封顶。</w:t>
      </w:r>
    </w:p>
    <w:tbl>
      <w:tblPr>
        <w:tblStyle w:val="20"/>
        <w:tblW w:w="494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2"/>
        <w:gridCol w:w="573"/>
        <w:gridCol w:w="526"/>
        <w:gridCol w:w="635"/>
        <w:gridCol w:w="560"/>
        <w:gridCol w:w="570"/>
        <w:gridCol w:w="510"/>
        <w:gridCol w:w="455"/>
        <w:gridCol w:w="640"/>
        <w:gridCol w:w="460"/>
        <w:gridCol w:w="590"/>
        <w:gridCol w:w="615"/>
        <w:gridCol w:w="680"/>
        <w:gridCol w:w="523"/>
        <w:gridCol w:w="387"/>
        <w:gridCol w:w="5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380"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bidi="ar"/>
              </w:rPr>
            </w:pPr>
            <w:r>
              <w:rPr>
                <w:rFonts w:hint="eastAsia" w:ascii="仿宋_GB2312" w:hAnsi="仿宋_GB2312" w:eastAsia="仿宋_GB2312" w:cs="仿宋_GB2312"/>
                <w:b/>
                <w:bCs/>
                <w:i w:val="0"/>
                <w:iCs w:val="0"/>
                <w:color w:val="auto"/>
                <w:kern w:val="0"/>
                <w:sz w:val="21"/>
                <w:szCs w:val="21"/>
                <w:highlight w:val="none"/>
                <w:u w:val="none"/>
                <w:lang w:val="en-US" w:eastAsia="zh-CN" w:bidi="ar"/>
              </w:rPr>
              <w:t>公司（部门）</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名称</w:t>
            </w:r>
          </w:p>
        </w:tc>
        <w:tc>
          <w:tcPr>
            <w:tcW w:w="319" w:type="pct"/>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64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营业收入</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(万元)</w:t>
            </w:r>
          </w:p>
        </w:tc>
        <w:tc>
          <w:tcPr>
            <w:tcW w:w="63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利润总额(万元)</w:t>
            </w:r>
          </w:p>
        </w:tc>
        <w:tc>
          <w:tcPr>
            <w:tcW w:w="53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在绵产值/营收(万元)</w:t>
            </w:r>
          </w:p>
        </w:tc>
        <w:tc>
          <w:tcPr>
            <w:tcW w:w="61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人工成本</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利润率</w:t>
            </w:r>
          </w:p>
        </w:tc>
        <w:tc>
          <w:tcPr>
            <w:tcW w:w="67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人均利润</w:t>
            </w:r>
          </w:p>
        </w:tc>
        <w:tc>
          <w:tcPr>
            <w:tcW w:w="67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期间</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费用率</w:t>
            </w:r>
          </w:p>
        </w:tc>
        <w:tc>
          <w:tcPr>
            <w:tcW w:w="52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b/>
                <w:color w:val="auto"/>
                <w:sz w:val="21"/>
                <w:szCs w:val="21"/>
                <w:highlight w:val="none"/>
                <w:lang w:bidi="ar"/>
              </w:rPr>
            </w:pPr>
            <w:r>
              <w:rPr>
                <w:rStyle w:val="44"/>
                <w:b/>
                <w:color w:val="auto"/>
                <w:sz w:val="21"/>
                <w:szCs w:val="21"/>
                <w:highlight w:val="none"/>
                <w:lang w:bidi="ar"/>
              </w:rPr>
              <w:t>两金</w:t>
            </w:r>
          </w:p>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Cs/>
                <w:color w:val="auto"/>
                <w:sz w:val="21"/>
                <w:szCs w:val="21"/>
                <w:highlight w:val="none"/>
                <w:vertAlign w:val="baseline"/>
                <w:lang w:val="en-US" w:eastAsia="zh-CN"/>
              </w:rPr>
            </w:pPr>
            <w:r>
              <w:rPr>
                <w:rStyle w:val="44"/>
                <w:b/>
                <w:color w:val="auto"/>
                <w:sz w:val="21"/>
                <w:szCs w:val="21"/>
                <w:highlight w:val="none"/>
                <w:lang w:bidi="ar"/>
              </w:rPr>
              <w:t>周转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380" w:type="pct"/>
            <w:vMerge w:val="continue"/>
            <w:tcBorders>
              <w:top w:val="single" w:color="000000" w:sz="4" w:space="0"/>
              <w:left w:val="single" w:color="000000" w:sz="4" w:space="0"/>
              <w:bottom w:val="single" w:color="auto" w:sz="4" w:space="0"/>
              <w:right w:val="single" w:color="000000" w:sz="4" w:space="0"/>
            </w:tcBorders>
            <w:noWrap/>
            <w:vAlign w:val="center"/>
          </w:tcPr>
          <w:p>
            <w:pPr>
              <w:keepNext w:val="0"/>
              <w:keepLines w:val="0"/>
              <w:pageBreakBefore w:val="0"/>
              <w:kinsoku/>
              <w:wordWrap/>
              <w:overflowPunct/>
              <w:topLinePunct w:val="0"/>
              <w:autoSpaceDE/>
              <w:autoSpaceDN/>
              <w:bidi w:val="0"/>
              <w:spacing w:line="240" w:lineRule="exact"/>
              <w:jc w:val="center"/>
              <w:rPr>
                <w:rFonts w:hint="eastAsia" w:ascii="仿宋_GB2312" w:hAnsi="仿宋_GB2312" w:eastAsia="仿宋_GB2312" w:cs="仿宋_GB2312"/>
                <w:b/>
                <w:bCs/>
                <w:i w:val="0"/>
                <w:iCs w:val="0"/>
                <w:color w:val="auto"/>
                <w:sz w:val="21"/>
                <w:szCs w:val="21"/>
                <w:highlight w:val="none"/>
                <w:u w:val="none"/>
              </w:rPr>
            </w:pPr>
          </w:p>
        </w:tc>
        <w:tc>
          <w:tcPr>
            <w:tcW w:w="319" w:type="pct"/>
            <w:vMerge w:val="continue"/>
            <w:tcBorders>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bidi="ar"/>
              </w:rPr>
            </w:pPr>
          </w:p>
        </w:tc>
        <w:tc>
          <w:tcPr>
            <w:tcW w:w="29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目标</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SA"/>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SA"/>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3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3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2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目标</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4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380" w:type="pct"/>
            <w:tcBorders>
              <w:top w:val="single" w:color="auto" w:sz="4" w:space="0"/>
              <w:left w:val="single" w:color="000000" w:sz="4" w:space="0"/>
              <w:bottom w:val="single" w:color="000000" w:sz="4" w:space="0"/>
              <w:right w:val="single" w:color="000000" w:sz="4" w:space="0"/>
            </w:tcBorders>
            <w:noWrap/>
            <w:vAlign w:val="center"/>
          </w:tcPr>
          <w:p>
            <w:pPr>
              <w:pStyle w:val="45"/>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仿宋_GB2312" w:hAnsi="仿宋_GB2312" w:eastAsia="仿宋_GB2312" w:cs="仿宋_GB2312"/>
                <w:b/>
                <w:bCs/>
                <w:i w:val="0"/>
                <w:iCs w:val="0"/>
                <w:color w:val="auto"/>
                <w:sz w:val="16"/>
                <w:szCs w:val="16"/>
                <w:highlight w:val="none"/>
                <w:u w:val="none"/>
                <w:lang w:val="en-US" w:eastAsia="zh-CN"/>
              </w:rPr>
            </w:pPr>
            <w:r>
              <w:rPr>
                <w:rFonts w:hint="eastAsia" w:ascii="仿宋_GB2312" w:hAnsi="仿宋_GB2312" w:eastAsia="仿宋_GB2312" w:cs="仿宋_GB2312"/>
                <w:b/>
                <w:bCs/>
                <w:i w:val="0"/>
                <w:iCs w:val="0"/>
                <w:color w:val="auto"/>
                <w:sz w:val="16"/>
                <w:szCs w:val="16"/>
                <w:highlight w:val="none"/>
                <w:u w:val="none"/>
                <w:lang w:val="en-US" w:eastAsia="zh-CN"/>
              </w:rPr>
              <w:t>成都微精</w:t>
            </w:r>
          </w:p>
        </w:tc>
        <w:tc>
          <w:tcPr>
            <w:tcW w:w="319" w:type="pct"/>
            <w:tcBorders>
              <w:top w:val="single" w:color="auto" w:sz="4" w:space="0"/>
              <w:left w:val="single" w:color="000000" w:sz="4" w:space="0"/>
              <w:bottom w:val="single" w:color="auto"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仿宋_GB2312" w:hAnsi="仿宋_GB2312" w:eastAsia="仿宋_GB2312" w:cs="仿宋_GB2312"/>
                <w:b/>
                <w:bCs/>
                <w:i w:val="0"/>
                <w:iCs w:val="0"/>
                <w:color w:val="auto"/>
                <w:kern w:val="0"/>
                <w:sz w:val="16"/>
                <w:szCs w:val="16"/>
                <w:highlight w:val="none"/>
                <w:u w:val="none"/>
                <w:lang w:val="en-US" w:eastAsia="zh-CN" w:bidi="ar"/>
              </w:rPr>
            </w:pPr>
            <w:r>
              <w:rPr>
                <w:rFonts w:hint="eastAsia" w:ascii="仿宋_GB2312" w:hAnsi="仿宋_GB2312" w:eastAsia="仿宋_GB2312" w:cs="仿宋_GB2312"/>
                <w:b/>
                <w:bCs/>
                <w:i w:val="0"/>
                <w:iCs w:val="0"/>
                <w:color w:val="auto"/>
                <w:kern w:val="0"/>
                <w:sz w:val="16"/>
                <w:szCs w:val="16"/>
                <w:highlight w:val="none"/>
                <w:u w:val="none"/>
                <w:lang w:val="en-US" w:eastAsia="zh-CN" w:bidi="ar"/>
              </w:rPr>
              <w:t>100%</w:t>
            </w:r>
          </w:p>
        </w:tc>
        <w:tc>
          <w:tcPr>
            <w:tcW w:w="293" w:type="pct"/>
            <w:tcBorders>
              <w:top w:val="single" w:color="000000" w:sz="4" w:space="0"/>
              <w:left w:val="single" w:color="000000" w:sz="4" w:space="0"/>
              <w:bottom w:val="single" w:color="000000"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Fonts w:hint="default" w:ascii="仿宋_GB2312" w:hAnsi="仿宋_GB2312" w:eastAsia="仿宋_GB2312" w:cs="仿宋_GB2312"/>
                <w:b/>
                <w:bCs/>
                <w:i w:val="0"/>
                <w:iCs w:val="0"/>
                <w:color w:val="auto"/>
                <w:kern w:val="0"/>
                <w:sz w:val="16"/>
                <w:szCs w:val="16"/>
                <w:highlight w:val="none"/>
                <w:u w:val="none"/>
                <w:lang w:val="en-US" w:eastAsia="zh-CN" w:bidi="ar"/>
              </w:rPr>
            </w:pPr>
            <w:r>
              <w:rPr>
                <w:rFonts w:hint="eastAsia" w:ascii="仿宋_GB2312" w:hAnsi="仿宋_GB2312" w:eastAsia="仿宋_GB2312" w:cs="仿宋_GB2312"/>
                <w:b/>
                <w:bCs/>
                <w:i w:val="0"/>
                <w:iCs w:val="0"/>
                <w:color w:val="000000"/>
                <w:sz w:val="16"/>
                <w:szCs w:val="16"/>
                <w:highlight w:val="none"/>
                <w:u w:val="none"/>
                <w:lang w:val="en-US" w:eastAsia="zh-CN"/>
              </w:rPr>
              <w:t>23000</w:t>
            </w:r>
          </w:p>
        </w:tc>
        <w:tc>
          <w:tcPr>
            <w:tcW w:w="354" w:type="pct"/>
            <w:tcBorders>
              <w:top w:val="single" w:color="000000" w:sz="4" w:space="0"/>
              <w:left w:val="single" w:color="000000" w:sz="4" w:space="0"/>
              <w:bottom w:val="single" w:color="000000"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40%</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5500</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200" w:lineRule="exact"/>
              <w:ind w:left="0" w:leftChars="0"/>
              <w:jc w:val="center"/>
              <w:textAlignment w:val="auto"/>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40%</w:t>
            </w:r>
          </w:p>
        </w:tc>
        <w:tc>
          <w:tcPr>
            <w:tcW w:w="28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w:t>
            </w:r>
          </w:p>
        </w:tc>
        <w:tc>
          <w:tcPr>
            <w:tcW w:w="25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w:t>
            </w:r>
          </w:p>
        </w:tc>
        <w:tc>
          <w:tcPr>
            <w:tcW w:w="35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73.3%</w:t>
            </w:r>
          </w:p>
        </w:tc>
        <w:tc>
          <w:tcPr>
            <w:tcW w:w="2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5%</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11.3</w:t>
            </w:r>
          </w:p>
        </w:tc>
        <w:tc>
          <w:tcPr>
            <w:tcW w:w="3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5%</w:t>
            </w:r>
          </w:p>
        </w:tc>
        <w:tc>
          <w:tcPr>
            <w:tcW w:w="37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AutoHyphens/>
              <w:kinsoku/>
              <w:wordWrap/>
              <w:overflowPunct/>
              <w:topLinePunct w:val="0"/>
              <w:autoSpaceDE/>
              <w:autoSpaceDN/>
              <w:bidi w:val="0"/>
              <w:adjustRightInd w:val="0"/>
              <w:snapToGrid w:val="0"/>
              <w:spacing w:line="200" w:lineRule="exact"/>
              <w:jc w:val="left"/>
              <w:textAlignment w:val="auto"/>
              <w:rPr>
                <w:rFonts w:hint="default" w:ascii="仿宋_GB2312" w:hAnsi="仿宋_GB2312" w:eastAsia="仿宋_GB2312" w:cs="仿宋_GB2312"/>
                <w:b/>
                <w:bCs/>
                <w:kern w:val="2"/>
                <w:sz w:val="16"/>
                <w:szCs w:val="16"/>
                <w:highlight w:val="none"/>
                <w:vertAlign w:val="baseline"/>
                <w:lang w:val="en-US" w:eastAsia="zh-CN" w:bidi="ar-SA"/>
              </w:rPr>
            </w:pPr>
            <w:r>
              <w:rPr>
                <w:rFonts w:hint="eastAsia" w:ascii="仿宋_GB2312" w:hAnsi="仿宋_GB2312" w:eastAsia="仿宋_GB2312" w:cs="仿宋_GB2312"/>
                <w:b/>
                <w:bCs/>
                <w:kern w:val="2"/>
                <w:sz w:val="16"/>
                <w:szCs w:val="16"/>
                <w:highlight w:val="none"/>
                <w:vertAlign w:val="baseline"/>
                <w:lang w:val="en-US" w:eastAsia="zh-CN" w:bidi="ar-SA"/>
              </w:rPr>
              <w:t>23.9%</w:t>
            </w:r>
          </w:p>
        </w:tc>
        <w:tc>
          <w:tcPr>
            <w:tcW w:w="29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5%</w:t>
            </w:r>
          </w:p>
        </w:tc>
        <w:tc>
          <w:tcPr>
            <w:tcW w:w="21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Fonts w:hint="default" w:ascii="仿宋_GB2312" w:hAnsi="仿宋_GB2312" w:eastAsia="仿宋_GB2312" w:cs="仿宋_GB2312"/>
                <w:b/>
                <w:bCs/>
                <w:i w:val="0"/>
                <w:iCs w:val="0"/>
                <w:color w:val="auto"/>
                <w:kern w:val="0"/>
                <w:sz w:val="16"/>
                <w:szCs w:val="16"/>
                <w:highlight w:val="none"/>
                <w:u w:val="none"/>
                <w:lang w:val="en-US" w:eastAsia="zh-CN" w:bidi="ar"/>
              </w:rPr>
            </w:pPr>
            <w:r>
              <w:rPr>
                <w:rFonts w:hint="eastAsia" w:ascii="仿宋_GB2312" w:hAnsi="仿宋_GB2312" w:eastAsia="仿宋_GB2312" w:cs="仿宋_GB2312"/>
                <w:b/>
                <w:bCs/>
                <w:i w:val="0"/>
                <w:iCs w:val="0"/>
                <w:color w:val="auto"/>
                <w:kern w:val="0"/>
                <w:sz w:val="16"/>
                <w:szCs w:val="16"/>
                <w:highlight w:val="none"/>
                <w:u w:val="none"/>
                <w:lang w:val="en-US" w:eastAsia="zh-CN" w:bidi="ar"/>
              </w:rPr>
              <w:t>按专项办法</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200" w:lineRule="exact"/>
              <w:jc w:val="center"/>
              <w:textAlignment w:val="center"/>
              <w:rPr>
                <w:rStyle w:val="44"/>
                <w:rFonts w:hint="default" w:ascii="仿宋_GB2312" w:hAnsi="仿宋_GB2312" w:eastAsia="仿宋_GB2312" w:cs="仿宋_GB2312"/>
                <w:b/>
                <w:bCs/>
                <w:color w:val="auto"/>
                <w:sz w:val="16"/>
                <w:szCs w:val="16"/>
                <w:highlight w:val="none"/>
                <w:lang w:val="en-US" w:eastAsia="zh-CN" w:bidi="ar"/>
              </w:rPr>
            </w:pPr>
            <w:r>
              <w:rPr>
                <w:rStyle w:val="44"/>
                <w:rFonts w:hint="eastAsia" w:ascii="仿宋_GB2312" w:hAnsi="仿宋_GB2312" w:eastAsia="仿宋_GB2312" w:cs="仿宋_GB2312"/>
                <w:b/>
                <w:bCs/>
                <w:color w:val="auto"/>
                <w:sz w:val="16"/>
                <w:szCs w:val="16"/>
                <w:highlight w:val="none"/>
                <w:lang w:val="en-US" w:eastAsia="zh-CN" w:bidi="ar"/>
              </w:rPr>
              <w:t>5%</w:t>
            </w:r>
          </w:p>
        </w:tc>
      </w:tr>
    </w:tbl>
    <w:p>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（二）任务绩效</w:t>
      </w:r>
    </w:p>
    <w:p>
      <w:pPr>
        <w:widowControl/>
        <w:spacing w:line="560" w:lineRule="exact"/>
        <w:ind w:firstLine="640" w:firstLineChars="200"/>
        <w:rPr>
          <w:rFonts w:hint="default" w:ascii="仿宋_GB2312" w:hAnsi="Times New Roman" w:eastAsia="仿宋_GB2312" w:cs="Times New Roman"/>
          <w:b w:val="0"/>
          <w:bCs/>
          <w:sz w:val="32"/>
          <w:szCs w:val="32"/>
          <w:highlight w:val="none"/>
          <w:lang w:val="en-US" w:eastAsia="zh-CN"/>
        </w:rPr>
      </w:pPr>
      <w:r>
        <w:rPr>
          <w:rFonts w:hint="eastAsia" w:ascii="仿宋_GB2312" w:eastAsia="仿宋_GB2312"/>
          <w:sz w:val="32"/>
          <w:szCs w:val="32"/>
          <w:highlight w:val="none"/>
          <w:lang w:val="en-US" w:eastAsia="zh-CN"/>
        </w:rPr>
        <w:t>任务绩效指标为定性的重点任务指标，主要包括经营发展、科技创新、数字化转型、党建工作、投融资、专项工作等。每项得分不超过120分。</w:t>
      </w:r>
    </w:p>
    <w:tbl>
      <w:tblPr>
        <w:tblStyle w:val="46"/>
        <w:tblW w:w="50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84"/>
        <w:gridCol w:w="1315"/>
        <w:gridCol w:w="5858"/>
        <w:gridCol w:w="1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tblHeader/>
        </w:trPr>
        <w:tc>
          <w:tcPr>
            <w:tcW w:w="328"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序号</w:t>
            </w:r>
          </w:p>
        </w:tc>
        <w:tc>
          <w:tcPr>
            <w:tcW w:w="7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指标名称</w:t>
            </w:r>
          </w:p>
        </w:tc>
        <w:tc>
          <w:tcPr>
            <w:tcW w:w="3292"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pacing w:val="3"/>
                <w:sz w:val="24"/>
                <w:szCs w:val="24"/>
                <w:highlight w:val="none"/>
              </w:rPr>
            </w:pPr>
            <w:r>
              <w:rPr>
                <w:rFonts w:hint="eastAsia" w:ascii="仿宋_GB2312" w:hAnsi="仿宋_GB2312" w:eastAsia="仿宋_GB2312" w:cs="仿宋_GB2312"/>
                <w:b/>
                <w:bCs/>
                <w:spacing w:val="3"/>
                <w:sz w:val="24"/>
                <w:szCs w:val="24"/>
                <w:highlight w:val="none"/>
              </w:rPr>
              <w:t>202</w:t>
            </w:r>
            <w:r>
              <w:rPr>
                <w:rFonts w:hint="eastAsia" w:ascii="仿宋_GB2312" w:hAnsi="仿宋_GB2312" w:eastAsia="仿宋_GB2312" w:cs="仿宋_GB2312"/>
                <w:b/>
                <w:bCs/>
                <w:spacing w:val="3"/>
                <w:sz w:val="24"/>
                <w:szCs w:val="24"/>
                <w:highlight w:val="none"/>
                <w:lang w:val="en-US" w:eastAsia="zh-CN"/>
              </w:rPr>
              <w:t>4</w:t>
            </w:r>
            <w:r>
              <w:rPr>
                <w:rFonts w:hint="eastAsia" w:ascii="仿宋_GB2312" w:hAnsi="仿宋_GB2312" w:eastAsia="仿宋_GB2312" w:cs="仿宋_GB2312"/>
                <w:b/>
                <w:bCs/>
                <w:spacing w:val="3"/>
                <w:sz w:val="24"/>
                <w:szCs w:val="24"/>
                <w:highlight w:val="none"/>
              </w:rPr>
              <w:t>年度目标</w:t>
            </w:r>
          </w:p>
        </w:tc>
        <w:tc>
          <w:tcPr>
            <w:tcW w:w="640"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pacing w:val="-3"/>
                <w:sz w:val="24"/>
                <w:szCs w:val="24"/>
                <w:highlight w:val="none"/>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trPr>
        <w:tc>
          <w:tcPr>
            <w:tcW w:w="328"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rPr>
              <w:t>1</w:t>
            </w:r>
          </w:p>
        </w:tc>
        <w:tc>
          <w:tcPr>
            <w:tcW w:w="7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经营发展</w:t>
            </w:r>
          </w:p>
        </w:tc>
        <w:tc>
          <w:tcPr>
            <w:tcW w:w="3292"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rPr>
                <w:rFonts w:hint="eastAsia" w:ascii="仿宋_GB2312" w:hAnsi="仿宋_GB2312" w:eastAsia="仿宋_GB2312" w:cs="仿宋_GB2312"/>
                <w:spacing w:val="3"/>
                <w:sz w:val="24"/>
                <w:szCs w:val="24"/>
                <w:highlight w:val="none"/>
                <w:lang w:eastAsia="zh-CN"/>
              </w:rPr>
            </w:pPr>
            <w:r>
              <w:rPr>
                <w:rFonts w:hint="eastAsia" w:ascii="仿宋_GB2312" w:hAnsi="仿宋_GB2312" w:eastAsia="仿宋_GB2312" w:cs="仿宋_GB2312"/>
                <w:spacing w:val="3"/>
                <w:sz w:val="24"/>
                <w:szCs w:val="24"/>
                <w:highlight w:val="none"/>
                <w:lang w:eastAsia="zh-CN"/>
              </w:rPr>
              <w:t>详见《经营发展重点工作台账》</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2" w:hRule="atLeast"/>
        </w:trPr>
        <w:tc>
          <w:tcPr>
            <w:tcW w:w="328"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rPr>
              <w:t>2</w:t>
            </w:r>
          </w:p>
        </w:tc>
        <w:tc>
          <w:tcPr>
            <w:tcW w:w="7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科技创新</w:t>
            </w:r>
          </w:p>
        </w:tc>
        <w:tc>
          <w:tcPr>
            <w:tcW w:w="3292"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rPr>
                <w:rFonts w:hint="eastAsia" w:ascii="仿宋_GB2312" w:hAnsi="仿宋_GB2312" w:eastAsia="仿宋_GB2312" w:cs="仿宋_GB2312"/>
                <w:spacing w:val="3"/>
                <w:sz w:val="24"/>
                <w:szCs w:val="24"/>
                <w:highlight w:val="none"/>
                <w:lang w:eastAsia="zh-CN"/>
              </w:rPr>
            </w:pPr>
            <w:r>
              <w:rPr>
                <w:rFonts w:hint="eastAsia" w:ascii="仿宋_GB2312" w:hAnsi="仿宋_GB2312" w:eastAsia="仿宋_GB2312" w:cs="仿宋_GB2312"/>
                <w:spacing w:val="3"/>
                <w:sz w:val="24"/>
                <w:szCs w:val="24"/>
                <w:highlight w:val="none"/>
                <w:lang w:eastAsia="zh-CN"/>
              </w:rPr>
              <w:t>详见《科技创新重点工作台账》</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1" w:hRule="atLeast"/>
        </w:trPr>
        <w:tc>
          <w:tcPr>
            <w:tcW w:w="328"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3</w:t>
            </w:r>
          </w:p>
        </w:tc>
        <w:tc>
          <w:tcPr>
            <w:tcW w:w="7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rPr>
            </w:pPr>
            <w:r>
              <w:rPr>
                <w:rFonts w:hint="eastAsia" w:ascii="仿宋_GB2312" w:hAnsi="仿宋_GB2312" w:eastAsia="仿宋_GB2312" w:cs="仿宋_GB2312"/>
                <w:spacing w:val="3"/>
                <w:sz w:val="24"/>
                <w:szCs w:val="24"/>
                <w:highlight w:val="none"/>
                <w:lang w:val="en-US" w:eastAsia="zh-CN"/>
              </w:rPr>
              <w:t>数字化转型</w:t>
            </w:r>
          </w:p>
        </w:tc>
        <w:tc>
          <w:tcPr>
            <w:tcW w:w="3292" w:type="pct"/>
            <w:noWrap w:val="0"/>
            <w:vAlign w:val="center"/>
          </w:tcPr>
          <w:p>
            <w:pPr>
              <w:pStyle w:val="45"/>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1.完成PLM、ERP系统二期建设</w:t>
            </w:r>
          </w:p>
          <w:p>
            <w:pPr>
              <w:pStyle w:val="45"/>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2.启动MES系统建设，完成阶段性目标</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atLeast"/>
        </w:trPr>
        <w:tc>
          <w:tcPr>
            <w:tcW w:w="328"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eastAsia"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4</w:t>
            </w:r>
          </w:p>
        </w:tc>
        <w:tc>
          <w:tcPr>
            <w:tcW w:w="7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rPr>
                <w:rFonts w:hint="default" w:ascii="仿宋_GB2312" w:hAnsi="仿宋_GB2312" w:eastAsia="仿宋_GB2312" w:cs="仿宋_GB2312"/>
                <w:spacing w:val="3"/>
                <w:sz w:val="24"/>
                <w:szCs w:val="24"/>
                <w:highlight w:val="none"/>
                <w:lang w:val="en-US"/>
              </w:rPr>
            </w:pPr>
            <w:r>
              <w:rPr>
                <w:rFonts w:hint="eastAsia" w:ascii="仿宋_GB2312" w:hAnsi="仿宋_GB2312" w:eastAsia="仿宋_GB2312" w:cs="仿宋_GB2312"/>
                <w:spacing w:val="3"/>
                <w:sz w:val="24"/>
                <w:szCs w:val="24"/>
                <w:highlight w:val="none"/>
                <w:lang w:val="en-US" w:eastAsia="zh-CN"/>
              </w:rPr>
              <w:t>党建工作</w:t>
            </w:r>
          </w:p>
        </w:tc>
        <w:tc>
          <w:tcPr>
            <w:tcW w:w="3292"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300" w:lineRule="exact"/>
              <w:ind w:left="0"/>
              <w:jc w:val="left"/>
              <w:textAlignment w:val="auto"/>
              <w:rPr>
                <w:rFonts w:hint="default" w:ascii="仿宋_GB2312" w:hAnsi="仿宋_GB2312" w:eastAsia="仿宋_GB2312" w:cs="仿宋_GB2312"/>
                <w:spacing w:val="3"/>
                <w:sz w:val="24"/>
                <w:szCs w:val="24"/>
                <w:highlight w:val="none"/>
                <w:lang w:val="en-US" w:eastAsia="zh-CN"/>
              </w:rPr>
            </w:pPr>
            <w:r>
              <w:rPr>
                <w:rFonts w:hint="eastAsia" w:ascii="仿宋_GB2312" w:hAnsi="仿宋_GB2312" w:eastAsia="仿宋_GB2312" w:cs="仿宋_GB2312"/>
                <w:spacing w:val="3"/>
                <w:sz w:val="24"/>
                <w:szCs w:val="24"/>
                <w:highlight w:val="none"/>
                <w:lang w:val="en-US" w:eastAsia="zh-CN"/>
              </w:rPr>
              <w:t>按专项考核办法评价</w:t>
            </w:r>
          </w:p>
        </w:tc>
        <w:tc>
          <w:tcPr>
            <w:tcW w:w="640" w:type="pct"/>
            <w:noWrap w:val="0"/>
            <w:vAlign w:val="center"/>
          </w:tcPr>
          <w:p>
            <w:pPr>
              <w:keepNext w:val="0"/>
              <w:keepLines w:val="0"/>
              <w:widowControl/>
              <w:suppressLineNumbers w:val="0"/>
              <w:jc w:val="center"/>
              <w:textAlignment w:val="center"/>
              <w:rPr>
                <w:rFonts w:hint="default" w:ascii="仿宋_GB2312" w:hAnsi="仿宋_GB2312" w:eastAsia="仿宋_GB2312" w:cs="仿宋_GB2312"/>
                <w:spacing w:val="3"/>
                <w:kern w:val="2"/>
                <w:sz w:val="24"/>
                <w:szCs w:val="24"/>
                <w:highlight w:val="none"/>
                <w:lang w:val="en-US" w:eastAsia="zh-CN" w:bidi="ar-SA"/>
              </w:rPr>
            </w:pPr>
            <w:r>
              <w:rPr>
                <w:rFonts w:hint="eastAsia" w:ascii="仿宋_GB2312" w:hAnsi="仿宋_GB2312" w:eastAsia="仿宋_GB2312" w:cs="仿宋_GB2312"/>
                <w:spacing w:val="3"/>
                <w:kern w:val="2"/>
                <w:sz w:val="24"/>
                <w:szCs w:val="24"/>
                <w:highlight w:val="none"/>
                <w:lang w:val="en-US" w:eastAsia="zh-CN" w:bidi="ar-SA"/>
              </w:rPr>
              <w:t>10%</w:t>
            </w:r>
          </w:p>
        </w:tc>
      </w:tr>
    </w:tbl>
    <w:p>
      <w:pPr>
        <w:widowControl/>
        <w:spacing w:line="560" w:lineRule="exact"/>
        <w:ind w:firstLine="643" w:firstLineChars="200"/>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（三）协同绩效指标</w:t>
      </w:r>
    </w:p>
    <w:p>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1．协同</w:t>
      </w:r>
      <w:r>
        <w:rPr>
          <w:rFonts w:hint="default" w:ascii="仿宋_GB2312" w:eastAsia="仿宋_GB2312"/>
          <w:b/>
          <w:bCs/>
          <w:sz w:val="32"/>
          <w:szCs w:val="32"/>
          <w:highlight w:val="none"/>
          <w:lang w:val="en-US" w:eastAsia="zh-CN"/>
        </w:rPr>
        <w:t>绩效考评</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由公司主要领导、分管领导、主要业务关联单位负责人等从业务上下游协作配合效果和工作具体成效等方面进行综合评价打分。具体评分规则如下：</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Ⅰ档(150分)：协作效果好，工作成效远超预期。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Ⅱ档(120分)：协作效果较好，工作成效符合预期。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Ⅲ档(100分)：协作效果和工作成效基本符合预期。</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Ⅳ档(80分)：协作效果不佳，工作成效与预期有一定差距。</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Ⅴ档(60分)：协作效果较差，工作成效与预期有较大差距。</w:t>
      </w:r>
    </w:p>
    <w:p>
      <w:pPr>
        <w:widowControl/>
        <w:spacing w:line="560" w:lineRule="exact"/>
        <w:ind w:firstLine="643" w:firstLineChars="200"/>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2．协同</w:t>
      </w:r>
      <w:r>
        <w:rPr>
          <w:rFonts w:hint="default" w:ascii="仿宋_GB2312" w:eastAsia="仿宋_GB2312"/>
          <w:b/>
          <w:bCs/>
          <w:sz w:val="32"/>
          <w:szCs w:val="32"/>
          <w:highlight w:val="none"/>
          <w:lang w:val="en-US" w:eastAsia="zh-CN"/>
        </w:rPr>
        <w:t>绩效得分</w:t>
      </w:r>
    </w:p>
    <w:p>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w:t>
      </w:r>
      <w:r>
        <w:rPr>
          <w:rFonts w:hint="default" w:ascii="仿宋_GB2312" w:eastAsia="仿宋_GB2312"/>
          <w:sz w:val="32"/>
          <w:szCs w:val="32"/>
          <w:highlight w:val="none"/>
          <w:lang w:val="en-US" w:eastAsia="zh-CN"/>
        </w:rPr>
        <w:t>各单位第一负责人</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年度周边绩效得分=集团公司主要领导评分×30%+分管领导评分×40%+业务关联单位第一负责人评分×30%</w:t>
      </w:r>
    </w:p>
    <w:p>
      <w:pPr>
        <w:widowControl/>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w:t>
      </w:r>
      <w:r>
        <w:rPr>
          <w:rFonts w:hint="default" w:ascii="仿宋_GB2312" w:eastAsia="仿宋_GB2312"/>
          <w:sz w:val="32"/>
          <w:szCs w:val="32"/>
          <w:highlight w:val="none"/>
          <w:lang w:val="en-US" w:eastAsia="zh-CN"/>
        </w:rPr>
        <w:t>各单位其他纳入九洲集团公司职数管理的中层管理人员</w:t>
      </w:r>
    </w:p>
    <w:p>
      <w:pPr>
        <w:widowControl/>
        <w:spacing w:line="560" w:lineRule="exact"/>
        <w:ind w:firstLine="640" w:firstLineChars="200"/>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年度周边绩效得分=分管领导评分×30%+单位第一负责人评分×40%+业务关联单位负责人评分×30%</w:t>
      </w:r>
    </w:p>
    <w:p>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（四）红线指标</w:t>
      </w:r>
    </w:p>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红线指标为不能突破的红线条款，主要包括党风廉政建设、安全、保密和践行企业文化等。采取扣分制，原则上红线指标总扣分不超过10分，因为党风廉政建设、安全、保密等造成一票否决或重大责任事故的，全部或部分扣减年度绩效得分。</w:t>
      </w:r>
    </w:p>
    <w:p>
      <w:pPr>
        <w:widowControl/>
        <w:spacing w:line="560" w:lineRule="exact"/>
        <w:ind w:firstLine="640" w:firstLineChars="200"/>
        <w:rPr>
          <w:rFonts w:hint="eastAsia" w:ascii="仿宋_GB2312" w:eastAsia="仿宋_GB2312"/>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eastAsia="zh-CN"/>
        </w:rPr>
        <w:t>三、考核兑现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eastAsia="zh-CN"/>
        </w:rPr>
      </w:pPr>
      <w:r>
        <w:rPr>
          <w:rFonts w:hint="eastAsia" w:ascii="仿宋_GB2312" w:hAnsi="宋体" w:eastAsia="仿宋_GB2312" w:cs="Times New Roman"/>
          <w:b/>
          <w:bCs w:val="0"/>
          <w:sz w:val="32"/>
          <w:szCs w:val="32"/>
          <w:highlight w:val="none"/>
          <w:lang w:eastAsia="zh-CN"/>
        </w:rPr>
        <w:t>考核得分=组织绩效得分×</w:t>
      </w:r>
      <w:r>
        <w:rPr>
          <w:rFonts w:hint="eastAsia" w:ascii="仿宋_GB2312" w:hAnsi="宋体" w:eastAsia="仿宋_GB2312" w:cs="Times New Roman"/>
          <w:b/>
          <w:bCs w:val="0"/>
          <w:sz w:val="32"/>
          <w:szCs w:val="32"/>
          <w:highlight w:val="none"/>
          <w:lang w:val="en-US" w:eastAsia="zh-CN"/>
        </w:rPr>
        <w:t>3</w:t>
      </w:r>
      <w:r>
        <w:rPr>
          <w:rFonts w:hint="eastAsia" w:ascii="仿宋_GB2312" w:hAnsi="宋体" w:eastAsia="仿宋_GB2312" w:cs="Times New Roman"/>
          <w:b/>
          <w:bCs w:val="0"/>
          <w:sz w:val="32"/>
          <w:szCs w:val="32"/>
          <w:highlight w:val="none"/>
          <w:lang w:eastAsia="zh-CN"/>
        </w:rPr>
        <w:t>0%+任务绩效得分×</w:t>
      </w:r>
      <w:r>
        <w:rPr>
          <w:rFonts w:hint="eastAsia" w:ascii="仿宋_GB2312" w:hAnsi="宋体" w:eastAsia="仿宋_GB2312" w:cs="Times New Roman"/>
          <w:b/>
          <w:bCs w:val="0"/>
          <w:sz w:val="32"/>
          <w:szCs w:val="32"/>
          <w:highlight w:val="none"/>
          <w:lang w:val="en-US" w:eastAsia="zh-CN"/>
        </w:rPr>
        <w:t>5</w:t>
      </w:r>
      <w:r>
        <w:rPr>
          <w:rFonts w:hint="eastAsia" w:ascii="仿宋_GB2312" w:hAnsi="宋体" w:eastAsia="仿宋_GB2312" w:cs="Times New Roman"/>
          <w:b/>
          <w:bCs w:val="0"/>
          <w:sz w:val="32"/>
          <w:szCs w:val="32"/>
          <w:highlight w:val="none"/>
          <w:lang w:eastAsia="zh-CN"/>
        </w:rPr>
        <w:t>0%+</w:t>
      </w:r>
      <w:r>
        <w:rPr>
          <w:rFonts w:hint="eastAsia" w:ascii="仿宋_GB2312" w:hAnsi="宋体" w:eastAsia="仿宋_GB2312" w:cs="Times New Roman"/>
          <w:b/>
          <w:bCs w:val="0"/>
          <w:sz w:val="32"/>
          <w:szCs w:val="32"/>
          <w:highlight w:val="none"/>
          <w:lang w:val="en-US" w:eastAsia="zh-CN"/>
        </w:rPr>
        <w:t>协同</w:t>
      </w:r>
      <w:r>
        <w:rPr>
          <w:rFonts w:hint="eastAsia" w:ascii="仿宋_GB2312" w:hAnsi="宋体" w:eastAsia="仿宋_GB2312" w:cs="Times New Roman"/>
          <w:b/>
          <w:bCs w:val="0"/>
          <w:sz w:val="32"/>
          <w:szCs w:val="32"/>
          <w:highlight w:val="none"/>
          <w:lang w:eastAsia="zh-CN"/>
        </w:rPr>
        <w:t>绩效得分×20%-红线指标扣分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年薪=基本年薪+绩效年薪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基本年薪占年薪标准的</w:t>
      </w:r>
      <w:r>
        <w:rPr>
          <w:rFonts w:hint="eastAsia" w:ascii="仿宋_GB2312" w:hAnsi="宋体" w:eastAsia="仿宋_GB2312" w:cs="Times New Roman"/>
          <w:b w:val="0"/>
          <w:bCs/>
          <w:sz w:val="32"/>
          <w:szCs w:val="32"/>
          <w:highlight w:val="none"/>
          <w:lang w:val="en-US" w:eastAsia="zh-CN"/>
        </w:rPr>
        <w:t>4</w:t>
      </w:r>
      <w:r>
        <w:rPr>
          <w:rFonts w:hint="eastAsia" w:ascii="仿宋_GB2312" w:hAnsi="宋体" w:eastAsia="仿宋_GB2312" w:cs="Times New Roman"/>
          <w:b w:val="0"/>
          <w:bCs/>
          <w:sz w:val="32"/>
          <w:szCs w:val="32"/>
          <w:highlight w:val="none"/>
          <w:lang w:eastAsia="zh-CN"/>
        </w:rPr>
        <w:t>0%，绩效年薪占年薪标准的</w:t>
      </w:r>
      <w:r>
        <w:rPr>
          <w:rFonts w:hint="eastAsia" w:ascii="仿宋_GB2312" w:hAnsi="宋体" w:eastAsia="仿宋_GB2312" w:cs="Times New Roman"/>
          <w:b w:val="0"/>
          <w:bCs/>
          <w:sz w:val="32"/>
          <w:szCs w:val="32"/>
          <w:highlight w:val="none"/>
          <w:lang w:val="en-US" w:eastAsia="zh-CN"/>
        </w:rPr>
        <w:t>6</w:t>
      </w:r>
      <w:r>
        <w:rPr>
          <w:rFonts w:hint="eastAsia" w:ascii="仿宋_GB2312" w:hAnsi="宋体" w:eastAsia="仿宋_GB2312" w:cs="Times New Roman"/>
          <w:b w:val="0"/>
          <w:bCs/>
          <w:sz w:val="32"/>
          <w:szCs w:val="32"/>
          <w:highlight w:val="none"/>
          <w:lang w:eastAsia="zh-CN"/>
        </w:rPr>
        <w:t>0%。年薪兑现与乙方年度经营业绩考核得分挂钩，具体挂钩方式如下：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绩效年薪=绩效年薪标准×考核得分/100。绩效年薪不超过绩效年薪标准的2倍。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乙方年薪实行预发制，年终根据考核结果结算年薪，并结合已预发年薪兑现剩余部分。</w:t>
      </w:r>
    </w:p>
    <w:p>
      <w:pPr>
        <w:widowControl/>
        <w:spacing w:line="560" w:lineRule="exact"/>
        <w:ind w:firstLine="640" w:firstLineChars="200"/>
        <w:rPr>
          <w:rFonts w:hint="eastAsia" w:ascii="仿宋_GB2312" w:hAnsi="宋体" w:eastAsia="仿宋_GB2312" w:cs="Times New Roman"/>
          <w:b w:val="0"/>
          <w:bCs/>
          <w:sz w:val="32"/>
          <w:szCs w:val="32"/>
          <w:highlight w:val="none"/>
          <w:lang w:eastAsia="zh-CN"/>
        </w:rPr>
      </w:pPr>
      <w:r>
        <w:rPr>
          <w:rFonts w:hint="eastAsia" w:ascii="仿宋_GB2312" w:eastAsia="仿宋_GB2312"/>
          <w:sz w:val="32"/>
          <w:szCs w:val="32"/>
          <w:highlight w:val="none"/>
          <w:lang w:val="en-US" w:eastAsia="zh-CN"/>
        </w:rPr>
        <w:t>超额利润奖励按照专项考核管理办法进行。</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四、</w:t>
      </w:r>
      <w:r>
        <w:rPr>
          <w:rFonts w:hint="eastAsia" w:ascii="黑体" w:hAnsi="黑体" w:eastAsia="黑体" w:cs="黑体"/>
          <w:b w:val="0"/>
          <w:bCs/>
          <w:sz w:val="32"/>
          <w:szCs w:val="32"/>
          <w:highlight w:val="none"/>
        </w:rPr>
        <w:t>其他</w:t>
      </w:r>
    </w:p>
    <w:p>
      <w:pPr>
        <w:keepNext w:val="0"/>
        <w:keepLines w:val="0"/>
        <w:pageBreakBefore w:val="0"/>
        <w:kinsoku/>
        <w:wordWrap/>
        <w:overflowPunct/>
        <w:topLinePunct w:val="0"/>
        <w:autoSpaceDE/>
        <w:autoSpaceDN/>
        <w:bidi w:val="0"/>
        <w:spacing w:line="560" w:lineRule="exact"/>
        <w:ind w:firstLine="640" w:firstLineChars="200"/>
        <w:rPr>
          <w:rFonts w:ascii="仿宋_GB2312" w:hAnsi="宋体" w:eastAsia="仿宋_GB2312"/>
          <w:b w:val="0"/>
          <w:bCs/>
          <w:sz w:val="32"/>
          <w:szCs w:val="32"/>
          <w:highlight w:val="none"/>
        </w:rPr>
      </w:pPr>
      <w:r>
        <w:rPr>
          <w:rFonts w:hint="eastAsia" w:ascii="仿宋_GB2312" w:hAnsi="宋体" w:eastAsia="仿宋_GB2312"/>
          <w:b w:val="0"/>
          <w:bCs/>
          <w:sz w:val="32"/>
          <w:szCs w:val="32"/>
          <w:highlight w:val="none"/>
        </w:rPr>
        <w:t>1</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本协议其他未尽事宜由双方另行协商。</w:t>
      </w:r>
    </w:p>
    <w:p>
      <w:pPr>
        <w:keepNext w:val="0"/>
        <w:keepLines w:val="0"/>
        <w:pageBreakBefore w:val="0"/>
        <w:kinsoku/>
        <w:wordWrap/>
        <w:overflowPunct/>
        <w:topLinePunct w:val="0"/>
        <w:autoSpaceDE/>
        <w:autoSpaceDN/>
        <w:bidi w:val="0"/>
        <w:spacing w:line="560" w:lineRule="exact"/>
        <w:ind w:firstLine="640" w:firstLineChars="200"/>
        <w:rPr>
          <w:rFonts w:ascii="仿宋_GB2312" w:eastAsia="仿宋_GB2312"/>
          <w:b w:val="0"/>
          <w:bCs/>
          <w:sz w:val="32"/>
          <w:szCs w:val="32"/>
          <w:highlight w:val="none"/>
        </w:rPr>
      </w:pPr>
      <w:r>
        <w:rPr>
          <w:rFonts w:hint="eastAsia" w:ascii="仿宋_GB2312" w:hAnsi="宋体" w:eastAsia="仿宋_GB2312"/>
          <w:b w:val="0"/>
          <w:bCs/>
          <w:sz w:val="32"/>
          <w:szCs w:val="32"/>
          <w:highlight w:val="none"/>
        </w:rPr>
        <w:t>2</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本协议一式三份，甲方、乙方、干部管理部门各执一份，自甲、乙双方签字（盖章）之日起生效。</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eastAsia="zh-CN"/>
        </w:rPr>
      </w:pPr>
      <w:r>
        <w:rPr>
          <w:rFonts w:hint="eastAsia" w:ascii="仿宋_GB2312" w:hAnsi="宋体" w:eastAsia="仿宋_GB2312"/>
          <w:b w:val="0"/>
          <w:bCs/>
          <w:sz w:val="32"/>
          <w:szCs w:val="32"/>
          <w:highlight w:val="none"/>
          <w:lang w:val="en-US" w:eastAsia="zh-CN"/>
        </w:rPr>
        <w:t>附件：</w:t>
      </w:r>
      <w:r>
        <w:rPr>
          <w:rFonts w:hint="eastAsia" w:ascii="仿宋_GB2312" w:hAnsi="宋体" w:eastAsia="仿宋_GB2312"/>
          <w:b w:val="0"/>
          <w:bCs/>
          <w:sz w:val="32"/>
          <w:szCs w:val="32"/>
          <w:highlight w:val="none"/>
        </w:rPr>
        <w:t>1</w:t>
      </w:r>
      <w:r>
        <w:rPr>
          <w:rFonts w:hint="eastAsia" w:ascii="仿宋_GB2312" w:hAnsi="宋体" w:eastAsia="仿宋_GB2312"/>
          <w:b w:val="0"/>
          <w:bCs/>
          <w:sz w:val="32"/>
          <w:szCs w:val="32"/>
          <w:highlight w:val="none"/>
          <w:lang w:eastAsia="zh-CN"/>
        </w:rPr>
        <w:t>．经营发展重点工作台账</w:t>
      </w:r>
    </w:p>
    <w:p>
      <w:pPr>
        <w:keepNext w:val="0"/>
        <w:keepLines w:val="0"/>
        <w:pageBreakBefore w:val="0"/>
        <w:kinsoku/>
        <w:wordWrap/>
        <w:overflowPunct/>
        <w:topLinePunct w:val="0"/>
        <w:autoSpaceDE/>
        <w:autoSpaceDN/>
        <w:bidi w:val="0"/>
        <w:spacing w:line="560" w:lineRule="exact"/>
        <w:ind w:firstLine="1600" w:firstLineChars="500"/>
        <w:rPr>
          <w:rFonts w:hint="eastAsia" w:ascii="仿宋_GB2312" w:hAnsi="宋体" w:eastAsia="仿宋_GB2312"/>
          <w:b w:val="0"/>
          <w:bCs/>
          <w:sz w:val="32"/>
          <w:szCs w:val="32"/>
          <w:highlight w:val="none"/>
          <w:lang w:eastAsia="zh-CN"/>
        </w:rPr>
      </w:pPr>
      <w:r>
        <w:rPr>
          <w:rFonts w:hint="eastAsia" w:ascii="仿宋_GB2312" w:hAnsi="宋体" w:eastAsia="仿宋_GB2312"/>
          <w:b w:val="0"/>
          <w:bCs/>
          <w:sz w:val="32"/>
          <w:szCs w:val="32"/>
          <w:highlight w:val="none"/>
        </w:rPr>
        <w:t>2</w:t>
      </w:r>
      <w:r>
        <w:rPr>
          <w:rFonts w:hint="eastAsia" w:ascii="仿宋_GB2312" w:hAnsi="宋体" w:eastAsia="仿宋_GB2312"/>
          <w:b w:val="0"/>
          <w:bCs/>
          <w:sz w:val="32"/>
          <w:szCs w:val="32"/>
          <w:highlight w:val="none"/>
          <w:lang w:eastAsia="zh-CN"/>
        </w:rPr>
        <w:t>．科技创新重点工作台账</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eastAsia="zh-CN"/>
        </w:rPr>
      </w:pP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宋体" w:eastAsia="仿宋_GB2312"/>
          <w:b w:val="0"/>
          <w:bCs/>
          <w:sz w:val="32"/>
          <w:szCs w:val="32"/>
          <w:highlight w:val="none"/>
          <w:lang w:val="en-US" w:eastAsia="zh-CN"/>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甲方（盖章）：</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乙方（签字）：</w:t>
      </w:r>
    </w:p>
    <w:p>
      <w:pPr>
        <w:keepNext w:val="0"/>
        <w:keepLines w:val="0"/>
        <w:pageBreakBefore w:val="0"/>
        <w:kinsoku/>
        <w:wordWrap/>
        <w:overflowPunct/>
        <w:topLinePunct w:val="0"/>
        <w:autoSpaceDE/>
        <w:autoSpaceDN/>
        <w:bidi w:val="0"/>
        <w:adjustRightInd w:val="0"/>
        <w:snapToGrid w:val="0"/>
        <w:spacing w:line="560" w:lineRule="exact"/>
        <w:rPr>
          <w:rFonts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法定代表人（签字）：</w:t>
      </w: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ascii="黑体" w:hAnsi="黑体" w:eastAsia="黑体" w:cs="黑体"/>
          <w:b w:val="0"/>
          <w:bCs/>
          <w:sz w:val="32"/>
          <w:szCs w:val="32"/>
          <w:highlight w:val="none"/>
        </w:rPr>
      </w:pP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hint="eastAsia" w:ascii="黑体" w:hAnsi="黑体" w:eastAsia="黑体" w:cs="黑体"/>
          <w:b w:val="0"/>
          <w:bCs/>
          <w:sz w:val="32"/>
          <w:szCs w:val="32"/>
          <w:highlight w:val="none"/>
          <w:lang w:eastAsia="zh-CN"/>
        </w:rPr>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黑体" w:hAnsi="黑体" w:eastAsia="黑体" w:cs="黑体"/>
          <w:b w:val="0"/>
          <w:bCs/>
          <w:sz w:val="32"/>
          <w:szCs w:val="32"/>
          <w:highlight w:val="none"/>
        </w:rPr>
        <w:t>签订日期：</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年</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月</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lang w:eastAsia="zh-CN"/>
        </w:rPr>
        <w:t>日</w:t>
      </w: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hint="eastAsia" w:ascii="黑体" w:hAnsi="黑体" w:eastAsia="黑体" w:cs="黑体"/>
          <w:b w:val="0"/>
          <w:bCs/>
          <w:sz w:val="28"/>
          <w:szCs w:val="28"/>
          <w:highlight w:val="none"/>
          <w:lang w:val="en-US" w:eastAsia="zh-CN"/>
        </w:rPr>
      </w:pPr>
      <w:r>
        <w:rPr>
          <w:rFonts w:hint="eastAsia" w:ascii="黑体" w:hAnsi="黑体" w:eastAsia="黑体" w:cs="黑体"/>
          <w:b w:val="0"/>
          <w:bCs/>
          <w:sz w:val="28"/>
          <w:szCs w:val="28"/>
          <w:highlight w:val="none"/>
          <w:lang w:eastAsia="zh-CN"/>
        </w:rPr>
        <w:t>附件</w:t>
      </w:r>
      <w:r>
        <w:rPr>
          <w:rFonts w:hint="eastAsia" w:ascii="黑体" w:hAnsi="黑体" w:eastAsia="黑体" w:cs="黑体"/>
          <w:b w:val="0"/>
          <w:bCs/>
          <w:sz w:val="28"/>
          <w:szCs w:val="28"/>
          <w:highlight w:val="none"/>
          <w:lang w:val="en-US" w:eastAsia="zh-CN"/>
        </w:rPr>
        <w:t>1</w:t>
      </w: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center"/>
        <w:textAlignment w:val="baseline"/>
        <w:rPr>
          <w:rFonts w:hint="eastAsia" w:ascii="方正小标宋简体" w:hAnsi="方正小标宋简体" w:eastAsia="方正小标宋简体" w:cs="方正小标宋简体"/>
          <w:b w:val="0"/>
          <w:bCs/>
          <w:sz w:val="44"/>
          <w:szCs w:val="44"/>
          <w:highlight w:val="none"/>
          <w:lang w:val="en-US" w:eastAsia="zh-CN"/>
        </w:rPr>
      </w:pPr>
      <w:r>
        <w:rPr>
          <w:rFonts w:hint="eastAsia" w:ascii="方正小标宋简体" w:hAnsi="方正小标宋简体" w:eastAsia="方正小标宋简体" w:cs="方正小标宋简体"/>
          <w:b w:val="0"/>
          <w:bCs/>
          <w:sz w:val="44"/>
          <w:szCs w:val="44"/>
          <w:highlight w:val="none"/>
          <w:lang w:val="en-US" w:eastAsia="zh-CN"/>
        </w:rPr>
        <w:t>经营发展重点工作台账</w:t>
      </w: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center"/>
        <w:textAlignment w:val="baseline"/>
        <w:rPr>
          <w:rFonts w:hint="eastAsia" w:ascii="方正小标宋简体" w:hAnsi="方正小标宋简体" w:eastAsia="方正小标宋简体" w:cs="方正小标宋简体"/>
          <w:b w:val="0"/>
          <w:bCs/>
          <w:sz w:val="44"/>
          <w:szCs w:val="44"/>
          <w:highlight w:val="none"/>
          <w:lang w:val="en-US" w:eastAsia="zh-CN"/>
        </w:rPr>
      </w:pP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67"/>
        <w:gridCol w:w="1259"/>
        <w:gridCol w:w="9160"/>
        <w:gridCol w:w="12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公司名称</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工作事项</w:t>
            </w:r>
          </w:p>
        </w:tc>
        <w:tc>
          <w:tcPr>
            <w:tcW w:w="91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输出成果/工作目标</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指标权重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trPr>
        <w:tc>
          <w:tcPr>
            <w:tcW w:w="1267"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成都微精电机股份公司</w:t>
            </w: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市场拓展</w:t>
            </w:r>
          </w:p>
        </w:tc>
        <w:tc>
          <w:tcPr>
            <w:tcW w:w="91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1"/>
              </w:numPr>
              <w:suppressLineNumbers w:val="0"/>
              <w:jc w:val="left"/>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sz w:val="24"/>
                <w:szCs w:val="24"/>
                <w:highlight w:val="none"/>
                <w:u w:val="none"/>
              </w:rPr>
              <w:t>开发西安爱生技术集团等重点目标客户不少于2个；</w:t>
            </w:r>
          </w:p>
          <w:p>
            <w:pPr>
              <w:keepNext w:val="0"/>
              <w:keepLines w:val="0"/>
              <w:widowControl/>
              <w:numPr>
                <w:ilvl w:val="0"/>
                <w:numId w:val="1"/>
              </w:numPr>
              <w:suppressLineNumbers w:val="0"/>
              <w:jc w:val="left"/>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sz w:val="24"/>
                <w:szCs w:val="24"/>
                <w:highlight w:val="none"/>
                <w:u w:val="none"/>
              </w:rPr>
              <w:t>协同陕西昱琛航空开展某重点产品研制，年内交付产品20套以上；</w:t>
            </w:r>
          </w:p>
          <w:p>
            <w:pPr>
              <w:keepNext w:val="0"/>
              <w:keepLines w:val="0"/>
              <w:widowControl/>
              <w:numPr>
                <w:ilvl w:val="0"/>
                <w:numId w:val="1"/>
              </w:numPr>
              <w:suppressLineNumbers w:val="0"/>
              <w:jc w:val="left"/>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sz w:val="24"/>
                <w:szCs w:val="24"/>
                <w:highlight w:val="none"/>
                <w:u w:val="none"/>
              </w:rPr>
              <w:t>开发无人机起发电机市场，配套项目不少于5个；</w:t>
            </w:r>
          </w:p>
          <w:p>
            <w:pPr>
              <w:keepNext w:val="0"/>
              <w:keepLines w:val="0"/>
              <w:widowControl/>
              <w:numPr>
                <w:ilvl w:val="0"/>
                <w:numId w:val="1"/>
              </w:numPr>
              <w:suppressLineNumbers w:val="0"/>
              <w:jc w:val="left"/>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sz w:val="24"/>
                <w:szCs w:val="24"/>
                <w:highlight w:val="none"/>
                <w:u w:val="none"/>
              </w:rPr>
              <w:t>弹载领域拓展新客户不低于1家，签订合同不低于4000万元；</w:t>
            </w:r>
          </w:p>
          <w:p>
            <w:pPr>
              <w:keepNext w:val="0"/>
              <w:keepLines w:val="0"/>
              <w:widowControl/>
              <w:numPr>
                <w:ilvl w:val="0"/>
                <w:numId w:val="1"/>
              </w:numPr>
              <w:suppressLineNumbers w:val="0"/>
              <w:jc w:val="left"/>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sz w:val="24"/>
                <w:szCs w:val="24"/>
                <w:highlight w:val="none"/>
                <w:u w:val="none"/>
              </w:rPr>
              <w:t>强化军工市场协同，开发力矩电机、伺服电机、风机等内部配套至少3个型号</w:t>
            </w:r>
            <w:r>
              <w:rPr>
                <w:rFonts w:hint="eastAsia" w:ascii="仿宋_GB2312" w:hAnsi="仿宋_GB2312" w:eastAsia="仿宋_GB2312" w:cs="仿宋_GB2312"/>
                <w:i w:val="0"/>
                <w:iCs w:val="0"/>
                <w:color w:val="000000"/>
                <w:sz w:val="24"/>
                <w:szCs w:val="24"/>
                <w:highlight w:val="none"/>
                <w:u w:val="none"/>
                <w:lang w:eastAsia="zh-CN"/>
              </w:rPr>
              <w:t>。</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267" w:type="dxa"/>
            <w:vMerge w:val="continue"/>
            <w:tcBorders>
              <w:left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4"/>
                <w:szCs w:val="24"/>
                <w:highlight w:val="none"/>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技改提能</w:t>
            </w:r>
          </w:p>
        </w:tc>
        <w:tc>
          <w:tcPr>
            <w:tcW w:w="91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2"/>
              </w:numPr>
              <w:suppressLineNumbers w:val="0"/>
              <w:jc w:val="left"/>
              <w:textAlignment w:val="center"/>
              <w:rPr>
                <w:rFonts w:hint="eastAsia"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固定资产及设备投入不低于600万元。</w:t>
            </w:r>
          </w:p>
          <w:p>
            <w:pPr>
              <w:keepNext w:val="0"/>
              <w:keepLines w:val="0"/>
              <w:widowControl/>
              <w:numPr>
                <w:ilvl w:val="0"/>
                <w:numId w:val="2"/>
              </w:numPr>
              <w:suppressLineNumbers w:val="0"/>
              <w:jc w:val="left"/>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rPr>
              <w:t>实质化运作企业技术中心新产品试制</w:t>
            </w:r>
            <w:r>
              <w:rPr>
                <w:rFonts w:hint="eastAsia" w:ascii="仿宋_GB2312" w:hAnsi="仿宋_GB2312" w:eastAsia="仿宋_GB2312" w:cs="仿宋_GB2312"/>
                <w:i w:val="0"/>
                <w:iCs w:val="0"/>
                <w:color w:val="000000"/>
                <w:sz w:val="24"/>
                <w:szCs w:val="24"/>
                <w:highlight w:val="none"/>
                <w:u w:val="none"/>
                <w:lang w:val="en-US" w:eastAsia="zh-CN"/>
              </w:rPr>
              <w:t>机制</w:t>
            </w:r>
            <w:r>
              <w:rPr>
                <w:rFonts w:hint="eastAsia" w:ascii="仿宋_GB2312" w:hAnsi="仿宋_GB2312" w:eastAsia="仿宋_GB2312" w:cs="仿宋_GB2312"/>
                <w:i w:val="0"/>
                <w:iCs w:val="0"/>
                <w:color w:val="000000"/>
                <w:sz w:val="24"/>
                <w:szCs w:val="24"/>
                <w:highlight w:val="none"/>
                <w:u w:val="none"/>
              </w:rPr>
              <w:t>，实现新品研发、生产试制、试验一体化管理，基本实现新品60天交付目标。</w:t>
            </w:r>
          </w:p>
          <w:p>
            <w:pPr>
              <w:keepNext w:val="0"/>
              <w:keepLines w:val="0"/>
              <w:widowControl/>
              <w:numPr>
                <w:ilvl w:val="0"/>
                <w:numId w:val="2"/>
              </w:numPr>
              <w:suppressLineNumbers w:val="0"/>
              <w:jc w:val="left"/>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完成绕线车间6S管理改造。</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1267" w:type="dxa"/>
            <w:vMerge w:val="continue"/>
            <w:tcBorders>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4"/>
                <w:szCs w:val="24"/>
                <w:highlight w:val="none"/>
                <w:u w:val="none"/>
              </w:rPr>
            </w:pPr>
          </w:p>
        </w:tc>
        <w:tc>
          <w:tcPr>
            <w:tcW w:w="12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科改行动</w:t>
            </w:r>
          </w:p>
        </w:tc>
        <w:tc>
          <w:tcPr>
            <w:tcW w:w="91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numPr>
                <w:ilvl w:val="0"/>
                <w:numId w:val="0"/>
              </w:numPr>
              <w:suppressLineNumbers w:val="0"/>
              <w:jc w:val="left"/>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优化调整“科改行动”工作计划，并组织完成年度任务目标。</w:t>
            </w:r>
          </w:p>
        </w:tc>
        <w:tc>
          <w:tcPr>
            <w:tcW w:w="12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10%</w:t>
            </w:r>
          </w:p>
        </w:tc>
      </w:tr>
    </w:tbl>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center"/>
        <w:textAlignment w:val="baseline"/>
        <w:rPr>
          <w:rFonts w:hint="eastAsia" w:ascii="方正小标宋简体" w:hAnsi="方正小标宋简体" w:eastAsia="方正小标宋简体" w:cs="方正小标宋简体"/>
          <w:b w:val="0"/>
          <w:bCs/>
          <w:sz w:val="44"/>
          <w:szCs w:val="44"/>
          <w:highlight w:val="none"/>
          <w:lang w:val="en-US" w:eastAsia="zh-CN"/>
        </w:rPr>
        <w:sectPr>
          <w:pgSz w:w="16838" w:h="11906" w:orient="landscape"/>
          <w:pgMar w:top="1587" w:right="2098" w:bottom="1474" w:left="198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hint="eastAsia" w:ascii="黑体" w:hAnsi="黑体" w:eastAsia="黑体" w:cs="黑体"/>
          <w:b w:val="0"/>
          <w:bCs/>
          <w:sz w:val="28"/>
          <w:szCs w:val="28"/>
          <w:highlight w:val="none"/>
          <w:lang w:val="en-US" w:eastAsia="zh-CN"/>
        </w:rPr>
      </w:pPr>
      <w:r>
        <w:rPr>
          <w:rFonts w:hint="eastAsia" w:ascii="黑体" w:hAnsi="黑体" w:eastAsia="黑体" w:cs="黑体"/>
          <w:b w:val="0"/>
          <w:bCs/>
          <w:sz w:val="28"/>
          <w:szCs w:val="28"/>
          <w:highlight w:val="none"/>
          <w:lang w:val="en-US" w:eastAsia="zh-CN"/>
        </w:rPr>
        <w:t>附件2</w:t>
      </w: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center"/>
        <w:textAlignment w:val="baseline"/>
        <w:rPr>
          <w:rFonts w:hint="eastAsia" w:ascii="方正小标宋简体" w:hAnsi="方正小标宋简体" w:eastAsia="方正小标宋简体" w:cs="方正小标宋简体"/>
          <w:b w:val="0"/>
          <w:bCs/>
          <w:sz w:val="44"/>
          <w:szCs w:val="44"/>
          <w:highlight w:val="none"/>
          <w:lang w:val="en-US" w:eastAsia="zh-CN"/>
        </w:rPr>
      </w:pPr>
      <w:r>
        <w:rPr>
          <w:rFonts w:hint="eastAsia" w:ascii="方正小标宋简体" w:hAnsi="方正小标宋简体" w:eastAsia="方正小标宋简体" w:cs="方正小标宋简体"/>
          <w:b w:val="0"/>
          <w:bCs/>
          <w:sz w:val="44"/>
          <w:szCs w:val="44"/>
          <w:highlight w:val="none"/>
          <w:lang w:val="en-US" w:eastAsia="zh-CN"/>
        </w:rPr>
        <w:t>科技创新重点工作台账</w:t>
      </w: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center"/>
        <w:textAlignment w:val="baseline"/>
        <w:rPr>
          <w:rFonts w:hint="eastAsia" w:ascii="方正小标宋简体" w:hAnsi="方正小标宋简体" w:eastAsia="方正小标宋简体" w:cs="方正小标宋简体"/>
          <w:b w:val="0"/>
          <w:bCs/>
          <w:sz w:val="44"/>
          <w:szCs w:val="44"/>
          <w:highlight w:val="none"/>
          <w:lang w:val="en-US" w:eastAsia="zh-CN"/>
        </w:rPr>
      </w:pPr>
    </w:p>
    <w:tbl>
      <w:tblPr>
        <w:tblStyle w:val="20"/>
        <w:tblW w:w="499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72"/>
        <w:gridCol w:w="2894"/>
        <w:gridCol w:w="5931"/>
        <w:gridCol w:w="22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jc w:val="center"/>
        </w:trPr>
        <w:tc>
          <w:tcPr>
            <w:tcW w:w="722"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公司名称</w:t>
            </w:r>
          </w:p>
        </w:tc>
        <w:tc>
          <w:tcPr>
            <w:tcW w:w="1116"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工作事项</w:t>
            </w:r>
          </w:p>
        </w:tc>
        <w:tc>
          <w:tcPr>
            <w:tcW w:w="2287"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输出成果/工作目标</w:t>
            </w:r>
          </w:p>
        </w:tc>
        <w:tc>
          <w:tcPr>
            <w:tcW w:w="873"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指标权重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2" w:hRule="atLeast"/>
          <w:jc w:val="center"/>
        </w:trPr>
        <w:tc>
          <w:tcPr>
            <w:tcW w:w="722"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sz w:val="24"/>
                <w:szCs w:val="24"/>
                <w:highlight w:val="none"/>
                <w:u w:val="none"/>
                <w:lang w:val="en-US" w:eastAsia="zh-CN"/>
              </w:rPr>
              <w:t>成都微精电机股份公司</w:t>
            </w:r>
          </w:p>
        </w:tc>
        <w:tc>
          <w:tcPr>
            <w:tcW w:w="111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研发投入</w:t>
            </w:r>
          </w:p>
        </w:tc>
        <w:tc>
          <w:tcPr>
            <w:tcW w:w="22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仿宋_GB2312" w:hAnsi="仿宋_GB2312" w:eastAsia="仿宋_GB2312" w:cs="仿宋_GB2312"/>
                <w:i w:val="0"/>
                <w:iCs w:val="0"/>
                <w:color w:val="1F2329"/>
                <w:sz w:val="24"/>
                <w:szCs w:val="24"/>
                <w:highlight w:val="none"/>
                <w:u w:val="none"/>
                <w:lang w:val="en-US" w:eastAsia="zh-CN"/>
              </w:rPr>
            </w:pPr>
            <w:r>
              <w:rPr>
                <w:rFonts w:hint="eastAsia" w:ascii="仿宋_GB2312" w:hAnsi="仿宋_GB2312" w:eastAsia="仿宋_GB2312" w:cs="仿宋_GB2312"/>
                <w:i w:val="0"/>
                <w:iCs w:val="0"/>
                <w:color w:val="1F2329"/>
                <w:sz w:val="24"/>
                <w:szCs w:val="24"/>
                <w:highlight w:val="none"/>
                <w:u w:val="none"/>
                <w:lang w:val="en-US" w:eastAsia="zh-CN"/>
              </w:rPr>
              <w:t>不低于9%；</w:t>
            </w:r>
          </w:p>
        </w:tc>
        <w:tc>
          <w:tcPr>
            <w:tcW w:w="8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8" w:hRule="atLeast"/>
          <w:jc w:val="center"/>
        </w:trPr>
        <w:tc>
          <w:tcPr>
            <w:tcW w:w="722"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p>
        </w:tc>
        <w:tc>
          <w:tcPr>
            <w:tcW w:w="111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技术研究</w:t>
            </w:r>
            <w:bookmarkStart w:id="0" w:name="_GoBack"/>
            <w:bookmarkEnd w:id="0"/>
          </w:p>
        </w:tc>
        <w:tc>
          <w:tcPr>
            <w:tcW w:w="22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numPr>
                <w:ilvl w:val="0"/>
                <w:numId w:val="0"/>
              </w:numPr>
              <w:suppressLineNumbers w:val="0"/>
              <w:jc w:val="left"/>
              <w:textAlignment w:val="center"/>
              <w:rPr>
                <w:rFonts w:hint="default" w:ascii="仿宋_GB2312" w:hAnsi="仿宋_GB2312" w:eastAsia="仿宋_GB2312" w:cs="仿宋_GB2312"/>
                <w:i w:val="0"/>
                <w:iCs w:val="0"/>
                <w:color w:val="373C43"/>
                <w:sz w:val="24"/>
                <w:szCs w:val="24"/>
                <w:highlight w:val="none"/>
                <w:u w:val="none"/>
                <w:lang w:val="en-US" w:eastAsia="zh-CN"/>
              </w:rPr>
            </w:pPr>
            <w:r>
              <w:rPr>
                <w:rFonts w:hint="eastAsia" w:ascii="仿宋_GB2312" w:hAnsi="仿宋_GB2312" w:eastAsia="仿宋_GB2312" w:cs="仿宋_GB2312"/>
                <w:i w:val="0"/>
                <w:iCs w:val="0"/>
                <w:color w:val="373C43"/>
                <w:kern w:val="2"/>
                <w:sz w:val="24"/>
                <w:szCs w:val="24"/>
                <w:lang w:val="en-US" w:eastAsia="zh-CN" w:bidi="ar-SA"/>
              </w:rPr>
              <w:t>1</w:t>
            </w:r>
            <w:r>
              <w:rPr>
                <w:rFonts w:hint="default" w:ascii="仿宋_GB2312" w:hAnsi="仿宋_GB2312" w:eastAsia="仿宋_GB2312" w:cs="仿宋_GB2312"/>
                <w:i w:val="0"/>
                <w:iCs w:val="0"/>
                <w:color w:val="373C43"/>
                <w:kern w:val="2"/>
                <w:sz w:val="24"/>
                <w:szCs w:val="24"/>
                <w:lang w:val="en-US" w:eastAsia="zh-CN" w:bidi="ar-SA"/>
              </w:rPr>
              <w:t>.</w:t>
            </w:r>
            <w:r>
              <w:rPr>
                <w:rFonts w:hint="eastAsia" w:ascii="仿宋_GB2312" w:hAnsi="仿宋_GB2312" w:eastAsia="仿宋_GB2312" w:cs="仿宋_GB2312"/>
                <w:i w:val="0"/>
                <w:iCs w:val="0"/>
                <w:color w:val="373C43"/>
                <w:sz w:val="24"/>
                <w:szCs w:val="24"/>
                <w:highlight w:val="none"/>
                <w:u w:val="none"/>
                <w:lang w:val="en-US" w:eastAsia="zh-CN"/>
              </w:rPr>
              <w:t>力矩电机试点项目完成自动化绕线；</w:t>
            </w:r>
          </w:p>
          <w:p>
            <w:pPr>
              <w:keepNext w:val="0"/>
              <w:keepLines w:val="0"/>
              <w:widowControl/>
              <w:numPr>
                <w:ilvl w:val="0"/>
                <w:numId w:val="0"/>
              </w:numPr>
              <w:suppressLineNumbers w:val="0"/>
              <w:jc w:val="left"/>
              <w:textAlignment w:val="center"/>
              <w:rPr>
                <w:rFonts w:hint="default" w:ascii="仿宋_GB2312" w:hAnsi="仿宋_GB2312" w:eastAsia="仿宋_GB2312" w:cs="仿宋_GB2312"/>
                <w:i w:val="0"/>
                <w:iCs w:val="0"/>
                <w:color w:val="373C43"/>
                <w:sz w:val="24"/>
                <w:szCs w:val="24"/>
                <w:highlight w:val="none"/>
                <w:u w:val="none"/>
                <w:lang w:val="en-US" w:eastAsia="zh-CN"/>
              </w:rPr>
            </w:pPr>
            <w:r>
              <w:rPr>
                <w:rFonts w:hint="eastAsia" w:ascii="仿宋_GB2312" w:hAnsi="仿宋_GB2312" w:eastAsia="仿宋_GB2312" w:cs="仿宋_GB2312"/>
                <w:i w:val="0"/>
                <w:iCs w:val="0"/>
                <w:color w:val="373C43"/>
                <w:kern w:val="2"/>
                <w:sz w:val="24"/>
                <w:szCs w:val="24"/>
                <w:lang w:val="en-US" w:eastAsia="zh-CN" w:bidi="ar-SA"/>
              </w:rPr>
              <w:t>2</w:t>
            </w:r>
            <w:r>
              <w:rPr>
                <w:rFonts w:hint="default" w:ascii="仿宋_GB2312" w:hAnsi="仿宋_GB2312" w:eastAsia="仿宋_GB2312" w:cs="仿宋_GB2312"/>
                <w:i w:val="0"/>
                <w:iCs w:val="0"/>
                <w:color w:val="373C43"/>
                <w:kern w:val="2"/>
                <w:sz w:val="24"/>
                <w:szCs w:val="24"/>
                <w:lang w:val="en-US" w:eastAsia="zh-CN" w:bidi="ar-SA"/>
              </w:rPr>
              <w:t>.</w:t>
            </w:r>
            <w:r>
              <w:rPr>
                <w:rFonts w:hint="eastAsia" w:ascii="仿宋_GB2312" w:hAnsi="仿宋_GB2312" w:eastAsia="仿宋_GB2312" w:cs="仿宋_GB2312"/>
                <w:i w:val="0"/>
                <w:iCs w:val="0"/>
                <w:color w:val="373C43"/>
                <w:sz w:val="24"/>
                <w:szCs w:val="24"/>
                <w:highlight w:val="none"/>
                <w:u w:val="none"/>
                <w:lang w:val="en-US" w:eastAsia="zh-CN"/>
              </w:rPr>
              <w:t>完成力矩电机磁钢、冲片、电刷、换相片的设计统型，形成统型手册。</w:t>
            </w:r>
          </w:p>
        </w:tc>
        <w:tc>
          <w:tcPr>
            <w:tcW w:w="8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jc w:val="center"/>
        </w:trPr>
        <w:tc>
          <w:tcPr>
            <w:tcW w:w="722"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p>
        </w:tc>
        <w:tc>
          <w:tcPr>
            <w:tcW w:w="111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产品开发</w:t>
            </w:r>
          </w:p>
        </w:tc>
        <w:tc>
          <w:tcPr>
            <w:tcW w:w="22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373C43"/>
                <w:sz w:val="24"/>
                <w:szCs w:val="24"/>
                <w:highlight w:val="none"/>
                <w:u w:val="none"/>
                <w:lang w:val="en-US" w:eastAsia="zh-CN"/>
              </w:rPr>
            </w:pPr>
            <w:r>
              <w:rPr>
                <w:rFonts w:hint="eastAsia" w:ascii="仿宋_GB2312" w:hAnsi="仿宋_GB2312" w:eastAsia="仿宋_GB2312" w:cs="仿宋_GB2312"/>
                <w:i w:val="0"/>
                <w:iCs w:val="0"/>
                <w:color w:val="373C43"/>
                <w:sz w:val="24"/>
                <w:szCs w:val="24"/>
                <w:highlight w:val="none"/>
                <w:u w:val="none"/>
                <w:lang w:val="en-US" w:eastAsia="zh-CN"/>
              </w:rPr>
              <w:t>1.推出科尔摩根AKM系列国产化产品不少于5项；</w:t>
            </w:r>
          </w:p>
          <w:p>
            <w:pPr>
              <w:keepNext w:val="0"/>
              <w:keepLines w:val="0"/>
              <w:widowControl/>
              <w:suppressLineNumbers w:val="0"/>
              <w:jc w:val="left"/>
              <w:textAlignment w:val="center"/>
              <w:rPr>
                <w:rFonts w:hint="default" w:ascii="仿宋_GB2312" w:hAnsi="仿宋_GB2312" w:eastAsia="仿宋_GB2312" w:cs="仿宋_GB2312"/>
                <w:i w:val="0"/>
                <w:iCs w:val="0"/>
                <w:color w:val="373C43"/>
                <w:sz w:val="24"/>
                <w:szCs w:val="24"/>
                <w:highlight w:val="none"/>
                <w:u w:val="none"/>
                <w:lang w:val="en-US" w:eastAsia="zh-CN"/>
              </w:rPr>
            </w:pPr>
            <w:r>
              <w:rPr>
                <w:rFonts w:hint="eastAsia" w:ascii="仿宋_GB2312" w:hAnsi="仿宋_GB2312" w:eastAsia="仿宋_GB2312" w:cs="仿宋_GB2312"/>
                <w:i w:val="0"/>
                <w:iCs w:val="0"/>
                <w:color w:val="373C43"/>
                <w:sz w:val="24"/>
                <w:szCs w:val="24"/>
                <w:highlight w:val="none"/>
                <w:u w:val="none"/>
                <w:lang w:val="en-US" w:eastAsia="zh-CN"/>
              </w:rPr>
              <w:t>2.推出工业机器人配套高性能伺服电机样机。</w:t>
            </w:r>
          </w:p>
        </w:tc>
        <w:tc>
          <w:tcPr>
            <w:tcW w:w="8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jc w:val="center"/>
        </w:trPr>
        <w:tc>
          <w:tcPr>
            <w:tcW w:w="722"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p>
        </w:tc>
        <w:tc>
          <w:tcPr>
            <w:tcW w:w="111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000000"/>
                <w:kern w:val="0"/>
                <w:sz w:val="24"/>
                <w:szCs w:val="24"/>
                <w:highlight w:val="none"/>
                <w:u w:val="none"/>
                <w:lang w:val="en-US" w:eastAsia="zh-CN" w:bidi="ar"/>
              </w:rPr>
              <w:t>知识产权</w:t>
            </w:r>
          </w:p>
        </w:tc>
        <w:tc>
          <w:tcPr>
            <w:tcW w:w="228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highlight w:val="none"/>
                <w:u w:val="none"/>
              </w:rPr>
            </w:pPr>
            <w:r>
              <w:rPr>
                <w:rFonts w:hint="eastAsia" w:ascii="仿宋_GB2312" w:hAnsi="仿宋_GB2312" w:eastAsia="仿宋_GB2312" w:cs="仿宋_GB2312"/>
                <w:i w:val="0"/>
                <w:iCs w:val="0"/>
                <w:color w:val="373C43"/>
                <w:sz w:val="24"/>
                <w:szCs w:val="24"/>
                <w:highlight w:val="none"/>
                <w:u w:val="none"/>
                <w:lang w:val="en-US" w:eastAsia="zh-CN"/>
              </w:rPr>
              <w:t>申请受理发明 4件、 实用新型 5 件</w:t>
            </w:r>
          </w:p>
        </w:tc>
        <w:tc>
          <w:tcPr>
            <w:tcW w:w="8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eastAsia="zh-CN"/>
              </w:rPr>
            </w:pPr>
            <w:r>
              <w:rPr>
                <w:rFonts w:hint="eastAsia" w:ascii="仿宋_GB2312" w:hAnsi="仿宋_GB2312" w:eastAsia="仿宋_GB2312" w:cs="仿宋_GB2312"/>
                <w:i w:val="0"/>
                <w:iCs w:val="0"/>
                <w:color w:val="000000"/>
                <w:sz w:val="24"/>
                <w:szCs w:val="24"/>
                <w:highlight w:val="none"/>
                <w:u w:val="none"/>
                <w:lang w:val="en-US" w:eastAsia="zh-CN"/>
              </w:rPr>
              <w:t>20%</w:t>
            </w:r>
          </w:p>
        </w:tc>
      </w:tr>
    </w:tbl>
    <w:p>
      <w:pPr>
        <w:pStyle w:val="47"/>
        <w:keepNext w:val="0"/>
        <w:keepLines w:val="0"/>
        <w:pageBreakBefore w:val="0"/>
        <w:widowControl/>
        <w:shd w:val="clear" w:color="auto" w:fill="FFFFFF"/>
        <w:kinsoku/>
        <w:wordWrap/>
        <w:overflowPunct/>
        <w:topLinePunct w:val="0"/>
        <w:autoSpaceDE/>
        <w:autoSpaceDN/>
        <w:bidi w:val="0"/>
        <w:adjustRightInd w:val="0"/>
        <w:snapToGrid w:val="0"/>
        <w:spacing w:beforeAutospacing="0" w:afterAutospacing="0" w:line="20" w:lineRule="exact"/>
        <w:jc w:val="both"/>
        <w:textAlignment w:val="baseline"/>
        <w:rPr>
          <w:rFonts w:hint="eastAsia" w:ascii="黑体" w:hAnsi="黑体" w:eastAsia="黑体" w:cs="黑体"/>
          <w:b w:val="0"/>
          <w:bCs w:val="0"/>
          <w:sz w:val="32"/>
          <w:szCs w:val="32"/>
          <w:highlight w:val="none"/>
          <w:lang w:eastAsia="zh-CN"/>
        </w:rPr>
      </w:pPr>
    </w:p>
    <w:p>
      <w:pPr>
        <w:widowControl/>
        <w:spacing w:line="560" w:lineRule="exact"/>
        <w:ind w:firstLine="640" w:firstLineChars="200"/>
        <w:rPr>
          <w:rFonts w:hint="eastAsia" w:ascii="仿宋_GB2312" w:eastAsia="仿宋_GB2312"/>
          <w:sz w:val="32"/>
          <w:szCs w:val="32"/>
          <w:highlight w:val="none"/>
          <w:lang w:val="en-US" w:eastAsia="zh-CN"/>
        </w:rPr>
      </w:pPr>
    </w:p>
    <w:p>
      <w:pPr>
        <w:rPr>
          <w:rFonts w:hint="default" w:ascii="仿宋_GB2312" w:hAnsi="宋体" w:eastAsia="仿宋_GB2312" w:cs="宋体"/>
          <w:color w:val="000000"/>
          <w:kern w:val="0"/>
          <w:sz w:val="32"/>
          <w:szCs w:val="32"/>
          <w:lang w:val="en-US" w:eastAsia="zh-CN"/>
        </w:rPr>
      </w:pPr>
    </w:p>
    <w:sectPr>
      <w:headerReference r:id="rId4" w:type="default"/>
      <w:footerReference r:id="rId5" w:type="default"/>
      <w:pgSz w:w="16838" w:h="11906" w:orient="landscape"/>
      <w:pgMar w:top="1588" w:right="2098" w:bottom="1474" w:left="1985"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5910453-472D-42A2-AF6F-F0946744C04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5B940D20-06E3-4F0C-93F4-BD342A3B3A5A}"/>
  </w:font>
  <w:font w:name="仿宋_GB2312">
    <w:panose1 w:val="02010609030101010101"/>
    <w:charset w:val="86"/>
    <w:family w:val="auto"/>
    <w:pitch w:val="default"/>
    <w:sig w:usb0="00000001" w:usb1="080E0000" w:usb2="00000000" w:usb3="00000000" w:csb0="00040000" w:csb1="00000000"/>
    <w:embedRegular r:id="rId3" w:fontKey="{8FF992C1-8FD0-4845-81A3-5D48C2A3030D}"/>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embedRegular r:id="rId4" w:fontKey="{684A30BB-7382-4588-9D31-A0085724C59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黑体" w:hAnsi="黑体" w:eastAsia="黑体"/>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89535" cy="230505"/>
              <wp:effectExtent l="0" t="0" r="0" b="0"/>
              <wp:wrapNone/>
              <wp:docPr id="2" name="文本框 2"/>
              <wp:cNvGraphicFramePr/>
              <a:graphic xmlns:a="http://schemas.openxmlformats.org/drawingml/2006/main">
                <a:graphicData uri="http://schemas.microsoft.com/office/word/2010/wordprocessingShape">
                  <wps:wsp>
                    <wps:cNvSpPr txBox="1"/>
                    <wps:spPr>
                      <a:xfrm>
                        <a:off x="0" y="0"/>
                        <a:ext cx="89535" cy="230505"/>
                      </a:xfrm>
                      <a:prstGeom prst="rect">
                        <a:avLst/>
                      </a:prstGeom>
                      <a:noFill/>
                      <a:ln>
                        <a:noFill/>
                      </a:ln>
                    </wps:spPr>
                    <wps:txbx>
                      <w:txbxContent>
                        <w:p>
                          <w:pPr>
                            <w:pStyle w:val="13"/>
                            <w:jc w:val="center"/>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8.15pt;width:7.05pt;mso-position-horizontal:outside;mso-position-horizontal-relative:margin;mso-wrap-style:none;z-index:251659264;mso-width-relative:page;mso-height-relative:page;" filled="f" stroked="f" coordsize="21600,21600" o:gfxdata="UEsDBAoAAAAAAIdO4kAAAAAAAAAAAAAAAAAEAAAAZHJzL1BLAwQUAAAACACHTuJAduqXsNEAAAAD&#10;AQAADwAAAGRycy9kb3ducmV2LnhtbE2PwU7DMBBE70j8g7WVuFEnFJUqxOmhEhduFITU2zbexlHt&#10;dWS7afL3uFzgstJoRjNv6+3krBgpxN6zgnJZgCBuve65U/D1+fa4ARETskbrmRTMFGHb3N/VWGl/&#10;5Q8a96kTuYRjhQpMSkMlZWwNOYxLPxBn7+SDw5Rl6KQOeM3lzsqnolhLhz3nBYMD7Qy15/3FKXiZ&#10;vj0NkXZ0OI1tMP28se+zUg+LsngFkWhKf2G44Wd0aDLT0V9YR2EV5EfS7715zyWIo4LVegWyqeV/&#10;9uYHUEsDBBQAAAAIAIdO4kCjqq5CzQEAAJYDAAAOAAAAZHJzL2Uyb0RvYy54bWytU82O0zAQviPx&#10;DpbvNGlWRUvUdAWqFiEhQFp4ANexG0v+k8dt0heAN+DEhTvP1edg7CRd2L3sYS/OZDz55vu+maxv&#10;BqPJUQRQzjZ0uSgpEZa7Vtl9Q799vX11TQlEZlumnRUNPQmgN5uXL9a9r0XlOqdbEQiCWKh739Au&#10;Rl8XBfBOGAYL54XFS+mCYRFfw75oA+sR3eiiKsvXRe9C64PjAgCz2/GSTojhKYBOSsXF1vGDETaO&#10;qEFoFlESdMoD3WS2UgoeP0sJIhLdUFQa84lNMN6ls9isWb0PzHeKTxTYUyg80GSYstj0ArVlkZFD&#10;UI+gjOLBgZNxwZ0pRiHZEVSxLB94c9cxL7IWtBr8xXR4Plj+6fglENU2tKLEMoMDP//8cf715/z7&#10;O6mSPb2HGqvuPNbF4Z0bcGnmPGAyqR5kMOmJegjeo7mni7liiIRj8vrN6mpFCceb6qpclasEUtx/&#10;6wPE98IZkoKGBhxddpQdP0IcS+eS1Mq6W6V1Hp+2/yUQM2WKRHwkmKI47IZJzc61JxTT49QbanHJ&#10;KdEfLJqaFmQOwhzs5uDgg9p3SG2ZeYF/e4hIInNLHUbYqTGOK6ubVivtw7/vuer+d9r8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Hbql7DRAAAAAwEAAA8AAAAAAAAAAQAgAAAAIgAAAGRycy9kb3du&#10;cmV2LnhtbFBLAQIUABQAAAAIAIdO4kCjqq5CzQEAAJYDAAAOAAAAAAAAAAEAIAAAACABAABkcnMv&#10;ZTJvRG9jLnhtbFBLBQYAAAAABgAGAFkBAABfBQAAAAA=&#10;">
              <v:fill on="f" focussize="0,0"/>
              <v:stroke on="f"/>
              <v:imagedata o:title=""/>
              <o:lock v:ext="edit" aspectratio="f"/>
              <v:textbox inset="0mm,0mm,0mm,0mm" style="mso-fit-shape-to-text:t;">
                <w:txbxContent>
                  <w:p>
                    <w:pPr>
                      <w:pStyle w:val="13"/>
                      <w:jc w:val="center"/>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65pt;width:62.2pt;mso-position-horizontal:outside;mso-position-horizontal-relative:margin;z-index:251659264;mso-width-relative:page;mso-height-relative:page;" filled="f" stroked="f" coordsize="21600,21600" o:gfxdata="UEsDBAoAAAAAAIdO4kAAAAAAAAAAAAAAAAAEAAAAZHJzL1BLAwQUAAAACACHTuJAHU06wtUAAAAE&#10;AQAADwAAAGRycy9kb3ducmV2LnhtbE2PS0/DMBCE70j8B2uRuFE7bQVViNMDjxuPUooENydekgh7&#10;HcWbtPx7XC5wWWk0o5lvi/XBOzHhELtAGrKZAoFUB9tRo2H3en+xAhHZkDUuEGr4xgjr8vSkMLkN&#10;e3rBacuNSCUUc6OhZe5zKWPdojdxFnqk5H2GwRtOcmikHcw+lXsn50pdSm86Sgut6fGmxfprO3oN&#10;7j0OD5Xij+m2eeTNsxzf7rInrc/PMnUNgvHAf2E44id0KBNTFUayUTgN6RH+vUdvvlyCqDQsrhYg&#10;y0L+hy9/AFBLAwQUAAAACACHTuJAVcQ22jkCAABjBAAADgAAAGRycy9lMm9Eb2MueG1srVTBbhMx&#10;EL0j8Q+W73TThJY26qYKrYqQKlqpIM6O15u1ZHuM7XS3fAD8QU9cuPNd/Q6ed7MpKhx64OLMzozf&#10;+L2ZyclpZw27VSFqciXf35twppykSrt1yT99vHh1xFlMwlXCkFMlv1ORny5evjhp/VxNqSFTqcAA&#10;4uK89SVvUvLzooiyUVbEPfLKIVhTsCLhM6yLKogW6NYU08nksGgpVD6QVDHCez4E+RYxPAeQ6lpL&#10;dU5yY5VLA2pQRiRQio32kS/619a1kumqrqNKzJQcTFN/ogjsVT6LxYmYr4PwjZbbJ4jnPOEJJyu0&#10;Q9Ed1LlIgm2C/gvKahkoUp32JNliINIrAhb7kyfa3DTCq54LpI5+J3r8f7Dyw+11YLrCJMw4c8Ki&#10;4w/33x9+/Hr4+Y3BB4FaH+fIu/HITN1b6pA8+iOcmXdXB5t/wYghDnnvdvKqLjEJ55uj4+PXiEiE&#10;prPDo4ODjFI8XvYhpneKLMtGyQO614sqbi9jGlLHlFzL0YU2pu+gcawt+eHsYNJf2EUAbhxqZArD&#10;U7OVulW35bWi6g60Ag2TEb280Ch+KWK6FgGjgPdiWdIVjtoQitDW4qyh8PVf/pyPDiHKWYvRKnn8&#10;shFBcWbeO/QOkGk0wmisRsNt7BlhWvexhl72Ji6EZEazDmQ/Y4eWuQpCwknUKnkazbM0DDh2UKrl&#10;sk/a+KDXzXABk+dFunQ3XuYyg5TLTaJa9ypniQZdtsph9vo+bfckD/ef333W43/D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dTTrC1QAAAAQBAAAPAAAAAAAAAAEAIAAAACIAAABkcnMvZG93bnJl&#10;di54bWxQSwECFAAUAAAACACHTuJAVcQ22jkCAABjBAAADgAAAAAAAAABACAAAAAkAQAAZHJzL2Uy&#10;b0RvYy54bWxQSwUGAAAAAAYABgBZAQAAzwUAAAAA&#10;">
              <v:fill on="f" focussize="0,0"/>
              <v:stroke on="f" weight="0.5pt"/>
              <v:imagedata o:title=""/>
              <o:lock v:ext="edit" aspectratio="f"/>
              <v:textbox inset="0mm,0mm,0mm,0mm">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864F77"/>
    <w:multiLevelType w:val="singleLevel"/>
    <w:tmpl w:val="D3864F77"/>
    <w:lvl w:ilvl="0" w:tentative="0">
      <w:start w:val="1"/>
      <w:numFmt w:val="decimal"/>
      <w:lvlText w:val="%1."/>
      <w:lvlJc w:val="left"/>
      <w:pPr>
        <w:tabs>
          <w:tab w:val="left" w:pos="312"/>
        </w:tabs>
      </w:pPr>
    </w:lvl>
  </w:abstractNum>
  <w:abstractNum w:abstractNumId="1">
    <w:nsid w:val="11BE33E2"/>
    <w:multiLevelType w:val="singleLevel"/>
    <w:tmpl w:val="11BE33E2"/>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zZjk2OTU3OGM4ZTVhYTAyNzkxODBjMmJjOTBlNzAifQ=="/>
  </w:docVars>
  <w:rsids>
    <w:rsidRoot w:val="00D26C17"/>
    <w:rsid w:val="00004294"/>
    <w:rsid w:val="00077BB8"/>
    <w:rsid w:val="003815EF"/>
    <w:rsid w:val="003D138F"/>
    <w:rsid w:val="00411E7D"/>
    <w:rsid w:val="00522E5A"/>
    <w:rsid w:val="00666A9B"/>
    <w:rsid w:val="007B2113"/>
    <w:rsid w:val="00933E5B"/>
    <w:rsid w:val="009731F3"/>
    <w:rsid w:val="00996404"/>
    <w:rsid w:val="00D1064C"/>
    <w:rsid w:val="00D26C17"/>
    <w:rsid w:val="00D51E8B"/>
    <w:rsid w:val="00D77774"/>
    <w:rsid w:val="00DE63A2"/>
    <w:rsid w:val="00EE3721"/>
    <w:rsid w:val="00F069A3"/>
    <w:rsid w:val="00FF7664"/>
    <w:rsid w:val="016519C1"/>
    <w:rsid w:val="017B11E4"/>
    <w:rsid w:val="01AF5332"/>
    <w:rsid w:val="01C3381D"/>
    <w:rsid w:val="022369EF"/>
    <w:rsid w:val="02355837"/>
    <w:rsid w:val="02671768"/>
    <w:rsid w:val="027125E7"/>
    <w:rsid w:val="02A209F3"/>
    <w:rsid w:val="02D908B8"/>
    <w:rsid w:val="02F2197A"/>
    <w:rsid w:val="02F428EC"/>
    <w:rsid w:val="03675EC4"/>
    <w:rsid w:val="03827295"/>
    <w:rsid w:val="03AD4DDD"/>
    <w:rsid w:val="03B7227C"/>
    <w:rsid w:val="044955CA"/>
    <w:rsid w:val="048F2C7D"/>
    <w:rsid w:val="04EC7024"/>
    <w:rsid w:val="053242B0"/>
    <w:rsid w:val="05485881"/>
    <w:rsid w:val="05665D07"/>
    <w:rsid w:val="05A52CD4"/>
    <w:rsid w:val="06577AD4"/>
    <w:rsid w:val="068E3768"/>
    <w:rsid w:val="06E17D3B"/>
    <w:rsid w:val="074C5995"/>
    <w:rsid w:val="079046C9"/>
    <w:rsid w:val="07983414"/>
    <w:rsid w:val="07D7219C"/>
    <w:rsid w:val="07EC0B14"/>
    <w:rsid w:val="08094D85"/>
    <w:rsid w:val="082A3964"/>
    <w:rsid w:val="08D613F6"/>
    <w:rsid w:val="090A6581"/>
    <w:rsid w:val="09165225"/>
    <w:rsid w:val="092B2231"/>
    <w:rsid w:val="09313F0E"/>
    <w:rsid w:val="098146E6"/>
    <w:rsid w:val="0A4B1FCC"/>
    <w:rsid w:val="0A6D7B38"/>
    <w:rsid w:val="0A6F525B"/>
    <w:rsid w:val="0AA456F3"/>
    <w:rsid w:val="0AC51722"/>
    <w:rsid w:val="0AF4446C"/>
    <w:rsid w:val="0AFA761E"/>
    <w:rsid w:val="0B1B3B13"/>
    <w:rsid w:val="0B4A1806"/>
    <w:rsid w:val="0B552AA6"/>
    <w:rsid w:val="0B7B41DB"/>
    <w:rsid w:val="0BB04180"/>
    <w:rsid w:val="0BB12589"/>
    <w:rsid w:val="0C246C3B"/>
    <w:rsid w:val="0C50326D"/>
    <w:rsid w:val="0CA43CE5"/>
    <w:rsid w:val="0CA727E3"/>
    <w:rsid w:val="0CDE6ACB"/>
    <w:rsid w:val="0D004C71"/>
    <w:rsid w:val="0D0E73B0"/>
    <w:rsid w:val="0D847672"/>
    <w:rsid w:val="0DB16C21"/>
    <w:rsid w:val="0DBE2B84"/>
    <w:rsid w:val="0DCD726B"/>
    <w:rsid w:val="0DD34156"/>
    <w:rsid w:val="0E096C10"/>
    <w:rsid w:val="0E2854AC"/>
    <w:rsid w:val="0E67321C"/>
    <w:rsid w:val="0F3B0205"/>
    <w:rsid w:val="0F4F16B2"/>
    <w:rsid w:val="0FE12B5A"/>
    <w:rsid w:val="10086339"/>
    <w:rsid w:val="103435D2"/>
    <w:rsid w:val="108F6A5A"/>
    <w:rsid w:val="10A8433B"/>
    <w:rsid w:val="10AC13BA"/>
    <w:rsid w:val="116752E1"/>
    <w:rsid w:val="11771B12"/>
    <w:rsid w:val="11987B90"/>
    <w:rsid w:val="119F6E8B"/>
    <w:rsid w:val="11B47634"/>
    <w:rsid w:val="11E20E0C"/>
    <w:rsid w:val="125E66E4"/>
    <w:rsid w:val="12733E70"/>
    <w:rsid w:val="12BE3627"/>
    <w:rsid w:val="12CE0C99"/>
    <w:rsid w:val="13143749"/>
    <w:rsid w:val="13217712"/>
    <w:rsid w:val="13685340"/>
    <w:rsid w:val="13786942"/>
    <w:rsid w:val="13913519"/>
    <w:rsid w:val="13A97E33"/>
    <w:rsid w:val="13CE5AEB"/>
    <w:rsid w:val="13DD7DC5"/>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061C0C"/>
    <w:rsid w:val="161D68B6"/>
    <w:rsid w:val="1653052A"/>
    <w:rsid w:val="16AD68BA"/>
    <w:rsid w:val="16B76879"/>
    <w:rsid w:val="16B965DF"/>
    <w:rsid w:val="16BF516A"/>
    <w:rsid w:val="16E7210F"/>
    <w:rsid w:val="17667442"/>
    <w:rsid w:val="178B5F49"/>
    <w:rsid w:val="1843750D"/>
    <w:rsid w:val="18730A0F"/>
    <w:rsid w:val="18BF5A03"/>
    <w:rsid w:val="19307018"/>
    <w:rsid w:val="194F441F"/>
    <w:rsid w:val="19AC41D9"/>
    <w:rsid w:val="19EA6AAF"/>
    <w:rsid w:val="1A321DA9"/>
    <w:rsid w:val="1A396A5F"/>
    <w:rsid w:val="1A473E72"/>
    <w:rsid w:val="1A4E703E"/>
    <w:rsid w:val="1AD11A1D"/>
    <w:rsid w:val="1ADC6C39"/>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934F03"/>
    <w:rsid w:val="1DC422B8"/>
    <w:rsid w:val="1DDC1D26"/>
    <w:rsid w:val="1DF63C75"/>
    <w:rsid w:val="1E30234F"/>
    <w:rsid w:val="1E675979"/>
    <w:rsid w:val="1E8C601F"/>
    <w:rsid w:val="1EB353CC"/>
    <w:rsid w:val="1EC975DB"/>
    <w:rsid w:val="1EE10644"/>
    <w:rsid w:val="1F4D7724"/>
    <w:rsid w:val="1F6D61B8"/>
    <w:rsid w:val="20144886"/>
    <w:rsid w:val="208A4797"/>
    <w:rsid w:val="20F76FFF"/>
    <w:rsid w:val="21176FBB"/>
    <w:rsid w:val="21736403"/>
    <w:rsid w:val="218B39C0"/>
    <w:rsid w:val="21DE15EF"/>
    <w:rsid w:val="220F79FB"/>
    <w:rsid w:val="223631D9"/>
    <w:rsid w:val="22600256"/>
    <w:rsid w:val="23005595"/>
    <w:rsid w:val="23136EEB"/>
    <w:rsid w:val="233C3E4E"/>
    <w:rsid w:val="23E57486"/>
    <w:rsid w:val="24106586"/>
    <w:rsid w:val="241E3F33"/>
    <w:rsid w:val="2425014F"/>
    <w:rsid w:val="24CB23C4"/>
    <w:rsid w:val="250456E8"/>
    <w:rsid w:val="2535072C"/>
    <w:rsid w:val="255F7774"/>
    <w:rsid w:val="258B55EA"/>
    <w:rsid w:val="25983863"/>
    <w:rsid w:val="25AA0769"/>
    <w:rsid w:val="25DD571A"/>
    <w:rsid w:val="263C57B2"/>
    <w:rsid w:val="265513EA"/>
    <w:rsid w:val="26FF4758"/>
    <w:rsid w:val="270811D6"/>
    <w:rsid w:val="2727030E"/>
    <w:rsid w:val="27A97FAA"/>
    <w:rsid w:val="27DE07E0"/>
    <w:rsid w:val="27E126B6"/>
    <w:rsid w:val="27F21951"/>
    <w:rsid w:val="28243AD4"/>
    <w:rsid w:val="282D3E1D"/>
    <w:rsid w:val="283858CD"/>
    <w:rsid w:val="28821D21"/>
    <w:rsid w:val="29341AF5"/>
    <w:rsid w:val="293C78E0"/>
    <w:rsid w:val="29A30A29"/>
    <w:rsid w:val="29A92DEF"/>
    <w:rsid w:val="29FD22B4"/>
    <w:rsid w:val="2A4B5348"/>
    <w:rsid w:val="2A924D25"/>
    <w:rsid w:val="2AB90504"/>
    <w:rsid w:val="2AC7692A"/>
    <w:rsid w:val="2ADB6075"/>
    <w:rsid w:val="2B040F10"/>
    <w:rsid w:val="2B762C31"/>
    <w:rsid w:val="2B784A89"/>
    <w:rsid w:val="2BB553E6"/>
    <w:rsid w:val="2BD001FB"/>
    <w:rsid w:val="2BF23635"/>
    <w:rsid w:val="2C8965FC"/>
    <w:rsid w:val="2C9C1E8B"/>
    <w:rsid w:val="2CB91C59"/>
    <w:rsid w:val="2D067C4C"/>
    <w:rsid w:val="2DA757CD"/>
    <w:rsid w:val="2E2E2FB7"/>
    <w:rsid w:val="2E5D564A"/>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520F7"/>
    <w:rsid w:val="309F1F4A"/>
    <w:rsid w:val="30CC6AB7"/>
    <w:rsid w:val="312D57A8"/>
    <w:rsid w:val="31CB6D6E"/>
    <w:rsid w:val="31D9592F"/>
    <w:rsid w:val="320504D2"/>
    <w:rsid w:val="329459AD"/>
    <w:rsid w:val="329E4165"/>
    <w:rsid w:val="32C00582"/>
    <w:rsid w:val="335C6818"/>
    <w:rsid w:val="33C26591"/>
    <w:rsid w:val="33FB52BF"/>
    <w:rsid w:val="346F0006"/>
    <w:rsid w:val="34F565DC"/>
    <w:rsid w:val="35B415EC"/>
    <w:rsid w:val="35C83CF1"/>
    <w:rsid w:val="35E328D9"/>
    <w:rsid w:val="36000EF9"/>
    <w:rsid w:val="3600792F"/>
    <w:rsid w:val="365C3DBB"/>
    <w:rsid w:val="367571F9"/>
    <w:rsid w:val="369235A5"/>
    <w:rsid w:val="36FD5C1C"/>
    <w:rsid w:val="37193A7A"/>
    <w:rsid w:val="37225683"/>
    <w:rsid w:val="37472E3B"/>
    <w:rsid w:val="37645C9B"/>
    <w:rsid w:val="37796E87"/>
    <w:rsid w:val="378325C5"/>
    <w:rsid w:val="37FA03AE"/>
    <w:rsid w:val="380A6843"/>
    <w:rsid w:val="38370F4F"/>
    <w:rsid w:val="387C536A"/>
    <w:rsid w:val="388C3574"/>
    <w:rsid w:val="38957D3E"/>
    <w:rsid w:val="38A62B0D"/>
    <w:rsid w:val="38B86F56"/>
    <w:rsid w:val="3922196A"/>
    <w:rsid w:val="394F6C6F"/>
    <w:rsid w:val="39763A64"/>
    <w:rsid w:val="3A63048C"/>
    <w:rsid w:val="3AC71D0D"/>
    <w:rsid w:val="3B8406BA"/>
    <w:rsid w:val="3B963A4D"/>
    <w:rsid w:val="3B9F48B6"/>
    <w:rsid w:val="3BB645EB"/>
    <w:rsid w:val="3C2D0D52"/>
    <w:rsid w:val="3C9B3F0D"/>
    <w:rsid w:val="3CD4717D"/>
    <w:rsid w:val="3D121CF5"/>
    <w:rsid w:val="3D404AB5"/>
    <w:rsid w:val="3D897F97"/>
    <w:rsid w:val="3D8F1598"/>
    <w:rsid w:val="3E2B12C1"/>
    <w:rsid w:val="3E4505B4"/>
    <w:rsid w:val="3E5C147A"/>
    <w:rsid w:val="3E7E2A01"/>
    <w:rsid w:val="3E7F0194"/>
    <w:rsid w:val="3E9C57AC"/>
    <w:rsid w:val="3EBF7C5B"/>
    <w:rsid w:val="3EC6070F"/>
    <w:rsid w:val="3ED51742"/>
    <w:rsid w:val="3F0F0BE2"/>
    <w:rsid w:val="3F5F64EF"/>
    <w:rsid w:val="3F744EE9"/>
    <w:rsid w:val="3F7B6278"/>
    <w:rsid w:val="3F917849"/>
    <w:rsid w:val="3FA30A38"/>
    <w:rsid w:val="3FCB250F"/>
    <w:rsid w:val="3FCB2D5B"/>
    <w:rsid w:val="3FD15E98"/>
    <w:rsid w:val="40006363"/>
    <w:rsid w:val="409E3FCC"/>
    <w:rsid w:val="40D55514"/>
    <w:rsid w:val="40ED3BA3"/>
    <w:rsid w:val="412F51E3"/>
    <w:rsid w:val="41B17D2F"/>
    <w:rsid w:val="424E1A22"/>
    <w:rsid w:val="42611755"/>
    <w:rsid w:val="429531AD"/>
    <w:rsid w:val="42D8613A"/>
    <w:rsid w:val="42FA7159"/>
    <w:rsid w:val="43AF3320"/>
    <w:rsid w:val="43F92FEC"/>
    <w:rsid w:val="441B1E39"/>
    <w:rsid w:val="44501A81"/>
    <w:rsid w:val="44600F13"/>
    <w:rsid w:val="446B68BB"/>
    <w:rsid w:val="447517CB"/>
    <w:rsid w:val="4484172B"/>
    <w:rsid w:val="44A41DCD"/>
    <w:rsid w:val="44FF34A7"/>
    <w:rsid w:val="45442C68"/>
    <w:rsid w:val="457A48DC"/>
    <w:rsid w:val="45AA3413"/>
    <w:rsid w:val="45DE1D77"/>
    <w:rsid w:val="45FB5626"/>
    <w:rsid w:val="460F7548"/>
    <w:rsid w:val="462A2F7C"/>
    <w:rsid w:val="4654337F"/>
    <w:rsid w:val="4694464B"/>
    <w:rsid w:val="47617B01"/>
    <w:rsid w:val="477A0BC3"/>
    <w:rsid w:val="47A04ACD"/>
    <w:rsid w:val="47D81FA9"/>
    <w:rsid w:val="48245124"/>
    <w:rsid w:val="486B440C"/>
    <w:rsid w:val="494E5D41"/>
    <w:rsid w:val="49583186"/>
    <w:rsid w:val="49937C6C"/>
    <w:rsid w:val="49A03796"/>
    <w:rsid w:val="49A53CC1"/>
    <w:rsid w:val="49BF7253"/>
    <w:rsid w:val="49C83E68"/>
    <w:rsid w:val="49F3676E"/>
    <w:rsid w:val="4A1B0F21"/>
    <w:rsid w:val="4A3E237C"/>
    <w:rsid w:val="4AF85673"/>
    <w:rsid w:val="4B6B71A0"/>
    <w:rsid w:val="4B982BB3"/>
    <w:rsid w:val="4BF7108D"/>
    <w:rsid w:val="4BFC429C"/>
    <w:rsid w:val="4C9B5863"/>
    <w:rsid w:val="4CC50B32"/>
    <w:rsid w:val="4CE0771A"/>
    <w:rsid w:val="4D096C71"/>
    <w:rsid w:val="4DA44BEC"/>
    <w:rsid w:val="4DAE1633"/>
    <w:rsid w:val="4DB82445"/>
    <w:rsid w:val="4DEB45C9"/>
    <w:rsid w:val="4E30647F"/>
    <w:rsid w:val="4E577EB0"/>
    <w:rsid w:val="4EB7349B"/>
    <w:rsid w:val="4EFF13E5"/>
    <w:rsid w:val="4F8C0F92"/>
    <w:rsid w:val="4FBA7B2E"/>
    <w:rsid w:val="4FCD544B"/>
    <w:rsid w:val="4FF77255"/>
    <w:rsid w:val="50376EC1"/>
    <w:rsid w:val="50442E41"/>
    <w:rsid w:val="50700DB5"/>
    <w:rsid w:val="50EF1724"/>
    <w:rsid w:val="511104C5"/>
    <w:rsid w:val="51772403"/>
    <w:rsid w:val="5245097E"/>
    <w:rsid w:val="52575455"/>
    <w:rsid w:val="526F57C8"/>
    <w:rsid w:val="527B604B"/>
    <w:rsid w:val="53603363"/>
    <w:rsid w:val="538E6122"/>
    <w:rsid w:val="543E18F6"/>
    <w:rsid w:val="54C811C0"/>
    <w:rsid w:val="54DE6C35"/>
    <w:rsid w:val="551E4A4E"/>
    <w:rsid w:val="55724DC3"/>
    <w:rsid w:val="55760C1C"/>
    <w:rsid w:val="55B335CC"/>
    <w:rsid w:val="55DB13C7"/>
    <w:rsid w:val="564662EE"/>
    <w:rsid w:val="565D20C7"/>
    <w:rsid w:val="57284198"/>
    <w:rsid w:val="57D22CC7"/>
    <w:rsid w:val="58003366"/>
    <w:rsid w:val="58C47EF0"/>
    <w:rsid w:val="58C90767"/>
    <w:rsid w:val="59032FB6"/>
    <w:rsid w:val="594D4389"/>
    <w:rsid w:val="597933D0"/>
    <w:rsid w:val="598946F7"/>
    <w:rsid w:val="59AF0BA0"/>
    <w:rsid w:val="59BC506B"/>
    <w:rsid w:val="59BD32BD"/>
    <w:rsid w:val="5A4F276C"/>
    <w:rsid w:val="5A7871E4"/>
    <w:rsid w:val="5AE76A55"/>
    <w:rsid w:val="5AF63C2C"/>
    <w:rsid w:val="5B637E94"/>
    <w:rsid w:val="5B860B91"/>
    <w:rsid w:val="5B8928AC"/>
    <w:rsid w:val="5C2238AB"/>
    <w:rsid w:val="5C300B46"/>
    <w:rsid w:val="5C91170D"/>
    <w:rsid w:val="5CC44887"/>
    <w:rsid w:val="5E0707E8"/>
    <w:rsid w:val="5E343D6A"/>
    <w:rsid w:val="5E516DC3"/>
    <w:rsid w:val="5E836CBA"/>
    <w:rsid w:val="5EB93F9B"/>
    <w:rsid w:val="5ED131DB"/>
    <w:rsid w:val="5EE31A16"/>
    <w:rsid w:val="5EEA61D6"/>
    <w:rsid w:val="5F2B2A77"/>
    <w:rsid w:val="5F6E1D2C"/>
    <w:rsid w:val="5FA82319"/>
    <w:rsid w:val="5FB05505"/>
    <w:rsid w:val="5FB76230"/>
    <w:rsid w:val="5FDC6B40"/>
    <w:rsid w:val="5FF437B1"/>
    <w:rsid w:val="60673F83"/>
    <w:rsid w:val="60A76AF7"/>
    <w:rsid w:val="60B10AFA"/>
    <w:rsid w:val="60FD670A"/>
    <w:rsid w:val="61265BEC"/>
    <w:rsid w:val="61483335"/>
    <w:rsid w:val="61CE3B8D"/>
    <w:rsid w:val="61D75138"/>
    <w:rsid w:val="624C78D4"/>
    <w:rsid w:val="62785DEC"/>
    <w:rsid w:val="62CD2097"/>
    <w:rsid w:val="62E3123D"/>
    <w:rsid w:val="63120A45"/>
    <w:rsid w:val="64570A13"/>
    <w:rsid w:val="64810435"/>
    <w:rsid w:val="649F586A"/>
    <w:rsid w:val="64FE29DC"/>
    <w:rsid w:val="65021D19"/>
    <w:rsid w:val="651363E4"/>
    <w:rsid w:val="655D5954"/>
    <w:rsid w:val="65E55147"/>
    <w:rsid w:val="66372649"/>
    <w:rsid w:val="67222BCE"/>
    <w:rsid w:val="674E622B"/>
    <w:rsid w:val="682B7F8C"/>
    <w:rsid w:val="68404A74"/>
    <w:rsid w:val="685A261F"/>
    <w:rsid w:val="68AF64C7"/>
    <w:rsid w:val="68B0082B"/>
    <w:rsid w:val="68C72CFE"/>
    <w:rsid w:val="68F840FA"/>
    <w:rsid w:val="6A2124C5"/>
    <w:rsid w:val="6ADB7A47"/>
    <w:rsid w:val="6AE54422"/>
    <w:rsid w:val="6AFD7CAA"/>
    <w:rsid w:val="6BA92830"/>
    <w:rsid w:val="6BD154E6"/>
    <w:rsid w:val="6C0E5BFA"/>
    <w:rsid w:val="6C2E2E4D"/>
    <w:rsid w:val="6CDA3D2E"/>
    <w:rsid w:val="6D257FA0"/>
    <w:rsid w:val="6D400F45"/>
    <w:rsid w:val="6D9F5423"/>
    <w:rsid w:val="6DC42A14"/>
    <w:rsid w:val="6DCE3893"/>
    <w:rsid w:val="6DD55F01"/>
    <w:rsid w:val="6F245233"/>
    <w:rsid w:val="6F854425"/>
    <w:rsid w:val="6F8D6E36"/>
    <w:rsid w:val="6FA14932"/>
    <w:rsid w:val="6FC974CE"/>
    <w:rsid w:val="6FE401BA"/>
    <w:rsid w:val="6FF10FE9"/>
    <w:rsid w:val="701778DC"/>
    <w:rsid w:val="70661C93"/>
    <w:rsid w:val="70A87041"/>
    <w:rsid w:val="70AE3508"/>
    <w:rsid w:val="711F4406"/>
    <w:rsid w:val="71353C29"/>
    <w:rsid w:val="7189187F"/>
    <w:rsid w:val="71C172BE"/>
    <w:rsid w:val="71E075D7"/>
    <w:rsid w:val="71FA1A60"/>
    <w:rsid w:val="726B5B54"/>
    <w:rsid w:val="7282376A"/>
    <w:rsid w:val="729F75AC"/>
    <w:rsid w:val="731F06ED"/>
    <w:rsid w:val="733C4DFB"/>
    <w:rsid w:val="73566279"/>
    <w:rsid w:val="73B66440"/>
    <w:rsid w:val="742A559B"/>
    <w:rsid w:val="746A1C1D"/>
    <w:rsid w:val="746C1710"/>
    <w:rsid w:val="74817FA7"/>
    <w:rsid w:val="74C829A2"/>
    <w:rsid w:val="750C544B"/>
    <w:rsid w:val="75FB0F9D"/>
    <w:rsid w:val="76366479"/>
    <w:rsid w:val="76742AFE"/>
    <w:rsid w:val="76870A83"/>
    <w:rsid w:val="76A038F3"/>
    <w:rsid w:val="76B455F0"/>
    <w:rsid w:val="770B16B4"/>
    <w:rsid w:val="7715608F"/>
    <w:rsid w:val="78451E90"/>
    <w:rsid w:val="786A065C"/>
    <w:rsid w:val="788A29CD"/>
    <w:rsid w:val="788E2CEB"/>
    <w:rsid w:val="78E35D19"/>
    <w:rsid w:val="790A599B"/>
    <w:rsid w:val="791800B8"/>
    <w:rsid w:val="79256331"/>
    <w:rsid w:val="792A55F5"/>
    <w:rsid w:val="793D367B"/>
    <w:rsid w:val="794C1B10"/>
    <w:rsid w:val="79553FFB"/>
    <w:rsid w:val="79761FB1"/>
    <w:rsid w:val="79AD6A52"/>
    <w:rsid w:val="79CB3751"/>
    <w:rsid w:val="79F006ED"/>
    <w:rsid w:val="7A2B7977"/>
    <w:rsid w:val="7A6A4943"/>
    <w:rsid w:val="7AAA4D40"/>
    <w:rsid w:val="7AC041A5"/>
    <w:rsid w:val="7AD54393"/>
    <w:rsid w:val="7AE2272C"/>
    <w:rsid w:val="7B2C2BB5"/>
    <w:rsid w:val="7BEB3862"/>
    <w:rsid w:val="7C376AA7"/>
    <w:rsid w:val="7C42333B"/>
    <w:rsid w:val="7C4466BB"/>
    <w:rsid w:val="7C9C679D"/>
    <w:rsid w:val="7CB73744"/>
    <w:rsid w:val="7CD23C96"/>
    <w:rsid w:val="7D140B97"/>
    <w:rsid w:val="7D731D61"/>
    <w:rsid w:val="7D87580C"/>
    <w:rsid w:val="7D965AF2"/>
    <w:rsid w:val="7D980636"/>
    <w:rsid w:val="7DF2480A"/>
    <w:rsid w:val="7E400DFB"/>
    <w:rsid w:val="7E437985"/>
    <w:rsid w:val="7E691D39"/>
    <w:rsid w:val="7E8F6E89"/>
    <w:rsid w:val="7EC62364"/>
    <w:rsid w:val="7EDE145C"/>
    <w:rsid w:val="7EEF1432"/>
    <w:rsid w:val="7F303C81"/>
    <w:rsid w:val="7FAF5848"/>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4"/>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5"/>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11">
    <w:name w:val="Body Text"/>
    <w:basedOn w:val="1"/>
    <w:next w:val="1"/>
    <w:autoRedefine/>
    <w:semiHidden/>
    <w:unhideWhenUsed/>
    <w:qFormat/>
    <w:uiPriority w:val="99"/>
    <w:pPr>
      <w:spacing w:after="120"/>
    </w:pPr>
  </w:style>
  <w:style w:type="paragraph" w:styleId="12">
    <w:name w:val="Plain Text"/>
    <w:basedOn w:val="1"/>
    <w:autoRedefine/>
    <w:qFormat/>
    <w:uiPriority w:val="0"/>
    <w:rPr>
      <w:rFonts w:ascii="宋体" w:hAnsi="Courier New" w:cs="Courier New"/>
      <w:szCs w:val="21"/>
    </w:rPr>
  </w:style>
  <w:style w:type="paragraph" w:styleId="13">
    <w:name w:val="footer"/>
    <w:basedOn w:val="1"/>
    <w:link w:val="42"/>
    <w:autoRedefine/>
    <w:unhideWhenUsed/>
    <w:qFormat/>
    <w:uiPriority w:val="99"/>
    <w:pPr>
      <w:tabs>
        <w:tab w:val="center" w:pos="4153"/>
        <w:tab w:val="right" w:pos="8306"/>
      </w:tabs>
      <w:snapToGrid w:val="0"/>
      <w:jc w:val="left"/>
    </w:pPr>
    <w:rPr>
      <w:sz w:val="18"/>
      <w:szCs w:val="18"/>
    </w:rPr>
  </w:style>
  <w:style w:type="paragraph" w:styleId="14">
    <w:name w:val="header"/>
    <w:basedOn w:val="1"/>
    <w:link w:val="41"/>
    <w:unhideWhenUsed/>
    <w:qFormat/>
    <w:uiPriority w:val="99"/>
    <w:pPr>
      <w:tabs>
        <w:tab w:val="center" w:pos="4153"/>
        <w:tab w:val="right" w:pos="8306"/>
      </w:tabs>
      <w:snapToGrid w:val="0"/>
      <w:jc w:val="center"/>
    </w:pPr>
    <w:rPr>
      <w:sz w:val="18"/>
      <w:szCs w:val="18"/>
    </w:rPr>
  </w:style>
  <w:style w:type="paragraph" w:styleId="15">
    <w:name w:val="toc 1"/>
    <w:basedOn w:val="1"/>
    <w:next w:val="1"/>
    <w:semiHidden/>
    <w:qFormat/>
    <w:uiPriority w:val="0"/>
    <w:rPr>
      <w:rFonts w:ascii="Calibri" w:hAnsi="Calibri"/>
    </w:rPr>
  </w:style>
  <w:style w:type="paragraph" w:styleId="16">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Body Text 2"/>
    <w:basedOn w:val="1"/>
    <w:autoRedefine/>
    <w:qFormat/>
    <w:uiPriority w:val="0"/>
    <w:pPr>
      <w:widowControl w:val="0"/>
      <w:kinsoku/>
      <w:autoSpaceDE/>
      <w:autoSpaceDN/>
      <w:spacing w:line="600" w:lineRule="exact"/>
      <w:ind w:left="1280" w:hanging="1280" w:hangingChars="400"/>
      <w:textAlignment w:val="auto"/>
    </w:pPr>
  </w:style>
  <w:style w:type="paragraph" w:styleId="18">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2"/>
    <w:autoRedefine/>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1">
    <w:name w:val="Table Grid"/>
    <w:basedOn w:val="2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标题 1 字符"/>
    <w:basedOn w:val="22"/>
    <w:link w:val="2"/>
    <w:autoRedefine/>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2"/>
    <w:link w:val="3"/>
    <w:autoRedefine/>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2"/>
    <w:link w:val="4"/>
    <w:autoRedefine/>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2"/>
    <w:link w:val="5"/>
    <w:autoRedefine/>
    <w:semiHidden/>
    <w:qFormat/>
    <w:uiPriority w:val="9"/>
    <w:rPr>
      <w:rFonts w:cstheme="majorBidi"/>
      <w:color w:val="104862" w:themeColor="accent1" w:themeShade="BF"/>
      <w:sz w:val="28"/>
      <w:szCs w:val="28"/>
    </w:rPr>
  </w:style>
  <w:style w:type="character" w:customStyle="1" w:styleId="27">
    <w:name w:val="标题 5 字符"/>
    <w:basedOn w:val="22"/>
    <w:link w:val="6"/>
    <w:autoRedefine/>
    <w:semiHidden/>
    <w:qFormat/>
    <w:uiPriority w:val="9"/>
    <w:rPr>
      <w:rFonts w:cstheme="majorBidi"/>
      <w:color w:val="104862" w:themeColor="accent1" w:themeShade="BF"/>
      <w:sz w:val="24"/>
      <w:szCs w:val="24"/>
    </w:rPr>
  </w:style>
  <w:style w:type="character" w:customStyle="1" w:styleId="28">
    <w:name w:val="标题 6 字符"/>
    <w:basedOn w:val="22"/>
    <w:link w:val="7"/>
    <w:autoRedefine/>
    <w:semiHidden/>
    <w:qFormat/>
    <w:uiPriority w:val="9"/>
    <w:rPr>
      <w:rFonts w:cstheme="majorBidi"/>
      <w:b/>
      <w:bCs/>
      <w:color w:val="104862" w:themeColor="accent1" w:themeShade="BF"/>
    </w:rPr>
  </w:style>
  <w:style w:type="character" w:customStyle="1" w:styleId="29">
    <w:name w:val="标题 7 字符"/>
    <w:basedOn w:val="22"/>
    <w:link w:val="8"/>
    <w:autoRedefine/>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2"/>
    <w:link w:val="9"/>
    <w:autoRedefine/>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2"/>
    <w:link w:val="10"/>
    <w:autoRedefine/>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2"/>
    <w:link w:val="19"/>
    <w:autoRedefine/>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2"/>
    <w:link w:val="16"/>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autoRedefine/>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2"/>
    <w:link w:val="34"/>
    <w:autoRedefine/>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autoRedefine/>
    <w:qFormat/>
    <w:uiPriority w:val="34"/>
    <w:pPr>
      <w:ind w:left="720"/>
      <w:contextualSpacing/>
    </w:pPr>
  </w:style>
  <w:style w:type="character" w:customStyle="1" w:styleId="37">
    <w:name w:val="Intense Emphasis"/>
    <w:basedOn w:val="22"/>
    <w:autoRedefine/>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22"/>
    <w:link w:val="38"/>
    <w:autoRedefine/>
    <w:qFormat/>
    <w:uiPriority w:val="30"/>
    <w:rPr>
      <w:i/>
      <w:iCs/>
      <w:color w:val="104862" w:themeColor="accent1" w:themeShade="BF"/>
    </w:rPr>
  </w:style>
  <w:style w:type="character" w:customStyle="1" w:styleId="40">
    <w:name w:val="Intense Reference"/>
    <w:basedOn w:val="22"/>
    <w:autoRedefine/>
    <w:qFormat/>
    <w:uiPriority w:val="32"/>
    <w:rPr>
      <w:b/>
      <w:bCs/>
      <w:smallCaps/>
      <w:color w:val="104862" w:themeColor="accent1" w:themeShade="BF"/>
      <w:spacing w:val="5"/>
    </w:rPr>
  </w:style>
  <w:style w:type="character" w:customStyle="1" w:styleId="41">
    <w:name w:val="页眉 字符"/>
    <w:basedOn w:val="22"/>
    <w:link w:val="14"/>
    <w:autoRedefine/>
    <w:qFormat/>
    <w:uiPriority w:val="99"/>
    <w:rPr>
      <w:sz w:val="18"/>
      <w:szCs w:val="18"/>
    </w:rPr>
  </w:style>
  <w:style w:type="character" w:customStyle="1" w:styleId="42">
    <w:name w:val="页脚 字符"/>
    <w:basedOn w:val="22"/>
    <w:link w:val="13"/>
    <w:qFormat/>
    <w:uiPriority w:val="99"/>
    <w:rPr>
      <w:sz w:val="18"/>
      <w:szCs w:val="18"/>
    </w:rPr>
  </w:style>
  <w:style w:type="paragraph" w:customStyle="1" w:styleId="43">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44">
    <w:name w:val="font11"/>
    <w:basedOn w:val="22"/>
    <w:autoRedefine/>
    <w:qFormat/>
    <w:uiPriority w:val="0"/>
    <w:rPr>
      <w:rFonts w:hint="eastAsia" w:ascii="仿宋_GB2312" w:eastAsia="仿宋_GB2312" w:cs="仿宋_GB2312"/>
      <w:color w:val="000000"/>
      <w:sz w:val="22"/>
      <w:szCs w:val="22"/>
      <w:u w:val="none"/>
    </w:rPr>
  </w:style>
  <w:style w:type="paragraph" w:customStyle="1" w:styleId="45">
    <w:name w:val="Table Text"/>
    <w:basedOn w:val="1"/>
    <w:autoRedefine/>
    <w:semiHidden/>
    <w:qFormat/>
    <w:uiPriority w:val="0"/>
    <w:rPr>
      <w:rFonts w:ascii="宋体" w:hAnsi="宋体" w:eastAsia="宋体" w:cs="宋体"/>
      <w:sz w:val="24"/>
      <w:szCs w:val="24"/>
      <w:lang w:val="en-US" w:eastAsia="en-US" w:bidi="ar-SA"/>
    </w:rPr>
  </w:style>
  <w:style w:type="table" w:customStyle="1" w:styleId="46">
    <w:name w:val="Table Normal"/>
    <w:autoRedefine/>
    <w:unhideWhenUsed/>
    <w:qFormat/>
    <w:uiPriority w:val="0"/>
    <w:tblPr>
      <w:tblCellMar>
        <w:top w:w="0" w:type="dxa"/>
        <w:left w:w="0" w:type="dxa"/>
        <w:bottom w:w="0" w:type="dxa"/>
        <w:right w:w="0" w:type="dxa"/>
      </w:tblCellMar>
    </w:tblPr>
  </w:style>
  <w:style w:type="paragraph" w:customStyle="1" w:styleId="47">
    <w:name w:val="普通(网站)1"/>
    <w:basedOn w:val="1"/>
    <w:autoRedefine/>
    <w:qFormat/>
    <w:uiPriority w:val="0"/>
    <w:pPr>
      <w:widowControl/>
      <w:spacing w:beforeAutospacing="1"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2882</Words>
  <Characters>3079</Characters>
  <Lines>25</Lines>
  <Paragraphs>7</Paragraphs>
  <TotalTime>42</TotalTime>
  <ScaleCrop>false</ScaleCrop>
  <LinksUpToDate>false</LinksUpToDate>
  <CharactersWithSpaces>3141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2024-01-21T12:35:00Z</dcterms:created>
  <dc:creator>a15280976656@outlook.com</dc:creator>
  <cp:lastModifiedBy>WPS_1686623223</cp:lastModifiedBy>
  <cp:lastPrinted>2024-06-05T01:41:00Z</cp:lastPrinted>
  <dcterms:modified xsi:type="dcterms:W3CDTF">2024-06-14T08:33:28Z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94CF98BADB484982AD7942432F264B38</vt:lpwstr>
  </property>
</Properties>
</file>