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3ADB0">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14:paraId="4C59E787">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14:paraId="012841CA">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甲方（考核方、授权代表）：王坚</w:t>
      </w:r>
    </w:p>
    <w:p w14:paraId="71587B08">
      <w:pPr>
        <w:keepNext w:val="0"/>
        <w:keepLines w:val="0"/>
        <w:widowControl w:val="0"/>
        <w:suppressLineNumbers w:val="0"/>
        <w:autoSpaceDE w:val="0"/>
        <w:autoSpaceDN/>
        <w:spacing w:before="156" w:beforeLines="50" w:beforeAutospacing="0" w:after="0" w:afterAutospacing="0" w:line="560" w:lineRule="exact"/>
        <w:ind w:left="0" w:right="0" w:firstLine="640" w:firstLineChars="200"/>
        <w:jc w:val="left"/>
        <w:rPr>
          <w:rFonts w:hint="eastAsia" w:ascii="仿宋_GB2312" w:hAnsi="Calibri" w:eastAsia="仿宋_GB2312" w:cs="仿宋_GB2312"/>
          <w:b w:val="0"/>
          <w:bCs/>
          <w:kern w:val="2"/>
          <w:sz w:val="32"/>
          <w:szCs w:val="32"/>
          <w:lang w:val="en-US" w:eastAsia="zh-CN" w:bidi="ar"/>
        </w:rPr>
      </w:pPr>
      <w:r>
        <w:rPr>
          <w:rFonts w:hint="eastAsia" w:ascii="仿宋_GB2312" w:hAnsi="仿宋_GB2312" w:eastAsia="仿宋_GB2312" w:cs="仿宋_GB2312"/>
          <w:b w:val="0"/>
          <w:bCs/>
          <w:sz w:val="32"/>
          <w:szCs w:val="32"/>
          <w:highlight w:val="none"/>
          <w:lang w:val="en-US" w:eastAsia="zh-CN"/>
        </w:rPr>
        <w:t>身份证号码：</w:t>
      </w:r>
      <w:r>
        <w:rPr>
          <w:rFonts w:hint="eastAsia" w:ascii="仿宋_GB2312" w:hAnsi="Calibri" w:eastAsia="仿宋_GB2312" w:cs="仿宋_GB2312"/>
          <w:b w:val="0"/>
          <w:bCs/>
          <w:kern w:val="2"/>
          <w:sz w:val="32"/>
          <w:szCs w:val="32"/>
          <w:lang w:val="en-US" w:eastAsia="zh-CN" w:bidi="ar"/>
        </w:rPr>
        <w:t>62010419780522051X</w:t>
      </w:r>
    </w:p>
    <w:p w14:paraId="7B316F46">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任职单位及职务：九洲君合总经理</w:t>
      </w:r>
    </w:p>
    <w:p w14:paraId="7C02AF08">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）：张银银</w:t>
      </w:r>
    </w:p>
    <w:p w14:paraId="143C9AAD">
      <w:pPr>
        <w:keepNext w:val="0"/>
        <w:keepLines w:val="0"/>
        <w:widowControl w:val="0"/>
        <w:suppressLineNumbers w:val="0"/>
        <w:autoSpaceDE w:val="0"/>
        <w:autoSpaceDN/>
        <w:spacing w:before="156" w:beforeLines="50" w:beforeAutospacing="0" w:after="0" w:afterAutospacing="0" w:line="560" w:lineRule="exact"/>
        <w:ind w:left="0" w:right="0" w:firstLine="640" w:firstLineChars="200"/>
        <w:jc w:val="left"/>
        <w:rPr>
          <w:rFonts w:hint="eastAsia" w:ascii="仿宋_GB2312" w:hAnsi="Calibri" w:eastAsia="仿宋_GB2312" w:cs="仿宋_GB2312"/>
          <w:b w:val="0"/>
          <w:bCs/>
          <w:kern w:val="2"/>
          <w:sz w:val="32"/>
          <w:szCs w:val="32"/>
          <w:lang w:val="en-US" w:eastAsia="zh-CN" w:bidi="ar"/>
        </w:rPr>
      </w:pPr>
      <w:r>
        <w:rPr>
          <w:rFonts w:hint="eastAsia" w:ascii="仿宋_GB2312" w:hAnsi="仿宋_GB2312" w:eastAsia="仿宋_GB2312" w:cs="仿宋_GB2312"/>
          <w:b w:val="0"/>
          <w:bCs/>
          <w:sz w:val="32"/>
          <w:szCs w:val="32"/>
          <w:highlight w:val="none"/>
          <w:lang w:val="en-US" w:eastAsia="zh-CN"/>
        </w:rPr>
        <w:t>身份证号码：</w:t>
      </w:r>
      <w:r>
        <w:rPr>
          <w:rFonts w:hint="eastAsia" w:ascii="仿宋_GB2312" w:hAnsi="Calibri" w:eastAsia="仿宋_GB2312" w:cs="仿宋_GB2312"/>
          <w:b w:val="0"/>
          <w:bCs/>
          <w:kern w:val="2"/>
          <w:sz w:val="32"/>
          <w:szCs w:val="32"/>
          <w:lang w:val="en-US" w:eastAsia="zh-CN" w:bidi="ar"/>
        </w:rPr>
        <w:t>420802198311108010</w:t>
      </w:r>
    </w:p>
    <w:p w14:paraId="160CF253">
      <w:pPr>
        <w:keepNext w:val="0"/>
        <w:keepLines w:val="0"/>
        <w:widowControl w:val="0"/>
        <w:suppressLineNumbers w:val="0"/>
        <w:autoSpaceDE w:val="0"/>
        <w:autoSpaceDN/>
        <w:spacing w:before="156" w:beforeLines="50" w:beforeAutospacing="0" w:after="0" w:afterAutospacing="0" w:line="560" w:lineRule="exact"/>
        <w:ind w:left="0" w:right="0" w:firstLine="640" w:firstLineChars="200"/>
        <w:jc w:val="left"/>
        <w:rPr>
          <w:rFonts w:hint="default" w:ascii="仿宋_GB2312" w:hAnsi="Calibri" w:eastAsia="仿宋_GB2312" w:cs="仿宋_GB2312"/>
          <w:b w:val="0"/>
          <w:bCs/>
          <w:kern w:val="2"/>
          <w:sz w:val="32"/>
          <w:szCs w:val="32"/>
          <w:lang w:val="en-US" w:eastAsia="zh-CN" w:bidi="ar"/>
        </w:rPr>
      </w:pPr>
      <w:r>
        <w:rPr>
          <w:rFonts w:hint="eastAsia" w:ascii="仿宋_GB2312" w:hAnsi="仿宋_GB2312" w:eastAsia="仿宋_GB2312" w:cs="仿宋_GB2312"/>
          <w:b w:val="0"/>
          <w:bCs/>
          <w:sz w:val="32"/>
          <w:szCs w:val="32"/>
          <w:highlight w:val="none"/>
          <w:lang w:val="en-US" w:eastAsia="zh-CN"/>
        </w:rPr>
        <w:t>任职单位及职务：九洲君合副总经理</w:t>
      </w:r>
    </w:p>
    <w:p w14:paraId="0BA19E19">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14:paraId="53A6EA8D">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14:paraId="15DCC2FD">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14:paraId="64384A75">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14:paraId="19F1A1E6">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14:paraId="4AD4B006">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14:paraId="2455318D">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14:paraId="79C7DDBC">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组织绩效指标主要包括所在公司营业收入、利润总额等指标，指标得分</w:t>
      </w:r>
      <w:r>
        <w:rPr>
          <w:rFonts w:hint="eastAsia" w:ascii="仿宋_GB2312" w:eastAsia="仿宋_GB2312"/>
          <w:b w:val="0"/>
          <w:bCs/>
          <w:sz w:val="32"/>
          <w:szCs w:val="32"/>
          <w:highlight w:val="none"/>
          <w:lang w:val="en-US" w:eastAsia="zh-CN"/>
        </w:rPr>
        <w:t>为部门年度组织绩效得分</w:t>
      </w:r>
      <w:r>
        <w:rPr>
          <w:rFonts w:hint="eastAsia" w:ascii="仿宋_GB2312" w:eastAsia="仿宋_GB2312"/>
          <w:b w:val="0"/>
          <w:bCs/>
          <w:sz w:val="32"/>
          <w:szCs w:val="32"/>
          <w:highlight w:val="none"/>
        </w:rPr>
        <w:t>。</w:t>
      </w:r>
    </w:p>
    <w:p w14:paraId="66502930">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14:paraId="2DEB0CA6">
      <w:pPr>
        <w:widowControl/>
        <w:spacing w:line="560" w:lineRule="exact"/>
        <w:ind w:firstLine="640" w:firstLineChars="200"/>
        <w:rPr>
          <w:rFonts w:hint="default" w:ascii="仿宋_GB2312" w:hAnsi="Times New Roman" w:eastAsia="仿宋_GB2312" w:cs="Times New Roman"/>
          <w:b w:val="0"/>
          <w:bCs/>
          <w:sz w:val="32"/>
          <w:szCs w:val="32"/>
          <w:highlight w:val="none"/>
          <w:lang w:val="en-US" w:eastAsia="zh-CN"/>
        </w:rPr>
      </w:pPr>
      <w:r>
        <w:rPr>
          <w:rFonts w:hint="eastAsia" w:ascii="仿宋_GB2312" w:eastAsia="仿宋_GB2312"/>
          <w:sz w:val="32"/>
          <w:szCs w:val="32"/>
          <w:highlight w:val="none"/>
          <w:lang w:val="en-US" w:eastAsia="zh-CN"/>
        </w:rPr>
        <w:t>任务绩效指标为部门年度重点工作计划。每项得分不超过120分。</w:t>
      </w:r>
    </w:p>
    <w:tbl>
      <w:tblPr>
        <w:tblStyle w:val="46"/>
        <w:tblW w:w="52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4"/>
        <w:gridCol w:w="1963"/>
        <w:gridCol w:w="5547"/>
        <w:gridCol w:w="1174"/>
      </w:tblGrid>
      <w:tr w14:paraId="28E7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10" w:type="pct"/>
            <w:noWrap w:val="0"/>
            <w:vAlign w:val="center"/>
          </w:tcPr>
          <w:p w14:paraId="462DB114">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1060" w:type="pct"/>
            <w:noWrap w:val="0"/>
            <w:vAlign w:val="center"/>
          </w:tcPr>
          <w:p w14:paraId="1D6E15C0">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2995" w:type="pct"/>
            <w:noWrap w:val="0"/>
            <w:vAlign w:val="center"/>
          </w:tcPr>
          <w:p w14:paraId="2AF122D6">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34" w:type="pct"/>
            <w:noWrap w:val="0"/>
            <w:vAlign w:val="center"/>
          </w:tcPr>
          <w:p w14:paraId="4D54B4BD">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14:paraId="4E89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10" w:type="pct"/>
            <w:noWrap w:val="0"/>
            <w:vAlign w:val="center"/>
          </w:tcPr>
          <w:p w14:paraId="0C22AFC5">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1</w:t>
            </w:r>
          </w:p>
        </w:tc>
        <w:tc>
          <w:tcPr>
            <w:tcW w:w="1060" w:type="pct"/>
            <w:noWrap w:val="0"/>
            <w:vAlign w:val="center"/>
          </w:tcPr>
          <w:p w14:paraId="4931DB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基金投资</w:t>
            </w:r>
          </w:p>
        </w:tc>
        <w:tc>
          <w:tcPr>
            <w:tcW w:w="2995" w:type="pct"/>
            <w:noWrap w:val="0"/>
            <w:vAlign w:val="center"/>
          </w:tcPr>
          <w:p w14:paraId="4FA52F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eastAsia"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针对在管基金拟投项目按照项目阶段，分别出具问题清单、风险审查意见及风险审查报告。</w:t>
            </w:r>
          </w:p>
        </w:tc>
        <w:tc>
          <w:tcPr>
            <w:tcW w:w="634" w:type="pct"/>
            <w:noWrap w:val="0"/>
            <w:vAlign w:val="center"/>
          </w:tcPr>
          <w:p w14:paraId="14807B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宋体" w:eastAsia="仿宋_GB2312" w:cs="仿宋_GB2312"/>
                <w:b w:val="0"/>
                <w:bCs w:val="0"/>
                <w:i w:val="0"/>
                <w:iCs w:val="0"/>
                <w:color w:val="000000"/>
                <w:kern w:val="0"/>
                <w:sz w:val="24"/>
                <w:szCs w:val="24"/>
                <w:lang w:val="en-US" w:eastAsia="zh-CN" w:bidi="ar"/>
              </w:rPr>
            </w:pPr>
            <w:r>
              <w:rPr>
                <w:rFonts w:hint="eastAsia" w:ascii="仿宋_GB2312" w:hAnsi="宋体" w:eastAsia="仿宋_GB2312" w:cs="仿宋_GB2312"/>
                <w:b w:val="0"/>
                <w:bCs w:val="0"/>
                <w:i w:val="0"/>
                <w:iCs w:val="0"/>
                <w:color w:val="000000"/>
                <w:kern w:val="0"/>
                <w:sz w:val="24"/>
                <w:szCs w:val="24"/>
                <w:lang w:val="en-US" w:eastAsia="zh-CN" w:bidi="ar"/>
              </w:rPr>
              <w:t>20%</w:t>
            </w:r>
          </w:p>
        </w:tc>
      </w:tr>
      <w:tr w14:paraId="5B3A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10" w:type="pct"/>
            <w:noWrap w:val="0"/>
            <w:vAlign w:val="center"/>
          </w:tcPr>
          <w:p w14:paraId="46D1A92A">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2</w:t>
            </w:r>
          </w:p>
        </w:tc>
        <w:tc>
          <w:tcPr>
            <w:tcW w:w="1060" w:type="pct"/>
            <w:noWrap w:val="0"/>
            <w:vAlign w:val="center"/>
          </w:tcPr>
          <w:p w14:paraId="581A05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投后管理</w:t>
            </w:r>
          </w:p>
        </w:tc>
        <w:tc>
          <w:tcPr>
            <w:tcW w:w="2995" w:type="pct"/>
            <w:noWrap w:val="0"/>
            <w:vAlign w:val="center"/>
          </w:tcPr>
          <w:p w14:paraId="195184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eastAsia"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实施日常及专项投后管理：</w:t>
            </w:r>
          </w:p>
          <w:p w14:paraId="356176BD">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eastAsia"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牵头实施基金投后管理，按时形成投后报告。</w:t>
            </w:r>
          </w:p>
          <w:p w14:paraId="5504B166">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default"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针对重大风险事项进行审查，敦促、配合投资部门形成专项方案并及时应对。</w:t>
            </w:r>
          </w:p>
          <w:p w14:paraId="61F1CA9F">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default"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开展依顿电子过渡期投后管理，形成相关报告。</w:t>
            </w:r>
          </w:p>
        </w:tc>
        <w:tc>
          <w:tcPr>
            <w:tcW w:w="634" w:type="pct"/>
            <w:noWrap w:val="0"/>
            <w:vAlign w:val="center"/>
          </w:tcPr>
          <w:p w14:paraId="2E61F4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宋体" w:eastAsia="仿宋_GB2312" w:cs="仿宋_GB2312"/>
                <w:b w:val="0"/>
                <w:bCs w:val="0"/>
                <w:i w:val="0"/>
                <w:iCs w:val="0"/>
                <w:color w:val="000000"/>
                <w:kern w:val="0"/>
                <w:sz w:val="24"/>
                <w:szCs w:val="24"/>
                <w:lang w:val="en-US" w:eastAsia="zh-CN" w:bidi="ar"/>
              </w:rPr>
            </w:pPr>
            <w:r>
              <w:rPr>
                <w:rFonts w:hint="eastAsia" w:ascii="仿宋_GB2312" w:hAnsi="宋体" w:eastAsia="仿宋_GB2312" w:cs="仿宋_GB2312"/>
                <w:b w:val="0"/>
                <w:bCs w:val="0"/>
                <w:i w:val="0"/>
                <w:iCs w:val="0"/>
                <w:color w:val="000000"/>
                <w:kern w:val="0"/>
                <w:sz w:val="24"/>
                <w:szCs w:val="24"/>
                <w:lang w:val="en-US" w:eastAsia="zh-CN" w:bidi="ar"/>
              </w:rPr>
              <w:t>20%</w:t>
            </w:r>
          </w:p>
        </w:tc>
      </w:tr>
      <w:tr w14:paraId="68AB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10" w:type="pct"/>
            <w:noWrap w:val="0"/>
            <w:vAlign w:val="center"/>
          </w:tcPr>
          <w:p w14:paraId="3B0E3C81">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3</w:t>
            </w:r>
          </w:p>
        </w:tc>
        <w:tc>
          <w:tcPr>
            <w:tcW w:w="1060" w:type="pct"/>
            <w:noWrap w:val="0"/>
            <w:vAlign w:val="center"/>
          </w:tcPr>
          <w:p w14:paraId="4DDFF3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退出管理</w:t>
            </w:r>
          </w:p>
        </w:tc>
        <w:tc>
          <w:tcPr>
            <w:tcW w:w="2995" w:type="pct"/>
            <w:noWrap w:val="0"/>
            <w:vAlign w:val="center"/>
          </w:tcPr>
          <w:p w14:paraId="4A8A8225">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279" w:lineRule="auto"/>
              <w:ind w:right="0" w:rightChars="0"/>
              <w:jc w:val="both"/>
              <w:textAlignment w:val="center"/>
              <w:rPr>
                <w:rFonts w:hint="default"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完成中电普信股权退出工作。</w:t>
            </w:r>
          </w:p>
        </w:tc>
        <w:tc>
          <w:tcPr>
            <w:tcW w:w="634" w:type="pct"/>
            <w:noWrap w:val="0"/>
            <w:vAlign w:val="center"/>
          </w:tcPr>
          <w:p w14:paraId="1F9E28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宋体" w:eastAsia="仿宋_GB2312" w:cs="仿宋_GB2312"/>
                <w:b w:val="0"/>
                <w:bCs w:val="0"/>
                <w:i w:val="0"/>
                <w:iCs w:val="0"/>
                <w:color w:val="000000"/>
                <w:kern w:val="0"/>
                <w:sz w:val="24"/>
                <w:szCs w:val="24"/>
                <w:lang w:val="en-US" w:eastAsia="zh-CN" w:bidi="ar"/>
              </w:rPr>
            </w:pPr>
            <w:r>
              <w:rPr>
                <w:rFonts w:hint="eastAsia" w:ascii="仿宋_GB2312" w:hAnsi="宋体" w:eastAsia="仿宋_GB2312" w:cs="仿宋_GB2312"/>
                <w:b w:val="0"/>
                <w:bCs w:val="0"/>
                <w:i w:val="0"/>
                <w:iCs w:val="0"/>
                <w:color w:val="000000"/>
                <w:kern w:val="0"/>
                <w:sz w:val="24"/>
                <w:szCs w:val="24"/>
                <w:lang w:val="en-US" w:eastAsia="zh-CN" w:bidi="ar"/>
              </w:rPr>
              <w:t>15%</w:t>
            </w:r>
          </w:p>
        </w:tc>
      </w:tr>
      <w:tr w14:paraId="3CCC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10" w:type="pct"/>
            <w:noWrap w:val="0"/>
            <w:vAlign w:val="center"/>
          </w:tcPr>
          <w:p w14:paraId="3C775E37">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leftChars="0" w:right="0" w:rightChars="0"/>
              <w:jc w:val="center"/>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4</w:t>
            </w:r>
          </w:p>
        </w:tc>
        <w:tc>
          <w:tcPr>
            <w:tcW w:w="1060" w:type="pct"/>
            <w:noWrap w:val="0"/>
            <w:vAlign w:val="center"/>
          </w:tcPr>
          <w:p w14:paraId="57129F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基金组建</w:t>
            </w:r>
          </w:p>
        </w:tc>
        <w:tc>
          <w:tcPr>
            <w:tcW w:w="2995" w:type="pct"/>
            <w:noWrap w:val="0"/>
            <w:vAlign w:val="center"/>
          </w:tcPr>
          <w:p w14:paraId="2C3362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eastAsia"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配合母基金组建，出具风险审查报告。</w:t>
            </w:r>
          </w:p>
        </w:tc>
        <w:tc>
          <w:tcPr>
            <w:tcW w:w="634" w:type="pct"/>
            <w:noWrap w:val="0"/>
            <w:vAlign w:val="center"/>
          </w:tcPr>
          <w:p w14:paraId="697CA4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eastAsia" w:ascii="仿宋_GB2312" w:hAnsi="宋体" w:eastAsia="仿宋_GB2312" w:cs="仿宋_GB2312"/>
                <w:b w:val="0"/>
                <w:bCs w:val="0"/>
                <w:i w:val="0"/>
                <w:iCs w:val="0"/>
                <w:color w:val="000000"/>
                <w:kern w:val="0"/>
                <w:sz w:val="24"/>
                <w:szCs w:val="24"/>
                <w:lang w:val="en-US" w:eastAsia="zh-CN" w:bidi="ar"/>
              </w:rPr>
            </w:pPr>
            <w:r>
              <w:rPr>
                <w:rFonts w:hint="eastAsia" w:ascii="仿宋_GB2312" w:hAnsi="宋体" w:eastAsia="仿宋_GB2312" w:cs="仿宋_GB2312"/>
                <w:b w:val="0"/>
                <w:bCs w:val="0"/>
                <w:i w:val="0"/>
                <w:iCs w:val="0"/>
                <w:color w:val="000000"/>
                <w:kern w:val="0"/>
                <w:sz w:val="24"/>
                <w:szCs w:val="24"/>
                <w:lang w:val="en-US" w:eastAsia="zh-CN" w:bidi="ar"/>
              </w:rPr>
              <w:t>15%</w:t>
            </w:r>
          </w:p>
        </w:tc>
      </w:tr>
      <w:tr w14:paraId="7F03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10" w:type="pct"/>
            <w:noWrap w:val="0"/>
            <w:vAlign w:val="center"/>
          </w:tcPr>
          <w:p w14:paraId="44A83DA6">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5</w:t>
            </w:r>
          </w:p>
        </w:tc>
        <w:tc>
          <w:tcPr>
            <w:tcW w:w="1060" w:type="pct"/>
            <w:noWrap w:val="0"/>
            <w:vAlign w:val="center"/>
          </w:tcPr>
          <w:p w14:paraId="2788DF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制度及行研</w:t>
            </w:r>
          </w:p>
        </w:tc>
        <w:tc>
          <w:tcPr>
            <w:tcW w:w="2995" w:type="pct"/>
            <w:noWrap w:val="0"/>
            <w:vAlign w:val="center"/>
          </w:tcPr>
          <w:p w14:paraId="346E527F">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eastAsia" w:ascii="仿宋_GB2312" w:hAnsi="宋体" w:eastAsia="仿宋_GB2312" w:cs="仿宋_GB2312"/>
                <w:i w:val="0"/>
                <w:iCs w:val="0"/>
                <w:color w:val="000000"/>
                <w:kern w:val="0"/>
                <w:sz w:val="24"/>
                <w:szCs w:val="24"/>
                <w:lang w:val="en-US" w:eastAsia="zh-CN" w:bidi="ar"/>
              </w:rPr>
            </w:pPr>
            <w:r>
              <w:rPr>
                <w:rFonts w:hint="eastAsia" w:ascii="仿宋_GB2312" w:hAnsi="宋体" w:eastAsia="仿宋_GB2312" w:cs="仿宋_GB2312"/>
                <w:i w:val="0"/>
                <w:iCs w:val="0"/>
                <w:color w:val="000000"/>
                <w:kern w:val="0"/>
                <w:sz w:val="24"/>
                <w:szCs w:val="24"/>
                <w:lang w:val="en-US" w:eastAsia="zh-CN" w:bidi="ar"/>
              </w:rPr>
              <w:t>完成九洲集团参股投资管理办法（暂行）。</w:t>
            </w:r>
          </w:p>
          <w:p w14:paraId="6FC2FBE2">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default" w:ascii="仿宋_GB2312" w:hAnsi="宋体" w:eastAsia="仿宋_GB2312" w:cs="仿宋_GB2312"/>
                <w:i w:val="0"/>
                <w:iCs w:val="0"/>
                <w:color w:val="000000"/>
                <w:kern w:val="0"/>
                <w:sz w:val="24"/>
                <w:szCs w:val="24"/>
                <w:lang w:val="en-US" w:eastAsia="zh-CN" w:bidi="ar"/>
              </w:rPr>
            </w:pPr>
            <w:r>
              <w:rPr>
                <w:rFonts w:hint="eastAsia" w:ascii="仿宋_GB2312" w:hAnsi="宋体" w:eastAsia="仿宋_GB2312" w:cs="仿宋_GB2312"/>
                <w:i w:val="0"/>
                <w:iCs w:val="0"/>
                <w:color w:val="000000"/>
                <w:kern w:val="0"/>
                <w:sz w:val="24"/>
                <w:szCs w:val="24"/>
                <w:lang w:val="en-US" w:eastAsia="zh-CN" w:bidi="ar"/>
              </w:rPr>
              <w:t>完成行业</w:t>
            </w:r>
            <w:bookmarkStart w:id="0" w:name="_GoBack"/>
            <w:bookmarkEnd w:id="0"/>
            <w:r>
              <w:rPr>
                <w:rFonts w:hint="eastAsia" w:ascii="仿宋_GB2312" w:hAnsi="宋体" w:eastAsia="仿宋_GB2312" w:cs="仿宋_GB2312"/>
                <w:i w:val="0"/>
                <w:iCs w:val="0"/>
                <w:color w:val="000000"/>
                <w:kern w:val="0"/>
                <w:sz w:val="24"/>
                <w:szCs w:val="24"/>
                <w:lang w:val="en-US" w:eastAsia="zh-CN" w:bidi="ar"/>
              </w:rPr>
              <w:t>调研工作（汽车电子）。</w:t>
            </w:r>
          </w:p>
        </w:tc>
        <w:tc>
          <w:tcPr>
            <w:tcW w:w="634" w:type="pct"/>
            <w:noWrap w:val="0"/>
            <w:vAlign w:val="center"/>
          </w:tcPr>
          <w:p w14:paraId="1C77A3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宋体" w:eastAsia="仿宋_GB2312" w:cs="仿宋_GB2312"/>
                <w:b w:val="0"/>
                <w:bCs w:val="0"/>
                <w:i w:val="0"/>
                <w:iCs w:val="0"/>
                <w:color w:val="000000"/>
                <w:kern w:val="0"/>
                <w:sz w:val="24"/>
                <w:szCs w:val="24"/>
                <w:lang w:val="en-US" w:eastAsia="zh-CN" w:bidi="ar"/>
              </w:rPr>
            </w:pPr>
            <w:r>
              <w:rPr>
                <w:rFonts w:hint="eastAsia" w:ascii="仿宋_GB2312" w:hAnsi="宋体" w:eastAsia="仿宋_GB2312" w:cs="仿宋_GB2312"/>
                <w:b w:val="0"/>
                <w:bCs w:val="0"/>
                <w:i w:val="0"/>
                <w:iCs w:val="0"/>
                <w:color w:val="000000"/>
                <w:kern w:val="0"/>
                <w:sz w:val="24"/>
                <w:szCs w:val="24"/>
                <w:lang w:val="en-US" w:eastAsia="zh-CN" w:bidi="ar"/>
              </w:rPr>
              <w:t>15%</w:t>
            </w:r>
          </w:p>
        </w:tc>
      </w:tr>
      <w:tr w14:paraId="0A46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10" w:type="pct"/>
            <w:noWrap w:val="0"/>
            <w:vAlign w:val="center"/>
          </w:tcPr>
          <w:p w14:paraId="7447D5A9">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6" w:lineRule="auto"/>
              <w:ind w:left="0" w:right="0"/>
              <w:jc w:val="center"/>
              <w:textAlignment w:val="auto"/>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6</w:t>
            </w:r>
          </w:p>
        </w:tc>
        <w:tc>
          <w:tcPr>
            <w:tcW w:w="1060" w:type="pct"/>
            <w:noWrap w:val="0"/>
            <w:vAlign w:val="center"/>
          </w:tcPr>
          <w:p w14:paraId="4C5DBE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综合行政管理</w:t>
            </w:r>
          </w:p>
        </w:tc>
        <w:tc>
          <w:tcPr>
            <w:tcW w:w="2995" w:type="pct"/>
            <w:noWrap w:val="0"/>
            <w:vAlign w:val="center"/>
          </w:tcPr>
          <w:p w14:paraId="1638EE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eastAsia"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分管公司综合管理工作：</w:t>
            </w:r>
          </w:p>
          <w:p w14:paraId="65B6AF2A">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eastAsia"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组织公司日常经理会及项目评审等会议。</w:t>
            </w:r>
          </w:p>
          <w:p w14:paraId="5507DA5F">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default"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按照公司计划组织人员招聘及培训工作。</w:t>
            </w:r>
          </w:p>
          <w:p w14:paraId="1C4B2759">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default"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牵头基金信息报送相关工作。</w:t>
            </w:r>
          </w:p>
          <w:p w14:paraId="239E4425">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both"/>
              <w:textAlignment w:val="center"/>
              <w:rPr>
                <w:rFonts w:hint="default" w:ascii="仿宋_GB2312" w:hAnsi="宋体" w:eastAsia="仿宋_GB2312" w:cs="仿宋_GB2312"/>
                <w:b w:val="0"/>
                <w:bCs w:val="0"/>
                <w:i w:val="0"/>
                <w:iCs w:val="0"/>
                <w:color w:val="000000"/>
                <w:kern w:val="0"/>
                <w:sz w:val="24"/>
                <w:szCs w:val="24"/>
                <w:highlight w:val="none"/>
                <w:lang w:val="en-US" w:eastAsia="zh-CN" w:bidi="ar"/>
              </w:rPr>
            </w:pPr>
            <w:r>
              <w:rPr>
                <w:rFonts w:hint="eastAsia" w:ascii="仿宋_GB2312" w:hAnsi="宋体" w:eastAsia="仿宋_GB2312" w:cs="仿宋_GB2312"/>
                <w:b w:val="0"/>
                <w:bCs w:val="0"/>
                <w:i w:val="0"/>
                <w:iCs w:val="0"/>
                <w:color w:val="000000"/>
                <w:kern w:val="0"/>
                <w:sz w:val="24"/>
                <w:szCs w:val="24"/>
                <w:highlight w:val="none"/>
                <w:lang w:val="en-US" w:eastAsia="zh-CN" w:bidi="ar"/>
              </w:rPr>
              <w:t>日常行政管理工作。</w:t>
            </w:r>
          </w:p>
        </w:tc>
        <w:tc>
          <w:tcPr>
            <w:tcW w:w="634" w:type="pct"/>
            <w:noWrap w:val="0"/>
            <w:vAlign w:val="center"/>
          </w:tcPr>
          <w:p w14:paraId="6B16DF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9" w:lineRule="auto"/>
              <w:ind w:left="0" w:leftChars="0" w:right="0" w:rightChars="0"/>
              <w:jc w:val="center"/>
              <w:textAlignment w:val="center"/>
              <w:rPr>
                <w:rFonts w:hint="default" w:ascii="仿宋_GB2312" w:hAnsi="宋体" w:eastAsia="仿宋_GB2312" w:cs="仿宋_GB2312"/>
                <w:b w:val="0"/>
                <w:bCs w:val="0"/>
                <w:i w:val="0"/>
                <w:iCs w:val="0"/>
                <w:color w:val="000000"/>
                <w:kern w:val="0"/>
                <w:sz w:val="24"/>
                <w:szCs w:val="24"/>
                <w:lang w:val="en-US" w:eastAsia="zh-CN" w:bidi="ar"/>
              </w:rPr>
            </w:pPr>
            <w:r>
              <w:rPr>
                <w:rFonts w:hint="eastAsia" w:ascii="仿宋_GB2312" w:hAnsi="宋体" w:eastAsia="仿宋_GB2312" w:cs="仿宋_GB2312"/>
                <w:b w:val="0"/>
                <w:bCs w:val="0"/>
                <w:i w:val="0"/>
                <w:iCs w:val="0"/>
                <w:color w:val="000000"/>
                <w:kern w:val="0"/>
                <w:sz w:val="24"/>
                <w:szCs w:val="24"/>
                <w:lang w:val="en-US" w:eastAsia="zh-CN" w:bidi="ar"/>
              </w:rPr>
              <w:t>15%</w:t>
            </w:r>
          </w:p>
        </w:tc>
      </w:tr>
    </w:tbl>
    <w:p w14:paraId="119A0D8D">
      <w:pPr>
        <w:widowControl/>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14:paraId="60F7C9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14:paraId="0FDC87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14:paraId="13CD1B80">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w:t>
      </w:r>
      <w:r>
        <w:rPr>
          <w:rFonts w:hint="eastAsia" w:ascii="仿宋_GB2312" w:eastAsia="仿宋_GB2312"/>
          <w:sz w:val="32"/>
          <w:szCs w:val="32"/>
          <w:highlight w:val="none"/>
          <w:lang w:val="en-US" w:eastAsia="zh-CN"/>
        </w:rPr>
        <w:t>120</w:t>
      </w:r>
      <w:r>
        <w:rPr>
          <w:rFonts w:hint="default" w:ascii="仿宋_GB2312" w:eastAsia="仿宋_GB2312"/>
          <w:sz w:val="32"/>
          <w:szCs w:val="32"/>
          <w:highlight w:val="none"/>
          <w:lang w:val="en-US" w:eastAsia="zh-CN"/>
        </w:rPr>
        <w:t>分)：协作效果好，工作成效远超预期。</w:t>
      </w:r>
    </w:p>
    <w:p w14:paraId="477F9671">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w:t>
      </w:r>
      <w:r>
        <w:rPr>
          <w:rFonts w:hint="eastAsia" w:ascii="仿宋_GB2312" w:eastAsia="仿宋_GB2312"/>
          <w:sz w:val="32"/>
          <w:szCs w:val="32"/>
          <w:highlight w:val="none"/>
          <w:lang w:val="en-US" w:eastAsia="zh-CN"/>
        </w:rPr>
        <w:t>110</w:t>
      </w:r>
      <w:r>
        <w:rPr>
          <w:rFonts w:hint="default" w:ascii="仿宋_GB2312" w:eastAsia="仿宋_GB2312"/>
          <w:sz w:val="32"/>
          <w:szCs w:val="32"/>
          <w:highlight w:val="none"/>
          <w:lang w:val="en-US" w:eastAsia="zh-CN"/>
        </w:rPr>
        <w:t>分)：协作效果较好，工作成效符合预期。</w:t>
      </w:r>
    </w:p>
    <w:p w14:paraId="499FE2BE">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14:paraId="19461644">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14:paraId="135EB369">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14:paraId="40BB7267">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14:paraId="23946828">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14:paraId="7B73A3C5">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14:paraId="25E92A5A">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14:paraId="4B55B76D">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14:paraId="55F0ECDE">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14:paraId="2F18FC4F">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14:paraId="69EFEEE7">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14:paraId="3271B6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14:paraId="51E8C12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14:paraId="549317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14:paraId="7B6E57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14:paraId="6F137D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14:paraId="088D0D6F">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14:paraId="0D8A01B3">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14:paraId="285CA5C5">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14:paraId="5C4CFAB0">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14:paraId="57BC8179">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14:paraId="2D0DE5DB">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14:paraId="0929D210">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w:t>
      </w:r>
      <w:r>
        <w:rPr>
          <w:rFonts w:hint="eastAsia" w:ascii="黑体" w:hAnsi="黑体" w:eastAsia="黑体" w:cs="黑体"/>
          <w:b w:val="0"/>
          <w:bCs/>
          <w:sz w:val="32"/>
          <w:szCs w:val="32"/>
          <w:highlight w:val="none"/>
          <w:lang w:val="en-US" w:eastAsia="zh-CN"/>
        </w:rPr>
        <w:t>签字</w:t>
      </w:r>
      <w:r>
        <w:rPr>
          <w:rFonts w:hint="eastAsia" w:ascii="黑体" w:hAnsi="黑体" w:eastAsia="黑体" w:cs="黑体"/>
          <w:b w:val="0"/>
          <w:bCs/>
          <w:sz w:val="32"/>
          <w:szCs w:val="32"/>
          <w:highlight w:val="none"/>
        </w:rPr>
        <w:t>）：</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14:paraId="1812276A">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14:paraId="1CDBAA78">
      <w:pPr>
        <w:pStyle w:val="47"/>
        <w:shd w:val="clear" w:color="auto" w:fill="FFFFFF"/>
        <w:adjustRightInd w:val="0"/>
        <w:snapToGrid w:val="0"/>
        <w:spacing w:line="560" w:lineRule="exact"/>
        <w:textAlignment w:val="baseline"/>
        <w:rPr>
          <w:rFonts w:hint="default" w:ascii="仿宋_GB2312" w:hAnsi="宋体" w:eastAsia="仿宋_GB2312" w:cs="宋体"/>
          <w:color w:val="000000"/>
          <w:kern w:val="0"/>
          <w:sz w:val="32"/>
          <w:szCs w:val="32"/>
          <w:lang w:val="en-US" w:eastAsia="zh-CN"/>
        </w:r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7CB846-5077-4239-9013-6BF3F75923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993B4D3-D7D2-4596-82D0-1CE91EF588AF}"/>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25495DC2-776C-45BA-A877-CD096DFD226D}"/>
  </w:font>
  <w:font w:name="方正小标宋简体">
    <w:panose1 w:val="03000509000000000000"/>
    <w:charset w:val="86"/>
    <w:family w:val="script"/>
    <w:pitch w:val="default"/>
    <w:sig w:usb0="00000001" w:usb1="080E0000" w:usb2="00000000" w:usb3="00000000" w:csb0="00040000" w:csb1="00000000"/>
    <w:embedRegular r:id="rId4" w:fontKey="{4F0484FB-E564-4EF0-93BE-B9FD831FBD3D}"/>
  </w:font>
  <w:font w:name="楷体_GB2312">
    <w:panose1 w:val="02010609030101010101"/>
    <w:charset w:val="86"/>
    <w:family w:val="modern"/>
    <w:pitch w:val="default"/>
    <w:sig w:usb0="00000001" w:usb1="080E0000" w:usb2="00000000" w:usb3="00000000" w:csb0="00040000" w:csb1="00000000"/>
    <w:embedRegular r:id="rId5" w:fontKey="{7DF60334-D882-4582-A7D6-1ED5E7D6A210}"/>
  </w:font>
  <w:font w:name="QisiAaBanSong">
    <w:panose1 w:val="00020600040101010101"/>
    <w:charset w:val="86"/>
    <w:family w:val="auto"/>
    <w:pitch w:val="default"/>
    <w:sig w:usb0="A00002BF" w:usb1="18EF7CFA" w:usb2="00000016" w:usb3="00000000" w:csb0="0004009F" w:csb1="DFD70000"/>
    <w:embedRegular r:id="rId6" w:fontKey="{AE26D209-DCF3-4A1A-AE47-E4C2A4495657}"/>
  </w:font>
  <w:font w:name="华文新魏">
    <w:panose1 w:val="02010800040101010101"/>
    <w:charset w:val="86"/>
    <w:family w:val="auto"/>
    <w:pitch w:val="default"/>
    <w:sig w:usb0="00000001" w:usb1="080F0000" w:usb2="00000000" w:usb3="00000000" w:csb0="00040000" w:csb1="00000000"/>
    <w:embedRegular r:id="rId7" w:fontKey="{484814BD-2941-426B-AE04-0FC625865C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31706">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89F1C">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14:paraId="1FD89F1C">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12DBD">
    <w:pPr>
      <w:pStyle w:val="14"/>
      <w:spacing w:line="300" w:lineRule="exact"/>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客户第一  奋斗为本</w:t>
    </w:r>
  </w:p>
  <w:p w14:paraId="79372FE8">
    <w:pPr>
      <w:pStyle w:val="14"/>
      <w:spacing w:line="300" w:lineRule="exact"/>
      <w:jc w:val="cente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 xml:space="preserve">                                                                                                                整体至上  团结协作</w:t>
    </w:r>
  </w:p>
  <w:p w14:paraId="03CE8504">
    <w:pPr>
      <w:pStyle w:val="14"/>
      <w:spacing w:line="300" w:lineRule="exact"/>
      <w:ind w:firstLine="7310" w:firstLineChars="4300"/>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自我革新  开放包容</w:t>
    </w:r>
  </w:p>
  <w:p w14:paraId="1AB01E94">
    <w:pPr>
      <w:pStyle w:val="14"/>
      <w:jc w:val="both"/>
    </w:pP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4764DF"/>
    <w:multiLevelType w:val="singleLevel"/>
    <w:tmpl w:val="B44764DF"/>
    <w:lvl w:ilvl="0" w:tentative="0">
      <w:start w:val="1"/>
      <w:numFmt w:val="decimal"/>
      <w:suff w:val="nothing"/>
      <w:lvlText w:val="（%1）"/>
      <w:lvlJc w:val="left"/>
    </w:lvl>
  </w:abstractNum>
  <w:abstractNum w:abstractNumId="1">
    <w:nsid w:val="E5EEA3C5"/>
    <w:multiLevelType w:val="singleLevel"/>
    <w:tmpl w:val="E5EEA3C5"/>
    <w:lvl w:ilvl="0" w:tentative="0">
      <w:start w:val="1"/>
      <w:numFmt w:val="decimal"/>
      <w:suff w:val="nothing"/>
      <w:lvlText w:val="（%1）"/>
      <w:lvlJc w:val="left"/>
    </w:lvl>
  </w:abstractNum>
  <w:abstractNum w:abstractNumId="2">
    <w:nsid w:val="2A4A3359"/>
    <w:multiLevelType w:val="singleLevel"/>
    <w:tmpl w:val="2A4A3359"/>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 w:name="KSO_WPS_MARK_KEY" w:val="3af6158a-75de-4c60-a1bd-9d8a68422dd5"/>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4C72DC"/>
    <w:rsid w:val="03675EC4"/>
    <w:rsid w:val="03827295"/>
    <w:rsid w:val="03AD4DDD"/>
    <w:rsid w:val="03B7227C"/>
    <w:rsid w:val="044955CA"/>
    <w:rsid w:val="048F2C7D"/>
    <w:rsid w:val="04EC7024"/>
    <w:rsid w:val="05007243"/>
    <w:rsid w:val="053242B0"/>
    <w:rsid w:val="05485881"/>
    <w:rsid w:val="05665D07"/>
    <w:rsid w:val="05A52CD4"/>
    <w:rsid w:val="06577AD4"/>
    <w:rsid w:val="068E3768"/>
    <w:rsid w:val="06E17D3B"/>
    <w:rsid w:val="079046C9"/>
    <w:rsid w:val="07983414"/>
    <w:rsid w:val="07D7219C"/>
    <w:rsid w:val="07EC0B14"/>
    <w:rsid w:val="08094D85"/>
    <w:rsid w:val="082A3964"/>
    <w:rsid w:val="083144C5"/>
    <w:rsid w:val="08C67564"/>
    <w:rsid w:val="08D613F6"/>
    <w:rsid w:val="090A6581"/>
    <w:rsid w:val="09165225"/>
    <w:rsid w:val="09313F0E"/>
    <w:rsid w:val="098146E6"/>
    <w:rsid w:val="09E13EBF"/>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9C1EA7"/>
    <w:rsid w:val="0FE12B5A"/>
    <w:rsid w:val="10086339"/>
    <w:rsid w:val="10152732"/>
    <w:rsid w:val="103435D2"/>
    <w:rsid w:val="108F6A5A"/>
    <w:rsid w:val="10AC13BA"/>
    <w:rsid w:val="116752E1"/>
    <w:rsid w:val="11771B12"/>
    <w:rsid w:val="11987B90"/>
    <w:rsid w:val="119F6E8B"/>
    <w:rsid w:val="11B47634"/>
    <w:rsid w:val="11E20E0C"/>
    <w:rsid w:val="11FA3364"/>
    <w:rsid w:val="125E66E4"/>
    <w:rsid w:val="12733E70"/>
    <w:rsid w:val="12891287"/>
    <w:rsid w:val="12BE3627"/>
    <w:rsid w:val="12CE0C99"/>
    <w:rsid w:val="13143749"/>
    <w:rsid w:val="13217712"/>
    <w:rsid w:val="13337B71"/>
    <w:rsid w:val="13685340"/>
    <w:rsid w:val="13786942"/>
    <w:rsid w:val="13913519"/>
    <w:rsid w:val="13A97E33"/>
    <w:rsid w:val="13CE5AEB"/>
    <w:rsid w:val="13DD7DC5"/>
    <w:rsid w:val="14773A8D"/>
    <w:rsid w:val="14777F31"/>
    <w:rsid w:val="14D64ED9"/>
    <w:rsid w:val="15141343"/>
    <w:rsid w:val="151508C6"/>
    <w:rsid w:val="15162D86"/>
    <w:rsid w:val="154F4A0A"/>
    <w:rsid w:val="157408EC"/>
    <w:rsid w:val="15785D0F"/>
    <w:rsid w:val="15791A87"/>
    <w:rsid w:val="15824E09"/>
    <w:rsid w:val="159665DE"/>
    <w:rsid w:val="15B036FB"/>
    <w:rsid w:val="15C50828"/>
    <w:rsid w:val="15DD7F7C"/>
    <w:rsid w:val="15EB21E3"/>
    <w:rsid w:val="15FF261B"/>
    <w:rsid w:val="161D68B6"/>
    <w:rsid w:val="1653052A"/>
    <w:rsid w:val="16AD1137"/>
    <w:rsid w:val="16AD68BA"/>
    <w:rsid w:val="16B76879"/>
    <w:rsid w:val="16B965DF"/>
    <w:rsid w:val="16BF516A"/>
    <w:rsid w:val="16E7210F"/>
    <w:rsid w:val="17667442"/>
    <w:rsid w:val="178B5F49"/>
    <w:rsid w:val="1843750D"/>
    <w:rsid w:val="18730A0F"/>
    <w:rsid w:val="19307018"/>
    <w:rsid w:val="194F441F"/>
    <w:rsid w:val="19AC41D9"/>
    <w:rsid w:val="19BA5983"/>
    <w:rsid w:val="19EA6AAF"/>
    <w:rsid w:val="1A22449B"/>
    <w:rsid w:val="1A321DA9"/>
    <w:rsid w:val="1A473E72"/>
    <w:rsid w:val="1A4E703E"/>
    <w:rsid w:val="1A6E6DF9"/>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C53ABB"/>
    <w:rsid w:val="1DDC1D26"/>
    <w:rsid w:val="1DF63C75"/>
    <w:rsid w:val="1E30234F"/>
    <w:rsid w:val="1E675979"/>
    <w:rsid w:val="1E8C601F"/>
    <w:rsid w:val="1EB353CC"/>
    <w:rsid w:val="1EC975DB"/>
    <w:rsid w:val="1EE10644"/>
    <w:rsid w:val="1F4D7724"/>
    <w:rsid w:val="1F6D61B8"/>
    <w:rsid w:val="1FA75B26"/>
    <w:rsid w:val="20144886"/>
    <w:rsid w:val="208A4797"/>
    <w:rsid w:val="20F76FFF"/>
    <w:rsid w:val="21176FBB"/>
    <w:rsid w:val="21736403"/>
    <w:rsid w:val="218B39C0"/>
    <w:rsid w:val="21920158"/>
    <w:rsid w:val="21DE15EF"/>
    <w:rsid w:val="220F79FB"/>
    <w:rsid w:val="223631D9"/>
    <w:rsid w:val="22600256"/>
    <w:rsid w:val="227800CF"/>
    <w:rsid w:val="23005595"/>
    <w:rsid w:val="23136EEB"/>
    <w:rsid w:val="23190EAA"/>
    <w:rsid w:val="233C3E4E"/>
    <w:rsid w:val="23E57486"/>
    <w:rsid w:val="24106586"/>
    <w:rsid w:val="241E3F33"/>
    <w:rsid w:val="2425014F"/>
    <w:rsid w:val="24263EF3"/>
    <w:rsid w:val="24CB23C4"/>
    <w:rsid w:val="24E0742D"/>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0D2F9A"/>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2409B9"/>
    <w:rsid w:val="2C8965FC"/>
    <w:rsid w:val="2C9C1E8B"/>
    <w:rsid w:val="2CB91C59"/>
    <w:rsid w:val="2D067C4C"/>
    <w:rsid w:val="2D814F34"/>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52D97"/>
    <w:rsid w:val="37FA03AE"/>
    <w:rsid w:val="380A6843"/>
    <w:rsid w:val="38370F4F"/>
    <w:rsid w:val="387C536A"/>
    <w:rsid w:val="388C3574"/>
    <w:rsid w:val="38957D3E"/>
    <w:rsid w:val="38A62B0D"/>
    <w:rsid w:val="38B86F56"/>
    <w:rsid w:val="3922196A"/>
    <w:rsid w:val="394F6C6F"/>
    <w:rsid w:val="39763A64"/>
    <w:rsid w:val="3A577D39"/>
    <w:rsid w:val="3A63048C"/>
    <w:rsid w:val="3AC71D0D"/>
    <w:rsid w:val="3B8406BA"/>
    <w:rsid w:val="3B963A4D"/>
    <w:rsid w:val="3B9F48B6"/>
    <w:rsid w:val="3BB645EB"/>
    <w:rsid w:val="3C2D0D52"/>
    <w:rsid w:val="3C7921E9"/>
    <w:rsid w:val="3C9B3F0D"/>
    <w:rsid w:val="3CAF695A"/>
    <w:rsid w:val="3CD4717D"/>
    <w:rsid w:val="3D121CF5"/>
    <w:rsid w:val="3D404AB5"/>
    <w:rsid w:val="3D897F97"/>
    <w:rsid w:val="3D8F1598"/>
    <w:rsid w:val="3E232D22"/>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3FE1257F"/>
    <w:rsid w:val="40006363"/>
    <w:rsid w:val="409E3FCC"/>
    <w:rsid w:val="40D55514"/>
    <w:rsid w:val="40ED3BA3"/>
    <w:rsid w:val="412F51E3"/>
    <w:rsid w:val="41B17D2F"/>
    <w:rsid w:val="424E1A22"/>
    <w:rsid w:val="42611755"/>
    <w:rsid w:val="429531AD"/>
    <w:rsid w:val="42D8613A"/>
    <w:rsid w:val="42FA7159"/>
    <w:rsid w:val="438A4CDB"/>
    <w:rsid w:val="43AF3320"/>
    <w:rsid w:val="43F92FEC"/>
    <w:rsid w:val="441B1E39"/>
    <w:rsid w:val="443B7D84"/>
    <w:rsid w:val="44501A81"/>
    <w:rsid w:val="44600F13"/>
    <w:rsid w:val="446B68BB"/>
    <w:rsid w:val="447517CB"/>
    <w:rsid w:val="4484172B"/>
    <w:rsid w:val="44A41DCD"/>
    <w:rsid w:val="44FF34A7"/>
    <w:rsid w:val="45442C68"/>
    <w:rsid w:val="457526AD"/>
    <w:rsid w:val="457A48DC"/>
    <w:rsid w:val="45DE1D77"/>
    <w:rsid w:val="45FB5626"/>
    <w:rsid w:val="460F7548"/>
    <w:rsid w:val="462A2F7C"/>
    <w:rsid w:val="4654337F"/>
    <w:rsid w:val="4694464B"/>
    <w:rsid w:val="46F32B98"/>
    <w:rsid w:val="47617B01"/>
    <w:rsid w:val="477A0BC3"/>
    <w:rsid w:val="47A04ACD"/>
    <w:rsid w:val="47D81FA9"/>
    <w:rsid w:val="486B440C"/>
    <w:rsid w:val="4929620C"/>
    <w:rsid w:val="494E5D41"/>
    <w:rsid w:val="49583186"/>
    <w:rsid w:val="49A03796"/>
    <w:rsid w:val="49A53CC1"/>
    <w:rsid w:val="49BF7253"/>
    <w:rsid w:val="49C83E68"/>
    <w:rsid w:val="49F3676E"/>
    <w:rsid w:val="4A341A35"/>
    <w:rsid w:val="4A3E237C"/>
    <w:rsid w:val="4AF85673"/>
    <w:rsid w:val="4AFD4181"/>
    <w:rsid w:val="4B6B71A0"/>
    <w:rsid w:val="4B982BB3"/>
    <w:rsid w:val="4BF7108D"/>
    <w:rsid w:val="4BFC429C"/>
    <w:rsid w:val="4C9B5863"/>
    <w:rsid w:val="4CC50B32"/>
    <w:rsid w:val="4CE0771A"/>
    <w:rsid w:val="4D096C71"/>
    <w:rsid w:val="4D7A791F"/>
    <w:rsid w:val="4DA44BEC"/>
    <w:rsid w:val="4DAE1633"/>
    <w:rsid w:val="4DB82445"/>
    <w:rsid w:val="4DEB45C9"/>
    <w:rsid w:val="4E1426D7"/>
    <w:rsid w:val="4E30647F"/>
    <w:rsid w:val="4E577EB0"/>
    <w:rsid w:val="4EFF13E5"/>
    <w:rsid w:val="4F8C0F92"/>
    <w:rsid w:val="4FBA7B2E"/>
    <w:rsid w:val="4FCD544B"/>
    <w:rsid w:val="4FF77255"/>
    <w:rsid w:val="50376EC1"/>
    <w:rsid w:val="50442E41"/>
    <w:rsid w:val="50EF1724"/>
    <w:rsid w:val="511104C5"/>
    <w:rsid w:val="51772403"/>
    <w:rsid w:val="519B640B"/>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4C5E20"/>
    <w:rsid w:val="565D20C7"/>
    <w:rsid w:val="57284198"/>
    <w:rsid w:val="57D22CC7"/>
    <w:rsid w:val="58003366"/>
    <w:rsid w:val="58C47EF0"/>
    <w:rsid w:val="58C90767"/>
    <w:rsid w:val="59032FB6"/>
    <w:rsid w:val="594D4389"/>
    <w:rsid w:val="597933D0"/>
    <w:rsid w:val="59AF0BA0"/>
    <w:rsid w:val="59BC506B"/>
    <w:rsid w:val="5A4F276C"/>
    <w:rsid w:val="5A7871E4"/>
    <w:rsid w:val="5A9560E9"/>
    <w:rsid w:val="5AE76A55"/>
    <w:rsid w:val="5AF63C2C"/>
    <w:rsid w:val="5B637E94"/>
    <w:rsid w:val="5B860B91"/>
    <w:rsid w:val="5B8928AC"/>
    <w:rsid w:val="5C2238AB"/>
    <w:rsid w:val="5C300B46"/>
    <w:rsid w:val="5C91170D"/>
    <w:rsid w:val="5C951E95"/>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05A6E"/>
    <w:rsid w:val="5FF437B1"/>
    <w:rsid w:val="60673F83"/>
    <w:rsid w:val="60A76AF7"/>
    <w:rsid w:val="60B10AFA"/>
    <w:rsid w:val="60FD670A"/>
    <w:rsid w:val="61265BEC"/>
    <w:rsid w:val="61483335"/>
    <w:rsid w:val="61CE3B8D"/>
    <w:rsid w:val="61D75138"/>
    <w:rsid w:val="624C78D4"/>
    <w:rsid w:val="62785DEC"/>
    <w:rsid w:val="62CD2097"/>
    <w:rsid w:val="62E3123D"/>
    <w:rsid w:val="63105E2A"/>
    <w:rsid w:val="64570A13"/>
    <w:rsid w:val="64810435"/>
    <w:rsid w:val="64FE29DC"/>
    <w:rsid w:val="65021D19"/>
    <w:rsid w:val="655D5954"/>
    <w:rsid w:val="65E55147"/>
    <w:rsid w:val="66372649"/>
    <w:rsid w:val="666D52C9"/>
    <w:rsid w:val="67222BCE"/>
    <w:rsid w:val="67DA328C"/>
    <w:rsid w:val="682B7F8C"/>
    <w:rsid w:val="68404A74"/>
    <w:rsid w:val="685A261F"/>
    <w:rsid w:val="68AF64C7"/>
    <w:rsid w:val="68B0082B"/>
    <w:rsid w:val="68C72CFE"/>
    <w:rsid w:val="68F840FA"/>
    <w:rsid w:val="69390486"/>
    <w:rsid w:val="69821E2D"/>
    <w:rsid w:val="6A2124C5"/>
    <w:rsid w:val="6AE54422"/>
    <w:rsid w:val="6BA92830"/>
    <w:rsid w:val="6BD154E6"/>
    <w:rsid w:val="6C0E5BFA"/>
    <w:rsid w:val="6CDA3D2E"/>
    <w:rsid w:val="6D257FA0"/>
    <w:rsid w:val="6D400F45"/>
    <w:rsid w:val="6DC42A14"/>
    <w:rsid w:val="6DCE3893"/>
    <w:rsid w:val="6DD55F01"/>
    <w:rsid w:val="6EB20ABF"/>
    <w:rsid w:val="6F245233"/>
    <w:rsid w:val="6F854425"/>
    <w:rsid w:val="6F8D6E36"/>
    <w:rsid w:val="6FA14932"/>
    <w:rsid w:val="6FC974CE"/>
    <w:rsid w:val="6FE401BA"/>
    <w:rsid w:val="6FF10FE9"/>
    <w:rsid w:val="701778DC"/>
    <w:rsid w:val="70661C93"/>
    <w:rsid w:val="70A87041"/>
    <w:rsid w:val="70AE3508"/>
    <w:rsid w:val="70C25205"/>
    <w:rsid w:val="71353C29"/>
    <w:rsid w:val="7189187F"/>
    <w:rsid w:val="71C172BE"/>
    <w:rsid w:val="71E075D7"/>
    <w:rsid w:val="71FA1A60"/>
    <w:rsid w:val="726B5B54"/>
    <w:rsid w:val="729F75AC"/>
    <w:rsid w:val="72DF7FC7"/>
    <w:rsid w:val="73133AF6"/>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D83818"/>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9B30EC"/>
    <w:rsid w:val="7FAF5848"/>
    <w:rsid w:val="7FCE2AAE"/>
    <w:rsid w:val="7FD33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Body Text"/>
    <w:basedOn w:val="1"/>
    <w:next w:val="1"/>
    <w:semiHidden/>
    <w:unhideWhenUsed/>
    <w:qFormat/>
    <w:uiPriority w:val="99"/>
    <w:pPr>
      <w:spacing w:after="120"/>
    </w:pPr>
  </w:style>
  <w:style w:type="paragraph" w:styleId="12">
    <w:name w:val="Plain Text"/>
    <w:basedOn w:val="1"/>
    <w:qFormat/>
    <w:uiPriority w:val="0"/>
    <w:rPr>
      <w:rFonts w:ascii="宋体" w:hAnsi="Courier New" w:cs="Courier New"/>
      <w:szCs w:val="21"/>
    </w:rPr>
  </w:style>
  <w:style w:type="paragraph" w:styleId="13">
    <w:name w:val="footer"/>
    <w:basedOn w:val="1"/>
    <w:link w:val="42"/>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qFormat/>
    <w:uiPriority w:val="0"/>
    <w:pPr>
      <w:widowControl w:val="0"/>
      <w:kinsoku/>
      <w:autoSpaceDE/>
      <w:autoSpaceDN/>
      <w:spacing w:line="600" w:lineRule="exact"/>
      <w:ind w:left="1280" w:hanging="1280" w:hangingChars="400"/>
      <w:textAlignment w:val="auto"/>
    </w:p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3"/>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4"/>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5"/>
    <w:semiHidden/>
    <w:qFormat/>
    <w:uiPriority w:val="9"/>
    <w:rPr>
      <w:rFonts w:cstheme="majorBidi"/>
      <w:color w:val="104862" w:themeColor="accent1" w:themeShade="BF"/>
      <w:sz w:val="28"/>
      <w:szCs w:val="28"/>
    </w:rPr>
  </w:style>
  <w:style w:type="character" w:customStyle="1" w:styleId="27">
    <w:name w:val="标题 5 字符"/>
    <w:basedOn w:val="22"/>
    <w:link w:val="6"/>
    <w:semiHidden/>
    <w:qFormat/>
    <w:uiPriority w:val="9"/>
    <w:rPr>
      <w:rFonts w:cstheme="majorBidi"/>
      <w:color w:val="104862" w:themeColor="accent1" w:themeShade="BF"/>
      <w:sz w:val="24"/>
      <w:szCs w:val="24"/>
    </w:rPr>
  </w:style>
  <w:style w:type="character" w:customStyle="1" w:styleId="28">
    <w:name w:val="标题 6 字符"/>
    <w:basedOn w:val="22"/>
    <w:link w:val="7"/>
    <w:semiHidden/>
    <w:qFormat/>
    <w:uiPriority w:val="9"/>
    <w:rPr>
      <w:rFonts w:cstheme="majorBidi"/>
      <w:b/>
      <w:bCs/>
      <w:color w:val="104862" w:themeColor="accent1" w:themeShade="BF"/>
    </w:rPr>
  </w:style>
  <w:style w:type="character" w:customStyle="1" w:styleId="29">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2"/>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qFormat/>
    <w:uiPriority w:val="30"/>
    <w:rPr>
      <w:i/>
      <w:iCs/>
      <w:color w:val="104862" w:themeColor="accent1" w:themeShade="BF"/>
    </w:rPr>
  </w:style>
  <w:style w:type="character" w:customStyle="1" w:styleId="40">
    <w:name w:val="Intense Reference"/>
    <w:basedOn w:val="22"/>
    <w:qFormat/>
    <w:uiPriority w:val="32"/>
    <w:rPr>
      <w:b/>
      <w:bCs/>
      <w:smallCaps/>
      <w:color w:val="104862" w:themeColor="accent1" w:themeShade="BF"/>
      <w:spacing w:val="5"/>
    </w:rPr>
  </w:style>
  <w:style w:type="character" w:customStyle="1" w:styleId="41">
    <w:name w:val="页眉 字符"/>
    <w:basedOn w:val="22"/>
    <w:link w:val="14"/>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qFormat/>
    <w:uiPriority w:val="0"/>
    <w:rPr>
      <w:rFonts w:hint="eastAsia" w:ascii="仿宋_GB2312" w:eastAsia="仿宋_GB2312" w:cs="仿宋_GB2312"/>
      <w:color w:val="000000"/>
      <w:sz w:val="22"/>
      <w:szCs w:val="22"/>
      <w:u w:val="none"/>
    </w:rPr>
  </w:style>
  <w:style w:type="paragraph" w:customStyle="1" w:styleId="45">
    <w:name w:val="Table Text"/>
    <w:basedOn w:val="1"/>
    <w:semiHidden/>
    <w:qFormat/>
    <w:uiPriority w:val="0"/>
    <w:rPr>
      <w:rFonts w:ascii="宋体" w:hAnsi="宋体" w:eastAsia="宋体" w:cs="宋体"/>
      <w:sz w:val="24"/>
      <w:szCs w:val="24"/>
      <w:lang w:val="en-US" w:eastAsia="en-US" w:bidi="ar-SA"/>
    </w:rPr>
  </w:style>
  <w:style w:type="table" w:customStyle="1" w:styleId="46">
    <w:name w:val="Table Normal"/>
    <w:basedOn w:val="20"/>
    <w:unhideWhenUsed/>
    <w:qFormat/>
    <w:uiPriority w:val="0"/>
    <w:tblPr>
      <w:tblCellMar>
        <w:top w:w="0" w:type="dxa"/>
        <w:left w:w="0" w:type="dxa"/>
        <w:bottom w:w="0" w:type="dxa"/>
        <w:right w:w="0" w:type="dxa"/>
      </w:tblCellMar>
    </w:tblPr>
  </w:style>
  <w:style w:type="paragraph" w:customStyle="1" w:styleId="47">
    <w:name w:val="普通(网站)1"/>
    <w:basedOn w:val="1"/>
    <w:qFormat/>
    <w:uiPriority w:val="0"/>
    <w:pPr>
      <w:widowControl/>
      <w:spacing w:beforeAutospacing="1" w:afterAutospacing="1"/>
      <w:jc w:val="left"/>
    </w:pPr>
    <w:rPr>
      <w:rFonts w:ascii="宋体" w:hAnsi="宋体" w:eastAsia="宋体" w:cs="宋体"/>
      <w:kern w:val="0"/>
      <w:sz w:val="24"/>
      <w:szCs w:val="24"/>
    </w:rPr>
  </w:style>
  <w:style w:type="paragraph" w:customStyle="1" w:styleId="48">
    <w:name w:val="No Spacing"/>
    <w:basedOn w:val="1"/>
    <w:qFormat/>
    <w:uiPriority w:val="0"/>
    <w:pPr>
      <w:widowControl/>
      <w:spacing w:before="0" w:beforeAutospacing="0" w:after="0" w:afterAutospacing="0"/>
      <w:ind w:left="0" w:right="0"/>
      <w:jc w:val="left"/>
    </w:pPr>
    <w:rPr>
      <w:rFonts w:hint="default" w:ascii="Calibri" w:hAnsi="Calibri" w:eastAsia="宋体" w:cs="Times New Roman"/>
      <w:kern w:val="0"/>
      <w:sz w:val="22"/>
      <w:szCs w:val="22"/>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1479</Words>
  <Characters>1595</Characters>
  <Lines>25</Lines>
  <Paragraphs>7</Paragraphs>
  <TotalTime>1</TotalTime>
  <ScaleCrop>false</ScaleCrop>
  <LinksUpToDate>false</LinksUpToDate>
  <CharactersWithSpaces>1625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WPS_1633856000</cp:lastModifiedBy>
  <cp:lastPrinted>2024-06-05T05:51:00Z</cp:lastPrinted>
  <dcterms:modified xsi:type="dcterms:W3CDTF">2024-09-06T06:29:44Z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9041D2CE161D4F11AC97C6FE8E12D080_13</vt:lpwstr>
  </property>
</Properties>
</file>