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A03A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9"/>
        <w:rPr>
          <w:rFonts w:hint="default" w:ascii="Arial" w:hAnsi="Arial" w:eastAsia="黑体" w:cs="Arial"/>
          <w:bCs/>
          <w:sz w:val="32"/>
          <w:szCs w:val="32"/>
          <w:lang w:val="en-US" w:eastAsia="zh-CN"/>
        </w:rPr>
      </w:pPr>
      <w:bookmarkStart w:id="0" w:name="_Toc23685"/>
      <w:bookmarkStart w:id="1" w:name="_Toc27284"/>
      <w:r>
        <w:rPr>
          <w:rFonts w:hint="eastAsia" w:ascii="Arial" w:hAnsi="Arial" w:eastAsia="黑体" w:cs="Arial"/>
          <w:bCs/>
          <w:sz w:val="32"/>
          <w:szCs w:val="32"/>
          <w:lang w:eastAsia="zh-CN"/>
        </w:rPr>
        <w:t>附件</w:t>
      </w:r>
      <w:r>
        <w:rPr>
          <w:rFonts w:hint="eastAsia" w:ascii="Arial" w:hAnsi="Arial" w:eastAsia="黑体" w:cs="Arial"/>
          <w:bCs/>
          <w:sz w:val="32"/>
          <w:szCs w:val="32"/>
          <w:lang w:val="en-US" w:eastAsia="zh-CN"/>
        </w:rPr>
        <w:t>3</w:t>
      </w:r>
    </w:p>
    <w:p w14:paraId="220EAC31">
      <w:pPr>
        <w:keepNext w:val="0"/>
        <w:keepLines w:val="0"/>
        <w:pageBreakBefore w:val="0"/>
        <w:kinsoku/>
        <w:wordWrap/>
        <w:overflowPunct/>
        <w:topLinePunct w:val="0"/>
        <w:autoSpaceDE/>
        <w:autoSpaceDN/>
        <w:bidi w:val="0"/>
        <w:adjustRightInd/>
        <w:snapToGrid/>
        <w:spacing w:line="240" w:lineRule="auto"/>
        <w:ind w:firstLine="796"/>
        <w:jc w:val="center"/>
        <w:textAlignment w:val="auto"/>
        <w:outlineLvl w:val="9"/>
        <w:rPr>
          <w:rFonts w:ascii="Arial" w:hAnsi="Arial" w:eastAsia="黑体" w:cs="Arial"/>
          <w:bCs/>
          <w:sz w:val="44"/>
          <w:szCs w:val="44"/>
        </w:rPr>
      </w:pPr>
      <w:bookmarkStart w:id="28" w:name="_GoBack"/>
      <w:bookmarkEnd w:id="28"/>
      <w:r>
        <w:rPr>
          <w:rFonts w:ascii="Arial" w:hAnsi="Arial" w:eastAsia="黑体" w:cs="Arial"/>
          <w:bCs/>
          <w:sz w:val="44"/>
          <w:szCs w:val="44"/>
        </w:rPr>
        <w:t>四川九洲投资控股集团有限公司</w:t>
      </w:r>
      <w:bookmarkEnd w:id="0"/>
      <w:bookmarkEnd w:id="1"/>
    </w:p>
    <w:p w14:paraId="4B5EB036">
      <w:pPr>
        <w:keepNext w:val="0"/>
        <w:keepLines w:val="0"/>
        <w:pageBreakBefore w:val="0"/>
        <w:kinsoku/>
        <w:wordWrap/>
        <w:overflowPunct/>
        <w:topLinePunct w:val="0"/>
        <w:autoSpaceDE/>
        <w:autoSpaceDN/>
        <w:bidi w:val="0"/>
        <w:adjustRightInd/>
        <w:snapToGrid/>
        <w:spacing w:line="240" w:lineRule="auto"/>
        <w:ind w:firstLine="796"/>
        <w:jc w:val="center"/>
        <w:textAlignment w:val="auto"/>
        <w:outlineLvl w:val="9"/>
        <w:rPr>
          <w:rFonts w:hint="eastAsia" w:ascii="Arial" w:hAnsi="Arial" w:eastAsia="黑体" w:cs="Arial"/>
          <w:bCs/>
          <w:sz w:val="44"/>
          <w:szCs w:val="44"/>
        </w:rPr>
      </w:pPr>
      <w:bookmarkStart w:id="2" w:name="_Toc1477"/>
      <w:r>
        <w:rPr>
          <w:rFonts w:hint="eastAsia" w:ascii="Arial" w:hAnsi="Arial" w:eastAsia="黑体" w:cs="Arial"/>
          <w:bCs/>
          <w:sz w:val="44"/>
          <w:szCs w:val="44"/>
        </w:rPr>
        <w:t>股权投资投后管理办法</w:t>
      </w:r>
    </w:p>
    <w:p w14:paraId="5F44F786">
      <w:pPr>
        <w:keepNext w:val="0"/>
        <w:keepLines w:val="0"/>
        <w:pageBreakBefore w:val="0"/>
        <w:kinsoku/>
        <w:wordWrap/>
        <w:overflowPunct/>
        <w:topLinePunct w:val="0"/>
        <w:autoSpaceDE/>
        <w:autoSpaceDN/>
        <w:bidi w:val="0"/>
        <w:adjustRightInd/>
        <w:snapToGrid/>
        <w:spacing w:line="240" w:lineRule="auto"/>
        <w:ind w:firstLine="796"/>
        <w:jc w:val="center"/>
        <w:textAlignment w:val="auto"/>
        <w:outlineLvl w:val="9"/>
        <w:rPr>
          <w:rFonts w:ascii="Arial" w:hAnsi="Arial" w:eastAsia="黑体" w:cs="Arial"/>
          <w:bCs/>
          <w:sz w:val="44"/>
          <w:szCs w:val="44"/>
        </w:rPr>
      </w:pPr>
      <w:r>
        <w:rPr>
          <w:rFonts w:hint="eastAsia" w:ascii="Arial" w:hAnsi="Arial" w:eastAsia="黑体" w:cs="Arial"/>
          <w:bCs/>
          <w:sz w:val="44"/>
          <w:szCs w:val="44"/>
        </w:rPr>
        <w:t>（</w:t>
      </w:r>
      <w:r>
        <w:rPr>
          <w:rFonts w:hint="eastAsia" w:ascii="Arial" w:hAnsi="Arial" w:eastAsia="黑体" w:cs="Arial"/>
          <w:bCs/>
          <w:sz w:val="44"/>
          <w:szCs w:val="44"/>
          <w:lang w:eastAsia="zh-CN"/>
        </w:rPr>
        <w:t>暂行</w:t>
      </w:r>
      <w:r>
        <w:rPr>
          <w:rFonts w:hint="eastAsia" w:ascii="Arial" w:hAnsi="Arial" w:eastAsia="黑体" w:cs="Arial"/>
          <w:bCs/>
          <w:sz w:val="44"/>
          <w:szCs w:val="44"/>
        </w:rPr>
        <w:t>）</w:t>
      </w:r>
      <w:bookmarkEnd w:id="2"/>
    </w:p>
    <w:p w14:paraId="42F8B769">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sz w:val="28"/>
          <w:szCs w:val="28"/>
        </w:rPr>
      </w:pPr>
    </w:p>
    <w:p w14:paraId="4122532C">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6188DC3A">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5FE05437">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7233EC38">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74D2660A">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14DAFAAC">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3D22882F">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63A7C1CB">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5B41735A">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0ED239CF">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1C5AABBC">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18D9070D">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754E62FA">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1DC3C9F1">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34086DF0">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44979BEB">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1C886749">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4B81C210">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3487EC88">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75E88A99">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783A0218">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67E3F661">
      <w:pPr>
        <w:pStyle w:val="11"/>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ascii="Arial" w:hAnsi="Arial" w:eastAsia="黑体" w:cs="Arial"/>
        </w:rPr>
      </w:pPr>
    </w:p>
    <w:p w14:paraId="3E87FBBE">
      <w:pPr>
        <w:pStyle w:val="11"/>
        <w:keepNext w:val="0"/>
        <w:keepLines w:val="0"/>
        <w:pageBreakBefore w:val="0"/>
        <w:kinsoku/>
        <w:wordWrap/>
        <w:overflowPunct/>
        <w:topLinePunct w:val="0"/>
        <w:autoSpaceDE/>
        <w:autoSpaceDN/>
        <w:bidi w:val="0"/>
        <w:adjustRightInd/>
        <w:snapToGrid/>
        <w:spacing w:line="240" w:lineRule="auto"/>
        <w:jc w:val="both"/>
        <w:textAlignment w:val="auto"/>
        <w:outlineLvl w:val="9"/>
        <w:rPr>
          <w:rFonts w:ascii="Arial" w:hAnsi="Arial" w:eastAsia="黑体" w:cs="Arial"/>
        </w:rPr>
      </w:pPr>
    </w:p>
    <w:p w14:paraId="6D1A29F6">
      <w:pPr>
        <w:pStyle w:val="11"/>
        <w:keepNext w:val="0"/>
        <w:keepLines w:val="0"/>
        <w:pageBreakBefore w:val="0"/>
        <w:kinsoku/>
        <w:wordWrap/>
        <w:overflowPunct/>
        <w:topLinePunct w:val="0"/>
        <w:autoSpaceDE/>
        <w:autoSpaceDN/>
        <w:bidi w:val="0"/>
        <w:adjustRightInd/>
        <w:snapToGrid/>
        <w:spacing w:line="240" w:lineRule="auto"/>
        <w:jc w:val="right"/>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rPr>
        <w:t>编号：JZJT-ZB-2024-00</w:t>
      </w:r>
      <w:r>
        <w:rPr>
          <w:rFonts w:hint="eastAsia" w:ascii="黑体" w:hAnsi="黑体" w:eastAsia="黑体" w:cs="黑体"/>
          <w:sz w:val="32"/>
          <w:szCs w:val="32"/>
          <w:lang w:val="en-US" w:eastAsia="zh-CN"/>
        </w:rPr>
        <w:t>02</w:t>
      </w:r>
    </w:p>
    <w:p w14:paraId="7918047D">
      <w:pPr>
        <w:pStyle w:val="11"/>
        <w:keepNext w:val="0"/>
        <w:keepLines w:val="0"/>
        <w:pageBreakBefore w:val="0"/>
        <w:kinsoku/>
        <w:wordWrap/>
        <w:overflowPunct/>
        <w:topLinePunct w:val="0"/>
        <w:autoSpaceDE/>
        <w:autoSpaceDN/>
        <w:bidi w:val="0"/>
        <w:adjustRightInd/>
        <w:snapToGrid/>
        <w:spacing w:line="240" w:lineRule="auto"/>
        <w:jc w:val="right"/>
        <w:textAlignment w:val="auto"/>
        <w:outlineLvl w:val="9"/>
        <w:rPr>
          <w:rFonts w:ascii="黑体" w:hAnsi="黑体" w:eastAsia="黑体" w:cs="黑体"/>
          <w:sz w:val="32"/>
          <w:szCs w:val="32"/>
        </w:rPr>
      </w:pPr>
      <w:r>
        <w:rPr>
          <w:rFonts w:hint="eastAsia" w:ascii="黑体" w:hAnsi="黑体" w:eastAsia="黑体" w:cs="黑体"/>
          <w:sz w:val="32"/>
          <w:szCs w:val="32"/>
        </w:rPr>
        <w:t>版本号：2024（</w:t>
      </w:r>
      <w:r>
        <w:rPr>
          <w:rFonts w:hint="eastAsia" w:ascii="黑体" w:hAnsi="黑体" w:eastAsia="黑体" w:cs="黑体"/>
          <w:sz w:val="32"/>
          <w:szCs w:val="32"/>
          <w:lang w:val="en-US" w:eastAsia="zh-CN"/>
        </w:rPr>
        <w:t>01</w:t>
      </w:r>
      <w:r>
        <w:rPr>
          <w:rFonts w:hint="eastAsia" w:ascii="黑体" w:hAnsi="黑体" w:eastAsia="黑体" w:cs="黑体"/>
          <w:sz w:val="32"/>
          <w:szCs w:val="32"/>
        </w:rPr>
        <w:t>）</w:t>
      </w:r>
    </w:p>
    <w:p w14:paraId="3DC6DE41">
      <w:pPr>
        <w:pStyle w:val="11"/>
        <w:keepNext w:val="0"/>
        <w:keepLines w:val="0"/>
        <w:pageBreakBefore w:val="0"/>
        <w:kinsoku/>
        <w:wordWrap/>
        <w:overflowPunct/>
        <w:topLinePunct w:val="0"/>
        <w:autoSpaceDE/>
        <w:autoSpaceDN/>
        <w:bidi w:val="0"/>
        <w:adjustRightInd/>
        <w:snapToGrid/>
        <w:spacing w:line="240" w:lineRule="auto"/>
        <w:jc w:val="right"/>
        <w:textAlignment w:val="auto"/>
        <w:outlineLvl w:val="9"/>
        <w:rPr>
          <w:rFonts w:ascii="黑体" w:hAnsi="黑体" w:eastAsia="黑体" w:cs="黑体"/>
          <w:sz w:val="32"/>
          <w:szCs w:val="32"/>
        </w:rPr>
        <w:sectPr>
          <w:footerReference r:id="rId4" w:type="default"/>
          <w:headerReference r:id="rId3" w:type="even"/>
          <w:footerReference r:id="rId5" w:type="even"/>
          <w:pgSz w:w="11906" w:h="16838"/>
          <w:pgMar w:top="2041" w:right="1531" w:bottom="2041" w:left="1531" w:header="851" w:footer="992" w:gutter="0"/>
          <w:pgNumType w:fmt="numberInDash"/>
          <w:cols w:space="720" w:num="1"/>
          <w:docGrid w:type="lines" w:linePitch="312" w:charSpace="0"/>
        </w:sectPr>
      </w:pPr>
      <w:r>
        <w:rPr>
          <w:rFonts w:hint="eastAsia" w:ascii="黑体" w:hAnsi="黑体" w:eastAsia="黑体" w:cs="黑体"/>
          <w:sz w:val="32"/>
          <w:szCs w:val="32"/>
        </w:rPr>
        <w:t>生效日期：2024年</w:t>
      </w:r>
      <w:r>
        <w:rPr>
          <w:rFonts w:hint="eastAsia" w:ascii="黑体" w:hAnsi="黑体" w:eastAsia="黑体" w:cs="黑体"/>
          <w:sz w:val="32"/>
          <w:szCs w:val="32"/>
          <w:lang w:val="en-US" w:eastAsia="zh-CN"/>
        </w:rPr>
        <w:t>7</w:t>
      </w:r>
      <w:r>
        <w:rPr>
          <w:rFonts w:hint="eastAsia" w:ascii="黑体" w:hAnsi="黑体" w:eastAsia="黑体" w:cs="黑体"/>
          <w:sz w:val="32"/>
          <w:szCs w:val="32"/>
        </w:rPr>
        <w:t>月</w:t>
      </w:r>
      <w:r>
        <w:rPr>
          <w:rFonts w:hint="eastAsia" w:ascii="黑体" w:hAnsi="黑体" w:eastAsia="黑体" w:cs="黑体"/>
          <w:sz w:val="32"/>
          <w:szCs w:val="32"/>
          <w:lang w:val="en-US" w:eastAsia="zh-CN"/>
        </w:rPr>
        <w:t>29</w:t>
      </w:r>
      <w:r>
        <w:rPr>
          <w:rFonts w:hint="eastAsia" w:ascii="黑体" w:hAnsi="黑体" w:eastAsia="黑体" w:cs="黑体"/>
          <w:sz w:val="32"/>
          <w:szCs w:val="32"/>
        </w:rPr>
        <w:t>日</w:t>
      </w:r>
    </w:p>
    <w:p w14:paraId="4B97CD0C">
      <w:pPr>
        <w:pStyle w:val="3"/>
        <w:widowControl/>
        <w:spacing w:before="0" w:beforeAutospacing="0" w:after="0" w:afterAutospacing="0" w:line="560" w:lineRule="exact"/>
        <w:jc w:val="center"/>
        <w:rPr>
          <w:rFonts w:hint="default" w:ascii="方正小标宋简体" w:hAnsi="方正小标宋简体" w:eastAsia="方正小标宋简体" w:cs="方正小标宋简体"/>
          <w:b w:val="0"/>
          <w:bCs w:val="0"/>
          <w:sz w:val="32"/>
          <w:szCs w:val="32"/>
        </w:rPr>
      </w:pPr>
      <w:r>
        <w:rPr>
          <w:rFonts w:hint="default" w:ascii="方正小标宋简体" w:hAnsi="方正小标宋简体" w:eastAsia="方正小标宋简体" w:cs="方正小标宋简体"/>
          <w:b w:val="0"/>
          <w:bCs w:val="0"/>
          <w:sz w:val="32"/>
          <w:szCs w:val="32"/>
        </w:rPr>
        <w:t>制度履历表</w:t>
      </w:r>
    </w:p>
    <w:p w14:paraId="69ACDF48">
      <w:pPr>
        <w:keepNext w:val="0"/>
        <w:keepLines w:val="0"/>
        <w:widowControl w:val="0"/>
        <w:suppressLineNumbers w:val="0"/>
        <w:spacing w:before="0" w:beforeAutospacing="0" w:after="0" w:afterAutospacing="0"/>
        <w:ind w:left="0" w:right="0" w:firstLine="6960" w:firstLineChars="2900"/>
        <w:jc w:val="both"/>
        <w:rPr>
          <w:rFonts w:hint="default" w:ascii="Arial" w:hAnsi="Arial" w:eastAsia="仿宋_GB2312" w:cs="Arial"/>
          <w:sz w:val="24"/>
          <w:szCs w:val="24"/>
        </w:rPr>
      </w:pPr>
      <w:r>
        <w:rPr>
          <w:rFonts w:hint="default" w:ascii="Arial" w:hAnsi="Arial" w:eastAsia="仿宋_GB2312" w:cs="Arial"/>
          <w:kern w:val="0"/>
          <w:sz w:val="24"/>
          <w:szCs w:val="24"/>
          <w:lang w:val="en-US" w:eastAsia="zh-CN" w:bidi="ar"/>
        </w:rPr>
        <w:t xml:space="preserve"> </w:t>
      </w:r>
    </w:p>
    <w:tbl>
      <w:tblPr>
        <w:tblStyle w:val="9"/>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53"/>
        <w:gridCol w:w="2611"/>
        <w:gridCol w:w="878"/>
        <w:gridCol w:w="823"/>
        <w:gridCol w:w="2552"/>
      </w:tblGrid>
      <w:tr w14:paraId="4356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73E4F8BA">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制度名称</w:t>
            </w:r>
          </w:p>
        </w:tc>
        <w:tc>
          <w:tcPr>
            <w:tcW w:w="6864" w:type="dxa"/>
            <w:gridSpan w:val="4"/>
            <w:tcBorders>
              <w:top w:val="single" w:color="A4A4A4" w:sz="4" w:space="0"/>
              <w:left w:val="nil"/>
              <w:bottom w:val="single" w:color="A4A4A4" w:sz="4" w:space="0"/>
              <w:right w:val="nil"/>
            </w:tcBorders>
            <w:shd w:val="clear" w:color="auto" w:fill="auto"/>
            <w:vAlign w:val="center"/>
          </w:tcPr>
          <w:p w14:paraId="2D404161">
            <w:pPr>
              <w:keepNext w:val="0"/>
              <w:keepLines w:val="0"/>
              <w:widowControl w:val="0"/>
              <w:suppressLineNumbers w:val="0"/>
              <w:autoSpaceDE w:val="0"/>
              <w:autoSpaceDN/>
              <w:spacing w:before="0" w:beforeAutospacing="0" w:after="0" w:afterAutospacing="0"/>
              <w:ind w:left="0" w:leftChars="0" w:right="0" w:firstLine="0" w:firstLineChars="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股权投资投后管理办法（试行）</w:t>
            </w:r>
          </w:p>
        </w:tc>
      </w:tr>
      <w:tr w14:paraId="0B2A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183283E8">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关键词</w:t>
            </w:r>
          </w:p>
        </w:tc>
        <w:tc>
          <w:tcPr>
            <w:tcW w:w="6864" w:type="dxa"/>
            <w:gridSpan w:val="4"/>
            <w:tcBorders>
              <w:top w:val="single" w:color="A4A4A4" w:sz="4" w:space="0"/>
              <w:left w:val="nil"/>
              <w:bottom w:val="single" w:color="A4A4A4" w:sz="4" w:space="0"/>
              <w:right w:val="nil"/>
            </w:tcBorders>
            <w:shd w:val="clear" w:color="auto" w:fill="auto"/>
            <w:vAlign w:val="center"/>
          </w:tcPr>
          <w:p w14:paraId="3CD9984D">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投后管理</w:t>
            </w:r>
          </w:p>
        </w:tc>
      </w:tr>
      <w:tr w14:paraId="7127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6CAE6F60">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适用范围</w:t>
            </w:r>
          </w:p>
        </w:tc>
        <w:tc>
          <w:tcPr>
            <w:tcW w:w="6864" w:type="dxa"/>
            <w:gridSpan w:val="4"/>
            <w:tcBorders>
              <w:top w:val="single" w:color="A4A4A4" w:sz="4" w:space="0"/>
              <w:left w:val="nil"/>
              <w:bottom w:val="single" w:color="A4A4A4" w:sz="4" w:space="0"/>
              <w:right w:val="nil"/>
            </w:tcBorders>
            <w:shd w:val="clear" w:color="auto" w:fill="auto"/>
            <w:vAlign w:val="center"/>
          </w:tcPr>
          <w:p w14:paraId="7C375036">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总部以及各下属公司</w:t>
            </w:r>
          </w:p>
        </w:tc>
      </w:tr>
      <w:tr w14:paraId="640A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2382506B">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主责部门</w:t>
            </w:r>
          </w:p>
        </w:tc>
        <w:tc>
          <w:tcPr>
            <w:tcW w:w="2611" w:type="dxa"/>
            <w:tcBorders>
              <w:top w:val="single" w:color="A4A4A4" w:sz="4" w:space="0"/>
              <w:left w:val="nil"/>
              <w:bottom w:val="single" w:color="A4A4A4" w:sz="4" w:space="0"/>
              <w:right w:val="single" w:color="A4A4A4" w:sz="4" w:space="0"/>
            </w:tcBorders>
            <w:shd w:val="clear" w:color="auto" w:fill="auto"/>
            <w:vAlign w:val="center"/>
          </w:tcPr>
          <w:p w14:paraId="29C07A9C">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资本运营部</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14:paraId="4EF0863D">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审批机构</w:t>
            </w:r>
          </w:p>
        </w:tc>
        <w:tc>
          <w:tcPr>
            <w:tcW w:w="2552" w:type="dxa"/>
            <w:tcBorders>
              <w:top w:val="single" w:color="A4A4A4" w:sz="4" w:space="0"/>
              <w:left w:val="nil"/>
              <w:bottom w:val="single" w:color="A4A4A4" w:sz="4" w:space="0"/>
              <w:right w:val="nil"/>
            </w:tcBorders>
            <w:shd w:val="clear" w:color="auto" w:fill="auto"/>
            <w:vAlign w:val="center"/>
          </w:tcPr>
          <w:p w14:paraId="38D19D09">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董事会</w:t>
            </w:r>
          </w:p>
        </w:tc>
      </w:tr>
      <w:tr w14:paraId="71CF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12E86CAB">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制度类别</w:t>
            </w:r>
          </w:p>
        </w:tc>
        <w:tc>
          <w:tcPr>
            <w:tcW w:w="2611" w:type="dxa"/>
            <w:tcBorders>
              <w:top w:val="single" w:color="A4A4A4" w:sz="4" w:space="0"/>
              <w:left w:val="nil"/>
              <w:bottom w:val="single" w:color="A4A4A4" w:sz="4" w:space="0"/>
              <w:right w:val="single" w:color="A4A4A4" w:sz="4" w:space="0"/>
            </w:tcBorders>
            <w:shd w:val="clear" w:color="auto" w:fill="auto"/>
            <w:vAlign w:val="center"/>
          </w:tcPr>
          <w:p w14:paraId="732F9F03">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b w:val="0"/>
                <w:bCs/>
                <w:kern w:val="0"/>
                <w:sz w:val="21"/>
                <w:szCs w:val="21"/>
                <w:lang w:val="en-US" w:eastAsia="zh-CN" w:bidi="ar"/>
              </w:rPr>
              <w:t>核心制度</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14:paraId="31C7DD1F">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业务域</w:t>
            </w:r>
          </w:p>
        </w:tc>
        <w:tc>
          <w:tcPr>
            <w:tcW w:w="2552" w:type="dxa"/>
            <w:tcBorders>
              <w:top w:val="single" w:color="A4A4A4" w:sz="4" w:space="0"/>
              <w:left w:val="nil"/>
              <w:bottom w:val="single" w:color="A4A4A4" w:sz="4" w:space="0"/>
              <w:right w:val="nil"/>
            </w:tcBorders>
            <w:shd w:val="clear" w:color="auto" w:fill="auto"/>
            <w:vAlign w:val="center"/>
          </w:tcPr>
          <w:p w14:paraId="261E705A">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投</w:t>
            </w:r>
            <w:r>
              <w:rPr>
                <w:rFonts w:hint="eastAsia" w:ascii="仿宋_GB2312" w:hAnsi="Arial" w:eastAsia="仿宋_GB2312" w:cs="仿宋_GB2312"/>
                <w:kern w:val="0"/>
                <w:sz w:val="21"/>
                <w:szCs w:val="21"/>
                <w:lang w:val="en-US" w:eastAsia="zh-CN" w:bidi="ar"/>
              </w:rPr>
              <w:t>融</w:t>
            </w:r>
            <w:r>
              <w:rPr>
                <w:rFonts w:hint="default" w:ascii="仿宋_GB2312" w:hAnsi="Arial" w:eastAsia="仿宋_GB2312" w:cs="仿宋_GB2312"/>
                <w:kern w:val="0"/>
                <w:sz w:val="21"/>
                <w:szCs w:val="21"/>
                <w:lang w:val="en-US" w:eastAsia="zh-CN" w:bidi="ar"/>
              </w:rPr>
              <w:t>资管理</w:t>
            </w:r>
          </w:p>
        </w:tc>
      </w:tr>
      <w:tr w14:paraId="760A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57CFB342">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上位制度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14:paraId="2767EA1E">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无</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14:paraId="1E64890F">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下位制度</w:t>
            </w:r>
          </w:p>
        </w:tc>
        <w:tc>
          <w:tcPr>
            <w:tcW w:w="2552" w:type="dxa"/>
            <w:tcBorders>
              <w:top w:val="single" w:color="A4A4A4" w:sz="4" w:space="0"/>
              <w:left w:val="nil"/>
              <w:bottom w:val="single" w:color="A4A4A4" w:sz="4" w:space="0"/>
              <w:right w:val="nil"/>
            </w:tcBorders>
            <w:shd w:val="clear" w:color="auto" w:fill="auto"/>
            <w:vAlign w:val="center"/>
          </w:tcPr>
          <w:p w14:paraId="4DD6530F">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无</w:t>
            </w:r>
          </w:p>
        </w:tc>
      </w:tr>
      <w:tr w14:paraId="29E0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753" w:type="dxa"/>
            <w:tcBorders>
              <w:top w:val="single" w:color="A4A4A4" w:sz="4" w:space="0"/>
              <w:left w:val="nil"/>
              <w:bottom w:val="single" w:color="A4A4A4" w:sz="4" w:space="0"/>
              <w:right w:val="single" w:color="A4A4A4" w:sz="4" w:space="0"/>
            </w:tcBorders>
            <w:shd w:val="clear" w:color="auto" w:fill="auto"/>
            <w:vAlign w:val="center"/>
          </w:tcPr>
          <w:p w14:paraId="32FBE9EF">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关联制度</w:t>
            </w:r>
          </w:p>
        </w:tc>
        <w:tc>
          <w:tcPr>
            <w:tcW w:w="2611" w:type="dxa"/>
            <w:tcBorders>
              <w:top w:val="single" w:color="A4A4A4" w:sz="4" w:space="0"/>
              <w:left w:val="nil"/>
              <w:bottom w:val="single" w:color="A4A4A4" w:sz="4" w:space="0"/>
              <w:right w:val="single" w:color="A4A4A4" w:sz="4" w:space="0"/>
            </w:tcBorders>
            <w:shd w:val="clear" w:color="auto" w:fill="auto"/>
            <w:vAlign w:val="center"/>
          </w:tcPr>
          <w:p w14:paraId="7BE3463C">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企业国有</w:t>
            </w:r>
            <w:r>
              <w:rPr>
                <w:rFonts w:hint="default" w:ascii="仿宋_GB2312" w:hAnsi="Arial" w:eastAsia="仿宋_GB2312" w:cs="仿宋_GB2312"/>
                <w:kern w:val="0"/>
                <w:sz w:val="21"/>
                <w:szCs w:val="21"/>
                <w:lang w:eastAsia="zh-CN" w:bidi="ar"/>
              </w:rPr>
              <w:t>股权</w:t>
            </w:r>
            <w:r>
              <w:rPr>
                <w:rFonts w:hint="default" w:ascii="仿宋_GB2312" w:hAnsi="Arial" w:eastAsia="仿宋_GB2312" w:cs="仿宋_GB2312"/>
                <w:kern w:val="0"/>
                <w:sz w:val="21"/>
                <w:szCs w:val="21"/>
                <w:lang w:val="en-US" w:eastAsia="zh-CN" w:bidi="ar"/>
              </w:rPr>
              <w:t>流转监督管理办法</w:t>
            </w:r>
          </w:p>
        </w:tc>
        <w:tc>
          <w:tcPr>
            <w:tcW w:w="1701" w:type="dxa"/>
            <w:gridSpan w:val="2"/>
            <w:tcBorders>
              <w:top w:val="single" w:color="A4A4A4" w:sz="4" w:space="0"/>
              <w:left w:val="nil"/>
              <w:bottom w:val="single" w:color="A4A4A4" w:sz="4" w:space="0"/>
              <w:right w:val="single" w:color="A4A4A4" w:sz="4" w:space="0"/>
            </w:tcBorders>
            <w:shd w:val="clear" w:color="auto" w:fill="auto"/>
            <w:vAlign w:val="center"/>
          </w:tcPr>
          <w:p w14:paraId="0D6FAE13">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替代制度</w:t>
            </w:r>
          </w:p>
        </w:tc>
        <w:tc>
          <w:tcPr>
            <w:tcW w:w="2552" w:type="dxa"/>
            <w:tcBorders>
              <w:top w:val="single" w:color="A4A4A4" w:sz="4" w:space="0"/>
              <w:left w:val="nil"/>
              <w:bottom w:val="single" w:color="A4A4A4" w:sz="4" w:space="0"/>
              <w:right w:val="nil"/>
            </w:tcBorders>
            <w:shd w:val="clear" w:color="auto" w:fill="auto"/>
            <w:vAlign w:val="center"/>
          </w:tcPr>
          <w:p w14:paraId="3FDFC427">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val="0"/>
                <w:sz w:val="21"/>
                <w:szCs w:val="21"/>
              </w:rPr>
            </w:pPr>
            <w:r>
              <w:rPr>
                <w:rFonts w:hint="default" w:ascii="仿宋_GB2312" w:hAnsi="Arial" w:eastAsia="仿宋_GB2312" w:cs="仿宋_GB2312"/>
                <w:kern w:val="0"/>
                <w:sz w:val="21"/>
                <w:szCs w:val="21"/>
                <w:lang w:val="en-US" w:eastAsia="zh-CN" w:bidi="ar"/>
              </w:rPr>
              <w:t>无</w:t>
            </w:r>
          </w:p>
        </w:tc>
      </w:tr>
      <w:tr w14:paraId="70EF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restart"/>
            <w:tcBorders>
              <w:top w:val="nil"/>
              <w:left w:val="nil"/>
              <w:bottom w:val="single" w:color="A4A4A4" w:sz="4" w:space="0"/>
              <w:right w:val="single" w:color="A4A4A4" w:sz="4" w:space="0"/>
            </w:tcBorders>
            <w:shd w:val="clear" w:color="auto" w:fill="auto"/>
            <w:vAlign w:val="center"/>
          </w:tcPr>
          <w:p w14:paraId="73033DA9">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val="0"/>
                <w:sz w:val="21"/>
                <w:szCs w:val="21"/>
              </w:rPr>
            </w:pPr>
            <w:r>
              <w:rPr>
                <w:rFonts w:hint="default" w:ascii="仿宋_GB2312" w:hAnsi="Arial" w:eastAsia="仿宋_GB2312" w:cs="仿宋_GB2312"/>
                <w:b/>
                <w:bCs w:val="0"/>
                <w:kern w:val="0"/>
                <w:sz w:val="21"/>
                <w:szCs w:val="21"/>
                <w:lang w:val="en-US" w:eastAsia="zh-CN" w:bidi="ar"/>
              </w:rPr>
              <w:t>会签部门</w:t>
            </w: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14:paraId="5CA7C3A5">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kern w:val="2"/>
                <w:sz w:val="21"/>
                <w:szCs w:val="21"/>
              </w:rPr>
            </w:pPr>
            <w:r>
              <w:rPr>
                <w:rFonts w:hint="eastAsia" w:ascii="Arial" w:hAnsi="Arial" w:eastAsia="仿宋_GB2312" w:cs="Times New Roman"/>
                <w:b w:val="0"/>
                <w:bCs/>
                <w:kern w:val="2"/>
                <w:sz w:val="21"/>
                <w:szCs w:val="21"/>
                <w:lang w:eastAsia="zh-CN"/>
              </w:rPr>
              <w:t>业务领域牵头部门</w:t>
            </w:r>
          </w:p>
        </w:tc>
        <w:tc>
          <w:tcPr>
            <w:tcW w:w="3375" w:type="dxa"/>
            <w:gridSpan w:val="2"/>
            <w:tcBorders>
              <w:top w:val="single" w:color="A4A4A4" w:sz="4" w:space="0"/>
              <w:left w:val="nil"/>
              <w:bottom w:val="single" w:color="A4A4A4" w:sz="4" w:space="0"/>
              <w:right w:val="nil"/>
            </w:tcBorders>
            <w:shd w:val="clear" w:color="auto" w:fill="auto"/>
            <w:vAlign w:val="center"/>
          </w:tcPr>
          <w:p w14:paraId="3DCE86F6">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eastAsia" w:ascii="Arial" w:hAnsi="Arial" w:eastAsia="仿宋_GB2312" w:cs="Times New Roman"/>
                <w:b w:val="0"/>
                <w:bCs/>
                <w:kern w:val="2"/>
                <w:sz w:val="21"/>
                <w:szCs w:val="21"/>
                <w:lang w:eastAsia="zh-CN"/>
              </w:rPr>
              <w:t>资本运营部</w:t>
            </w:r>
          </w:p>
        </w:tc>
      </w:tr>
      <w:tr w14:paraId="2D8A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7B36D31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14:paraId="370B02F7">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kern w:val="2"/>
                <w:sz w:val="21"/>
                <w:szCs w:val="21"/>
              </w:rPr>
            </w:pPr>
            <w:r>
              <w:rPr>
                <w:rFonts w:hint="eastAsia" w:ascii="Arial" w:hAnsi="Arial" w:eastAsia="仿宋_GB2312" w:cs="Times New Roman"/>
                <w:b w:val="0"/>
                <w:bCs/>
                <w:kern w:val="2"/>
                <w:sz w:val="21"/>
                <w:szCs w:val="21"/>
                <w:lang w:eastAsia="zh-CN"/>
              </w:rPr>
              <w:t>形式审核部门</w:t>
            </w:r>
          </w:p>
        </w:tc>
        <w:tc>
          <w:tcPr>
            <w:tcW w:w="3375" w:type="dxa"/>
            <w:gridSpan w:val="2"/>
            <w:tcBorders>
              <w:top w:val="single" w:color="A4A4A4" w:sz="4" w:space="0"/>
              <w:left w:val="nil"/>
              <w:bottom w:val="single" w:color="A4A4A4" w:sz="4" w:space="0"/>
              <w:right w:val="nil"/>
            </w:tcBorders>
            <w:shd w:val="clear" w:color="auto" w:fill="auto"/>
            <w:vAlign w:val="center"/>
          </w:tcPr>
          <w:p w14:paraId="180ECE86">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eastAsia" w:ascii="仿宋_GB2312" w:hAnsi="Arial" w:eastAsia="仿宋_GB2312" w:cs="仿宋_GB2312"/>
                <w:b w:val="0"/>
                <w:bCs/>
                <w:kern w:val="2"/>
                <w:sz w:val="21"/>
                <w:szCs w:val="21"/>
                <w:lang w:val="en-US" w:eastAsia="zh-CN" w:bidi="ar"/>
              </w:rPr>
              <w:t>战略发展部</w:t>
            </w:r>
          </w:p>
        </w:tc>
      </w:tr>
      <w:tr w14:paraId="1264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12C649E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14:paraId="186882AE">
            <w:pPr>
              <w:keepNext w:val="0"/>
              <w:keepLines w:val="0"/>
              <w:widowControl w:val="0"/>
              <w:suppressLineNumbers w:val="0"/>
              <w:spacing w:before="0" w:beforeAutospacing="0" w:after="0" w:afterAutospacing="0"/>
              <w:ind w:left="0" w:leftChars="0" w:right="0" w:rightChars="0"/>
              <w:jc w:val="both"/>
              <w:rPr>
                <w:rFonts w:hint="default" w:ascii="仿宋_GB2312" w:hAnsi="Arial" w:eastAsia="仿宋_GB2312" w:cs="仿宋_GB2312"/>
                <w:b w:val="0"/>
                <w:bCs/>
                <w:kern w:val="2"/>
                <w:sz w:val="21"/>
                <w:szCs w:val="21"/>
                <w:lang w:val="en-US" w:eastAsia="zh-CN" w:bidi="ar"/>
              </w:rPr>
            </w:pPr>
            <w:r>
              <w:rPr>
                <w:rFonts w:hint="eastAsia" w:ascii="Arial" w:hAnsi="Arial" w:eastAsia="仿宋_GB2312" w:cs="Times New Roman"/>
                <w:b w:val="0"/>
                <w:bCs/>
                <w:kern w:val="2"/>
                <w:sz w:val="21"/>
                <w:szCs w:val="21"/>
                <w:lang w:eastAsia="zh-CN"/>
              </w:rPr>
              <w:t>合规审核部门</w:t>
            </w:r>
          </w:p>
        </w:tc>
        <w:tc>
          <w:tcPr>
            <w:tcW w:w="3375" w:type="dxa"/>
            <w:gridSpan w:val="2"/>
            <w:tcBorders>
              <w:top w:val="single" w:color="A4A4A4" w:sz="4" w:space="0"/>
              <w:left w:val="nil"/>
              <w:bottom w:val="single" w:color="A4A4A4" w:sz="4" w:space="0"/>
              <w:right w:val="nil"/>
            </w:tcBorders>
            <w:shd w:val="clear" w:color="auto" w:fill="auto"/>
            <w:vAlign w:val="center"/>
          </w:tcPr>
          <w:p w14:paraId="1A294E3B">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eastAsia" w:ascii="仿宋_GB2312" w:hAnsi="Arial" w:eastAsia="仿宋_GB2312" w:cs="仿宋_GB2312"/>
                <w:b w:val="0"/>
                <w:bCs/>
                <w:kern w:val="2"/>
                <w:sz w:val="21"/>
                <w:szCs w:val="21"/>
                <w:lang w:val="en-US" w:eastAsia="zh-CN" w:bidi="ar"/>
              </w:rPr>
              <w:t>法务审计部</w:t>
            </w:r>
          </w:p>
        </w:tc>
      </w:tr>
      <w:tr w14:paraId="4B1A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2D616BC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tcBorders>
              <w:top w:val="single" w:color="A4A4A4" w:sz="4" w:space="0"/>
              <w:left w:val="nil"/>
              <w:bottom w:val="single" w:color="A4A4A4" w:sz="4" w:space="0"/>
              <w:right w:val="single" w:color="A4A4A4" w:sz="4" w:space="0"/>
            </w:tcBorders>
            <w:shd w:val="clear" w:color="auto" w:fill="auto"/>
            <w:vAlign w:val="center"/>
          </w:tcPr>
          <w:p w14:paraId="1DB24A7B">
            <w:pPr>
              <w:keepNext w:val="0"/>
              <w:keepLines w:val="0"/>
              <w:widowControl w:val="0"/>
              <w:suppressLineNumbers w:val="0"/>
              <w:spacing w:before="0" w:beforeAutospacing="0" w:after="0" w:afterAutospacing="0"/>
              <w:ind w:left="0" w:leftChars="0" w:right="0" w:rightChars="0"/>
              <w:jc w:val="both"/>
              <w:rPr>
                <w:rFonts w:hint="default" w:ascii="仿宋_GB2312" w:hAnsi="Arial" w:eastAsia="仿宋_GB2312" w:cs="仿宋_GB2312"/>
                <w:b w:val="0"/>
                <w:bCs/>
                <w:kern w:val="2"/>
                <w:sz w:val="21"/>
                <w:szCs w:val="21"/>
                <w:lang w:val="en-US" w:eastAsia="zh-CN" w:bidi="ar"/>
              </w:rPr>
            </w:pPr>
            <w:r>
              <w:rPr>
                <w:rFonts w:hint="eastAsia" w:ascii="仿宋_GB2312" w:hAnsi="Arial" w:eastAsia="仿宋_GB2312" w:cs="仿宋_GB2312"/>
                <w:b w:val="0"/>
                <w:bCs/>
                <w:kern w:val="2"/>
                <w:sz w:val="21"/>
                <w:szCs w:val="21"/>
                <w:lang w:val="en-US" w:eastAsia="zh-CN" w:bidi="ar"/>
              </w:rPr>
              <w:t>保密审核部门</w:t>
            </w:r>
          </w:p>
        </w:tc>
        <w:tc>
          <w:tcPr>
            <w:tcW w:w="3375" w:type="dxa"/>
            <w:gridSpan w:val="2"/>
            <w:tcBorders>
              <w:top w:val="single" w:color="A4A4A4" w:sz="4" w:space="0"/>
              <w:left w:val="nil"/>
              <w:bottom w:val="single" w:color="A4A4A4" w:sz="4" w:space="0"/>
              <w:right w:val="nil"/>
            </w:tcBorders>
            <w:shd w:val="clear" w:color="auto" w:fill="auto"/>
            <w:vAlign w:val="center"/>
          </w:tcPr>
          <w:p w14:paraId="56FE3C59">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eastAsia" w:ascii="仿宋_GB2312" w:hAnsi="Arial" w:eastAsia="仿宋_GB2312" w:cs="仿宋_GB2312"/>
                <w:b w:val="0"/>
                <w:bCs/>
                <w:kern w:val="2"/>
                <w:sz w:val="21"/>
                <w:szCs w:val="21"/>
                <w:lang w:val="en-US" w:eastAsia="zh-CN" w:bidi="ar"/>
              </w:rPr>
              <w:t>保密管理部</w:t>
            </w:r>
          </w:p>
        </w:tc>
      </w:tr>
      <w:tr w14:paraId="566C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7DD4B72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restart"/>
            <w:tcBorders>
              <w:top w:val="single" w:color="A4A4A4" w:sz="4" w:space="0"/>
              <w:left w:val="nil"/>
              <w:right w:val="single" w:color="A4A4A4" w:sz="4" w:space="0"/>
            </w:tcBorders>
            <w:shd w:val="clear" w:color="auto" w:fill="auto"/>
            <w:vAlign w:val="center"/>
          </w:tcPr>
          <w:p w14:paraId="21257AB0">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kern w:val="2"/>
                <w:sz w:val="21"/>
                <w:szCs w:val="21"/>
              </w:rPr>
            </w:pPr>
            <w:r>
              <w:rPr>
                <w:rFonts w:hint="eastAsia" w:ascii="仿宋_GB2312" w:hAnsi="Arial" w:eastAsia="仿宋_GB2312" w:cs="仿宋_GB2312"/>
                <w:b w:val="0"/>
                <w:bCs/>
                <w:kern w:val="2"/>
                <w:sz w:val="21"/>
                <w:szCs w:val="21"/>
                <w:lang w:val="en-US" w:eastAsia="zh-CN" w:bidi="ar"/>
              </w:rPr>
              <w:t>业务关联部门</w:t>
            </w:r>
          </w:p>
        </w:tc>
        <w:tc>
          <w:tcPr>
            <w:tcW w:w="3375" w:type="dxa"/>
            <w:gridSpan w:val="2"/>
            <w:tcBorders>
              <w:top w:val="single" w:color="A4A4A4" w:sz="4" w:space="0"/>
              <w:left w:val="nil"/>
              <w:bottom w:val="single" w:color="A4A4A4" w:sz="4" w:space="0"/>
              <w:right w:val="nil"/>
            </w:tcBorders>
            <w:shd w:val="clear" w:color="auto" w:fill="auto"/>
            <w:vAlign w:val="center"/>
          </w:tcPr>
          <w:p w14:paraId="1B6E620B">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default" w:ascii="仿宋_GB2312" w:hAnsi="Arial" w:eastAsia="仿宋_GB2312" w:cs="仿宋_GB2312"/>
                <w:b w:val="0"/>
                <w:bCs/>
                <w:kern w:val="0"/>
                <w:sz w:val="21"/>
                <w:szCs w:val="21"/>
                <w:lang w:val="en-US" w:eastAsia="zh-CN" w:bidi="ar"/>
              </w:rPr>
              <w:t>战略发展部</w:t>
            </w:r>
          </w:p>
        </w:tc>
      </w:tr>
      <w:tr w14:paraId="4118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24D6758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right w:val="single" w:color="A4A4A4" w:sz="4" w:space="0"/>
            </w:tcBorders>
            <w:shd w:val="clear" w:color="auto" w:fill="auto"/>
            <w:vAlign w:val="center"/>
          </w:tcPr>
          <w:p w14:paraId="4240FF1F">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b w:val="0"/>
                <w:bCs/>
                <w:kern w:val="0"/>
                <w:sz w:val="21"/>
                <w:szCs w:val="21"/>
                <w:lang w:val="en-US" w:eastAsia="zh-CN" w:bidi="ar"/>
              </w:rPr>
            </w:pPr>
          </w:p>
        </w:tc>
        <w:tc>
          <w:tcPr>
            <w:tcW w:w="3375" w:type="dxa"/>
            <w:gridSpan w:val="2"/>
            <w:tcBorders>
              <w:top w:val="single" w:color="A4A4A4" w:sz="4" w:space="0"/>
              <w:left w:val="nil"/>
              <w:bottom w:val="single" w:color="A4A4A4" w:sz="4" w:space="0"/>
              <w:right w:val="nil"/>
            </w:tcBorders>
            <w:shd w:val="clear" w:color="auto" w:fill="auto"/>
            <w:vAlign w:val="center"/>
          </w:tcPr>
          <w:p w14:paraId="0597FCF0">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default" w:ascii="仿宋_GB2312" w:hAnsi="Arial" w:eastAsia="仿宋_GB2312" w:cs="仿宋_GB2312"/>
                <w:b w:val="0"/>
                <w:bCs/>
                <w:kern w:val="0"/>
                <w:sz w:val="21"/>
                <w:szCs w:val="21"/>
                <w:lang w:val="en-US" w:eastAsia="zh-CN" w:bidi="ar"/>
              </w:rPr>
              <w:t>组织人事部</w:t>
            </w:r>
          </w:p>
        </w:tc>
      </w:tr>
      <w:tr w14:paraId="765B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60DA664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right w:val="single" w:color="A4A4A4" w:sz="4" w:space="0"/>
            </w:tcBorders>
            <w:shd w:val="clear" w:color="auto" w:fill="auto"/>
            <w:vAlign w:val="center"/>
          </w:tcPr>
          <w:p w14:paraId="5CBABB93">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b w:val="0"/>
                <w:bCs/>
                <w:kern w:val="0"/>
                <w:sz w:val="21"/>
                <w:szCs w:val="21"/>
                <w:lang w:val="en-US" w:eastAsia="zh-CN" w:bidi="ar"/>
              </w:rPr>
            </w:pPr>
          </w:p>
        </w:tc>
        <w:tc>
          <w:tcPr>
            <w:tcW w:w="3375" w:type="dxa"/>
            <w:gridSpan w:val="2"/>
            <w:tcBorders>
              <w:top w:val="single" w:color="A4A4A4" w:sz="4" w:space="0"/>
              <w:left w:val="nil"/>
              <w:bottom w:val="single" w:color="A4A4A4" w:sz="4" w:space="0"/>
              <w:right w:val="nil"/>
            </w:tcBorders>
            <w:shd w:val="clear" w:color="auto" w:fill="auto"/>
            <w:vAlign w:val="center"/>
          </w:tcPr>
          <w:p w14:paraId="1E84A9D0">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default" w:ascii="仿宋_GB2312" w:hAnsi="Arial" w:eastAsia="仿宋_GB2312" w:cs="仿宋_GB2312"/>
                <w:b w:val="0"/>
                <w:bCs/>
                <w:kern w:val="0"/>
                <w:sz w:val="21"/>
                <w:szCs w:val="21"/>
                <w:lang w:val="en-US" w:eastAsia="zh-CN" w:bidi="ar"/>
              </w:rPr>
              <w:t>董事会办公室</w:t>
            </w:r>
          </w:p>
        </w:tc>
      </w:tr>
      <w:tr w14:paraId="4849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7964A09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right w:val="single" w:color="A4A4A4" w:sz="4" w:space="0"/>
            </w:tcBorders>
            <w:shd w:val="clear" w:color="auto" w:fill="auto"/>
            <w:vAlign w:val="center"/>
          </w:tcPr>
          <w:p w14:paraId="0BC3C81B">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b w:val="0"/>
                <w:bCs/>
                <w:kern w:val="0"/>
                <w:sz w:val="21"/>
                <w:szCs w:val="21"/>
                <w:lang w:val="en-US" w:eastAsia="zh-CN" w:bidi="ar"/>
              </w:rPr>
            </w:pPr>
          </w:p>
        </w:tc>
        <w:tc>
          <w:tcPr>
            <w:tcW w:w="3375" w:type="dxa"/>
            <w:gridSpan w:val="2"/>
            <w:tcBorders>
              <w:top w:val="single" w:color="A4A4A4" w:sz="4" w:space="0"/>
              <w:left w:val="nil"/>
              <w:bottom w:val="single" w:color="A4A4A4" w:sz="4" w:space="0"/>
              <w:right w:val="nil"/>
            </w:tcBorders>
            <w:shd w:val="clear" w:color="auto" w:fill="auto"/>
            <w:vAlign w:val="center"/>
          </w:tcPr>
          <w:p w14:paraId="1BD1A7EA">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default" w:ascii="仿宋_GB2312" w:hAnsi="Arial" w:eastAsia="仿宋_GB2312" w:cs="仿宋_GB2312"/>
                <w:b w:val="0"/>
                <w:bCs/>
                <w:kern w:val="0"/>
                <w:sz w:val="21"/>
                <w:szCs w:val="21"/>
                <w:lang w:val="en-US" w:eastAsia="zh-CN" w:bidi="ar"/>
              </w:rPr>
              <w:t>科技管理部</w:t>
            </w:r>
          </w:p>
        </w:tc>
      </w:tr>
      <w:tr w14:paraId="2C0A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01AE99D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right w:val="single" w:color="A4A4A4" w:sz="4" w:space="0"/>
            </w:tcBorders>
            <w:shd w:val="clear" w:color="auto" w:fill="auto"/>
            <w:vAlign w:val="center"/>
          </w:tcPr>
          <w:p w14:paraId="32A8FE0A">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lang w:val="en-US" w:eastAsia="zh-CN"/>
              </w:rPr>
            </w:pPr>
          </w:p>
        </w:tc>
        <w:tc>
          <w:tcPr>
            <w:tcW w:w="3375" w:type="dxa"/>
            <w:gridSpan w:val="2"/>
            <w:tcBorders>
              <w:top w:val="single" w:color="A4A4A4" w:sz="4" w:space="0"/>
              <w:left w:val="nil"/>
              <w:bottom w:val="single" w:color="A4A4A4" w:sz="4" w:space="0"/>
              <w:right w:val="nil"/>
            </w:tcBorders>
            <w:shd w:val="clear" w:color="auto" w:fill="auto"/>
            <w:vAlign w:val="center"/>
          </w:tcPr>
          <w:p w14:paraId="3A7D7604">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rPr>
            </w:pPr>
            <w:r>
              <w:rPr>
                <w:rFonts w:hint="default" w:ascii="仿宋_GB2312" w:hAnsi="Arial" w:eastAsia="仿宋_GB2312" w:cs="仿宋_GB2312"/>
                <w:b w:val="0"/>
                <w:bCs/>
                <w:kern w:val="0"/>
                <w:sz w:val="21"/>
                <w:szCs w:val="21"/>
                <w:lang w:val="en-US" w:eastAsia="zh-CN" w:bidi="ar"/>
              </w:rPr>
              <w:t>数字化部</w:t>
            </w:r>
          </w:p>
        </w:tc>
      </w:tr>
      <w:tr w14:paraId="5A6E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41444F8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right w:val="single" w:color="A4A4A4" w:sz="4" w:space="0"/>
            </w:tcBorders>
            <w:shd w:val="clear" w:color="auto" w:fill="auto"/>
            <w:vAlign w:val="center"/>
          </w:tcPr>
          <w:p w14:paraId="17874858">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lang w:val="en-US" w:eastAsia="zh-CN"/>
              </w:rPr>
            </w:pPr>
          </w:p>
        </w:tc>
        <w:tc>
          <w:tcPr>
            <w:tcW w:w="3375" w:type="dxa"/>
            <w:gridSpan w:val="2"/>
            <w:tcBorders>
              <w:top w:val="single" w:color="A4A4A4" w:sz="4" w:space="0"/>
              <w:left w:val="nil"/>
              <w:bottom w:val="single" w:color="A4A4A4" w:sz="4" w:space="0"/>
              <w:right w:val="nil"/>
            </w:tcBorders>
            <w:shd w:val="clear" w:color="auto" w:fill="auto"/>
            <w:vAlign w:val="center"/>
          </w:tcPr>
          <w:p w14:paraId="231E0765">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lang w:val="en-US" w:eastAsia="zh-CN"/>
              </w:rPr>
            </w:pPr>
            <w:r>
              <w:rPr>
                <w:rFonts w:hint="default" w:ascii="仿宋_GB2312" w:hAnsi="Arial" w:eastAsia="仿宋_GB2312" w:cs="仿宋_GB2312"/>
                <w:b w:val="0"/>
                <w:bCs/>
                <w:kern w:val="0"/>
                <w:sz w:val="21"/>
                <w:szCs w:val="21"/>
                <w:lang w:val="en-US" w:eastAsia="zh-CN" w:bidi="ar"/>
              </w:rPr>
              <w:t>财务管理部</w:t>
            </w:r>
          </w:p>
        </w:tc>
      </w:tr>
      <w:tr w14:paraId="61F6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7951E1B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489" w:type="dxa"/>
            <w:gridSpan w:val="2"/>
            <w:vMerge w:val="continue"/>
            <w:tcBorders>
              <w:left w:val="nil"/>
              <w:bottom w:val="single" w:color="A4A4A4" w:sz="4" w:space="0"/>
              <w:right w:val="single" w:color="A4A4A4" w:sz="4" w:space="0"/>
            </w:tcBorders>
            <w:shd w:val="clear" w:color="auto" w:fill="auto"/>
            <w:vAlign w:val="center"/>
          </w:tcPr>
          <w:p w14:paraId="15260BD6">
            <w:pPr>
              <w:keepNext w:val="0"/>
              <w:keepLines w:val="0"/>
              <w:widowControl w:val="0"/>
              <w:suppressLineNumbers w:val="0"/>
              <w:spacing w:before="0" w:beforeAutospacing="0" w:after="0" w:afterAutospacing="0"/>
              <w:ind w:left="0" w:right="0"/>
              <w:jc w:val="both"/>
              <w:rPr>
                <w:rFonts w:hint="default" w:ascii="仿宋_GB2312" w:hAnsi="Arial" w:eastAsia="仿宋_GB2312" w:cs="仿宋_GB2312"/>
                <w:b w:val="0"/>
                <w:bCs/>
                <w:kern w:val="0"/>
                <w:sz w:val="21"/>
                <w:szCs w:val="21"/>
                <w:lang w:val="en-US" w:eastAsia="zh-CN" w:bidi="ar"/>
              </w:rPr>
            </w:pPr>
          </w:p>
        </w:tc>
        <w:tc>
          <w:tcPr>
            <w:tcW w:w="3375" w:type="dxa"/>
            <w:gridSpan w:val="2"/>
            <w:tcBorders>
              <w:top w:val="single" w:color="A4A4A4" w:sz="4" w:space="0"/>
              <w:left w:val="nil"/>
              <w:bottom w:val="single" w:color="A4A4A4" w:sz="4" w:space="0"/>
              <w:right w:val="nil"/>
            </w:tcBorders>
            <w:shd w:val="clear" w:color="auto" w:fill="auto"/>
            <w:vAlign w:val="center"/>
          </w:tcPr>
          <w:p w14:paraId="36F52DE6">
            <w:pPr>
              <w:keepNext w:val="0"/>
              <w:keepLines w:val="0"/>
              <w:widowControl w:val="0"/>
              <w:suppressLineNumbers w:val="0"/>
              <w:spacing w:before="0" w:beforeAutospacing="0" w:after="0" w:afterAutospacing="0"/>
              <w:ind w:left="0" w:leftChars="0" w:right="0" w:rightChars="0"/>
              <w:jc w:val="both"/>
              <w:rPr>
                <w:rFonts w:hint="default" w:ascii="Arial" w:hAnsi="Arial" w:eastAsia="仿宋_GB2312" w:cs="Times New Roman"/>
                <w:b w:val="0"/>
                <w:bCs/>
                <w:sz w:val="21"/>
                <w:szCs w:val="21"/>
                <w:lang w:val="en-US" w:eastAsia="zh-CN"/>
              </w:rPr>
            </w:pPr>
            <w:r>
              <w:rPr>
                <w:rFonts w:hint="default" w:ascii="仿宋_GB2312" w:hAnsi="Arial" w:eastAsia="仿宋_GB2312" w:cs="仿宋_GB2312"/>
                <w:b w:val="0"/>
                <w:bCs/>
                <w:kern w:val="0"/>
                <w:sz w:val="21"/>
                <w:szCs w:val="21"/>
                <w:lang w:val="en-US" w:eastAsia="zh-CN" w:bidi="ar"/>
              </w:rPr>
              <w:t>法务审计部</w:t>
            </w:r>
          </w:p>
        </w:tc>
      </w:tr>
      <w:tr w14:paraId="29E0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1753" w:type="dxa"/>
            <w:vMerge w:val="continue"/>
            <w:tcBorders>
              <w:top w:val="nil"/>
              <w:left w:val="nil"/>
              <w:bottom w:val="single" w:color="A4A4A4" w:sz="4" w:space="0"/>
              <w:right w:val="single" w:color="A4A4A4" w:sz="4" w:space="0"/>
            </w:tcBorders>
            <w:shd w:val="clear" w:color="auto" w:fill="auto"/>
            <w:vAlign w:val="center"/>
          </w:tcPr>
          <w:p w14:paraId="5DD0201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6864" w:type="dxa"/>
            <w:gridSpan w:val="4"/>
            <w:tcBorders>
              <w:top w:val="single" w:color="A4A4A4" w:sz="4" w:space="0"/>
              <w:left w:val="nil"/>
              <w:bottom w:val="single" w:color="A4A4A4" w:sz="4" w:space="0"/>
              <w:right w:val="nil"/>
            </w:tcBorders>
            <w:shd w:val="clear" w:color="auto" w:fill="auto"/>
            <w:vAlign w:val="center"/>
          </w:tcPr>
          <w:p w14:paraId="536F88D4">
            <w:pPr>
              <w:keepNext w:val="0"/>
              <w:keepLines w:val="0"/>
              <w:widowControl w:val="0"/>
              <w:suppressLineNumbers w:val="0"/>
              <w:spacing w:before="0" w:beforeAutospacing="0" w:after="0" w:afterAutospacing="0" w:line="360" w:lineRule="exact"/>
              <w:ind w:left="0" w:right="0"/>
              <w:jc w:val="both"/>
              <w:rPr>
                <w:rFonts w:hint="default" w:ascii="仿宋_GB2312" w:hAnsi="Calibri" w:eastAsia="仿宋_GB2312" w:cs="Times New Roman"/>
                <w:sz w:val="21"/>
                <w:szCs w:val="21"/>
              </w:rPr>
            </w:pPr>
            <w:r>
              <w:rPr>
                <w:rFonts w:hint="default" w:ascii="仿宋_GB2312" w:hAnsi="Calibri" w:eastAsia="仿宋_GB2312" w:cs="仿宋_GB2312"/>
                <w:b/>
                <w:bCs/>
                <w:kern w:val="0"/>
                <w:sz w:val="21"/>
                <w:szCs w:val="21"/>
                <w:lang w:val="en-US" w:eastAsia="zh-CN" w:bidi="ar"/>
              </w:rPr>
              <w:t>新增：</w:t>
            </w:r>
            <w:r>
              <w:rPr>
                <w:rFonts w:hint="eastAsia" w:ascii="仿宋_GB2312" w:hAnsi="Calibri" w:eastAsia="仿宋_GB2312" w:cs="仿宋_GB2312"/>
                <w:b w:val="0"/>
                <w:bCs w:val="0"/>
                <w:kern w:val="0"/>
                <w:sz w:val="21"/>
                <w:szCs w:val="21"/>
                <w:lang w:val="en-US" w:eastAsia="zh-CN" w:bidi="ar"/>
              </w:rPr>
              <w:t>2024</w:t>
            </w:r>
            <w:r>
              <w:rPr>
                <w:rFonts w:hint="default" w:ascii="仿宋_GB2312" w:hAnsi="Calibri" w:eastAsia="仿宋_GB2312" w:cs="仿宋_GB2312"/>
                <w:b w:val="0"/>
                <w:bCs w:val="0"/>
                <w:kern w:val="0"/>
                <w:sz w:val="21"/>
                <w:szCs w:val="21"/>
                <w:lang w:val="en-US" w:eastAsia="zh-CN" w:bidi="ar"/>
              </w:rPr>
              <w:t>年</w:t>
            </w:r>
            <w:r>
              <w:rPr>
                <w:rFonts w:hint="eastAsia" w:ascii="仿宋_GB2312" w:hAnsi="Calibri" w:eastAsia="仿宋_GB2312" w:cs="仿宋_GB2312"/>
                <w:b w:val="0"/>
                <w:bCs w:val="0"/>
                <w:kern w:val="0"/>
                <w:sz w:val="21"/>
                <w:szCs w:val="21"/>
                <w:lang w:val="en-US" w:eastAsia="zh-CN" w:bidi="ar"/>
              </w:rPr>
              <w:t>7</w:t>
            </w:r>
            <w:r>
              <w:rPr>
                <w:rFonts w:hint="default" w:ascii="仿宋_GB2312" w:hAnsi="Calibri" w:eastAsia="仿宋_GB2312" w:cs="仿宋_GB2312"/>
                <w:b w:val="0"/>
                <w:bCs w:val="0"/>
                <w:kern w:val="0"/>
                <w:sz w:val="21"/>
                <w:szCs w:val="21"/>
                <w:lang w:val="en-US" w:eastAsia="zh-CN" w:bidi="ar"/>
              </w:rPr>
              <w:t>月</w:t>
            </w:r>
            <w:r>
              <w:rPr>
                <w:rFonts w:hint="eastAsia" w:ascii="仿宋_GB2312" w:hAnsi="Calibri" w:eastAsia="仿宋_GB2312" w:cs="仿宋_GB2312"/>
                <w:b w:val="0"/>
                <w:bCs w:val="0"/>
                <w:kern w:val="0"/>
                <w:sz w:val="21"/>
                <w:szCs w:val="21"/>
                <w:lang w:val="en-US" w:eastAsia="zh-CN" w:bidi="ar"/>
              </w:rPr>
              <w:t>26</w:t>
            </w:r>
            <w:r>
              <w:rPr>
                <w:rFonts w:hint="default" w:ascii="仿宋_GB2312" w:hAnsi="Calibri" w:eastAsia="仿宋_GB2312" w:cs="仿宋_GB2312"/>
                <w:b w:val="0"/>
                <w:bCs w:val="0"/>
                <w:kern w:val="0"/>
                <w:sz w:val="21"/>
                <w:szCs w:val="21"/>
                <w:lang w:val="en-US" w:eastAsia="zh-CN" w:bidi="ar"/>
              </w:rPr>
              <w:t>日经</w:t>
            </w:r>
            <w:r>
              <w:rPr>
                <w:rFonts w:hint="eastAsia" w:ascii="仿宋_GB2312" w:hAnsi="Calibri" w:eastAsia="仿宋_GB2312" w:cs="仿宋_GB2312"/>
                <w:b w:val="0"/>
                <w:bCs w:val="0"/>
                <w:kern w:val="0"/>
                <w:sz w:val="21"/>
                <w:szCs w:val="21"/>
                <w:lang w:val="en-US" w:eastAsia="zh-CN" w:bidi="ar"/>
              </w:rPr>
              <w:t>董事会</w:t>
            </w:r>
            <w:r>
              <w:rPr>
                <w:rFonts w:hint="default" w:ascii="仿宋_GB2312" w:hAnsi="Calibri" w:eastAsia="仿宋_GB2312" w:cs="仿宋_GB2312"/>
                <w:kern w:val="0"/>
                <w:sz w:val="21"/>
                <w:szCs w:val="21"/>
                <w:lang w:val="en-US" w:eastAsia="zh-CN" w:bidi="ar"/>
              </w:rPr>
              <w:t>审批通过，</w:t>
            </w:r>
            <w:r>
              <w:rPr>
                <w:rFonts w:hint="default" w:ascii="仿宋_GB2312" w:hAnsi="Calibri" w:eastAsia="仿宋_GB2312" w:cs="仿宋_GB2312"/>
                <w:b w:val="0"/>
                <w:bCs w:val="0"/>
                <w:kern w:val="0"/>
                <w:sz w:val="21"/>
                <w:szCs w:val="21"/>
                <w:lang w:val="en-US" w:eastAsia="zh-CN" w:bidi="ar"/>
              </w:rPr>
              <w:t>于</w:t>
            </w:r>
            <w:r>
              <w:rPr>
                <w:rFonts w:hint="eastAsia" w:ascii="仿宋_GB2312" w:hAnsi="Calibri" w:eastAsia="仿宋_GB2312" w:cs="仿宋_GB2312"/>
                <w:b w:val="0"/>
                <w:bCs w:val="0"/>
                <w:kern w:val="0"/>
                <w:sz w:val="21"/>
                <w:szCs w:val="21"/>
                <w:lang w:val="en-US" w:eastAsia="zh-CN" w:bidi="ar"/>
              </w:rPr>
              <w:t>2024</w:t>
            </w:r>
            <w:r>
              <w:rPr>
                <w:rFonts w:hint="default" w:ascii="仿宋_GB2312" w:hAnsi="Calibri" w:eastAsia="仿宋_GB2312" w:cs="仿宋_GB2312"/>
                <w:b w:val="0"/>
                <w:bCs w:val="0"/>
                <w:kern w:val="0"/>
                <w:sz w:val="21"/>
                <w:szCs w:val="21"/>
                <w:lang w:val="en-US" w:eastAsia="zh-CN" w:bidi="ar"/>
              </w:rPr>
              <w:t>年</w:t>
            </w:r>
            <w:r>
              <w:rPr>
                <w:rFonts w:hint="eastAsia" w:ascii="仿宋_GB2312" w:hAnsi="Calibri" w:eastAsia="仿宋_GB2312" w:cs="仿宋_GB2312"/>
                <w:b w:val="0"/>
                <w:bCs w:val="0"/>
                <w:kern w:val="0"/>
                <w:sz w:val="21"/>
                <w:szCs w:val="21"/>
                <w:lang w:val="en-US" w:eastAsia="zh-CN" w:bidi="ar"/>
              </w:rPr>
              <w:t>7</w:t>
            </w:r>
            <w:r>
              <w:rPr>
                <w:rFonts w:hint="default" w:ascii="仿宋_GB2312" w:hAnsi="Calibri" w:eastAsia="仿宋_GB2312" w:cs="仿宋_GB2312"/>
                <w:b w:val="0"/>
                <w:bCs w:val="0"/>
                <w:kern w:val="0"/>
                <w:sz w:val="21"/>
                <w:szCs w:val="21"/>
                <w:lang w:val="en-US" w:eastAsia="zh-CN" w:bidi="ar"/>
              </w:rPr>
              <w:t>月</w:t>
            </w:r>
            <w:r>
              <w:rPr>
                <w:rFonts w:hint="eastAsia" w:ascii="仿宋_GB2312" w:hAnsi="Calibri" w:eastAsia="仿宋_GB2312" w:cs="Times New Roman"/>
                <w:b w:val="0"/>
                <w:bCs w:val="0"/>
                <w:kern w:val="0"/>
                <w:sz w:val="21"/>
                <w:szCs w:val="21"/>
                <w:lang w:val="en-US" w:eastAsia="zh-CN" w:bidi="ar"/>
              </w:rPr>
              <w:t>29</w:t>
            </w:r>
            <w:r>
              <w:rPr>
                <w:rFonts w:hint="default" w:ascii="仿宋_GB2312" w:hAnsi="Calibri" w:eastAsia="仿宋_GB2312" w:cs="仿宋_GB2312"/>
                <w:b w:val="0"/>
                <w:bCs w:val="0"/>
                <w:kern w:val="0"/>
                <w:sz w:val="21"/>
                <w:szCs w:val="21"/>
                <w:lang w:val="en-US" w:eastAsia="zh-CN" w:bidi="ar"/>
              </w:rPr>
              <w:t>日</w:t>
            </w:r>
            <w:r>
              <w:rPr>
                <w:rFonts w:hint="default" w:ascii="仿宋_GB2312" w:hAnsi="Calibri" w:eastAsia="仿宋_GB2312" w:cs="仿宋_GB2312"/>
                <w:kern w:val="0"/>
                <w:sz w:val="21"/>
                <w:szCs w:val="21"/>
                <w:lang w:val="en-US" w:eastAsia="zh-CN" w:bidi="ar"/>
              </w:rPr>
              <w:t>起施行。</w:t>
            </w:r>
          </w:p>
        </w:tc>
      </w:tr>
    </w:tbl>
    <w:p w14:paraId="09041E0F">
      <w:pPr>
        <w:ind w:firstLine="464"/>
        <w:jc w:val="center"/>
        <w:rPr>
          <w:rFonts w:ascii="Arial" w:hAnsi="Arial" w:cs="Arial"/>
        </w:rPr>
      </w:pPr>
    </w:p>
    <w:p w14:paraId="48805CBC">
      <w:pPr>
        <w:ind w:firstLine="464"/>
        <w:jc w:val="center"/>
        <w:rPr>
          <w:rFonts w:ascii="Arial" w:hAnsi="Arial" w:cs="Arial"/>
        </w:rPr>
      </w:pPr>
    </w:p>
    <w:p w14:paraId="7C232847">
      <w:pPr>
        <w:ind w:firstLine="464"/>
        <w:jc w:val="right"/>
        <w:rPr>
          <w:rFonts w:ascii="Arial" w:hAnsi="Arial" w:cs="Arial"/>
        </w:rPr>
      </w:pPr>
    </w:p>
    <w:p w14:paraId="544C647A">
      <w:pPr>
        <w:ind w:firstLine="464"/>
        <w:jc w:val="center"/>
        <w:rPr>
          <w:rFonts w:ascii="Arial" w:hAnsi="Arial" w:cs="Arial"/>
        </w:rPr>
        <w:sectPr>
          <w:headerReference r:id="rId6" w:type="default"/>
          <w:footerReference r:id="rId8" w:type="default"/>
          <w:headerReference r:id="rId7" w:type="even"/>
          <w:footerReference r:id="rId9" w:type="even"/>
          <w:pgSz w:w="11906" w:h="16838"/>
          <w:pgMar w:top="2041" w:right="1531" w:bottom="2041" w:left="1531" w:header="851" w:footer="992" w:gutter="0"/>
          <w:pgNumType w:fmt="upperRoman" w:start="1"/>
          <w:cols w:space="720" w:num="1"/>
          <w:docGrid w:type="lines" w:linePitch="312" w:charSpace="0"/>
        </w:sectPr>
      </w:pPr>
    </w:p>
    <w:sdt>
      <w:sdtPr>
        <w:rPr>
          <w:rFonts w:hint="eastAsia" w:ascii="黑体" w:hAnsi="黑体" w:eastAsia="黑体" w:cs="黑体"/>
          <w:sz w:val="32"/>
          <w:szCs w:val="32"/>
        </w:rPr>
        <w:id w:val="147461296"/>
        <w15:color w:val="DBDBDB"/>
        <w:docPartObj>
          <w:docPartGallery w:val="Table of Contents"/>
          <w:docPartUnique/>
        </w:docPartObj>
      </w:sdtPr>
      <w:sdtEndPr>
        <w:rPr>
          <w:rFonts w:hint="eastAsia" w:ascii="Arial" w:hAnsi="Arial" w:eastAsia="黑体" w:cs="Arial"/>
          <w:sz w:val="21"/>
          <w:szCs w:val="32"/>
        </w:rPr>
      </w:sdtEndPr>
      <w:sdtContent>
        <w:p w14:paraId="78D79731">
          <w:pPr>
            <w:ind w:firstLine="619"/>
            <w:jc w:val="center"/>
            <w:rPr>
              <w:rFonts w:hint="eastAsia" w:ascii="黑体" w:hAnsi="黑体" w:eastAsia="黑体" w:cs="黑体"/>
              <w:sz w:val="32"/>
              <w:szCs w:val="32"/>
            </w:rPr>
          </w:pPr>
          <w:r>
            <w:rPr>
              <w:rFonts w:hint="eastAsia" w:ascii="黑体" w:hAnsi="黑体" w:eastAsia="黑体" w:cs="黑体"/>
              <w:sz w:val="32"/>
              <w:szCs w:val="32"/>
            </w:rPr>
            <w:t>目  录</w:t>
          </w:r>
        </w:p>
        <w:p w14:paraId="5620CA2D">
          <w:pPr>
            <w:pStyle w:val="8"/>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ascii="Arial" w:hAnsi="Arial" w:eastAsia="黑体" w:cs="Arial"/>
              <w:sz w:val="32"/>
              <w:szCs w:val="32"/>
            </w:rPr>
            <w:fldChar w:fldCharType="begin"/>
          </w:r>
          <w:r>
            <w:rPr>
              <w:rFonts w:ascii="Arial" w:hAnsi="Arial" w:eastAsia="黑体" w:cs="Arial"/>
              <w:sz w:val="32"/>
              <w:szCs w:val="32"/>
            </w:rPr>
            <w:instrText xml:space="preserve">TOC \o "1-1" \h \u </w:instrText>
          </w:r>
          <w:r>
            <w:rPr>
              <w:rFonts w:ascii="Arial" w:hAnsi="Arial" w:eastAsia="黑体" w:cs="Arial"/>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_Toc5821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0"/>
              <w:sz w:val="32"/>
              <w:szCs w:val="32"/>
              <w:lang w:val="zh-CN" w:eastAsia="zh-CN" w:bidi="zh-CN"/>
            </w:rPr>
            <w:t>第一章  总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p>
        <w:p w14:paraId="6B803766">
          <w:pPr>
            <w:pStyle w:val="8"/>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_Toc7205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0"/>
              <w:sz w:val="32"/>
              <w:szCs w:val="32"/>
              <w:lang w:val="zh-CN" w:eastAsia="zh-CN" w:bidi="zh-CN"/>
            </w:rPr>
            <w:t>第二章  组织与职责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_Toc7205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06416AE">
          <w:pPr>
            <w:pStyle w:val="8"/>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0"/>
              <w:sz w:val="32"/>
              <w:szCs w:val="32"/>
              <w:lang w:val="zh-CN" w:eastAsia="zh-CN" w:bidi="zh-CN"/>
            </w:rPr>
            <w:t>第三章  投后管理实施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FF51860">
          <w:pPr>
            <w:pStyle w:val="8"/>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_Toc22091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0"/>
              <w:sz w:val="32"/>
              <w:szCs w:val="32"/>
              <w:lang w:val="zh-CN" w:eastAsia="zh-CN" w:bidi="zh-CN"/>
            </w:rPr>
            <w:t>第四章  考核与监督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_Toc22091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1A4A18F">
          <w:pPr>
            <w:pStyle w:val="8"/>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_Toc3924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kern w:val="0"/>
              <w:sz w:val="32"/>
              <w:szCs w:val="32"/>
              <w:lang w:val="zh-CN" w:eastAsia="zh-CN" w:bidi="zh-CN"/>
            </w:rPr>
            <w:t>第五章  附  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_Toc3924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0B4DEA0">
          <w:pPr>
            <w:adjustRightInd w:val="0"/>
            <w:snapToGrid w:val="0"/>
            <w:spacing w:after="156" w:afterLines="50" w:line="560" w:lineRule="exact"/>
            <w:ind w:firstLine="464"/>
            <w:jc w:val="center"/>
            <w:rPr>
              <w:rFonts w:ascii="Arial" w:hAnsi="Arial" w:eastAsia="黑体" w:cs="Arial"/>
              <w:sz w:val="32"/>
              <w:szCs w:val="32"/>
            </w:rPr>
          </w:pPr>
          <w:r>
            <w:rPr>
              <w:rFonts w:ascii="Arial" w:hAnsi="Arial" w:eastAsia="黑体" w:cs="Arial"/>
              <w:szCs w:val="32"/>
            </w:rPr>
            <w:fldChar w:fldCharType="end"/>
          </w:r>
        </w:p>
      </w:sdtContent>
    </w:sdt>
    <w:p w14:paraId="627703F4">
      <w:pPr>
        <w:adjustRightInd w:val="0"/>
        <w:snapToGrid w:val="0"/>
        <w:spacing w:after="156" w:afterLines="50" w:line="560" w:lineRule="exact"/>
        <w:jc w:val="center"/>
        <w:rPr>
          <w:rFonts w:ascii="Arial" w:hAnsi="Arial" w:eastAsia="黑体" w:cs="Arial"/>
          <w:sz w:val="32"/>
          <w:szCs w:val="32"/>
        </w:rPr>
      </w:pPr>
    </w:p>
    <w:p w14:paraId="14A55BE9">
      <w:pPr>
        <w:adjustRightInd w:val="0"/>
        <w:snapToGrid w:val="0"/>
        <w:spacing w:after="156" w:afterLines="50" w:line="560" w:lineRule="exact"/>
        <w:jc w:val="center"/>
        <w:rPr>
          <w:rFonts w:ascii="Arial" w:hAnsi="Arial" w:eastAsia="黑体" w:cs="Arial"/>
          <w:sz w:val="32"/>
          <w:szCs w:val="32"/>
        </w:rPr>
      </w:pPr>
    </w:p>
    <w:p w14:paraId="2C93CD89">
      <w:pPr>
        <w:adjustRightInd w:val="0"/>
        <w:snapToGrid w:val="0"/>
        <w:spacing w:after="156" w:afterLines="50" w:line="560" w:lineRule="exact"/>
        <w:jc w:val="center"/>
        <w:rPr>
          <w:rFonts w:ascii="Arial" w:hAnsi="Arial" w:eastAsia="黑体" w:cs="Arial"/>
          <w:sz w:val="32"/>
          <w:szCs w:val="32"/>
        </w:rPr>
      </w:pPr>
    </w:p>
    <w:p w14:paraId="6CA29436">
      <w:pPr>
        <w:adjustRightInd w:val="0"/>
        <w:snapToGrid w:val="0"/>
        <w:spacing w:after="156" w:afterLines="50" w:line="560" w:lineRule="exact"/>
        <w:jc w:val="center"/>
        <w:rPr>
          <w:rFonts w:ascii="Arial" w:hAnsi="Arial" w:eastAsia="黑体" w:cs="Arial"/>
          <w:sz w:val="32"/>
          <w:szCs w:val="32"/>
        </w:rPr>
      </w:pPr>
    </w:p>
    <w:p w14:paraId="671C460C">
      <w:pPr>
        <w:adjustRightInd w:val="0"/>
        <w:snapToGrid w:val="0"/>
        <w:spacing w:after="156" w:afterLines="50" w:line="560" w:lineRule="exact"/>
        <w:jc w:val="center"/>
        <w:rPr>
          <w:rFonts w:ascii="Arial" w:hAnsi="Arial" w:eastAsia="黑体" w:cs="Arial"/>
          <w:sz w:val="32"/>
          <w:szCs w:val="32"/>
        </w:rPr>
      </w:pPr>
    </w:p>
    <w:p w14:paraId="11F48D7B">
      <w:pPr>
        <w:adjustRightInd w:val="0"/>
        <w:snapToGrid w:val="0"/>
        <w:spacing w:after="156" w:afterLines="50" w:line="560" w:lineRule="exact"/>
        <w:jc w:val="center"/>
        <w:rPr>
          <w:rFonts w:ascii="Arial" w:hAnsi="Arial" w:eastAsia="黑体" w:cs="Arial"/>
          <w:sz w:val="32"/>
          <w:szCs w:val="32"/>
        </w:rPr>
      </w:pPr>
    </w:p>
    <w:p w14:paraId="2A8F56A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sz w:val="32"/>
          <w:szCs w:val="32"/>
        </w:rPr>
      </w:pPr>
    </w:p>
    <w:p w14:paraId="0E40C49A">
      <w:pPr>
        <w:keepNext w:val="0"/>
        <w:keepLines w:val="0"/>
        <w:pageBreakBefore w:val="0"/>
        <w:widowControl w:val="0"/>
        <w:kinsoku/>
        <w:wordWrap/>
        <w:overflowPunct/>
        <w:topLinePunct w:val="0"/>
        <w:autoSpaceDE/>
        <w:autoSpaceDN/>
        <w:bidi w:val="0"/>
        <w:adjustRightInd w:val="0"/>
        <w:snapToGrid w:val="0"/>
        <w:spacing w:line="560" w:lineRule="exact"/>
        <w:ind w:left="0" w:firstLine="0"/>
        <w:jc w:val="left"/>
        <w:textAlignment w:val="auto"/>
        <w:rPr>
          <w:rFonts w:ascii="Arial" w:hAnsi="Arial" w:eastAsia="等线" w:cs="Arial"/>
          <w:sz w:val="22"/>
        </w:rPr>
        <w:sectPr>
          <w:footerReference r:id="rId10" w:type="default"/>
          <w:pgSz w:w="11905" w:h="16840"/>
          <w:pgMar w:top="2098" w:right="1474" w:bottom="1984" w:left="1587" w:header="720" w:footer="1417" w:gutter="0"/>
          <w:pgNumType w:fmt="decimal"/>
          <w:cols w:space="720" w:num="1"/>
        </w:sectPr>
      </w:pPr>
    </w:p>
    <w:p w14:paraId="40F29322">
      <w:pPr>
        <w:keepNext w:val="0"/>
        <w:keepLines w:val="0"/>
        <w:pageBreakBefore w:val="0"/>
        <w:widowControl w:val="0"/>
        <w:tabs>
          <w:tab w:val="left" w:pos="1289"/>
          <w:tab w:val="left" w:pos="1919"/>
        </w:tabs>
        <w:kinsoku/>
        <w:wordWrap/>
        <w:overflowPunct/>
        <w:topLinePunct w:val="0"/>
        <w:autoSpaceDE/>
        <w:autoSpaceDN/>
        <w:bidi w:val="0"/>
        <w:adjustRightInd w:val="0"/>
        <w:snapToGrid w:val="0"/>
        <w:spacing w:before="260" w:after="260" w:line="560" w:lineRule="exact"/>
        <w:jc w:val="center"/>
        <w:textAlignment w:val="auto"/>
        <w:outlineLvl w:val="0"/>
        <w:rPr>
          <w:rFonts w:ascii="黑体" w:hAnsi="黑体" w:eastAsia="黑体" w:cs="黑体"/>
          <w:bCs/>
          <w:kern w:val="0"/>
          <w:sz w:val="32"/>
          <w:szCs w:val="32"/>
          <w:lang w:val="zh-CN" w:eastAsia="zh-CN" w:bidi="zh-CN"/>
        </w:rPr>
      </w:pPr>
      <w:r>
        <w:rPr>
          <w:rFonts w:ascii="黑体" w:hAnsi="黑体" w:eastAsia="黑体" w:cs="黑体"/>
          <w:bCs/>
          <w:kern w:val="0"/>
          <w:sz w:val="32"/>
          <w:szCs w:val="32"/>
          <w:lang w:val="zh-CN" w:eastAsia="zh-CN" w:bidi="zh-CN"/>
        </w:rPr>
        <w:t>第一章  总  则</w:t>
      </w:r>
    </w:p>
    <w:p w14:paraId="3ADE1236">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为规范股权投资投后管理相关工作，健全投后管理体系，保障投资目标实现、防范投资风险、提高投资效益，实现国有资产保值增值，根据《中华人民共和国公司法》《国有企业参股管理暂行办法》《绵阳市市属国有企业投融资及担保管理暂行办法》《绵阳市企业国有资产流转监督管理办法》等法律法规和国资监管要求，结合实际工作，特制定本办法。</w:t>
      </w:r>
    </w:p>
    <w:p w14:paraId="0616A52F">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6"/>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w:t>
      </w:r>
      <w:r>
        <w:rPr>
          <w:rFonts w:hint="eastAsia" w:ascii="仿宋_GB2312" w:hAnsi="仿宋_GB2312" w:eastAsia="仿宋_GB2312" w:cs="仿宋_GB2312"/>
          <w:spacing w:val="-6"/>
          <w:kern w:val="0"/>
          <w:sz w:val="32"/>
          <w:szCs w:val="32"/>
          <w:lang w:val="en-US" w:eastAsia="zh-CN" w:bidi="zh-CN"/>
        </w:rPr>
        <w:t>本办法适用于投资主体为四川九洲投资控股集团有限公司（下称总部）及其下属各级全资、控股以及其他能够实际控制的企业（下称下属企业）。总部和下属企业统称为集团。</w:t>
      </w:r>
    </w:p>
    <w:p w14:paraId="0D60C363">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集团按照“整体至上、团结协作”的工作要求，构建大投后管理体系，建立统筹策划、高效协同的矩阵式投后管理模式，充分挖掘发挥各相关方资源、能力优势，形成各司其职、各负其责、各尽其能的投后管理机制。</w:t>
      </w:r>
    </w:p>
    <w:p w14:paraId="7AE1DD17">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本办法是集团股权投资投后管理的纲要性文件。根据被投资企业的实际情况，“一企一策”专项制定投后管理工作方案，明确各项目投后管理具体内容和工作重点。</w:t>
      </w:r>
    </w:p>
    <w:p w14:paraId="341164DE">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3" w:name="heading_9"/>
      <w:r>
        <w:rPr>
          <w:rFonts w:hint="eastAsia" w:ascii="仿宋_GB2312" w:hAnsi="仿宋_GB2312" w:eastAsia="仿宋_GB2312" w:cs="仿宋_GB2312"/>
          <w:kern w:val="0"/>
          <w:sz w:val="32"/>
          <w:szCs w:val="32"/>
          <w:lang w:val="en-US" w:eastAsia="zh-CN" w:bidi="zh-CN"/>
        </w:rPr>
        <w:t xml:space="preserve">  本办法所称投后管理是围绕被投资企业开展的投资协议执行、投后整合和赋能、投后评价、日常管理和股权退出等系列活动。被投资企业按投资完成后集团对其控制力分为控制类企业和参股类企业。</w:t>
      </w:r>
      <w:bookmarkEnd w:id="3"/>
    </w:p>
    <w:p w14:paraId="2E0E8252">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4" w:name="heading_10"/>
      <w:r>
        <w:rPr>
          <w:rFonts w:hint="eastAsia" w:ascii="仿宋_GB2312" w:hAnsi="仿宋_GB2312" w:eastAsia="仿宋_GB2312" w:cs="仿宋_GB2312"/>
          <w:kern w:val="0"/>
          <w:sz w:val="32"/>
          <w:szCs w:val="32"/>
          <w:lang w:val="en-US" w:eastAsia="zh-CN" w:bidi="zh-CN"/>
        </w:rPr>
        <w:t xml:space="preserve">  本办法所称股权投资类型包括并购投资、产业再投入和参股投资。并购投资是指投资购买被投资企业</w:t>
      </w:r>
      <w:r>
        <w:rPr>
          <w:rFonts w:hint="default" w:ascii="仿宋_GB2312" w:hAnsi="仿宋_GB2312" w:eastAsia="仿宋_GB2312" w:cs="仿宋_GB2312"/>
          <w:kern w:val="0"/>
          <w:sz w:val="32"/>
          <w:szCs w:val="32"/>
          <w:lang w:eastAsia="zh-CN" w:bidi="zh-CN"/>
        </w:rPr>
        <w:t>股权并获得</w:t>
      </w:r>
      <w:r>
        <w:rPr>
          <w:rFonts w:hint="eastAsia" w:ascii="仿宋_GB2312" w:hAnsi="仿宋_GB2312" w:eastAsia="仿宋_GB2312" w:cs="仿宋_GB2312"/>
          <w:kern w:val="0"/>
          <w:sz w:val="32"/>
          <w:szCs w:val="32"/>
          <w:lang w:val="en-US" w:eastAsia="zh-CN" w:bidi="zh-CN"/>
        </w:rPr>
        <w:t>控制权的行为；产业再投入是指出资新设具有控制权</w:t>
      </w:r>
      <w:r>
        <w:rPr>
          <w:rFonts w:hint="default" w:ascii="仿宋_GB2312" w:hAnsi="仿宋_GB2312" w:eastAsia="仿宋_GB2312" w:cs="仿宋_GB2312"/>
          <w:kern w:val="0"/>
          <w:sz w:val="32"/>
          <w:szCs w:val="32"/>
          <w:lang w:eastAsia="zh-CN" w:bidi="zh-CN"/>
        </w:rPr>
        <w:t>的</w:t>
      </w:r>
      <w:r>
        <w:rPr>
          <w:rFonts w:hint="eastAsia" w:ascii="仿宋_GB2312" w:hAnsi="仿宋_GB2312" w:eastAsia="仿宋_GB2312" w:cs="仿宋_GB2312"/>
          <w:kern w:val="0"/>
          <w:sz w:val="32"/>
          <w:szCs w:val="32"/>
          <w:lang w:val="en-US" w:eastAsia="zh-CN" w:bidi="zh-CN"/>
        </w:rPr>
        <w:t>企业</w:t>
      </w:r>
      <w:r>
        <w:rPr>
          <w:rFonts w:hint="default" w:ascii="仿宋_GB2312" w:hAnsi="仿宋_GB2312" w:eastAsia="仿宋_GB2312" w:cs="仿宋_GB2312"/>
          <w:kern w:val="0"/>
          <w:sz w:val="32"/>
          <w:szCs w:val="32"/>
          <w:lang w:eastAsia="zh-CN" w:bidi="zh-CN"/>
        </w:rPr>
        <w:t>、对</w:t>
      </w:r>
      <w:r>
        <w:rPr>
          <w:rFonts w:hint="eastAsia" w:ascii="仿宋_GB2312" w:hAnsi="仿宋_GB2312" w:eastAsia="仿宋_GB2312" w:cs="仿宋_GB2312"/>
          <w:kern w:val="0"/>
          <w:sz w:val="32"/>
          <w:szCs w:val="32"/>
          <w:lang w:val="en-US" w:eastAsia="zh-CN" w:bidi="zh-CN"/>
        </w:rPr>
        <w:t>下属企业增资</w:t>
      </w:r>
      <w:r>
        <w:rPr>
          <w:rFonts w:hint="default" w:ascii="仿宋_GB2312" w:hAnsi="仿宋_GB2312" w:eastAsia="仿宋_GB2312" w:cs="仿宋_GB2312"/>
          <w:sz w:val="32"/>
          <w:szCs w:val="32"/>
          <w:lang w:eastAsia="zh-CN" w:bidi="zh-CN"/>
        </w:rPr>
        <w:t>和</w:t>
      </w:r>
      <w:r>
        <w:rPr>
          <w:rFonts w:hint="default" w:ascii="仿宋_GB2312" w:hAnsi="仿宋_GB2312" w:eastAsia="仿宋_GB2312" w:cs="仿宋_GB2312"/>
          <w:kern w:val="0"/>
          <w:sz w:val="32"/>
          <w:szCs w:val="32"/>
          <w:lang w:eastAsia="zh-CN" w:bidi="zh-CN"/>
        </w:rPr>
        <w:t>受让下属企业其他股东所持股权</w:t>
      </w:r>
      <w:r>
        <w:rPr>
          <w:rFonts w:hint="eastAsia" w:ascii="仿宋_GB2312" w:hAnsi="仿宋_GB2312" w:eastAsia="仿宋_GB2312" w:cs="仿宋_GB2312"/>
          <w:kern w:val="0"/>
          <w:sz w:val="32"/>
          <w:szCs w:val="32"/>
          <w:lang w:val="en-US" w:eastAsia="zh-CN" w:bidi="zh-CN"/>
        </w:rPr>
        <w:t>的行为；参股投资是指投资购买被投资企业股权但</w:t>
      </w:r>
      <w:r>
        <w:rPr>
          <w:rFonts w:hint="default" w:ascii="仿宋_GB2312" w:hAnsi="仿宋_GB2312" w:eastAsia="仿宋_GB2312" w:cs="仿宋_GB2312"/>
          <w:kern w:val="0"/>
          <w:sz w:val="32"/>
          <w:szCs w:val="32"/>
          <w:lang w:eastAsia="zh-CN" w:bidi="zh-CN"/>
        </w:rPr>
        <w:t>不具</w:t>
      </w:r>
      <w:r>
        <w:rPr>
          <w:rFonts w:hint="eastAsia" w:ascii="仿宋_GB2312" w:hAnsi="仿宋_GB2312" w:eastAsia="仿宋_GB2312" w:cs="仿宋_GB2312"/>
          <w:kern w:val="0"/>
          <w:sz w:val="32"/>
          <w:szCs w:val="32"/>
          <w:lang w:val="en-US" w:eastAsia="zh-CN" w:bidi="zh-CN"/>
        </w:rPr>
        <w:t>控制权的行为。</w:t>
      </w:r>
      <w:bookmarkEnd w:id="4"/>
    </w:p>
    <w:p w14:paraId="19B62D30">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投后管理期自投资协议生效之日起至投资主体退出被投资企业止。股权投资项目完成股权交割后，即纳入集团投后的日常管理，遵循集团管控的各项要求。投后管理设置过渡期，自投资协议或章程等相关文件生效之日起至达到一定条件被认定结束止。过渡期管理与日常管理属于并行关系。</w:t>
      </w:r>
    </w:p>
    <w:p w14:paraId="329A6A3B">
      <w:pPr>
        <w:keepNext w:val="0"/>
        <w:keepLines w:val="0"/>
        <w:pageBreakBefore w:val="0"/>
        <w:widowControl w:val="0"/>
        <w:numPr>
          <w:ilvl w:val="0"/>
          <w:numId w:val="1"/>
        </w:numPr>
        <w:tabs>
          <w:tab w:val="left" w:pos="2324"/>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5" w:name="heading_11"/>
      <w:r>
        <w:rPr>
          <w:rFonts w:hint="eastAsia" w:ascii="仿宋_GB2312" w:hAnsi="仿宋_GB2312" w:eastAsia="仿宋_GB2312" w:cs="仿宋_GB2312"/>
          <w:kern w:val="0"/>
          <w:sz w:val="32"/>
          <w:szCs w:val="32"/>
          <w:lang w:val="en-US" w:eastAsia="zh-CN" w:bidi="zh-CN"/>
        </w:rPr>
        <w:t xml:space="preserve">  投后管理以满足集团整体战略和产业发展需要为目的，遵循战略引领、合作共赢和风险防控原则，依法合规实现相关主体融合发展、整体价值提升。</w:t>
      </w:r>
      <w:bookmarkEnd w:id="5"/>
    </w:p>
    <w:p w14:paraId="611CF63E">
      <w:pPr>
        <w:keepNext w:val="0"/>
        <w:keepLines w:val="0"/>
        <w:pageBreakBefore w:val="0"/>
        <w:widowControl w:val="0"/>
        <w:tabs>
          <w:tab w:val="left" w:pos="1289"/>
          <w:tab w:val="left" w:pos="1919"/>
        </w:tabs>
        <w:kinsoku/>
        <w:wordWrap/>
        <w:overflowPunct/>
        <w:topLinePunct w:val="0"/>
        <w:autoSpaceDE/>
        <w:autoSpaceDN/>
        <w:bidi w:val="0"/>
        <w:adjustRightInd w:val="0"/>
        <w:snapToGrid w:val="0"/>
        <w:spacing w:before="260" w:after="260" w:line="560" w:lineRule="exact"/>
        <w:jc w:val="center"/>
        <w:textAlignment w:val="auto"/>
        <w:outlineLvl w:val="0"/>
        <w:rPr>
          <w:rFonts w:ascii="黑体" w:hAnsi="黑体" w:eastAsia="黑体" w:cs="黑体"/>
          <w:bCs/>
          <w:kern w:val="0"/>
          <w:sz w:val="32"/>
          <w:szCs w:val="32"/>
          <w:lang w:val="zh-CN" w:eastAsia="zh-CN" w:bidi="zh-CN"/>
        </w:rPr>
      </w:pPr>
      <w:bookmarkStart w:id="6" w:name="heading_12"/>
      <w:bookmarkStart w:id="7" w:name="_Toc7205"/>
      <w:r>
        <w:rPr>
          <w:rFonts w:ascii="黑体" w:hAnsi="黑体" w:eastAsia="黑体" w:cs="黑体"/>
          <w:bCs/>
          <w:kern w:val="0"/>
          <w:sz w:val="32"/>
          <w:szCs w:val="32"/>
          <w:lang w:val="zh-CN" w:eastAsia="zh-CN" w:bidi="zh-CN"/>
        </w:rPr>
        <w:t>第二章  组织与职责</w:t>
      </w:r>
      <w:bookmarkEnd w:id="6"/>
      <w:bookmarkEnd w:id="7"/>
    </w:p>
    <w:p w14:paraId="623E0D21">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总部资本运营部是集团投后管理的归口管理部门，履行以下职责：</w:t>
      </w:r>
    </w:p>
    <w:p w14:paraId="57E68159">
      <w:pPr>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制订或修订集团投后管理制度。</w:t>
      </w:r>
    </w:p>
    <w:p w14:paraId="18B29F58">
      <w:pPr>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负责制定年度投后管理工作计划，明确各项目过渡期年度投后管理工作重点，组织制定项目投后管理工作方案，跟进、调度投后管理工作方案执行，组织开展投后评价和过渡期结束认定。</w:t>
      </w:r>
    </w:p>
    <w:p w14:paraId="40A47742">
      <w:pPr>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负责及时组织办理被投资企业股权的产权占有、变动、注销等相关手续；负责及时进行项目资料归档；负责建立健全并定期更新集团股权投资相关台账，定期向上级主管部门报送股权投资相关资料等日常投后管理工作。</w:t>
      </w:r>
    </w:p>
    <w:p w14:paraId="356DA7B9">
      <w:pPr>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牵头组织接受上级主管部门对股权投资项目情况检查等不定期工作。</w:t>
      </w:r>
    </w:p>
    <w:p w14:paraId="7B885A87">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总部相关部门按照职责及集团管控界面要求开展有关投后管理工作。主要包括：</w:t>
      </w:r>
    </w:p>
    <w:p w14:paraId="031CE276">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战略发展部负责被投资企业战略管理、固定资产投资，纳入集团组织绩效考核的被投资法人主体的经营计划与预算管理等的管控和服务。</w:t>
      </w:r>
    </w:p>
    <w:p w14:paraId="3224DA6F">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16" w:firstLineChars="200"/>
        <w:textAlignment w:val="auto"/>
        <w:rPr>
          <w:rFonts w:ascii="仿宋_GB2312" w:hAnsi="仿宋_GB2312" w:eastAsia="仿宋_GB2312" w:cs="仿宋_GB2312"/>
          <w:spacing w:val="-6"/>
          <w:kern w:val="0"/>
          <w:sz w:val="32"/>
          <w:szCs w:val="32"/>
          <w:lang w:val="zh-CN" w:eastAsia="zh-CN" w:bidi="zh-CN"/>
        </w:rPr>
      </w:pPr>
      <w:r>
        <w:rPr>
          <w:rFonts w:hint="eastAsia" w:ascii="仿宋_GB2312" w:hAnsi="仿宋_GB2312" w:eastAsia="仿宋_GB2312" w:cs="仿宋_GB2312"/>
          <w:spacing w:val="-6"/>
          <w:kern w:val="0"/>
          <w:sz w:val="32"/>
          <w:szCs w:val="32"/>
          <w:lang w:val="zh-CN" w:eastAsia="zh-CN" w:bidi="zh-CN"/>
        </w:rPr>
        <w:t>总部</w:t>
      </w:r>
      <w:r>
        <w:rPr>
          <w:rFonts w:ascii="仿宋_GB2312" w:hAnsi="仿宋_GB2312" w:eastAsia="仿宋_GB2312" w:cs="仿宋_GB2312"/>
          <w:spacing w:val="-6"/>
          <w:kern w:val="0"/>
          <w:sz w:val="32"/>
          <w:szCs w:val="32"/>
          <w:lang w:val="zh-CN" w:eastAsia="zh-CN" w:bidi="zh-CN"/>
        </w:rPr>
        <w:t>组织人事部负责被投资企业纳入集团职数管理的中层及以上管理人员、派驻人员的管理和文化建设，纳入集团组织绩效考核的被投资法人主体的组织人事体系的建设和服务。</w:t>
      </w:r>
    </w:p>
    <w:p w14:paraId="2D1A3D1C">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董事会办公室负责股东代表、董事、监事（审计委员会成员）的委派和日常管理。</w:t>
      </w:r>
    </w:p>
    <w:p w14:paraId="068EAE96">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科技管理部负责被投资企业科技创新、品牌商标、资质管理等管控和服务。</w:t>
      </w:r>
    </w:p>
    <w:p w14:paraId="2ED55A63">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数字化部负责被投资企业数字化转型、信息化建设等管控和服务。</w:t>
      </w:r>
    </w:p>
    <w:p w14:paraId="2B23ADD0">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财务管理部负责被投资企业委派财务负责人、统一财务管理制度、资金统筹、财务系统统一等管控和服务。</w:t>
      </w:r>
    </w:p>
    <w:p w14:paraId="32E54343">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法务审计部负责被投资企业法务工作和审计工作等管控和服务。</w:t>
      </w:r>
    </w:p>
    <w:p w14:paraId="33E42CA7">
      <w:pPr>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616" w:firstLineChars="200"/>
        <w:textAlignment w:val="auto"/>
        <w:rPr>
          <w:rFonts w:ascii="仿宋_GB2312" w:hAnsi="仿宋_GB2312" w:eastAsia="仿宋_GB2312" w:cs="仿宋_GB2312"/>
          <w:spacing w:val="-6"/>
          <w:kern w:val="0"/>
          <w:sz w:val="32"/>
          <w:szCs w:val="32"/>
          <w:lang w:val="zh-CN" w:eastAsia="zh-CN" w:bidi="zh-CN"/>
        </w:rPr>
      </w:pPr>
      <w:r>
        <w:rPr>
          <w:rFonts w:ascii="仿宋_GB2312" w:hAnsi="仿宋_GB2312" w:eastAsia="仿宋_GB2312" w:cs="仿宋_GB2312"/>
          <w:spacing w:val="-6"/>
          <w:kern w:val="0"/>
          <w:sz w:val="32"/>
          <w:szCs w:val="32"/>
          <w:lang w:val="zh-CN" w:eastAsia="zh-CN" w:bidi="zh-CN"/>
        </w:rPr>
        <w:t>总部其他职能部门按照本部门职能职责进行投后管理。</w:t>
      </w:r>
    </w:p>
    <w:p w14:paraId="59BD1FEE">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投资主体负责投后管理工作方案的执行，履行以下职责：</w:t>
      </w:r>
    </w:p>
    <w:p w14:paraId="629B1E83">
      <w:pPr>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完成协议签署和执行、章程拟制或修订、工商登记等事项。</w:t>
      </w:r>
    </w:p>
    <w:p w14:paraId="24DA13C1">
      <w:pPr>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负责对投资履约条件是否达成（如对赌业绩实现等）等事项事先进行研判并提出意见，按照决策权限报</w:t>
      </w: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审批后实施。</w:t>
      </w:r>
    </w:p>
    <w:p w14:paraId="42DA5C8E">
      <w:pPr>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负责总部对被投资企业财务管理、资本运作、数字化建设、董事会运行和组织人事相关事项集中管理要求的落实。</w:t>
      </w:r>
    </w:p>
    <w:p w14:paraId="6CA0E51B">
      <w:pPr>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r>
        <w:rPr>
          <w:rFonts w:ascii="仿宋_GB2312" w:hAnsi="仿宋_GB2312" w:eastAsia="仿宋_GB2312" w:cs="仿宋_GB2312"/>
          <w:kern w:val="0"/>
          <w:sz w:val="32"/>
          <w:szCs w:val="32"/>
          <w:lang w:val="zh-CN" w:eastAsia="zh-CN" w:bidi="zh-CN"/>
        </w:rPr>
        <w:t>负责主导被投资企业科研、生产和日常经营性事项实施，会同总部相关部门共同推进战略规划、科技创新等事项实施。</w:t>
      </w:r>
    </w:p>
    <w:p w14:paraId="41ACDD3C">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被投资企业是投后管理的对象，按照投资协议和公司章程完成各项任务。按照集团的管控界面和投资主体的管控要求开展各项工作。</w:t>
      </w:r>
    </w:p>
    <w:p w14:paraId="2083A4F8">
      <w:pPr>
        <w:keepNext w:val="0"/>
        <w:keepLines w:val="0"/>
        <w:pageBreakBefore w:val="0"/>
        <w:widowControl w:val="0"/>
        <w:tabs>
          <w:tab w:val="left" w:pos="1289"/>
          <w:tab w:val="left" w:pos="1919"/>
        </w:tabs>
        <w:kinsoku/>
        <w:wordWrap/>
        <w:overflowPunct/>
        <w:topLinePunct w:val="0"/>
        <w:autoSpaceDE/>
        <w:autoSpaceDN/>
        <w:bidi w:val="0"/>
        <w:adjustRightInd w:val="0"/>
        <w:snapToGrid w:val="0"/>
        <w:spacing w:before="260" w:after="260" w:line="560" w:lineRule="exact"/>
        <w:jc w:val="center"/>
        <w:textAlignment w:val="auto"/>
        <w:outlineLvl w:val="0"/>
        <w:rPr>
          <w:rFonts w:ascii="黑体" w:hAnsi="黑体" w:eastAsia="黑体" w:cs="黑体"/>
          <w:bCs/>
          <w:kern w:val="0"/>
          <w:sz w:val="32"/>
          <w:szCs w:val="32"/>
          <w:lang w:val="zh-CN" w:eastAsia="zh-CN" w:bidi="zh-CN"/>
        </w:rPr>
      </w:pPr>
      <w:bookmarkStart w:id="8" w:name="_Toc17810"/>
      <w:r>
        <w:rPr>
          <w:rFonts w:ascii="黑体" w:hAnsi="黑体" w:eastAsia="黑体" w:cs="黑体"/>
          <w:bCs/>
          <w:kern w:val="0"/>
          <w:sz w:val="32"/>
          <w:szCs w:val="32"/>
          <w:lang w:val="zh-CN" w:eastAsia="zh-CN" w:bidi="zh-CN"/>
        </w:rPr>
        <w:t>第三章  投后管理实施</w:t>
      </w:r>
      <w:bookmarkEnd w:id="8"/>
    </w:p>
    <w:p w14:paraId="0B23BF4B">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9" w:name="heading_13"/>
      <w:r>
        <w:rPr>
          <w:rFonts w:hint="eastAsia" w:ascii="仿宋_GB2312" w:hAnsi="仿宋_GB2312" w:eastAsia="仿宋_GB2312" w:cs="仿宋_GB2312"/>
          <w:kern w:val="0"/>
          <w:sz w:val="32"/>
          <w:szCs w:val="32"/>
          <w:lang w:val="en-US" w:eastAsia="zh-CN" w:bidi="zh-CN"/>
        </w:rPr>
        <w:t xml:space="preserve">  股权投资经济行为经批准后，总部资本运营部组织相关单位梳理投后管理工作事项清单和工作计划，牵头制定投后管理工作方案，经集团党委会前置审议、董事长审批通过后宣贯并实施。</w:t>
      </w:r>
      <w:bookmarkEnd w:id="9"/>
    </w:p>
    <w:p w14:paraId="6187C739">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pPr>
      <w:bookmarkStart w:id="10" w:name="heading_14"/>
      <w:r>
        <w:rPr>
          <w:rFonts w:ascii="仿宋_GB2312" w:hAnsi="仿宋_GB2312" w:eastAsia="仿宋_GB2312" w:cs="仿宋_GB2312"/>
          <w:kern w:val="0"/>
          <w:sz w:val="32"/>
          <w:szCs w:val="32"/>
          <w:lang w:val="zh-CN" w:eastAsia="zh-CN" w:bidi="zh-CN"/>
        </w:rPr>
        <w:t>投后管理事项清单包括但不限于履约和资源协同等相关事项。投后管理工作方案审批要点：方案具有全面性，举措具有操作性，事项有分工、责任要明确等。</w:t>
      </w:r>
      <w:bookmarkEnd w:id="10"/>
    </w:p>
    <w:p w14:paraId="67BF22D7">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11" w:name="heading_15"/>
      <w:r>
        <w:rPr>
          <w:rFonts w:hint="eastAsia" w:ascii="仿宋_GB2312" w:hAnsi="仿宋_GB2312" w:eastAsia="仿宋_GB2312" w:cs="仿宋_GB2312"/>
          <w:kern w:val="0"/>
          <w:sz w:val="32"/>
          <w:szCs w:val="32"/>
          <w:lang w:val="en-US" w:eastAsia="zh-CN" w:bidi="zh-CN"/>
        </w:rPr>
        <w:t xml:space="preserve">  投后管理工作方案实施过程中，财务管理、资本运作、数字化建设、董事会运行和组织人事相关事项由总部各部门按第二章的职责强管控；科研、生产和日常经营性事项由投资主体自主推进实施；战略规划、科技创新等事项，由投资主体会同总部相关部门共同推进实施。</w:t>
      </w:r>
      <w:bookmarkEnd w:id="11"/>
    </w:p>
    <w:p w14:paraId="327C2923">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12" w:name="heading_16"/>
      <w:r>
        <w:rPr>
          <w:rFonts w:hint="eastAsia" w:ascii="仿宋_GB2312" w:hAnsi="仿宋_GB2312" w:eastAsia="仿宋_GB2312" w:cs="仿宋_GB2312"/>
          <w:kern w:val="0"/>
          <w:sz w:val="32"/>
          <w:szCs w:val="32"/>
          <w:lang w:val="en-US" w:eastAsia="zh-CN" w:bidi="zh-CN"/>
        </w:rPr>
        <w:t xml:space="preserve">  处于过渡期管理的股权投资项目，应动态制定投后管理工作方案，定期跟进方案执行情况，开展投后评价等工作。具体如下：</w:t>
      </w:r>
      <w:bookmarkEnd w:id="12"/>
    </w:p>
    <w:p w14:paraId="76D2E517">
      <w:pPr>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13" w:name="heading_17"/>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资本运营部每年逐项梳理过渡期管理阶段项目投后管理重点，形成下年度集团过渡期项目投后管理工作计划。</w:t>
      </w:r>
      <w:bookmarkEnd w:id="13"/>
    </w:p>
    <w:p w14:paraId="5A1C1ABA">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pPr>
      <w:bookmarkStart w:id="14" w:name="heading_18"/>
      <w:r>
        <w:rPr>
          <w:rFonts w:ascii="仿宋_GB2312" w:hAnsi="仿宋_GB2312" w:eastAsia="仿宋_GB2312" w:cs="仿宋_GB2312"/>
          <w:kern w:val="0"/>
          <w:sz w:val="32"/>
          <w:szCs w:val="32"/>
          <w:lang w:val="zh-CN" w:eastAsia="zh-CN" w:bidi="zh-CN"/>
        </w:rPr>
        <w:t>并购类项目过渡期管理重点主要包括：协议执行跟进、业绩达成情况确认、尽职调查相关信息的验证和深化、赋能和整合事项推进情况等。</w:t>
      </w:r>
      <w:bookmarkEnd w:id="14"/>
    </w:p>
    <w:p w14:paraId="4840084A">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pPr>
      <w:bookmarkStart w:id="15" w:name="heading_19"/>
      <w:r>
        <w:rPr>
          <w:rFonts w:ascii="仿宋_GB2312" w:hAnsi="仿宋_GB2312" w:eastAsia="仿宋_GB2312" w:cs="仿宋_GB2312"/>
          <w:kern w:val="0"/>
          <w:sz w:val="32"/>
          <w:szCs w:val="32"/>
          <w:lang w:val="zh-CN" w:eastAsia="zh-CN" w:bidi="zh-CN"/>
        </w:rPr>
        <w:t>产业再投入项目过渡期管理重点主要包括：出资到位跟进、资金投向、能力建设达成、预期经济指标实现等。</w:t>
      </w:r>
      <w:bookmarkEnd w:id="15"/>
    </w:p>
    <w:p w14:paraId="042C08B2">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pPr>
      <w:bookmarkStart w:id="16" w:name="heading_20"/>
      <w:r>
        <w:rPr>
          <w:rFonts w:ascii="仿宋_GB2312" w:hAnsi="仿宋_GB2312" w:eastAsia="仿宋_GB2312" w:cs="仿宋_GB2312"/>
          <w:kern w:val="0"/>
          <w:sz w:val="32"/>
          <w:szCs w:val="32"/>
          <w:lang w:val="zh-CN" w:eastAsia="zh-CN" w:bidi="zh-CN"/>
        </w:rPr>
        <w:t>参股投资管理重点主要包括：协议执行跟进、财务指标定期跟踪、分红权主张和上市计划推进情况等。</w:t>
      </w:r>
      <w:bookmarkEnd w:id="16"/>
    </w:p>
    <w:p w14:paraId="0A49D1C2">
      <w:pPr>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17" w:name="heading_21"/>
      <w:r>
        <w:rPr>
          <w:rFonts w:ascii="仿宋_GB2312" w:hAnsi="仿宋_GB2312" w:eastAsia="仿宋_GB2312" w:cs="仿宋_GB2312"/>
          <w:kern w:val="0"/>
          <w:sz w:val="32"/>
          <w:szCs w:val="32"/>
          <w:lang w:val="zh-CN" w:eastAsia="zh-CN" w:bidi="zh-CN"/>
        </w:rPr>
        <w:t>各</w:t>
      </w:r>
      <w:r>
        <w:rPr>
          <w:rFonts w:ascii="仿宋_GB2312" w:hAnsi="仿宋_GB2312" w:eastAsia="仿宋_GB2312" w:cs="仿宋_GB2312"/>
          <w:kern w:val="0"/>
          <w:sz w:val="32"/>
          <w:szCs w:val="32"/>
          <w:lang w:eastAsia="zh-CN" w:bidi="zh-CN"/>
        </w:rPr>
        <w:t>投资</w:t>
      </w:r>
      <w:r>
        <w:rPr>
          <w:rFonts w:ascii="仿宋_GB2312" w:hAnsi="仿宋_GB2312" w:eastAsia="仿宋_GB2312" w:cs="仿宋_GB2312"/>
          <w:kern w:val="0"/>
          <w:sz w:val="32"/>
          <w:szCs w:val="32"/>
          <w:lang w:val="zh-CN" w:eastAsia="zh-CN" w:bidi="zh-CN"/>
        </w:rPr>
        <w:t>主体根据工作计划、优化调整投后管理工作方案，并报</w:t>
      </w: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资本运营部备案后执行。</w:t>
      </w:r>
      <w:bookmarkEnd w:id="17"/>
    </w:p>
    <w:p w14:paraId="6286E1CE">
      <w:pPr>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18" w:name="heading_22"/>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资本运营部每半年度跟进各过渡期项目投后管理方案执行情况，必要时在集团经理办公会或其他专项工作会上通报。</w:t>
      </w:r>
      <w:bookmarkEnd w:id="18"/>
    </w:p>
    <w:p w14:paraId="1483B854">
      <w:pPr>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19" w:name="heading_23"/>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资本运营部每年组织</w:t>
      </w:r>
      <w:r>
        <w:rPr>
          <w:rFonts w:ascii="仿宋_GB2312" w:hAnsi="仿宋_GB2312" w:eastAsia="仿宋_GB2312" w:cs="仿宋_GB2312"/>
          <w:kern w:val="0"/>
          <w:sz w:val="32"/>
          <w:szCs w:val="32"/>
          <w:lang w:eastAsia="zh-CN" w:bidi="zh-CN"/>
        </w:rPr>
        <w:t>董事会</w:t>
      </w:r>
      <w:r>
        <w:rPr>
          <w:rFonts w:ascii="仿宋_GB2312" w:hAnsi="仿宋_GB2312" w:eastAsia="仿宋_GB2312" w:cs="仿宋_GB2312"/>
          <w:kern w:val="0"/>
          <w:sz w:val="32"/>
          <w:szCs w:val="32"/>
          <w:lang w:val="zh-CN" w:eastAsia="zh-CN" w:bidi="zh-CN"/>
        </w:rPr>
        <w:t>办公室、组织人事部、战略发展部、科技管理部、财务管理部、法务审计部等部门对在过渡期内的股权投资项目开展投后评价工作，形成投后评价报告，经投融资分管公司领导确认后报总经理审批。</w:t>
      </w:r>
      <w:bookmarkEnd w:id="19"/>
    </w:p>
    <w:p w14:paraId="3D9754DF">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pPr>
      <w:bookmarkStart w:id="20" w:name="heading_24"/>
      <w:r>
        <w:rPr>
          <w:rFonts w:ascii="仿宋_GB2312" w:hAnsi="仿宋_GB2312" w:eastAsia="仿宋_GB2312" w:cs="仿宋_GB2312"/>
          <w:kern w:val="0"/>
          <w:sz w:val="32"/>
          <w:szCs w:val="32"/>
          <w:lang w:val="zh-CN" w:eastAsia="zh-CN" w:bidi="zh-CN"/>
        </w:rPr>
        <w:t>投后评价内容主要包括：项目实施情况、项目预期目标实现情况、项目风险闭合情况和项目效果等。</w:t>
      </w:r>
      <w:bookmarkEnd w:id="20"/>
    </w:p>
    <w:p w14:paraId="0034A047">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21" w:name="heading_25"/>
      <w:r>
        <w:rPr>
          <w:rFonts w:hint="eastAsia" w:ascii="仿宋_GB2312" w:hAnsi="仿宋_GB2312" w:eastAsia="仿宋_GB2312" w:cs="仿宋_GB2312"/>
          <w:kern w:val="0"/>
          <w:sz w:val="32"/>
          <w:szCs w:val="32"/>
          <w:lang w:val="en-US" w:eastAsia="zh-CN" w:bidi="zh-CN"/>
        </w:rPr>
        <w:t xml:space="preserve">  股权投资项目在达到一定条件下可申请认定过渡期结束。</w:t>
      </w:r>
      <w:bookmarkEnd w:id="21"/>
    </w:p>
    <w:p w14:paraId="3CF8675E">
      <w:pPr>
        <w:keepNext w:val="0"/>
        <w:keepLines w:val="0"/>
        <w:pageBreakBefore w:val="0"/>
        <w:widowControl w:val="0"/>
        <w:numPr>
          <w:ilvl w:val="0"/>
          <w:numId w:val="6"/>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22" w:name="heading_26"/>
      <w:r>
        <w:rPr>
          <w:rFonts w:ascii="仿宋_GB2312" w:hAnsi="仿宋_GB2312" w:eastAsia="仿宋_GB2312" w:cs="仿宋_GB2312"/>
          <w:kern w:val="0"/>
          <w:sz w:val="32"/>
          <w:szCs w:val="32"/>
          <w:lang w:val="zh-CN" w:eastAsia="zh-CN" w:bidi="zh-CN"/>
        </w:rPr>
        <w:t>过渡期结束认定要点：投资协议约定事项全部履行完毕，投后管理方案内容执行效果较好且没有重大事项需持续关注。</w:t>
      </w:r>
      <w:bookmarkEnd w:id="22"/>
    </w:p>
    <w:p w14:paraId="241465E4">
      <w:pPr>
        <w:keepNext w:val="0"/>
        <w:keepLines w:val="0"/>
        <w:pageBreakBefore w:val="0"/>
        <w:widowControl w:val="0"/>
        <w:numPr>
          <w:ilvl w:val="0"/>
          <w:numId w:val="6"/>
        </w:numPr>
        <w:kinsoku/>
        <w:wordWrap/>
        <w:overflowPunct/>
        <w:topLinePunct w:val="0"/>
        <w:autoSpaceDE/>
        <w:autoSpaceDN/>
        <w:bidi w:val="0"/>
        <w:adjustRightInd w:val="0"/>
        <w:snapToGrid/>
        <w:spacing w:line="560" w:lineRule="exact"/>
        <w:ind w:left="0" w:leftChars="0" w:firstLine="640" w:firstLineChars="200"/>
        <w:textAlignment w:val="auto"/>
        <w:rPr>
          <w:rFonts w:ascii="仿宋_GB2312" w:hAnsi="仿宋_GB2312" w:eastAsia="仿宋_GB2312" w:cs="仿宋_GB2312"/>
          <w:kern w:val="0"/>
          <w:sz w:val="32"/>
          <w:szCs w:val="32"/>
          <w:lang w:val="zh-CN" w:eastAsia="zh-CN" w:bidi="zh-CN"/>
        </w:rPr>
      </w:pPr>
      <w:bookmarkStart w:id="23" w:name="heading_27"/>
      <w:r>
        <w:rPr>
          <w:rFonts w:ascii="仿宋_GB2312" w:hAnsi="仿宋_GB2312" w:eastAsia="仿宋_GB2312" w:cs="仿宋_GB2312"/>
          <w:kern w:val="0"/>
          <w:sz w:val="32"/>
          <w:szCs w:val="32"/>
          <w:lang w:val="zh-CN" w:eastAsia="zh-CN" w:bidi="zh-CN"/>
        </w:rPr>
        <w:t>过渡期结束认定程序：</w:t>
      </w:r>
      <w:r>
        <w:rPr>
          <w:rFonts w:hint="eastAsia" w:ascii="仿宋_GB2312" w:hAnsi="仿宋_GB2312" w:eastAsia="仿宋_GB2312" w:cs="仿宋_GB2312"/>
          <w:kern w:val="0"/>
          <w:sz w:val="32"/>
          <w:szCs w:val="32"/>
          <w:lang w:val="zh-CN" w:eastAsia="zh-CN" w:bidi="zh-CN"/>
        </w:rPr>
        <w:t>总部</w:t>
      </w:r>
      <w:r>
        <w:rPr>
          <w:rFonts w:ascii="仿宋_GB2312" w:hAnsi="仿宋_GB2312" w:eastAsia="仿宋_GB2312" w:cs="仿宋_GB2312"/>
          <w:kern w:val="0"/>
          <w:sz w:val="32"/>
          <w:szCs w:val="32"/>
          <w:lang w:val="zh-CN" w:eastAsia="zh-CN" w:bidi="zh-CN"/>
        </w:rPr>
        <w:t>资本运营部根据半年度跟踪情况和年度投后评价工作情况，提出结束过渡期管理项目，经集团党委会前置研究后，报董事长审批。</w:t>
      </w:r>
      <w:bookmarkEnd w:id="23"/>
    </w:p>
    <w:p w14:paraId="4DC93837">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24" w:name="heading_28"/>
      <w:r>
        <w:rPr>
          <w:rFonts w:hint="eastAsia" w:ascii="仿宋_GB2312" w:hAnsi="仿宋_GB2312" w:eastAsia="仿宋_GB2312" w:cs="仿宋_GB2312"/>
          <w:kern w:val="0"/>
          <w:sz w:val="32"/>
          <w:szCs w:val="32"/>
          <w:lang w:val="en-US" w:eastAsia="zh-CN" w:bidi="zh-CN"/>
        </w:rPr>
        <w:t xml:space="preserve">  过渡期结束的被投资企业，继续遵循集团管控的各项要求进行日常管理。控制类企业中，集团直管公司按照</w:t>
      </w:r>
      <w:r>
        <w:rPr>
          <w:rFonts w:hint="default" w:ascii="仿宋_GB2312" w:hAnsi="仿宋_GB2312" w:eastAsia="仿宋_GB2312" w:cs="仿宋_GB2312"/>
          <w:kern w:val="0"/>
          <w:sz w:val="32"/>
          <w:szCs w:val="32"/>
          <w:lang w:eastAsia="zh-CN" w:bidi="zh-CN"/>
        </w:rPr>
        <w:t>管控纲要</w:t>
      </w:r>
      <w:r>
        <w:rPr>
          <w:rFonts w:hint="eastAsia" w:ascii="仿宋_GB2312" w:hAnsi="仿宋_GB2312" w:eastAsia="仿宋_GB2312" w:cs="仿宋_GB2312"/>
          <w:kern w:val="0"/>
          <w:sz w:val="32"/>
          <w:szCs w:val="32"/>
          <w:lang w:val="en-US" w:eastAsia="zh-CN" w:bidi="zh-CN"/>
        </w:rPr>
        <w:t>管理，直管公司参照集团方式管理下级公司。参股类企业按照集团参股企业管理制度规定开展管理工作。</w:t>
      </w:r>
      <w:bookmarkEnd w:id="24"/>
    </w:p>
    <w:p w14:paraId="0C96AE14">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w:t>
      </w:r>
      <w:r>
        <w:rPr>
          <w:rFonts w:hint="default" w:ascii="仿宋_GB2312" w:hAnsi="仿宋_GB2312" w:eastAsia="仿宋_GB2312" w:cs="仿宋_GB2312"/>
          <w:kern w:val="0"/>
          <w:sz w:val="32"/>
          <w:szCs w:val="32"/>
          <w:lang w:eastAsia="zh-CN" w:bidi="zh-CN"/>
        </w:rPr>
        <w:t>总部资本运营部</w:t>
      </w:r>
      <w:r>
        <w:rPr>
          <w:rFonts w:hint="eastAsia" w:ascii="仿宋_GB2312" w:hAnsi="仿宋_GB2312" w:eastAsia="仿宋_GB2312" w:cs="仿宋_GB2312"/>
          <w:kern w:val="0"/>
          <w:sz w:val="32"/>
          <w:szCs w:val="32"/>
          <w:lang w:val="en-US" w:eastAsia="zh-CN" w:bidi="zh-CN"/>
        </w:rPr>
        <w:t>每年选择部分已完成的重点投资项目</w:t>
      </w:r>
      <w:r>
        <w:rPr>
          <w:rFonts w:hint="default" w:ascii="仿宋_GB2312" w:hAnsi="仿宋_GB2312" w:eastAsia="仿宋_GB2312" w:cs="仿宋_GB2312"/>
          <w:kern w:val="0"/>
          <w:sz w:val="32"/>
          <w:szCs w:val="32"/>
          <w:lang w:eastAsia="zh-CN" w:bidi="zh-CN"/>
        </w:rPr>
        <w:t>会同总部法务审计部</w:t>
      </w:r>
      <w:r>
        <w:rPr>
          <w:rFonts w:hint="eastAsia" w:ascii="仿宋_GB2312" w:hAnsi="仿宋_GB2312" w:eastAsia="仿宋_GB2312" w:cs="仿宋_GB2312"/>
          <w:kern w:val="0"/>
          <w:sz w:val="32"/>
          <w:szCs w:val="32"/>
          <w:lang w:val="en-US" w:eastAsia="zh-CN" w:bidi="zh-CN"/>
        </w:rPr>
        <w:t>开展投后专项审计，为后续投资活动提供参考，并报国资监管机构。</w:t>
      </w:r>
    </w:p>
    <w:p w14:paraId="16406300">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bookmarkStart w:id="25" w:name="heading_29"/>
      <w:r>
        <w:rPr>
          <w:rFonts w:hint="eastAsia" w:ascii="仿宋_GB2312" w:hAnsi="仿宋_GB2312" w:eastAsia="仿宋_GB2312" w:cs="仿宋_GB2312"/>
          <w:kern w:val="0"/>
          <w:sz w:val="32"/>
          <w:szCs w:val="32"/>
          <w:lang w:val="en-US" w:eastAsia="zh-CN" w:bidi="zh-CN"/>
        </w:rPr>
        <w:t xml:space="preserve">  根据被投企业的发展情况，当满足股权退出条件时，可以采取股权转让、减资退出、企业解散与合并、重组以及破产清算等方式实施股权退出。具体决策审批程序，按照集团资产流转相关规定执行。</w:t>
      </w:r>
      <w:bookmarkEnd w:id="25"/>
    </w:p>
    <w:p w14:paraId="221BB055">
      <w:pPr>
        <w:keepNext w:val="0"/>
        <w:keepLines w:val="0"/>
        <w:pageBreakBefore w:val="0"/>
        <w:widowControl w:val="0"/>
        <w:tabs>
          <w:tab w:val="left" w:pos="1289"/>
          <w:tab w:val="left" w:pos="1919"/>
        </w:tabs>
        <w:kinsoku/>
        <w:wordWrap/>
        <w:overflowPunct/>
        <w:topLinePunct w:val="0"/>
        <w:autoSpaceDE/>
        <w:autoSpaceDN/>
        <w:bidi w:val="0"/>
        <w:adjustRightInd w:val="0"/>
        <w:snapToGrid w:val="0"/>
        <w:spacing w:before="260" w:after="260" w:line="560" w:lineRule="exact"/>
        <w:jc w:val="center"/>
        <w:textAlignment w:val="auto"/>
        <w:outlineLvl w:val="0"/>
        <w:rPr>
          <w:rFonts w:ascii="黑体" w:hAnsi="黑体" w:eastAsia="黑体" w:cs="黑体"/>
          <w:bCs/>
          <w:kern w:val="0"/>
          <w:sz w:val="32"/>
          <w:szCs w:val="32"/>
          <w:lang w:val="zh-CN" w:eastAsia="zh-CN" w:bidi="zh-CN"/>
        </w:rPr>
      </w:pPr>
      <w:bookmarkStart w:id="26" w:name="_Toc22091"/>
      <w:r>
        <w:rPr>
          <w:rFonts w:ascii="黑体" w:hAnsi="黑体" w:eastAsia="黑体" w:cs="黑体"/>
          <w:bCs/>
          <w:kern w:val="0"/>
          <w:sz w:val="32"/>
          <w:szCs w:val="32"/>
          <w:lang w:val="zh-CN" w:eastAsia="zh-CN" w:bidi="zh-CN"/>
        </w:rPr>
        <w:t>第四章  考核与监督</w:t>
      </w:r>
      <w:bookmarkEnd w:id="26"/>
    </w:p>
    <w:p w14:paraId="7D2328B4">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集团将投后管理事项纳入</w:t>
      </w:r>
      <w:r>
        <w:rPr>
          <w:rFonts w:hint="default" w:ascii="仿宋_GB2312" w:hAnsi="仿宋_GB2312" w:eastAsia="仿宋_GB2312" w:cs="仿宋_GB2312"/>
          <w:kern w:val="0"/>
          <w:sz w:val="32"/>
          <w:szCs w:val="32"/>
          <w:lang w:eastAsia="zh-CN" w:bidi="zh-CN"/>
        </w:rPr>
        <w:t>组织</w:t>
      </w:r>
      <w:r>
        <w:rPr>
          <w:rFonts w:hint="eastAsia" w:ascii="仿宋_GB2312" w:hAnsi="仿宋_GB2312" w:eastAsia="仿宋_GB2312" w:cs="仿宋_GB2312"/>
          <w:kern w:val="0"/>
          <w:sz w:val="32"/>
          <w:szCs w:val="32"/>
          <w:lang w:val="en-US" w:eastAsia="zh-CN" w:bidi="zh-CN"/>
        </w:rPr>
        <w:t>绩效考核，定期对总部相关职能部门和投资主体各项投后管理活动进行评价，从投资目标达成、投后整合、投后赋能、投后风险管控等维度进行评价与考核。</w:t>
      </w:r>
    </w:p>
    <w:p w14:paraId="5775EA60">
      <w:pPr>
        <w:keepNext w:val="0"/>
        <w:keepLines w:val="0"/>
        <w:pageBreakBefore w:val="0"/>
        <w:widowControl w:val="0"/>
        <w:numPr>
          <w:ilvl w:val="0"/>
          <w:numId w:val="1"/>
        </w:numPr>
        <w:tabs>
          <w:tab w:val="left" w:pos="2324"/>
        </w:tabs>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相关人员违反本办法符合追责条件的，按照集团追责问责规定执行。</w:t>
      </w:r>
    </w:p>
    <w:p w14:paraId="5FE4ADE0">
      <w:pPr>
        <w:keepNext w:val="0"/>
        <w:keepLines w:val="0"/>
        <w:pageBreakBefore w:val="0"/>
        <w:widowControl w:val="0"/>
        <w:tabs>
          <w:tab w:val="left" w:pos="1289"/>
          <w:tab w:val="left" w:pos="1919"/>
        </w:tabs>
        <w:kinsoku/>
        <w:wordWrap/>
        <w:overflowPunct/>
        <w:topLinePunct w:val="0"/>
        <w:autoSpaceDE/>
        <w:autoSpaceDN/>
        <w:bidi w:val="0"/>
        <w:adjustRightInd w:val="0"/>
        <w:snapToGrid w:val="0"/>
        <w:spacing w:before="260" w:after="260" w:line="560" w:lineRule="exact"/>
        <w:jc w:val="center"/>
        <w:textAlignment w:val="auto"/>
        <w:outlineLvl w:val="0"/>
        <w:rPr>
          <w:rFonts w:ascii="黑体" w:hAnsi="黑体" w:eastAsia="黑体" w:cs="黑体"/>
          <w:bCs/>
          <w:kern w:val="0"/>
          <w:sz w:val="32"/>
          <w:szCs w:val="32"/>
          <w:lang w:val="zh-CN" w:eastAsia="zh-CN" w:bidi="zh-CN"/>
        </w:rPr>
      </w:pPr>
      <w:bookmarkStart w:id="27" w:name="_Toc3924"/>
      <w:r>
        <w:rPr>
          <w:rFonts w:ascii="黑体" w:hAnsi="黑体" w:eastAsia="黑体" w:cs="黑体"/>
          <w:bCs/>
          <w:kern w:val="0"/>
          <w:sz w:val="32"/>
          <w:szCs w:val="32"/>
          <w:lang w:val="zh-CN" w:eastAsia="zh-CN" w:bidi="zh-CN"/>
        </w:rPr>
        <w:t>第五章  附  则</w:t>
      </w:r>
      <w:bookmarkEnd w:id="27"/>
    </w:p>
    <w:p w14:paraId="02866732">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被投资企业由投资主体委托或总部指定其他企业代为管理的，受托管理企业代为行使投资主体的投后管理职责。</w:t>
      </w:r>
    </w:p>
    <w:p w14:paraId="5B394A7A">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集团持有份额的基金投后管理、基金运营投资投后管理的相关制度另行制定。</w:t>
      </w:r>
    </w:p>
    <w:p w14:paraId="46FB2980">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上市公司（或拟上市公司）相关监管制度另有规定的，按上市公司（或拟上市公司）相关监管制度执行。</w:t>
      </w:r>
    </w:p>
    <w:p w14:paraId="48E7F64D">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本办法涉及</w:t>
      </w:r>
      <w:r>
        <w:rPr>
          <w:rFonts w:hint="default" w:ascii="仿宋_GB2312" w:hAnsi="仿宋_GB2312" w:eastAsia="仿宋_GB2312" w:cs="仿宋_GB2312"/>
          <w:kern w:val="0"/>
          <w:sz w:val="32"/>
          <w:szCs w:val="32"/>
          <w:lang w:eastAsia="zh-CN" w:bidi="zh-CN"/>
        </w:rPr>
        <w:t>保密</w:t>
      </w:r>
      <w:r>
        <w:rPr>
          <w:rFonts w:hint="eastAsia" w:ascii="仿宋_GB2312" w:hAnsi="仿宋_GB2312" w:eastAsia="仿宋_GB2312" w:cs="仿宋_GB2312"/>
          <w:kern w:val="0"/>
          <w:sz w:val="32"/>
          <w:szCs w:val="32"/>
          <w:lang w:val="en-US" w:eastAsia="zh-CN" w:bidi="zh-CN"/>
        </w:rPr>
        <w:t>事项按集团公司相关保密管理制度执行。</w:t>
      </w:r>
    </w:p>
    <w:p w14:paraId="252BCF2C">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spacing w:val="-6"/>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w:t>
      </w:r>
      <w:r>
        <w:rPr>
          <w:rFonts w:hint="eastAsia" w:ascii="仿宋_GB2312" w:hAnsi="仿宋_GB2312" w:eastAsia="仿宋_GB2312" w:cs="仿宋_GB2312"/>
          <w:spacing w:val="-6"/>
          <w:kern w:val="0"/>
          <w:sz w:val="32"/>
          <w:szCs w:val="32"/>
          <w:lang w:val="en-US" w:eastAsia="zh-CN" w:bidi="zh-CN"/>
        </w:rPr>
        <w:t>集团</w:t>
      </w:r>
      <w:r>
        <w:rPr>
          <w:rFonts w:hint="default" w:ascii="仿宋_GB2312" w:hAnsi="仿宋_GB2312" w:eastAsia="仿宋_GB2312" w:cs="仿宋_GB2312"/>
          <w:spacing w:val="-6"/>
          <w:kern w:val="0"/>
          <w:sz w:val="32"/>
          <w:szCs w:val="32"/>
          <w:lang w:eastAsia="zh-CN" w:bidi="zh-CN"/>
        </w:rPr>
        <w:t>单独</w:t>
      </w:r>
      <w:r>
        <w:rPr>
          <w:rFonts w:hint="eastAsia" w:ascii="仿宋_GB2312" w:hAnsi="仿宋_GB2312" w:eastAsia="仿宋_GB2312" w:cs="仿宋_GB2312"/>
          <w:spacing w:val="-6"/>
          <w:kern w:val="0"/>
          <w:sz w:val="32"/>
          <w:szCs w:val="32"/>
          <w:lang w:val="en-US" w:eastAsia="zh-CN" w:bidi="zh-CN"/>
        </w:rPr>
        <w:t>对下属企业授权的，从其规定。</w:t>
      </w:r>
    </w:p>
    <w:p w14:paraId="786E8C40">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本办法由总部资本运营部负责解释。</w:t>
      </w:r>
    </w:p>
    <w:p w14:paraId="67E9AD9B">
      <w:pPr>
        <w:keepNext w:val="0"/>
        <w:keepLines w:val="0"/>
        <w:pageBreakBefore w:val="0"/>
        <w:widowControl w:val="0"/>
        <w:numPr>
          <w:ilvl w:val="0"/>
          <w:numId w:val="1"/>
        </w:numPr>
        <w:tabs>
          <w:tab w:val="left" w:pos="2324"/>
        </w:tabs>
        <w:kinsoku/>
        <w:wordWrap/>
        <w:overflowPunct/>
        <w:topLinePunct w:val="0"/>
        <w:autoSpaceDE/>
        <w:autoSpaceDN/>
        <w:bidi w:val="0"/>
        <w:snapToGrid w:val="0"/>
        <w:spacing w:line="560" w:lineRule="exact"/>
        <w:ind w:firstLine="640" w:firstLineChars="200"/>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 xml:space="preserve">  本办法自</w:t>
      </w:r>
      <w:r>
        <w:rPr>
          <w:rFonts w:hint="default" w:ascii="仿宋_GB2312" w:hAnsi="仿宋_GB2312" w:eastAsia="仿宋_GB2312" w:cs="仿宋_GB2312"/>
          <w:kern w:val="0"/>
          <w:sz w:val="32"/>
          <w:szCs w:val="32"/>
          <w:lang w:eastAsia="zh-CN" w:bidi="zh-CN"/>
        </w:rPr>
        <w:t>印发</w:t>
      </w:r>
      <w:r>
        <w:rPr>
          <w:rFonts w:hint="eastAsia" w:ascii="仿宋_GB2312" w:hAnsi="仿宋_GB2312" w:eastAsia="仿宋_GB2312" w:cs="仿宋_GB2312"/>
          <w:kern w:val="0"/>
          <w:sz w:val="32"/>
          <w:szCs w:val="32"/>
          <w:lang w:val="en-US" w:eastAsia="zh-CN" w:bidi="zh-CN"/>
        </w:rPr>
        <w:t>之日起施行。</w:t>
      </w:r>
    </w:p>
    <w:p w14:paraId="737356D8">
      <w:pPr>
        <w:keepNext w:val="0"/>
        <w:keepLines w:val="0"/>
        <w:pageBreakBefore w:val="0"/>
        <w:widowControl w:val="0"/>
        <w:kinsoku/>
        <w:wordWrap/>
        <w:overflowPunct/>
        <w:topLinePunct w:val="0"/>
        <w:autoSpaceDE/>
        <w:autoSpaceDN/>
        <w:bidi w:val="0"/>
        <w:adjustRightInd w:val="0"/>
        <w:snapToGrid w:val="0"/>
        <w:spacing w:line="560" w:lineRule="exact"/>
        <w:ind w:left="0" w:firstLine="0"/>
        <w:jc w:val="left"/>
        <w:textAlignment w:val="auto"/>
      </w:pPr>
    </w:p>
    <w:p w14:paraId="64709C0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textAlignment w:val="auto"/>
        <w:rPr>
          <w:rFonts w:ascii="仿宋_GB2312" w:hAnsi="仿宋_GB2312" w:eastAsia="仿宋_GB2312" w:cs="仿宋_GB2312"/>
          <w:kern w:val="0"/>
          <w:sz w:val="32"/>
          <w:szCs w:val="32"/>
          <w:lang w:val="zh-CN" w:eastAsia="zh-CN" w:bidi="zh-CN"/>
        </w:rPr>
        <w:sectPr>
          <w:footerReference r:id="rId11" w:type="default"/>
          <w:pgSz w:w="11905" w:h="16840"/>
          <w:pgMar w:top="2098" w:right="1474" w:bottom="1984" w:left="1587" w:header="720" w:footer="720" w:gutter="0"/>
          <w:pgNumType w:fmt="decimal" w:start="1"/>
          <w:cols w:space="720" w:num="1"/>
        </w:sectPr>
      </w:pPr>
      <w:r>
        <w:rPr>
          <w:rFonts w:ascii="仿宋_GB2312" w:hAnsi="仿宋_GB2312" w:eastAsia="仿宋_GB2312" w:cs="仿宋_GB2312"/>
          <w:kern w:val="0"/>
          <w:sz w:val="32"/>
          <w:szCs w:val="32"/>
          <w:lang w:val="zh-CN" w:eastAsia="zh-CN" w:bidi="zh-CN"/>
        </w:rPr>
        <w:t>附：过渡期投后管理流程图</w:t>
      </w:r>
    </w:p>
    <w:p w14:paraId="2F0D3978">
      <w:pPr>
        <w:keepNext w:val="0"/>
        <w:keepLines w:val="0"/>
        <w:pageBreakBefore w:val="0"/>
        <w:widowControl w:val="0"/>
        <w:kinsoku/>
        <w:wordWrap/>
        <w:overflowPunct/>
        <w:topLinePunct w:val="0"/>
        <w:autoSpaceDE/>
        <w:autoSpaceDN/>
        <w:bidi w:val="0"/>
        <w:adjustRightInd w:val="0"/>
        <w:snapToGrid w:val="0"/>
        <w:spacing w:line="560" w:lineRule="exact"/>
        <w:ind w:left="0" w:firstLine="0"/>
        <w:jc w:val="left"/>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sz w:val="32"/>
          <w:szCs w:val="36"/>
        </w:rPr>
        <w:drawing>
          <wp:anchor distT="0" distB="0" distL="0" distR="0" simplePos="0" relativeHeight="251660288" behindDoc="0" locked="0" layoutInCell="1" allowOverlap="1">
            <wp:simplePos x="0" y="0"/>
            <wp:positionH relativeFrom="column">
              <wp:posOffset>-262255</wp:posOffset>
            </wp:positionH>
            <wp:positionV relativeFrom="paragraph">
              <wp:posOffset>377825</wp:posOffset>
            </wp:positionV>
            <wp:extent cx="8639810" cy="5250180"/>
            <wp:effectExtent l="0" t="0" r="0" b="0"/>
            <wp:wrapTopAndBottom/>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14"/>
                    <a:stretch>
                      <a:fillRect/>
                    </a:stretch>
                  </pic:blipFill>
                  <pic:spPr>
                    <a:xfrm>
                      <a:off x="0" y="0"/>
                      <a:ext cx="8639810" cy="5250180"/>
                    </a:xfrm>
                    <a:prstGeom prst="rect">
                      <a:avLst/>
                    </a:prstGeom>
                  </pic:spPr>
                </pic:pic>
              </a:graphicData>
            </a:graphic>
          </wp:anchor>
        </w:drawing>
      </w:r>
      <w:r>
        <w:rPr>
          <w:rFonts w:hint="eastAsia" w:ascii="仿宋_GB2312" w:hAnsi="仿宋_GB2312" w:eastAsia="仿宋_GB2312" w:cs="仿宋_GB2312"/>
          <w:sz w:val="32"/>
          <w:szCs w:val="36"/>
          <w:lang w:val="en-US" w:eastAsia="zh-CN"/>
        </w:rPr>
        <w:t>附：</w:t>
      </w:r>
    </w:p>
    <w:p w14:paraId="5EB1FEBE">
      <w:pPr>
        <w:keepNext w:val="0"/>
        <w:keepLines w:val="0"/>
        <w:pageBreakBefore w:val="0"/>
        <w:widowControl w:val="0"/>
        <w:kinsoku/>
        <w:wordWrap/>
        <w:overflowPunct/>
        <w:topLinePunct w:val="0"/>
        <w:autoSpaceDE/>
        <w:autoSpaceDN/>
        <w:bidi w:val="0"/>
        <w:adjustRightInd w:val="0"/>
        <w:snapToGrid w:val="0"/>
        <w:spacing w:line="560" w:lineRule="exact"/>
        <w:ind w:left="0" w:firstLine="0"/>
        <w:jc w:val="left"/>
        <w:textAlignment w:val="auto"/>
      </w:pPr>
      <w:r>
        <w:rPr>
          <w:rFonts w:hint="eastAsia" w:ascii="仿宋_GB2312" w:hAnsi="仿宋_GB2312" w:eastAsia="仿宋_GB2312" w:cs="仿宋_GB2312"/>
          <w:sz w:val="32"/>
          <w:szCs w:val="36"/>
        </w:rPr>
        <w:br w:type="page"/>
      </w:r>
      <w:r>
        <w:drawing>
          <wp:anchor distT="0" distB="0" distL="0" distR="0" simplePos="0" relativeHeight="251659264" behindDoc="0" locked="0" layoutInCell="1" allowOverlap="1">
            <wp:simplePos x="0" y="0"/>
            <wp:positionH relativeFrom="column">
              <wp:posOffset>-262255</wp:posOffset>
            </wp:positionH>
            <wp:positionV relativeFrom="paragraph">
              <wp:posOffset>75565</wp:posOffset>
            </wp:positionV>
            <wp:extent cx="8639810" cy="5384165"/>
            <wp:effectExtent l="0" t="0" r="0" b="0"/>
            <wp:wrapTopAndBottom/>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15"/>
                    <a:stretch>
                      <a:fillRect/>
                    </a:stretch>
                  </pic:blipFill>
                  <pic:spPr>
                    <a:xfrm>
                      <a:off x="0" y="0"/>
                      <a:ext cx="8639810" cy="5384165"/>
                    </a:xfrm>
                    <a:prstGeom prst="rect">
                      <a:avLst/>
                    </a:prstGeom>
                  </pic:spPr>
                </pic:pic>
              </a:graphicData>
            </a:graphic>
          </wp:anchor>
        </w:drawing>
      </w:r>
    </w:p>
    <w:sectPr>
      <w:footerReference r:id="rId12" w:type="default"/>
      <w:pgSz w:w="16840" w:h="11905" w:orient="landscape"/>
      <w:pgMar w:top="1587" w:right="2098" w:bottom="1474" w:left="1984" w:header="720" w:footer="720"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81E2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7AC6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C7E4F">
    <w:pPr>
      <w:pStyle w:val="6"/>
      <w:ind w:right="315" w:rightChars="150"/>
      <w:jc w:val="right"/>
      <w:rPr>
        <w:rFonts w:ascii="Arial" w:hAnsi="Arial" w:cs="Arial"/>
      </w:rPr>
    </w:pPr>
    <w:r>
      <w:rPr>
        <w:rFonts w:hint="eastAsia" w:cs="Times New Roman"/>
      </w:rPr>
      <w:tab/>
    </w:r>
    <w:r>
      <w:rPr>
        <w:rFonts w:hint="eastAsia" w:cs="Times New Roma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72E68">
    <w:pPr>
      <w:pStyle w:val="6"/>
      <w:ind w:left="315" w:leftChars="150"/>
      <w:rPr>
        <w:rFonts w:ascii="仿宋_GB2312" w:eastAsia="仿宋_GB2312"/>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F33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C9E1">
    <w:r>
      <w:rPr>
        <w:sz w:val="21"/>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0F4E54">
                          <w:pPr>
                            <w:pStyle w:val="6"/>
                            <w:rPr>
                              <w:rFonts w:hint="eastAsia" w:asciiTheme="majorEastAsia" w:hAnsiTheme="majorEastAsia" w:eastAsiaTheme="majorEastAsia" w:cstheme="majorEastAsia"/>
                              <w:sz w:val="28"/>
                              <w:szCs w:val="40"/>
                            </w:rPr>
                          </w:pPr>
                          <w:r>
                            <w:rPr>
                              <w:rFonts w:hint="eastAsia" w:ascii="宋体" w:hAnsi="宋体" w:eastAsia="宋体" w:cs="宋体"/>
                              <w:sz w:val="28"/>
                              <w:szCs w:val="40"/>
                            </w:rPr>
                            <w:t>－</w:t>
                          </w:r>
                          <w:r>
                            <w:rPr>
                              <w:rFonts w:hint="eastAsia" w:asciiTheme="majorEastAsia" w:hAnsiTheme="majorEastAsia" w:eastAsiaTheme="majorEastAsia" w:cstheme="majorEastAsia"/>
                              <w:sz w:val="28"/>
                              <w:szCs w:val="40"/>
                              <w:lang w:val="en-US" w:eastAsia="zh-CN"/>
                            </w:rPr>
                            <w:t xml:space="preserve"> </w:t>
                          </w:r>
                          <w:r>
                            <w:rPr>
                              <w:rFonts w:hint="eastAsia" w:asciiTheme="majorEastAsia" w:hAnsiTheme="majorEastAsia" w:eastAsiaTheme="majorEastAsia" w:cstheme="majorEastAsia"/>
                              <w:sz w:val="28"/>
                              <w:szCs w:val="40"/>
                            </w:rPr>
                            <w:fldChar w:fldCharType="begin"/>
                          </w:r>
                          <w:r>
                            <w:rPr>
                              <w:rFonts w:hint="eastAsia" w:asciiTheme="majorEastAsia" w:hAnsiTheme="majorEastAsia" w:eastAsiaTheme="majorEastAsia" w:cstheme="majorEastAsia"/>
                              <w:sz w:val="28"/>
                              <w:szCs w:val="40"/>
                            </w:rPr>
                            <w:instrText xml:space="preserve"> PAGE  \* MERGEFORMAT </w:instrText>
                          </w:r>
                          <w:r>
                            <w:rPr>
                              <w:rFonts w:hint="eastAsia" w:asciiTheme="majorEastAsia" w:hAnsiTheme="majorEastAsia" w:eastAsiaTheme="majorEastAsia" w:cstheme="majorEastAsia"/>
                              <w:sz w:val="28"/>
                              <w:szCs w:val="40"/>
                            </w:rPr>
                            <w:fldChar w:fldCharType="separate"/>
                          </w:r>
                          <w:r>
                            <w:rPr>
                              <w:rFonts w:hint="eastAsia" w:asciiTheme="majorEastAsia" w:hAnsiTheme="majorEastAsia" w:eastAsiaTheme="majorEastAsia" w:cstheme="majorEastAsia"/>
                              <w:sz w:val="28"/>
                              <w:szCs w:val="40"/>
                            </w:rPr>
                            <w:t>1</w:t>
                          </w:r>
                          <w:r>
                            <w:rPr>
                              <w:rFonts w:hint="eastAsia" w:asciiTheme="majorEastAsia" w:hAnsiTheme="majorEastAsia" w:eastAsiaTheme="majorEastAsia" w:cstheme="majorEastAsia"/>
                              <w:sz w:val="28"/>
                              <w:szCs w:val="40"/>
                            </w:rPr>
                            <w:fldChar w:fldCharType="end"/>
                          </w:r>
                          <w:r>
                            <w:rPr>
                              <w:rFonts w:hint="eastAsia" w:asciiTheme="majorEastAsia" w:hAnsiTheme="majorEastAsia" w:eastAsiaTheme="majorEastAsia" w:cstheme="majorEastAsia"/>
                              <w:sz w:val="28"/>
                              <w:szCs w:val="40"/>
                              <w:lang w:val="en-US" w:eastAsia="zh-CN"/>
                            </w:rPr>
                            <w:t xml:space="preserve"> </w:t>
                          </w:r>
                          <w:r>
                            <w:rPr>
                              <w:rFonts w:hint="eastAsia" w:ascii="宋体" w:hAnsi="宋体" w:eastAsia="宋体" w:cs="宋体"/>
                              <w:sz w:val="28"/>
                              <w:szCs w:val="40"/>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E0F4E54">
                    <w:pPr>
                      <w:pStyle w:val="6"/>
                      <w:rPr>
                        <w:rFonts w:hint="eastAsia" w:asciiTheme="majorEastAsia" w:hAnsiTheme="majorEastAsia" w:eastAsiaTheme="majorEastAsia" w:cstheme="majorEastAsia"/>
                        <w:sz w:val="28"/>
                        <w:szCs w:val="40"/>
                      </w:rPr>
                    </w:pPr>
                    <w:r>
                      <w:rPr>
                        <w:rFonts w:hint="eastAsia" w:ascii="宋体" w:hAnsi="宋体" w:eastAsia="宋体" w:cs="宋体"/>
                        <w:sz w:val="28"/>
                        <w:szCs w:val="40"/>
                      </w:rPr>
                      <w:t>－</w:t>
                    </w:r>
                    <w:r>
                      <w:rPr>
                        <w:rFonts w:hint="eastAsia" w:asciiTheme="majorEastAsia" w:hAnsiTheme="majorEastAsia" w:eastAsiaTheme="majorEastAsia" w:cstheme="majorEastAsia"/>
                        <w:sz w:val="28"/>
                        <w:szCs w:val="40"/>
                        <w:lang w:val="en-US" w:eastAsia="zh-CN"/>
                      </w:rPr>
                      <w:t xml:space="preserve"> </w:t>
                    </w:r>
                    <w:r>
                      <w:rPr>
                        <w:rFonts w:hint="eastAsia" w:asciiTheme="majorEastAsia" w:hAnsiTheme="majorEastAsia" w:eastAsiaTheme="majorEastAsia" w:cstheme="majorEastAsia"/>
                        <w:sz w:val="28"/>
                        <w:szCs w:val="40"/>
                      </w:rPr>
                      <w:fldChar w:fldCharType="begin"/>
                    </w:r>
                    <w:r>
                      <w:rPr>
                        <w:rFonts w:hint="eastAsia" w:asciiTheme="majorEastAsia" w:hAnsiTheme="majorEastAsia" w:eastAsiaTheme="majorEastAsia" w:cstheme="majorEastAsia"/>
                        <w:sz w:val="28"/>
                        <w:szCs w:val="40"/>
                      </w:rPr>
                      <w:instrText xml:space="preserve"> PAGE  \* MERGEFORMAT </w:instrText>
                    </w:r>
                    <w:r>
                      <w:rPr>
                        <w:rFonts w:hint="eastAsia" w:asciiTheme="majorEastAsia" w:hAnsiTheme="majorEastAsia" w:eastAsiaTheme="majorEastAsia" w:cstheme="majorEastAsia"/>
                        <w:sz w:val="28"/>
                        <w:szCs w:val="40"/>
                      </w:rPr>
                      <w:fldChar w:fldCharType="separate"/>
                    </w:r>
                    <w:r>
                      <w:rPr>
                        <w:rFonts w:hint="eastAsia" w:asciiTheme="majorEastAsia" w:hAnsiTheme="majorEastAsia" w:eastAsiaTheme="majorEastAsia" w:cstheme="majorEastAsia"/>
                        <w:sz w:val="28"/>
                        <w:szCs w:val="40"/>
                      </w:rPr>
                      <w:t>1</w:t>
                    </w:r>
                    <w:r>
                      <w:rPr>
                        <w:rFonts w:hint="eastAsia" w:asciiTheme="majorEastAsia" w:hAnsiTheme="majorEastAsia" w:eastAsiaTheme="majorEastAsia" w:cstheme="majorEastAsia"/>
                        <w:sz w:val="28"/>
                        <w:szCs w:val="40"/>
                      </w:rPr>
                      <w:fldChar w:fldCharType="end"/>
                    </w:r>
                    <w:r>
                      <w:rPr>
                        <w:rFonts w:hint="eastAsia" w:asciiTheme="majorEastAsia" w:hAnsiTheme="majorEastAsia" w:eastAsiaTheme="majorEastAsia" w:cstheme="majorEastAsia"/>
                        <w:sz w:val="28"/>
                        <w:szCs w:val="40"/>
                        <w:lang w:val="en-US" w:eastAsia="zh-CN"/>
                      </w:rPr>
                      <w:t xml:space="preserve"> </w:t>
                    </w:r>
                    <w:r>
                      <w:rPr>
                        <w:rFonts w:hint="eastAsia" w:ascii="宋体" w:hAnsi="宋体" w:eastAsia="宋体" w:cs="宋体"/>
                        <w:sz w:val="28"/>
                        <w:szCs w:val="40"/>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AB3E">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AA4DF7">
                          <w:pPr>
                            <w:pStyle w:val="6"/>
                            <w:rPr>
                              <w:rFonts w:hint="eastAsia" w:asciiTheme="majorEastAsia" w:hAnsiTheme="majorEastAsia" w:eastAsiaTheme="majorEastAsia" w:cstheme="majorEastAsia"/>
                              <w:sz w:val="28"/>
                              <w:szCs w:val="40"/>
                            </w:rPr>
                          </w:pPr>
                          <w:r>
                            <w:rPr>
                              <w:rFonts w:hint="eastAsia" w:ascii="宋体" w:hAnsi="宋体" w:eastAsia="宋体" w:cs="宋体"/>
                              <w:sz w:val="28"/>
                              <w:szCs w:val="40"/>
                            </w:rPr>
                            <w:t>－</w:t>
                          </w:r>
                          <w:r>
                            <w:rPr>
                              <w:rFonts w:hint="eastAsia" w:asciiTheme="majorEastAsia" w:hAnsiTheme="majorEastAsia" w:eastAsiaTheme="majorEastAsia" w:cstheme="majorEastAsia"/>
                              <w:sz w:val="28"/>
                              <w:szCs w:val="40"/>
                              <w:lang w:val="en-US" w:eastAsia="zh-CN"/>
                            </w:rPr>
                            <w:t xml:space="preserve"> </w:t>
                          </w:r>
                          <w:r>
                            <w:rPr>
                              <w:rFonts w:hint="eastAsia" w:asciiTheme="majorEastAsia" w:hAnsiTheme="majorEastAsia" w:eastAsiaTheme="majorEastAsia" w:cstheme="majorEastAsia"/>
                              <w:sz w:val="28"/>
                              <w:szCs w:val="40"/>
                            </w:rPr>
                            <w:fldChar w:fldCharType="begin"/>
                          </w:r>
                          <w:r>
                            <w:rPr>
                              <w:rFonts w:hint="eastAsia" w:asciiTheme="majorEastAsia" w:hAnsiTheme="majorEastAsia" w:eastAsiaTheme="majorEastAsia" w:cstheme="majorEastAsia"/>
                              <w:sz w:val="28"/>
                              <w:szCs w:val="40"/>
                            </w:rPr>
                            <w:instrText xml:space="preserve"> PAGE  \* MERGEFORMAT </w:instrText>
                          </w:r>
                          <w:r>
                            <w:rPr>
                              <w:rFonts w:hint="eastAsia" w:asciiTheme="majorEastAsia" w:hAnsiTheme="majorEastAsia" w:eastAsiaTheme="majorEastAsia" w:cstheme="majorEastAsia"/>
                              <w:sz w:val="28"/>
                              <w:szCs w:val="40"/>
                            </w:rPr>
                            <w:fldChar w:fldCharType="separate"/>
                          </w:r>
                          <w:r>
                            <w:rPr>
                              <w:rFonts w:hint="eastAsia" w:asciiTheme="majorEastAsia" w:hAnsiTheme="majorEastAsia" w:eastAsiaTheme="majorEastAsia" w:cstheme="majorEastAsia"/>
                              <w:sz w:val="28"/>
                              <w:szCs w:val="40"/>
                            </w:rPr>
                            <w:t>1</w:t>
                          </w:r>
                          <w:r>
                            <w:rPr>
                              <w:rFonts w:hint="eastAsia" w:asciiTheme="majorEastAsia" w:hAnsiTheme="majorEastAsia" w:eastAsiaTheme="majorEastAsia" w:cstheme="majorEastAsia"/>
                              <w:sz w:val="28"/>
                              <w:szCs w:val="40"/>
                            </w:rPr>
                            <w:fldChar w:fldCharType="end"/>
                          </w:r>
                          <w:r>
                            <w:rPr>
                              <w:rFonts w:hint="eastAsia" w:asciiTheme="majorEastAsia" w:hAnsiTheme="majorEastAsia" w:eastAsiaTheme="majorEastAsia" w:cstheme="majorEastAsia"/>
                              <w:sz w:val="28"/>
                              <w:szCs w:val="40"/>
                              <w:lang w:val="en-US" w:eastAsia="zh-CN"/>
                            </w:rPr>
                            <w:t xml:space="preserve"> </w:t>
                          </w:r>
                          <w:r>
                            <w:rPr>
                              <w:rFonts w:hint="eastAsia" w:ascii="宋体" w:hAnsi="宋体" w:eastAsia="宋体" w:cs="宋体"/>
                              <w:sz w:val="28"/>
                              <w:szCs w:val="40"/>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7AA4DF7">
                    <w:pPr>
                      <w:pStyle w:val="6"/>
                      <w:rPr>
                        <w:rFonts w:hint="eastAsia" w:asciiTheme="majorEastAsia" w:hAnsiTheme="majorEastAsia" w:eastAsiaTheme="majorEastAsia" w:cstheme="majorEastAsia"/>
                        <w:sz w:val="28"/>
                        <w:szCs w:val="40"/>
                      </w:rPr>
                    </w:pPr>
                    <w:r>
                      <w:rPr>
                        <w:rFonts w:hint="eastAsia" w:ascii="宋体" w:hAnsi="宋体" w:eastAsia="宋体" w:cs="宋体"/>
                        <w:sz w:val="28"/>
                        <w:szCs w:val="40"/>
                      </w:rPr>
                      <w:t>－</w:t>
                    </w:r>
                    <w:r>
                      <w:rPr>
                        <w:rFonts w:hint="eastAsia" w:asciiTheme="majorEastAsia" w:hAnsiTheme="majorEastAsia" w:eastAsiaTheme="majorEastAsia" w:cstheme="majorEastAsia"/>
                        <w:sz w:val="28"/>
                        <w:szCs w:val="40"/>
                        <w:lang w:val="en-US" w:eastAsia="zh-CN"/>
                      </w:rPr>
                      <w:t xml:space="preserve"> </w:t>
                    </w:r>
                    <w:r>
                      <w:rPr>
                        <w:rFonts w:hint="eastAsia" w:asciiTheme="majorEastAsia" w:hAnsiTheme="majorEastAsia" w:eastAsiaTheme="majorEastAsia" w:cstheme="majorEastAsia"/>
                        <w:sz w:val="28"/>
                        <w:szCs w:val="40"/>
                      </w:rPr>
                      <w:fldChar w:fldCharType="begin"/>
                    </w:r>
                    <w:r>
                      <w:rPr>
                        <w:rFonts w:hint="eastAsia" w:asciiTheme="majorEastAsia" w:hAnsiTheme="majorEastAsia" w:eastAsiaTheme="majorEastAsia" w:cstheme="majorEastAsia"/>
                        <w:sz w:val="28"/>
                        <w:szCs w:val="40"/>
                      </w:rPr>
                      <w:instrText xml:space="preserve"> PAGE  \* MERGEFORMAT </w:instrText>
                    </w:r>
                    <w:r>
                      <w:rPr>
                        <w:rFonts w:hint="eastAsia" w:asciiTheme="majorEastAsia" w:hAnsiTheme="majorEastAsia" w:eastAsiaTheme="majorEastAsia" w:cstheme="majorEastAsia"/>
                        <w:sz w:val="28"/>
                        <w:szCs w:val="40"/>
                      </w:rPr>
                      <w:fldChar w:fldCharType="separate"/>
                    </w:r>
                    <w:r>
                      <w:rPr>
                        <w:rFonts w:hint="eastAsia" w:asciiTheme="majorEastAsia" w:hAnsiTheme="majorEastAsia" w:eastAsiaTheme="majorEastAsia" w:cstheme="majorEastAsia"/>
                        <w:sz w:val="28"/>
                        <w:szCs w:val="40"/>
                      </w:rPr>
                      <w:t>1</w:t>
                    </w:r>
                    <w:r>
                      <w:rPr>
                        <w:rFonts w:hint="eastAsia" w:asciiTheme="majorEastAsia" w:hAnsiTheme="majorEastAsia" w:eastAsiaTheme="majorEastAsia" w:cstheme="majorEastAsia"/>
                        <w:sz w:val="28"/>
                        <w:szCs w:val="40"/>
                      </w:rPr>
                      <w:fldChar w:fldCharType="end"/>
                    </w:r>
                    <w:r>
                      <w:rPr>
                        <w:rFonts w:hint="eastAsia" w:asciiTheme="majorEastAsia" w:hAnsiTheme="majorEastAsia" w:eastAsiaTheme="majorEastAsia" w:cstheme="majorEastAsia"/>
                        <w:sz w:val="28"/>
                        <w:szCs w:val="40"/>
                        <w:lang w:val="en-US" w:eastAsia="zh-CN"/>
                      </w:rPr>
                      <w:t xml:space="preserve"> </w:t>
                    </w:r>
                    <w:r>
                      <w:rPr>
                        <w:rFonts w:hint="eastAsia" w:ascii="宋体" w:hAnsi="宋体" w:eastAsia="宋体" w:cs="宋体"/>
                        <w:sz w:val="28"/>
                        <w:szCs w:val="40"/>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82CE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176BB">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C7481">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D0A23"/>
    <w:multiLevelType w:val="singleLevel"/>
    <w:tmpl w:val="819D0A23"/>
    <w:lvl w:ilvl="0" w:tentative="0">
      <w:start w:val="1"/>
      <w:numFmt w:val="chineseCounting"/>
      <w:suff w:val="nothing"/>
      <w:lvlText w:val="（%1）"/>
      <w:lvlJc w:val="left"/>
      <w:pPr>
        <w:ind w:left="0" w:firstLine="420"/>
      </w:pPr>
      <w:rPr>
        <w:rFonts w:hint="eastAsia"/>
      </w:rPr>
    </w:lvl>
  </w:abstractNum>
  <w:abstractNum w:abstractNumId="1">
    <w:nsid w:val="982C24BB"/>
    <w:multiLevelType w:val="singleLevel"/>
    <w:tmpl w:val="982C24BB"/>
    <w:lvl w:ilvl="0" w:tentative="0">
      <w:start w:val="1"/>
      <w:numFmt w:val="chineseCounting"/>
      <w:suff w:val="nothing"/>
      <w:lvlText w:val="（%1）"/>
      <w:lvlJc w:val="left"/>
      <w:pPr>
        <w:ind w:left="0" w:firstLine="420"/>
      </w:pPr>
      <w:rPr>
        <w:rFonts w:hint="eastAsia"/>
      </w:rPr>
    </w:lvl>
  </w:abstractNum>
  <w:abstractNum w:abstractNumId="2">
    <w:nsid w:val="A0BDE2BB"/>
    <w:multiLevelType w:val="singleLevel"/>
    <w:tmpl w:val="A0BDE2BB"/>
    <w:lvl w:ilvl="0" w:tentative="0">
      <w:start w:val="1"/>
      <w:numFmt w:val="chineseCounting"/>
      <w:suff w:val="nothing"/>
      <w:lvlText w:val="（%1）"/>
      <w:lvlJc w:val="left"/>
      <w:pPr>
        <w:ind w:left="0" w:firstLine="420"/>
      </w:pPr>
      <w:rPr>
        <w:rFonts w:hint="eastAsia"/>
      </w:rPr>
    </w:lvl>
  </w:abstractNum>
  <w:abstractNum w:abstractNumId="3">
    <w:nsid w:val="BBF0B48D"/>
    <w:multiLevelType w:val="singleLevel"/>
    <w:tmpl w:val="BBF0B48D"/>
    <w:lvl w:ilvl="0" w:tentative="0">
      <w:start w:val="1"/>
      <w:numFmt w:val="chineseCounting"/>
      <w:suff w:val="nothing"/>
      <w:lvlText w:val="（%1）"/>
      <w:lvlJc w:val="left"/>
      <w:pPr>
        <w:ind w:left="0" w:firstLine="420"/>
      </w:pPr>
      <w:rPr>
        <w:rFonts w:hint="eastAsia"/>
      </w:rPr>
    </w:lvl>
  </w:abstractNum>
  <w:abstractNum w:abstractNumId="4">
    <w:nsid w:val="3FA41F7C"/>
    <w:multiLevelType w:val="singleLevel"/>
    <w:tmpl w:val="3FA41F7C"/>
    <w:lvl w:ilvl="0" w:tentative="0">
      <w:start w:val="1"/>
      <w:numFmt w:val="chineseCounting"/>
      <w:suff w:val="nothing"/>
      <w:lvlText w:val="（%1）"/>
      <w:lvlJc w:val="left"/>
      <w:pPr>
        <w:ind w:left="0" w:firstLine="420"/>
      </w:pPr>
      <w:rPr>
        <w:rFonts w:hint="eastAsia"/>
      </w:rPr>
    </w:lvl>
  </w:abstractNum>
  <w:abstractNum w:abstractNumId="5">
    <w:nsid w:val="5D63D5AE"/>
    <w:multiLevelType w:val="singleLevel"/>
    <w:tmpl w:val="5D63D5AE"/>
    <w:lvl w:ilvl="0" w:tentative="0">
      <w:start w:val="1"/>
      <w:numFmt w:val="chineseCounting"/>
      <w:suff w:val="nothing"/>
      <w:lvlText w:val="第%1条"/>
      <w:lvlJc w:val="left"/>
      <w:pPr>
        <w:ind w:left="0" w:firstLine="420"/>
      </w:pPr>
      <w:rPr>
        <w:rFonts w:hint="eastAsia"/>
        <w:b/>
        <w:bCs/>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jYzMwYTRhMDRiYjc1MzUzOGIzMjFkMjM0ZTZiZmYifQ=="/>
  </w:docVars>
  <w:rsids>
    <w:rsidRoot w:val="00000000"/>
    <w:rsid w:val="00100E4D"/>
    <w:rsid w:val="0264122D"/>
    <w:rsid w:val="02CB4D2D"/>
    <w:rsid w:val="035A084A"/>
    <w:rsid w:val="04A14D61"/>
    <w:rsid w:val="05620D91"/>
    <w:rsid w:val="07294629"/>
    <w:rsid w:val="08446F77"/>
    <w:rsid w:val="08A13C26"/>
    <w:rsid w:val="0A110938"/>
    <w:rsid w:val="0A586566"/>
    <w:rsid w:val="11FA43A7"/>
    <w:rsid w:val="14CD4615"/>
    <w:rsid w:val="19742685"/>
    <w:rsid w:val="1BA63D90"/>
    <w:rsid w:val="2198136A"/>
    <w:rsid w:val="22E20C6B"/>
    <w:rsid w:val="25657932"/>
    <w:rsid w:val="295403E9"/>
    <w:rsid w:val="29852351"/>
    <w:rsid w:val="2ABF0988"/>
    <w:rsid w:val="2B0B2D29"/>
    <w:rsid w:val="2C4739F4"/>
    <w:rsid w:val="2DDC2C64"/>
    <w:rsid w:val="2E0929AB"/>
    <w:rsid w:val="2EEC4418"/>
    <w:rsid w:val="2F4350C0"/>
    <w:rsid w:val="2F6B4450"/>
    <w:rsid w:val="320D3AB8"/>
    <w:rsid w:val="35015EFC"/>
    <w:rsid w:val="35E80BF9"/>
    <w:rsid w:val="3E440E5A"/>
    <w:rsid w:val="3F6820A1"/>
    <w:rsid w:val="412C5900"/>
    <w:rsid w:val="413E2B63"/>
    <w:rsid w:val="4515506C"/>
    <w:rsid w:val="456A6678"/>
    <w:rsid w:val="46044DAA"/>
    <w:rsid w:val="46E841F3"/>
    <w:rsid w:val="4769611A"/>
    <w:rsid w:val="49053C59"/>
    <w:rsid w:val="4AF8077D"/>
    <w:rsid w:val="4DD37564"/>
    <w:rsid w:val="51951462"/>
    <w:rsid w:val="51C37829"/>
    <w:rsid w:val="54C93DE1"/>
    <w:rsid w:val="54EA7227"/>
    <w:rsid w:val="557642AD"/>
    <w:rsid w:val="585A2A77"/>
    <w:rsid w:val="5ACD5782"/>
    <w:rsid w:val="5E956320"/>
    <w:rsid w:val="5EEA7106"/>
    <w:rsid w:val="5F2D78BA"/>
    <w:rsid w:val="630908DE"/>
    <w:rsid w:val="642108EC"/>
    <w:rsid w:val="6C966434"/>
    <w:rsid w:val="721D4D44"/>
    <w:rsid w:val="76950BB7"/>
    <w:rsid w:val="79B078F9"/>
    <w:rsid w:val="7CFB5B9C"/>
    <w:rsid w:val="7DB07A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2">
    <w:name w:val="heading 2"/>
    <w:basedOn w:val="1"/>
    <w:next w:val="1"/>
    <w:unhideWhenUsed/>
    <w:qFormat/>
    <w:uiPriority w:val="9"/>
    <w:pPr>
      <w:keepNext/>
      <w:keepLines/>
      <w:ind w:firstLine="1606" w:firstLineChars="500"/>
      <w:jc w:val="left"/>
      <w:outlineLvl w:val="1"/>
    </w:pPr>
    <w:rPr>
      <w:rFonts w:eastAsia="楷体_GB2312" w:cstheme="majorBidi"/>
      <w:b/>
      <w:bCs/>
      <w:kern w:val="0"/>
      <w:szCs w:val="32"/>
    </w:rPr>
  </w:style>
  <w:style w:type="paragraph" w:styleId="3">
    <w:name w:val="heading 4"/>
    <w:basedOn w:val="1"/>
    <w:next w:val="1"/>
    <w:semiHidden/>
    <w:unhideWhenUsed/>
    <w:qFormat/>
    <w:uiPriority w:val="0"/>
    <w:pPr>
      <w:keepNext/>
      <w:keepLines/>
      <w:widowControl w:val="0"/>
      <w:suppressLineNumbers w:val="0"/>
      <w:spacing w:before="280" w:beforeAutospacing="0" w:after="290" w:afterAutospacing="0" w:line="374" w:lineRule="auto"/>
      <w:jc w:val="both"/>
      <w:outlineLvl w:val="3"/>
    </w:pPr>
    <w:rPr>
      <w:rFonts w:hint="default" w:ascii="Cambria" w:hAnsi="Cambria" w:eastAsia="宋体" w:cs="Times New Roman"/>
      <w:b/>
      <w:bCs/>
      <w:kern w:val="0"/>
      <w:sz w:val="28"/>
      <w:szCs w:val="28"/>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11">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3743</Words>
  <Characters>3779</Characters>
  <TotalTime>2</TotalTime>
  <ScaleCrop>false</ScaleCrop>
  <LinksUpToDate>false</LinksUpToDate>
  <CharactersWithSpaces>3885</CharactersWithSpaces>
  <Application>WPS Office_12.1.0.17147_F1E327BC-269C-435d-A152-05C5408002CA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2024-07-10T03:16:00Z</dcterms:created>
  <dc:creator>Apache POI</dc:creator>
  <cp:lastModifiedBy>lhl</cp:lastModifiedBy>
  <dcterms:modified xsi:type="dcterms:W3CDTF">2024-07-30T06:34:57Z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C994D3F2CE684769A2CE30EDC00A7B83_13</vt:lpwstr>
  </property>
</Properties>
</file>