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kern w:val="0"/>
          <w:sz w:val="44"/>
          <w:szCs w:val="44"/>
          <w:lang w:val="en-US" w:eastAsia="zh-CN"/>
        </w:rPr>
        <w:t>四川九洲环保科技有限责任公司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kern w:val="0"/>
          <w:sz w:val="44"/>
          <w:szCs w:val="44"/>
          <w:lang w:val="en-US" w:eastAsia="zh-CN"/>
        </w:rPr>
        <w:t>关于申请调整2024年利润指标的报告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集团战略发展部：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根据集团年初制定的全面预算指标，我公司全年利润目标为100万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元，截止6月实际利润为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-364.67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万元，其中合作项目应进入而未进入利润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293.13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万元，公司截止6月实际利润为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-126.24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万元，较上年同期增长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54.06%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，扣除补缴上年度税金及滞纳金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92.73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万元，实际利润为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-33.51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万元，较上年同期增长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90.81%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。现将目标未完成原因及亏损原因分析报告如下：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一、目标差额原因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利润指标完成情况与目标差距的主要原因，是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年初预算利润总额指标是基于我公司“十四五战略规划”中部分设施已建设的前提，但截至6月，公司战略规划并未落地，各业务板块布局未调整，上半年公司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只能在现有资源条件下开展经营，力求缩小经营亏损。加之硬件能力先天受限、库房空间不足、产能与市场不匹配及流动资金等多方因素，公司在2024年下半年预计将存在持续亏损的局面。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二、亏损原因分析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（一）危废处置单价持续下降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tbl>
      <w:tblPr>
        <w:tblStyle w:val="3"/>
        <w:tblW w:w="8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213"/>
        <w:gridCol w:w="969"/>
        <w:gridCol w:w="852"/>
        <w:gridCol w:w="968"/>
        <w:gridCol w:w="858"/>
        <w:gridCol w:w="852"/>
        <w:gridCol w:w="859"/>
        <w:gridCol w:w="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336" w:type="dxa"/>
            <w:gridSpan w:val="9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2021年-2024年6月危废处置回收统计表（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单位：吨、万元）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54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2182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2021年</w:t>
            </w:r>
          </w:p>
        </w:tc>
        <w:tc>
          <w:tcPr>
            <w:tcW w:w="1820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</w:t>
            </w:r>
          </w:p>
        </w:tc>
        <w:tc>
          <w:tcPr>
            <w:tcW w:w="1710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2023年</w:t>
            </w:r>
          </w:p>
        </w:tc>
        <w:tc>
          <w:tcPr>
            <w:tcW w:w="1770" w:type="dxa"/>
            <w:gridSpan w:val="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2024年1-6月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54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3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转移量</w:t>
            </w:r>
          </w:p>
        </w:tc>
        <w:tc>
          <w:tcPr>
            <w:tcW w:w="9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</w:t>
            </w:r>
          </w:p>
        </w:tc>
        <w:tc>
          <w:tcPr>
            <w:tcW w:w="852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转移量</w:t>
            </w:r>
          </w:p>
        </w:tc>
        <w:tc>
          <w:tcPr>
            <w:tcW w:w="9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</w:t>
            </w:r>
          </w:p>
        </w:tc>
        <w:tc>
          <w:tcPr>
            <w:tcW w:w="858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转移量</w:t>
            </w:r>
          </w:p>
        </w:tc>
        <w:tc>
          <w:tcPr>
            <w:tcW w:w="8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</w:t>
            </w:r>
          </w:p>
        </w:tc>
        <w:tc>
          <w:tcPr>
            <w:tcW w:w="859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转移量</w:t>
            </w:r>
          </w:p>
        </w:tc>
        <w:tc>
          <w:tcPr>
            <w:tcW w:w="91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54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3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852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85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859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HW06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810.07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0.43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1297.32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0.28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1639.23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0.15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559.45 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HW08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46.57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0.19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66.84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0.07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255.83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0.36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12.09 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HW09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167.29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0.31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293.68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0.16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627.24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0.18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492.39 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HW11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51.64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0.50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HW13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32.41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0.16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60.85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0.15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HW49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96.12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1.34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88.03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1.67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148.30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0.79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87.62 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8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一般    废物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151.93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0.08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32.94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0.05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54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小计</w:t>
            </w:r>
          </w:p>
        </w:tc>
        <w:tc>
          <w:tcPr>
            <w:tcW w:w="121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1271.98 </w:t>
            </w:r>
          </w:p>
        </w:tc>
        <w:tc>
          <w:tcPr>
            <w:tcW w:w="96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1862.86 </w:t>
            </w:r>
          </w:p>
        </w:tc>
        <w:tc>
          <w:tcPr>
            <w:tcW w:w="9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85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2731.45 </w:t>
            </w:r>
          </w:p>
        </w:tc>
        <w:tc>
          <w:tcPr>
            <w:tcW w:w="8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1151.54 </w:t>
            </w:r>
          </w:p>
        </w:tc>
        <w:tc>
          <w:tcPr>
            <w:tcW w:w="91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0.32 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危废处置业务虽经营数量受许可证限制，但实际转移量并未下滑，主要受行业行情变化影响，危废处置单价逐年下降。2024年上半年公司采取择价转移策略，基本止住降价趋势，稳定了危废处置的平均单价。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（二）润滑油产能运用不足，导致毛利率低</w:t>
      </w:r>
    </w:p>
    <w:tbl>
      <w:tblPr>
        <w:tblStyle w:val="3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6"/>
        <w:gridCol w:w="1802"/>
        <w:gridCol w:w="2100"/>
        <w:gridCol w:w="2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7200" w:type="dxa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2021年-2024年6月润滑油业务毛利率变化表（ 单位：吨、万元）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5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年份</w:t>
            </w:r>
          </w:p>
        </w:tc>
        <w:tc>
          <w:tcPr>
            <w:tcW w:w="18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产量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收入</w:t>
            </w:r>
          </w:p>
        </w:tc>
        <w:tc>
          <w:tcPr>
            <w:tcW w:w="204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毛利率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2021年</w:t>
            </w:r>
          </w:p>
        </w:tc>
        <w:tc>
          <w:tcPr>
            <w:tcW w:w="18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273.35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209.68</w:t>
            </w:r>
          </w:p>
        </w:tc>
        <w:tc>
          <w:tcPr>
            <w:tcW w:w="204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-26.93%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2022年</w:t>
            </w:r>
          </w:p>
        </w:tc>
        <w:tc>
          <w:tcPr>
            <w:tcW w:w="18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388.53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356.51</w:t>
            </w:r>
          </w:p>
        </w:tc>
        <w:tc>
          <w:tcPr>
            <w:tcW w:w="204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-31.81%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2023年</w:t>
            </w:r>
          </w:p>
        </w:tc>
        <w:tc>
          <w:tcPr>
            <w:tcW w:w="18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1375.36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1189.74</w:t>
            </w:r>
          </w:p>
        </w:tc>
        <w:tc>
          <w:tcPr>
            <w:tcW w:w="204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-8.15%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2024年6月</w:t>
            </w:r>
          </w:p>
        </w:tc>
        <w:tc>
          <w:tcPr>
            <w:tcW w:w="180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656.19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513.99</w:t>
            </w:r>
          </w:p>
        </w:tc>
        <w:tc>
          <w:tcPr>
            <w:tcW w:w="204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-3.11%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润滑油业务亏损主要原因是产能利用率低，固定折旧摊销高，导致毛利率低。2023年起公司重新确立润滑油的主营业务地位，重点发展中高端油品及具有国产化替代需求的客户，上半年润滑油毛利率从22年的-31.81%提升至-3.11%，坚持此项业务政策，润滑油板块有望本年内毛利转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（三）综合利用废液回收价格有所上涨</w:t>
      </w:r>
    </w:p>
    <w:tbl>
      <w:tblPr>
        <w:tblStyle w:val="3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880"/>
        <w:gridCol w:w="2100"/>
        <w:gridCol w:w="2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7200" w:type="dxa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2021年-2024年6月危废利用回收统计表（ 单位：吨、万元）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1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年份</w:t>
            </w:r>
          </w:p>
        </w:tc>
        <w:tc>
          <w:tcPr>
            <w:tcW w:w="18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废液回收数量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金额</w:t>
            </w:r>
          </w:p>
        </w:tc>
        <w:tc>
          <w:tcPr>
            <w:tcW w:w="20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2021年</w:t>
            </w:r>
          </w:p>
        </w:tc>
        <w:tc>
          <w:tcPr>
            <w:tcW w:w="18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10560.47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73.48</w:t>
            </w:r>
          </w:p>
        </w:tc>
        <w:tc>
          <w:tcPr>
            <w:tcW w:w="20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2022年</w:t>
            </w:r>
          </w:p>
        </w:tc>
        <w:tc>
          <w:tcPr>
            <w:tcW w:w="18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9442.61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301.17</w:t>
            </w:r>
          </w:p>
        </w:tc>
        <w:tc>
          <w:tcPr>
            <w:tcW w:w="20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2023年</w:t>
            </w:r>
          </w:p>
        </w:tc>
        <w:tc>
          <w:tcPr>
            <w:tcW w:w="18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7841.58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511.86</w:t>
            </w:r>
          </w:p>
        </w:tc>
        <w:tc>
          <w:tcPr>
            <w:tcW w:w="20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6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2024年6月</w:t>
            </w:r>
          </w:p>
        </w:tc>
        <w:tc>
          <w:tcPr>
            <w:tcW w:w="18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5922.02</w:t>
            </w:r>
          </w:p>
        </w:tc>
        <w:tc>
          <w:tcPr>
            <w:tcW w:w="21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381.68</w:t>
            </w:r>
          </w:p>
        </w:tc>
        <w:tc>
          <w:tcPr>
            <w:tcW w:w="205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0.06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综合利用业务是公司重要利润来源之一，但近年来该板块贡献有所下滑，主要原因一是废液回收成本由22年平均单价0.01万元，当期已上涨至0.6万元，二是回收数量下降。回收成本受行情影响我公司无法控制，但转移数量已通过市场手段尽量弥补，24年全年有望恢复至22年的水平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3" w:firstLineChars="200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（四）经营情况变化分析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综合上述分析，环保产业近年来市场行情变化大，但结合公司的经营策略，在采取提升润滑油毛利、危废处置择价收取、利用板块扩大客户群体及研发降本等系列措施后，公司上半年经营情况有明显好转。虽依旧存在亏损，但营收规模增长较快，利润较22年及23年同期增幅明显，客观反应出公司的止损扭亏措施行之有效，且危废处置行业依然属于朝阳产业，在成功渡过行业变更期后公司依旧未来可期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三、总结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综上分析，我公司在市场总体行情变化及固定资产配置不足的情况下，通过调整战略思路及主营业务方向等措施，总体经营情况有所改善，下半年公司将继续对外加强业务拓展，对内控费降本。但鉴于客观实际若不调整整体布局，当期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公司的经营利润依旧难以完全覆盖固定资产折旧支出，故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申请将2024年利润总额目标更正为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-300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万元。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                      四川九洲环保科技有限责任公司</w:t>
      </w:r>
    </w:p>
    <w:p>
      <w:pPr>
        <w:pStyle w:val="2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 xml:space="preserve">                           二〇二四年七月二十四日</w:t>
      </w:r>
    </w:p>
    <w:sectPr>
      <w:pgSz w:w="11906" w:h="16838"/>
      <w:pgMar w:top="1247" w:right="1800" w:bottom="124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94C79"/>
    <w:rsid w:val="0225157D"/>
    <w:rsid w:val="03D04FE6"/>
    <w:rsid w:val="06E95B2A"/>
    <w:rsid w:val="06FD6C6A"/>
    <w:rsid w:val="0BF520CB"/>
    <w:rsid w:val="0F142222"/>
    <w:rsid w:val="121A0711"/>
    <w:rsid w:val="14E94D99"/>
    <w:rsid w:val="18C75757"/>
    <w:rsid w:val="1B4B1396"/>
    <w:rsid w:val="23DF0D2E"/>
    <w:rsid w:val="24920AD5"/>
    <w:rsid w:val="29C47D5C"/>
    <w:rsid w:val="29F47B67"/>
    <w:rsid w:val="2E0E5CC8"/>
    <w:rsid w:val="2FFB49AE"/>
    <w:rsid w:val="30273077"/>
    <w:rsid w:val="3346147B"/>
    <w:rsid w:val="336C4841"/>
    <w:rsid w:val="36032B30"/>
    <w:rsid w:val="363831D3"/>
    <w:rsid w:val="3671108A"/>
    <w:rsid w:val="374D0A1E"/>
    <w:rsid w:val="39D36399"/>
    <w:rsid w:val="3CD761B0"/>
    <w:rsid w:val="3D394C79"/>
    <w:rsid w:val="4222397C"/>
    <w:rsid w:val="44FA27CE"/>
    <w:rsid w:val="46AE3DF7"/>
    <w:rsid w:val="47BC7995"/>
    <w:rsid w:val="49044529"/>
    <w:rsid w:val="4C176B2D"/>
    <w:rsid w:val="50E31330"/>
    <w:rsid w:val="55A00798"/>
    <w:rsid w:val="55EF3503"/>
    <w:rsid w:val="58947E6A"/>
    <w:rsid w:val="5F3A5445"/>
    <w:rsid w:val="606A02C8"/>
    <w:rsid w:val="617006C5"/>
    <w:rsid w:val="621D238E"/>
    <w:rsid w:val="626B6FDD"/>
    <w:rsid w:val="63F3709F"/>
    <w:rsid w:val="6BB87959"/>
    <w:rsid w:val="6C8C31C5"/>
    <w:rsid w:val="6CDD0F76"/>
    <w:rsid w:val="6DEE7AA3"/>
    <w:rsid w:val="6FB96690"/>
    <w:rsid w:val="70254389"/>
    <w:rsid w:val="7042601A"/>
    <w:rsid w:val="70507544"/>
    <w:rsid w:val="70B103D5"/>
    <w:rsid w:val="71F0430A"/>
    <w:rsid w:val="74D66E23"/>
    <w:rsid w:val="74F775F4"/>
    <w:rsid w:val="758F1D4E"/>
    <w:rsid w:val="77B0495A"/>
    <w:rsid w:val="77DC05EB"/>
    <w:rsid w:val="77E05EDF"/>
    <w:rsid w:val="7889009E"/>
    <w:rsid w:val="7C9F1361"/>
    <w:rsid w:val="7D47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2024-07-24T01:56:00Z</dcterms:created>
  <dc:creator>Administrator</dc:creator>
  <cp:lastModifiedBy>Administrator</cp:lastModifiedBy>
  <dcterms:modified xsi:type="dcterms:W3CDTF">2024-07-24T07:45:35Z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