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关于对2024年年度融资计划备案的请示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一、2023年度融资情况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2023年，经绵阳市国资委审核并报市政府同意，九洲集团计划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融资额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140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亿，完成融资额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129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亿，完成比例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92.36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%，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年底债务</w:t>
      </w:r>
      <w:r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  <w:t>融资余额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174</w:t>
      </w:r>
      <w:r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  <w:t>亿，综合融资成本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2.76%</w:t>
      </w:r>
      <w:r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  <w:t>九洲集团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推动集团融资资源统筹规划，充分发挥集团规模优势，优化改善融资结构，利用集团平台及国家资金优惠政策，挖掘高息贷款置换契机，切实降低融资成本。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拓展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银行合作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深度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，丰富融资授信储备，确保融资弹性。创新多元化融资模式，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推进无追保理业务落地实施。建立健全内部信用评价体系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科学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合理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开展内部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资源配置，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并保障投资资金资源，服务产业发展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highlight w:val="none"/>
          <w:lang w:val="en-US" w:eastAsia="zh-CN" w:bidi="ar"/>
        </w:rPr>
        <w:t>组织开展“保障现金流”专项行动，全面保障集团经营现金回流，严控债务风险和资金风险。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具体测算详见附件1。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二、2024年度资金需求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2024年是实现“十四五”规划关键之年，</w:t>
      </w:r>
      <w:r>
        <w:rPr>
          <w:rFonts w:hint="eastAsia" w:ascii="仿宋_GB2312" w:eastAsia="仿宋_GB2312"/>
          <w:color w:val="auto"/>
          <w:spacing w:val="6"/>
          <w:sz w:val="32"/>
          <w:szCs w:val="32"/>
          <w:highlight w:val="none"/>
        </w:rPr>
        <w:t>九洲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集团将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紧紧围绕战略发展规划及年度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经营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方针</w:t>
      </w:r>
      <w:r>
        <w:rPr>
          <w:rFonts w:ascii="仿宋_GB2312" w:eastAsia="仿宋_GB2312"/>
          <w:color w:val="auto"/>
          <w:spacing w:val="-6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科学预测资金需求，并合理安排融资及用资事项。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九洲</w:t>
      </w:r>
      <w:r>
        <w:rPr>
          <w:rFonts w:ascii="仿宋_GB2312" w:eastAsia="仿宋_GB2312"/>
          <w:bCs/>
          <w:color w:val="auto"/>
          <w:sz w:val="32"/>
          <w:szCs w:val="32"/>
          <w:highlight w:val="none"/>
        </w:rPr>
        <w:t>集团预计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年资金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总</w:t>
      </w:r>
      <w:r>
        <w:rPr>
          <w:rFonts w:ascii="仿宋_GB2312" w:eastAsia="仿宋_GB2312"/>
          <w:bCs/>
          <w:color w:val="auto"/>
          <w:sz w:val="32"/>
          <w:szCs w:val="32"/>
          <w:highlight w:val="none"/>
        </w:rPr>
        <w:t>需求为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185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亿</w:t>
      </w:r>
      <w:r>
        <w:rPr>
          <w:rFonts w:ascii="仿宋_GB2312" w:eastAsia="仿宋_GB2312"/>
          <w:bCs/>
          <w:color w:val="auto"/>
          <w:sz w:val="32"/>
          <w:szCs w:val="32"/>
          <w:highlight w:val="none"/>
        </w:rPr>
        <w:t>，其中：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新增</w:t>
      </w:r>
      <w:r>
        <w:rPr>
          <w:rFonts w:ascii="仿宋_GB2312" w:eastAsia="仿宋_GB2312"/>
          <w:bCs/>
          <w:color w:val="auto"/>
          <w:sz w:val="32"/>
          <w:szCs w:val="32"/>
          <w:highlight w:val="none"/>
        </w:rPr>
        <w:t>投资需求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66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亿</w:t>
      </w:r>
      <w:r>
        <w:rPr>
          <w:rFonts w:ascii="仿宋_GB2312" w:eastAsia="仿宋_GB2312"/>
          <w:bCs/>
          <w:color w:val="auto"/>
          <w:sz w:val="32"/>
          <w:szCs w:val="32"/>
          <w:highlight w:val="none"/>
        </w:rPr>
        <w:t>，偿债资金需求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94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亿</w:t>
      </w:r>
      <w:r>
        <w:rPr>
          <w:rFonts w:ascii="仿宋_GB2312" w:eastAsia="仿宋_GB2312"/>
          <w:bCs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产业</w:t>
      </w:r>
      <w:r>
        <w:rPr>
          <w:rFonts w:ascii="仿宋_GB2312" w:eastAsia="仿宋_GB2312"/>
          <w:bCs/>
          <w:color w:val="auto"/>
          <w:sz w:val="32"/>
          <w:szCs w:val="32"/>
          <w:highlight w:val="none"/>
        </w:rPr>
        <w:t>运营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补充流动</w:t>
      </w:r>
      <w:r>
        <w:rPr>
          <w:rFonts w:ascii="仿宋_GB2312" w:eastAsia="仿宋_GB2312"/>
          <w:bCs/>
          <w:color w:val="auto"/>
          <w:sz w:val="32"/>
          <w:szCs w:val="32"/>
          <w:highlight w:val="none"/>
        </w:rPr>
        <w:t>资金需求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亿，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具体情况</w:t>
      </w:r>
      <w:r>
        <w:rPr>
          <w:rFonts w:ascii="仿宋_GB2312" w:eastAsia="仿宋_GB2312"/>
          <w:bCs/>
          <w:color w:val="auto"/>
          <w:sz w:val="32"/>
          <w:szCs w:val="32"/>
          <w:highlight w:val="none"/>
        </w:rPr>
        <w:t>如下：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  <w:lang w:val="en-US" w:eastAsia="zh-CN"/>
        </w:rPr>
        <w:t>1、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投资需求：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2024年坚持不懈抓资本运营，积极推进外部并购及内部产业再投入，九洲集团全年股权投资为49亿；同时立足区域定位</w:t>
      </w:r>
      <w:r>
        <w:rPr>
          <w:rFonts w:hint="eastAsia" w:ascii="仿宋_GB2312" w:eastAsia="仿宋_GB2312"/>
          <w:color w:val="auto"/>
          <w:spacing w:val="6"/>
          <w:sz w:val="32"/>
          <w:szCs w:val="32"/>
          <w:highlight w:val="none"/>
          <w:lang w:val="en-US" w:eastAsia="zh-CN"/>
        </w:rPr>
        <w:t>、抓好重点工程，围绕“军工能力建设、数字工厂、汽车电子”等建设方向，提升资产投资能力，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全年固定资产投资17亿。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default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  <w:lang w:val="en-US" w:eastAsia="zh-CN"/>
        </w:rPr>
        <w:t>2、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偿债资金需求：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正常贷款到期续贷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；二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是2024年，</w:t>
      </w:r>
      <w:r>
        <w:rPr>
          <w:rFonts w:ascii="仿宋_GB2312" w:eastAsia="仿宋_GB2312"/>
          <w:bCs/>
          <w:color w:val="auto"/>
          <w:sz w:val="32"/>
          <w:szCs w:val="32"/>
          <w:highlight w:val="none"/>
        </w:rPr>
        <w:t>九洲集团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将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持续深化贷款置换工作，一方面降低成本，另一方面改善整体债务融资结构，缓解债务集中到期资金压力。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3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.补充流动性资金：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根据各公司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测算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，新增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业务运营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流动资金。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具体测算详见附件2。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三、2024年度融资计划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24"/>
        <w:textAlignment w:val="auto"/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</w:rPr>
        <w:t>综合</w:t>
      </w:r>
      <w:r>
        <w:rPr>
          <w:rFonts w:ascii="仿宋_GB2312" w:eastAsia="仿宋_GB2312"/>
          <w:color w:val="auto"/>
          <w:spacing w:val="-4"/>
          <w:sz w:val="32"/>
          <w:szCs w:val="32"/>
          <w:highlight w:val="none"/>
        </w:rPr>
        <w:t>上述资金需求及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</w:rPr>
        <w:t>九洲</w:t>
      </w:r>
      <w:r>
        <w:rPr>
          <w:rFonts w:ascii="仿宋_GB2312" w:eastAsia="仿宋_GB2312"/>
          <w:color w:val="auto"/>
          <w:spacing w:val="-4"/>
          <w:sz w:val="32"/>
          <w:szCs w:val="32"/>
          <w:highlight w:val="none"/>
        </w:rPr>
        <w:t>集团自有资金情况，九洲集团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  <w:lang w:val="en-US" w:eastAsia="zh-CN"/>
        </w:rPr>
        <w:t>预计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</w:rPr>
        <w:t>202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  <w:lang w:val="en-US" w:eastAsia="zh-CN"/>
        </w:rPr>
        <w:t>计划融资额162亿，其中：间接融资（</w:t>
      </w:r>
      <w:r>
        <w:rPr>
          <w:rFonts w:ascii="仿宋_GB2312" w:eastAsia="仿宋_GB2312"/>
          <w:color w:val="auto"/>
          <w:spacing w:val="-4"/>
          <w:sz w:val="32"/>
          <w:szCs w:val="32"/>
          <w:highlight w:val="none"/>
        </w:rPr>
        <w:t>债务筹资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  <w:lang w:val="en-US" w:eastAsia="zh-CN"/>
        </w:rPr>
        <w:t>125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</w:rPr>
        <w:t>亿</w:t>
      </w:r>
      <w:r>
        <w:rPr>
          <w:rFonts w:ascii="仿宋_GB2312" w:eastAsia="仿宋_GB2312"/>
          <w:color w:val="auto"/>
          <w:spacing w:val="-4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</w:rPr>
        <w:t>直接融资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  <w:lang w:val="en-US" w:eastAsia="zh-CN"/>
        </w:rPr>
        <w:t>股权筹资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  <w:lang w:val="en-US" w:eastAsia="zh-CN"/>
        </w:rPr>
        <w:t>37</w:t>
      </w:r>
      <w:r>
        <w:rPr>
          <w:rFonts w:hint="eastAsia" w:ascii="仿宋_GB2312" w:eastAsia="仿宋_GB2312"/>
          <w:color w:val="auto"/>
          <w:spacing w:val="-4"/>
          <w:sz w:val="32"/>
          <w:szCs w:val="32"/>
          <w:highlight w:val="none"/>
        </w:rPr>
        <w:t>亿。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24"/>
        <w:textAlignment w:val="auto"/>
        <w:rPr>
          <w:rFonts w:hint="eastAsia" w:ascii="仿宋_GB2312" w:eastAsia="仿宋_GB2312" w:cs="Times New Roman"/>
          <w:bCs/>
          <w:color w:val="auto"/>
          <w:w w:val="9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</w:rPr>
        <w:t>九洲集团在</w:t>
      </w:r>
      <w:r>
        <w:rPr>
          <w:rFonts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</w:rPr>
        <w:t>202</w:t>
      </w:r>
      <w:r>
        <w:rPr>
          <w:rFonts w:hint="eastAsia"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4年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仍将</w:t>
      </w:r>
      <w:r>
        <w:rPr>
          <w:rFonts w:hint="eastAsia"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聚焦核心强主业，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积极拓宽业务领域，全面</w:t>
      </w:r>
      <w:r>
        <w:rPr>
          <w:rFonts w:hint="eastAsia"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优化产业结构，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有效提升经营效益</w:t>
      </w:r>
      <w:r>
        <w:rPr>
          <w:rFonts w:hint="eastAsia"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；</w:t>
      </w:r>
      <w:r>
        <w:rPr>
          <w:rFonts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</w:rPr>
        <w:t>加强应收账款及存货管理，减少集团两金占用，提升资产质量，从源头营造健康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可持续发展</w:t>
      </w:r>
      <w:r>
        <w:rPr>
          <w:rFonts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</w:rPr>
        <w:t>现金流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持续强化集团融资资源统筹，充分运用集团整体规模优势，降低融资成本，并</w:t>
      </w:r>
      <w:r>
        <w:rPr>
          <w:rFonts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</w:rPr>
        <w:t>储备足量</w:t>
      </w:r>
      <w:r>
        <w:rPr>
          <w:rFonts w:hint="eastAsia"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</w:rPr>
        <w:t>银行</w:t>
      </w:r>
      <w:r>
        <w:rPr>
          <w:rFonts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</w:rPr>
        <w:t>授信资源，保证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融资</w:t>
      </w:r>
      <w:r>
        <w:rPr>
          <w:rFonts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</w:rPr>
        <w:t>弹性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充分结合直融及间融不同优势，拓展外部股权融资，合理运用流贷、项目贷、公司债、超短融、中票等不同融资工具，</w:t>
      </w:r>
      <w:r>
        <w:rPr>
          <w:rFonts w:hint="eastAsia"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优化资金渠道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；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持续拓宽创新融资渠道，积极探索无追保理、债转股、资产池等融资模式，促进集团融资纵深发展；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建立健全集团债务风险动态管控机制，充分运用数智化平台加强资金集中信贷风险管控；</w:t>
      </w:r>
      <w:r>
        <w:rPr>
          <w:rFonts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</w:rPr>
        <w:t>此外，九洲集团</w:t>
      </w:r>
      <w:r>
        <w:rPr>
          <w:rFonts w:hint="eastAsia"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</w:rPr>
        <w:t>将</w:t>
      </w:r>
      <w:r>
        <w:rPr>
          <w:rFonts w:hint="eastAsia"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活跃权益类融资，做好上市公司市值维护，重点用好“四川九洲+依顿电子”两大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主要</w:t>
      </w:r>
      <w:r>
        <w:rPr>
          <w:rFonts w:hint="eastAsia" w:ascii="仿宋_GB2312" w:hAnsi="Calibri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上市平台再融资功能</w:t>
      </w:r>
      <w:r>
        <w:rPr>
          <w:rFonts w:hint="eastAsia" w:ascii="仿宋_GB2312" w:eastAsia="仿宋_GB2312" w:cs="Times New Roman"/>
          <w:bCs/>
          <w:color w:val="auto"/>
          <w:w w:val="90"/>
          <w:kern w:val="0"/>
          <w:sz w:val="32"/>
          <w:szCs w:val="32"/>
          <w:highlight w:val="none"/>
          <w:lang w:val="en-US" w:eastAsia="zh-CN"/>
        </w:rPr>
        <w:t>，保障资金需求。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具体测算详见附件3。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bCs/>
          <w:color w:val="auto"/>
          <w:spacing w:val="-6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auto"/>
          <w:kern w:val="0"/>
          <w:sz w:val="32"/>
          <w:szCs w:val="32"/>
          <w:highlight w:val="none"/>
        </w:rPr>
        <w:t>以上202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highlight w:val="none"/>
        </w:rPr>
        <w:t>年融资计划已董事会会议审议通过，报贵委阅示</w:t>
      </w:r>
      <w:r>
        <w:rPr>
          <w:rFonts w:hint="eastAsia" w:ascii="仿宋_GB2312" w:eastAsia="仿宋_GB2312"/>
          <w:bCs/>
          <w:color w:val="auto"/>
          <w:spacing w:val="-6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黑体" w:eastAsia="仿宋_GB2312"/>
          <w:color w:val="auto"/>
          <w:sz w:val="32"/>
          <w:szCs w:val="32"/>
          <w:highlight w:val="none"/>
        </w:rPr>
        <w:t>联系人：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eastAsia="zh-CN"/>
        </w:rPr>
        <w:t>徐兴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玥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</w:rPr>
        <w:t>；联系电话：2468769,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 w:eastAsia="zh-CN"/>
        </w:rPr>
        <w:t>13020001399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bCs/>
          <w:color w:val="auto"/>
          <w:kern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0" w:hanging="1920" w:hanging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   附件：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四川九洲投资控股集团有限公司202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年融资情况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13" w:leftChars="911" w:firstLine="83" w:firstLineChars="26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及年末债务情况汇总表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0" w:leftChars="0" w:firstLine="146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四川九洲投资控股集团有限公司202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年资金需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2000" w:firstLineChars="625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求计划表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0" w:leftChars="0" w:firstLine="146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四川九洲投资控股集团有限公司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2024年度融资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0" w:leftChars="500" w:firstLine="947" w:firstLineChars="296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计划情况表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0" w:leftChars="0" w:firstLine="1460" w:firstLineChars="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四川九洲投资控股集团有限公司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董事会决议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63" w:rightChars="173" w:firstLine="0" w:firstLineChars="0"/>
        <w:jc w:val="righ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四川九洲投资控股集团有限公司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65" w:rightChars="650" w:firstLine="0" w:firstLineChars="0"/>
        <w:jc w:val="righ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</w:t>
      </w:r>
    </w:p>
    <w:sectPr>
      <w:footerReference r:id="rId3" w:type="default"/>
      <w:pgSz w:w="11906" w:h="16838"/>
      <w:pgMar w:top="2098" w:right="1474" w:bottom="1701" w:left="1587" w:header="851" w:footer="119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left="210" w:leftChars="100" w:right="210" w:rightChars="10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AkSrbz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210" w:leftChars="100" w:right="210" w:rightChars="10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30236343"/>
    <w:multiLevelType w:val="singleLevel"/>
    <w:tmpl w:val="30236343"/>
    <w:lvl w:ilvl="0" w:tentative="0">
      <w:start w:val="2"/>
      <w:numFmt w:val="decimal"/>
      <w:suff w:val="space"/>
      <w:lvlText w:val="%1."/>
      <w:lvlJc w:val="left"/>
      <w:pPr>
        <w:ind w:left="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5OTRjZGU1MTUyNzc4Zjk1YjRjNGYzODk0N2EzYTkifQ=="/>
  </w:docVars>
  <w:rsids>
    <w:rsidRoot w:val="00064922"/>
    <w:rsid w:val="00041F72"/>
    <w:rsid w:val="000457A0"/>
    <w:rsid w:val="00064922"/>
    <w:rsid w:val="00095B79"/>
    <w:rsid w:val="000D07CB"/>
    <w:rsid w:val="00122D67"/>
    <w:rsid w:val="001527DB"/>
    <w:rsid w:val="00153A50"/>
    <w:rsid w:val="00154202"/>
    <w:rsid w:val="0021645A"/>
    <w:rsid w:val="00231EFB"/>
    <w:rsid w:val="0026176A"/>
    <w:rsid w:val="002A7C0F"/>
    <w:rsid w:val="002F16F0"/>
    <w:rsid w:val="003331BF"/>
    <w:rsid w:val="003523E8"/>
    <w:rsid w:val="0039121C"/>
    <w:rsid w:val="003F2103"/>
    <w:rsid w:val="003F4880"/>
    <w:rsid w:val="004021E6"/>
    <w:rsid w:val="00450B57"/>
    <w:rsid w:val="00491C2F"/>
    <w:rsid w:val="004A3C9E"/>
    <w:rsid w:val="00514448"/>
    <w:rsid w:val="005210A1"/>
    <w:rsid w:val="00543733"/>
    <w:rsid w:val="005F76C8"/>
    <w:rsid w:val="0064213D"/>
    <w:rsid w:val="006A7F59"/>
    <w:rsid w:val="00721546"/>
    <w:rsid w:val="00730F26"/>
    <w:rsid w:val="00736391"/>
    <w:rsid w:val="00737612"/>
    <w:rsid w:val="007F5E21"/>
    <w:rsid w:val="00846D8E"/>
    <w:rsid w:val="00853549"/>
    <w:rsid w:val="00855224"/>
    <w:rsid w:val="008B4A4C"/>
    <w:rsid w:val="008E5B72"/>
    <w:rsid w:val="0090134D"/>
    <w:rsid w:val="00967C94"/>
    <w:rsid w:val="00990398"/>
    <w:rsid w:val="009D11A0"/>
    <w:rsid w:val="00A067D0"/>
    <w:rsid w:val="00A345D6"/>
    <w:rsid w:val="00AF3C38"/>
    <w:rsid w:val="00AF418C"/>
    <w:rsid w:val="00B03042"/>
    <w:rsid w:val="00B41956"/>
    <w:rsid w:val="00B737EA"/>
    <w:rsid w:val="00B77853"/>
    <w:rsid w:val="00B927BA"/>
    <w:rsid w:val="00BC3DDB"/>
    <w:rsid w:val="00C02A3E"/>
    <w:rsid w:val="00C252AA"/>
    <w:rsid w:val="00C97D88"/>
    <w:rsid w:val="00CF552D"/>
    <w:rsid w:val="00CF7A12"/>
    <w:rsid w:val="00D53D79"/>
    <w:rsid w:val="00D673FC"/>
    <w:rsid w:val="00DB5472"/>
    <w:rsid w:val="00E27B51"/>
    <w:rsid w:val="00E54426"/>
    <w:rsid w:val="00E60D42"/>
    <w:rsid w:val="00E75B9E"/>
    <w:rsid w:val="00E97786"/>
    <w:rsid w:val="00EA00BA"/>
    <w:rsid w:val="00F7429B"/>
    <w:rsid w:val="00F9553C"/>
    <w:rsid w:val="00FA796D"/>
    <w:rsid w:val="00FF0560"/>
    <w:rsid w:val="00FF2E69"/>
    <w:rsid w:val="02186A33"/>
    <w:rsid w:val="02AD11F7"/>
    <w:rsid w:val="03C74B45"/>
    <w:rsid w:val="03F47B0F"/>
    <w:rsid w:val="06E31DFE"/>
    <w:rsid w:val="087423FC"/>
    <w:rsid w:val="099B1630"/>
    <w:rsid w:val="0A4707FD"/>
    <w:rsid w:val="0A970618"/>
    <w:rsid w:val="0CA323FE"/>
    <w:rsid w:val="0CD065EB"/>
    <w:rsid w:val="0EDE1B3F"/>
    <w:rsid w:val="0F121157"/>
    <w:rsid w:val="0FD736C8"/>
    <w:rsid w:val="104962E0"/>
    <w:rsid w:val="10B910CF"/>
    <w:rsid w:val="10DB00BF"/>
    <w:rsid w:val="112B6A68"/>
    <w:rsid w:val="11ED1EEC"/>
    <w:rsid w:val="122D1C53"/>
    <w:rsid w:val="12B04A66"/>
    <w:rsid w:val="148C38DF"/>
    <w:rsid w:val="14C6650E"/>
    <w:rsid w:val="150A07DF"/>
    <w:rsid w:val="153A2FA7"/>
    <w:rsid w:val="153C1EA9"/>
    <w:rsid w:val="154913AA"/>
    <w:rsid w:val="16A96EAC"/>
    <w:rsid w:val="16B9038D"/>
    <w:rsid w:val="16CB1E6E"/>
    <w:rsid w:val="16E32749"/>
    <w:rsid w:val="1B29061D"/>
    <w:rsid w:val="1F086E93"/>
    <w:rsid w:val="209D60B8"/>
    <w:rsid w:val="2303088F"/>
    <w:rsid w:val="23E37625"/>
    <w:rsid w:val="23EF3574"/>
    <w:rsid w:val="242952B8"/>
    <w:rsid w:val="258579A1"/>
    <w:rsid w:val="2600365E"/>
    <w:rsid w:val="269229A8"/>
    <w:rsid w:val="269813E7"/>
    <w:rsid w:val="2698540D"/>
    <w:rsid w:val="26AE7EF9"/>
    <w:rsid w:val="26C23054"/>
    <w:rsid w:val="27B86BB0"/>
    <w:rsid w:val="28816183"/>
    <w:rsid w:val="29251965"/>
    <w:rsid w:val="29833C9D"/>
    <w:rsid w:val="29F714E5"/>
    <w:rsid w:val="2BF0264B"/>
    <w:rsid w:val="2D206EDA"/>
    <w:rsid w:val="2D874394"/>
    <w:rsid w:val="2DB9721C"/>
    <w:rsid w:val="2E516504"/>
    <w:rsid w:val="2E5263F1"/>
    <w:rsid w:val="2EA74B17"/>
    <w:rsid w:val="2ED45D63"/>
    <w:rsid w:val="2F4128BD"/>
    <w:rsid w:val="2F7968FB"/>
    <w:rsid w:val="3042456D"/>
    <w:rsid w:val="31870D11"/>
    <w:rsid w:val="318F6D3A"/>
    <w:rsid w:val="339D52F2"/>
    <w:rsid w:val="341D52B6"/>
    <w:rsid w:val="35523A2F"/>
    <w:rsid w:val="357C4F4F"/>
    <w:rsid w:val="37C34978"/>
    <w:rsid w:val="37D444F1"/>
    <w:rsid w:val="381C20D2"/>
    <w:rsid w:val="38AA162B"/>
    <w:rsid w:val="38F11D1C"/>
    <w:rsid w:val="391975C4"/>
    <w:rsid w:val="39657AA9"/>
    <w:rsid w:val="3BF5114B"/>
    <w:rsid w:val="3C1E170F"/>
    <w:rsid w:val="3CDC3E2D"/>
    <w:rsid w:val="3D15422F"/>
    <w:rsid w:val="3E647396"/>
    <w:rsid w:val="3F290D8F"/>
    <w:rsid w:val="3FBF72F1"/>
    <w:rsid w:val="40364AE8"/>
    <w:rsid w:val="42AD6748"/>
    <w:rsid w:val="44E67CEF"/>
    <w:rsid w:val="456A6B72"/>
    <w:rsid w:val="45837C34"/>
    <w:rsid w:val="46613FF1"/>
    <w:rsid w:val="46DC584E"/>
    <w:rsid w:val="47824062"/>
    <w:rsid w:val="47B52A33"/>
    <w:rsid w:val="48084421"/>
    <w:rsid w:val="49F95FEA"/>
    <w:rsid w:val="4B907252"/>
    <w:rsid w:val="4BC11DD5"/>
    <w:rsid w:val="4BE05A98"/>
    <w:rsid w:val="4C740F5C"/>
    <w:rsid w:val="4CCE043D"/>
    <w:rsid w:val="4D3A5159"/>
    <w:rsid w:val="4DE3283B"/>
    <w:rsid w:val="4F1E51DC"/>
    <w:rsid w:val="51562DDD"/>
    <w:rsid w:val="516C1A9F"/>
    <w:rsid w:val="51BF0DA1"/>
    <w:rsid w:val="51EB2EBF"/>
    <w:rsid w:val="521C5BED"/>
    <w:rsid w:val="525A7186"/>
    <w:rsid w:val="526959B9"/>
    <w:rsid w:val="52F1442F"/>
    <w:rsid w:val="551E69C7"/>
    <w:rsid w:val="55682A16"/>
    <w:rsid w:val="557472A9"/>
    <w:rsid w:val="55900069"/>
    <w:rsid w:val="56D5037F"/>
    <w:rsid w:val="56F7717C"/>
    <w:rsid w:val="56FD698F"/>
    <w:rsid w:val="5715029D"/>
    <w:rsid w:val="5765363E"/>
    <w:rsid w:val="576858F8"/>
    <w:rsid w:val="57B72DEE"/>
    <w:rsid w:val="57FE1281"/>
    <w:rsid w:val="5A350413"/>
    <w:rsid w:val="5AA45026"/>
    <w:rsid w:val="5B895E18"/>
    <w:rsid w:val="5C0A3512"/>
    <w:rsid w:val="5C4D4347"/>
    <w:rsid w:val="5CDC2E90"/>
    <w:rsid w:val="5D333896"/>
    <w:rsid w:val="5D663FE6"/>
    <w:rsid w:val="5DB92735"/>
    <w:rsid w:val="5DC53FCC"/>
    <w:rsid w:val="5F37766E"/>
    <w:rsid w:val="5F9678DC"/>
    <w:rsid w:val="603C7970"/>
    <w:rsid w:val="60CE2FF3"/>
    <w:rsid w:val="61E44BF4"/>
    <w:rsid w:val="62657C0B"/>
    <w:rsid w:val="62681BC9"/>
    <w:rsid w:val="64164DD1"/>
    <w:rsid w:val="65493C57"/>
    <w:rsid w:val="65F938CF"/>
    <w:rsid w:val="666F792A"/>
    <w:rsid w:val="66B66D41"/>
    <w:rsid w:val="670A0409"/>
    <w:rsid w:val="676344BD"/>
    <w:rsid w:val="67C425E9"/>
    <w:rsid w:val="698D0FCD"/>
    <w:rsid w:val="69B813AB"/>
    <w:rsid w:val="6AD22583"/>
    <w:rsid w:val="6ADB3A52"/>
    <w:rsid w:val="6AED389D"/>
    <w:rsid w:val="6CE17F16"/>
    <w:rsid w:val="6D086077"/>
    <w:rsid w:val="6FC96957"/>
    <w:rsid w:val="71605D16"/>
    <w:rsid w:val="71D6160E"/>
    <w:rsid w:val="71E26646"/>
    <w:rsid w:val="72541E8D"/>
    <w:rsid w:val="72F1359D"/>
    <w:rsid w:val="73AA6208"/>
    <w:rsid w:val="740741DE"/>
    <w:rsid w:val="745919DD"/>
    <w:rsid w:val="74A47E45"/>
    <w:rsid w:val="758D193E"/>
    <w:rsid w:val="769C7512"/>
    <w:rsid w:val="771D3195"/>
    <w:rsid w:val="776C79EB"/>
    <w:rsid w:val="778D0ACD"/>
    <w:rsid w:val="77C96E79"/>
    <w:rsid w:val="77DA093B"/>
    <w:rsid w:val="77E7208A"/>
    <w:rsid w:val="78044AC9"/>
    <w:rsid w:val="792C06AD"/>
    <w:rsid w:val="79C962B6"/>
    <w:rsid w:val="7A5073DE"/>
    <w:rsid w:val="7A5F4862"/>
    <w:rsid w:val="7AE23BC3"/>
    <w:rsid w:val="7BAE2197"/>
    <w:rsid w:val="7BFA433B"/>
    <w:rsid w:val="7F160B96"/>
    <w:rsid w:val="DB3D72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numPr>
        <w:ilvl w:val="1"/>
        <w:numId w:val="1"/>
      </w:numPr>
      <w:spacing w:before="260" w:after="260" w:line="410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link w:val="10"/>
    <w:autoRedefine/>
    <w:qFormat/>
    <w:uiPriority w:val="0"/>
    <w:pPr>
      <w:spacing w:after="120" w:line="480" w:lineRule="auto"/>
      <w:ind w:firstLine="200" w:firstLineChars="200"/>
    </w:pPr>
    <w:rPr>
      <w:rFonts w:ascii="Calibri" w:hAnsi="Calibri" w:eastAsia="宋体" w:cs="Times New Roman"/>
      <w:kern w:val="0"/>
      <w:szCs w:val="24"/>
    </w:rPr>
  </w:style>
  <w:style w:type="character" w:customStyle="1" w:styleId="8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正文文本 2 Char"/>
    <w:basedOn w:val="7"/>
    <w:link w:val="5"/>
    <w:autoRedefine/>
    <w:qFormat/>
    <w:uiPriority w:val="0"/>
    <w:rPr>
      <w:rFonts w:ascii="Calibri" w:hAnsi="Calibri" w:eastAsia="宋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223</Words>
  <Characters>1276</Characters>
  <Lines>10</Lines>
  <Paragraphs>2</Paragraphs>
  <TotalTime>4</TotalTime>
  <ScaleCrop>false</ScaleCrop>
  <LinksUpToDate>false</LinksUpToDate>
  <CharactersWithSpaces>1497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2016-01-22T11:17:00Z</dcterms:created>
  <dc:creator>Paul</dc:creator>
  <cp:lastModifiedBy>飞天小魔女</cp:lastModifiedBy>
  <cp:lastPrinted>2023-12-19T08:40:00Z</cp:lastPrinted>
  <dcterms:modified xsi:type="dcterms:W3CDTF">2024-03-11T01:08:07Z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13C151B81A1049F3BEF6363FF4C7B2FB_13</vt:lpwstr>
  </property>
</Properties>
</file>