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019FD">
      <w:pPr>
        <w:rPr>
          <w:color w:val="auto"/>
          <w:highlight w:val="none"/>
        </w:rPr>
      </w:pPr>
    </w:p>
    <w:p w14:paraId="20D1D00F">
      <w:pPr>
        <w:rPr>
          <w:color w:val="auto"/>
          <w:highlight w:val="none"/>
        </w:rPr>
      </w:pPr>
    </w:p>
    <w:p w14:paraId="2C279E6D">
      <w:pPr>
        <w:rPr>
          <w:color w:val="auto"/>
          <w:highlight w:val="none"/>
        </w:rPr>
      </w:pPr>
    </w:p>
    <w:p w14:paraId="06F58050">
      <w:pPr>
        <w:rPr>
          <w:color w:val="auto"/>
          <w:highlight w:val="none"/>
        </w:rPr>
      </w:pPr>
    </w:p>
    <w:p w14:paraId="13481FD5">
      <w:pPr>
        <w:pStyle w:val="11"/>
        <w:rPr>
          <w:color w:val="auto"/>
          <w:highlight w:val="none"/>
        </w:rPr>
      </w:pPr>
    </w:p>
    <w:p w14:paraId="50F9ECA5">
      <w:pPr>
        <w:rPr>
          <w:color w:val="auto"/>
          <w:highlight w:val="none"/>
        </w:rPr>
      </w:pPr>
    </w:p>
    <w:p w14:paraId="1EF84D9C">
      <w:pPr>
        <w:snapToGrid w:val="0"/>
        <w:spacing w:line="240" w:lineRule="auto"/>
        <w:jc w:val="center"/>
        <w:rPr>
          <w:rFonts w:hint="eastAsia" w:ascii="方正小标宋简体" w:hAnsi="方正小标宋简体" w:eastAsia="方正小标宋简体" w:cs="方正小标宋简体"/>
          <w:b/>
          <w:color w:val="FF0000"/>
          <w:spacing w:val="-30"/>
          <w:sz w:val="120"/>
          <w:szCs w:val="120"/>
          <w:highlight w:val="none"/>
        </w:rPr>
      </w:pPr>
      <w:r>
        <w:rPr>
          <w:rFonts w:hint="eastAsia" w:ascii="方正小标宋简体" w:hAnsi="方正小标宋简体" w:eastAsia="方正小标宋简体" w:cs="方正小标宋简体"/>
          <w:b/>
          <w:color w:val="FF0000"/>
          <w:spacing w:val="-30"/>
          <w:sz w:val="120"/>
          <w:szCs w:val="120"/>
          <w:highlight w:val="none"/>
        </w:rPr>
        <w:t>询 比 文 件</w:t>
      </w:r>
    </w:p>
    <w:p w14:paraId="36C62114">
      <w:pPr>
        <w:pStyle w:val="94"/>
        <w:snapToGrid w:val="0"/>
        <w:jc w:val="center"/>
        <w:rPr>
          <w:rFonts w:ascii="宋体" w:hAnsi="宋体" w:cs="宋体"/>
          <w:b/>
          <w:bCs/>
          <w:color w:val="auto"/>
          <w:sz w:val="44"/>
          <w:szCs w:val="44"/>
          <w:highlight w:val="none"/>
          <w:lang w:eastAsia="zh-CN"/>
        </w:rPr>
      </w:pPr>
      <w:r>
        <w:rPr>
          <w:rFonts w:ascii="方正小标宋简体" w:hAnsi="方正小标宋简体" w:eastAsia="方正小标宋简体" w:cs="方正小标宋简体"/>
          <w:b/>
          <w:color w:val="auto"/>
          <w:sz w:val="48"/>
          <w:highlight w:val="none"/>
        </w:rPr>
        <w:t>（</w:t>
      </w:r>
      <w:r>
        <w:rPr>
          <w:rFonts w:ascii="方正小标宋简体" w:hAnsi="方正小标宋简体" w:eastAsia="方正小标宋简体" w:cs="方正小标宋简体"/>
          <w:b/>
          <w:color w:val="auto"/>
          <w:sz w:val="48"/>
          <w:highlight w:val="none"/>
          <w:lang w:eastAsia="zh-CN"/>
        </w:rPr>
        <w:t>服务</w:t>
      </w:r>
      <w:r>
        <w:rPr>
          <w:rFonts w:ascii="方正小标宋简体" w:hAnsi="方正小标宋简体" w:eastAsia="方正小标宋简体" w:cs="方正小标宋简体"/>
          <w:b/>
          <w:color w:val="auto"/>
          <w:sz w:val="48"/>
          <w:highlight w:val="none"/>
        </w:rPr>
        <w:t>类）</w:t>
      </w:r>
    </w:p>
    <w:p w14:paraId="69EFDA13">
      <w:pPr>
        <w:rPr>
          <w:color w:val="auto"/>
          <w:highlight w:val="none"/>
        </w:rPr>
      </w:pPr>
    </w:p>
    <w:p w14:paraId="318DF4A1">
      <w:pPr>
        <w:pStyle w:val="11"/>
        <w:rPr>
          <w:color w:val="auto"/>
          <w:highlight w:val="none"/>
        </w:rPr>
      </w:pPr>
    </w:p>
    <w:p w14:paraId="2DEE8348">
      <w:pPr>
        <w:rPr>
          <w:color w:val="auto"/>
          <w:highlight w:val="none"/>
        </w:rPr>
      </w:pPr>
    </w:p>
    <w:p w14:paraId="322F1CE0">
      <w:pPr>
        <w:pStyle w:val="95"/>
        <w:rPr>
          <w:color w:val="auto"/>
          <w:highlight w:val="none"/>
        </w:rPr>
      </w:pPr>
    </w:p>
    <w:p w14:paraId="54738E4C">
      <w:pPr>
        <w:ind w:firstLine="1285" w:firstLineChars="400"/>
        <w:rPr>
          <w:rFonts w:hint="eastAsia" w:ascii="宋体" w:hAnsi="宋体" w:eastAsia="方正小标宋简体"/>
          <w:b/>
          <w:bCs/>
          <w:color w:val="auto"/>
          <w:sz w:val="32"/>
          <w:szCs w:val="32"/>
          <w:highlight w:val="none"/>
          <w:lang w:eastAsia="zh-CN"/>
        </w:rPr>
      </w:pPr>
      <w:r>
        <w:rPr>
          <w:rFonts w:hint="eastAsia" w:ascii="方正小标宋简体" w:hAnsi="方正小标宋简体" w:eastAsia="方正小标宋简体" w:cs="方正小标宋简体"/>
          <w:b/>
          <w:bCs/>
          <w:color w:val="auto"/>
          <w:sz w:val="32"/>
          <w:szCs w:val="32"/>
          <w:highlight w:val="none"/>
        </w:rPr>
        <w:t>项目编号：SCGZ询〔2026〕</w:t>
      </w:r>
      <w:r>
        <w:rPr>
          <w:rFonts w:hint="eastAsia" w:ascii="方正小标宋简体" w:hAnsi="方正小标宋简体" w:eastAsia="方正小标宋简体" w:cs="方正小标宋简体"/>
          <w:b/>
          <w:bCs/>
          <w:color w:val="auto"/>
          <w:sz w:val="32"/>
          <w:szCs w:val="32"/>
          <w:highlight w:val="none"/>
          <w:lang w:eastAsia="zh-CN"/>
        </w:rPr>
        <w:t>6-06号</w:t>
      </w:r>
    </w:p>
    <w:p w14:paraId="7026DA0A">
      <w:pPr>
        <w:ind w:firstLine="1285" w:firstLineChars="400"/>
        <w:rPr>
          <w:rFonts w:hint="eastAsia" w:ascii="方正小标宋简体" w:hAnsi="方正小标宋简体" w:eastAsia="方正小标宋简体" w:cs="方正小标宋简体"/>
          <w:b/>
          <w:bCs/>
          <w:color w:val="auto"/>
          <w:sz w:val="32"/>
          <w:szCs w:val="32"/>
          <w:highlight w:val="none"/>
        </w:rPr>
      </w:pPr>
      <w:r>
        <w:rPr>
          <w:rFonts w:hint="eastAsia" w:ascii="方正小标宋简体" w:hAnsi="方正小标宋简体" w:eastAsia="方正小标宋简体" w:cs="方正小标宋简体"/>
          <w:b/>
          <w:bCs/>
          <w:color w:val="auto"/>
          <w:sz w:val="32"/>
          <w:szCs w:val="32"/>
          <w:highlight w:val="none"/>
        </w:rPr>
        <w:t>项目名称：</w:t>
      </w:r>
      <w:bookmarkStart w:id="0" w:name="OLE_LINK3"/>
      <w:r>
        <w:rPr>
          <w:rFonts w:hint="eastAsia" w:ascii="方正小标宋简体" w:hAnsi="方正小标宋简体" w:eastAsia="方正小标宋简体" w:cs="方正小标宋简体"/>
          <w:b/>
          <w:bCs/>
          <w:color w:val="auto"/>
          <w:sz w:val="32"/>
          <w:szCs w:val="32"/>
          <w:highlight w:val="none"/>
        </w:rPr>
        <w:t>九洲空管适航能力持续建设咨询服务项目</w:t>
      </w:r>
      <w:bookmarkEnd w:id="0"/>
    </w:p>
    <w:p w14:paraId="1D87A912">
      <w:pPr>
        <w:rPr>
          <w:color w:val="auto"/>
          <w:highlight w:val="none"/>
        </w:rPr>
      </w:pPr>
    </w:p>
    <w:p w14:paraId="786DDFB1">
      <w:pPr>
        <w:rPr>
          <w:color w:val="auto"/>
          <w:highlight w:val="none"/>
        </w:rPr>
      </w:pPr>
    </w:p>
    <w:p w14:paraId="2A2B866F">
      <w:pPr>
        <w:jc w:val="center"/>
        <w:rPr>
          <w:rFonts w:hint="eastAsia" w:ascii="方正小标宋简体" w:hAnsi="方正小标宋简体" w:eastAsia="方正小标宋简体" w:cs="方正小标宋简体"/>
          <w:b/>
          <w:color w:val="auto"/>
          <w:sz w:val="32"/>
          <w:szCs w:val="32"/>
          <w:highlight w:val="none"/>
        </w:rPr>
      </w:pPr>
      <w:r>
        <w:rPr>
          <w:rFonts w:hint="eastAsia" w:ascii="方正小标宋简体" w:hAnsi="方正小标宋简体" w:eastAsia="方正小标宋简体" w:cs="方正小标宋简体"/>
          <w:b/>
          <w:color w:val="auto"/>
          <w:sz w:val="32"/>
          <w:szCs w:val="32"/>
          <w:highlight w:val="none"/>
        </w:rPr>
        <w:t>中国·四川（绵阳）</w:t>
      </w:r>
    </w:p>
    <w:p w14:paraId="62D110FC">
      <w:pPr>
        <w:ind w:firstLine="1606" w:firstLineChars="500"/>
        <w:rPr>
          <w:rFonts w:hint="eastAsia" w:ascii="方正小标宋简体" w:hAnsi="方正小标宋简体" w:eastAsia="方正小标宋简体" w:cs="方正小标宋简体"/>
          <w:b/>
          <w:bCs/>
          <w:color w:val="auto"/>
          <w:sz w:val="32"/>
          <w:szCs w:val="32"/>
          <w:highlight w:val="none"/>
        </w:rPr>
      </w:pPr>
      <w:r>
        <w:rPr>
          <w:rFonts w:hint="eastAsia" w:ascii="方正小标宋简体" w:hAnsi="方正小标宋简体" w:eastAsia="方正小标宋简体" w:cs="方正小标宋简体"/>
          <w:b/>
          <w:bCs/>
          <w:color w:val="auto"/>
          <w:sz w:val="32"/>
          <w:szCs w:val="32"/>
          <w:highlight w:val="none"/>
        </w:rPr>
        <w:t>采   购   人：四川九洲空管科技有限责任公司</w:t>
      </w:r>
    </w:p>
    <w:p w14:paraId="09858A63">
      <w:pPr>
        <w:ind w:firstLine="1606" w:firstLineChars="500"/>
        <w:rPr>
          <w:rFonts w:hint="eastAsia" w:ascii="方正小标宋简体" w:hAnsi="方正小标宋简体" w:eastAsia="方正小标宋简体" w:cs="方正小标宋简体"/>
          <w:b/>
          <w:bCs/>
          <w:color w:val="auto"/>
          <w:sz w:val="32"/>
          <w:szCs w:val="32"/>
          <w:highlight w:val="none"/>
        </w:rPr>
      </w:pPr>
      <w:r>
        <w:rPr>
          <w:rFonts w:hint="eastAsia" w:ascii="方正小标宋简体" w:hAnsi="方正小标宋简体" w:eastAsia="方正小标宋简体" w:cs="方正小标宋简体"/>
          <w:b/>
          <w:bCs/>
          <w:color w:val="auto"/>
          <w:sz w:val="32"/>
          <w:szCs w:val="32"/>
          <w:highlight w:val="none"/>
        </w:rPr>
        <w:t>采购代理机构：四川国锃招标代理有限公司</w:t>
      </w:r>
    </w:p>
    <w:p w14:paraId="631AAE96">
      <w:pPr>
        <w:widowControl/>
        <w:shd w:val="clear" w:color="auto" w:fill="FFFFFF"/>
        <w:spacing w:after="75"/>
        <w:jc w:val="center"/>
        <w:rPr>
          <w:rFonts w:hint="eastAsia" w:ascii="方正小标宋简体" w:hAnsi="方正小标宋简体" w:eastAsia="方正小标宋简体" w:cs="方正小标宋简体"/>
          <w:color w:val="auto"/>
          <w:sz w:val="32"/>
          <w:szCs w:val="32"/>
          <w:highlight w:val="none"/>
          <w:lang w:bidi="ar"/>
        </w:rPr>
      </w:pPr>
      <w:r>
        <w:rPr>
          <w:rFonts w:hint="eastAsia" w:ascii="方正小标宋简体" w:hAnsi="方正小标宋简体" w:eastAsia="方正小标宋简体" w:cs="方正小标宋简体"/>
          <w:b/>
          <w:bCs/>
          <w:color w:val="auto"/>
          <w:sz w:val="32"/>
          <w:szCs w:val="32"/>
          <w:highlight w:val="none"/>
          <w:lang w:bidi="ar"/>
        </w:rPr>
        <w:t>共同编制</w:t>
      </w:r>
    </w:p>
    <w:p w14:paraId="11A89A4B">
      <w:pPr>
        <w:widowControl/>
        <w:shd w:val="clear" w:color="auto" w:fill="FFFFFF"/>
        <w:spacing w:after="75"/>
        <w:ind w:firstLine="1606" w:firstLineChars="500"/>
        <w:rPr>
          <w:rFonts w:hint="eastAsia" w:ascii="方正小标宋简体" w:hAnsi="方正小标宋简体" w:eastAsia="方正小标宋简体" w:cs="方正小标宋简体"/>
          <w:b/>
          <w:bCs/>
          <w:color w:val="auto"/>
          <w:sz w:val="32"/>
          <w:szCs w:val="32"/>
          <w:highlight w:val="none"/>
        </w:rPr>
      </w:pPr>
      <w:r>
        <w:rPr>
          <w:rFonts w:hint="eastAsia" w:ascii="方正小标宋简体" w:hAnsi="方正小标宋简体" w:eastAsia="方正小标宋简体" w:cs="方正小标宋简体"/>
          <w:b/>
          <w:bCs/>
          <w:color w:val="auto"/>
          <w:sz w:val="32"/>
          <w:szCs w:val="32"/>
          <w:highlight w:val="none"/>
        </w:rPr>
        <w:t>编 制 时 间： 2026年6月</w:t>
      </w:r>
    </w:p>
    <w:p w14:paraId="2D4432CD">
      <w:pPr>
        <w:jc w:val="center"/>
        <w:rPr>
          <w:rFonts w:hint="eastAsia" w:ascii="仿宋" w:hAnsi="仿宋"/>
          <w:b/>
          <w:bCs/>
          <w:color w:val="auto"/>
          <w:sz w:val="32"/>
          <w:szCs w:val="32"/>
          <w:highlight w:val="none"/>
          <w:lang w:val="zh-CN"/>
        </w:rPr>
      </w:pPr>
    </w:p>
    <w:p w14:paraId="0C33F502">
      <w:pPr>
        <w:pStyle w:val="2"/>
        <w:ind w:left="480"/>
        <w:rPr>
          <w:color w:val="auto"/>
          <w:highlight w:val="none"/>
          <w:lang w:val="zh-CN"/>
        </w:rPr>
        <w:sectPr>
          <w:headerReference r:id="rId6" w:type="first"/>
          <w:footerReference r:id="rId8" w:type="first"/>
          <w:headerReference r:id="rId5" w:type="default"/>
          <w:footerReference r:id="rId7" w:type="default"/>
          <w:pgSz w:w="11907" w:h="16840"/>
          <w:pgMar w:top="1418" w:right="1418" w:bottom="1418" w:left="1418" w:header="850" w:footer="992" w:gutter="0"/>
          <w:pgNumType w:start="1"/>
          <w:cols w:space="425" w:num="1"/>
          <w:docGrid w:linePitch="326" w:charSpace="0"/>
        </w:sectPr>
      </w:pPr>
    </w:p>
    <w:p w14:paraId="46874C80">
      <w:pPr>
        <w:widowControl/>
        <w:ind w:right="84" w:rightChars="35"/>
        <w:jc w:val="center"/>
        <w:rPr>
          <w:rFonts w:hint="eastAsia" w:ascii="仿宋" w:hAnsi="仿宋"/>
          <w:b/>
          <w:color w:val="auto"/>
          <w:sz w:val="36"/>
          <w:highlight w:val="none"/>
        </w:rPr>
      </w:pPr>
    </w:p>
    <w:p w14:paraId="404B0553">
      <w:pPr>
        <w:widowControl/>
        <w:ind w:right="84" w:rightChars="35"/>
        <w:jc w:val="center"/>
        <w:rPr>
          <w:rFonts w:hint="eastAsia" w:ascii="仿宋" w:hAnsi="仿宋"/>
          <w:b/>
          <w:bCs/>
          <w:color w:val="auto"/>
          <w:sz w:val="36"/>
          <w:highlight w:val="none"/>
        </w:rPr>
      </w:pPr>
      <w:r>
        <w:rPr>
          <w:rFonts w:hint="eastAsia" w:ascii="仿宋" w:hAnsi="仿宋"/>
          <w:b/>
          <w:color w:val="auto"/>
          <w:sz w:val="36"/>
          <w:highlight w:val="none"/>
        </w:rPr>
        <w:t>目    录</w:t>
      </w:r>
    </w:p>
    <w:p w14:paraId="19181274">
      <w:pPr>
        <w:pStyle w:val="20"/>
        <w:ind w:right="-120"/>
        <w:rPr>
          <w:rFonts w:asciiTheme="minorHAnsi" w:hAnsiTheme="minorHAnsi" w:eastAsiaTheme="minorEastAsia" w:cstheme="minorBidi"/>
          <w:b w:val="0"/>
          <w:bCs w:val="0"/>
          <w:caps w:val="0"/>
          <w:color w:val="auto"/>
          <w:sz w:val="21"/>
          <w:szCs w:val="22"/>
          <w:highlight w:val="none"/>
        </w:rPr>
      </w:pPr>
      <w:r>
        <w:rPr>
          <w:rFonts w:ascii="仿宋" w:hAnsi="仿宋" w:eastAsia="仿宋"/>
          <w:bCs w:val="0"/>
          <w:color w:val="auto"/>
          <w:sz w:val="24"/>
          <w:szCs w:val="24"/>
          <w:highlight w:val="none"/>
        </w:rPr>
        <w:fldChar w:fldCharType="begin"/>
      </w:r>
      <w:r>
        <w:rPr>
          <w:rFonts w:ascii="仿宋" w:hAnsi="仿宋" w:eastAsia="仿宋"/>
          <w:bCs w:val="0"/>
          <w:color w:val="auto"/>
          <w:sz w:val="24"/>
          <w:szCs w:val="24"/>
          <w:highlight w:val="none"/>
        </w:rPr>
        <w:instrText xml:space="preserve"> TOC \o "1-1" \h \z \u </w:instrText>
      </w:r>
      <w:r>
        <w:rPr>
          <w:rFonts w:ascii="仿宋" w:hAnsi="仿宋" w:eastAsia="仿宋"/>
          <w:bCs w:val="0"/>
          <w:color w:val="auto"/>
          <w:sz w:val="24"/>
          <w:szCs w:val="24"/>
          <w:highlight w:val="none"/>
        </w:rPr>
        <w:fldChar w:fldCharType="separate"/>
      </w:r>
      <w:r>
        <w:rPr>
          <w:color w:val="auto"/>
          <w:highlight w:val="none"/>
        </w:rPr>
        <w:fldChar w:fldCharType="begin"/>
      </w:r>
      <w:r>
        <w:rPr>
          <w:color w:val="auto"/>
          <w:highlight w:val="none"/>
        </w:rPr>
        <w:instrText xml:space="preserve"> HYPERLINK \l "_Toc37838082" </w:instrText>
      </w:r>
      <w:r>
        <w:rPr>
          <w:color w:val="auto"/>
          <w:highlight w:val="none"/>
        </w:rPr>
        <w:fldChar w:fldCharType="separate"/>
      </w:r>
      <w:r>
        <w:rPr>
          <w:rStyle w:val="36"/>
          <w:rFonts w:hint="eastAsia" w:ascii="仿宋" w:hAnsi="仿宋"/>
          <w:color w:val="auto"/>
          <w:highlight w:val="none"/>
        </w:rPr>
        <w:t>第一章</w:t>
      </w:r>
      <w:r>
        <w:rPr>
          <w:rStyle w:val="36"/>
          <w:rFonts w:ascii="仿宋" w:hAnsi="仿宋"/>
          <w:color w:val="auto"/>
          <w:highlight w:val="none"/>
        </w:rPr>
        <w:t xml:space="preserve">  </w:t>
      </w:r>
      <w:r>
        <w:rPr>
          <w:rStyle w:val="36"/>
          <w:rFonts w:hint="eastAsia" w:ascii="仿宋" w:hAnsi="仿宋"/>
          <w:color w:val="auto"/>
          <w:highlight w:val="none"/>
        </w:rPr>
        <w:t>询比邀请</w:t>
      </w:r>
      <w:r>
        <w:rPr>
          <w:color w:val="auto"/>
          <w:highlight w:val="none"/>
        </w:rPr>
        <w:tab/>
      </w:r>
      <w:r>
        <w:rPr>
          <w:color w:val="auto"/>
          <w:highlight w:val="none"/>
        </w:rPr>
        <w:fldChar w:fldCharType="begin"/>
      </w:r>
      <w:r>
        <w:rPr>
          <w:color w:val="auto"/>
          <w:highlight w:val="none"/>
        </w:rPr>
        <w:instrText xml:space="preserve"> PAGEREF _Toc37838082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4B88A2B0">
      <w:pPr>
        <w:pStyle w:val="20"/>
        <w:ind w:right="-120"/>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"_Toc37838083" </w:instrText>
      </w:r>
      <w:r>
        <w:rPr>
          <w:color w:val="auto"/>
          <w:highlight w:val="none"/>
        </w:rPr>
        <w:fldChar w:fldCharType="separate"/>
      </w:r>
      <w:r>
        <w:rPr>
          <w:rStyle w:val="36"/>
          <w:rFonts w:hint="eastAsia" w:ascii="仿宋" w:hAnsi="仿宋"/>
          <w:color w:val="auto"/>
          <w:highlight w:val="none"/>
        </w:rPr>
        <w:t>第二章</w:t>
      </w:r>
      <w:r>
        <w:rPr>
          <w:rStyle w:val="36"/>
          <w:rFonts w:ascii="仿宋" w:hAnsi="仿宋"/>
          <w:color w:val="auto"/>
          <w:highlight w:val="none"/>
        </w:rPr>
        <w:t xml:space="preserve">  </w:t>
      </w:r>
      <w:r>
        <w:rPr>
          <w:rStyle w:val="36"/>
          <w:rFonts w:hint="eastAsia" w:ascii="仿宋" w:hAnsi="仿宋"/>
          <w:color w:val="auto"/>
          <w:highlight w:val="none"/>
        </w:rPr>
        <w:t>询比须知</w:t>
      </w:r>
      <w:r>
        <w:rPr>
          <w:color w:val="auto"/>
          <w:highlight w:val="none"/>
        </w:rPr>
        <w:tab/>
      </w:r>
      <w:r>
        <w:rPr>
          <w:color w:val="auto"/>
          <w:highlight w:val="none"/>
        </w:rPr>
        <w:fldChar w:fldCharType="begin"/>
      </w:r>
      <w:r>
        <w:rPr>
          <w:color w:val="auto"/>
          <w:highlight w:val="none"/>
        </w:rPr>
        <w:instrText xml:space="preserve"> PAGEREF _Toc37838083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53D61CC4">
      <w:pPr>
        <w:pStyle w:val="20"/>
        <w:ind w:right="-120"/>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"_Toc37838084" </w:instrText>
      </w:r>
      <w:r>
        <w:rPr>
          <w:color w:val="auto"/>
          <w:highlight w:val="none"/>
        </w:rPr>
        <w:fldChar w:fldCharType="separate"/>
      </w:r>
      <w:r>
        <w:rPr>
          <w:rStyle w:val="36"/>
          <w:rFonts w:hint="eastAsia" w:ascii="仿宋" w:hAnsi="仿宋"/>
          <w:color w:val="auto"/>
          <w:highlight w:val="none"/>
        </w:rPr>
        <w:t>第三章</w:t>
      </w:r>
      <w:r>
        <w:rPr>
          <w:rStyle w:val="36"/>
          <w:rFonts w:ascii="仿宋" w:hAnsi="仿宋"/>
          <w:color w:val="auto"/>
          <w:highlight w:val="none"/>
        </w:rPr>
        <w:t xml:space="preserve">  </w:t>
      </w:r>
      <w:r>
        <w:rPr>
          <w:rStyle w:val="36"/>
          <w:rFonts w:hint="eastAsia" w:ascii="仿宋" w:hAnsi="仿宋"/>
          <w:color w:val="auto"/>
          <w:highlight w:val="none"/>
        </w:rPr>
        <w:t>供应商和报价产品的资格、资质性及其他类似效力要求和应当提供的相关证明材料</w:t>
      </w:r>
      <w:r>
        <w:rPr>
          <w:color w:val="auto"/>
          <w:highlight w:val="none"/>
        </w:rPr>
        <w:tab/>
      </w:r>
      <w:r>
        <w:rPr>
          <w:color w:val="auto"/>
          <w:highlight w:val="none"/>
        </w:rPr>
        <w:fldChar w:fldCharType="begin"/>
      </w:r>
      <w:r>
        <w:rPr>
          <w:color w:val="auto"/>
          <w:highlight w:val="none"/>
        </w:rPr>
        <w:instrText xml:space="preserve"> PAGEREF _Toc37838084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581A7B72">
      <w:pPr>
        <w:pStyle w:val="20"/>
        <w:ind w:right="-120"/>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"_Toc37838085" </w:instrText>
      </w:r>
      <w:r>
        <w:rPr>
          <w:color w:val="auto"/>
          <w:highlight w:val="none"/>
        </w:rPr>
        <w:fldChar w:fldCharType="separate"/>
      </w:r>
      <w:r>
        <w:rPr>
          <w:rStyle w:val="36"/>
          <w:rFonts w:hint="eastAsia" w:ascii="仿宋" w:hAnsi="仿宋"/>
          <w:color w:val="auto"/>
          <w:highlight w:val="none"/>
        </w:rPr>
        <w:t>第四章</w:t>
      </w:r>
      <w:r>
        <w:rPr>
          <w:rStyle w:val="36"/>
          <w:rFonts w:ascii="仿宋" w:hAnsi="仿宋"/>
          <w:color w:val="auto"/>
          <w:highlight w:val="none"/>
        </w:rPr>
        <w:t xml:space="preserve">  </w:t>
      </w:r>
      <w:r>
        <w:rPr>
          <w:rStyle w:val="36"/>
          <w:rFonts w:hint="eastAsia" w:ascii="仿宋" w:hAnsi="仿宋"/>
          <w:color w:val="auto"/>
          <w:highlight w:val="none"/>
        </w:rPr>
        <w:t>采购项目技术、服务及其他商务要求</w:t>
      </w:r>
      <w:r>
        <w:rPr>
          <w:color w:val="auto"/>
          <w:highlight w:val="none"/>
        </w:rPr>
        <w:tab/>
      </w:r>
      <w:r>
        <w:rPr>
          <w:color w:val="auto"/>
          <w:highlight w:val="none"/>
        </w:rPr>
        <w:fldChar w:fldCharType="begin"/>
      </w:r>
      <w:r>
        <w:rPr>
          <w:color w:val="auto"/>
          <w:highlight w:val="none"/>
        </w:rPr>
        <w:instrText xml:space="preserve"> PAGEREF _Toc37838085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0AFEA201">
      <w:pPr>
        <w:pStyle w:val="20"/>
        <w:ind w:right="-120"/>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"_Toc37838086" </w:instrText>
      </w:r>
      <w:r>
        <w:rPr>
          <w:color w:val="auto"/>
          <w:highlight w:val="none"/>
        </w:rPr>
        <w:fldChar w:fldCharType="separate"/>
      </w:r>
      <w:r>
        <w:rPr>
          <w:rStyle w:val="36"/>
          <w:rFonts w:hint="eastAsia" w:ascii="仿宋" w:hAnsi="仿宋"/>
          <w:color w:val="auto"/>
          <w:highlight w:val="none"/>
        </w:rPr>
        <w:t>第五章</w:t>
      </w:r>
      <w:r>
        <w:rPr>
          <w:rStyle w:val="36"/>
          <w:rFonts w:ascii="仿宋" w:hAnsi="仿宋"/>
          <w:color w:val="auto"/>
          <w:highlight w:val="none"/>
        </w:rPr>
        <w:t xml:space="preserve">  </w:t>
      </w:r>
      <w:r>
        <w:rPr>
          <w:rStyle w:val="36"/>
          <w:rFonts w:hint="eastAsia" w:ascii="仿宋" w:hAnsi="仿宋"/>
          <w:color w:val="auto"/>
          <w:highlight w:val="none"/>
        </w:rPr>
        <w:t>响应文件格式</w:t>
      </w:r>
      <w:r>
        <w:rPr>
          <w:color w:val="auto"/>
          <w:highlight w:val="none"/>
        </w:rPr>
        <w:tab/>
      </w:r>
      <w:r>
        <w:rPr>
          <w:color w:val="auto"/>
          <w:highlight w:val="none"/>
        </w:rPr>
        <w:fldChar w:fldCharType="begin"/>
      </w:r>
      <w:r>
        <w:rPr>
          <w:color w:val="auto"/>
          <w:highlight w:val="none"/>
        </w:rPr>
        <w:instrText xml:space="preserve"> PAGEREF _Toc37838086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6599AED1">
      <w:pPr>
        <w:pStyle w:val="20"/>
        <w:ind w:right="-120"/>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"_Toc37838087" </w:instrText>
      </w:r>
      <w:r>
        <w:rPr>
          <w:color w:val="auto"/>
          <w:highlight w:val="none"/>
        </w:rPr>
        <w:fldChar w:fldCharType="separate"/>
      </w:r>
      <w:r>
        <w:rPr>
          <w:rStyle w:val="36"/>
          <w:rFonts w:hint="eastAsia" w:ascii="仿宋" w:hAnsi="仿宋"/>
          <w:color w:val="auto"/>
          <w:highlight w:val="none"/>
        </w:rPr>
        <w:t>第六章</w:t>
      </w:r>
      <w:r>
        <w:rPr>
          <w:rStyle w:val="36"/>
          <w:rFonts w:ascii="仿宋" w:hAnsi="仿宋"/>
          <w:color w:val="auto"/>
          <w:highlight w:val="none"/>
        </w:rPr>
        <w:t xml:space="preserve">  </w:t>
      </w:r>
      <w:r>
        <w:rPr>
          <w:rStyle w:val="36"/>
          <w:rFonts w:hint="eastAsia" w:ascii="仿宋" w:hAnsi="仿宋"/>
          <w:color w:val="auto"/>
          <w:highlight w:val="none"/>
        </w:rPr>
        <w:t>评审方法</w:t>
      </w:r>
      <w:r>
        <w:rPr>
          <w:color w:val="auto"/>
          <w:highlight w:val="none"/>
        </w:rPr>
        <w:tab/>
      </w:r>
      <w:r>
        <w:rPr>
          <w:color w:val="auto"/>
          <w:highlight w:val="none"/>
        </w:rPr>
        <w:fldChar w:fldCharType="begin"/>
      </w:r>
      <w:r>
        <w:rPr>
          <w:color w:val="auto"/>
          <w:highlight w:val="none"/>
        </w:rPr>
        <w:instrText xml:space="preserve"> PAGEREF _Toc37838087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53D47971">
      <w:pPr>
        <w:pStyle w:val="20"/>
        <w:ind w:right="-120"/>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"_Toc37838088" </w:instrText>
      </w:r>
      <w:r>
        <w:rPr>
          <w:color w:val="auto"/>
          <w:highlight w:val="none"/>
        </w:rPr>
        <w:fldChar w:fldCharType="separate"/>
      </w:r>
      <w:r>
        <w:rPr>
          <w:rStyle w:val="36"/>
          <w:rFonts w:hint="eastAsia" w:ascii="仿宋" w:hAnsi="仿宋"/>
          <w:color w:val="auto"/>
          <w:highlight w:val="none"/>
        </w:rPr>
        <w:t>第七章</w:t>
      </w:r>
      <w:r>
        <w:rPr>
          <w:rStyle w:val="36"/>
          <w:rFonts w:ascii="仿宋" w:hAnsi="仿宋"/>
          <w:color w:val="auto"/>
          <w:highlight w:val="none"/>
        </w:rPr>
        <w:t xml:space="preserve">  </w:t>
      </w:r>
      <w:r>
        <w:rPr>
          <w:rStyle w:val="36"/>
          <w:rFonts w:hint="eastAsia" w:ascii="仿宋" w:hAnsi="仿宋"/>
          <w:color w:val="auto"/>
          <w:highlight w:val="none"/>
        </w:rPr>
        <w:t>采购合同</w:t>
      </w:r>
      <w:r>
        <w:rPr>
          <w:color w:val="auto"/>
          <w:highlight w:val="none"/>
        </w:rPr>
        <w:tab/>
      </w:r>
      <w:r>
        <w:rPr>
          <w:color w:val="auto"/>
          <w:highlight w:val="none"/>
        </w:rPr>
        <w:fldChar w:fldCharType="begin"/>
      </w:r>
      <w:r>
        <w:rPr>
          <w:color w:val="auto"/>
          <w:highlight w:val="none"/>
        </w:rPr>
        <w:instrText xml:space="preserve"> PAGEREF _Toc37838088 \h </w:instrText>
      </w:r>
      <w:r>
        <w:rPr>
          <w:color w:val="auto"/>
          <w:highlight w:val="none"/>
        </w:rPr>
        <w:fldChar w:fldCharType="separate"/>
      </w:r>
      <w:r>
        <w:rPr>
          <w:color w:val="auto"/>
          <w:highlight w:val="none"/>
        </w:rPr>
        <w:t>62</w:t>
      </w:r>
      <w:r>
        <w:rPr>
          <w:color w:val="auto"/>
          <w:highlight w:val="none"/>
        </w:rPr>
        <w:fldChar w:fldCharType="end"/>
      </w:r>
      <w:r>
        <w:rPr>
          <w:color w:val="auto"/>
          <w:highlight w:val="none"/>
        </w:rPr>
        <w:fldChar w:fldCharType="end"/>
      </w:r>
    </w:p>
    <w:p w14:paraId="1943C503">
      <w:pPr>
        <w:pStyle w:val="4"/>
        <w:keepNext w:val="0"/>
        <w:keepLines w:val="0"/>
        <w:spacing w:line="360" w:lineRule="auto"/>
        <w:ind w:right="84" w:rightChars="35"/>
        <w:jc w:val="center"/>
        <w:rPr>
          <w:rFonts w:hint="eastAsia" w:ascii="仿宋" w:hAnsi="仿宋" w:eastAsia="仿宋"/>
          <w:bCs w:val="0"/>
          <w:color w:val="auto"/>
          <w:sz w:val="24"/>
          <w:highlight w:val="none"/>
        </w:rPr>
        <w:sectPr>
          <w:footerReference r:id="rId12" w:type="first"/>
          <w:footerReference r:id="rId10" w:type="default"/>
          <w:headerReference r:id="rId9" w:type="even"/>
          <w:footerReference r:id="rId11" w:type="even"/>
          <w:type w:val="continuous"/>
          <w:pgSz w:w="11907" w:h="16840"/>
          <w:pgMar w:top="1418" w:right="1418" w:bottom="1418" w:left="1418" w:header="850" w:footer="992" w:gutter="0"/>
          <w:pgNumType w:start="1"/>
          <w:cols w:space="425" w:num="1"/>
          <w:docGrid w:linePitch="326" w:charSpace="0"/>
        </w:sectPr>
      </w:pPr>
      <w:r>
        <w:rPr>
          <w:rFonts w:ascii="仿宋" w:hAnsi="仿宋" w:eastAsia="仿宋"/>
          <w:bCs w:val="0"/>
          <w:color w:val="auto"/>
          <w:sz w:val="24"/>
          <w:szCs w:val="24"/>
          <w:highlight w:val="none"/>
        </w:rPr>
        <w:fldChar w:fldCharType="end"/>
      </w:r>
    </w:p>
    <w:p w14:paraId="57E9B936">
      <w:pPr>
        <w:pStyle w:val="26"/>
        <w:spacing w:before="0" w:after="0"/>
        <w:rPr>
          <w:rFonts w:hint="eastAsia" w:ascii="仿宋" w:hAnsi="仿宋"/>
          <w:color w:val="auto"/>
          <w:highlight w:val="none"/>
        </w:rPr>
      </w:pPr>
      <w:bookmarkStart w:id="1" w:name="_Toc37838082"/>
      <w:bookmarkStart w:id="2" w:name="OLE_LINK10"/>
      <w:r>
        <w:rPr>
          <w:rFonts w:hint="eastAsia" w:ascii="仿宋" w:hAnsi="仿宋"/>
          <w:color w:val="auto"/>
          <w:highlight w:val="none"/>
        </w:rPr>
        <w:t>第一章  询比邀请</w:t>
      </w:r>
      <w:bookmarkEnd w:id="1"/>
    </w:p>
    <w:p w14:paraId="3C734481">
      <w:pPr>
        <w:ind w:firstLine="480" w:firstLineChars="200"/>
        <w:rPr>
          <w:rFonts w:hint="eastAsia" w:ascii="仿宋" w:hAnsi="仿宋"/>
          <w:color w:val="auto"/>
          <w:highlight w:val="none"/>
        </w:rPr>
      </w:pPr>
      <w:bookmarkStart w:id="3" w:name="OLE_LINK9"/>
      <w:r>
        <w:rPr>
          <w:rFonts w:hint="eastAsia" w:ascii="仿宋" w:hAnsi="仿宋"/>
          <w:color w:val="auto"/>
          <w:highlight w:val="none"/>
        </w:rPr>
        <w:t>四川国锃招标代理有限公司受</w:t>
      </w:r>
      <w:r>
        <w:rPr>
          <w:rFonts w:hint="eastAsia" w:ascii="仿宋" w:hAnsi="仿宋"/>
          <w:color w:val="auto"/>
          <w:highlight w:val="none"/>
          <w:u w:val="single"/>
        </w:rPr>
        <w:t>四川九洲空管科技有限责任公司</w:t>
      </w:r>
      <w:r>
        <w:rPr>
          <w:rFonts w:hint="eastAsia" w:ascii="仿宋" w:hAnsi="仿宋"/>
          <w:color w:val="auto"/>
          <w:highlight w:val="none"/>
        </w:rPr>
        <w:t>委托，拟对</w:t>
      </w:r>
      <w:bookmarkStart w:id="4" w:name="PO_默认文件内容_1"/>
      <w:r>
        <w:rPr>
          <w:rFonts w:hint="eastAsia" w:ascii="仿宋" w:hAnsi="仿宋"/>
          <w:color w:val="auto"/>
          <w:highlight w:val="none"/>
          <w:u w:val="single"/>
        </w:rPr>
        <w:t>九洲空管适航能力持续建设咨询服务项目</w:t>
      </w:r>
      <w:r>
        <w:rPr>
          <w:rFonts w:hint="eastAsia" w:ascii="仿宋" w:hAnsi="仿宋"/>
          <w:color w:val="auto"/>
          <w:highlight w:val="none"/>
        </w:rPr>
        <w:t>采用询比方式进行采购，特邀请符合本次采购要求的供应商参加本项目的询比活动。</w:t>
      </w:r>
      <w:bookmarkEnd w:id="4"/>
    </w:p>
    <w:p w14:paraId="2D17D451">
      <w:pPr>
        <w:ind w:firstLine="480" w:firstLineChars="200"/>
        <w:rPr>
          <w:rFonts w:hint="eastAsia" w:ascii="仿宋" w:hAnsi="仿宋"/>
          <w:color w:val="auto"/>
          <w:highlight w:val="none"/>
        </w:rPr>
      </w:pPr>
      <w:r>
        <w:rPr>
          <w:rFonts w:hint="eastAsia" w:ascii="仿宋" w:hAnsi="仿宋"/>
          <w:color w:val="auto"/>
          <w:highlight w:val="none"/>
        </w:rPr>
        <w:t>一、采购项目基本情况</w:t>
      </w:r>
    </w:p>
    <w:p w14:paraId="0638FDE6">
      <w:pPr>
        <w:ind w:firstLine="480" w:firstLineChars="200"/>
        <w:rPr>
          <w:rFonts w:hint="eastAsia" w:ascii="仿宋" w:hAnsi="仿宋" w:eastAsia="仿宋"/>
          <w:color w:val="auto"/>
          <w:highlight w:val="none"/>
          <w:lang w:eastAsia="zh-CN"/>
        </w:rPr>
      </w:pPr>
      <w:r>
        <w:rPr>
          <w:rFonts w:hint="eastAsia" w:ascii="仿宋" w:hAnsi="仿宋"/>
          <w:color w:val="auto"/>
          <w:highlight w:val="none"/>
        </w:rPr>
        <w:t>1.采购编号：SCGZ询〔2026〕</w:t>
      </w:r>
      <w:r>
        <w:rPr>
          <w:rFonts w:hint="eastAsia" w:ascii="仿宋" w:hAnsi="仿宋"/>
          <w:color w:val="auto"/>
          <w:highlight w:val="none"/>
          <w:lang w:eastAsia="zh-CN"/>
        </w:rPr>
        <w:t>6-06号</w:t>
      </w:r>
    </w:p>
    <w:p w14:paraId="53710532">
      <w:pPr>
        <w:ind w:firstLine="480" w:firstLineChars="200"/>
        <w:rPr>
          <w:rFonts w:hint="eastAsia" w:ascii="仿宋" w:hAnsi="仿宋"/>
          <w:color w:val="auto"/>
          <w:highlight w:val="none"/>
        </w:rPr>
      </w:pPr>
      <w:r>
        <w:rPr>
          <w:rFonts w:hint="eastAsia" w:ascii="仿宋" w:hAnsi="仿宋"/>
          <w:color w:val="auto"/>
          <w:highlight w:val="none"/>
        </w:rPr>
        <w:t>2.采购项目名称：九洲空管适航能力持续建设咨询服务项目</w:t>
      </w:r>
    </w:p>
    <w:p w14:paraId="31E12230">
      <w:pPr>
        <w:ind w:firstLine="480" w:firstLineChars="200"/>
        <w:rPr>
          <w:rFonts w:hint="eastAsia" w:ascii="仿宋" w:hAnsi="仿宋"/>
          <w:color w:val="auto"/>
          <w:highlight w:val="none"/>
        </w:rPr>
      </w:pPr>
      <w:r>
        <w:rPr>
          <w:rFonts w:hint="eastAsia" w:ascii="仿宋" w:hAnsi="仿宋"/>
          <w:color w:val="auto"/>
          <w:highlight w:val="none"/>
        </w:rPr>
        <w:t>二、资金情况</w:t>
      </w:r>
    </w:p>
    <w:p w14:paraId="24E948CE">
      <w:pPr>
        <w:spacing w:after="120"/>
        <w:ind w:right="36" w:rightChars="15" w:firstLine="480" w:firstLineChars="200"/>
        <w:rPr>
          <w:rFonts w:hint="eastAsia" w:ascii="仿宋" w:hAnsi="仿宋"/>
          <w:b/>
          <w:bCs/>
          <w:color w:val="auto"/>
          <w:highlight w:val="none"/>
        </w:rPr>
      </w:pPr>
      <w:r>
        <w:rPr>
          <w:rFonts w:hint="eastAsia" w:ascii="仿宋" w:hAnsi="仿宋"/>
          <w:color w:val="auto"/>
          <w:highlight w:val="none"/>
        </w:rPr>
        <w:t>资金来源：已落实。</w:t>
      </w:r>
    </w:p>
    <w:p w14:paraId="249AD79C">
      <w:pPr>
        <w:spacing w:after="120"/>
        <w:ind w:firstLine="482" w:firstLineChars="200"/>
        <w:rPr>
          <w:rFonts w:hint="eastAsia" w:ascii="仿宋" w:hAnsi="仿宋"/>
          <w:color w:val="auto"/>
          <w:highlight w:val="none"/>
        </w:rPr>
      </w:pPr>
      <w:r>
        <w:rPr>
          <w:rFonts w:hint="eastAsia" w:ascii="仿宋" w:hAnsi="仿宋"/>
          <w:b/>
          <w:color w:val="auto"/>
          <w:highlight w:val="none"/>
        </w:rPr>
        <w:t>三</w:t>
      </w:r>
      <w:r>
        <w:rPr>
          <w:rFonts w:hint="eastAsia" w:ascii="仿宋" w:hAnsi="仿宋"/>
          <w:b/>
          <w:bCs/>
          <w:color w:val="auto"/>
          <w:highlight w:val="none"/>
        </w:rPr>
        <w:t>、</w:t>
      </w:r>
      <w:r>
        <w:rPr>
          <w:rFonts w:hint="eastAsia" w:ascii="仿宋" w:hAnsi="仿宋"/>
          <w:b/>
          <w:color w:val="auto"/>
          <w:highlight w:val="none"/>
        </w:rPr>
        <w:t>采购项目简介：</w:t>
      </w:r>
    </w:p>
    <w:p w14:paraId="634E4E2B">
      <w:pPr>
        <w:spacing w:after="120"/>
        <w:ind w:firstLine="464" w:firstLineChars="200"/>
        <w:rPr>
          <w:rFonts w:hint="eastAsia" w:ascii="仿宋" w:hAnsi="仿宋"/>
          <w:color w:val="auto"/>
          <w:spacing w:val="-4"/>
          <w:highlight w:val="none"/>
        </w:rPr>
      </w:pPr>
      <w:r>
        <w:rPr>
          <w:rFonts w:hint="eastAsia" w:ascii="仿宋" w:hAnsi="仿宋"/>
          <w:color w:val="auto"/>
          <w:spacing w:val="-4"/>
          <w:highlight w:val="none"/>
        </w:rPr>
        <w:t>四川九洲空管科技有限责任公司拟通过公开询比的方式进行采购，完成所需的九洲空管适航能力持续建设咨询服务项目。本项目1个包。</w:t>
      </w:r>
    </w:p>
    <w:p w14:paraId="4E19A0EF">
      <w:pPr>
        <w:spacing w:after="120"/>
        <w:ind w:firstLine="482" w:firstLineChars="200"/>
        <w:rPr>
          <w:rFonts w:hint="eastAsia" w:ascii="仿宋" w:hAnsi="仿宋"/>
          <w:b/>
          <w:bCs/>
          <w:color w:val="auto"/>
          <w:highlight w:val="none"/>
        </w:rPr>
      </w:pPr>
      <w:r>
        <w:rPr>
          <w:rFonts w:hint="eastAsia" w:ascii="仿宋" w:hAnsi="仿宋"/>
          <w:b/>
          <w:bCs/>
          <w:color w:val="auto"/>
          <w:highlight w:val="none"/>
        </w:rPr>
        <w:t>四、供应商邀请方式</w:t>
      </w:r>
    </w:p>
    <w:p w14:paraId="483FDE72">
      <w:pPr>
        <w:spacing w:after="120"/>
        <w:ind w:firstLine="480" w:firstLineChars="200"/>
        <w:rPr>
          <w:rFonts w:hint="eastAsia" w:ascii="仿宋" w:hAnsi="仿宋"/>
          <w:bCs/>
          <w:color w:val="auto"/>
          <w:highlight w:val="none"/>
        </w:rPr>
      </w:pPr>
      <w:r>
        <w:rPr>
          <w:rFonts w:ascii="仿宋" w:hAnsi="仿宋"/>
          <w:bCs/>
          <w:color w:val="auto"/>
          <w:highlight w:val="none"/>
        </w:rPr>
        <w:t>本项目采用公告</w:t>
      </w:r>
      <w:r>
        <w:rPr>
          <w:rFonts w:hint="eastAsia" w:ascii="仿宋" w:hAnsi="仿宋"/>
          <w:bCs/>
          <w:color w:val="auto"/>
          <w:highlight w:val="none"/>
        </w:rPr>
        <w:t>邀请方式，在四川九洲投资控股集团有限公司官网（https://www.jezetek.cc/）、四川九洲</w:t>
      </w:r>
      <w:bookmarkStart w:id="237" w:name="_GoBack"/>
      <w:bookmarkEnd w:id="237"/>
      <w:r>
        <w:rPr>
          <w:rFonts w:hint="eastAsia" w:ascii="仿宋" w:hAnsi="仿宋"/>
          <w:bCs/>
          <w:color w:val="auto"/>
          <w:highlight w:val="none"/>
        </w:rPr>
        <w:t>空管科技有限责任公司官网（</w:t>
      </w:r>
      <w:r>
        <w:rPr>
          <w:rFonts w:ascii="仿宋" w:hAnsi="仿宋"/>
          <w:bCs/>
          <w:color w:val="auto"/>
          <w:highlight w:val="none"/>
        </w:rPr>
        <w:fldChar w:fldCharType="begin"/>
      </w:r>
      <w:r>
        <w:rPr>
          <w:rFonts w:ascii="仿宋" w:hAnsi="仿宋"/>
          <w:bCs/>
          <w:color w:val="auto"/>
          <w:highlight w:val="none"/>
        </w:rPr>
        <w:instrText xml:space="preserve"> HYPERLINK "https://www.jzkgkj.com" </w:instrText>
      </w:r>
      <w:r>
        <w:rPr>
          <w:rFonts w:ascii="仿宋" w:hAnsi="仿宋"/>
          <w:bCs/>
          <w:color w:val="auto"/>
          <w:highlight w:val="none"/>
        </w:rPr>
        <w:fldChar w:fldCharType="separate"/>
      </w:r>
      <w:r>
        <w:rPr>
          <w:rFonts w:ascii="仿宋" w:hAnsi="仿宋"/>
          <w:bCs/>
          <w:color w:val="auto"/>
          <w:highlight w:val="none"/>
        </w:rPr>
        <w:t>https://www.jzkgkj.com</w:t>
      </w:r>
      <w:r>
        <w:rPr>
          <w:rFonts w:ascii="仿宋" w:hAnsi="仿宋"/>
          <w:bCs/>
          <w:color w:val="auto"/>
          <w:highlight w:val="none"/>
        </w:rPr>
        <w:fldChar w:fldCharType="end"/>
      </w:r>
      <w:r>
        <w:rPr>
          <w:rFonts w:hint="eastAsia" w:ascii="仿宋" w:hAnsi="仿宋"/>
          <w:bCs/>
          <w:color w:val="auto"/>
          <w:highlight w:val="none"/>
        </w:rPr>
        <w:t>）</w:t>
      </w:r>
      <w:r>
        <w:rPr>
          <w:rFonts w:hint="eastAsia" w:ascii="仿宋" w:hAnsi="仿宋"/>
          <w:bCs/>
          <w:color w:val="auto"/>
          <w:highlight w:val="none"/>
        </w:rPr>
        <w:t>和中国招标采购信息网（http://www.sczbcg.com/index.html）上以公告形式发布</w:t>
      </w:r>
      <w:r>
        <w:rPr>
          <w:rFonts w:ascii="仿宋" w:hAnsi="仿宋"/>
          <w:bCs/>
          <w:color w:val="auto"/>
          <w:highlight w:val="none"/>
        </w:rPr>
        <w:t>。</w:t>
      </w:r>
    </w:p>
    <w:p w14:paraId="55458B49">
      <w:pPr>
        <w:spacing w:after="120"/>
        <w:ind w:firstLine="482" w:firstLineChars="200"/>
        <w:rPr>
          <w:rFonts w:hint="eastAsia" w:ascii="仿宋" w:hAnsi="仿宋"/>
          <w:bCs/>
          <w:color w:val="auto"/>
          <w:highlight w:val="none"/>
        </w:rPr>
      </w:pPr>
      <w:r>
        <w:rPr>
          <w:rFonts w:hint="eastAsia" w:ascii="仿宋" w:hAnsi="仿宋"/>
          <w:b/>
          <w:bCs/>
          <w:color w:val="auto"/>
          <w:highlight w:val="none"/>
        </w:rPr>
        <w:t>五、评审办法</w:t>
      </w:r>
    </w:p>
    <w:p w14:paraId="67FD617C">
      <w:pPr>
        <w:spacing w:after="120"/>
        <w:ind w:firstLine="480" w:firstLineChars="200"/>
        <w:rPr>
          <w:rFonts w:hint="eastAsia" w:ascii="仿宋" w:hAnsi="仿宋"/>
          <w:bCs/>
          <w:color w:val="auto"/>
          <w:highlight w:val="none"/>
        </w:rPr>
      </w:pPr>
      <w:r>
        <w:rPr>
          <w:rFonts w:hint="eastAsia" w:ascii="仿宋" w:hAnsi="仿宋"/>
          <w:bCs/>
          <w:color w:val="auto"/>
          <w:highlight w:val="none"/>
        </w:rPr>
        <w:t>□</w:t>
      </w:r>
      <w:r>
        <w:rPr>
          <w:rFonts w:ascii="仿宋" w:hAnsi="仿宋"/>
          <w:color w:val="auto"/>
          <w:highlight w:val="none"/>
          <w:lang w:val="zh-CN"/>
        </w:rPr>
        <w:t>最低价法</w:t>
      </w:r>
      <w:r>
        <w:rPr>
          <w:rFonts w:hint="eastAsia" w:ascii="仿宋" w:hAnsi="仿宋"/>
          <w:color w:val="auto"/>
          <w:highlight w:val="none"/>
          <w:lang w:val="zh-CN"/>
        </w:rPr>
        <w:t xml:space="preserve">       </w:t>
      </w:r>
      <w:r>
        <w:rPr>
          <w:rFonts w:hint="eastAsia" w:ascii="Segoe UI Emoji" w:hAnsi="Segoe UI Emoji" w:cs="Segoe UI Emoji"/>
          <w:color w:val="auto"/>
          <w:highlight w:val="none"/>
        </w:rPr>
        <w:sym w:font="Wingdings 2" w:char="0052"/>
      </w:r>
      <w:r>
        <w:rPr>
          <w:rFonts w:ascii="仿宋" w:hAnsi="仿宋"/>
          <w:color w:val="auto"/>
          <w:highlight w:val="none"/>
          <w:lang w:val="zh-CN"/>
        </w:rPr>
        <w:t>综合评分法</w:t>
      </w:r>
    </w:p>
    <w:p w14:paraId="7E91B673">
      <w:pPr>
        <w:spacing w:after="120"/>
        <w:ind w:firstLine="482" w:firstLineChars="200"/>
        <w:rPr>
          <w:rFonts w:hint="eastAsia" w:ascii="仿宋" w:hAnsi="仿宋"/>
          <w:b/>
          <w:bCs/>
          <w:color w:val="auto"/>
          <w:highlight w:val="none"/>
        </w:rPr>
      </w:pPr>
      <w:r>
        <w:rPr>
          <w:rFonts w:hint="eastAsia" w:ascii="仿宋" w:hAnsi="仿宋"/>
          <w:b/>
          <w:bCs/>
          <w:color w:val="auto"/>
          <w:highlight w:val="none"/>
        </w:rPr>
        <w:t>六、供应商参加本次采购活动应具备下列条件：</w:t>
      </w:r>
    </w:p>
    <w:p w14:paraId="371142E7">
      <w:pPr>
        <w:ind w:firstLine="480" w:firstLineChars="200"/>
        <w:outlineLvl w:val="1"/>
        <w:rPr>
          <w:rFonts w:hint="eastAsia" w:ascii="仿宋" w:hAnsi="仿宋" w:cs="仿宋"/>
          <w:bCs/>
          <w:color w:val="auto"/>
          <w:highlight w:val="none"/>
        </w:rPr>
      </w:pPr>
      <w:bookmarkStart w:id="5" w:name="_Toc2006"/>
      <w:bookmarkStart w:id="6" w:name="_Toc28701"/>
      <w:bookmarkStart w:id="7" w:name="_Toc30301"/>
      <w:r>
        <w:rPr>
          <w:rFonts w:hint="eastAsia" w:ascii="仿宋" w:hAnsi="仿宋" w:cs="仿宋"/>
          <w:bCs/>
          <w:color w:val="auto"/>
          <w:highlight w:val="none"/>
        </w:rPr>
        <w:t>1.供应商需要满足的一般资格要求：</w:t>
      </w:r>
      <w:bookmarkEnd w:id="5"/>
      <w:bookmarkEnd w:id="6"/>
      <w:bookmarkEnd w:id="7"/>
    </w:p>
    <w:p w14:paraId="2C406BC4">
      <w:pPr>
        <w:ind w:firstLine="480" w:firstLineChars="200"/>
        <w:rPr>
          <w:rFonts w:hint="eastAsia" w:ascii="仿宋" w:hAnsi="仿宋" w:cs="仿宋"/>
          <w:bCs/>
          <w:color w:val="auto"/>
          <w:highlight w:val="none"/>
        </w:rPr>
      </w:pPr>
      <w:r>
        <w:rPr>
          <w:rFonts w:hint="eastAsia" w:ascii="仿宋" w:hAnsi="仿宋" w:cs="仿宋"/>
          <w:bCs/>
          <w:color w:val="auto"/>
          <w:highlight w:val="none"/>
        </w:rPr>
        <w:t>1.1.具有独立承担民事责任的能力。</w:t>
      </w:r>
    </w:p>
    <w:p w14:paraId="3E72FB7F">
      <w:pPr>
        <w:ind w:firstLine="480" w:firstLineChars="200"/>
        <w:rPr>
          <w:rFonts w:hint="eastAsia" w:ascii="仿宋" w:hAnsi="仿宋" w:cs="仿宋"/>
          <w:bCs/>
          <w:color w:val="auto"/>
          <w:highlight w:val="none"/>
        </w:rPr>
      </w:pPr>
      <w:r>
        <w:rPr>
          <w:rFonts w:hint="eastAsia" w:ascii="仿宋" w:hAnsi="仿宋" w:cs="仿宋"/>
          <w:bCs/>
          <w:color w:val="auto"/>
          <w:highlight w:val="none"/>
        </w:rPr>
        <w:t>1.2.具有良好的商业信誉和健全的财务会计制度。</w:t>
      </w:r>
    </w:p>
    <w:p w14:paraId="5C2700F1">
      <w:pPr>
        <w:ind w:firstLine="480" w:firstLineChars="200"/>
        <w:rPr>
          <w:rFonts w:hint="eastAsia" w:ascii="仿宋" w:hAnsi="仿宋" w:cs="仿宋"/>
          <w:bCs/>
          <w:color w:val="auto"/>
          <w:highlight w:val="none"/>
        </w:rPr>
      </w:pPr>
      <w:r>
        <w:rPr>
          <w:rFonts w:hint="eastAsia" w:ascii="仿宋" w:hAnsi="仿宋" w:cs="仿宋"/>
          <w:bCs/>
          <w:color w:val="auto"/>
          <w:highlight w:val="none"/>
        </w:rPr>
        <w:t>1.3.具有履行合同所必需的设备和专业技术能力。</w:t>
      </w:r>
    </w:p>
    <w:p w14:paraId="5F5BF42B">
      <w:pPr>
        <w:ind w:firstLine="480" w:firstLineChars="200"/>
        <w:rPr>
          <w:rFonts w:hint="eastAsia" w:ascii="仿宋" w:hAnsi="仿宋" w:cs="仿宋"/>
          <w:bCs/>
          <w:color w:val="auto"/>
          <w:highlight w:val="none"/>
        </w:rPr>
      </w:pPr>
      <w:r>
        <w:rPr>
          <w:rFonts w:hint="eastAsia" w:ascii="仿宋" w:hAnsi="仿宋" w:cs="仿宋"/>
          <w:bCs/>
          <w:color w:val="auto"/>
          <w:highlight w:val="none"/>
        </w:rPr>
        <w:t>1.4.有依法缴纳税收和社会保障资金的良好记录。</w:t>
      </w:r>
    </w:p>
    <w:p w14:paraId="65B2EE8F">
      <w:pPr>
        <w:ind w:firstLine="480" w:firstLineChars="200"/>
        <w:rPr>
          <w:rFonts w:hint="eastAsia" w:ascii="仿宋" w:hAnsi="仿宋" w:cs="仿宋"/>
          <w:bCs/>
          <w:color w:val="auto"/>
          <w:highlight w:val="none"/>
        </w:rPr>
      </w:pPr>
      <w:r>
        <w:rPr>
          <w:rFonts w:hint="eastAsia" w:ascii="仿宋" w:hAnsi="仿宋" w:cs="仿宋"/>
          <w:bCs/>
          <w:color w:val="auto"/>
          <w:highlight w:val="none"/>
        </w:rPr>
        <w:t>1.5.参加采购活动前三年内，在经营活动中没有重大违法记录。</w:t>
      </w:r>
    </w:p>
    <w:p w14:paraId="1C76D518">
      <w:pPr>
        <w:ind w:firstLine="480" w:firstLineChars="200"/>
        <w:outlineLvl w:val="1"/>
        <w:rPr>
          <w:rFonts w:hint="eastAsia" w:ascii="仿宋" w:hAnsi="仿宋" w:cs="仿宋"/>
          <w:bCs/>
          <w:color w:val="auto"/>
          <w:highlight w:val="none"/>
        </w:rPr>
      </w:pPr>
      <w:bookmarkStart w:id="8" w:name="_Toc29140"/>
      <w:bookmarkStart w:id="9" w:name="_Toc22608"/>
      <w:bookmarkStart w:id="10" w:name="_Toc11503"/>
      <w:r>
        <w:rPr>
          <w:rFonts w:hint="eastAsia" w:ascii="仿宋" w:hAnsi="仿宋" w:cs="仿宋"/>
          <w:bCs/>
          <w:color w:val="auto"/>
          <w:highlight w:val="none"/>
        </w:rPr>
        <w:t>2.供应商需要满足的其它资格要求：</w:t>
      </w:r>
      <w:bookmarkEnd w:id="8"/>
      <w:bookmarkEnd w:id="9"/>
      <w:bookmarkEnd w:id="10"/>
    </w:p>
    <w:p w14:paraId="15D9B7D6">
      <w:pPr>
        <w:ind w:firstLine="480" w:firstLineChars="200"/>
        <w:rPr>
          <w:rFonts w:hint="eastAsia" w:ascii="仿宋" w:hAnsi="仿宋" w:cs="仿宋"/>
          <w:bCs/>
          <w:color w:val="auto"/>
          <w:highlight w:val="none"/>
        </w:rPr>
      </w:pPr>
      <w:r>
        <w:rPr>
          <w:rFonts w:hint="eastAsia" w:ascii="仿宋" w:hAnsi="仿宋" w:cs="仿宋"/>
          <w:bCs/>
          <w:color w:val="auto"/>
          <w:highlight w:val="none"/>
        </w:rPr>
        <w:t>2.1.参加本项目供应商人员为本单位在职员工。</w:t>
      </w:r>
    </w:p>
    <w:p w14:paraId="5C6E5678">
      <w:pPr>
        <w:ind w:firstLine="480" w:firstLineChars="200"/>
        <w:rPr>
          <w:rFonts w:hint="eastAsia" w:ascii="仿宋" w:hAnsi="仿宋" w:cs="仿宋"/>
          <w:bCs/>
          <w:color w:val="auto"/>
          <w:highlight w:val="none"/>
        </w:rPr>
      </w:pPr>
      <w:r>
        <w:rPr>
          <w:rFonts w:hint="eastAsia" w:ascii="仿宋" w:hAnsi="仿宋" w:cs="仿宋"/>
          <w:bCs/>
          <w:color w:val="auto"/>
          <w:highlight w:val="none"/>
        </w:rPr>
        <w:t>2.2.供应商法定代表人无行贿犯罪记录。</w:t>
      </w:r>
    </w:p>
    <w:p w14:paraId="0FF82F9C">
      <w:pPr>
        <w:ind w:firstLine="480" w:firstLineChars="200"/>
        <w:rPr>
          <w:rFonts w:hint="eastAsia" w:ascii="仿宋" w:hAnsi="仿宋" w:cs="仿宋"/>
          <w:bCs/>
          <w:color w:val="auto"/>
          <w:highlight w:val="none"/>
        </w:rPr>
      </w:pPr>
      <w:r>
        <w:rPr>
          <w:rFonts w:hint="eastAsia" w:ascii="仿宋" w:hAnsi="仿宋" w:cs="仿宋"/>
          <w:bCs/>
          <w:color w:val="auto"/>
          <w:highlight w:val="none"/>
        </w:rPr>
        <w:t>2.3法定代表人为中华人民共和国国籍，未拥有境外永久居留权（含港澳台）。</w:t>
      </w:r>
    </w:p>
    <w:p w14:paraId="3F472A5F">
      <w:pPr>
        <w:ind w:firstLine="480" w:firstLineChars="200"/>
        <w:rPr>
          <w:rFonts w:hint="eastAsia" w:ascii="仿宋" w:hAnsi="仿宋" w:cs="仿宋"/>
          <w:bCs/>
          <w:color w:val="auto"/>
          <w:highlight w:val="none"/>
        </w:rPr>
      </w:pPr>
      <w:r>
        <w:rPr>
          <w:rFonts w:hint="eastAsia" w:ascii="仿宋" w:hAnsi="仿宋" w:cs="仿宋"/>
          <w:bCs/>
          <w:color w:val="auto"/>
          <w:highlight w:val="none"/>
        </w:rPr>
        <w:t>2.4.供应商未被“信用中国”或“中国执行信息公开网”网站列入失信被执行人名单。</w:t>
      </w:r>
    </w:p>
    <w:p w14:paraId="283148EB">
      <w:pPr>
        <w:pStyle w:val="2"/>
        <w:ind w:left="480"/>
        <w:rPr>
          <w:rFonts w:eastAsia="仿宋_GB2312"/>
          <w:color w:val="auto"/>
          <w:highlight w:val="none"/>
        </w:rPr>
      </w:pPr>
      <w:r>
        <w:rPr>
          <w:rFonts w:hint="eastAsia" w:ascii="仿宋" w:hAnsi="仿宋" w:cs="仿宋"/>
          <w:bCs/>
          <w:color w:val="auto"/>
          <w:highlight w:val="none"/>
        </w:rPr>
        <w:t>2.5.业绩要求：</w:t>
      </w:r>
      <w:r>
        <w:rPr>
          <w:rFonts w:hint="eastAsia" w:ascii="仿宋_GB2312" w:hAnsi="宋体" w:eastAsia="仿宋_GB2312" w:cs="宋体"/>
          <w:color w:val="auto"/>
          <w:highlight w:val="none"/>
        </w:rPr>
        <w:t>2020年1月1日至今，供应商至少具有1个航空领域适航合规体系建设、适航审定、质量保证体系搭建或民航/空管/无人机相关适航咨询服务的业绩案例。</w:t>
      </w:r>
    </w:p>
    <w:p w14:paraId="05C72103">
      <w:pPr>
        <w:tabs>
          <w:tab w:val="left" w:pos="7665"/>
        </w:tabs>
        <w:ind w:firstLine="600" w:firstLineChars="250"/>
        <w:rPr>
          <w:rFonts w:hint="eastAsia" w:ascii="仿宋" w:hAnsi="仿宋"/>
          <w:color w:val="auto"/>
          <w:highlight w:val="none"/>
        </w:rPr>
      </w:pPr>
      <w:r>
        <w:rPr>
          <w:rFonts w:hint="eastAsia" w:ascii="仿宋" w:hAnsi="仿宋" w:cs="仿宋"/>
          <w:bCs/>
          <w:color w:val="auto"/>
          <w:highlight w:val="none"/>
        </w:rPr>
        <w:t>2.6.本项目不接受联合体参与询比。</w:t>
      </w:r>
    </w:p>
    <w:p w14:paraId="434A2810">
      <w:pPr>
        <w:spacing w:after="120"/>
        <w:ind w:firstLine="482" w:firstLineChars="200"/>
        <w:rPr>
          <w:rFonts w:hint="eastAsia" w:ascii="仿宋" w:hAnsi="仿宋"/>
          <w:b/>
          <w:color w:val="auto"/>
          <w:highlight w:val="none"/>
        </w:rPr>
      </w:pPr>
      <w:r>
        <w:rPr>
          <w:rFonts w:hint="eastAsia" w:ascii="仿宋" w:hAnsi="仿宋"/>
          <w:b/>
          <w:color w:val="auto"/>
          <w:highlight w:val="none"/>
        </w:rPr>
        <w:t>七、询比文件获取方法</w:t>
      </w:r>
    </w:p>
    <w:p w14:paraId="0EEFBB97">
      <w:pPr>
        <w:ind w:firstLine="480" w:firstLineChars="200"/>
        <w:rPr>
          <w:rFonts w:hint="eastAsia" w:ascii="仿宋" w:hAnsi="仿宋" w:cs="仿宋"/>
          <w:color w:val="auto"/>
          <w:highlight w:val="none"/>
        </w:rPr>
      </w:pPr>
      <w:r>
        <w:rPr>
          <w:rFonts w:hint="eastAsia" w:ascii="仿宋" w:hAnsi="仿宋" w:cs="仿宋"/>
          <w:color w:val="auto"/>
          <w:highlight w:val="none"/>
        </w:rPr>
        <w:t>1.询比文件自2026年</w:t>
      </w:r>
      <w:r>
        <w:rPr>
          <w:rFonts w:hint="eastAsia" w:ascii="仿宋" w:hAnsi="仿宋" w:cs="仿宋"/>
          <w:color w:val="auto"/>
          <w:highlight w:val="none"/>
          <w:lang w:val="en-US" w:eastAsia="zh-CN"/>
        </w:rPr>
        <w:t>7</w:t>
      </w:r>
      <w:r>
        <w:rPr>
          <w:rFonts w:hint="eastAsia" w:ascii="仿宋" w:hAnsi="仿宋" w:cs="仿宋"/>
          <w:color w:val="auto"/>
          <w:highlight w:val="none"/>
        </w:rPr>
        <w:t>月</w:t>
      </w:r>
      <w:r>
        <w:rPr>
          <w:rFonts w:hint="eastAsia" w:ascii="仿宋" w:hAnsi="仿宋" w:cs="仿宋"/>
          <w:color w:val="auto"/>
          <w:highlight w:val="none"/>
          <w:lang w:val="en-US" w:eastAsia="zh-CN"/>
        </w:rPr>
        <w:t>1</w:t>
      </w:r>
      <w:r>
        <w:rPr>
          <w:rFonts w:hint="eastAsia" w:ascii="仿宋" w:hAnsi="仿宋" w:cs="仿宋"/>
          <w:color w:val="auto"/>
          <w:highlight w:val="none"/>
        </w:rPr>
        <w:t>日至2026年</w:t>
      </w:r>
      <w:r>
        <w:rPr>
          <w:rFonts w:hint="eastAsia" w:ascii="仿宋" w:hAnsi="仿宋" w:cs="仿宋"/>
          <w:color w:val="auto"/>
          <w:highlight w:val="none"/>
          <w:lang w:val="en-US" w:eastAsia="zh-CN"/>
        </w:rPr>
        <w:t>7</w:t>
      </w:r>
      <w:r>
        <w:rPr>
          <w:rFonts w:hint="eastAsia" w:ascii="仿宋" w:hAnsi="仿宋" w:cs="仿宋"/>
          <w:color w:val="auto"/>
          <w:highlight w:val="none"/>
        </w:rPr>
        <w:t>月</w:t>
      </w:r>
      <w:r>
        <w:rPr>
          <w:rFonts w:hint="eastAsia" w:ascii="仿宋" w:hAnsi="仿宋" w:cs="仿宋"/>
          <w:color w:val="auto"/>
          <w:highlight w:val="none"/>
          <w:lang w:val="en-US" w:eastAsia="zh-CN"/>
        </w:rPr>
        <w:t>6</w:t>
      </w:r>
      <w:r>
        <w:rPr>
          <w:rFonts w:hint="eastAsia" w:ascii="仿宋" w:hAnsi="仿宋" w:cs="仿宋"/>
          <w:color w:val="auto"/>
          <w:highlight w:val="none"/>
        </w:rPr>
        <w:t>日09:00- 17:00（北京时间，法定节假日除外）在四川国锃招标代理有限公司（绵阳市科创园区科技路5号2楼）获取。</w:t>
      </w:r>
    </w:p>
    <w:p w14:paraId="1DFC582A">
      <w:pPr>
        <w:ind w:firstLine="480" w:firstLineChars="200"/>
        <w:rPr>
          <w:rFonts w:hint="eastAsia" w:ascii="仿宋" w:hAnsi="仿宋" w:cs="仿宋"/>
          <w:color w:val="auto"/>
          <w:highlight w:val="none"/>
        </w:rPr>
      </w:pPr>
      <w:r>
        <w:rPr>
          <w:rFonts w:hint="eastAsia" w:ascii="仿宋" w:hAnsi="仿宋" w:cs="仿宋"/>
          <w:color w:val="auto"/>
          <w:highlight w:val="none"/>
        </w:rPr>
        <w:t>2.本项目询比文件有偿获取，询比文件售价：人民币300.00元/份（询比文件售后不退,询比资格不能转让）。</w:t>
      </w:r>
    </w:p>
    <w:p w14:paraId="447D2937">
      <w:pPr>
        <w:ind w:firstLine="480" w:firstLineChars="200"/>
        <w:rPr>
          <w:rFonts w:hint="eastAsia" w:ascii="仿宋" w:hAnsi="仿宋"/>
          <w:color w:val="auto"/>
          <w:highlight w:val="none"/>
        </w:rPr>
      </w:pPr>
      <w:r>
        <w:rPr>
          <w:rFonts w:hint="eastAsia" w:ascii="仿宋" w:hAnsi="仿宋"/>
          <w:color w:val="auto"/>
          <w:highlight w:val="none"/>
        </w:rPr>
        <w:t>供应商根据自身实际情况，可任意选择以下方式进行报名：</w:t>
      </w:r>
    </w:p>
    <w:p w14:paraId="10A30CB5">
      <w:pPr>
        <w:ind w:firstLine="480" w:firstLineChars="200"/>
        <w:rPr>
          <w:rFonts w:hint="eastAsia" w:ascii="仿宋" w:hAnsi="仿宋"/>
          <w:color w:val="auto"/>
          <w:highlight w:val="none"/>
        </w:rPr>
      </w:pPr>
      <w:r>
        <w:rPr>
          <w:rFonts w:hint="eastAsia" w:ascii="仿宋" w:hAnsi="仿宋"/>
          <w:color w:val="auto"/>
          <w:highlight w:val="none"/>
        </w:rPr>
        <w:t>①现场报名：供应商须提交“报名申请表”及相关附件（“报名申请表”请供应商在招标公告附件中自行下载）；</w:t>
      </w:r>
    </w:p>
    <w:p w14:paraId="5A2B3A8B">
      <w:pPr>
        <w:ind w:firstLine="480" w:firstLineChars="200"/>
        <w:rPr>
          <w:rFonts w:hint="eastAsia" w:ascii="仿宋" w:hAnsi="仿宋"/>
          <w:color w:val="auto"/>
          <w:highlight w:val="none"/>
        </w:rPr>
      </w:pPr>
      <w:r>
        <w:rPr>
          <w:rFonts w:hint="eastAsia" w:ascii="仿宋" w:hAnsi="仿宋"/>
          <w:color w:val="auto"/>
          <w:highlight w:val="none"/>
        </w:rPr>
        <w:t>②网上报名：供应商登录四川国锃招标代理有限公司网站（https://www.scgzzb.cn/)获取，具体获取流程详见该网站下载中心的“四川国锃招投标系统供应商使用手册”。</w:t>
      </w:r>
    </w:p>
    <w:p w14:paraId="4771C894">
      <w:pPr>
        <w:spacing w:after="120"/>
        <w:ind w:firstLine="482" w:firstLineChars="200"/>
        <w:rPr>
          <w:rFonts w:hint="eastAsia" w:ascii="仿宋" w:hAnsi="仿宋"/>
          <w:color w:val="auto"/>
          <w:highlight w:val="none"/>
        </w:rPr>
      </w:pPr>
      <w:r>
        <w:rPr>
          <w:rFonts w:hint="eastAsia" w:ascii="仿宋" w:hAnsi="仿宋"/>
          <w:b/>
          <w:color w:val="auto"/>
          <w:highlight w:val="none"/>
        </w:rPr>
        <w:t>八、递交响应文件截止时间：</w:t>
      </w:r>
      <w:r>
        <w:rPr>
          <w:rFonts w:ascii="仿宋" w:hAnsi="仿宋"/>
          <w:color w:val="auto"/>
          <w:highlight w:val="none"/>
        </w:rPr>
        <w:t>202</w:t>
      </w:r>
      <w:r>
        <w:rPr>
          <w:rFonts w:hint="eastAsia" w:ascii="仿宋" w:hAnsi="仿宋"/>
          <w:color w:val="auto"/>
          <w:highlight w:val="none"/>
        </w:rPr>
        <w:t>6年</w:t>
      </w:r>
      <w:r>
        <w:rPr>
          <w:rFonts w:hint="eastAsia" w:ascii="仿宋" w:hAnsi="仿宋"/>
          <w:color w:val="auto"/>
          <w:highlight w:val="none"/>
          <w:lang w:val="en-US" w:eastAsia="zh-CN"/>
        </w:rPr>
        <w:t>7</w:t>
      </w:r>
      <w:r>
        <w:rPr>
          <w:rFonts w:hint="eastAsia" w:ascii="仿宋" w:hAnsi="仿宋"/>
          <w:color w:val="auto"/>
          <w:highlight w:val="none"/>
        </w:rPr>
        <w:t>月</w:t>
      </w:r>
      <w:r>
        <w:rPr>
          <w:rFonts w:hint="eastAsia" w:ascii="仿宋" w:hAnsi="仿宋"/>
          <w:color w:val="auto"/>
          <w:highlight w:val="none"/>
          <w:lang w:val="en-US" w:eastAsia="zh-CN"/>
        </w:rPr>
        <w:t>13</w:t>
      </w:r>
      <w:r>
        <w:rPr>
          <w:rFonts w:hint="eastAsia" w:ascii="仿宋" w:hAnsi="仿宋"/>
          <w:color w:val="auto"/>
          <w:highlight w:val="none"/>
        </w:rPr>
        <w:t>日</w:t>
      </w:r>
      <w:r>
        <w:rPr>
          <w:rFonts w:hint="eastAsia" w:ascii="仿宋" w:hAnsi="仿宋"/>
          <w:color w:val="auto"/>
          <w:highlight w:val="none"/>
          <w:lang w:val="en-US" w:eastAsia="zh-CN"/>
        </w:rPr>
        <w:t>09</w:t>
      </w:r>
      <w:r>
        <w:rPr>
          <w:rFonts w:hint="eastAsia" w:ascii="仿宋" w:hAnsi="仿宋"/>
          <w:color w:val="auto"/>
          <w:highlight w:val="none"/>
        </w:rPr>
        <w:t>时</w:t>
      </w:r>
      <w:r>
        <w:rPr>
          <w:rFonts w:hint="eastAsia" w:ascii="仿宋" w:hAnsi="仿宋"/>
          <w:color w:val="auto"/>
          <w:highlight w:val="none"/>
          <w:lang w:val="en-US" w:eastAsia="zh-CN"/>
        </w:rPr>
        <w:t>30</w:t>
      </w:r>
      <w:r>
        <w:rPr>
          <w:rFonts w:hint="eastAsia" w:ascii="仿宋" w:hAnsi="仿宋"/>
          <w:color w:val="auto"/>
          <w:highlight w:val="none"/>
        </w:rPr>
        <w:t>分</w:t>
      </w:r>
      <w:r>
        <w:rPr>
          <w:rFonts w:ascii="仿宋" w:hAnsi="仿宋"/>
          <w:color w:val="auto"/>
          <w:highlight w:val="none"/>
        </w:rPr>
        <w:t>（北京时间）</w:t>
      </w:r>
      <w:r>
        <w:rPr>
          <w:rFonts w:hint="eastAsia" w:ascii="仿宋" w:hAnsi="仿宋"/>
          <w:color w:val="auto"/>
          <w:highlight w:val="none"/>
        </w:rPr>
        <w:t>。</w:t>
      </w:r>
    </w:p>
    <w:p w14:paraId="7328A6AF">
      <w:pPr>
        <w:spacing w:after="120"/>
        <w:ind w:firstLine="482" w:firstLineChars="200"/>
        <w:rPr>
          <w:rFonts w:hint="eastAsia" w:ascii="仿宋" w:hAnsi="仿宋"/>
          <w:color w:val="auto"/>
          <w:highlight w:val="none"/>
        </w:rPr>
      </w:pPr>
      <w:r>
        <w:rPr>
          <w:rFonts w:hint="eastAsia" w:ascii="仿宋" w:hAnsi="仿宋"/>
          <w:b/>
          <w:color w:val="auto"/>
          <w:highlight w:val="none"/>
        </w:rPr>
        <w:t>九、递交响应文件地点：</w:t>
      </w:r>
      <w:bookmarkStart w:id="11" w:name="PO_默认文件内容_7"/>
      <w:r>
        <w:rPr>
          <w:rFonts w:hint="eastAsia" w:ascii="仿宋" w:hAnsi="仿宋"/>
          <w:color w:val="auto"/>
          <w:highlight w:val="none"/>
        </w:rPr>
        <w:t>四川国锃招标代理有限公司开标室（绵阳市科创园区科技路5号二楼），响应文件必须在递交响应文件截止时间前送达递交地点。逾期送达或密封不符合询比文件要求的响应文件恕不接收。本次采购不接收邮寄的响应文件。</w:t>
      </w:r>
      <w:bookmarkEnd w:id="11"/>
    </w:p>
    <w:p w14:paraId="798F8E5E">
      <w:pPr>
        <w:spacing w:after="120"/>
        <w:ind w:firstLine="482" w:firstLineChars="200"/>
        <w:rPr>
          <w:rFonts w:hint="eastAsia" w:ascii="仿宋" w:hAnsi="仿宋"/>
          <w:b/>
          <w:color w:val="auto"/>
          <w:highlight w:val="none"/>
        </w:rPr>
      </w:pPr>
      <w:r>
        <w:rPr>
          <w:rFonts w:hint="eastAsia" w:ascii="仿宋" w:hAnsi="仿宋"/>
          <w:b/>
          <w:color w:val="auto"/>
          <w:highlight w:val="none"/>
        </w:rPr>
        <w:t>十、联系方式</w:t>
      </w:r>
    </w:p>
    <w:p w14:paraId="1355A3AA">
      <w:pPr>
        <w:pStyle w:val="48"/>
        <w:ind w:firstLine="441" w:firstLineChars="183"/>
        <w:rPr>
          <w:rFonts w:hint="eastAsia" w:ascii="仿宋" w:hAnsi="仿宋"/>
          <w:b/>
          <w:bCs/>
          <w:color w:val="auto"/>
          <w:highlight w:val="none"/>
        </w:rPr>
      </w:pPr>
      <w:bookmarkStart w:id="12" w:name="_Toc213496267"/>
      <w:bookmarkStart w:id="13" w:name="_Toc217446031"/>
      <w:bookmarkStart w:id="14" w:name="_Toc213396945"/>
      <w:bookmarkStart w:id="15" w:name="_Toc213397009"/>
      <w:bookmarkStart w:id="16" w:name="_Toc213396759"/>
      <w:r>
        <w:rPr>
          <w:rFonts w:hint="eastAsia" w:ascii="仿宋" w:hAnsi="仿宋"/>
          <w:b/>
          <w:bCs/>
          <w:color w:val="auto"/>
          <w:highlight w:val="none"/>
        </w:rPr>
        <w:t>采购人：四川九洲空管科技有限责任公司</w:t>
      </w:r>
    </w:p>
    <w:p w14:paraId="57745971">
      <w:pPr>
        <w:pStyle w:val="48"/>
        <w:ind w:firstLine="439" w:firstLineChars="183"/>
        <w:rPr>
          <w:rFonts w:hint="eastAsia" w:ascii="仿宋" w:hAnsi="仿宋"/>
          <w:bCs/>
          <w:color w:val="auto"/>
          <w:highlight w:val="none"/>
        </w:rPr>
      </w:pPr>
      <w:r>
        <w:rPr>
          <w:rFonts w:hint="eastAsia" w:ascii="仿宋" w:hAnsi="仿宋"/>
          <w:bCs/>
          <w:color w:val="auto"/>
          <w:highlight w:val="none"/>
        </w:rPr>
        <w:t>通讯地址：四川省绵阳市科创园区九华路6号</w:t>
      </w:r>
    </w:p>
    <w:p w14:paraId="25983618">
      <w:pPr>
        <w:pStyle w:val="48"/>
        <w:ind w:firstLine="439" w:firstLineChars="183"/>
        <w:rPr>
          <w:rFonts w:hint="eastAsia" w:ascii="仿宋" w:hAnsi="仿宋"/>
          <w:bCs/>
          <w:color w:val="auto"/>
          <w:highlight w:val="none"/>
        </w:rPr>
      </w:pPr>
      <w:r>
        <w:rPr>
          <w:rFonts w:hint="eastAsia" w:ascii="仿宋" w:hAnsi="仿宋"/>
          <w:bCs/>
          <w:color w:val="auto"/>
          <w:highlight w:val="none"/>
        </w:rPr>
        <w:t>联系人：尹复平</w:t>
      </w:r>
    </w:p>
    <w:p w14:paraId="5B5FFBBA">
      <w:pPr>
        <w:pStyle w:val="48"/>
        <w:ind w:firstLine="439" w:firstLineChars="183"/>
        <w:rPr>
          <w:rFonts w:hint="eastAsia" w:ascii="仿宋" w:hAnsi="仿宋" w:cs="宋体"/>
          <w:color w:val="auto"/>
          <w:highlight w:val="none"/>
        </w:rPr>
      </w:pPr>
      <w:r>
        <w:rPr>
          <w:rFonts w:hint="eastAsia" w:ascii="仿宋" w:hAnsi="仿宋"/>
          <w:bCs/>
          <w:color w:val="auto"/>
          <w:highlight w:val="none"/>
        </w:rPr>
        <w:t>联系电话：15328221368</w:t>
      </w:r>
    </w:p>
    <w:p w14:paraId="0C48F394">
      <w:pPr>
        <w:pStyle w:val="48"/>
        <w:ind w:firstLine="439" w:firstLineChars="183"/>
        <w:rPr>
          <w:rFonts w:hint="eastAsia" w:ascii="仿宋" w:hAnsi="仿宋"/>
          <w:bCs/>
          <w:color w:val="auto"/>
          <w:highlight w:val="none"/>
        </w:rPr>
      </w:pPr>
    </w:p>
    <w:p w14:paraId="65B5228B">
      <w:pPr>
        <w:pStyle w:val="48"/>
        <w:ind w:firstLine="441" w:firstLineChars="183"/>
        <w:rPr>
          <w:rFonts w:hint="eastAsia" w:ascii="仿宋" w:hAnsi="仿宋" w:cs="仿宋"/>
          <w:b/>
          <w:color w:val="auto"/>
          <w:highlight w:val="none"/>
        </w:rPr>
      </w:pPr>
      <w:r>
        <w:rPr>
          <w:rFonts w:hint="eastAsia" w:ascii="仿宋" w:hAnsi="仿宋" w:cs="仿宋"/>
          <w:b/>
          <w:color w:val="auto"/>
          <w:highlight w:val="none"/>
        </w:rPr>
        <w:t>采购代理机构：四川国锃招标代理有限公司</w:t>
      </w:r>
    </w:p>
    <w:p w14:paraId="70FB2E05">
      <w:pPr>
        <w:ind w:firstLine="480" w:firstLineChars="200"/>
        <w:rPr>
          <w:rFonts w:hint="eastAsia" w:ascii="仿宋" w:hAnsi="仿宋" w:cs="仿宋"/>
          <w:color w:val="auto"/>
          <w:highlight w:val="none"/>
        </w:rPr>
      </w:pPr>
      <w:bookmarkStart w:id="17" w:name="_Hlk58420669"/>
      <w:r>
        <w:rPr>
          <w:rFonts w:hint="eastAsia" w:ascii="仿宋" w:hAnsi="仿宋" w:cs="仿宋"/>
          <w:color w:val="auto"/>
          <w:highlight w:val="none"/>
        </w:rPr>
        <w:t xml:space="preserve">地    址：绵阳市科创园区科技路5号2楼 </w:t>
      </w:r>
    </w:p>
    <w:p w14:paraId="6F217BDC">
      <w:pPr>
        <w:ind w:firstLine="480" w:firstLineChars="200"/>
        <w:rPr>
          <w:rFonts w:hint="eastAsia" w:ascii="仿宋" w:hAnsi="仿宋" w:cs="仿宋"/>
          <w:color w:val="auto"/>
          <w:highlight w:val="none"/>
        </w:rPr>
      </w:pPr>
      <w:r>
        <w:rPr>
          <w:rFonts w:hint="eastAsia" w:ascii="仿宋" w:hAnsi="仿宋" w:cs="仿宋"/>
          <w:color w:val="auto"/>
          <w:highlight w:val="none"/>
        </w:rPr>
        <w:t>邮    编：621000</w:t>
      </w:r>
    </w:p>
    <w:p w14:paraId="7299A579">
      <w:pPr>
        <w:ind w:firstLine="480" w:firstLineChars="200"/>
        <w:rPr>
          <w:rFonts w:hint="eastAsia" w:ascii="仿宋" w:hAnsi="仿宋" w:cs="仿宋"/>
          <w:color w:val="auto"/>
          <w:highlight w:val="none"/>
        </w:rPr>
      </w:pPr>
      <w:r>
        <w:rPr>
          <w:rFonts w:hint="eastAsia" w:ascii="仿宋" w:hAnsi="仿宋" w:cs="仿宋"/>
          <w:color w:val="auto"/>
          <w:highlight w:val="none"/>
        </w:rPr>
        <w:t>联系方式：陈  华0816-2351166（报名咨询）</w:t>
      </w:r>
    </w:p>
    <w:p w14:paraId="0B6E0B38">
      <w:pPr>
        <w:pStyle w:val="48"/>
        <w:ind w:firstLine="1632" w:firstLineChars="680"/>
        <w:rPr>
          <w:rFonts w:hint="eastAsia" w:ascii="仿宋" w:hAnsi="仿宋"/>
          <w:bCs/>
          <w:color w:val="auto"/>
          <w:highlight w:val="none"/>
        </w:rPr>
      </w:pPr>
      <w:r>
        <w:rPr>
          <w:rFonts w:hint="eastAsia" w:ascii="仿宋" w:hAnsi="仿宋" w:cs="仿宋"/>
          <w:color w:val="auto"/>
          <w:highlight w:val="none"/>
        </w:rPr>
        <w:t>袁  月18009050628（项目咨询）</w:t>
      </w:r>
    </w:p>
    <w:bookmarkEnd w:id="17"/>
    <w:p w14:paraId="17B12B5A">
      <w:pPr>
        <w:pStyle w:val="48"/>
        <w:ind w:right="960" w:firstLine="919" w:firstLineChars="383"/>
        <w:jc w:val="center"/>
        <w:rPr>
          <w:rFonts w:hint="eastAsia" w:ascii="仿宋" w:hAnsi="仿宋" w:cs="宋体"/>
          <w:color w:val="auto"/>
          <w:highlight w:val="none"/>
        </w:rPr>
      </w:pPr>
      <w:r>
        <w:rPr>
          <w:rFonts w:hint="eastAsia" w:ascii="仿宋" w:hAnsi="仿宋" w:cs="宋体"/>
          <w:color w:val="auto"/>
          <w:highlight w:val="none"/>
        </w:rPr>
        <w:t xml:space="preserve">                                </w:t>
      </w:r>
      <w:bookmarkEnd w:id="2"/>
      <w:bookmarkEnd w:id="3"/>
    </w:p>
    <w:p w14:paraId="02D8E488">
      <w:pPr>
        <w:widowControl/>
        <w:spacing w:line="240" w:lineRule="auto"/>
        <w:jc w:val="left"/>
        <w:rPr>
          <w:rFonts w:hint="eastAsia" w:ascii="仿宋" w:hAnsi="仿宋"/>
          <w:b/>
          <w:bCs/>
          <w:color w:val="auto"/>
          <w:sz w:val="32"/>
          <w:szCs w:val="32"/>
          <w:highlight w:val="none"/>
        </w:rPr>
      </w:pPr>
      <w:r>
        <w:rPr>
          <w:rFonts w:ascii="仿宋" w:hAnsi="仿宋"/>
          <w:color w:val="auto"/>
          <w:highlight w:val="none"/>
        </w:rPr>
        <w:br w:type="page"/>
      </w:r>
      <w:bookmarkStart w:id="18" w:name="_Toc37838083"/>
    </w:p>
    <w:p w14:paraId="55C3D7CC">
      <w:pPr>
        <w:pStyle w:val="26"/>
        <w:rPr>
          <w:rFonts w:hint="eastAsia" w:ascii="仿宋" w:hAnsi="仿宋"/>
          <w:color w:val="auto"/>
          <w:highlight w:val="none"/>
        </w:rPr>
      </w:pPr>
      <w:r>
        <w:rPr>
          <w:rFonts w:hint="eastAsia" w:ascii="仿宋" w:hAnsi="仿宋"/>
          <w:color w:val="auto"/>
          <w:highlight w:val="none"/>
        </w:rPr>
        <w:t>第二章  询比须知</w:t>
      </w:r>
      <w:bookmarkEnd w:id="12"/>
      <w:bookmarkEnd w:id="13"/>
      <w:bookmarkEnd w:id="14"/>
      <w:bookmarkEnd w:id="15"/>
      <w:bookmarkEnd w:id="16"/>
      <w:bookmarkEnd w:id="18"/>
    </w:p>
    <w:p w14:paraId="553A9543">
      <w:pPr>
        <w:pStyle w:val="4"/>
        <w:keepNext w:val="0"/>
        <w:keepLines w:val="0"/>
        <w:spacing w:line="360" w:lineRule="auto"/>
        <w:jc w:val="center"/>
        <w:rPr>
          <w:rFonts w:hint="eastAsia" w:ascii="仿宋" w:hAnsi="仿宋" w:eastAsia="仿宋"/>
          <w:color w:val="auto"/>
          <w:highlight w:val="none"/>
        </w:rPr>
      </w:pPr>
      <w:r>
        <w:rPr>
          <w:rFonts w:hint="eastAsia" w:ascii="仿宋" w:hAnsi="仿宋" w:eastAsia="仿宋"/>
          <w:color w:val="auto"/>
          <w:highlight w:val="none"/>
        </w:rPr>
        <w:t>一、供应商须知前附表</w:t>
      </w:r>
    </w:p>
    <w:tbl>
      <w:tblPr>
        <w:tblStyle w:val="30"/>
        <w:tblW w:w="9451"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1007"/>
        <w:gridCol w:w="2018"/>
        <w:gridCol w:w="6426"/>
      </w:tblGrid>
      <w:tr w14:paraId="47CD1DD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tblHeader/>
          <w:jc w:val="center"/>
        </w:trPr>
        <w:tc>
          <w:tcPr>
            <w:tcW w:w="1007" w:type="dxa"/>
            <w:vAlign w:val="center"/>
          </w:tcPr>
          <w:p w14:paraId="437D0840">
            <w:pPr>
              <w:pStyle w:val="52"/>
              <w:jc w:val="center"/>
              <w:rPr>
                <w:rFonts w:hint="eastAsia" w:ascii="仿宋" w:hAnsi="仿宋" w:eastAsia="仿宋"/>
                <w:color w:val="auto"/>
                <w:highlight w:val="none"/>
                <w:lang w:val="zh-CN"/>
              </w:rPr>
            </w:pPr>
            <w:r>
              <w:rPr>
                <w:rFonts w:hint="eastAsia" w:ascii="仿宋" w:hAnsi="仿宋" w:eastAsia="仿宋"/>
                <w:color w:val="auto"/>
                <w:highlight w:val="none"/>
                <w:lang w:val="zh-CN"/>
              </w:rPr>
              <w:t>序号</w:t>
            </w:r>
          </w:p>
        </w:tc>
        <w:tc>
          <w:tcPr>
            <w:tcW w:w="2018" w:type="dxa"/>
            <w:vAlign w:val="center"/>
          </w:tcPr>
          <w:p w14:paraId="2EB26215">
            <w:pPr>
              <w:pStyle w:val="52"/>
              <w:jc w:val="center"/>
              <w:rPr>
                <w:rFonts w:hint="eastAsia" w:ascii="仿宋" w:hAnsi="仿宋" w:eastAsia="仿宋"/>
                <w:color w:val="auto"/>
                <w:highlight w:val="none"/>
                <w:lang w:val="zh-CN"/>
              </w:rPr>
            </w:pPr>
            <w:r>
              <w:rPr>
                <w:rFonts w:hint="eastAsia" w:ascii="仿宋" w:hAnsi="仿宋" w:eastAsia="仿宋"/>
                <w:color w:val="auto"/>
                <w:highlight w:val="none"/>
                <w:lang w:val="zh-CN"/>
              </w:rPr>
              <w:t>应知事项</w:t>
            </w:r>
          </w:p>
        </w:tc>
        <w:tc>
          <w:tcPr>
            <w:tcW w:w="6426" w:type="dxa"/>
            <w:vAlign w:val="center"/>
          </w:tcPr>
          <w:p w14:paraId="0C698983">
            <w:pPr>
              <w:pStyle w:val="52"/>
              <w:jc w:val="center"/>
              <w:rPr>
                <w:rFonts w:hint="eastAsia" w:ascii="仿宋" w:hAnsi="仿宋" w:eastAsia="仿宋"/>
                <w:color w:val="auto"/>
                <w:highlight w:val="none"/>
                <w:lang w:val="zh-CN"/>
              </w:rPr>
            </w:pPr>
            <w:r>
              <w:rPr>
                <w:rFonts w:hint="eastAsia" w:ascii="仿宋" w:hAnsi="仿宋" w:eastAsia="仿宋"/>
                <w:color w:val="auto"/>
                <w:highlight w:val="none"/>
                <w:lang w:val="zh-CN"/>
              </w:rPr>
              <w:t>说明和要求</w:t>
            </w:r>
          </w:p>
        </w:tc>
      </w:tr>
      <w:tr w14:paraId="724D7E2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22FD8962">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1</w:t>
            </w:r>
          </w:p>
        </w:tc>
        <w:tc>
          <w:tcPr>
            <w:tcW w:w="2018" w:type="dxa"/>
            <w:vAlign w:val="center"/>
          </w:tcPr>
          <w:p w14:paraId="738C3FC0">
            <w:pPr>
              <w:pStyle w:val="52"/>
              <w:jc w:val="center"/>
              <w:rPr>
                <w:rFonts w:hint="eastAsia" w:ascii="仿宋" w:hAnsi="仿宋" w:eastAsia="仿宋"/>
                <w:color w:val="auto"/>
                <w:highlight w:val="none"/>
                <w:lang w:val="zh-CN"/>
              </w:rPr>
            </w:pPr>
            <w:r>
              <w:rPr>
                <w:rFonts w:hint="eastAsia" w:ascii="仿宋" w:hAnsi="仿宋" w:eastAsia="仿宋"/>
                <w:color w:val="auto"/>
                <w:highlight w:val="none"/>
              </w:rPr>
              <w:t>供应商</w:t>
            </w:r>
            <w:r>
              <w:rPr>
                <w:rFonts w:hint="eastAsia" w:ascii="仿宋" w:hAnsi="仿宋" w:eastAsia="仿宋"/>
                <w:color w:val="auto"/>
                <w:highlight w:val="none"/>
                <w:lang w:val="zh-CN"/>
              </w:rPr>
              <w:t>数量和方式</w:t>
            </w:r>
          </w:p>
        </w:tc>
        <w:tc>
          <w:tcPr>
            <w:tcW w:w="6426" w:type="dxa"/>
          </w:tcPr>
          <w:p w14:paraId="6676B012">
            <w:pPr>
              <w:pStyle w:val="52"/>
              <w:ind w:firstLine="240" w:firstLineChars="100"/>
              <w:jc w:val="both"/>
              <w:rPr>
                <w:rFonts w:hint="eastAsia" w:ascii="仿宋" w:hAnsi="仿宋" w:eastAsia="仿宋"/>
                <w:color w:val="auto"/>
                <w:highlight w:val="none"/>
                <w:lang w:val="zh-CN"/>
              </w:rPr>
            </w:pPr>
            <w:r>
              <w:rPr>
                <w:rFonts w:hint="eastAsia" w:ascii="仿宋" w:hAnsi="仿宋" w:eastAsia="仿宋"/>
                <w:color w:val="auto"/>
                <w:highlight w:val="none"/>
                <w:lang w:val="zh-CN"/>
              </w:rPr>
              <w:t>本次</w:t>
            </w:r>
            <w:r>
              <w:rPr>
                <w:rFonts w:hint="eastAsia" w:ascii="仿宋" w:hAnsi="仿宋" w:eastAsia="仿宋"/>
                <w:color w:val="auto"/>
                <w:highlight w:val="none"/>
              </w:rPr>
              <w:t>采购供应商</w:t>
            </w:r>
            <w:r>
              <w:rPr>
                <w:rFonts w:hint="eastAsia" w:ascii="仿宋" w:hAnsi="仿宋" w:eastAsia="仿宋"/>
                <w:color w:val="auto"/>
                <w:highlight w:val="none"/>
                <w:lang w:val="zh-CN"/>
              </w:rPr>
              <w:t>数量：不少于三家。</w:t>
            </w:r>
            <w:r>
              <w:rPr>
                <w:rFonts w:ascii="仿宋" w:hAnsi="仿宋" w:eastAsia="仿宋"/>
                <w:color w:val="auto"/>
                <w:highlight w:val="none"/>
              </w:rPr>
              <w:t>递交</w:t>
            </w:r>
            <w:r>
              <w:rPr>
                <w:rFonts w:hint="eastAsia" w:ascii="仿宋" w:hAnsi="仿宋" w:eastAsia="仿宋"/>
                <w:color w:val="auto"/>
                <w:highlight w:val="none"/>
                <w:lang w:val="zh-CN"/>
              </w:rPr>
              <w:t>截止后有效递交</w:t>
            </w:r>
            <w:r>
              <w:rPr>
                <w:rFonts w:ascii="仿宋" w:hAnsi="仿宋" w:eastAsia="仿宋"/>
                <w:color w:val="auto"/>
                <w:highlight w:val="none"/>
              </w:rPr>
              <w:t>响应</w:t>
            </w:r>
            <w:r>
              <w:rPr>
                <w:rFonts w:hint="eastAsia" w:ascii="仿宋" w:hAnsi="仿宋" w:eastAsia="仿宋"/>
                <w:color w:val="auto"/>
                <w:highlight w:val="none"/>
                <w:lang w:val="zh-CN"/>
              </w:rPr>
              <w:t>文件</w:t>
            </w:r>
            <w:r>
              <w:rPr>
                <w:rFonts w:ascii="仿宋" w:hAnsi="仿宋" w:eastAsia="仿宋"/>
                <w:color w:val="auto"/>
                <w:highlight w:val="none"/>
              </w:rPr>
              <w:t>的供应商不</w:t>
            </w:r>
            <w:r>
              <w:rPr>
                <w:rFonts w:hint="eastAsia" w:ascii="仿宋" w:hAnsi="仿宋" w:eastAsia="仿宋"/>
                <w:color w:val="auto"/>
                <w:highlight w:val="none"/>
                <w:lang w:val="zh-CN"/>
              </w:rPr>
              <w:t>足三家，不予开标，</w:t>
            </w:r>
            <w:r>
              <w:rPr>
                <w:rFonts w:ascii="仿宋" w:hAnsi="仿宋" w:eastAsia="仿宋"/>
                <w:color w:val="auto"/>
                <w:highlight w:val="none"/>
              </w:rPr>
              <w:t>响应</w:t>
            </w:r>
            <w:r>
              <w:rPr>
                <w:rFonts w:hint="eastAsia" w:ascii="仿宋" w:hAnsi="仿宋" w:eastAsia="仿宋"/>
                <w:color w:val="auto"/>
                <w:highlight w:val="none"/>
                <w:lang w:val="zh-CN"/>
              </w:rPr>
              <w:t>文件原样退回，项目重新询比。</w:t>
            </w:r>
          </w:p>
        </w:tc>
      </w:tr>
      <w:tr w14:paraId="4C0E901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21EE63CF">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2</w:t>
            </w:r>
          </w:p>
        </w:tc>
        <w:tc>
          <w:tcPr>
            <w:tcW w:w="2018" w:type="dxa"/>
            <w:vAlign w:val="center"/>
          </w:tcPr>
          <w:p w14:paraId="5177BF8F">
            <w:pPr>
              <w:pStyle w:val="52"/>
              <w:jc w:val="center"/>
              <w:rPr>
                <w:rFonts w:hint="eastAsia" w:ascii="仿宋" w:hAnsi="仿宋" w:eastAsia="仿宋"/>
                <w:color w:val="auto"/>
                <w:highlight w:val="none"/>
                <w:lang w:val="zh-CN"/>
              </w:rPr>
            </w:pPr>
            <w:r>
              <w:rPr>
                <w:rFonts w:hint="eastAsia" w:ascii="仿宋" w:hAnsi="仿宋" w:eastAsia="仿宋"/>
                <w:color w:val="auto"/>
                <w:highlight w:val="none"/>
                <w:lang w:val="zh-CN"/>
              </w:rPr>
              <w:t>最高限价</w:t>
            </w:r>
          </w:p>
          <w:p w14:paraId="79FCB619">
            <w:pPr>
              <w:pStyle w:val="52"/>
              <w:jc w:val="center"/>
              <w:rPr>
                <w:rFonts w:hint="eastAsia" w:ascii="仿宋" w:hAnsi="仿宋" w:eastAsia="仿宋"/>
                <w:b/>
                <w:color w:val="auto"/>
                <w:highlight w:val="none"/>
                <w:lang w:val="zh-CN"/>
              </w:rPr>
            </w:pPr>
            <w:r>
              <w:rPr>
                <w:rFonts w:hint="eastAsia" w:ascii="仿宋" w:hAnsi="仿宋" w:eastAsia="仿宋"/>
                <w:b/>
                <w:color w:val="auto"/>
                <w:highlight w:val="none"/>
                <w:lang w:val="zh-CN"/>
              </w:rPr>
              <w:t>（实质性要求）</w:t>
            </w:r>
          </w:p>
        </w:tc>
        <w:tc>
          <w:tcPr>
            <w:tcW w:w="6426" w:type="dxa"/>
            <w:vAlign w:val="center"/>
          </w:tcPr>
          <w:p w14:paraId="6EE2E586">
            <w:pPr>
              <w:pStyle w:val="52"/>
              <w:ind w:firstLine="240" w:firstLineChars="100"/>
              <w:jc w:val="both"/>
              <w:rPr>
                <w:rFonts w:hint="eastAsia" w:ascii="仿宋" w:hAnsi="仿宋" w:eastAsia="仿宋"/>
                <w:color w:val="auto"/>
                <w:highlight w:val="none"/>
                <w:lang w:val="zh-CN"/>
              </w:rPr>
            </w:pPr>
            <w:r>
              <w:rPr>
                <w:rFonts w:ascii="仿宋" w:hAnsi="仿宋" w:eastAsia="仿宋"/>
                <w:color w:val="auto"/>
                <w:highlight w:val="none"/>
                <w:lang w:val="zh-CN"/>
              </w:rPr>
              <w:t>本项目最高限价</w:t>
            </w:r>
            <w:r>
              <w:rPr>
                <w:rStyle w:val="98"/>
                <w:rFonts w:hint="eastAsia" w:ascii="仿宋" w:hAnsi="仿宋" w:eastAsia="仿宋" w:cs="仿宋"/>
                <w:color w:val="auto"/>
                <w:szCs w:val="24"/>
                <w:highlight w:val="none"/>
                <w:lang w:val="zh-CN"/>
              </w:rPr>
              <w:t>（</w:t>
            </w:r>
            <w:r>
              <w:rPr>
                <w:rStyle w:val="98"/>
                <w:rFonts w:hint="eastAsia" w:ascii="仿宋" w:hAnsi="仿宋" w:eastAsia="仿宋" w:cs="仿宋"/>
                <w:color w:val="auto"/>
                <w:szCs w:val="24"/>
                <w:highlight w:val="none"/>
              </w:rPr>
              <w:t>含税</w:t>
            </w:r>
            <w:r>
              <w:rPr>
                <w:rStyle w:val="98"/>
                <w:rFonts w:hint="eastAsia" w:ascii="仿宋" w:hAnsi="仿宋" w:eastAsia="仿宋" w:cs="仿宋"/>
                <w:color w:val="auto"/>
                <w:szCs w:val="24"/>
                <w:highlight w:val="none"/>
                <w:lang w:val="zh-CN"/>
              </w:rPr>
              <w:t>）</w:t>
            </w:r>
            <w:r>
              <w:rPr>
                <w:rFonts w:ascii="仿宋" w:hAnsi="仿宋" w:eastAsia="仿宋"/>
                <w:color w:val="auto"/>
                <w:highlight w:val="none"/>
                <w:lang w:val="zh-CN"/>
              </w:rPr>
              <w:t>为</w:t>
            </w:r>
            <w:r>
              <w:rPr>
                <w:rFonts w:hint="eastAsia" w:ascii="仿宋" w:hAnsi="仿宋" w:eastAsia="仿宋"/>
                <w:color w:val="auto"/>
                <w:highlight w:val="none"/>
                <w:lang w:val="zh-CN"/>
              </w:rPr>
              <w:t>：</w:t>
            </w:r>
            <w:r>
              <w:rPr>
                <w:rStyle w:val="98"/>
                <w:rFonts w:hint="eastAsia" w:ascii="仿宋" w:hAnsi="仿宋" w:eastAsia="仿宋" w:cs="仿宋"/>
                <w:color w:val="auto"/>
                <w:szCs w:val="24"/>
                <w:highlight w:val="none"/>
              </w:rPr>
              <w:t>600000元（大写：陆拾万整）</w:t>
            </w:r>
            <w:r>
              <w:rPr>
                <w:rFonts w:hint="eastAsia" w:ascii="仿宋" w:hAnsi="仿宋" w:eastAsia="仿宋"/>
                <w:color w:val="auto"/>
                <w:highlight w:val="none"/>
                <w:lang w:val="zh-CN"/>
              </w:rPr>
              <w:t>；</w:t>
            </w:r>
          </w:p>
          <w:p w14:paraId="118C3D0B">
            <w:pPr>
              <w:pStyle w:val="52"/>
              <w:ind w:firstLine="240" w:firstLineChars="100"/>
              <w:jc w:val="both"/>
              <w:rPr>
                <w:rFonts w:hint="eastAsia" w:ascii="仿宋" w:hAnsi="仿宋" w:eastAsia="仿宋"/>
                <w:color w:val="auto"/>
                <w:highlight w:val="none"/>
                <w:lang w:val="zh-CN"/>
              </w:rPr>
            </w:pPr>
            <w:r>
              <w:rPr>
                <w:rFonts w:hint="eastAsia" w:ascii="仿宋" w:hAnsi="仿宋" w:eastAsia="仿宋"/>
                <w:color w:val="auto"/>
                <w:highlight w:val="none"/>
                <w:lang w:val="zh-CN"/>
              </w:rPr>
              <w:t>超过采购最高限价的报价,其响应文件按无效处理。</w:t>
            </w:r>
          </w:p>
        </w:tc>
      </w:tr>
      <w:tr w14:paraId="695950B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65BB5617">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3</w:t>
            </w:r>
          </w:p>
        </w:tc>
        <w:tc>
          <w:tcPr>
            <w:tcW w:w="2018" w:type="dxa"/>
            <w:vAlign w:val="center"/>
          </w:tcPr>
          <w:p w14:paraId="5EE29AFA">
            <w:pPr>
              <w:pStyle w:val="52"/>
              <w:jc w:val="center"/>
              <w:rPr>
                <w:rFonts w:hint="eastAsia" w:ascii="仿宋" w:hAnsi="仿宋" w:eastAsia="仿宋"/>
                <w:color w:val="auto"/>
                <w:highlight w:val="none"/>
                <w:lang w:val="zh-CN"/>
              </w:rPr>
            </w:pPr>
            <w:r>
              <w:rPr>
                <w:rFonts w:hint="eastAsia" w:ascii="仿宋" w:hAnsi="仿宋" w:eastAsia="仿宋"/>
                <w:color w:val="auto"/>
                <w:highlight w:val="none"/>
                <w:lang w:val="zh-CN"/>
              </w:rPr>
              <w:t>低于成本价</w:t>
            </w:r>
          </w:p>
          <w:p w14:paraId="366054DE">
            <w:pPr>
              <w:pStyle w:val="52"/>
              <w:jc w:val="center"/>
              <w:rPr>
                <w:rFonts w:hint="eastAsia" w:ascii="仿宋" w:hAnsi="仿宋" w:eastAsia="仿宋"/>
                <w:color w:val="auto"/>
                <w:highlight w:val="none"/>
                <w:lang w:val="zh-CN"/>
              </w:rPr>
            </w:pPr>
            <w:r>
              <w:rPr>
                <w:rFonts w:hint="eastAsia" w:ascii="仿宋" w:hAnsi="仿宋" w:eastAsia="仿宋"/>
                <w:color w:val="auto"/>
                <w:highlight w:val="none"/>
                <w:lang w:val="zh-CN"/>
              </w:rPr>
              <w:t>不正当竞争预防措施</w:t>
            </w:r>
          </w:p>
          <w:p w14:paraId="28A49FA4">
            <w:pPr>
              <w:pStyle w:val="52"/>
              <w:jc w:val="center"/>
              <w:rPr>
                <w:rFonts w:hint="eastAsia" w:ascii="仿宋" w:hAnsi="仿宋" w:eastAsia="仿宋"/>
                <w:b/>
                <w:color w:val="auto"/>
                <w:highlight w:val="none"/>
                <w:lang w:val="zh-CN"/>
              </w:rPr>
            </w:pPr>
            <w:r>
              <w:rPr>
                <w:rFonts w:hint="eastAsia" w:ascii="仿宋" w:hAnsi="仿宋" w:eastAsia="仿宋"/>
                <w:b/>
                <w:color w:val="auto"/>
                <w:highlight w:val="none"/>
                <w:lang w:val="zh-CN"/>
              </w:rPr>
              <w:t>（实质性要求）</w:t>
            </w:r>
          </w:p>
        </w:tc>
        <w:tc>
          <w:tcPr>
            <w:tcW w:w="6426" w:type="dxa"/>
          </w:tcPr>
          <w:p w14:paraId="4E8D2BFF">
            <w:pPr>
              <w:pStyle w:val="52"/>
              <w:rPr>
                <w:rFonts w:hint="eastAsia" w:ascii="仿宋" w:hAnsi="仿宋" w:eastAsia="仿宋"/>
                <w:color w:val="auto"/>
                <w:highlight w:val="none"/>
                <w:lang w:val="zh-CN"/>
              </w:rPr>
            </w:pPr>
            <w:r>
              <w:rPr>
                <w:rFonts w:hint="eastAsia" w:ascii="仿宋" w:hAnsi="仿宋" w:eastAsia="仿宋"/>
                <w:color w:val="auto"/>
                <w:highlight w:val="none"/>
                <w:lang w:val="zh-CN"/>
              </w:rPr>
              <w:t>评审过程中出现下列情形之一的，评审委员会应当启动异常低价审查程序：</w:t>
            </w:r>
          </w:p>
          <w:p w14:paraId="18DDB22D">
            <w:pPr>
              <w:pStyle w:val="52"/>
              <w:rPr>
                <w:rFonts w:hint="eastAsia" w:ascii="仿宋" w:hAnsi="仿宋" w:eastAsia="仿宋"/>
                <w:color w:val="auto"/>
                <w:highlight w:val="none"/>
                <w:lang w:val="zh-CN"/>
              </w:rPr>
            </w:pPr>
            <w:r>
              <w:rPr>
                <w:rFonts w:hint="eastAsia" w:ascii="仿宋" w:hAnsi="仿宋" w:eastAsia="仿宋"/>
                <w:color w:val="auto"/>
                <w:highlight w:val="none"/>
                <w:lang w:val="zh-CN"/>
              </w:rPr>
              <w:t>1.询比报价低于全部通过符合性审查供应商询比报价平均值 65 %的，即询比报价&lt;全部通过符合性审查供应商询比报价平均值× 65 %；</w:t>
            </w:r>
          </w:p>
          <w:p w14:paraId="0C092857">
            <w:pPr>
              <w:pStyle w:val="52"/>
              <w:rPr>
                <w:rFonts w:hint="eastAsia" w:ascii="仿宋" w:hAnsi="仿宋" w:eastAsia="仿宋"/>
                <w:color w:val="auto"/>
                <w:highlight w:val="none"/>
                <w:lang w:val="zh-CN"/>
              </w:rPr>
            </w:pPr>
            <w:r>
              <w:rPr>
                <w:rFonts w:hint="eastAsia" w:ascii="仿宋" w:hAnsi="仿宋" w:eastAsia="仿宋"/>
                <w:color w:val="auto"/>
                <w:highlight w:val="none"/>
                <w:lang w:val="zh-CN"/>
              </w:rPr>
              <w:t>2.询比报价低于通过符合性审查的次低报价供应商询比报价 65 %的，即询比报价&lt;通过符合性审查的次低报价供应商询比报价×65 %；</w:t>
            </w:r>
          </w:p>
          <w:p w14:paraId="565D49BA">
            <w:pPr>
              <w:pStyle w:val="52"/>
              <w:rPr>
                <w:rFonts w:hint="eastAsia" w:ascii="仿宋" w:hAnsi="仿宋" w:eastAsia="仿宋"/>
                <w:color w:val="auto"/>
                <w:highlight w:val="none"/>
                <w:lang w:val="zh-CN"/>
              </w:rPr>
            </w:pPr>
            <w:r>
              <w:rPr>
                <w:rFonts w:hint="eastAsia" w:ascii="仿宋" w:hAnsi="仿宋" w:eastAsia="仿宋"/>
                <w:color w:val="auto"/>
                <w:highlight w:val="none"/>
                <w:lang w:val="zh-CN"/>
              </w:rPr>
              <w:t>3.询比报价低于采购项目最高限价 65 %的，即询比报价&lt;采购项目最高限价× 65 %；</w:t>
            </w:r>
          </w:p>
          <w:p w14:paraId="53E24048">
            <w:pPr>
              <w:pStyle w:val="52"/>
              <w:rPr>
                <w:rFonts w:hint="eastAsia" w:ascii="仿宋" w:hAnsi="仿宋" w:eastAsia="仿宋"/>
                <w:color w:val="auto"/>
                <w:highlight w:val="none"/>
                <w:lang w:val="zh-CN"/>
              </w:rPr>
            </w:pPr>
            <w:r>
              <w:rPr>
                <w:rFonts w:hint="eastAsia" w:ascii="仿宋" w:hAnsi="仿宋" w:eastAsia="仿宋"/>
                <w:color w:val="auto"/>
                <w:highlight w:val="none"/>
                <w:lang w:val="zh-CN"/>
              </w:rPr>
              <w:t>4.评审委员会基于专业判断，认为供应商报价过低，有可能影响产品质量或者不能诚信履约的其他情形。</w:t>
            </w:r>
          </w:p>
          <w:p w14:paraId="29C8F096">
            <w:pPr>
              <w:pStyle w:val="52"/>
              <w:rPr>
                <w:rFonts w:hint="eastAsia" w:ascii="仿宋" w:hAnsi="仿宋" w:eastAsia="仿宋"/>
                <w:color w:val="auto"/>
                <w:highlight w:val="none"/>
                <w:lang w:val="zh-CN"/>
              </w:rPr>
            </w:pPr>
            <w:r>
              <w:rPr>
                <w:rFonts w:hint="eastAsia" w:ascii="仿宋" w:hAnsi="仿宋" w:eastAsia="仿宋"/>
                <w:color w:val="auto"/>
                <w:highlight w:val="none"/>
                <w:lang w:val="zh-CN"/>
              </w:rPr>
              <w:t>评审委员会启动异常低价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1CC26996">
            <w:pPr>
              <w:pStyle w:val="52"/>
              <w:rPr>
                <w:rFonts w:hint="eastAsia" w:ascii="仿宋" w:hAnsi="仿宋" w:eastAsia="仿宋"/>
                <w:color w:val="auto"/>
                <w:highlight w:val="none"/>
                <w:lang w:val="zh-CN"/>
              </w:rPr>
            </w:pPr>
            <w:r>
              <w:rPr>
                <w:rFonts w:hint="eastAsia" w:ascii="仿宋" w:hAnsi="仿宋" w:eastAsia="仿宋"/>
                <w:color w:val="auto"/>
                <w:highlight w:val="none"/>
                <w:lang w:val="zh-CN"/>
              </w:rPr>
              <w:t>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tc>
      </w:tr>
      <w:tr w14:paraId="66C9961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227A89A6">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4</w:t>
            </w:r>
          </w:p>
        </w:tc>
        <w:tc>
          <w:tcPr>
            <w:tcW w:w="2018" w:type="dxa"/>
            <w:vAlign w:val="center"/>
          </w:tcPr>
          <w:p w14:paraId="51FF60DF">
            <w:pPr>
              <w:pStyle w:val="52"/>
              <w:jc w:val="center"/>
              <w:rPr>
                <w:rFonts w:hint="eastAsia" w:ascii="仿宋" w:hAnsi="仿宋" w:eastAsia="仿宋"/>
                <w:color w:val="auto"/>
                <w:highlight w:val="none"/>
                <w:lang w:val="zh-CN"/>
              </w:rPr>
            </w:pPr>
            <w:r>
              <w:rPr>
                <w:rFonts w:hint="eastAsia" w:ascii="仿宋" w:hAnsi="仿宋" w:eastAsia="仿宋"/>
                <w:color w:val="auto"/>
                <w:highlight w:val="none"/>
                <w:lang w:val="zh-CN"/>
              </w:rPr>
              <w:t>成交公告</w:t>
            </w:r>
          </w:p>
        </w:tc>
        <w:tc>
          <w:tcPr>
            <w:tcW w:w="6426" w:type="dxa"/>
            <w:vAlign w:val="center"/>
          </w:tcPr>
          <w:p w14:paraId="4D34345C">
            <w:pPr>
              <w:pStyle w:val="52"/>
              <w:rPr>
                <w:rFonts w:hint="eastAsia" w:ascii="仿宋" w:hAnsi="仿宋" w:eastAsia="仿宋"/>
                <w:color w:val="auto"/>
                <w:highlight w:val="none"/>
              </w:rPr>
            </w:pPr>
            <w:r>
              <w:rPr>
                <w:rFonts w:hint="eastAsia" w:ascii="仿宋" w:hAnsi="仿宋" w:eastAsia="仿宋"/>
                <w:color w:val="auto"/>
                <w:highlight w:val="none"/>
              </w:rPr>
              <w:t>采用公告邀请方式的采购项目，在</w:t>
            </w:r>
            <w:r>
              <w:rPr>
                <w:rFonts w:ascii="仿宋" w:hAnsi="仿宋" w:eastAsia="仿宋"/>
                <w:color w:val="auto"/>
                <w:highlight w:val="none"/>
              </w:rPr>
              <w:t>四川九洲投资控股集团有限公司官网</w:t>
            </w:r>
            <w:r>
              <w:rPr>
                <w:rFonts w:hint="eastAsia" w:ascii="仿宋" w:hAnsi="仿宋" w:eastAsia="仿宋"/>
                <w:color w:val="auto"/>
                <w:highlight w:val="none"/>
              </w:rPr>
              <w:t>、四川九洲空管科技有限责任公司官网</w:t>
            </w:r>
            <w:r>
              <w:rPr>
                <w:rFonts w:ascii="仿宋" w:hAnsi="仿宋" w:eastAsia="仿宋"/>
                <w:color w:val="auto"/>
                <w:highlight w:val="none"/>
              </w:rPr>
              <w:t>和中国招标采购信息网</w:t>
            </w:r>
            <w:r>
              <w:rPr>
                <w:rFonts w:hint="eastAsia" w:ascii="仿宋" w:hAnsi="仿宋" w:eastAsia="仿宋"/>
                <w:color w:val="auto"/>
                <w:highlight w:val="none"/>
              </w:rPr>
              <w:t>上发布成交公告。</w:t>
            </w:r>
          </w:p>
        </w:tc>
      </w:tr>
      <w:tr w14:paraId="13D04CF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5E900D67">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5</w:t>
            </w:r>
          </w:p>
        </w:tc>
        <w:tc>
          <w:tcPr>
            <w:tcW w:w="2018" w:type="dxa"/>
            <w:vAlign w:val="center"/>
          </w:tcPr>
          <w:p w14:paraId="575F1DD4">
            <w:pPr>
              <w:pStyle w:val="52"/>
              <w:jc w:val="center"/>
              <w:rPr>
                <w:rFonts w:hint="eastAsia" w:ascii="仿宋" w:hAnsi="仿宋" w:eastAsia="仿宋"/>
                <w:color w:val="auto"/>
                <w:highlight w:val="none"/>
                <w:lang w:val="zh-CN"/>
              </w:rPr>
            </w:pPr>
            <w:r>
              <w:rPr>
                <w:rFonts w:hint="eastAsia" w:ascii="仿宋" w:hAnsi="仿宋" w:eastAsia="仿宋"/>
                <w:color w:val="auto"/>
                <w:highlight w:val="none"/>
                <w:lang w:val="zh-CN"/>
              </w:rPr>
              <w:t>询比保证金</w:t>
            </w:r>
          </w:p>
        </w:tc>
        <w:tc>
          <w:tcPr>
            <w:tcW w:w="6426" w:type="dxa"/>
            <w:vAlign w:val="center"/>
          </w:tcPr>
          <w:p w14:paraId="7708400E">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金额：</w:t>
            </w:r>
            <w:r>
              <w:rPr>
                <w:rFonts w:ascii="Calibri" w:hAnsi="Calibri" w:cs="Calibri"/>
                <w:color w:val="auto"/>
                <w:highlight w:val="none"/>
              </w:rPr>
              <w:t>¥</w:t>
            </w:r>
            <w:r>
              <w:rPr>
                <w:rFonts w:hint="eastAsia" w:ascii="仿宋" w:hAnsi="仿宋" w:cs="仿宋"/>
                <w:color w:val="auto"/>
                <w:highlight w:val="none"/>
              </w:rPr>
              <w:t>10000.00元（大写：壹万元整）。</w:t>
            </w:r>
          </w:p>
          <w:p w14:paraId="128E4476">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交款方式：银行转账或电汇。</w:t>
            </w:r>
          </w:p>
          <w:p w14:paraId="76E52194">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账户名称：四川国锃招标代理有限公司</w:t>
            </w:r>
          </w:p>
          <w:p w14:paraId="4F462C3E">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开户银行：工行绵阳跃进路支行</w:t>
            </w:r>
          </w:p>
          <w:p w14:paraId="521C1B91">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账    户：2308002309100021964</w:t>
            </w:r>
          </w:p>
          <w:p w14:paraId="1B5A69BD">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交款截止时间：2026年</w:t>
            </w:r>
            <w:r>
              <w:rPr>
                <w:rFonts w:hint="eastAsia" w:ascii="仿宋" w:hAnsi="仿宋" w:cs="仿宋"/>
                <w:color w:val="auto"/>
                <w:highlight w:val="none"/>
                <w:lang w:val="en-US" w:eastAsia="zh-CN"/>
              </w:rPr>
              <w:t>7</w:t>
            </w:r>
            <w:r>
              <w:rPr>
                <w:rFonts w:hint="eastAsia" w:ascii="仿宋" w:hAnsi="仿宋" w:cs="仿宋"/>
                <w:color w:val="auto"/>
                <w:highlight w:val="none"/>
              </w:rPr>
              <w:t>月</w:t>
            </w:r>
            <w:r>
              <w:rPr>
                <w:rFonts w:hint="eastAsia" w:ascii="仿宋" w:hAnsi="仿宋" w:cs="仿宋"/>
                <w:color w:val="auto"/>
                <w:highlight w:val="none"/>
                <w:lang w:val="en-US" w:eastAsia="zh-CN"/>
              </w:rPr>
              <w:t>13</w:t>
            </w:r>
            <w:r>
              <w:rPr>
                <w:rFonts w:hint="eastAsia" w:ascii="仿宋" w:hAnsi="仿宋" w:cs="仿宋"/>
                <w:color w:val="auto"/>
                <w:highlight w:val="none"/>
              </w:rPr>
              <w:t>日</w:t>
            </w:r>
            <w:r>
              <w:rPr>
                <w:rFonts w:hint="eastAsia" w:ascii="仿宋" w:hAnsi="仿宋" w:cs="仿宋"/>
                <w:color w:val="auto"/>
                <w:highlight w:val="none"/>
                <w:lang w:val="en-US" w:eastAsia="zh-CN"/>
              </w:rPr>
              <w:t>09</w:t>
            </w:r>
            <w:r>
              <w:rPr>
                <w:rFonts w:hint="eastAsia" w:ascii="仿宋" w:hAnsi="仿宋" w:cs="仿宋"/>
                <w:color w:val="auto"/>
                <w:highlight w:val="none"/>
              </w:rPr>
              <w:t>时</w:t>
            </w:r>
            <w:r>
              <w:rPr>
                <w:rFonts w:hint="eastAsia" w:ascii="仿宋" w:hAnsi="仿宋" w:cs="仿宋"/>
                <w:color w:val="auto"/>
                <w:highlight w:val="none"/>
                <w:lang w:val="en-US" w:eastAsia="zh-CN"/>
              </w:rPr>
              <w:t>30</w:t>
            </w:r>
            <w:r>
              <w:rPr>
                <w:rFonts w:hint="eastAsia" w:ascii="仿宋" w:hAnsi="仿宋" w:cs="仿宋"/>
                <w:color w:val="auto"/>
                <w:highlight w:val="none"/>
              </w:rPr>
              <w:t>分（询比保证金的交纳以银行到账时间为准）。</w:t>
            </w:r>
          </w:p>
          <w:p w14:paraId="769725E3">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（响应文件中须提交银行转账或电汇底单复印件）</w:t>
            </w:r>
          </w:p>
          <w:p w14:paraId="1F957871">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注：</w:t>
            </w:r>
          </w:p>
          <w:p w14:paraId="443A4E02">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1.供应商须按照询比文件的要求提交询比保证金。询比保证金必须以供应商自身的名义提交，并与询比报名的单位名称一致，不得以分支机构等其他名义提交。</w:t>
            </w:r>
          </w:p>
          <w:p w14:paraId="0BCF7D18">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2.未按要求提交询比保证金的供应商，其响应将被拒绝。</w:t>
            </w:r>
          </w:p>
          <w:p w14:paraId="31FEB772">
            <w:pPr>
              <w:pStyle w:val="52"/>
              <w:ind w:firstLine="240" w:firstLineChars="100"/>
              <w:jc w:val="both"/>
              <w:rPr>
                <w:rFonts w:hint="eastAsia" w:ascii="仿宋" w:hAnsi="仿宋" w:eastAsia="仿宋" w:cs="仿宋"/>
                <w:color w:val="auto"/>
                <w:kern w:val="2"/>
                <w:highlight w:val="none"/>
              </w:rPr>
            </w:pPr>
            <w:r>
              <w:rPr>
                <w:rFonts w:hint="eastAsia" w:ascii="仿宋" w:hAnsi="仿宋" w:eastAsia="仿宋" w:cs="仿宋"/>
                <w:color w:val="auto"/>
                <w:kern w:val="2"/>
                <w:highlight w:val="none"/>
              </w:rPr>
              <w:t>3.项目结束后由采购代理机构统一办理退还。</w:t>
            </w:r>
          </w:p>
        </w:tc>
      </w:tr>
      <w:tr w14:paraId="6853DEC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392523DA">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6</w:t>
            </w:r>
          </w:p>
        </w:tc>
        <w:tc>
          <w:tcPr>
            <w:tcW w:w="2018" w:type="dxa"/>
            <w:vAlign w:val="center"/>
          </w:tcPr>
          <w:p w14:paraId="60DD3BA8">
            <w:pPr>
              <w:pStyle w:val="52"/>
              <w:jc w:val="center"/>
              <w:rPr>
                <w:rFonts w:hint="eastAsia" w:ascii="仿宋" w:hAnsi="仿宋" w:eastAsia="仿宋"/>
                <w:color w:val="auto"/>
                <w:highlight w:val="none"/>
                <w:lang w:val="zh-CN"/>
              </w:rPr>
            </w:pPr>
            <w:r>
              <w:rPr>
                <w:rFonts w:hint="eastAsia" w:ascii="仿宋" w:hAnsi="仿宋" w:eastAsia="仿宋"/>
                <w:color w:val="auto"/>
                <w:highlight w:val="none"/>
                <w:lang w:val="zh-CN"/>
              </w:rPr>
              <w:t>履约保证金</w:t>
            </w:r>
          </w:p>
          <w:p w14:paraId="22469797">
            <w:pPr>
              <w:pStyle w:val="52"/>
              <w:jc w:val="center"/>
              <w:rPr>
                <w:rFonts w:hint="eastAsia" w:ascii="仿宋" w:hAnsi="仿宋" w:eastAsia="仿宋"/>
                <w:b/>
                <w:color w:val="auto"/>
                <w:highlight w:val="none"/>
                <w:lang w:val="zh-CN"/>
              </w:rPr>
            </w:pPr>
            <w:r>
              <w:rPr>
                <w:rFonts w:hint="eastAsia" w:ascii="仿宋" w:hAnsi="仿宋" w:eastAsia="仿宋"/>
                <w:b/>
                <w:color w:val="auto"/>
                <w:highlight w:val="none"/>
                <w:lang w:val="zh-CN"/>
              </w:rPr>
              <w:t>（实质性要求）</w:t>
            </w:r>
          </w:p>
        </w:tc>
        <w:tc>
          <w:tcPr>
            <w:tcW w:w="6426" w:type="dxa"/>
            <w:vAlign w:val="center"/>
          </w:tcPr>
          <w:p w14:paraId="0932437E">
            <w:pPr>
              <w:pStyle w:val="52"/>
              <w:ind w:left="74" w:leftChars="31"/>
              <w:jc w:val="both"/>
              <w:rPr>
                <w:rFonts w:hint="eastAsia" w:ascii="仿宋" w:hAnsi="仿宋" w:eastAsia="仿宋"/>
                <w:color w:val="auto"/>
                <w:highlight w:val="none"/>
                <w:lang w:val="zh-CN"/>
              </w:rPr>
            </w:pPr>
            <w:bookmarkStart w:id="19" w:name="PO_默认文件内容_18"/>
            <w:r>
              <w:rPr>
                <w:rFonts w:hint="eastAsia" w:ascii="仿宋" w:hAnsi="仿宋" w:eastAsia="仿宋"/>
                <w:color w:val="auto"/>
                <w:highlight w:val="none"/>
              </w:rPr>
              <w:t>本项目履约保证金</w:t>
            </w:r>
            <w:r>
              <w:rPr>
                <w:rFonts w:hint="eastAsia" w:ascii="仿宋" w:hAnsi="仿宋" w:eastAsia="仿宋"/>
                <w:color w:val="auto"/>
                <w:highlight w:val="none"/>
                <w:lang w:val="zh-CN"/>
              </w:rPr>
              <w:t>金额：成交金额的</w:t>
            </w:r>
            <w:r>
              <w:rPr>
                <w:rFonts w:hint="eastAsia" w:ascii="仿宋" w:hAnsi="仿宋" w:eastAsia="仿宋"/>
                <w:color w:val="auto"/>
                <w:highlight w:val="none"/>
              </w:rPr>
              <w:t>5</w:t>
            </w:r>
            <w:r>
              <w:rPr>
                <w:rFonts w:hint="eastAsia" w:ascii="仿宋" w:hAnsi="仿宋" w:eastAsia="仿宋"/>
                <w:color w:val="auto"/>
                <w:highlight w:val="none"/>
                <w:lang w:val="zh-CN"/>
              </w:rPr>
              <w:t>%。</w:t>
            </w:r>
            <w:bookmarkEnd w:id="19"/>
          </w:p>
        </w:tc>
      </w:tr>
      <w:tr w14:paraId="6E6C0AF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57" w:hRule="atLeast"/>
          <w:jc w:val="center"/>
        </w:trPr>
        <w:tc>
          <w:tcPr>
            <w:tcW w:w="1007" w:type="dxa"/>
            <w:vAlign w:val="center"/>
          </w:tcPr>
          <w:p w14:paraId="7495BC33">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7</w:t>
            </w:r>
          </w:p>
        </w:tc>
        <w:tc>
          <w:tcPr>
            <w:tcW w:w="2018" w:type="dxa"/>
            <w:vAlign w:val="center"/>
          </w:tcPr>
          <w:p w14:paraId="2F61D6CE">
            <w:pPr>
              <w:pStyle w:val="52"/>
              <w:jc w:val="center"/>
              <w:rPr>
                <w:rFonts w:hint="eastAsia" w:ascii="仿宋" w:hAnsi="仿宋" w:eastAsia="仿宋"/>
                <w:color w:val="auto"/>
                <w:highlight w:val="none"/>
                <w:lang w:val="zh-CN"/>
              </w:rPr>
            </w:pPr>
            <w:r>
              <w:rPr>
                <w:rFonts w:hint="eastAsia" w:ascii="仿宋" w:hAnsi="仿宋" w:eastAsia="仿宋"/>
                <w:bCs/>
                <w:color w:val="auto"/>
                <w:highlight w:val="none"/>
              </w:rPr>
              <w:t>询比文件</w:t>
            </w:r>
            <w:r>
              <w:rPr>
                <w:rFonts w:hint="eastAsia" w:ascii="仿宋" w:hAnsi="仿宋" w:eastAsia="仿宋"/>
                <w:color w:val="auto"/>
                <w:highlight w:val="none"/>
                <w:lang w:val="zh-CN"/>
              </w:rPr>
              <w:t>咨询</w:t>
            </w:r>
          </w:p>
        </w:tc>
        <w:tc>
          <w:tcPr>
            <w:tcW w:w="6426" w:type="dxa"/>
            <w:vAlign w:val="center"/>
          </w:tcPr>
          <w:p w14:paraId="577A746D">
            <w:pPr>
              <w:pStyle w:val="52"/>
              <w:ind w:firstLine="240" w:firstLineChars="100"/>
              <w:jc w:val="both"/>
              <w:rPr>
                <w:rFonts w:hint="eastAsia" w:ascii="仿宋" w:hAnsi="仿宋" w:eastAsia="仿宋"/>
                <w:color w:val="auto"/>
                <w:highlight w:val="none"/>
                <w:lang w:val="zh-CN"/>
              </w:rPr>
            </w:pPr>
            <w:r>
              <w:rPr>
                <w:rFonts w:hint="eastAsia" w:ascii="仿宋" w:hAnsi="仿宋" w:eastAsia="仿宋"/>
                <w:color w:val="auto"/>
                <w:highlight w:val="none"/>
                <w:lang w:val="zh-CN"/>
              </w:rPr>
              <w:t>联系人：袁月</w:t>
            </w:r>
          </w:p>
          <w:p w14:paraId="0FD16067">
            <w:pPr>
              <w:pStyle w:val="52"/>
              <w:ind w:firstLine="240" w:firstLineChars="100"/>
              <w:jc w:val="both"/>
              <w:rPr>
                <w:rFonts w:hint="eastAsia" w:ascii="仿宋" w:hAnsi="仿宋" w:eastAsia="仿宋"/>
                <w:color w:val="auto"/>
                <w:highlight w:val="none"/>
                <w:lang w:val="zh-CN"/>
              </w:rPr>
            </w:pPr>
            <w:r>
              <w:rPr>
                <w:rFonts w:hint="eastAsia" w:ascii="仿宋" w:hAnsi="仿宋" w:eastAsia="仿宋"/>
                <w:color w:val="auto"/>
                <w:highlight w:val="none"/>
                <w:lang w:val="zh-CN"/>
              </w:rPr>
              <w:t>联系电话：0816-2351166</w:t>
            </w:r>
            <w:r>
              <w:rPr>
                <w:rFonts w:ascii="仿宋" w:hAnsi="仿宋" w:eastAsia="仿宋"/>
                <w:color w:val="auto"/>
                <w:highlight w:val="none"/>
                <w:lang w:val="zh-CN"/>
              </w:rPr>
              <w:t xml:space="preserve"> </w:t>
            </w:r>
          </w:p>
        </w:tc>
      </w:tr>
      <w:tr w14:paraId="17E3690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82" w:hRule="atLeast"/>
          <w:jc w:val="center"/>
        </w:trPr>
        <w:tc>
          <w:tcPr>
            <w:tcW w:w="1007" w:type="dxa"/>
            <w:vAlign w:val="center"/>
          </w:tcPr>
          <w:p w14:paraId="41EE4EE5">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8</w:t>
            </w:r>
          </w:p>
        </w:tc>
        <w:tc>
          <w:tcPr>
            <w:tcW w:w="2018" w:type="dxa"/>
            <w:vAlign w:val="center"/>
          </w:tcPr>
          <w:p w14:paraId="6E559003">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询比结果工作咨询</w:t>
            </w:r>
          </w:p>
        </w:tc>
        <w:tc>
          <w:tcPr>
            <w:tcW w:w="6426" w:type="dxa"/>
            <w:vAlign w:val="center"/>
          </w:tcPr>
          <w:p w14:paraId="6382C7B6">
            <w:pPr>
              <w:pStyle w:val="52"/>
              <w:ind w:firstLine="240" w:firstLineChars="100"/>
              <w:jc w:val="both"/>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联系人：袁月</w:t>
            </w:r>
          </w:p>
          <w:p w14:paraId="2B347E70">
            <w:pPr>
              <w:pStyle w:val="52"/>
              <w:ind w:firstLine="240" w:firstLineChars="100"/>
              <w:jc w:val="both"/>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联系电话：</w:t>
            </w:r>
            <w:r>
              <w:rPr>
                <w:rFonts w:hint="eastAsia" w:ascii="仿宋" w:hAnsi="仿宋" w:eastAsia="仿宋"/>
                <w:color w:val="auto"/>
                <w:highlight w:val="none"/>
                <w:lang w:val="zh-CN"/>
              </w:rPr>
              <w:t>0816-2351166</w:t>
            </w:r>
          </w:p>
        </w:tc>
      </w:tr>
      <w:tr w14:paraId="05AA2E8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0A41F3D0">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9</w:t>
            </w:r>
          </w:p>
        </w:tc>
        <w:tc>
          <w:tcPr>
            <w:tcW w:w="2018" w:type="dxa"/>
            <w:vAlign w:val="center"/>
          </w:tcPr>
          <w:p w14:paraId="1F332F1B">
            <w:pPr>
              <w:pStyle w:val="52"/>
              <w:jc w:val="center"/>
              <w:rPr>
                <w:rFonts w:hint="eastAsia" w:ascii="仿宋" w:hAnsi="仿宋" w:eastAsia="仿宋"/>
                <w:color w:val="auto"/>
                <w:highlight w:val="none"/>
                <w:lang w:val="zh-CN"/>
              </w:rPr>
            </w:pPr>
            <w:r>
              <w:rPr>
                <w:rFonts w:hint="eastAsia" w:ascii="仿宋" w:hAnsi="仿宋" w:eastAsia="仿宋"/>
                <w:color w:val="auto"/>
                <w:highlight w:val="none"/>
                <w:lang w:val="zh-CN"/>
              </w:rPr>
              <w:t>成交通知书领取</w:t>
            </w:r>
          </w:p>
        </w:tc>
        <w:tc>
          <w:tcPr>
            <w:tcW w:w="6426" w:type="dxa"/>
            <w:vAlign w:val="center"/>
          </w:tcPr>
          <w:p w14:paraId="09A2EFA9">
            <w:pPr>
              <w:pStyle w:val="52"/>
              <w:ind w:firstLine="240" w:firstLineChars="100"/>
              <w:rPr>
                <w:rFonts w:hint="eastAsia" w:ascii="仿宋" w:hAnsi="仿宋" w:eastAsia="仿宋"/>
                <w:color w:val="auto"/>
                <w:highlight w:val="none"/>
                <w:lang w:val="zh-CN"/>
              </w:rPr>
            </w:pPr>
            <w:bookmarkStart w:id="20" w:name="PO_默认文件内容_19"/>
            <w:r>
              <w:rPr>
                <w:rFonts w:hint="eastAsia" w:ascii="仿宋" w:hAnsi="仿宋" w:eastAsia="仿宋"/>
                <w:color w:val="auto"/>
                <w:highlight w:val="none"/>
                <w:lang w:val="zh-CN"/>
              </w:rPr>
              <w:t>请成交供应商凭有效身份证明证件到四川国锃招标代理有限公司领取成交通知书。</w:t>
            </w:r>
          </w:p>
          <w:p w14:paraId="4AD0D97F">
            <w:pPr>
              <w:pStyle w:val="52"/>
              <w:ind w:firstLine="240" w:firstLineChars="100"/>
              <w:rPr>
                <w:rFonts w:hint="eastAsia" w:ascii="仿宋" w:hAnsi="仿宋" w:eastAsia="仿宋"/>
                <w:color w:val="auto"/>
                <w:highlight w:val="none"/>
                <w:lang w:val="zh-CN"/>
              </w:rPr>
            </w:pPr>
            <w:r>
              <w:rPr>
                <w:rFonts w:hint="eastAsia" w:ascii="仿宋" w:hAnsi="仿宋" w:eastAsia="仿宋"/>
                <w:color w:val="auto"/>
                <w:highlight w:val="none"/>
                <w:lang w:val="zh-CN"/>
              </w:rPr>
              <w:t>联系电话：0816-2351166</w:t>
            </w:r>
            <w:r>
              <w:rPr>
                <w:rFonts w:ascii="仿宋" w:hAnsi="仿宋" w:eastAsia="仿宋"/>
                <w:color w:val="auto"/>
                <w:highlight w:val="none"/>
                <w:lang w:val="zh-CN"/>
              </w:rPr>
              <w:t xml:space="preserve"> </w:t>
            </w:r>
          </w:p>
          <w:p w14:paraId="4934B254">
            <w:pPr>
              <w:pStyle w:val="52"/>
              <w:ind w:firstLine="240" w:firstLineChars="100"/>
              <w:jc w:val="both"/>
              <w:rPr>
                <w:rFonts w:hint="eastAsia" w:ascii="仿宋" w:hAnsi="仿宋" w:eastAsia="仿宋"/>
                <w:color w:val="auto"/>
                <w:highlight w:val="none"/>
                <w:lang w:val="zh-CN"/>
              </w:rPr>
            </w:pPr>
            <w:r>
              <w:rPr>
                <w:rFonts w:hint="eastAsia" w:ascii="仿宋" w:hAnsi="仿宋" w:eastAsia="仿宋"/>
                <w:color w:val="auto"/>
                <w:highlight w:val="none"/>
                <w:lang w:val="zh-CN"/>
              </w:rPr>
              <w:t>地    址：</w:t>
            </w:r>
            <w:bookmarkEnd w:id="20"/>
            <w:r>
              <w:rPr>
                <w:rFonts w:hint="eastAsia" w:ascii="仿宋" w:hAnsi="仿宋" w:eastAsia="仿宋"/>
                <w:color w:val="auto"/>
                <w:highlight w:val="none"/>
                <w:lang w:val="zh-CN"/>
              </w:rPr>
              <w:t>四川国锃招标代理有限公司</w:t>
            </w:r>
          </w:p>
        </w:tc>
      </w:tr>
      <w:tr w14:paraId="28B67DF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6CC723F0">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10</w:t>
            </w:r>
          </w:p>
        </w:tc>
        <w:tc>
          <w:tcPr>
            <w:tcW w:w="2018" w:type="dxa"/>
            <w:vAlign w:val="center"/>
          </w:tcPr>
          <w:p w14:paraId="2EBAB1EA">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供应商询问</w:t>
            </w:r>
          </w:p>
        </w:tc>
        <w:tc>
          <w:tcPr>
            <w:tcW w:w="6426" w:type="dxa"/>
          </w:tcPr>
          <w:p w14:paraId="4B481E12">
            <w:pPr>
              <w:pStyle w:val="52"/>
              <w:ind w:firstLine="240" w:firstLineChars="100"/>
              <w:rPr>
                <w:rFonts w:hint="eastAsia" w:ascii="仿宋" w:hAnsi="仿宋" w:eastAsia="仿宋" w:cs="Courier New"/>
                <w:color w:val="auto"/>
                <w:highlight w:val="none"/>
                <w:lang w:val="zh-CN"/>
              </w:rPr>
            </w:pPr>
            <w:r>
              <w:rPr>
                <w:rFonts w:hint="eastAsia" w:ascii="仿宋" w:hAnsi="仿宋" w:eastAsia="仿宋"/>
                <w:color w:val="auto"/>
                <w:highlight w:val="none"/>
                <w:lang w:val="zh-CN"/>
              </w:rPr>
              <w:t>供应商询问由四川国锃招标代理有限公司负责答复。</w:t>
            </w:r>
          </w:p>
        </w:tc>
      </w:tr>
      <w:tr w14:paraId="3F1E774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Merge w:val="restart"/>
            <w:vAlign w:val="center"/>
          </w:tcPr>
          <w:p w14:paraId="7C0C50DC">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11</w:t>
            </w:r>
          </w:p>
        </w:tc>
        <w:tc>
          <w:tcPr>
            <w:tcW w:w="2018" w:type="dxa"/>
            <w:vMerge w:val="restart"/>
            <w:vAlign w:val="center"/>
          </w:tcPr>
          <w:p w14:paraId="7F871515">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供应商质疑</w:t>
            </w:r>
          </w:p>
        </w:tc>
        <w:tc>
          <w:tcPr>
            <w:tcW w:w="6426" w:type="dxa"/>
            <w:vAlign w:val="center"/>
          </w:tcPr>
          <w:p w14:paraId="7C40CEEC">
            <w:pPr>
              <w:pStyle w:val="52"/>
              <w:ind w:firstLine="240" w:firstLineChars="100"/>
              <w:rPr>
                <w:rFonts w:hint="eastAsia" w:ascii="仿宋" w:hAnsi="仿宋" w:eastAsia="仿宋" w:cs="仿宋"/>
                <w:color w:val="auto"/>
                <w:highlight w:val="none"/>
                <w:lang w:val="zh-CN"/>
              </w:rPr>
            </w:pPr>
            <w:r>
              <w:rPr>
                <w:rFonts w:hint="eastAsia" w:ascii="仿宋" w:hAnsi="仿宋" w:eastAsia="仿宋" w:cs="仿宋"/>
                <w:color w:val="auto"/>
                <w:highlight w:val="none"/>
              </w:rPr>
              <w:t>1.</w:t>
            </w:r>
            <w:r>
              <w:rPr>
                <w:rFonts w:hint="eastAsia" w:ascii="仿宋" w:hAnsi="仿宋" w:eastAsia="仿宋" w:cs="Courier New"/>
                <w:color w:val="auto"/>
                <w:highlight w:val="none"/>
                <w:lang w:val="zh-CN"/>
              </w:rPr>
              <w:t>供应商</w:t>
            </w:r>
            <w:r>
              <w:rPr>
                <w:rFonts w:hint="eastAsia" w:ascii="仿宋" w:hAnsi="仿宋" w:eastAsia="仿宋" w:cs="仿宋"/>
                <w:color w:val="auto"/>
                <w:highlight w:val="none"/>
                <w:lang w:val="zh-CN"/>
              </w:rPr>
              <w:t>对</w:t>
            </w:r>
            <w:r>
              <w:rPr>
                <w:rFonts w:hint="eastAsia" w:ascii="仿宋" w:hAnsi="仿宋" w:eastAsia="仿宋" w:cs="仿宋"/>
                <w:color w:val="auto"/>
                <w:highlight w:val="none"/>
              </w:rPr>
              <w:t>询比</w:t>
            </w:r>
            <w:r>
              <w:rPr>
                <w:rFonts w:hint="eastAsia" w:ascii="仿宋" w:hAnsi="仿宋" w:eastAsia="仿宋" w:cs="仿宋"/>
                <w:color w:val="auto"/>
                <w:highlight w:val="none"/>
                <w:lang w:val="zh-CN"/>
              </w:rPr>
              <w:t>文件提出质疑的</w:t>
            </w:r>
            <w:r>
              <w:rPr>
                <w:rFonts w:hint="eastAsia" w:ascii="仿宋" w:hAnsi="仿宋" w:eastAsia="仿宋" w:cs="仿宋"/>
                <w:color w:val="auto"/>
                <w:highlight w:val="none"/>
              </w:rPr>
              <w:t>截止</w:t>
            </w:r>
            <w:r>
              <w:rPr>
                <w:rFonts w:hint="eastAsia" w:ascii="仿宋" w:hAnsi="仿宋" w:eastAsia="仿宋" w:cs="仿宋"/>
                <w:color w:val="auto"/>
                <w:highlight w:val="none"/>
                <w:lang w:val="zh-CN"/>
              </w:rPr>
              <w:t>时间</w:t>
            </w:r>
          </w:p>
          <w:p w14:paraId="5D4F1D28">
            <w:pPr>
              <w:pStyle w:val="52"/>
              <w:ind w:firstLine="240" w:firstLineChars="100"/>
              <w:rPr>
                <w:rFonts w:hint="eastAsia" w:ascii="仿宋" w:hAnsi="仿宋" w:eastAsia="仿宋" w:cs="Courier New"/>
                <w:color w:val="auto"/>
                <w:highlight w:val="none"/>
                <w:lang w:val="zh-CN"/>
              </w:rPr>
            </w:pPr>
            <w:r>
              <w:rPr>
                <w:rFonts w:hint="eastAsia" w:ascii="仿宋" w:hAnsi="仿宋" w:eastAsia="仿宋" w:cs="仿宋"/>
                <w:color w:val="auto"/>
                <w:highlight w:val="none"/>
                <w:lang w:val="zh-CN"/>
              </w:rPr>
              <w:t>应在</w:t>
            </w:r>
            <w:r>
              <w:rPr>
                <w:rFonts w:hint="eastAsia" w:ascii="仿宋" w:hAnsi="仿宋" w:eastAsia="仿宋" w:cs="仿宋"/>
                <w:color w:val="auto"/>
                <w:highlight w:val="none"/>
              </w:rPr>
              <w:t>递交响应文件</w:t>
            </w:r>
            <w:r>
              <w:rPr>
                <w:rFonts w:hint="eastAsia" w:ascii="仿宋" w:hAnsi="仿宋" w:eastAsia="仿宋" w:cs="仿宋"/>
                <w:color w:val="auto"/>
                <w:highlight w:val="none"/>
                <w:lang w:val="zh-CN"/>
              </w:rPr>
              <w:t>截止时间2日前一次性提出。</w:t>
            </w:r>
          </w:p>
        </w:tc>
      </w:tr>
      <w:tr w14:paraId="7E342EA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Merge w:val="continue"/>
            <w:vAlign w:val="center"/>
          </w:tcPr>
          <w:p w14:paraId="0ED1A56C">
            <w:pPr>
              <w:pStyle w:val="52"/>
              <w:jc w:val="center"/>
              <w:rPr>
                <w:rFonts w:hint="eastAsia" w:ascii="仿宋" w:hAnsi="仿宋" w:eastAsia="仿宋" w:cs="Courier New"/>
                <w:color w:val="auto"/>
                <w:highlight w:val="none"/>
                <w:lang w:val="zh-CN"/>
              </w:rPr>
            </w:pPr>
          </w:p>
        </w:tc>
        <w:tc>
          <w:tcPr>
            <w:tcW w:w="2018" w:type="dxa"/>
            <w:vMerge w:val="continue"/>
            <w:vAlign w:val="center"/>
          </w:tcPr>
          <w:p w14:paraId="1BC3EB8A">
            <w:pPr>
              <w:pStyle w:val="52"/>
              <w:jc w:val="center"/>
              <w:rPr>
                <w:rFonts w:hint="eastAsia" w:ascii="仿宋" w:hAnsi="仿宋" w:eastAsia="仿宋" w:cs="Courier New"/>
                <w:color w:val="auto"/>
                <w:highlight w:val="none"/>
                <w:lang w:val="zh-CN"/>
              </w:rPr>
            </w:pPr>
          </w:p>
        </w:tc>
        <w:tc>
          <w:tcPr>
            <w:tcW w:w="6426" w:type="dxa"/>
            <w:vAlign w:val="center"/>
          </w:tcPr>
          <w:p w14:paraId="462FD5AA">
            <w:pPr>
              <w:pStyle w:val="52"/>
              <w:ind w:firstLine="240" w:firstLineChars="100"/>
              <w:rPr>
                <w:rFonts w:hint="eastAsia" w:ascii="仿宋" w:hAnsi="仿宋" w:eastAsia="仿宋" w:cs="仿宋"/>
                <w:color w:val="auto"/>
                <w:highlight w:val="none"/>
                <w:lang w:val="zh-CN"/>
              </w:rPr>
            </w:pPr>
            <w:r>
              <w:rPr>
                <w:rFonts w:hint="eastAsia" w:ascii="仿宋" w:hAnsi="仿宋" w:eastAsia="仿宋" w:cs="仿宋"/>
                <w:color w:val="auto"/>
                <w:highlight w:val="none"/>
              </w:rPr>
              <w:t>2.供应商</w:t>
            </w:r>
            <w:r>
              <w:rPr>
                <w:rFonts w:hint="eastAsia" w:ascii="仿宋" w:hAnsi="仿宋" w:eastAsia="仿宋" w:cs="仿宋"/>
                <w:color w:val="auto"/>
                <w:highlight w:val="none"/>
                <w:lang w:val="zh-CN"/>
              </w:rPr>
              <w:t>对</w:t>
            </w:r>
            <w:r>
              <w:rPr>
                <w:rFonts w:hint="eastAsia" w:ascii="仿宋" w:hAnsi="仿宋" w:eastAsia="仿宋" w:cs="仿宋"/>
                <w:color w:val="auto"/>
                <w:highlight w:val="none"/>
              </w:rPr>
              <w:t>评审结果</w:t>
            </w:r>
            <w:r>
              <w:rPr>
                <w:rFonts w:hint="eastAsia" w:ascii="仿宋" w:hAnsi="仿宋" w:eastAsia="仿宋" w:cs="仿宋"/>
                <w:color w:val="auto"/>
                <w:highlight w:val="none"/>
                <w:lang w:val="zh-CN"/>
              </w:rPr>
              <w:t>提出质疑的</w:t>
            </w:r>
            <w:r>
              <w:rPr>
                <w:rFonts w:hint="eastAsia" w:ascii="仿宋" w:hAnsi="仿宋" w:eastAsia="仿宋" w:cs="仿宋"/>
                <w:color w:val="auto"/>
                <w:highlight w:val="none"/>
              </w:rPr>
              <w:t>截止</w:t>
            </w:r>
            <w:r>
              <w:rPr>
                <w:rFonts w:hint="eastAsia" w:ascii="仿宋" w:hAnsi="仿宋" w:eastAsia="仿宋" w:cs="仿宋"/>
                <w:color w:val="auto"/>
                <w:highlight w:val="none"/>
                <w:lang w:val="zh-CN"/>
              </w:rPr>
              <w:t>时间</w:t>
            </w:r>
          </w:p>
          <w:p w14:paraId="3424AE01">
            <w:pPr>
              <w:pStyle w:val="52"/>
              <w:ind w:firstLine="240" w:firstLineChars="100"/>
              <w:rPr>
                <w:rFonts w:hint="eastAsia" w:ascii="仿宋" w:hAnsi="仿宋" w:eastAsia="仿宋" w:cs="Courier New"/>
                <w:color w:val="auto"/>
                <w:highlight w:val="none"/>
                <w:lang w:val="zh-CN"/>
              </w:rPr>
            </w:pPr>
            <w:r>
              <w:rPr>
                <w:rFonts w:hint="eastAsia" w:ascii="仿宋" w:hAnsi="仿宋" w:eastAsia="仿宋" w:cs="仿宋"/>
                <w:color w:val="auto"/>
                <w:highlight w:val="none"/>
              </w:rPr>
              <w:t>评审</w:t>
            </w:r>
            <w:r>
              <w:rPr>
                <w:rFonts w:hint="eastAsia" w:ascii="仿宋" w:hAnsi="仿宋" w:eastAsia="仿宋" w:cs="仿宋"/>
                <w:color w:val="auto"/>
                <w:highlight w:val="none"/>
                <w:lang w:val="zh-CN"/>
              </w:rPr>
              <w:t>结果公告</w:t>
            </w:r>
            <w:r>
              <w:rPr>
                <w:rFonts w:hint="eastAsia" w:ascii="仿宋" w:hAnsi="仿宋" w:eastAsia="仿宋" w:cs="仿宋"/>
                <w:color w:val="auto"/>
                <w:highlight w:val="none"/>
              </w:rPr>
              <w:t>公示期内以书面形式现场递交给四川国锃招标代理有限公司。</w:t>
            </w:r>
          </w:p>
        </w:tc>
      </w:tr>
      <w:tr w14:paraId="7B6B9B1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Merge w:val="continue"/>
            <w:vAlign w:val="center"/>
          </w:tcPr>
          <w:p w14:paraId="32EDE7A0">
            <w:pPr>
              <w:pStyle w:val="52"/>
              <w:jc w:val="center"/>
              <w:rPr>
                <w:rFonts w:hint="eastAsia" w:ascii="仿宋" w:hAnsi="仿宋" w:eastAsia="仿宋" w:cs="Courier New"/>
                <w:color w:val="auto"/>
                <w:highlight w:val="none"/>
                <w:lang w:val="zh-CN"/>
              </w:rPr>
            </w:pPr>
          </w:p>
        </w:tc>
        <w:tc>
          <w:tcPr>
            <w:tcW w:w="2018" w:type="dxa"/>
            <w:vMerge w:val="continue"/>
            <w:vAlign w:val="center"/>
          </w:tcPr>
          <w:p w14:paraId="6BDBB8D1">
            <w:pPr>
              <w:pStyle w:val="52"/>
              <w:jc w:val="center"/>
              <w:rPr>
                <w:rFonts w:hint="eastAsia" w:ascii="仿宋" w:hAnsi="仿宋" w:eastAsia="仿宋" w:cs="Courier New"/>
                <w:color w:val="auto"/>
                <w:highlight w:val="none"/>
                <w:lang w:val="zh-CN"/>
              </w:rPr>
            </w:pPr>
          </w:p>
        </w:tc>
        <w:tc>
          <w:tcPr>
            <w:tcW w:w="6426" w:type="dxa"/>
            <w:vAlign w:val="center"/>
          </w:tcPr>
          <w:p w14:paraId="674E2601">
            <w:pPr>
              <w:pStyle w:val="52"/>
              <w:ind w:firstLine="240" w:firstLineChars="100"/>
              <w:rPr>
                <w:rFonts w:hint="eastAsia" w:ascii="仿宋" w:hAnsi="仿宋" w:eastAsia="仿宋" w:cs="仿宋"/>
                <w:color w:val="auto"/>
                <w:highlight w:val="none"/>
              </w:rPr>
            </w:pPr>
            <w:r>
              <w:rPr>
                <w:rFonts w:hint="eastAsia" w:ascii="仿宋" w:hAnsi="仿宋" w:eastAsia="仿宋" w:cs="仿宋"/>
                <w:color w:val="auto"/>
                <w:highlight w:val="none"/>
              </w:rPr>
              <w:t>3.供应商质疑范围</w:t>
            </w:r>
          </w:p>
          <w:p w14:paraId="3C14ECC6">
            <w:pPr>
              <w:pStyle w:val="52"/>
              <w:ind w:firstLine="240" w:firstLineChars="100"/>
              <w:rPr>
                <w:rFonts w:hint="eastAsia" w:ascii="仿宋" w:hAnsi="仿宋" w:eastAsia="仿宋" w:cs="仿宋"/>
                <w:color w:val="auto"/>
                <w:highlight w:val="none"/>
                <w:lang w:val="zh-CN"/>
              </w:rPr>
            </w:pPr>
            <w:r>
              <w:rPr>
                <w:rFonts w:hint="eastAsia" w:ascii="仿宋" w:hAnsi="仿宋" w:eastAsia="仿宋" w:cs="仿宋"/>
                <w:color w:val="auto"/>
                <w:highlight w:val="none"/>
              </w:rPr>
              <w:t>供应商</w:t>
            </w:r>
            <w:r>
              <w:rPr>
                <w:rFonts w:hint="eastAsia" w:ascii="仿宋" w:hAnsi="仿宋" w:eastAsia="仿宋" w:cs="仿宋"/>
                <w:color w:val="auto"/>
                <w:highlight w:val="none"/>
                <w:lang w:val="zh-CN"/>
              </w:rPr>
              <w:t>质疑不得超出</w:t>
            </w:r>
            <w:r>
              <w:rPr>
                <w:rFonts w:hint="eastAsia" w:ascii="仿宋" w:hAnsi="仿宋" w:eastAsia="仿宋" w:cs="仿宋"/>
                <w:color w:val="auto"/>
                <w:highlight w:val="none"/>
              </w:rPr>
              <w:t>询比文件</w:t>
            </w:r>
            <w:r>
              <w:rPr>
                <w:rFonts w:hint="eastAsia" w:ascii="仿宋" w:hAnsi="仿宋" w:eastAsia="仿宋" w:cs="仿宋"/>
                <w:color w:val="auto"/>
                <w:highlight w:val="none"/>
                <w:lang w:val="zh-CN"/>
              </w:rPr>
              <w:t>、</w:t>
            </w:r>
            <w:r>
              <w:rPr>
                <w:rFonts w:hint="eastAsia" w:ascii="仿宋" w:hAnsi="仿宋" w:eastAsia="仿宋" w:cs="仿宋"/>
                <w:color w:val="auto"/>
                <w:highlight w:val="none"/>
              </w:rPr>
              <w:t>询比</w:t>
            </w:r>
            <w:r>
              <w:rPr>
                <w:rFonts w:hint="eastAsia" w:ascii="仿宋" w:hAnsi="仿宋" w:eastAsia="仿宋" w:cs="仿宋"/>
                <w:color w:val="auto"/>
                <w:highlight w:val="none"/>
                <w:lang w:val="zh-CN"/>
              </w:rPr>
              <w:t>过程、</w:t>
            </w:r>
            <w:r>
              <w:rPr>
                <w:rFonts w:hint="eastAsia" w:ascii="仿宋" w:hAnsi="仿宋" w:eastAsia="仿宋" w:cs="仿宋"/>
                <w:color w:val="auto"/>
                <w:highlight w:val="none"/>
              </w:rPr>
              <w:t>评审</w:t>
            </w:r>
            <w:r>
              <w:rPr>
                <w:rFonts w:hint="eastAsia" w:ascii="仿宋" w:hAnsi="仿宋" w:eastAsia="仿宋" w:cs="仿宋"/>
                <w:color w:val="auto"/>
                <w:highlight w:val="none"/>
                <w:lang w:val="zh-CN"/>
              </w:rPr>
              <w:t>结果的范围。</w:t>
            </w:r>
          </w:p>
          <w:p w14:paraId="09CC3DCD">
            <w:pPr>
              <w:pStyle w:val="52"/>
              <w:ind w:firstLine="240" w:firstLineChars="100"/>
              <w:rPr>
                <w:rFonts w:hint="eastAsia" w:ascii="仿宋" w:hAnsi="仿宋" w:eastAsia="仿宋" w:cs="Courier New"/>
                <w:color w:val="auto"/>
                <w:highlight w:val="none"/>
                <w:lang w:val="zh-CN"/>
              </w:rPr>
            </w:pPr>
            <w:r>
              <w:rPr>
                <w:rFonts w:hint="eastAsia" w:ascii="仿宋" w:hAnsi="仿宋" w:eastAsia="仿宋" w:cs="仿宋"/>
                <w:color w:val="auto"/>
                <w:highlight w:val="none"/>
              </w:rPr>
              <w:t>注：供应商</w:t>
            </w:r>
            <w:r>
              <w:rPr>
                <w:rFonts w:hint="eastAsia" w:ascii="仿宋" w:hAnsi="仿宋" w:eastAsia="仿宋" w:cs="仿宋"/>
                <w:color w:val="auto"/>
                <w:highlight w:val="none"/>
                <w:lang w:val="zh-CN"/>
              </w:rPr>
              <w:t>应在质疑期内一次性提出针对同一</w:t>
            </w:r>
            <w:r>
              <w:rPr>
                <w:rFonts w:hint="eastAsia" w:ascii="仿宋" w:hAnsi="仿宋" w:eastAsia="仿宋" w:cs="仿宋"/>
                <w:color w:val="auto"/>
                <w:highlight w:val="none"/>
              </w:rPr>
              <w:t>询比</w:t>
            </w:r>
            <w:r>
              <w:rPr>
                <w:rFonts w:hint="eastAsia" w:ascii="仿宋" w:hAnsi="仿宋" w:eastAsia="仿宋" w:cs="仿宋"/>
                <w:color w:val="auto"/>
                <w:highlight w:val="none"/>
                <w:lang w:val="zh-CN"/>
              </w:rPr>
              <w:t>程序环节的质疑。</w:t>
            </w:r>
          </w:p>
        </w:tc>
      </w:tr>
      <w:tr w14:paraId="4242BC4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6A29B558">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12</w:t>
            </w:r>
          </w:p>
        </w:tc>
        <w:tc>
          <w:tcPr>
            <w:tcW w:w="2018" w:type="dxa"/>
            <w:vAlign w:val="center"/>
          </w:tcPr>
          <w:p w14:paraId="5D1ED1B3">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供应商投诉</w:t>
            </w:r>
          </w:p>
        </w:tc>
        <w:tc>
          <w:tcPr>
            <w:tcW w:w="6426" w:type="dxa"/>
            <w:vAlign w:val="center"/>
          </w:tcPr>
          <w:p w14:paraId="025FACFA">
            <w:pPr>
              <w:pStyle w:val="52"/>
              <w:rPr>
                <w:rFonts w:hint="eastAsia" w:ascii="仿宋" w:hAnsi="仿宋" w:eastAsia="仿宋" w:cs="仿宋"/>
                <w:color w:val="auto"/>
                <w:highlight w:val="none"/>
              </w:rPr>
            </w:pPr>
            <w:r>
              <w:rPr>
                <w:rFonts w:hint="eastAsia" w:ascii="仿宋" w:hAnsi="仿宋" w:eastAsia="仿宋" w:cs="仿宋"/>
                <w:color w:val="auto"/>
                <w:highlight w:val="none"/>
              </w:rPr>
              <w:t>采购人。</w:t>
            </w:r>
          </w:p>
          <w:p w14:paraId="2B7BAA58">
            <w:pPr>
              <w:pStyle w:val="52"/>
              <w:rPr>
                <w:rFonts w:hint="eastAsia" w:ascii="仿宋" w:hAnsi="仿宋" w:eastAsia="仿宋" w:cs="Courier New"/>
                <w:color w:val="auto"/>
                <w:highlight w:val="none"/>
                <w:lang w:val="zh-CN"/>
              </w:rPr>
            </w:pPr>
            <w:r>
              <w:rPr>
                <w:rFonts w:hint="eastAsia" w:ascii="仿宋" w:hAnsi="仿宋" w:eastAsia="仿宋"/>
                <w:color w:val="auto"/>
                <w:highlight w:val="none"/>
              </w:rPr>
              <w:t>注：供应商投诉事项不得超出已质疑事项的范围。</w:t>
            </w:r>
          </w:p>
        </w:tc>
      </w:tr>
      <w:tr w14:paraId="0F35FCA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47" w:hRule="atLeast"/>
          <w:jc w:val="center"/>
        </w:trPr>
        <w:tc>
          <w:tcPr>
            <w:tcW w:w="1007" w:type="dxa"/>
            <w:vAlign w:val="center"/>
          </w:tcPr>
          <w:p w14:paraId="153EA7A6">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13</w:t>
            </w:r>
          </w:p>
        </w:tc>
        <w:tc>
          <w:tcPr>
            <w:tcW w:w="2018" w:type="dxa"/>
            <w:vAlign w:val="center"/>
          </w:tcPr>
          <w:p w14:paraId="1FB23E55">
            <w:pPr>
              <w:pStyle w:val="52"/>
              <w:jc w:val="center"/>
              <w:rPr>
                <w:rFonts w:hint="eastAsia" w:ascii="仿宋" w:hAnsi="仿宋" w:eastAsia="仿宋" w:cs="Courier New"/>
                <w:b/>
                <w:bCs/>
                <w:color w:val="auto"/>
                <w:highlight w:val="none"/>
                <w:lang w:val="zh-CN"/>
              </w:rPr>
            </w:pPr>
            <w:r>
              <w:rPr>
                <w:rFonts w:hint="eastAsia" w:ascii="仿宋" w:hAnsi="仿宋" w:eastAsia="仿宋" w:cs="仿宋"/>
                <w:color w:val="auto"/>
                <w:highlight w:val="none"/>
                <w:lang w:val="zh-CN"/>
              </w:rPr>
              <w:t>代理费</w:t>
            </w:r>
          </w:p>
        </w:tc>
        <w:tc>
          <w:tcPr>
            <w:tcW w:w="6426" w:type="dxa"/>
            <w:vAlign w:val="center"/>
          </w:tcPr>
          <w:p w14:paraId="140E111B">
            <w:pPr>
              <w:pStyle w:val="52"/>
              <w:ind w:firstLine="240" w:firstLineChars="100"/>
              <w:jc w:val="both"/>
              <w:rPr>
                <w:rFonts w:hint="eastAsia" w:ascii="仿宋" w:hAnsi="仿宋" w:eastAsia="仿宋" w:cs="仿宋"/>
                <w:color w:val="auto"/>
                <w:kern w:val="2"/>
                <w:highlight w:val="none"/>
                <w:lang w:val="zh-CN"/>
              </w:rPr>
            </w:pPr>
            <w:r>
              <w:rPr>
                <w:rFonts w:hint="eastAsia" w:ascii="仿宋" w:hAnsi="仿宋" w:eastAsia="仿宋" w:cs="仿宋"/>
                <w:color w:val="auto"/>
                <w:kern w:val="2"/>
                <w:highlight w:val="none"/>
              </w:rPr>
              <w:t>1.代理费用参照《招标代理服务收费管理暂行办法》计价格〔2002〕1980号文和发改价格〔2011〕534号下浮28%收取。代理费由成交单位领取成交通知书前一次性支付给四川国锃招标代理有限公司。代理服务费交纳方式：现金或转账方式。</w:t>
            </w:r>
          </w:p>
          <w:p w14:paraId="7AB3048F">
            <w:pPr>
              <w:tabs>
                <w:tab w:val="left" w:pos="7665"/>
              </w:tabs>
              <w:adjustRightInd w:val="0"/>
              <w:spacing w:line="240" w:lineRule="auto"/>
              <w:ind w:firstLine="240" w:firstLineChars="100"/>
              <w:rPr>
                <w:rFonts w:hint="eastAsia" w:ascii="仿宋" w:hAnsi="仿宋" w:cs="仿宋"/>
                <w:color w:val="auto"/>
                <w:highlight w:val="none"/>
                <w:lang w:val="zh-CN"/>
              </w:rPr>
            </w:pPr>
            <w:r>
              <w:rPr>
                <w:rFonts w:hint="eastAsia" w:ascii="仿宋" w:hAnsi="仿宋" w:cs="仿宋"/>
                <w:color w:val="auto"/>
                <w:highlight w:val="none"/>
              </w:rPr>
              <w:t>2.</w:t>
            </w:r>
            <w:r>
              <w:rPr>
                <w:rFonts w:hint="eastAsia" w:ascii="仿宋" w:hAnsi="仿宋" w:cs="仿宋"/>
                <w:color w:val="auto"/>
                <w:highlight w:val="none"/>
                <w:lang w:val="zh-CN"/>
              </w:rPr>
              <w:t>代理服务费收款</w:t>
            </w:r>
            <w:r>
              <w:rPr>
                <w:rFonts w:hint="eastAsia" w:ascii="仿宋" w:hAnsi="仿宋" w:cs="仿宋"/>
                <w:color w:val="auto"/>
                <w:highlight w:val="none"/>
              </w:rPr>
              <w:t>信息</w:t>
            </w:r>
            <w:r>
              <w:rPr>
                <w:rFonts w:hint="eastAsia" w:ascii="仿宋" w:hAnsi="仿宋" w:cs="仿宋"/>
                <w:color w:val="auto"/>
                <w:highlight w:val="none"/>
                <w:lang w:val="zh-CN"/>
              </w:rPr>
              <w:t>：</w:t>
            </w:r>
          </w:p>
          <w:p w14:paraId="40C2D44A">
            <w:pPr>
              <w:pStyle w:val="52"/>
              <w:ind w:firstLine="240" w:firstLineChars="100"/>
              <w:jc w:val="both"/>
              <w:rPr>
                <w:rFonts w:hint="eastAsia" w:ascii="仿宋" w:hAnsi="仿宋" w:eastAsia="仿宋" w:cs="仿宋"/>
                <w:color w:val="auto"/>
                <w:kern w:val="2"/>
                <w:highlight w:val="none"/>
                <w:lang w:val="zh-CN"/>
              </w:rPr>
            </w:pPr>
            <w:r>
              <w:rPr>
                <w:rFonts w:hint="eastAsia" w:ascii="仿宋" w:hAnsi="仿宋" w:eastAsia="仿宋" w:cs="仿宋"/>
                <w:color w:val="auto"/>
                <w:kern w:val="2"/>
                <w:highlight w:val="none"/>
                <w:lang w:val="zh-CN"/>
              </w:rPr>
              <w:t>开户银行：绵阳市商业银行股份有限公司营业部</w:t>
            </w:r>
          </w:p>
          <w:p w14:paraId="0D56FBEB">
            <w:pPr>
              <w:pStyle w:val="52"/>
              <w:ind w:firstLine="240" w:firstLineChars="100"/>
              <w:jc w:val="both"/>
              <w:rPr>
                <w:rFonts w:hint="eastAsia" w:ascii="仿宋" w:hAnsi="仿宋" w:eastAsia="仿宋" w:cs="仿宋"/>
                <w:color w:val="auto"/>
                <w:kern w:val="2"/>
                <w:highlight w:val="none"/>
                <w:lang w:val="zh-CN"/>
              </w:rPr>
            </w:pPr>
            <w:r>
              <w:rPr>
                <w:rFonts w:hint="eastAsia" w:ascii="仿宋" w:hAnsi="仿宋" w:eastAsia="仿宋" w:cs="仿宋"/>
                <w:color w:val="auto"/>
                <w:kern w:val="2"/>
                <w:highlight w:val="none"/>
                <w:lang w:val="zh-CN"/>
              </w:rPr>
              <w:t>账户名称：四川国锃招标代理有限公司</w:t>
            </w:r>
          </w:p>
          <w:p w14:paraId="5D0B2276">
            <w:pPr>
              <w:pStyle w:val="52"/>
              <w:ind w:firstLine="240" w:firstLineChars="100"/>
              <w:jc w:val="both"/>
              <w:rPr>
                <w:rFonts w:hint="eastAsia" w:ascii="仿宋" w:hAnsi="仿宋" w:eastAsia="仿宋" w:cs="Courier New"/>
                <w:color w:val="auto"/>
                <w:highlight w:val="none"/>
                <w:lang w:val="zh-CN"/>
              </w:rPr>
            </w:pPr>
            <w:r>
              <w:rPr>
                <w:rFonts w:hint="eastAsia" w:ascii="仿宋" w:hAnsi="仿宋" w:eastAsia="仿宋" w:cs="仿宋"/>
                <w:color w:val="auto"/>
                <w:kern w:val="2"/>
                <w:highlight w:val="none"/>
                <w:lang w:val="zh-CN"/>
              </w:rPr>
              <w:t>账</w:t>
            </w:r>
            <w:r>
              <w:rPr>
                <w:rFonts w:hint="eastAsia" w:ascii="仿宋" w:hAnsi="仿宋" w:eastAsia="仿宋" w:cs="仿宋"/>
                <w:color w:val="auto"/>
                <w:kern w:val="2"/>
                <w:highlight w:val="none"/>
              </w:rPr>
              <w:t xml:space="preserve">    </w:t>
            </w:r>
            <w:r>
              <w:rPr>
                <w:rFonts w:hint="eastAsia" w:ascii="仿宋" w:hAnsi="仿宋" w:eastAsia="仿宋" w:cs="仿宋"/>
                <w:color w:val="auto"/>
                <w:kern w:val="2"/>
                <w:highlight w:val="none"/>
                <w:lang w:val="zh-CN"/>
              </w:rPr>
              <w:t>户：02001100014127</w:t>
            </w:r>
          </w:p>
        </w:tc>
      </w:tr>
      <w:tr w14:paraId="580C4D2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25299EAE">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14</w:t>
            </w:r>
          </w:p>
        </w:tc>
        <w:tc>
          <w:tcPr>
            <w:tcW w:w="2018" w:type="dxa"/>
            <w:vAlign w:val="center"/>
          </w:tcPr>
          <w:p w14:paraId="48B94C28">
            <w:pPr>
              <w:pStyle w:val="52"/>
              <w:jc w:val="center"/>
              <w:rPr>
                <w:rFonts w:hint="eastAsia" w:ascii="仿宋" w:hAnsi="仿宋" w:eastAsia="仿宋" w:cs="Courier New"/>
                <w:b/>
                <w:color w:val="auto"/>
                <w:highlight w:val="none"/>
                <w:lang w:val="zh-CN"/>
              </w:rPr>
            </w:pPr>
            <w:r>
              <w:rPr>
                <w:rFonts w:hint="eastAsia" w:ascii="仿宋" w:hAnsi="仿宋" w:eastAsia="仿宋" w:cs="Times New Roman"/>
                <w:color w:val="auto"/>
                <w:kern w:val="2"/>
                <w:highlight w:val="none"/>
              </w:rPr>
              <w:t>答疑会和现场考察</w:t>
            </w:r>
          </w:p>
        </w:tc>
        <w:tc>
          <w:tcPr>
            <w:tcW w:w="6426" w:type="dxa"/>
            <w:vAlign w:val="center"/>
          </w:tcPr>
          <w:p w14:paraId="07AB774C">
            <w:pPr>
              <w:pStyle w:val="52"/>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本项目不组织</w:t>
            </w:r>
            <w:r>
              <w:rPr>
                <w:rFonts w:hint="eastAsia" w:ascii="仿宋" w:hAnsi="仿宋" w:eastAsia="仿宋" w:cs="Courier New"/>
                <w:color w:val="auto"/>
                <w:highlight w:val="none"/>
              </w:rPr>
              <w:t>供应商</w:t>
            </w:r>
            <w:r>
              <w:rPr>
                <w:rFonts w:hint="eastAsia" w:ascii="仿宋" w:hAnsi="仿宋" w:eastAsia="仿宋" w:cs="Courier New"/>
                <w:color w:val="auto"/>
                <w:highlight w:val="none"/>
                <w:lang w:val="zh-CN"/>
              </w:rPr>
              <w:t>现场考察。</w:t>
            </w:r>
          </w:p>
        </w:tc>
      </w:tr>
      <w:tr w14:paraId="1FB5862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6AF83032">
            <w:pPr>
              <w:pStyle w:val="52"/>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15</w:t>
            </w:r>
          </w:p>
        </w:tc>
        <w:tc>
          <w:tcPr>
            <w:tcW w:w="2018" w:type="dxa"/>
            <w:vAlign w:val="center"/>
          </w:tcPr>
          <w:p w14:paraId="4E5DF15D">
            <w:pPr>
              <w:pStyle w:val="52"/>
              <w:jc w:val="center"/>
              <w:rPr>
                <w:rFonts w:hint="eastAsia" w:ascii="仿宋" w:hAnsi="仿宋" w:eastAsia="仿宋" w:cs="Courier New"/>
                <w:b/>
                <w:color w:val="auto"/>
                <w:highlight w:val="none"/>
                <w:lang w:val="zh-CN"/>
              </w:rPr>
            </w:pPr>
            <w:r>
              <w:rPr>
                <w:rFonts w:hint="eastAsia" w:ascii="仿宋" w:hAnsi="仿宋" w:eastAsia="仿宋" w:cs="仿宋"/>
                <w:color w:val="auto"/>
                <w:highlight w:val="none"/>
              </w:rPr>
              <w:t>承诺提醒</w:t>
            </w:r>
          </w:p>
        </w:tc>
        <w:tc>
          <w:tcPr>
            <w:tcW w:w="6426" w:type="dxa"/>
            <w:vAlign w:val="center"/>
          </w:tcPr>
          <w:p w14:paraId="050158BA">
            <w:pPr>
              <w:pStyle w:val="52"/>
              <w:ind w:firstLine="240" w:firstLineChars="100"/>
              <w:jc w:val="both"/>
              <w:rPr>
                <w:rFonts w:hint="eastAsia" w:ascii="仿宋" w:hAnsi="仿宋" w:eastAsia="仿宋" w:cs="Courier New"/>
                <w:color w:val="auto"/>
                <w:highlight w:val="none"/>
                <w:lang w:val="zh-CN"/>
              </w:rPr>
            </w:pPr>
            <w:r>
              <w:rPr>
                <w:rFonts w:hint="eastAsia" w:ascii="仿宋" w:hAnsi="仿宋" w:eastAsia="仿宋" w:cs="仿宋"/>
                <w:color w:val="auto"/>
                <w:highlight w:val="none"/>
                <w:lang w:val="zh-CN"/>
              </w:rPr>
              <w:t>关于</w:t>
            </w:r>
            <w:r>
              <w:rPr>
                <w:rFonts w:hint="eastAsia" w:ascii="仿宋" w:hAnsi="仿宋" w:eastAsia="仿宋" w:cs="仿宋"/>
                <w:color w:val="auto"/>
                <w:highlight w:val="none"/>
              </w:rPr>
              <w:t>供应商</w:t>
            </w:r>
            <w:r>
              <w:rPr>
                <w:rFonts w:hint="eastAsia" w:ascii="仿宋" w:hAnsi="仿宋" w:eastAsia="仿宋" w:cs="仿宋"/>
                <w:color w:val="auto"/>
                <w:highlight w:val="none"/>
                <w:lang w:val="zh-CN"/>
              </w:rPr>
              <w:t>针对本项目提出的相关资格或实质性要求承诺（包括但不限于依法缴纳税收和社会保障资金），项目</w:t>
            </w:r>
            <w:r>
              <w:rPr>
                <w:rFonts w:hint="eastAsia" w:ascii="仿宋" w:hAnsi="仿宋" w:eastAsia="仿宋" w:cs="仿宋"/>
                <w:color w:val="auto"/>
                <w:highlight w:val="none"/>
              </w:rPr>
              <w:t>采购标</w:t>
            </w:r>
            <w:r>
              <w:rPr>
                <w:rFonts w:hint="eastAsia" w:ascii="仿宋" w:hAnsi="仿宋" w:eastAsia="仿宋" w:cs="仿宋"/>
                <w:color w:val="auto"/>
                <w:highlight w:val="none"/>
                <w:lang w:val="zh-CN"/>
              </w:rPr>
              <w:t>活动结束后，</w:t>
            </w:r>
            <w:r>
              <w:rPr>
                <w:rFonts w:hint="eastAsia" w:ascii="仿宋" w:hAnsi="仿宋" w:eastAsia="仿宋" w:cs="仿宋"/>
                <w:color w:val="auto"/>
                <w:highlight w:val="none"/>
              </w:rPr>
              <w:t>采购人</w:t>
            </w:r>
            <w:r>
              <w:rPr>
                <w:rFonts w:hint="eastAsia" w:ascii="仿宋" w:hAnsi="仿宋" w:eastAsia="仿宋" w:cs="仿宋"/>
                <w:color w:val="auto"/>
                <w:highlight w:val="none"/>
                <w:lang w:val="zh-CN"/>
              </w:rPr>
              <w:t>或代理机构如有必要将核实</w:t>
            </w:r>
            <w:r>
              <w:rPr>
                <w:rFonts w:hint="eastAsia" w:ascii="仿宋" w:hAnsi="仿宋" w:eastAsia="仿宋" w:cs="仿宋"/>
                <w:color w:val="auto"/>
                <w:highlight w:val="none"/>
              </w:rPr>
              <w:t>供应商</w:t>
            </w:r>
            <w:r>
              <w:rPr>
                <w:rFonts w:hint="eastAsia" w:ascii="仿宋" w:hAnsi="仿宋" w:eastAsia="仿宋" w:cs="仿宋"/>
                <w:color w:val="auto"/>
                <w:highlight w:val="none"/>
                <w:lang w:val="zh-CN"/>
              </w:rPr>
              <w:t>所作承诺真实性，如提供虚假承诺将报告监管部门严肃追究法律责任。</w:t>
            </w:r>
          </w:p>
        </w:tc>
      </w:tr>
      <w:tr w14:paraId="6725F88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11E94571">
            <w:pPr>
              <w:pStyle w:val="52"/>
              <w:jc w:val="center"/>
              <w:rPr>
                <w:rFonts w:hint="eastAsia" w:ascii="仿宋" w:hAnsi="仿宋" w:eastAsia="仿宋" w:cs="Courier New"/>
                <w:color w:val="auto"/>
                <w:highlight w:val="none"/>
              </w:rPr>
            </w:pPr>
            <w:r>
              <w:rPr>
                <w:rFonts w:hint="eastAsia" w:ascii="仿宋" w:hAnsi="仿宋" w:eastAsia="仿宋" w:cs="Courier New"/>
                <w:color w:val="auto"/>
                <w:highlight w:val="none"/>
              </w:rPr>
              <w:t>16</w:t>
            </w:r>
          </w:p>
        </w:tc>
        <w:tc>
          <w:tcPr>
            <w:tcW w:w="2018" w:type="dxa"/>
            <w:vAlign w:val="center"/>
          </w:tcPr>
          <w:p w14:paraId="3D19B267">
            <w:pPr>
              <w:pStyle w:val="52"/>
              <w:jc w:val="center"/>
              <w:rPr>
                <w:rFonts w:hint="eastAsia" w:ascii="仿宋" w:hAnsi="仿宋" w:eastAsia="仿宋" w:cs="Courier New"/>
                <w:b/>
                <w:color w:val="auto"/>
                <w:highlight w:val="none"/>
                <w:lang w:val="zh-CN"/>
              </w:rPr>
            </w:pPr>
            <w:r>
              <w:rPr>
                <w:rFonts w:hint="eastAsia" w:ascii="仿宋" w:hAnsi="仿宋" w:eastAsia="仿宋" w:cs="仿宋"/>
                <w:color w:val="auto"/>
                <w:highlight w:val="none"/>
              </w:rPr>
              <w:t>实质性要求说明</w:t>
            </w:r>
          </w:p>
        </w:tc>
        <w:tc>
          <w:tcPr>
            <w:tcW w:w="6426" w:type="dxa"/>
            <w:vAlign w:val="center"/>
          </w:tcPr>
          <w:p w14:paraId="1DDDF5A8">
            <w:pPr>
              <w:pStyle w:val="52"/>
              <w:ind w:firstLine="240" w:firstLineChars="100"/>
              <w:jc w:val="both"/>
              <w:rPr>
                <w:rFonts w:hint="eastAsia" w:ascii="仿宋" w:hAnsi="仿宋" w:eastAsia="仿宋" w:cs="Times New Roman"/>
                <w:color w:val="auto"/>
                <w:kern w:val="2"/>
                <w:highlight w:val="none"/>
              </w:rPr>
            </w:pPr>
            <w:r>
              <w:rPr>
                <w:rFonts w:hint="eastAsia" w:ascii="仿宋" w:hAnsi="仿宋" w:eastAsia="仿宋" w:cs="仿宋"/>
                <w:color w:val="auto"/>
                <w:highlight w:val="none"/>
                <w:lang w:val="zh-CN"/>
              </w:rPr>
              <w:t>本</w:t>
            </w:r>
            <w:r>
              <w:rPr>
                <w:rFonts w:hint="eastAsia" w:ascii="仿宋" w:hAnsi="仿宋" w:eastAsia="仿宋" w:cs="仿宋"/>
                <w:color w:val="auto"/>
                <w:highlight w:val="none"/>
              </w:rPr>
              <w:t>询比</w:t>
            </w:r>
            <w:r>
              <w:rPr>
                <w:rFonts w:hint="eastAsia" w:ascii="仿宋" w:hAnsi="仿宋" w:eastAsia="仿宋" w:cs="仿宋"/>
                <w:color w:val="auto"/>
                <w:highlight w:val="none"/>
                <w:lang w:val="zh-CN"/>
              </w:rPr>
              <w:t>文件中的实质性要求</w:t>
            </w:r>
            <w:r>
              <w:rPr>
                <w:rFonts w:hint="eastAsia" w:ascii="仿宋" w:hAnsi="仿宋" w:eastAsia="仿宋" w:cs="仿宋"/>
                <w:color w:val="auto"/>
                <w:highlight w:val="none"/>
              </w:rPr>
              <w:t>供应商必须全部满足，否则为无效响应</w:t>
            </w:r>
            <w:r>
              <w:rPr>
                <w:rFonts w:hint="eastAsia" w:ascii="仿宋" w:hAnsi="仿宋" w:eastAsia="仿宋" w:cs="仿宋"/>
                <w:color w:val="auto"/>
                <w:highlight w:val="none"/>
                <w:lang w:val="zh-CN"/>
              </w:rPr>
              <w:t>。供应商应当按照评审程序中的符合性审查规定，在</w:t>
            </w:r>
            <w:r>
              <w:rPr>
                <w:rFonts w:hint="eastAsia" w:ascii="仿宋" w:hAnsi="仿宋" w:eastAsia="仿宋" w:cs="仿宋"/>
                <w:color w:val="auto"/>
                <w:highlight w:val="none"/>
              </w:rPr>
              <w:t>响应</w:t>
            </w:r>
            <w:r>
              <w:rPr>
                <w:rFonts w:hint="eastAsia" w:ascii="仿宋" w:hAnsi="仿宋" w:eastAsia="仿宋" w:cs="仿宋"/>
                <w:color w:val="auto"/>
                <w:highlight w:val="none"/>
                <w:lang w:val="zh-CN"/>
              </w:rPr>
              <w:t>文件中进行实质性响应，否则作无效响应处理。</w:t>
            </w:r>
          </w:p>
        </w:tc>
      </w:tr>
    </w:tbl>
    <w:p w14:paraId="527E9260">
      <w:pPr>
        <w:pStyle w:val="4"/>
        <w:keepNext w:val="0"/>
        <w:keepLines w:val="0"/>
        <w:spacing w:before="0" w:after="0" w:line="360" w:lineRule="auto"/>
        <w:ind w:firstLine="3855" w:firstLineChars="1200"/>
        <w:rPr>
          <w:rFonts w:hint="eastAsia" w:ascii="仿宋" w:hAnsi="仿宋" w:eastAsia="仿宋"/>
          <w:bCs w:val="0"/>
          <w:color w:val="auto"/>
          <w:highlight w:val="none"/>
        </w:rPr>
      </w:pPr>
      <w:r>
        <w:rPr>
          <w:rFonts w:hint="eastAsia" w:ascii="仿宋" w:hAnsi="仿宋" w:eastAsia="仿宋"/>
          <w:bCs w:val="0"/>
          <w:color w:val="auto"/>
          <w:highlight w:val="none"/>
        </w:rPr>
        <w:t>二、总  则</w:t>
      </w:r>
    </w:p>
    <w:p w14:paraId="5CC26163">
      <w:pPr>
        <w:pStyle w:val="5"/>
        <w:keepNext w:val="0"/>
        <w:keepLines w:val="0"/>
        <w:spacing w:before="0" w:after="0" w:line="360" w:lineRule="auto"/>
        <w:ind w:firstLine="482" w:firstLineChars="200"/>
        <w:rPr>
          <w:rFonts w:hint="eastAsia" w:ascii="仿宋" w:hAnsi="仿宋"/>
          <w:color w:val="auto"/>
          <w:sz w:val="24"/>
          <w:highlight w:val="none"/>
        </w:rPr>
      </w:pPr>
      <w:bookmarkStart w:id="21" w:name="PO_默认文件内容_22"/>
      <w:bookmarkStart w:id="22" w:name="_Toc77400782"/>
      <w:bookmarkStart w:id="23" w:name="_Toc183682368"/>
      <w:bookmarkStart w:id="24" w:name="_Toc217446056"/>
      <w:bookmarkStart w:id="25" w:name="_Toc183582231"/>
      <w:bookmarkStart w:id="26" w:name="_Toc89075878"/>
      <w:r>
        <w:rPr>
          <w:rFonts w:hint="eastAsia" w:ascii="仿宋" w:hAnsi="仿宋"/>
          <w:color w:val="auto"/>
          <w:sz w:val="24"/>
          <w:highlight w:val="none"/>
        </w:rPr>
        <w:t>1</w:t>
      </w:r>
      <w:r>
        <w:rPr>
          <w:rFonts w:ascii="仿宋" w:hAnsi="仿宋"/>
          <w:color w:val="auto"/>
          <w:sz w:val="24"/>
          <w:highlight w:val="none"/>
        </w:rPr>
        <w:t>.</w:t>
      </w:r>
      <w:r>
        <w:rPr>
          <w:rFonts w:hint="eastAsia" w:ascii="仿宋" w:hAnsi="仿宋"/>
          <w:color w:val="auto"/>
          <w:sz w:val="24"/>
          <w:szCs w:val="24"/>
          <w:highlight w:val="none"/>
        </w:rPr>
        <w:t>适用范围</w:t>
      </w:r>
    </w:p>
    <w:p w14:paraId="281EFE1D">
      <w:pPr>
        <w:tabs>
          <w:tab w:val="left" w:pos="7665"/>
        </w:tabs>
        <w:ind w:firstLine="480" w:firstLineChars="200"/>
        <w:rPr>
          <w:rFonts w:hint="eastAsia" w:ascii="仿宋" w:hAnsi="仿宋"/>
          <w:color w:val="auto"/>
          <w:highlight w:val="none"/>
        </w:rPr>
      </w:pPr>
      <w:r>
        <w:rPr>
          <w:rFonts w:hint="eastAsia" w:ascii="仿宋" w:hAnsi="仿宋"/>
          <w:color w:val="auto"/>
          <w:highlight w:val="none"/>
        </w:rPr>
        <w:t>1</w:t>
      </w:r>
      <w:r>
        <w:rPr>
          <w:rFonts w:ascii="仿宋" w:hAnsi="仿宋"/>
          <w:color w:val="auto"/>
          <w:highlight w:val="none"/>
        </w:rPr>
        <w:t>.</w:t>
      </w:r>
      <w:r>
        <w:rPr>
          <w:rFonts w:hint="eastAsia" w:ascii="仿宋" w:hAnsi="仿宋"/>
          <w:color w:val="auto"/>
          <w:highlight w:val="none"/>
        </w:rPr>
        <w:t>1 本询比文件仅适用于本次询比采购项目。</w:t>
      </w:r>
    </w:p>
    <w:p w14:paraId="48076EA2">
      <w:pPr>
        <w:tabs>
          <w:tab w:val="left" w:pos="7665"/>
        </w:tabs>
        <w:ind w:firstLine="480" w:firstLineChars="200"/>
        <w:rPr>
          <w:rFonts w:hint="eastAsia" w:ascii="仿宋" w:hAnsi="仿宋"/>
          <w:color w:val="auto"/>
          <w:highlight w:val="none"/>
        </w:rPr>
      </w:pPr>
      <w:r>
        <w:rPr>
          <w:rFonts w:hint="eastAsia" w:ascii="仿宋" w:hAnsi="仿宋"/>
          <w:color w:val="auto"/>
          <w:highlight w:val="none"/>
        </w:rPr>
        <w:t>1.2 本询比文件的解释权归采购人和采购代理机构所有。</w:t>
      </w:r>
      <w:bookmarkEnd w:id="21"/>
      <w:bookmarkStart w:id="27" w:name="_Toc183682343"/>
      <w:bookmarkStart w:id="28" w:name="_Toc183582206"/>
      <w:bookmarkStart w:id="29" w:name="_Toc217446035"/>
    </w:p>
    <w:p w14:paraId="602C1D5C">
      <w:pPr>
        <w:pStyle w:val="5"/>
        <w:keepNext w:val="0"/>
        <w:keepLines w:val="0"/>
        <w:spacing w:before="0" w:after="0" w:line="360" w:lineRule="auto"/>
        <w:ind w:firstLine="482" w:firstLineChars="200"/>
        <w:rPr>
          <w:rFonts w:hint="eastAsia" w:ascii="仿宋" w:hAnsi="仿宋"/>
          <w:color w:val="auto"/>
          <w:sz w:val="24"/>
          <w:highlight w:val="none"/>
        </w:rPr>
      </w:pPr>
      <w:r>
        <w:rPr>
          <w:rFonts w:ascii="仿宋" w:hAnsi="仿宋"/>
          <w:color w:val="auto"/>
          <w:sz w:val="24"/>
          <w:highlight w:val="none"/>
        </w:rPr>
        <w:t>2.</w:t>
      </w:r>
      <w:bookmarkEnd w:id="27"/>
      <w:bookmarkEnd w:id="28"/>
      <w:bookmarkEnd w:id="29"/>
      <w:r>
        <w:rPr>
          <w:rFonts w:hint="eastAsia" w:ascii="仿宋" w:hAnsi="仿宋"/>
          <w:color w:val="auto"/>
          <w:sz w:val="24"/>
          <w:highlight w:val="none"/>
        </w:rPr>
        <w:t>采购主体</w:t>
      </w:r>
    </w:p>
    <w:p w14:paraId="176F2A77">
      <w:pPr>
        <w:tabs>
          <w:tab w:val="left" w:pos="7665"/>
        </w:tabs>
        <w:ind w:firstLine="480" w:firstLineChars="200"/>
        <w:rPr>
          <w:rFonts w:hint="eastAsia" w:ascii="仿宋" w:hAnsi="仿宋"/>
          <w:color w:val="auto"/>
          <w:highlight w:val="none"/>
        </w:rPr>
      </w:pPr>
      <w:r>
        <w:rPr>
          <w:rFonts w:hint="eastAsia" w:ascii="仿宋" w:hAnsi="仿宋"/>
          <w:color w:val="auto"/>
          <w:highlight w:val="none"/>
        </w:rPr>
        <w:t>2</w:t>
      </w:r>
      <w:r>
        <w:rPr>
          <w:rFonts w:ascii="仿宋" w:hAnsi="仿宋"/>
          <w:color w:val="auto"/>
          <w:highlight w:val="none"/>
        </w:rPr>
        <w:t>.</w:t>
      </w:r>
      <w:r>
        <w:rPr>
          <w:rFonts w:hint="eastAsia" w:ascii="仿宋" w:hAnsi="仿宋"/>
          <w:color w:val="auto"/>
          <w:highlight w:val="none"/>
        </w:rPr>
        <w:t>1本次询比的采购人名称</w:t>
      </w:r>
      <w:r>
        <w:rPr>
          <w:rFonts w:hint="eastAsia" w:ascii="仿宋" w:hAnsi="仿宋"/>
          <w:b/>
          <w:color w:val="auto"/>
          <w:highlight w:val="none"/>
          <w:u w:val="single"/>
        </w:rPr>
        <w:t>详见询比邀请</w:t>
      </w:r>
      <w:r>
        <w:rPr>
          <w:rFonts w:hint="eastAsia" w:ascii="仿宋" w:hAnsi="仿宋"/>
          <w:color w:val="auto"/>
          <w:highlight w:val="none"/>
        </w:rPr>
        <w:t>。</w:t>
      </w:r>
    </w:p>
    <w:p w14:paraId="1EBCDB1E">
      <w:pPr>
        <w:tabs>
          <w:tab w:val="left" w:pos="7665"/>
        </w:tabs>
        <w:ind w:firstLine="480" w:firstLineChars="200"/>
        <w:rPr>
          <w:rFonts w:hint="eastAsia" w:ascii="仿宋" w:hAnsi="仿宋"/>
          <w:color w:val="auto"/>
          <w:highlight w:val="none"/>
        </w:rPr>
      </w:pPr>
      <w:bookmarkStart w:id="30" w:name="PO_默认文件内容_23"/>
      <w:r>
        <w:rPr>
          <w:rFonts w:hint="eastAsia" w:ascii="仿宋" w:hAnsi="仿宋"/>
          <w:color w:val="auto"/>
          <w:highlight w:val="none"/>
        </w:rPr>
        <w:t>2</w:t>
      </w:r>
      <w:r>
        <w:rPr>
          <w:rFonts w:ascii="仿宋" w:hAnsi="仿宋"/>
          <w:color w:val="auto"/>
          <w:highlight w:val="none"/>
        </w:rPr>
        <w:t>.</w:t>
      </w:r>
      <w:r>
        <w:rPr>
          <w:rFonts w:hint="eastAsia" w:ascii="仿宋" w:hAnsi="仿宋"/>
          <w:color w:val="auto"/>
          <w:highlight w:val="none"/>
        </w:rPr>
        <w:t>2本次询比的采购代理机构是四川国锃招标代理有限公司。</w:t>
      </w:r>
    </w:p>
    <w:p w14:paraId="4E2ED71A">
      <w:pPr>
        <w:pStyle w:val="5"/>
        <w:keepNext w:val="0"/>
        <w:keepLines w:val="0"/>
        <w:spacing w:before="0" w:after="0" w:line="360" w:lineRule="auto"/>
        <w:ind w:firstLine="482" w:firstLineChars="200"/>
        <w:rPr>
          <w:rFonts w:hint="eastAsia" w:ascii="仿宋" w:hAnsi="仿宋"/>
          <w:color w:val="auto"/>
          <w:sz w:val="24"/>
          <w:highlight w:val="none"/>
        </w:rPr>
      </w:pPr>
      <w:bookmarkStart w:id="31" w:name="_Toc183582207"/>
      <w:bookmarkStart w:id="32" w:name="_Toc217390843"/>
      <w:bookmarkStart w:id="33" w:name="_Toc217446036"/>
      <w:bookmarkStart w:id="34" w:name="_Toc183682344"/>
      <w:r>
        <w:rPr>
          <w:rFonts w:ascii="仿宋" w:hAnsi="仿宋"/>
          <w:color w:val="auto"/>
          <w:sz w:val="24"/>
          <w:highlight w:val="none"/>
        </w:rPr>
        <w:t>3.</w:t>
      </w:r>
      <w:r>
        <w:rPr>
          <w:rFonts w:hint="eastAsia" w:ascii="仿宋" w:hAnsi="仿宋"/>
          <w:color w:val="auto"/>
          <w:sz w:val="24"/>
          <w:highlight w:val="none"/>
        </w:rPr>
        <w:t xml:space="preserve"> 合格</w:t>
      </w:r>
      <w:bookmarkEnd w:id="31"/>
      <w:bookmarkEnd w:id="32"/>
      <w:bookmarkEnd w:id="33"/>
      <w:bookmarkEnd w:id="34"/>
      <w:r>
        <w:rPr>
          <w:rFonts w:hint="eastAsia" w:ascii="仿宋" w:hAnsi="仿宋"/>
          <w:color w:val="auto"/>
          <w:sz w:val="24"/>
          <w:highlight w:val="none"/>
        </w:rPr>
        <w:t>供应商</w:t>
      </w:r>
    </w:p>
    <w:p w14:paraId="75FEEC0A">
      <w:pPr>
        <w:tabs>
          <w:tab w:val="left" w:pos="7665"/>
        </w:tabs>
        <w:ind w:firstLine="480"/>
        <w:rPr>
          <w:rFonts w:hint="eastAsia" w:ascii="仿宋" w:hAnsi="仿宋"/>
          <w:color w:val="auto"/>
          <w:highlight w:val="none"/>
        </w:rPr>
      </w:pPr>
      <w:r>
        <w:rPr>
          <w:rFonts w:hint="eastAsia" w:ascii="仿宋" w:hAnsi="仿宋"/>
          <w:color w:val="auto"/>
          <w:highlight w:val="none"/>
        </w:rPr>
        <w:t>合格供应商应具备以下条件：</w:t>
      </w:r>
    </w:p>
    <w:p w14:paraId="4FB2358A">
      <w:pPr>
        <w:tabs>
          <w:tab w:val="left" w:pos="7665"/>
        </w:tabs>
        <w:ind w:firstLine="480" w:firstLineChars="200"/>
        <w:rPr>
          <w:rFonts w:hint="eastAsia" w:ascii="仿宋" w:hAnsi="仿宋"/>
          <w:color w:val="auto"/>
          <w:highlight w:val="none"/>
        </w:rPr>
      </w:pPr>
      <w:r>
        <w:rPr>
          <w:rFonts w:hint="eastAsia" w:ascii="仿宋" w:hAnsi="仿宋"/>
          <w:color w:val="auto"/>
          <w:highlight w:val="none"/>
        </w:rPr>
        <w:t>3.1 具备法律法规和本询比文件规定的资格条件；</w:t>
      </w:r>
    </w:p>
    <w:p w14:paraId="02BCDD5B">
      <w:pPr>
        <w:tabs>
          <w:tab w:val="left" w:pos="7665"/>
        </w:tabs>
        <w:ind w:firstLine="480" w:firstLineChars="200"/>
        <w:rPr>
          <w:rFonts w:hint="eastAsia" w:ascii="仿宋" w:hAnsi="仿宋"/>
          <w:color w:val="auto"/>
          <w:highlight w:val="none"/>
        </w:rPr>
      </w:pPr>
      <w:r>
        <w:rPr>
          <w:rFonts w:hint="eastAsia" w:ascii="仿宋" w:hAnsi="仿宋"/>
          <w:color w:val="auto"/>
          <w:highlight w:val="none"/>
        </w:rPr>
        <w:t>3.2 不属于禁止参加本项目采购活动的供应商；</w:t>
      </w:r>
    </w:p>
    <w:p w14:paraId="2284A6F4">
      <w:pPr>
        <w:tabs>
          <w:tab w:val="left" w:pos="7665"/>
        </w:tabs>
        <w:ind w:firstLine="480" w:firstLineChars="200"/>
        <w:rPr>
          <w:rFonts w:hint="eastAsia" w:ascii="仿宋" w:hAnsi="仿宋"/>
          <w:color w:val="auto"/>
          <w:highlight w:val="none"/>
        </w:rPr>
      </w:pPr>
      <w:r>
        <w:rPr>
          <w:rFonts w:hint="eastAsia" w:ascii="仿宋" w:hAnsi="仿宋"/>
          <w:color w:val="auto"/>
          <w:highlight w:val="none"/>
        </w:rPr>
        <w:t>3.3按规定获取了询比文件，属于实质性参加采购活动的供应商。</w:t>
      </w:r>
      <w:bookmarkStart w:id="35" w:name="_Toc183582208"/>
      <w:bookmarkStart w:id="36" w:name="_Toc183682345"/>
      <w:bookmarkStart w:id="37" w:name="_Toc217446037"/>
    </w:p>
    <w:p w14:paraId="5605AFA4">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4.费用</w:t>
      </w:r>
      <w:bookmarkEnd w:id="35"/>
      <w:bookmarkEnd w:id="36"/>
      <w:bookmarkEnd w:id="37"/>
    </w:p>
    <w:p w14:paraId="332FFE9F">
      <w:pPr>
        <w:tabs>
          <w:tab w:val="left" w:pos="7665"/>
        </w:tabs>
        <w:ind w:firstLine="480"/>
        <w:rPr>
          <w:rFonts w:hint="eastAsia" w:ascii="仿宋" w:hAnsi="仿宋"/>
          <w:color w:val="auto"/>
          <w:highlight w:val="none"/>
        </w:rPr>
      </w:pPr>
      <w:r>
        <w:rPr>
          <w:rFonts w:hint="eastAsia" w:ascii="仿宋" w:hAnsi="仿宋"/>
          <w:color w:val="auto"/>
          <w:highlight w:val="none"/>
        </w:rPr>
        <w:t>供应商应自行承担参加询比活动的全部费用。</w:t>
      </w:r>
    </w:p>
    <w:p w14:paraId="5347DDA5">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5.充分、公平竞争保障措施</w:t>
      </w:r>
    </w:p>
    <w:p w14:paraId="070EF283">
      <w:pPr>
        <w:pStyle w:val="49"/>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5.1.利害关系供应商处理。单位负责人为同一人或者存在直接控股、管理关系的不同供应商不得参加同一合同项下的询比活动。否则，其响应文件作为无效处理。</w:t>
      </w:r>
    </w:p>
    <w:p w14:paraId="637A50D2">
      <w:pPr>
        <w:pStyle w:val="49"/>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5.2.利害关系授权代表处理。两家以上的供应商不得在同一合同项下的询比项目中，委托同一个自然人、同一家庭的人员、同一单位的人员作为其授权代表。否则，其响应文件作为无效处理。</w:t>
      </w:r>
    </w:p>
    <w:p w14:paraId="667B8232">
      <w:pPr>
        <w:pStyle w:val="49"/>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5.3.供应商实际控制人或者中高级管理人员，同时是采购代理机构工作人员，不得参与本项目询比活动。</w:t>
      </w:r>
    </w:p>
    <w:p w14:paraId="2B3EA64F">
      <w:pPr>
        <w:pStyle w:val="49"/>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5.4.同一母公司下的多家子公司不得以不同供应商身份同时参加本项目同一合同项下的询比活动。</w:t>
      </w:r>
    </w:p>
    <w:p w14:paraId="1D7EFEFE">
      <w:pPr>
        <w:pStyle w:val="49"/>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5.5.供应商与采购代理机构存在单位负责人为同一人，或者是采购代理机构的母公司或子公司，不得参加本项目询比活动。</w:t>
      </w:r>
    </w:p>
    <w:p w14:paraId="2C090508">
      <w:pPr>
        <w:pStyle w:val="49"/>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5.6.回避。询比活动中，采购人单位人员及相关人员与供应商有下列利害关系之一的，应当回避：</w:t>
      </w:r>
    </w:p>
    <w:p w14:paraId="7112C491">
      <w:pPr>
        <w:pStyle w:val="49"/>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（1）参加询比活动前3年内与供应商存在劳动关系；</w:t>
      </w:r>
    </w:p>
    <w:p w14:paraId="780BE582">
      <w:pPr>
        <w:pStyle w:val="49"/>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（2）参加询比活动前3年内担任供应商的董事、监事；</w:t>
      </w:r>
    </w:p>
    <w:p w14:paraId="7B70AFB9">
      <w:pPr>
        <w:pStyle w:val="49"/>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（3）参加询比活动前3年内是供应商的控股股东或者实际控制人；</w:t>
      </w:r>
    </w:p>
    <w:p w14:paraId="2D124405">
      <w:pPr>
        <w:pStyle w:val="49"/>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（4）与供应商的法定代表人或者负责人有夫妻、直系血亲、三代以内旁系血亲或者近姻亲关系；</w:t>
      </w:r>
    </w:p>
    <w:p w14:paraId="30C83861">
      <w:pPr>
        <w:pStyle w:val="49"/>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（5）与供应商有其他可能影响询比活动公平、公正进行的关系。</w:t>
      </w:r>
    </w:p>
    <w:p w14:paraId="0C279C6F">
      <w:pPr>
        <w:pStyle w:val="49"/>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本项目询比活动中需要依法回避的采购人单位人员是指采购人单位内部负责询比项目的具体经办工作人员和直接分管询比项目的负责人，以及采购代理机构负责询比项目的具体经办工作人员和直接分管询比活动的负责人。本项目询比活动中需要依法回避的相关人员是指评审小组成员。</w:t>
      </w:r>
    </w:p>
    <w:p w14:paraId="66A914D4">
      <w:pPr>
        <w:pStyle w:val="49"/>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供应商认为采购人单位人员及相关人员与其他供应商有利害关系的，可以向采购代理机构书面提出回避申请，并说明理由。采购代理机构将及时询问被申请回避人员，有利害关系的被申请回避人员应当回避。</w:t>
      </w:r>
    </w:p>
    <w:p w14:paraId="7F91064B">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6.联合体</w:t>
      </w:r>
    </w:p>
    <w:p w14:paraId="79AB600E">
      <w:pPr>
        <w:widowControl/>
        <w:ind w:firstLine="480" w:firstLineChars="200"/>
        <w:jc w:val="left"/>
        <w:rPr>
          <w:rFonts w:hint="eastAsia" w:ascii="仿宋" w:hAnsi="仿宋"/>
          <w:bCs/>
          <w:color w:val="auto"/>
          <w:highlight w:val="none"/>
        </w:rPr>
      </w:pPr>
      <w:r>
        <w:rPr>
          <w:rFonts w:hint="eastAsia" w:ascii="仿宋" w:hAnsi="仿宋"/>
          <w:bCs/>
          <w:color w:val="auto"/>
          <w:highlight w:val="none"/>
        </w:rPr>
        <w:t>6.1 两个以上供应商可以组成一个联合体参加响应，以一个供应商的身份参加响应。以联合体形式参加询比响应的，联合体各方均应当符合第一章第六条第1项至第9项规定的条件，联合体各方中至少有一方符合第一章第六条第10项规定的特定条件。</w:t>
      </w:r>
    </w:p>
    <w:p w14:paraId="3E91002F">
      <w:pPr>
        <w:widowControl/>
        <w:ind w:firstLine="480" w:firstLineChars="200"/>
        <w:jc w:val="left"/>
        <w:rPr>
          <w:rFonts w:hint="eastAsia" w:ascii="仿宋" w:hAnsi="仿宋"/>
          <w:bCs/>
          <w:color w:val="auto"/>
          <w:highlight w:val="none"/>
        </w:rPr>
      </w:pPr>
      <w:r>
        <w:rPr>
          <w:rFonts w:hint="eastAsia" w:ascii="仿宋" w:hAnsi="仿宋"/>
          <w:bCs/>
          <w:color w:val="auto"/>
          <w:highlight w:val="none"/>
        </w:rPr>
        <w:t>6.2 联合体各方之间应当签订联合体询比响应协议，明确约定联合体各方承担的工作和相应的责任。联合体参与询比响应的，应在响应文件提供联合体协议原件。</w:t>
      </w:r>
    </w:p>
    <w:p w14:paraId="5BC0D1BB">
      <w:pPr>
        <w:widowControl/>
        <w:ind w:firstLine="480" w:firstLineChars="200"/>
        <w:jc w:val="left"/>
        <w:rPr>
          <w:rFonts w:hint="eastAsia" w:ascii="仿宋" w:hAnsi="仿宋"/>
          <w:bCs/>
          <w:color w:val="auto"/>
          <w:highlight w:val="none"/>
        </w:rPr>
      </w:pPr>
      <w:r>
        <w:rPr>
          <w:rFonts w:hint="eastAsia" w:ascii="仿宋" w:hAnsi="仿宋"/>
          <w:bCs/>
          <w:color w:val="auto"/>
          <w:highlight w:val="none"/>
        </w:rPr>
        <w:t>6.3 联合体应当确定其中一个单位为询比响应的全权代表，负责参加询比采购活动的一切事务。</w:t>
      </w:r>
    </w:p>
    <w:p w14:paraId="0F3AD7CA">
      <w:pPr>
        <w:widowControl/>
        <w:ind w:firstLine="480" w:firstLineChars="200"/>
        <w:jc w:val="left"/>
        <w:rPr>
          <w:rFonts w:hint="eastAsia" w:ascii="仿宋" w:hAnsi="仿宋"/>
          <w:bCs/>
          <w:color w:val="auto"/>
          <w:highlight w:val="none"/>
        </w:rPr>
      </w:pPr>
      <w:r>
        <w:rPr>
          <w:rFonts w:hint="eastAsia" w:ascii="仿宋" w:hAnsi="仿宋"/>
          <w:bCs/>
          <w:color w:val="auto"/>
          <w:highlight w:val="none"/>
        </w:rPr>
        <w:t>6.4 联合体各方应当共同与采购人签订采购合同，就采购合同约定的事项对采购人承担连带责任。</w:t>
      </w:r>
    </w:p>
    <w:p w14:paraId="5F752697">
      <w:pPr>
        <w:widowControl/>
        <w:ind w:firstLine="480" w:firstLineChars="200"/>
        <w:jc w:val="left"/>
        <w:rPr>
          <w:rFonts w:hint="eastAsia" w:ascii="仿宋" w:hAnsi="仿宋"/>
          <w:bCs/>
          <w:color w:val="auto"/>
          <w:highlight w:val="none"/>
        </w:rPr>
      </w:pPr>
      <w:r>
        <w:rPr>
          <w:rFonts w:hint="eastAsia" w:ascii="仿宋" w:hAnsi="仿宋"/>
          <w:bCs/>
          <w:color w:val="auto"/>
          <w:highlight w:val="none"/>
        </w:rPr>
        <w:t>6.5联合体中有同类资质的供应商按照联合体分工承担相同工作的，将按照资质等级较低的供应商确定资质等级。</w:t>
      </w:r>
    </w:p>
    <w:p w14:paraId="2C565044">
      <w:pPr>
        <w:widowControl/>
        <w:ind w:firstLine="480" w:firstLineChars="200"/>
        <w:jc w:val="left"/>
        <w:rPr>
          <w:rFonts w:hint="eastAsia" w:ascii="仿宋" w:hAnsi="仿宋"/>
          <w:bCs/>
          <w:color w:val="auto"/>
          <w:highlight w:val="none"/>
        </w:rPr>
      </w:pPr>
      <w:r>
        <w:rPr>
          <w:rFonts w:hint="eastAsia" w:ascii="仿宋" w:hAnsi="仿宋"/>
          <w:bCs/>
          <w:color w:val="auto"/>
          <w:highlight w:val="none"/>
        </w:rPr>
        <w:t>6.6以联合体形式参加采购活动的，联合体各方不得再单独参加或者与其他供应商另外组成联合体参加同一合同项下的采购活动。</w:t>
      </w:r>
    </w:p>
    <w:p w14:paraId="0651F947">
      <w:pPr>
        <w:widowControl/>
        <w:ind w:firstLine="480" w:firstLineChars="200"/>
        <w:jc w:val="left"/>
        <w:rPr>
          <w:rFonts w:hint="eastAsia" w:ascii="仿宋" w:hAnsi="仿宋"/>
          <w:bCs/>
          <w:color w:val="auto"/>
          <w:highlight w:val="none"/>
        </w:rPr>
      </w:pPr>
      <w:r>
        <w:rPr>
          <w:rFonts w:hint="eastAsia" w:ascii="仿宋" w:hAnsi="仿宋"/>
          <w:bCs/>
          <w:color w:val="auto"/>
          <w:highlight w:val="none"/>
        </w:rPr>
        <w:t>6.7本项目是否接受联合体响应详见“询比邀请”。</w:t>
      </w:r>
    </w:p>
    <w:p w14:paraId="11D4D197">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7.询比保证金</w:t>
      </w:r>
    </w:p>
    <w:p w14:paraId="2C795B8F">
      <w:pPr>
        <w:ind w:firstLine="470" w:firstLineChars="196"/>
        <w:rPr>
          <w:rFonts w:hint="eastAsia" w:ascii="仿宋" w:hAnsi="仿宋"/>
          <w:color w:val="auto"/>
          <w:highlight w:val="none"/>
        </w:rPr>
      </w:pPr>
      <w:r>
        <w:rPr>
          <w:rFonts w:hint="eastAsia" w:ascii="仿宋" w:hAnsi="仿宋"/>
          <w:color w:val="auto"/>
          <w:highlight w:val="none"/>
        </w:rPr>
        <w:t>7.1 供应商必须以人民币按询比文件要求</w:t>
      </w:r>
      <w:r>
        <w:rPr>
          <w:rFonts w:ascii="仿宋" w:hAnsi="仿宋"/>
          <w:color w:val="auto"/>
          <w:highlight w:val="none"/>
        </w:rPr>
        <w:t>足额缴纳</w:t>
      </w:r>
      <w:r>
        <w:rPr>
          <w:rFonts w:hint="eastAsia" w:ascii="仿宋" w:hAnsi="仿宋"/>
          <w:color w:val="auto"/>
          <w:highlight w:val="none"/>
        </w:rPr>
        <w:t>询比保证金。联合体参与询比的，可以由联合体的一方或者共同提交询比保证金，以一方名义提交询比保证金的，对联合体各方均具有约束力。</w:t>
      </w:r>
    </w:p>
    <w:p w14:paraId="46BA3E49">
      <w:pPr>
        <w:ind w:firstLine="470" w:firstLineChars="196"/>
        <w:rPr>
          <w:rFonts w:hint="eastAsia" w:ascii="仿宋" w:hAnsi="仿宋"/>
          <w:color w:val="auto"/>
          <w:highlight w:val="none"/>
        </w:rPr>
      </w:pPr>
      <w:r>
        <w:rPr>
          <w:rFonts w:hint="eastAsia" w:ascii="仿宋" w:hAnsi="仿宋"/>
          <w:color w:val="auto"/>
          <w:highlight w:val="none"/>
        </w:rPr>
        <w:t>7.2 未按询比文件要求在规定时间前交纳规定数额询比保证金的响应文件无效。</w:t>
      </w:r>
    </w:p>
    <w:p w14:paraId="71F45F57">
      <w:pPr>
        <w:ind w:firstLine="470" w:firstLineChars="196"/>
        <w:rPr>
          <w:rFonts w:hint="eastAsia" w:ascii="仿宋" w:hAnsi="仿宋"/>
          <w:color w:val="auto"/>
          <w:highlight w:val="none"/>
        </w:rPr>
      </w:pPr>
      <w:r>
        <w:rPr>
          <w:rFonts w:hint="eastAsia" w:ascii="仿宋" w:hAnsi="仿宋"/>
          <w:color w:val="auto"/>
          <w:highlight w:val="none"/>
        </w:rPr>
        <w:t>7.3未成交供应商的询比保证金，将在成交通知书发出后</w:t>
      </w:r>
      <w:r>
        <w:rPr>
          <w:rFonts w:ascii="仿宋" w:hAnsi="仿宋"/>
          <w:color w:val="auto"/>
          <w:highlight w:val="none"/>
        </w:rPr>
        <w:t>5</w:t>
      </w:r>
      <w:r>
        <w:rPr>
          <w:rFonts w:hint="eastAsia" w:ascii="仿宋" w:hAnsi="仿宋"/>
          <w:color w:val="auto"/>
          <w:highlight w:val="none"/>
        </w:rPr>
        <w:t>个工作日内退还。成交供应商的询比保证金，自采购合同签订之日起5个工作日内退还。（注：</w:t>
      </w:r>
      <w:r>
        <w:rPr>
          <w:rFonts w:hint="eastAsia" w:ascii="仿宋" w:hAnsi="仿宋"/>
          <w:color w:val="auto"/>
          <w:highlight w:val="none"/>
        </w:rPr>
        <w:fldChar w:fldCharType="begin"/>
      </w:r>
      <w:r>
        <w:rPr>
          <w:rFonts w:ascii="仿宋" w:hAnsi="仿宋"/>
          <w:color w:val="auto"/>
          <w:highlight w:val="none"/>
        </w:rPr>
        <w:instrText xml:space="preserve"> = 1 \* GB3 \* MERGEFORMAT </w:instrText>
      </w:r>
      <w:r>
        <w:rPr>
          <w:rFonts w:hint="eastAsia" w:ascii="仿宋" w:hAnsi="仿宋"/>
          <w:color w:val="auto"/>
          <w:highlight w:val="none"/>
        </w:rPr>
        <w:fldChar w:fldCharType="separate"/>
      </w:r>
      <w:r>
        <w:rPr>
          <w:rFonts w:hint="eastAsia" w:ascii="仿宋" w:hAnsi="仿宋"/>
          <w:color w:val="auto"/>
          <w:highlight w:val="none"/>
        </w:rPr>
        <w:t>①</w:t>
      </w:r>
      <w:r>
        <w:rPr>
          <w:rFonts w:hint="eastAsia" w:ascii="仿宋" w:hAnsi="仿宋"/>
          <w:color w:val="auto"/>
          <w:highlight w:val="none"/>
        </w:rPr>
        <w:fldChar w:fldCharType="end"/>
      </w:r>
      <w:r>
        <w:rPr>
          <w:rFonts w:hint="eastAsia" w:ascii="仿宋" w:hAnsi="仿宋"/>
          <w:color w:val="auto"/>
          <w:highlight w:val="none"/>
        </w:rPr>
        <w:t>因供应商自身原因造成的保证金延迟退还的，采购代理机构不承担相应责任；</w:t>
      </w:r>
      <w:r>
        <w:rPr>
          <w:rFonts w:hint="eastAsia" w:ascii="仿宋" w:hAnsi="仿宋"/>
          <w:color w:val="auto"/>
          <w:highlight w:val="none"/>
        </w:rPr>
        <w:fldChar w:fldCharType="begin"/>
      </w:r>
      <w:r>
        <w:rPr>
          <w:rFonts w:ascii="仿宋" w:hAnsi="仿宋"/>
          <w:color w:val="auto"/>
          <w:highlight w:val="none"/>
        </w:rPr>
        <w:instrText xml:space="preserve"> = 2 \* GB3 \* MERGEFORMAT </w:instrText>
      </w:r>
      <w:r>
        <w:rPr>
          <w:rFonts w:hint="eastAsia" w:ascii="仿宋" w:hAnsi="仿宋"/>
          <w:color w:val="auto"/>
          <w:highlight w:val="none"/>
        </w:rPr>
        <w:fldChar w:fldCharType="separate"/>
      </w:r>
      <w:r>
        <w:rPr>
          <w:rFonts w:hint="eastAsia" w:ascii="仿宋" w:hAnsi="仿宋"/>
          <w:color w:val="auto"/>
          <w:highlight w:val="none"/>
        </w:rPr>
        <w:t>②</w:t>
      </w:r>
      <w:r>
        <w:rPr>
          <w:rFonts w:hint="eastAsia" w:ascii="仿宋" w:hAnsi="仿宋"/>
          <w:color w:val="auto"/>
          <w:highlight w:val="none"/>
        </w:rPr>
        <w:fldChar w:fldCharType="end"/>
      </w:r>
      <w:r>
        <w:rPr>
          <w:rFonts w:hint="eastAsia" w:ascii="仿宋" w:hAnsi="仿宋"/>
          <w:color w:val="auto"/>
          <w:highlight w:val="none"/>
        </w:rPr>
        <w:t>供应商因涉嫌违法违规，按照规定应当不予退还保证金的，有关部门处理认定违法违规行为期间不计入退还保证金时限之内。）；</w:t>
      </w:r>
    </w:p>
    <w:p w14:paraId="46FA913A">
      <w:pPr>
        <w:ind w:firstLine="470" w:firstLineChars="196"/>
        <w:rPr>
          <w:rFonts w:hint="eastAsia" w:ascii="仿宋" w:hAnsi="仿宋"/>
          <w:color w:val="auto"/>
          <w:highlight w:val="none"/>
        </w:rPr>
      </w:pPr>
      <w:r>
        <w:rPr>
          <w:rFonts w:hint="eastAsia" w:ascii="仿宋" w:hAnsi="仿宋"/>
          <w:color w:val="auto"/>
          <w:highlight w:val="none"/>
        </w:rPr>
        <w:t>7.4发生下列情形之一的，采购代理机构将不予退还询比保证金：</w:t>
      </w:r>
    </w:p>
    <w:p w14:paraId="15A24B65">
      <w:pPr>
        <w:ind w:firstLine="470" w:firstLineChars="196"/>
        <w:rPr>
          <w:rFonts w:hint="eastAsia" w:ascii="仿宋" w:hAnsi="仿宋"/>
          <w:color w:val="auto"/>
          <w:highlight w:val="none"/>
        </w:rPr>
      </w:pPr>
      <w:r>
        <w:rPr>
          <w:rFonts w:hint="eastAsia" w:ascii="仿宋" w:hAnsi="仿宋"/>
          <w:color w:val="auto"/>
          <w:highlight w:val="none"/>
        </w:rPr>
        <w:t>（一）在询比文件规定的递交响应文件截止时间后撤销响应文件的；</w:t>
      </w:r>
    </w:p>
    <w:p w14:paraId="0E3315B2">
      <w:pPr>
        <w:ind w:firstLine="470" w:firstLineChars="196"/>
        <w:rPr>
          <w:rFonts w:hint="eastAsia" w:ascii="仿宋" w:hAnsi="仿宋"/>
          <w:color w:val="auto"/>
          <w:highlight w:val="none"/>
        </w:rPr>
      </w:pPr>
      <w:r>
        <w:rPr>
          <w:rFonts w:hint="eastAsia" w:ascii="仿宋" w:hAnsi="仿宋"/>
          <w:color w:val="auto"/>
          <w:highlight w:val="none"/>
        </w:rPr>
        <w:t>（二）在采购人确定成交供应商之前放弃成交候选资格的；</w:t>
      </w:r>
    </w:p>
    <w:p w14:paraId="58D40363">
      <w:pPr>
        <w:ind w:firstLine="470" w:firstLineChars="196"/>
        <w:rPr>
          <w:rFonts w:hint="eastAsia" w:ascii="仿宋" w:hAnsi="仿宋"/>
          <w:color w:val="auto"/>
          <w:highlight w:val="none"/>
        </w:rPr>
      </w:pPr>
      <w:r>
        <w:rPr>
          <w:rFonts w:hint="eastAsia" w:ascii="仿宋" w:hAnsi="仿宋"/>
          <w:color w:val="auto"/>
          <w:highlight w:val="none"/>
        </w:rPr>
        <w:t>（三）成交后放弃成交、不领取或者不接收成交通知书的；</w:t>
      </w:r>
    </w:p>
    <w:p w14:paraId="5892CFDE">
      <w:pPr>
        <w:ind w:firstLine="470" w:firstLineChars="196"/>
        <w:rPr>
          <w:rFonts w:hint="eastAsia" w:ascii="仿宋" w:hAnsi="仿宋"/>
          <w:color w:val="auto"/>
          <w:highlight w:val="none"/>
        </w:rPr>
      </w:pPr>
      <w:r>
        <w:rPr>
          <w:rFonts w:hint="eastAsia" w:ascii="仿宋" w:hAnsi="仿宋"/>
          <w:color w:val="auto"/>
          <w:highlight w:val="none"/>
        </w:rPr>
        <w:t>（四）由于成交供应商的原因未能按照询比文件的规定与采购人签订合同的；</w:t>
      </w:r>
    </w:p>
    <w:p w14:paraId="133D6EDD">
      <w:pPr>
        <w:ind w:firstLine="470" w:firstLineChars="196"/>
        <w:rPr>
          <w:rFonts w:hint="eastAsia" w:ascii="仿宋" w:hAnsi="仿宋"/>
          <w:color w:val="auto"/>
          <w:highlight w:val="none"/>
        </w:rPr>
      </w:pPr>
      <w:r>
        <w:rPr>
          <w:rFonts w:hint="eastAsia" w:ascii="仿宋" w:hAnsi="仿宋"/>
          <w:color w:val="auto"/>
          <w:highlight w:val="none"/>
        </w:rPr>
        <w:t>（五）由于成交供应商的原因未能按照询比文件的规定交纳履约保证金的。</w:t>
      </w:r>
    </w:p>
    <w:p w14:paraId="36D2C763">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8.响应文件有效期</w:t>
      </w:r>
    </w:p>
    <w:p w14:paraId="4F37F628">
      <w:pPr>
        <w:ind w:firstLine="470" w:firstLineChars="196"/>
        <w:rPr>
          <w:rFonts w:hint="eastAsia" w:ascii="仿宋" w:hAnsi="仿宋"/>
          <w:color w:val="auto"/>
          <w:highlight w:val="none"/>
        </w:rPr>
      </w:pPr>
      <w:r>
        <w:rPr>
          <w:rFonts w:hint="eastAsia" w:ascii="仿宋" w:hAnsi="仿宋"/>
          <w:color w:val="auto"/>
          <w:highlight w:val="none"/>
        </w:rPr>
        <w:t>本项目响应文件有效期为递交询比响应文件截止之日起</w:t>
      </w:r>
      <w:r>
        <w:rPr>
          <w:rFonts w:ascii="仿宋" w:hAnsi="仿宋"/>
          <w:color w:val="auto"/>
          <w:highlight w:val="none"/>
        </w:rPr>
        <w:t>90</w:t>
      </w:r>
      <w:r>
        <w:rPr>
          <w:rFonts w:hint="eastAsia" w:ascii="仿宋" w:hAnsi="仿宋"/>
          <w:color w:val="auto"/>
          <w:highlight w:val="none"/>
        </w:rPr>
        <w:t>天。供应商响应文件中必须载明响应文件有效期，响应文件中载明的响应文件有效期可以长于询比文件规定的期限，但不得短于询比文件规定的期限。否则，其响应文件将作无效响应处理。</w:t>
      </w:r>
    </w:p>
    <w:p w14:paraId="30EB4A87">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9.知识产权</w:t>
      </w:r>
    </w:p>
    <w:p w14:paraId="4D96E965">
      <w:pPr>
        <w:pStyle w:val="12"/>
        <w:ind w:firstLine="480" w:firstLineChars="200"/>
        <w:rPr>
          <w:rFonts w:hint="eastAsia" w:ascii="仿宋" w:hAnsi="仿宋"/>
          <w:color w:val="auto"/>
          <w:sz w:val="24"/>
          <w:szCs w:val="24"/>
          <w:highlight w:val="none"/>
        </w:rPr>
      </w:pPr>
      <w:r>
        <w:rPr>
          <w:rFonts w:hint="eastAsia" w:ascii="仿宋" w:hAnsi="仿宋"/>
          <w:color w:val="auto"/>
          <w:sz w:val="24"/>
          <w:szCs w:val="24"/>
          <w:highlight w:val="none"/>
        </w:rPr>
        <w:t>9</w:t>
      </w:r>
      <w:r>
        <w:rPr>
          <w:rFonts w:ascii="仿宋" w:hAnsi="仿宋"/>
          <w:color w:val="auto"/>
          <w:sz w:val="24"/>
          <w:szCs w:val="24"/>
          <w:highlight w:val="none"/>
        </w:rPr>
        <w:t>.1</w:t>
      </w:r>
      <w:r>
        <w:rPr>
          <w:rFonts w:hint="eastAsia" w:ascii="仿宋" w:hAnsi="仿宋"/>
          <w:color w:val="auto"/>
          <w:sz w:val="24"/>
          <w:highlight w:val="none"/>
        </w:rPr>
        <w:t>供应商</w:t>
      </w:r>
      <w:r>
        <w:rPr>
          <w:rFonts w:hint="eastAsia" w:ascii="仿宋" w:hAnsi="仿宋"/>
          <w:color w:val="auto"/>
          <w:sz w:val="24"/>
          <w:szCs w:val="24"/>
          <w:highlight w:val="none"/>
        </w:rPr>
        <w:t>应保证在本项目中使用的任何产品和服务（包括部分使用），不会产生因第三方提出侵犯其专利权、商标权或其它知识产权而引起的法律和经济纠纷，如因侵犯专利权、商标权或其它知识产权而引起法律和经济纠纷，由</w:t>
      </w:r>
      <w:r>
        <w:rPr>
          <w:rFonts w:hint="eastAsia" w:ascii="仿宋" w:hAnsi="仿宋"/>
          <w:color w:val="auto"/>
          <w:sz w:val="24"/>
          <w:highlight w:val="none"/>
        </w:rPr>
        <w:t>供应商</w:t>
      </w:r>
      <w:r>
        <w:rPr>
          <w:rFonts w:hint="eastAsia" w:ascii="仿宋" w:hAnsi="仿宋"/>
          <w:color w:val="auto"/>
          <w:sz w:val="24"/>
          <w:szCs w:val="24"/>
          <w:highlight w:val="none"/>
        </w:rPr>
        <w:t>承担所有相关责任。</w:t>
      </w:r>
    </w:p>
    <w:p w14:paraId="3184A50E">
      <w:pPr>
        <w:pStyle w:val="12"/>
        <w:ind w:firstLine="480" w:firstLineChars="200"/>
        <w:rPr>
          <w:rFonts w:hint="eastAsia" w:ascii="仿宋" w:hAnsi="仿宋"/>
          <w:color w:val="auto"/>
          <w:sz w:val="24"/>
          <w:szCs w:val="24"/>
          <w:highlight w:val="none"/>
        </w:rPr>
      </w:pPr>
      <w:r>
        <w:rPr>
          <w:rFonts w:hint="eastAsia" w:ascii="仿宋" w:hAnsi="仿宋"/>
          <w:color w:val="auto"/>
          <w:sz w:val="24"/>
          <w:szCs w:val="24"/>
          <w:highlight w:val="none"/>
        </w:rPr>
        <w:t>9</w:t>
      </w:r>
      <w:r>
        <w:rPr>
          <w:rFonts w:ascii="仿宋" w:hAnsi="仿宋"/>
          <w:color w:val="auto"/>
          <w:sz w:val="24"/>
          <w:szCs w:val="24"/>
          <w:highlight w:val="none"/>
        </w:rPr>
        <w:t>.2</w:t>
      </w:r>
      <w:r>
        <w:rPr>
          <w:rFonts w:hint="eastAsia" w:ascii="仿宋" w:hAnsi="仿宋"/>
          <w:color w:val="auto"/>
          <w:sz w:val="24"/>
          <w:szCs w:val="24"/>
          <w:highlight w:val="none"/>
        </w:rPr>
        <w:t xml:space="preserve"> 除询比文件另有规定外，采购人享有本项目实施过程中产生的知识成果及知识产权。</w:t>
      </w:r>
    </w:p>
    <w:p w14:paraId="48BCCA00">
      <w:pPr>
        <w:ind w:firstLine="480" w:firstLineChars="200"/>
        <w:rPr>
          <w:rFonts w:hint="eastAsia" w:ascii="仿宋" w:hAnsi="仿宋"/>
          <w:color w:val="auto"/>
          <w:highlight w:val="none"/>
        </w:rPr>
      </w:pPr>
      <w:r>
        <w:rPr>
          <w:rFonts w:hint="eastAsia" w:ascii="仿宋" w:hAnsi="仿宋"/>
          <w:color w:val="auto"/>
          <w:highlight w:val="none"/>
        </w:rPr>
        <w:t>9</w:t>
      </w:r>
      <w:r>
        <w:rPr>
          <w:rFonts w:ascii="仿宋" w:hAnsi="仿宋"/>
          <w:color w:val="auto"/>
          <w:highlight w:val="none"/>
        </w:rPr>
        <w:t>.3</w:t>
      </w:r>
      <w:r>
        <w:rPr>
          <w:rFonts w:hint="eastAsia" w:ascii="仿宋" w:hAnsi="仿宋"/>
          <w:color w:val="auto"/>
          <w:highlight w:val="none"/>
        </w:rPr>
        <w:t xml:space="preserve"> 供应商如欲在项目实施过程中采用自有知识成果，使用该知识成果后，供应商需提供开发接口和开发手册等技术文档，并承诺提供无限期技术支持，采购人享有永久使用权（含采购人委托第三方在该项目后续开发的使用权）。</w:t>
      </w:r>
    </w:p>
    <w:p w14:paraId="0D9E3985">
      <w:pPr>
        <w:ind w:firstLine="460" w:firstLineChars="192"/>
        <w:rPr>
          <w:rFonts w:hint="eastAsia" w:ascii="仿宋" w:hAnsi="仿宋"/>
          <w:color w:val="auto"/>
          <w:highlight w:val="none"/>
        </w:rPr>
      </w:pPr>
      <w:r>
        <w:rPr>
          <w:rFonts w:hint="eastAsia" w:ascii="仿宋" w:hAnsi="仿宋"/>
          <w:color w:val="auto"/>
          <w:highlight w:val="none"/>
        </w:rPr>
        <w:t>9</w:t>
      </w:r>
      <w:r>
        <w:rPr>
          <w:rFonts w:ascii="仿宋" w:hAnsi="仿宋"/>
          <w:color w:val="auto"/>
          <w:highlight w:val="none"/>
        </w:rPr>
        <w:t>.4</w:t>
      </w:r>
      <w:r>
        <w:rPr>
          <w:rFonts w:hint="eastAsia" w:ascii="仿宋" w:hAnsi="仿宋"/>
          <w:color w:val="auto"/>
          <w:highlight w:val="none"/>
        </w:rPr>
        <w:t xml:space="preserve"> 如采用不归供应商所有的知识产权，则在报价中必须包括合法获取该知识产权的相关费用。</w:t>
      </w:r>
      <w:bookmarkStart w:id="38" w:name="_Toc183682346"/>
      <w:bookmarkStart w:id="39" w:name="_Toc183582209"/>
      <w:bookmarkStart w:id="40" w:name="_Toc89075875"/>
      <w:bookmarkStart w:id="41" w:name="_Toc77400779"/>
      <w:bookmarkStart w:id="42" w:name="_Toc217446038"/>
    </w:p>
    <w:p w14:paraId="0A115CCA">
      <w:pPr>
        <w:pStyle w:val="4"/>
        <w:keepNext w:val="0"/>
        <w:keepLines w:val="0"/>
        <w:spacing w:before="0" w:after="0" w:line="360" w:lineRule="auto"/>
        <w:jc w:val="center"/>
        <w:rPr>
          <w:rFonts w:hint="eastAsia" w:ascii="仿宋" w:hAnsi="仿宋" w:eastAsia="仿宋"/>
          <w:bCs w:val="0"/>
          <w:color w:val="auto"/>
          <w:highlight w:val="none"/>
        </w:rPr>
      </w:pPr>
      <w:r>
        <w:rPr>
          <w:rFonts w:hint="eastAsia" w:ascii="仿宋" w:hAnsi="仿宋" w:eastAsia="仿宋"/>
          <w:bCs w:val="0"/>
          <w:color w:val="auto"/>
          <w:highlight w:val="none"/>
        </w:rPr>
        <w:t>三、询比文件</w:t>
      </w:r>
      <w:bookmarkEnd w:id="38"/>
      <w:bookmarkEnd w:id="39"/>
      <w:bookmarkEnd w:id="40"/>
      <w:bookmarkEnd w:id="41"/>
      <w:bookmarkEnd w:id="42"/>
    </w:p>
    <w:p w14:paraId="57217112">
      <w:pPr>
        <w:pStyle w:val="5"/>
        <w:keepNext w:val="0"/>
        <w:keepLines w:val="0"/>
        <w:spacing w:before="0" w:after="0" w:line="360" w:lineRule="auto"/>
        <w:ind w:firstLine="482" w:firstLineChars="200"/>
        <w:rPr>
          <w:rFonts w:hint="eastAsia" w:ascii="仿宋" w:hAnsi="仿宋"/>
          <w:color w:val="auto"/>
          <w:sz w:val="24"/>
          <w:highlight w:val="none"/>
        </w:rPr>
      </w:pPr>
      <w:bookmarkStart w:id="43" w:name="_Toc183682347"/>
      <w:bookmarkStart w:id="44" w:name="_Toc217446039"/>
      <w:bookmarkStart w:id="45" w:name="_Toc183582210"/>
      <w:r>
        <w:rPr>
          <w:rFonts w:hint="eastAsia" w:ascii="仿宋" w:hAnsi="仿宋"/>
          <w:color w:val="auto"/>
          <w:sz w:val="24"/>
          <w:highlight w:val="none"/>
        </w:rPr>
        <w:t>10．询比文件的构成</w:t>
      </w:r>
      <w:bookmarkEnd w:id="43"/>
      <w:bookmarkEnd w:id="44"/>
      <w:bookmarkEnd w:id="45"/>
    </w:p>
    <w:p w14:paraId="38FBA884">
      <w:pPr>
        <w:tabs>
          <w:tab w:val="left" w:pos="720"/>
        </w:tabs>
        <w:ind w:firstLine="480" w:firstLineChars="200"/>
        <w:rPr>
          <w:rFonts w:hint="eastAsia" w:ascii="仿宋" w:hAnsi="仿宋"/>
          <w:color w:val="auto"/>
          <w:highlight w:val="none"/>
        </w:rPr>
      </w:pPr>
      <w:r>
        <w:rPr>
          <w:rFonts w:hint="eastAsia" w:ascii="仿宋" w:hAnsi="仿宋"/>
          <w:color w:val="auto"/>
          <w:highlight w:val="none"/>
        </w:rPr>
        <w:t>10</w:t>
      </w:r>
      <w:r>
        <w:rPr>
          <w:rFonts w:ascii="仿宋" w:hAnsi="仿宋"/>
          <w:b/>
          <w:bCs/>
          <w:color w:val="auto"/>
          <w:highlight w:val="none"/>
        </w:rPr>
        <w:t>.</w:t>
      </w:r>
      <w:r>
        <w:rPr>
          <w:rFonts w:hint="eastAsia" w:ascii="仿宋" w:hAnsi="仿宋"/>
          <w:color w:val="auto"/>
          <w:highlight w:val="none"/>
        </w:rPr>
        <w:t>1 询比文件是供应商准备响应文件和参加询比的依据，同时也是评审的重要依据。询比文件用以阐明询比项目所需的资质、技术、服务及报价等要求、有关规定和注意事项以及合同主要条款等。</w:t>
      </w:r>
    </w:p>
    <w:p w14:paraId="297C95CA">
      <w:pPr>
        <w:tabs>
          <w:tab w:val="left" w:pos="7665"/>
        </w:tabs>
        <w:ind w:firstLine="480" w:firstLineChars="200"/>
        <w:rPr>
          <w:rFonts w:hint="eastAsia" w:ascii="仿宋" w:hAnsi="仿宋"/>
          <w:color w:val="auto"/>
          <w:highlight w:val="none"/>
        </w:rPr>
      </w:pPr>
      <w:r>
        <w:rPr>
          <w:rFonts w:hint="eastAsia" w:ascii="仿宋" w:hAnsi="仿宋"/>
          <w:color w:val="auto"/>
          <w:highlight w:val="none"/>
        </w:rPr>
        <w:t>10</w:t>
      </w:r>
      <w:r>
        <w:rPr>
          <w:rFonts w:hint="eastAsia" w:ascii="仿宋" w:hAnsi="仿宋"/>
          <w:b/>
          <w:bCs/>
          <w:color w:val="auto"/>
          <w:highlight w:val="none"/>
        </w:rPr>
        <w:t>.</w:t>
      </w:r>
      <w:r>
        <w:rPr>
          <w:rFonts w:hint="eastAsia" w:ascii="仿宋" w:hAnsi="仿宋"/>
          <w:color w:val="auto"/>
          <w:highlight w:val="none"/>
        </w:rPr>
        <w:t>2 供应商应认真阅读和充分理解询比文件中所有的事项、格式条款和规范要求。供应商应详细阅读询比文件的全部内容，按照询比文件的要求提供响应文件，并保证所提供的全部资料的真实性和有效性，一经发现有虚假行为的，将取消其参加询比或成交资格，并承担相应的法律责任。</w:t>
      </w:r>
      <w:bookmarkStart w:id="46" w:name="_Toc183682348"/>
      <w:bookmarkStart w:id="47" w:name="_Toc183582211"/>
      <w:bookmarkStart w:id="48" w:name="_Toc217446040"/>
    </w:p>
    <w:p w14:paraId="2B8B24F3">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11. 询比文件的澄清</w:t>
      </w:r>
      <w:bookmarkEnd w:id="46"/>
      <w:bookmarkEnd w:id="47"/>
      <w:r>
        <w:rPr>
          <w:rFonts w:hint="eastAsia" w:ascii="仿宋" w:hAnsi="仿宋"/>
          <w:color w:val="auto"/>
          <w:sz w:val="24"/>
          <w:highlight w:val="none"/>
        </w:rPr>
        <w:t>和修改</w:t>
      </w:r>
      <w:bookmarkEnd w:id="48"/>
    </w:p>
    <w:p w14:paraId="14154B75">
      <w:pPr>
        <w:tabs>
          <w:tab w:val="left" w:pos="720"/>
        </w:tabs>
        <w:ind w:firstLine="480" w:firstLineChars="200"/>
        <w:rPr>
          <w:rFonts w:hint="eastAsia" w:ascii="仿宋" w:hAnsi="仿宋"/>
          <w:color w:val="auto"/>
          <w:highlight w:val="none"/>
        </w:rPr>
      </w:pPr>
      <w:r>
        <w:rPr>
          <w:rFonts w:hint="eastAsia" w:ascii="仿宋" w:hAnsi="仿宋"/>
          <w:color w:val="auto"/>
          <w:highlight w:val="none"/>
        </w:rPr>
        <w:t>11.1 在递交响应文件截止时间前，采购人、采购代理机构可以对询比文件进行澄清或者修改。</w:t>
      </w:r>
    </w:p>
    <w:p w14:paraId="0FFC7E6E">
      <w:pPr>
        <w:tabs>
          <w:tab w:val="left" w:pos="720"/>
        </w:tabs>
        <w:ind w:firstLine="480" w:firstLineChars="200"/>
        <w:rPr>
          <w:rFonts w:hint="eastAsia" w:ascii="仿宋" w:hAnsi="仿宋"/>
          <w:color w:val="auto"/>
          <w:highlight w:val="none"/>
        </w:rPr>
      </w:pPr>
      <w:r>
        <w:rPr>
          <w:rFonts w:hint="eastAsia" w:ascii="仿宋" w:hAnsi="仿宋"/>
          <w:color w:val="auto"/>
          <w:highlight w:val="none"/>
        </w:rPr>
        <w:t>11.2采购代理机构对已发出的询比文件进行澄清或者修改，采用公告邀请方式的采购项目，应当在</w:t>
      </w:r>
      <w:r>
        <w:rPr>
          <w:rFonts w:ascii="仿宋" w:hAnsi="仿宋"/>
          <w:bCs/>
          <w:color w:val="auto"/>
          <w:highlight w:val="none"/>
        </w:rPr>
        <w:t>四川九洲投资控股集团有限公司官网</w:t>
      </w:r>
      <w:r>
        <w:rPr>
          <w:rFonts w:hint="eastAsia" w:ascii="仿宋" w:hAnsi="仿宋"/>
          <w:bCs/>
          <w:color w:val="auto"/>
          <w:highlight w:val="none"/>
        </w:rPr>
        <w:t>、四川九洲空管科技有限责任公司官网</w:t>
      </w:r>
      <w:r>
        <w:rPr>
          <w:rFonts w:ascii="仿宋" w:hAnsi="仿宋"/>
          <w:bCs/>
          <w:color w:val="auto"/>
          <w:highlight w:val="none"/>
        </w:rPr>
        <w:t>和中国招标采购信息网</w:t>
      </w:r>
      <w:r>
        <w:rPr>
          <w:rFonts w:hint="eastAsia" w:ascii="仿宋" w:hAnsi="仿宋"/>
          <w:bCs/>
          <w:color w:val="auto"/>
          <w:highlight w:val="none"/>
        </w:rPr>
        <w:t>上</w:t>
      </w:r>
      <w:r>
        <w:rPr>
          <w:rFonts w:hint="eastAsia"/>
          <w:bCs/>
          <w:color w:val="auto"/>
          <w:highlight w:val="none"/>
        </w:rPr>
        <w:t>发布更正公告</w:t>
      </w:r>
      <w:r>
        <w:rPr>
          <w:rFonts w:hint="eastAsia" w:ascii="仿宋" w:hAnsi="仿宋"/>
          <w:color w:val="auto"/>
          <w:highlight w:val="none"/>
        </w:rPr>
        <w:t>；采用直接邀请方式的采购项目，应当</w:t>
      </w:r>
      <w:r>
        <w:rPr>
          <w:rFonts w:hint="eastAsia" w:ascii="仿宋" w:hAnsi="仿宋"/>
          <w:bCs/>
          <w:color w:val="auto"/>
          <w:highlight w:val="none"/>
        </w:rPr>
        <w:t>以书面</w:t>
      </w:r>
      <w:r>
        <w:rPr>
          <w:rFonts w:hint="eastAsia" w:ascii="仿宋" w:hAnsi="仿宋"/>
          <w:color w:val="auto"/>
          <w:highlight w:val="none"/>
        </w:rPr>
        <w:t>形式，将澄清或者修改的内容通知所有获取了询比文件的供应商。</w:t>
      </w:r>
    </w:p>
    <w:p w14:paraId="648AFAE8">
      <w:pPr>
        <w:pStyle w:val="5"/>
        <w:keepNext w:val="0"/>
        <w:keepLines w:val="0"/>
        <w:spacing w:before="0" w:after="0" w:line="360" w:lineRule="auto"/>
        <w:ind w:firstLine="482" w:firstLineChars="200"/>
        <w:rPr>
          <w:rFonts w:hint="eastAsia" w:ascii="仿宋" w:hAnsi="仿宋"/>
          <w:color w:val="auto"/>
          <w:sz w:val="24"/>
          <w:highlight w:val="none"/>
        </w:rPr>
      </w:pPr>
      <w:bookmarkStart w:id="49" w:name="_Toc217446041"/>
      <w:bookmarkStart w:id="50" w:name="_Toc208848971"/>
      <w:r>
        <w:rPr>
          <w:rFonts w:hint="eastAsia" w:ascii="仿宋" w:hAnsi="仿宋"/>
          <w:color w:val="auto"/>
          <w:sz w:val="24"/>
          <w:highlight w:val="none"/>
        </w:rPr>
        <w:t>12. 答疑会和现场考察</w:t>
      </w:r>
      <w:bookmarkEnd w:id="49"/>
      <w:bookmarkEnd w:id="50"/>
    </w:p>
    <w:p w14:paraId="42C871EB">
      <w:pPr>
        <w:adjustRightInd w:val="0"/>
        <w:snapToGrid w:val="0"/>
        <w:ind w:firstLine="420" w:firstLineChars="175"/>
        <w:rPr>
          <w:rFonts w:hint="eastAsia" w:ascii="仿宋" w:hAnsi="仿宋"/>
          <w:color w:val="auto"/>
          <w:highlight w:val="none"/>
        </w:rPr>
      </w:pPr>
      <w:bookmarkStart w:id="51" w:name="_Toc89075876"/>
      <w:bookmarkStart w:id="52" w:name="_Toc217446042"/>
      <w:bookmarkStart w:id="53" w:name="_Toc77400780"/>
      <w:bookmarkStart w:id="54" w:name="_Toc183682351"/>
      <w:bookmarkStart w:id="55" w:name="_Toc183582214"/>
      <w:r>
        <w:rPr>
          <w:rFonts w:hint="eastAsia" w:ascii="仿宋" w:hAnsi="仿宋"/>
          <w:color w:val="auto"/>
          <w:highlight w:val="none"/>
        </w:rPr>
        <w:t>本项目不组织。</w:t>
      </w:r>
    </w:p>
    <w:p w14:paraId="1EC723D5">
      <w:pPr>
        <w:pStyle w:val="4"/>
        <w:keepNext w:val="0"/>
        <w:keepLines w:val="0"/>
        <w:spacing w:before="0" w:after="0" w:line="360" w:lineRule="auto"/>
        <w:jc w:val="center"/>
        <w:rPr>
          <w:rFonts w:hint="eastAsia" w:ascii="仿宋" w:hAnsi="仿宋" w:eastAsia="仿宋"/>
          <w:bCs w:val="0"/>
          <w:color w:val="auto"/>
          <w:highlight w:val="none"/>
        </w:rPr>
      </w:pPr>
      <w:r>
        <w:rPr>
          <w:rFonts w:hint="eastAsia" w:ascii="仿宋" w:hAnsi="仿宋" w:eastAsia="仿宋"/>
          <w:bCs w:val="0"/>
          <w:color w:val="auto"/>
          <w:highlight w:val="none"/>
        </w:rPr>
        <w:t>四、响应文件</w:t>
      </w:r>
      <w:bookmarkEnd w:id="51"/>
      <w:bookmarkEnd w:id="52"/>
      <w:bookmarkEnd w:id="53"/>
      <w:bookmarkEnd w:id="54"/>
      <w:bookmarkEnd w:id="55"/>
      <w:bookmarkStart w:id="56" w:name="_Toc217446043"/>
      <w:bookmarkStart w:id="57" w:name="_Toc183582215"/>
      <w:bookmarkStart w:id="58" w:name="_Toc183682352"/>
    </w:p>
    <w:p w14:paraId="58B66597">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13.响应文件的组成</w:t>
      </w:r>
    </w:p>
    <w:p w14:paraId="68642912">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供应商应按照询比文件的规定和要求编制响应文件。</w:t>
      </w:r>
    </w:p>
    <w:p w14:paraId="658881DC">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14.响应文件的语言</w:t>
      </w:r>
      <w:bookmarkEnd w:id="56"/>
      <w:bookmarkEnd w:id="57"/>
      <w:bookmarkEnd w:id="58"/>
      <w:r>
        <w:rPr>
          <w:rFonts w:hint="eastAsia" w:ascii="仿宋" w:hAnsi="仿宋"/>
          <w:color w:val="auto"/>
          <w:sz w:val="24"/>
          <w:highlight w:val="none"/>
        </w:rPr>
        <w:t>（实质性要求）</w:t>
      </w:r>
    </w:p>
    <w:p w14:paraId="40EACB75">
      <w:pPr>
        <w:tabs>
          <w:tab w:val="left" w:pos="7665"/>
        </w:tabs>
        <w:overflowPunct w:val="0"/>
        <w:autoSpaceDE w:val="0"/>
        <w:autoSpaceDN w:val="0"/>
        <w:ind w:firstLine="480" w:firstLineChars="200"/>
        <w:rPr>
          <w:rFonts w:hint="eastAsia" w:ascii="仿宋" w:hAnsi="仿宋"/>
          <w:color w:val="auto"/>
          <w:highlight w:val="none"/>
        </w:rPr>
      </w:pPr>
      <w:r>
        <w:rPr>
          <w:rFonts w:hint="eastAsia" w:ascii="仿宋" w:hAnsi="仿宋"/>
          <w:color w:val="auto"/>
          <w:highlight w:val="none"/>
        </w:rPr>
        <w:t>14.1供应商提交的响应文件以及供应商与采购组织单位就有关询比采购的所有来往书面文件均须使用中文。响应文件中如附有外文资料，必须逐一对应翻译成中文并加盖响应人公章后附在相关外文资料后面，否则，所提供的外文资料将可能被视为无效材料。（说明：供应商的法定代表人为外籍人士的，法定代表人的签字和护照除外。不适宜以中文表述或者已经形成国际惯例的标准、符号、范本、证书证件除外）。</w:t>
      </w:r>
    </w:p>
    <w:p w14:paraId="0A8C2EFC">
      <w:pPr>
        <w:tabs>
          <w:tab w:val="left" w:pos="1134"/>
        </w:tabs>
        <w:ind w:firstLine="480" w:firstLineChars="200"/>
        <w:jc w:val="left"/>
        <w:rPr>
          <w:rFonts w:hint="eastAsia" w:ascii="仿宋" w:hAnsi="仿宋"/>
          <w:color w:val="auto"/>
          <w:highlight w:val="none"/>
        </w:rPr>
      </w:pPr>
      <w:r>
        <w:rPr>
          <w:rFonts w:hint="eastAsia" w:ascii="仿宋" w:hAnsi="仿宋"/>
          <w:color w:val="auto"/>
          <w:highlight w:val="none"/>
        </w:rPr>
        <w:t>14.2 翻译的中文资料与外文资料如果出现差异和矛盾时，以中文为准。涉嫌虚假响应的按照相关法律法规处理。</w:t>
      </w:r>
    </w:p>
    <w:p w14:paraId="3EF3271B">
      <w:pPr>
        <w:ind w:firstLine="480" w:firstLineChars="200"/>
        <w:rPr>
          <w:rFonts w:hint="eastAsia" w:ascii="仿宋" w:hAnsi="仿宋" w:cs="宋体"/>
          <w:color w:val="auto"/>
          <w:highlight w:val="none"/>
        </w:rPr>
      </w:pPr>
      <w:r>
        <w:rPr>
          <w:rFonts w:hint="eastAsia" w:ascii="仿宋" w:hAnsi="仿宋" w:cs="宋体"/>
          <w:color w:val="auto"/>
          <w:highlight w:val="none"/>
        </w:rPr>
        <w:t>14.3 如因未翻译而造成的响应文件无效风险，由供应商承担。</w:t>
      </w:r>
    </w:p>
    <w:p w14:paraId="112FFB12">
      <w:pPr>
        <w:pStyle w:val="5"/>
        <w:keepNext w:val="0"/>
        <w:keepLines w:val="0"/>
        <w:spacing w:before="0" w:after="0" w:line="360" w:lineRule="auto"/>
        <w:ind w:firstLine="482" w:firstLineChars="200"/>
        <w:rPr>
          <w:rFonts w:hint="eastAsia" w:ascii="仿宋" w:hAnsi="仿宋"/>
          <w:color w:val="auto"/>
          <w:sz w:val="24"/>
          <w:highlight w:val="none"/>
        </w:rPr>
      </w:pPr>
      <w:bookmarkStart w:id="59" w:name="_Toc183682353"/>
      <w:bookmarkStart w:id="60" w:name="_Toc183582216"/>
      <w:bookmarkStart w:id="61" w:name="_Toc217446044"/>
      <w:r>
        <w:rPr>
          <w:rFonts w:hint="eastAsia" w:ascii="仿宋" w:hAnsi="仿宋"/>
          <w:color w:val="auto"/>
          <w:sz w:val="24"/>
          <w:highlight w:val="none"/>
        </w:rPr>
        <w:t>15．计量单位</w:t>
      </w:r>
      <w:bookmarkEnd w:id="59"/>
      <w:bookmarkEnd w:id="60"/>
      <w:bookmarkEnd w:id="61"/>
    </w:p>
    <w:p w14:paraId="78BFA738">
      <w:pPr>
        <w:ind w:firstLine="470" w:firstLineChars="196"/>
        <w:rPr>
          <w:rFonts w:hint="eastAsia" w:ascii="仿宋" w:hAnsi="仿宋"/>
          <w:color w:val="auto"/>
          <w:highlight w:val="none"/>
        </w:rPr>
      </w:pPr>
      <w:r>
        <w:rPr>
          <w:rFonts w:hint="eastAsia" w:ascii="仿宋" w:hAnsi="仿宋"/>
          <w:color w:val="auto"/>
          <w:highlight w:val="none"/>
        </w:rPr>
        <w:t>除询比文件中另有规定外，本次采购项目所有合同项下的报价均采用国家法定的计量单位。</w:t>
      </w:r>
      <w:bookmarkStart w:id="62" w:name="_Toc217446045"/>
    </w:p>
    <w:bookmarkEnd w:id="62"/>
    <w:p w14:paraId="6B7F0CB2">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16. 报价（实质性要求）</w:t>
      </w:r>
    </w:p>
    <w:p w14:paraId="04170486">
      <w:pPr>
        <w:ind w:firstLine="480" w:firstLineChars="200"/>
        <w:rPr>
          <w:rFonts w:hint="eastAsia" w:ascii="仿宋" w:hAnsi="仿宋"/>
          <w:bCs/>
          <w:color w:val="auto"/>
          <w:highlight w:val="none"/>
        </w:rPr>
      </w:pPr>
      <w:r>
        <w:rPr>
          <w:rFonts w:hint="eastAsia" w:ascii="仿宋" w:hAnsi="仿宋"/>
          <w:bCs/>
          <w:color w:val="auto"/>
          <w:highlight w:val="none"/>
        </w:rPr>
        <w:t>16.1本次询比项目的报价货币为人民币，报价以询比文件规定为准。</w:t>
      </w:r>
    </w:p>
    <w:p w14:paraId="021545E6">
      <w:pPr>
        <w:ind w:firstLine="480" w:firstLineChars="200"/>
        <w:rPr>
          <w:rFonts w:hint="eastAsia" w:ascii="仿宋" w:hAnsi="仿宋"/>
          <w:bCs/>
          <w:color w:val="auto"/>
          <w:highlight w:val="none"/>
        </w:rPr>
      </w:pPr>
      <w:r>
        <w:rPr>
          <w:rFonts w:hint="eastAsia" w:ascii="仿宋" w:hAnsi="仿宋"/>
          <w:bCs/>
          <w:color w:val="auto"/>
          <w:highlight w:val="none"/>
        </w:rPr>
        <w:t>16.2 报价不得超过采购预算或最高限价。</w:t>
      </w:r>
    </w:p>
    <w:p w14:paraId="05274B65">
      <w:pPr>
        <w:ind w:firstLine="468" w:firstLineChars="195"/>
        <w:rPr>
          <w:rFonts w:hint="eastAsia" w:ascii="仿宋" w:hAnsi="仿宋"/>
          <w:b/>
          <w:bCs/>
          <w:color w:val="auto"/>
          <w:highlight w:val="none"/>
        </w:rPr>
      </w:pPr>
      <w:r>
        <w:rPr>
          <w:rFonts w:hint="eastAsia" w:ascii="仿宋" w:hAnsi="仿宋"/>
          <w:color w:val="auto"/>
          <w:highlight w:val="none"/>
        </w:rPr>
        <w:t>16.3供应商只允许有一个报价，任何有选择或可调整的报价将不予接受，并按无效报价处理</w:t>
      </w:r>
      <w:r>
        <w:rPr>
          <w:rFonts w:hint="eastAsia" w:ascii="仿宋" w:hAnsi="仿宋"/>
          <w:b/>
          <w:bCs/>
          <w:color w:val="auto"/>
          <w:highlight w:val="none"/>
        </w:rPr>
        <w:t>。</w:t>
      </w:r>
    </w:p>
    <w:p w14:paraId="4F841611">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17.响应文件格式</w:t>
      </w:r>
    </w:p>
    <w:p w14:paraId="194F79BD">
      <w:pPr>
        <w:ind w:left="2" w:leftChars="1" w:firstLine="480" w:firstLineChars="200"/>
        <w:rPr>
          <w:rFonts w:hint="eastAsia" w:ascii="仿宋" w:hAnsi="仿宋"/>
          <w:color w:val="auto"/>
          <w:highlight w:val="none"/>
        </w:rPr>
      </w:pPr>
      <w:r>
        <w:rPr>
          <w:rFonts w:hint="eastAsia" w:ascii="仿宋" w:hAnsi="仿宋"/>
          <w:color w:val="auto"/>
          <w:highlight w:val="none"/>
        </w:rPr>
        <w:t>17.1 供应商应执行询比文件第五章的规定要求。</w:t>
      </w:r>
    </w:p>
    <w:p w14:paraId="18FDFD9C">
      <w:pPr>
        <w:ind w:left="2" w:leftChars="1" w:firstLine="480" w:firstLineChars="200"/>
        <w:rPr>
          <w:rFonts w:hint="eastAsia" w:ascii="仿宋" w:hAnsi="仿宋"/>
          <w:color w:val="auto"/>
          <w:highlight w:val="none"/>
        </w:rPr>
      </w:pPr>
      <w:r>
        <w:rPr>
          <w:rFonts w:hint="eastAsia" w:ascii="仿宋" w:hAnsi="仿宋"/>
          <w:color w:val="auto"/>
          <w:highlight w:val="none"/>
        </w:rPr>
        <w:t>17.2 对于没有格式要求的响应文件由供应商自行编写。</w:t>
      </w:r>
      <w:bookmarkStart w:id="63" w:name="_Toc183582224"/>
      <w:bookmarkStart w:id="64" w:name="_Toc217446051"/>
      <w:bookmarkStart w:id="65" w:name="_Toc183682361"/>
    </w:p>
    <w:p w14:paraId="62F71B1E">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18.响应文件的编制和签署</w:t>
      </w:r>
    </w:p>
    <w:bookmarkEnd w:id="63"/>
    <w:bookmarkEnd w:id="64"/>
    <w:bookmarkEnd w:id="65"/>
    <w:p w14:paraId="3CD838BF">
      <w:pPr>
        <w:ind w:firstLine="470" w:firstLineChars="196"/>
        <w:rPr>
          <w:rFonts w:hint="eastAsia" w:ascii="仿宋" w:hAnsi="仿宋"/>
          <w:color w:val="auto"/>
          <w:highlight w:val="none"/>
        </w:rPr>
      </w:pPr>
      <w:bookmarkStart w:id="66" w:name="_Toc217446053"/>
      <w:bookmarkStart w:id="67" w:name="_Toc89075877"/>
      <w:bookmarkStart w:id="68" w:name="_Toc77400781"/>
      <w:bookmarkStart w:id="69" w:name="_Toc183582226"/>
      <w:bookmarkStart w:id="70" w:name="_Toc183682363"/>
      <w:r>
        <w:rPr>
          <w:rFonts w:hint="eastAsia" w:ascii="仿宋" w:hAnsi="仿宋"/>
          <w:color w:val="auto"/>
          <w:highlight w:val="none"/>
        </w:rPr>
        <w:t>18.1</w:t>
      </w:r>
      <w:r>
        <w:rPr>
          <w:rFonts w:hint="eastAsia" w:ascii="仿宋" w:hAnsi="仿宋"/>
          <w:b/>
          <w:bCs/>
          <w:color w:val="auto"/>
          <w:highlight w:val="none"/>
        </w:rPr>
        <w:t>响应文件正本</w:t>
      </w:r>
      <w:r>
        <w:rPr>
          <w:rFonts w:ascii="仿宋" w:hAnsi="仿宋"/>
          <w:b/>
          <w:bCs/>
          <w:color w:val="auto"/>
          <w:highlight w:val="none"/>
        </w:rPr>
        <w:t>1</w:t>
      </w:r>
      <w:r>
        <w:rPr>
          <w:rFonts w:hint="eastAsia" w:ascii="仿宋" w:hAnsi="仿宋"/>
          <w:b/>
          <w:bCs/>
          <w:color w:val="auto"/>
          <w:highlight w:val="none"/>
        </w:rPr>
        <w:t>份，副本2份，电子文档（U盘1份）</w:t>
      </w:r>
      <w:r>
        <w:rPr>
          <w:rFonts w:hint="eastAsia" w:ascii="仿宋" w:hAnsi="仿宋"/>
          <w:b/>
          <w:bCs/>
          <w:color w:val="auto"/>
          <w:highlight w:val="none"/>
          <w:lang w:eastAsia="zh-CN"/>
        </w:rPr>
        <w:t>，</w:t>
      </w:r>
      <w:r>
        <w:rPr>
          <w:rFonts w:hint="eastAsia" w:ascii="仿宋" w:hAnsi="仿宋" w:eastAsia="仿宋" w:cs="仿宋"/>
          <w:b/>
          <w:bCs/>
          <w:color w:val="auto"/>
          <w:sz w:val="24"/>
          <w:highlight w:val="none"/>
        </w:rPr>
        <w:t>以及用于</w:t>
      </w:r>
      <w:r>
        <w:rPr>
          <w:rFonts w:hint="eastAsia" w:ascii="仿宋" w:hAnsi="仿宋" w:cs="仿宋"/>
          <w:b/>
          <w:bCs/>
          <w:color w:val="auto"/>
          <w:sz w:val="24"/>
          <w:highlight w:val="none"/>
          <w:lang w:val="en-US" w:eastAsia="zh-CN"/>
        </w:rPr>
        <w:t>现场宣读的</w:t>
      </w:r>
      <w:r>
        <w:rPr>
          <w:rFonts w:hint="eastAsia" w:ascii="仿宋" w:hAnsi="仿宋" w:eastAsia="仿宋" w:cs="仿宋"/>
          <w:b/>
          <w:bCs/>
          <w:color w:val="auto"/>
          <w:sz w:val="24"/>
          <w:highlight w:val="none"/>
        </w:rPr>
        <w:t>单独提交的“</w:t>
      </w:r>
      <w:r>
        <w:rPr>
          <w:rFonts w:hint="eastAsia" w:ascii="仿宋" w:hAnsi="仿宋" w:cs="仿宋"/>
          <w:b/>
          <w:bCs/>
          <w:color w:val="auto"/>
          <w:sz w:val="24"/>
          <w:highlight w:val="none"/>
          <w:lang w:val="en-US" w:eastAsia="zh-CN"/>
        </w:rPr>
        <w:t>报价一览表</w:t>
      </w:r>
      <w:r>
        <w:rPr>
          <w:rFonts w:hint="eastAsia" w:ascii="仿宋" w:hAnsi="仿宋" w:eastAsia="仿宋" w:cs="仿宋"/>
          <w:b/>
          <w:bCs/>
          <w:color w:val="auto"/>
          <w:sz w:val="24"/>
          <w:highlight w:val="none"/>
        </w:rPr>
        <w:t>”1份</w:t>
      </w:r>
      <w:r>
        <w:rPr>
          <w:rFonts w:hint="eastAsia" w:ascii="仿宋" w:hAnsi="仿宋"/>
          <w:b/>
          <w:bCs/>
          <w:color w:val="auto"/>
          <w:highlight w:val="none"/>
        </w:rPr>
        <w:t>。</w:t>
      </w:r>
      <w:r>
        <w:rPr>
          <w:rFonts w:hint="eastAsia" w:ascii="仿宋" w:hAnsi="仿宋"/>
          <w:color w:val="auto"/>
          <w:highlight w:val="none"/>
        </w:rPr>
        <w:t>正本和副本应在其封面右上角清楚地标明“正本”或“副本”字样，电子档标明“电子文档”。若正本和副本有不一致的内容，以正本书面响应文件为准。</w:t>
      </w:r>
    </w:p>
    <w:p w14:paraId="4E05D1F9">
      <w:pPr>
        <w:ind w:firstLine="470" w:firstLineChars="196"/>
        <w:rPr>
          <w:rFonts w:hint="eastAsia" w:ascii="仿宋" w:hAnsi="仿宋"/>
          <w:color w:val="auto"/>
          <w:highlight w:val="none"/>
        </w:rPr>
      </w:pPr>
      <w:r>
        <w:rPr>
          <w:rFonts w:hint="eastAsia" w:ascii="仿宋" w:hAnsi="仿宋"/>
          <w:color w:val="auto"/>
          <w:highlight w:val="none"/>
        </w:rPr>
        <w:t>18.2 响应文件正本、副本应在封面上清楚的标明响应文件、采购项目名称、采购项目编号、包件号及名称（若有）、供应商名称以及“正本”或“副本”字样。若正本和副本有不一致的内容，以正本书面响应文件为准。</w:t>
      </w:r>
    </w:p>
    <w:p w14:paraId="50552E73">
      <w:pPr>
        <w:ind w:firstLine="470" w:firstLineChars="196"/>
        <w:rPr>
          <w:rFonts w:hint="eastAsia" w:ascii="仿宋" w:hAnsi="仿宋"/>
          <w:b/>
          <w:bCs/>
          <w:color w:val="auto"/>
          <w:highlight w:val="none"/>
        </w:rPr>
      </w:pPr>
      <w:r>
        <w:rPr>
          <w:rFonts w:hint="eastAsia" w:ascii="仿宋" w:hAnsi="仿宋"/>
          <w:color w:val="auto"/>
          <w:highlight w:val="none"/>
        </w:rPr>
        <w:t>18.3响应文件正本和副本均需打印或用不褪色、不变质的墨水书写，并在规定签章处签字和盖章。响应文件副本可采用正本的复印件。</w:t>
      </w:r>
      <w:r>
        <w:rPr>
          <w:rFonts w:hint="eastAsia" w:ascii="仿宋" w:hAnsi="仿宋" w:eastAsia="仿宋" w:cs="仿宋"/>
          <w:b/>
          <w:bCs/>
          <w:color w:val="auto"/>
          <w:sz w:val="24"/>
          <w:highlight w:val="none"/>
        </w:rPr>
        <w:t>用于开标唱标单独提交的“开标一览表”应为原件。</w:t>
      </w:r>
    </w:p>
    <w:p w14:paraId="6EE3C851">
      <w:pPr>
        <w:tabs>
          <w:tab w:val="left" w:pos="1095"/>
        </w:tabs>
        <w:ind w:firstLine="460" w:firstLineChars="192"/>
        <w:rPr>
          <w:rFonts w:hint="eastAsia" w:ascii="仿宋" w:hAnsi="仿宋"/>
          <w:color w:val="auto"/>
          <w:highlight w:val="none"/>
        </w:rPr>
      </w:pPr>
      <w:r>
        <w:rPr>
          <w:rFonts w:hint="eastAsia" w:ascii="仿宋" w:hAnsi="仿宋"/>
          <w:color w:val="auto"/>
          <w:highlight w:val="none"/>
        </w:rPr>
        <w:t>18.4响应文件的打印和书写应清楚工整，任何行间插字、涂改或增删，必须由供应商的法定代表人或其授权代表签字或盖供应商公章。字迹潦草、表达不清或可能导致非唯一理解的响应文件可能被作为无效处理。</w:t>
      </w:r>
    </w:p>
    <w:p w14:paraId="3388C3C3">
      <w:pPr>
        <w:tabs>
          <w:tab w:val="left" w:pos="1080"/>
        </w:tabs>
        <w:ind w:firstLine="460" w:firstLineChars="192"/>
        <w:rPr>
          <w:rFonts w:hint="eastAsia" w:ascii="仿宋" w:hAnsi="仿宋"/>
          <w:color w:val="auto"/>
          <w:highlight w:val="none"/>
        </w:rPr>
      </w:pPr>
      <w:r>
        <w:rPr>
          <w:rFonts w:hint="eastAsia" w:ascii="仿宋" w:hAnsi="仿宋"/>
          <w:color w:val="auto"/>
          <w:highlight w:val="none"/>
        </w:rPr>
        <w:t>18.5响应文件应由供应商法定代表人/本人或其授权代表在响应文件要求的地方签字</w:t>
      </w:r>
      <w:r>
        <w:rPr>
          <w:rFonts w:hint="eastAsia" w:ascii="仿宋" w:hAnsi="仿宋"/>
          <w:bCs/>
          <w:color w:val="auto"/>
          <w:highlight w:val="none"/>
        </w:rPr>
        <w:t>（注：</w:t>
      </w:r>
      <w:r>
        <w:rPr>
          <w:rFonts w:hint="eastAsia" w:ascii="仿宋" w:hAnsi="仿宋"/>
          <w:color w:val="auto"/>
          <w:highlight w:val="none"/>
        </w:rPr>
        <w:t>供应商为法人的，应当由其法定代表人或者</w:t>
      </w:r>
      <w:r>
        <w:rPr>
          <w:rFonts w:hint="eastAsia" w:ascii="仿宋" w:hAnsi="仿宋"/>
          <w:bCs/>
          <w:color w:val="auto"/>
          <w:highlight w:val="none"/>
        </w:rPr>
        <w:t>授权代表</w:t>
      </w:r>
      <w:r>
        <w:rPr>
          <w:rFonts w:hint="eastAsia" w:ascii="仿宋" w:hAnsi="仿宋"/>
          <w:color w:val="auto"/>
          <w:highlight w:val="none"/>
        </w:rPr>
        <w:t>签字确认；供应商为其他组织的，应当由其主要负责人或者</w:t>
      </w:r>
      <w:r>
        <w:rPr>
          <w:rFonts w:hint="eastAsia" w:ascii="仿宋" w:hAnsi="仿宋"/>
          <w:bCs/>
          <w:color w:val="auto"/>
          <w:highlight w:val="none"/>
        </w:rPr>
        <w:t>授权代表</w:t>
      </w:r>
      <w:r>
        <w:rPr>
          <w:rFonts w:hint="eastAsia" w:ascii="仿宋" w:hAnsi="仿宋"/>
          <w:color w:val="auto"/>
          <w:highlight w:val="none"/>
        </w:rPr>
        <w:t>签字确认；供应商为自然人的，应当由其本人或者</w:t>
      </w:r>
      <w:r>
        <w:rPr>
          <w:rFonts w:hint="eastAsia" w:ascii="仿宋" w:hAnsi="仿宋"/>
          <w:bCs/>
          <w:color w:val="auto"/>
          <w:highlight w:val="none"/>
        </w:rPr>
        <w:t>授权代表</w:t>
      </w:r>
      <w:r>
        <w:rPr>
          <w:rFonts w:hint="eastAsia" w:ascii="仿宋" w:hAnsi="仿宋"/>
          <w:color w:val="auto"/>
          <w:highlight w:val="none"/>
        </w:rPr>
        <w:t>签字确认</w:t>
      </w:r>
      <w:r>
        <w:rPr>
          <w:rFonts w:hint="eastAsia" w:ascii="仿宋" w:hAnsi="仿宋"/>
          <w:bCs/>
          <w:color w:val="auto"/>
          <w:highlight w:val="none"/>
        </w:rPr>
        <w:t>）或加盖私人印章</w:t>
      </w:r>
      <w:r>
        <w:rPr>
          <w:rFonts w:hint="eastAsia" w:ascii="仿宋" w:hAnsi="仿宋"/>
          <w:color w:val="auto"/>
          <w:highlight w:val="none"/>
        </w:rPr>
        <w:t>，要求加盖公章的地方加盖单位公章，不得使用专用章（如经济合同章、投标专用章等）或下属单位印章代替。</w:t>
      </w:r>
    </w:p>
    <w:p w14:paraId="20CADEE4">
      <w:pPr>
        <w:tabs>
          <w:tab w:val="left" w:pos="1080"/>
        </w:tabs>
        <w:ind w:firstLine="460" w:firstLineChars="192"/>
        <w:rPr>
          <w:rFonts w:hint="eastAsia" w:ascii="仿宋" w:hAnsi="仿宋"/>
          <w:color w:val="auto"/>
          <w:highlight w:val="none"/>
        </w:rPr>
      </w:pPr>
      <w:r>
        <w:rPr>
          <w:rFonts w:hint="eastAsia" w:ascii="仿宋" w:hAnsi="仿宋"/>
          <w:color w:val="auto"/>
          <w:highlight w:val="none"/>
        </w:rPr>
        <w:t>18.6响应文件正本和副本需要逐页编码。</w:t>
      </w:r>
    </w:p>
    <w:p w14:paraId="21D59C82">
      <w:pPr>
        <w:tabs>
          <w:tab w:val="left" w:pos="1080"/>
        </w:tabs>
        <w:ind w:firstLine="460" w:firstLineChars="192"/>
        <w:rPr>
          <w:rFonts w:hint="eastAsia" w:ascii="仿宋" w:hAnsi="仿宋"/>
          <w:color w:val="auto"/>
          <w:highlight w:val="none"/>
        </w:rPr>
      </w:pPr>
      <w:r>
        <w:rPr>
          <w:rFonts w:hint="eastAsia" w:ascii="仿宋" w:hAnsi="仿宋"/>
          <w:color w:val="auto"/>
          <w:highlight w:val="none"/>
        </w:rPr>
        <w:t>18.7响应文件正本和副本应当采用胶装方式装订成册，不得散装或者合页装订。</w:t>
      </w:r>
    </w:p>
    <w:p w14:paraId="1AE1EC3D">
      <w:pPr>
        <w:tabs>
          <w:tab w:val="left" w:pos="1080"/>
        </w:tabs>
        <w:ind w:firstLine="460" w:firstLineChars="192"/>
        <w:rPr>
          <w:rFonts w:hint="eastAsia" w:ascii="仿宋" w:hAnsi="仿宋"/>
          <w:color w:val="auto"/>
          <w:highlight w:val="none"/>
        </w:rPr>
      </w:pPr>
      <w:r>
        <w:rPr>
          <w:rFonts w:hint="eastAsia" w:ascii="仿宋" w:hAnsi="仿宋"/>
          <w:color w:val="auto"/>
          <w:highlight w:val="none"/>
        </w:rPr>
        <w:t>18.8除询比文件另有规定外，响应文件应根据询比文件的要求签署、盖章（均指加盖鲜章）。</w:t>
      </w:r>
    </w:p>
    <w:p w14:paraId="68309ECC">
      <w:pPr>
        <w:tabs>
          <w:tab w:val="left" w:pos="1080"/>
        </w:tabs>
        <w:ind w:firstLine="460" w:firstLineChars="192"/>
        <w:rPr>
          <w:rFonts w:hint="eastAsia" w:ascii="仿宋" w:hAnsi="仿宋"/>
          <w:color w:val="auto"/>
          <w:highlight w:val="none"/>
        </w:rPr>
      </w:pPr>
      <w:r>
        <w:rPr>
          <w:rFonts w:hint="eastAsia" w:ascii="仿宋" w:hAnsi="仿宋"/>
          <w:color w:val="auto"/>
          <w:highlight w:val="none"/>
        </w:rPr>
        <w:t>18.9响应文件应根据询比文件的要求盖章（除询比文件另有规定外，均指加盖单位公章）。</w:t>
      </w:r>
    </w:p>
    <w:p w14:paraId="2C48F29E">
      <w:pPr>
        <w:tabs>
          <w:tab w:val="left" w:pos="1080"/>
        </w:tabs>
        <w:ind w:firstLine="460" w:firstLineChars="192"/>
        <w:rPr>
          <w:rFonts w:hint="eastAsia" w:ascii="仿宋" w:hAnsi="仿宋"/>
          <w:color w:val="auto"/>
          <w:highlight w:val="none"/>
        </w:rPr>
      </w:pPr>
      <w:r>
        <w:rPr>
          <w:rFonts w:hint="eastAsia" w:ascii="仿宋" w:hAnsi="仿宋"/>
          <w:color w:val="auto"/>
          <w:highlight w:val="none"/>
        </w:rPr>
        <w:t>18.10除另有规定外，响应文件统一用A4幅面纸印制（图纸、报表除外），并自目录第一页开始按自然数逐页编码。</w:t>
      </w:r>
    </w:p>
    <w:p w14:paraId="05907091">
      <w:pPr>
        <w:pStyle w:val="5"/>
        <w:keepNext w:val="0"/>
        <w:keepLines w:val="0"/>
        <w:spacing w:before="0" w:after="0" w:line="360" w:lineRule="auto"/>
        <w:ind w:firstLine="482" w:firstLineChars="200"/>
        <w:rPr>
          <w:rFonts w:hint="eastAsia" w:ascii="仿宋" w:hAnsi="仿宋"/>
          <w:b w:val="0"/>
          <w:color w:val="auto"/>
          <w:sz w:val="24"/>
          <w:highlight w:val="none"/>
        </w:rPr>
      </w:pPr>
      <w:r>
        <w:rPr>
          <w:rFonts w:hint="eastAsia" w:ascii="仿宋" w:hAnsi="仿宋"/>
          <w:color w:val="auto"/>
          <w:sz w:val="24"/>
          <w:highlight w:val="none"/>
        </w:rPr>
        <w:t>19.响应文件的密封和标注</w:t>
      </w:r>
    </w:p>
    <w:p w14:paraId="113B2400">
      <w:pPr>
        <w:tabs>
          <w:tab w:val="left" w:pos="1080"/>
        </w:tabs>
        <w:ind w:firstLine="460" w:firstLineChars="192"/>
        <w:rPr>
          <w:rFonts w:hint="eastAsia" w:ascii="仿宋" w:hAnsi="仿宋"/>
          <w:color w:val="auto"/>
          <w:highlight w:val="none"/>
        </w:rPr>
      </w:pPr>
      <w:r>
        <w:rPr>
          <w:rFonts w:hint="eastAsia" w:ascii="仿宋" w:hAnsi="仿宋"/>
          <w:color w:val="auto"/>
          <w:highlight w:val="none"/>
        </w:rPr>
        <w:t>19.1 响应文件可以单独密封包装，也可以所有响应文件密封包装在一个密封袋内。</w:t>
      </w:r>
    </w:p>
    <w:p w14:paraId="24E0C5C1">
      <w:pPr>
        <w:tabs>
          <w:tab w:val="left" w:pos="1080"/>
        </w:tabs>
        <w:ind w:firstLine="460" w:firstLineChars="192"/>
        <w:rPr>
          <w:rFonts w:hint="eastAsia" w:ascii="仿宋" w:hAnsi="仿宋"/>
          <w:color w:val="auto"/>
          <w:highlight w:val="none"/>
        </w:rPr>
      </w:pPr>
      <w:r>
        <w:rPr>
          <w:rFonts w:hint="eastAsia" w:ascii="仿宋" w:hAnsi="仿宋"/>
          <w:color w:val="auto"/>
          <w:highlight w:val="none"/>
        </w:rPr>
        <w:t>19.2 响应文件密封袋的最外层应清楚地标明采购项目名称、采购编号、包件号及名称（如有）、供应商名称。</w:t>
      </w:r>
    </w:p>
    <w:p w14:paraId="5E0F47F7">
      <w:pPr>
        <w:tabs>
          <w:tab w:val="left" w:pos="1080"/>
        </w:tabs>
        <w:ind w:firstLine="460" w:firstLineChars="192"/>
        <w:rPr>
          <w:rFonts w:hint="eastAsia" w:ascii="仿宋" w:hAnsi="仿宋"/>
          <w:color w:val="auto"/>
          <w:highlight w:val="none"/>
        </w:rPr>
      </w:pPr>
      <w:r>
        <w:rPr>
          <w:rFonts w:hint="eastAsia" w:ascii="仿宋" w:hAnsi="仿宋"/>
          <w:color w:val="auto"/>
          <w:highlight w:val="none"/>
        </w:rPr>
        <w:t>19.3 所有外层密封袋的封口处应粘贴牢固。</w:t>
      </w:r>
    </w:p>
    <w:p w14:paraId="0B48BA2E">
      <w:pPr>
        <w:tabs>
          <w:tab w:val="left" w:pos="1080"/>
        </w:tabs>
        <w:ind w:firstLine="460" w:firstLineChars="192"/>
        <w:rPr>
          <w:rFonts w:hint="eastAsia" w:ascii="仿宋" w:hAnsi="仿宋"/>
          <w:color w:val="auto"/>
          <w:highlight w:val="none"/>
        </w:rPr>
      </w:pPr>
      <w:r>
        <w:rPr>
          <w:rFonts w:hint="eastAsia" w:ascii="仿宋" w:hAnsi="仿宋"/>
          <w:color w:val="auto"/>
          <w:highlight w:val="none"/>
        </w:rPr>
        <w:t>19.4 未密封的响应文件，采购人、采购代理机构将拒收或者在时间允许的范围内，要求修改完善后接收。</w:t>
      </w:r>
    </w:p>
    <w:p w14:paraId="001B3C53">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20.响应文件的递交</w:t>
      </w:r>
    </w:p>
    <w:p w14:paraId="2FE5E5D0">
      <w:pPr>
        <w:tabs>
          <w:tab w:val="left" w:pos="1080"/>
        </w:tabs>
        <w:ind w:firstLine="460" w:firstLineChars="192"/>
        <w:rPr>
          <w:rFonts w:hint="eastAsia" w:ascii="仿宋" w:hAnsi="仿宋"/>
          <w:color w:val="auto"/>
          <w:highlight w:val="none"/>
        </w:rPr>
      </w:pPr>
      <w:r>
        <w:rPr>
          <w:rFonts w:hint="eastAsia" w:ascii="仿宋" w:hAnsi="仿宋"/>
          <w:color w:val="auto"/>
          <w:highlight w:val="none"/>
        </w:rPr>
        <w:t>20.1响应文件应于递交响应文件截止时间前送达指定地点，采购代理机构拒绝接收截止时间后送达的响应文件。</w:t>
      </w:r>
    </w:p>
    <w:p w14:paraId="21AE361B">
      <w:pPr>
        <w:tabs>
          <w:tab w:val="left" w:pos="1080"/>
        </w:tabs>
        <w:ind w:firstLine="460" w:firstLineChars="192"/>
        <w:rPr>
          <w:rFonts w:hint="eastAsia" w:ascii="仿宋" w:hAnsi="仿宋"/>
          <w:color w:val="auto"/>
          <w:highlight w:val="none"/>
        </w:rPr>
      </w:pPr>
      <w:r>
        <w:rPr>
          <w:rFonts w:hint="eastAsia" w:ascii="仿宋" w:hAnsi="仿宋"/>
          <w:color w:val="auto"/>
          <w:highlight w:val="none"/>
        </w:rPr>
        <w:t>20.2 本次采购不接收邮寄的响应文件。</w:t>
      </w:r>
    </w:p>
    <w:bookmarkEnd w:id="66"/>
    <w:bookmarkEnd w:id="67"/>
    <w:bookmarkEnd w:id="68"/>
    <w:bookmarkEnd w:id="69"/>
    <w:bookmarkEnd w:id="70"/>
    <w:p w14:paraId="335E6DFF">
      <w:pPr>
        <w:pStyle w:val="5"/>
        <w:keepNext w:val="0"/>
        <w:keepLines w:val="0"/>
        <w:spacing w:before="0" w:after="0" w:line="360" w:lineRule="auto"/>
        <w:ind w:firstLine="482" w:firstLineChars="200"/>
        <w:rPr>
          <w:rFonts w:hint="eastAsia" w:ascii="仿宋" w:hAnsi="仿宋"/>
          <w:color w:val="auto"/>
          <w:sz w:val="24"/>
          <w:highlight w:val="none"/>
        </w:rPr>
      </w:pPr>
      <w:bookmarkStart w:id="71" w:name="_Toc183682365"/>
      <w:bookmarkStart w:id="72" w:name="_Toc217446055"/>
      <w:bookmarkStart w:id="73" w:name="_Toc183582228"/>
      <w:r>
        <w:rPr>
          <w:rFonts w:hint="eastAsia" w:ascii="仿宋" w:hAnsi="仿宋"/>
          <w:color w:val="auto"/>
          <w:sz w:val="24"/>
          <w:highlight w:val="none"/>
        </w:rPr>
        <w:t>21.响应文件的修改和撤回（补充、修改响应文件的密封和标注按照本章“19.响应文件的密封和标注”规定处理）</w:t>
      </w:r>
    </w:p>
    <w:p w14:paraId="48AE8E5A">
      <w:pPr>
        <w:pStyle w:val="8"/>
        <w:ind w:firstLine="480"/>
        <w:rPr>
          <w:rFonts w:hint="eastAsia" w:ascii="仿宋" w:hAnsi="仿宋"/>
          <w:color w:val="auto"/>
          <w:highlight w:val="none"/>
        </w:rPr>
      </w:pPr>
      <w:r>
        <w:rPr>
          <w:rFonts w:hint="eastAsia" w:ascii="仿宋" w:hAnsi="仿宋"/>
          <w:color w:val="auto"/>
          <w:highlight w:val="none"/>
        </w:rPr>
        <w:t>21</w:t>
      </w:r>
      <w:r>
        <w:rPr>
          <w:rFonts w:ascii="仿宋" w:hAnsi="仿宋"/>
          <w:color w:val="auto"/>
          <w:highlight w:val="none"/>
        </w:rPr>
        <w:t>.</w:t>
      </w:r>
      <w:r>
        <w:rPr>
          <w:rFonts w:hint="eastAsia" w:ascii="仿宋" w:hAnsi="仿宋"/>
          <w:color w:val="auto"/>
          <w:highlight w:val="none"/>
        </w:rPr>
        <w:t>1供应商在提交响应文件后可对其响应文件进行修改或撤回，但该修改或撤回的书面通知须在递交截止时间之前送达采购代理机构，补充、修改的内容作为响应文件的组成部分。且该通知需经正式授权的供应商代表签字方为有效。 供应商在提交响应文件截止时间前，可以对所提交的响应文件进行补充、修改或者撤回，补充、修改的内容与响应文件不一致的，以补充、修改的内容为准。</w:t>
      </w:r>
    </w:p>
    <w:p w14:paraId="6B97EDCE">
      <w:pPr>
        <w:adjustRightInd w:val="0"/>
        <w:snapToGrid w:val="0"/>
        <w:ind w:firstLine="480" w:firstLineChars="200"/>
        <w:rPr>
          <w:rFonts w:hint="eastAsia" w:ascii="仿宋" w:hAnsi="仿宋"/>
          <w:color w:val="auto"/>
          <w:highlight w:val="none"/>
        </w:rPr>
      </w:pPr>
      <w:r>
        <w:rPr>
          <w:rFonts w:hint="eastAsia" w:ascii="仿宋" w:hAnsi="仿宋"/>
          <w:color w:val="auto"/>
          <w:highlight w:val="none"/>
        </w:rPr>
        <w:t>21</w:t>
      </w:r>
      <w:r>
        <w:rPr>
          <w:rFonts w:ascii="仿宋" w:hAnsi="仿宋"/>
          <w:color w:val="auto"/>
          <w:highlight w:val="none"/>
        </w:rPr>
        <w:t>.</w:t>
      </w:r>
      <w:r>
        <w:rPr>
          <w:rFonts w:hint="eastAsia" w:ascii="仿宋" w:hAnsi="仿宋"/>
          <w:color w:val="auto"/>
          <w:highlight w:val="none"/>
        </w:rPr>
        <w:t>2供应商对响应文件修改的书面材料或撤回的通知应该按规定进行编写、密封、标注和递送，并注明“修改响应文件”字样。</w:t>
      </w:r>
    </w:p>
    <w:p w14:paraId="3E8AF33E">
      <w:pPr>
        <w:adjustRightInd w:val="0"/>
        <w:snapToGrid w:val="0"/>
        <w:ind w:firstLine="480" w:firstLineChars="200"/>
        <w:rPr>
          <w:rFonts w:hint="eastAsia" w:ascii="仿宋" w:hAnsi="仿宋"/>
          <w:color w:val="auto"/>
          <w:highlight w:val="none"/>
        </w:rPr>
      </w:pPr>
      <w:r>
        <w:rPr>
          <w:rFonts w:hint="eastAsia" w:ascii="仿宋" w:hAnsi="仿宋"/>
          <w:color w:val="auto"/>
          <w:highlight w:val="none"/>
        </w:rPr>
        <w:t>21</w:t>
      </w:r>
      <w:r>
        <w:rPr>
          <w:rFonts w:ascii="仿宋" w:hAnsi="仿宋"/>
          <w:color w:val="auto"/>
          <w:highlight w:val="none"/>
        </w:rPr>
        <w:t>.</w:t>
      </w:r>
      <w:r>
        <w:rPr>
          <w:rFonts w:hint="eastAsia" w:ascii="仿宋" w:hAnsi="仿宋"/>
          <w:color w:val="auto"/>
          <w:highlight w:val="none"/>
        </w:rPr>
        <w:t>3 供应商不得在递交截止时间起至响应文件有效期期满前撤销其响应文件。否则其询比保证金将按相关规定不予退还。</w:t>
      </w:r>
    </w:p>
    <w:p w14:paraId="73A271A7">
      <w:pPr>
        <w:ind w:firstLine="480"/>
        <w:rPr>
          <w:rFonts w:hint="eastAsia" w:ascii="仿宋" w:hAnsi="仿宋"/>
          <w:color w:val="auto"/>
          <w:highlight w:val="none"/>
        </w:rPr>
      </w:pPr>
      <w:r>
        <w:rPr>
          <w:rFonts w:hint="eastAsia" w:ascii="仿宋" w:hAnsi="仿宋"/>
          <w:color w:val="auto"/>
          <w:highlight w:val="none"/>
        </w:rPr>
        <w:t>21.4供应商对其提交的响应文件的真实性、合法性承担法律责任。</w:t>
      </w:r>
      <w:bookmarkEnd w:id="71"/>
      <w:bookmarkEnd w:id="72"/>
      <w:bookmarkEnd w:id="73"/>
    </w:p>
    <w:p w14:paraId="39EF1598">
      <w:pPr>
        <w:pStyle w:val="4"/>
        <w:keepNext w:val="0"/>
        <w:keepLines w:val="0"/>
        <w:spacing w:line="360" w:lineRule="auto"/>
        <w:jc w:val="center"/>
        <w:rPr>
          <w:rFonts w:hint="eastAsia" w:ascii="仿宋" w:hAnsi="仿宋" w:eastAsia="仿宋"/>
          <w:color w:val="auto"/>
          <w:highlight w:val="none"/>
        </w:rPr>
      </w:pPr>
      <w:r>
        <w:rPr>
          <w:rFonts w:hint="eastAsia" w:ascii="仿宋" w:hAnsi="仿宋" w:eastAsia="仿宋"/>
          <w:color w:val="auto"/>
          <w:highlight w:val="none"/>
        </w:rPr>
        <w:t>五、响应文件开启</w:t>
      </w:r>
      <w:r>
        <w:rPr>
          <w:rFonts w:hint="eastAsia" w:ascii="仿宋" w:hAnsi="仿宋" w:eastAsia="仿宋"/>
          <w:color w:val="auto"/>
          <w:highlight w:val="none"/>
          <w:lang w:val="en-US" w:eastAsia="zh-CN"/>
        </w:rPr>
        <w:t>和</w:t>
      </w:r>
      <w:r>
        <w:rPr>
          <w:rFonts w:hint="eastAsia" w:ascii="仿宋" w:hAnsi="仿宋" w:eastAsia="仿宋"/>
          <w:color w:val="auto"/>
          <w:highlight w:val="none"/>
        </w:rPr>
        <w:t>评审</w:t>
      </w:r>
    </w:p>
    <w:p w14:paraId="063CF4CE">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22 响应文件开启</w:t>
      </w:r>
    </w:p>
    <w:p w14:paraId="11751883">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22.1 响应文件开启在</w:t>
      </w:r>
      <w:r>
        <w:rPr>
          <w:rFonts w:hint="eastAsia" w:ascii="仿宋" w:hAnsi="仿宋"/>
          <w:b w:val="0"/>
          <w:bCs w:val="0"/>
          <w:color w:val="auto"/>
          <w:sz w:val="24"/>
          <w:szCs w:val="24"/>
          <w:highlight w:val="none"/>
          <w:lang w:val="en-US" w:eastAsia="zh-CN"/>
        </w:rPr>
        <w:t>询比</w:t>
      </w:r>
      <w:r>
        <w:rPr>
          <w:rFonts w:hint="eastAsia" w:ascii="仿宋" w:hAnsi="仿宋"/>
          <w:b w:val="0"/>
          <w:bCs w:val="0"/>
          <w:color w:val="auto"/>
          <w:sz w:val="24"/>
          <w:szCs w:val="24"/>
          <w:highlight w:val="none"/>
        </w:rPr>
        <w:t>文件载明的时间和地点公开进行，采购人和供应商须委派代表到场签到。开启会议由采购组织方主持，采购人、供应商代表到场参与，评审专家不参加文件开启活动。</w:t>
      </w:r>
    </w:p>
    <w:p w14:paraId="16BECBB1">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22.2 开启现场，采购组织方可邀请监督人员到场实施现场监督。</w:t>
      </w:r>
    </w:p>
    <w:p w14:paraId="0BACAF0E">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22.3 开启时，由各供应商代表互相查验响应文件密封状况，确认密封完好后，工作人员当众拆封各供应商单独密封的报价一览表，由工作人员公开唱价。</w:t>
      </w:r>
    </w:p>
    <w:p w14:paraId="4E0DD08B">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22.4 报价一览表大写金额与小写金额不一致的，以大写金额为准；总价与单价合计金额不一致的，以单价汇总金额为准；单价存在明显小数点差错的，以总价为准修正单价。</w:t>
      </w:r>
    </w:p>
    <w:p w14:paraId="27AE6924">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22.5 响应文件分项明细与报价一览表内容不一致时，以报价一览表为准；多语种文件产生解释分歧的，以中文文本为准。</w:t>
      </w:r>
    </w:p>
    <w:p w14:paraId="32851620">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22.6 全部供应商唱价结束后，供应商代表对宣读内容有异议的，须当场向主持人提出。确属宣读失误的，经监督人员核实，可当场更正并记入记录。</w:t>
      </w:r>
    </w:p>
    <w:p w14:paraId="573B32F7">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23 开启程序</w:t>
      </w:r>
    </w:p>
    <w:p w14:paraId="6C9A165D">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开启主持人严格按照</w:t>
      </w:r>
      <w:r>
        <w:rPr>
          <w:rFonts w:hint="eastAsia" w:ascii="仿宋" w:hAnsi="仿宋"/>
          <w:b w:val="0"/>
          <w:bCs w:val="0"/>
          <w:color w:val="auto"/>
          <w:sz w:val="24"/>
          <w:szCs w:val="24"/>
          <w:highlight w:val="none"/>
          <w:lang w:eastAsia="zh-CN"/>
        </w:rPr>
        <w:t>询比文件</w:t>
      </w:r>
      <w:r>
        <w:rPr>
          <w:rFonts w:hint="eastAsia" w:ascii="仿宋" w:hAnsi="仿宋"/>
          <w:b w:val="0"/>
          <w:bCs w:val="0"/>
          <w:color w:val="auto"/>
          <w:sz w:val="24"/>
          <w:szCs w:val="24"/>
          <w:highlight w:val="none"/>
        </w:rPr>
        <w:t>载明时间启动会议，流程如下：</w:t>
      </w:r>
    </w:p>
    <w:p w14:paraId="56A3E9A7">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（1）宣布会议开始。主持人准时宣布开启会议开始，介绍参会工作人员与现场监督人员，依据供应商签到名单，通报到场供应商。</w:t>
      </w:r>
    </w:p>
    <w:p w14:paraId="62306084">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（2）宣读会场纪律与会议注意事项。</w:t>
      </w:r>
    </w:p>
    <w:p w14:paraId="4CE48496">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（3）组织供应商代表相互检查全部响应文件的密封完整性。</w:t>
      </w:r>
    </w:p>
    <w:p w14:paraId="05E6E547">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4）拆封文件并公开唱价。工作人员随机拆封各供应商报价一览表，现场宣读供应商名称、项目名称、总报价等信息，并做好唱价记录。遇到字迹模糊无法辨认的，立刻向主持人报告，经监督人员核实后，由该供应商代表当场予以澄清确认。</w:t>
      </w:r>
    </w:p>
    <w:p w14:paraId="241C40DC">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w:t>
      </w:r>
      <w:r>
        <w:rPr>
          <w:rFonts w:hint="eastAsia" w:ascii="仿宋" w:hAnsi="仿宋"/>
          <w:b w:val="0"/>
          <w:bCs w:val="0"/>
          <w:color w:val="auto"/>
          <w:sz w:val="24"/>
          <w:szCs w:val="24"/>
          <w:highlight w:val="none"/>
          <w:lang w:val="en-US" w:eastAsia="zh-CN"/>
        </w:rPr>
        <w:t>4</w:t>
      </w:r>
      <w:r>
        <w:rPr>
          <w:rFonts w:hint="eastAsia" w:ascii="仿宋" w:hAnsi="仿宋"/>
          <w:b w:val="0"/>
          <w:bCs w:val="0"/>
          <w:color w:val="auto"/>
          <w:sz w:val="24"/>
          <w:szCs w:val="24"/>
          <w:highlight w:val="none"/>
        </w:rPr>
        <w:t>.评审小组的组建及其评审工作按照有关法律制度和本文件第六章的规定进行。</w:t>
      </w:r>
    </w:p>
    <w:p w14:paraId="6AF10D30">
      <w:pPr>
        <w:pStyle w:val="4"/>
        <w:keepNext w:val="0"/>
        <w:keepLines w:val="0"/>
        <w:spacing w:line="360" w:lineRule="auto"/>
        <w:jc w:val="center"/>
        <w:rPr>
          <w:rFonts w:hint="eastAsia" w:ascii="仿宋" w:hAnsi="仿宋" w:eastAsia="仿宋"/>
          <w:color w:val="auto"/>
          <w:highlight w:val="none"/>
        </w:rPr>
      </w:pPr>
      <w:r>
        <w:rPr>
          <w:rFonts w:hint="eastAsia" w:ascii="仿宋" w:hAnsi="仿宋" w:eastAsia="仿宋"/>
          <w:color w:val="auto"/>
          <w:highlight w:val="none"/>
        </w:rPr>
        <w:t>六、成交事项</w:t>
      </w:r>
    </w:p>
    <w:p w14:paraId="3C93DF67">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2</w:t>
      </w:r>
      <w:r>
        <w:rPr>
          <w:rFonts w:hint="eastAsia" w:ascii="仿宋" w:hAnsi="仿宋"/>
          <w:color w:val="auto"/>
          <w:sz w:val="24"/>
          <w:highlight w:val="none"/>
          <w:lang w:val="en-US" w:eastAsia="zh-CN"/>
        </w:rPr>
        <w:t>5</w:t>
      </w:r>
      <w:r>
        <w:rPr>
          <w:rFonts w:hint="eastAsia" w:ascii="仿宋" w:hAnsi="仿宋"/>
          <w:color w:val="auto"/>
          <w:sz w:val="24"/>
          <w:highlight w:val="none"/>
        </w:rPr>
        <w:t>.确定成交供应商</w:t>
      </w:r>
    </w:p>
    <w:p w14:paraId="0FEE3ABA">
      <w:pPr>
        <w:ind w:firstLine="424" w:firstLineChars="177"/>
        <w:rPr>
          <w:rFonts w:hint="eastAsia" w:ascii="仿宋" w:hAnsi="仿宋"/>
          <w:color w:val="auto"/>
          <w:highlight w:val="none"/>
        </w:rPr>
      </w:pPr>
      <w:bookmarkStart w:id="74" w:name="_Toc66006438"/>
      <w:bookmarkStart w:id="75" w:name="_Toc31721908"/>
      <w:bookmarkStart w:id="76" w:name="_Hlk97623507"/>
      <w:r>
        <w:rPr>
          <w:rFonts w:hint="eastAsia" w:ascii="仿宋" w:hAnsi="仿宋"/>
          <w:color w:val="auto"/>
          <w:highlight w:val="none"/>
        </w:rPr>
        <w:t>2</w:t>
      </w:r>
      <w:r>
        <w:rPr>
          <w:rFonts w:hint="eastAsia" w:ascii="仿宋" w:hAnsi="仿宋"/>
          <w:color w:val="auto"/>
          <w:highlight w:val="none"/>
          <w:lang w:val="en-US" w:eastAsia="zh-CN"/>
        </w:rPr>
        <w:t>5</w:t>
      </w:r>
      <w:r>
        <w:rPr>
          <w:rFonts w:hint="eastAsia" w:ascii="仿宋" w:hAnsi="仿宋"/>
          <w:color w:val="auto"/>
          <w:highlight w:val="none"/>
        </w:rPr>
        <w:t>.1采购人将按评审小组推荐的成交候选供应商顺序确定成交供应商。</w:t>
      </w:r>
    </w:p>
    <w:p w14:paraId="414FAFE9">
      <w:pPr>
        <w:ind w:firstLine="424" w:firstLineChars="177"/>
        <w:rPr>
          <w:rFonts w:hint="eastAsia" w:ascii="仿宋" w:hAnsi="仿宋"/>
          <w:color w:val="auto"/>
          <w:highlight w:val="none"/>
        </w:rPr>
      </w:pPr>
      <w:r>
        <w:rPr>
          <w:rFonts w:hint="eastAsia" w:ascii="仿宋" w:hAnsi="仿宋"/>
          <w:color w:val="auto"/>
          <w:highlight w:val="none"/>
        </w:rPr>
        <w:t>（1）采购代理机构自评审结束后2个工作日内将评审报告及有关资料送交采购人确定成交供应商。</w:t>
      </w:r>
    </w:p>
    <w:p w14:paraId="291C5C48">
      <w:pPr>
        <w:ind w:firstLine="424" w:firstLineChars="177"/>
        <w:rPr>
          <w:rFonts w:hint="eastAsia" w:ascii="仿宋" w:hAnsi="仿宋"/>
          <w:color w:val="auto"/>
          <w:highlight w:val="none"/>
        </w:rPr>
      </w:pPr>
      <w:r>
        <w:rPr>
          <w:rFonts w:hint="eastAsia" w:ascii="仿宋" w:hAnsi="仿宋"/>
          <w:color w:val="auto"/>
          <w:highlight w:val="none"/>
        </w:rPr>
        <w:t>（2）采购人收到评审报告及有关资料后，将在按照评审报告中推荐的成交候选供应商顺序确定成交供应商。成交候选供应商并列的，采购人自主采取公平、择优的方式选择成交供应商。采购人逾期未确定成交供应商且不提出异议的，视为确定评审报告提出的排序第一的供应商为成交供应商。</w:t>
      </w:r>
    </w:p>
    <w:bookmarkEnd w:id="74"/>
    <w:bookmarkEnd w:id="75"/>
    <w:p w14:paraId="400CF971">
      <w:pPr>
        <w:ind w:firstLine="424" w:firstLineChars="177"/>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5</w:t>
      </w:r>
      <w:r>
        <w:rPr>
          <w:rFonts w:hint="eastAsia" w:ascii="仿宋" w:hAnsi="仿宋"/>
          <w:color w:val="auto"/>
          <w:highlight w:val="none"/>
        </w:rPr>
        <w:t>.3采购人或评审小组确定成交供应商过程中，发现成交候选供应商有下列情形之一的，应当不予确定其为成交供应商：</w:t>
      </w:r>
    </w:p>
    <w:bookmarkEnd w:id="76"/>
    <w:p w14:paraId="4CCA423C">
      <w:pPr>
        <w:ind w:firstLine="424" w:firstLineChars="177"/>
        <w:rPr>
          <w:rFonts w:hint="eastAsia" w:ascii="仿宋" w:hAnsi="仿宋"/>
          <w:color w:val="auto"/>
          <w:highlight w:val="none"/>
        </w:rPr>
      </w:pPr>
      <w:r>
        <w:rPr>
          <w:rFonts w:hint="eastAsia" w:ascii="仿宋" w:hAnsi="仿宋"/>
          <w:color w:val="auto"/>
          <w:highlight w:val="none"/>
        </w:rPr>
        <w:t>（1）发现成交候选供应商存在禁止参加本项目采购活动的违法行为的；</w:t>
      </w:r>
    </w:p>
    <w:p w14:paraId="065BDE01">
      <w:pPr>
        <w:ind w:firstLine="424" w:firstLineChars="177"/>
        <w:rPr>
          <w:rFonts w:hint="eastAsia" w:ascii="仿宋" w:hAnsi="仿宋"/>
          <w:color w:val="auto"/>
          <w:highlight w:val="none"/>
        </w:rPr>
      </w:pPr>
      <w:r>
        <w:rPr>
          <w:rFonts w:hint="eastAsia" w:ascii="仿宋" w:hAnsi="仿宋"/>
          <w:color w:val="auto"/>
          <w:highlight w:val="none"/>
        </w:rPr>
        <w:t>（2）成交候选供应商因不可抗力，不能继续参加采购活动的；</w:t>
      </w:r>
    </w:p>
    <w:p w14:paraId="0D60768D">
      <w:pPr>
        <w:ind w:firstLine="424" w:firstLineChars="177"/>
        <w:rPr>
          <w:rFonts w:hint="eastAsia" w:ascii="仿宋" w:hAnsi="仿宋"/>
          <w:color w:val="auto"/>
          <w:highlight w:val="none"/>
        </w:rPr>
      </w:pPr>
      <w:r>
        <w:rPr>
          <w:rFonts w:hint="eastAsia" w:ascii="仿宋" w:hAnsi="仿宋"/>
          <w:color w:val="auto"/>
          <w:highlight w:val="none"/>
        </w:rPr>
        <w:t>（3）成交候选供应商无偿赠与或者低于成本价竞争的；</w:t>
      </w:r>
    </w:p>
    <w:p w14:paraId="48B0BCD0">
      <w:pPr>
        <w:ind w:firstLine="424" w:firstLineChars="177"/>
        <w:rPr>
          <w:rFonts w:hint="eastAsia" w:ascii="仿宋" w:hAnsi="仿宋"/>
          <w:color w:val="auto"/>
          <w:highlight w:val="none"/>
        </w:rPr>
      </w:pPr>
      <w:r>
        <w:rPr>
          <w:rFonts w:hint="eastAsia" w:ascii="仿宋" w:hAnsi="仿宋"/>
          <w:color w:val="auto"/>
          <w:highlight w:val="none"/>
        </w:rPr>
        <w:t>（4）成交候选供应商提供虚假材料的；</w:t>
      </w:r>
    </w:p>
    <w:p w14:paraId="3F485D3E">
      <w:pPr>
        <w:ind w:firstLine="424" w:firstLineChars="177"/>
        <w:rPr>
          <w:rFonts w:hint="eastAsia" w:ascii="仿宋" w:hAnsi="仿宋"/>
          <w:color w:val="auto"/>
          <w:highlight w:val="none"/>
        </w:rPr>
      </w:pPr>
      <w:r>
        <w:rPr>
          <w:rFonts w:hint="eastAsia" w:ascii="仿宋" w:hAnsi="仿宋"/>
          <w:color w:val="auto"/>
          <w:highlight w:val="none"/>
        </w:rPr>
        <w:t>（5）成交候选供应商恶意串通的。</w:t>
      </w:r>
    </w:p>
    <w:p w14:paraId="562DD9A8">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2</w:t>
      </w:r>
      <w:r>
        <w:rPr>
          <w:rFonts w:hint="eastAsia" w:ascii="仿宋" w:hAnsi="仿宋"/>
          <w:color w:val="auto"/>
          <w:sz w:val="24"/>
          <w:highlight w:val="none"/>
          <w:lang w:val="en-US" w:eastAsia="zh-CN"/>
        </w:rPr>
        <w:t>6</w:t>
      </w:r>
      <w:r>
        <w:rPr>
          <w:rFonts w:hint="eastAsia" w:ascii="仿宋" w:hAnsi="仿宋"/>
          <w:color w:val="auto"/>
          <w:sz w:val="24"/>
          <w:highlight w:val="none"/>
        </w:rPr>
        <w:t>.成交结果</w:t>
      </w:r>
    </w:p>
    <w:p w14:paraId="3803DC78">
      <w:pPr>
        <w:ind w:firstLine="424" w:firstLineChars="177"/>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6</w:t>
      </w:r>
      <w:r>
        <w:rPr>
          <w:rFonts w:hint="eastAsia" w:ascii="仿宋" w:hAnsi="仿宋"/>
          <w:color w:val="auto"/>
          <w:highlight w:val="none"/>
        </w:rPr>
        <w:t>.1采购人确定成交供应商后，在</w:t>
      </w:r>
      <w:r>
        <w:rPr>
          <w:rFonts w:ascii="仿宋" w:hAnsi="仿宋"/>
          <w:color w:val="auto"/>
          <w:highlight w:val="none"/>
        </w:rPr>
        <w:t>四川九洲投资控股集团有限公司官网</w:t>
      </w:r>
      <w:r>
        <w:rPr>
          <w:rFonts w:hint="eastAsia" w:ascii="仿宋" w:hAnsi="仿宋"/>
          <w:color w:val="auto"/>
          <w:highlight w:val="none"/>
        </w:rPr>
        <w:t>、四川九洲空管科技有限公司官网</w:t>
      </w:r>
      <w:r>
        <w:rPr>
          <w:rFonts w:ascii="仿宋" w:hAnsi="仿宋"/>
          <w:color w:val="auto"/>
          <w:highlight w:val="none"/>
        </w:rPr>
        <w:t>和中国招标采购信息网</w:t>
      </w:r>
      <w:r>
        <w:rPr>
          <w:rFonts w:hint="eastAsia" w:ascii="仿宋" w:hAnsi="仿宋"/>
          <w:color w:val="auto"/>
          <w:highlight w:val="none"/>
        </w:rPr>
        <w:t>上发布成交公告。</w:t>
      </w:r>
    </w:p>
    <w:p w14:paraId="072DCAA7">
      <w:pPr>
        <w:ind w:firstLine="424" w:firstLineChars="177"/>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6</w:t>
      </w:r>
      <w:r>
        <w:rPr>
          <w:rFonts w:hint="eastAsia" w:ascii="仿宋" w:hAnsi="仿宋"/>
          <w:color w:val="auto"/>
          <w:highlight w:val="none"/>
        </w:rPr>
        <w:t>.2成交供应商应当及时领取成交通知书。</w:t>
      </w:r>
    </w:p>
    <w:p w14:paraId="02C42118">
      <w:pPr>
        <w:ind w:firstLine="424" w:firstLineChars="177"/>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6</w:t>
      </w:r>
      <w:r>
        <w:rPr>
          <w:rFonts w:hint="eastAsia" w:ascii="仿宋" w:hAnsi="仿宋"/>
          <w:color w:val="auto"/>
          <w:highlight w:val="none"/>
        </w:rPr>
        <w:t>.3成交供应商不能及时领取成交通知书，采购人或者采购代理机构应当通过邮寄、快递等方式将项目成交通知书送达成交供应商。</w:t>
      </w:r>
    </w:p>
    <w:p w14:paraId="39364094">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2</w:t>
      </w:r>
      <w:r>
        <w:rPr>
          <w:rFonts w:hint="eastAsia" w:ascii="仿宋" w:hAnsi="仿宋"/>
          <w:color w:val="auto"/>
          <w:sz w:val="24"/>
          <w:highlight w:val="none"/>
          <w:lang w:val="en-US" w:eastAsia="zh-CN"/>
        </w:rPr>
        <w:t>7</w:t>
      </w:r>
      <w:r>
        <w:rPr>
          <w:rFonts w:hint="eastAsia" w:ascii="仿宋" w:hAnsi="仿宋"/>
          <w:color w:val="auto"/>
          <w:sz w:val="24"/>
          <w:highlight w:val="none"/>
        </w:rPr>
        <w:t>.成交通知书</w:t>
      </w:r>
    </w:p>
    <w:p w14:paraId="715843B5">
      <w:pPr>
        <w:ind w:firstLine="424" w:firstLineChars="177"/>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7</w:t>
      </w:r>
      <w:r>
        <w:rPr>
          <w:rFonts w:hint="eastAsia" w:ascii="仿宋" w:hAnsi="仿宋"/>
          <w:color w:val="auto"/>
          <w:highlight w:val="none"/>
        </w:rPr>
        <w:t>.1成交通知书为签订采购合同的依据之一，是合同的有效组成部分。</w:t>
      </w:r>
    </w:p>
    <w:p w14:paraId="622A74B5">
      <w:pPr>
        <w:ind w:firstLine="424" w:firstLineChars="177"/>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7</w:t>
      </w:r>
      <w:r>
        <w:rPr>
          <w:rFonts w:hint="eastAsia" w:ascii="仿宋" w:hAnsi="仿宋"/>
          <w:color w:val="auto"/>
          <w:highlight w:val="none"/>
        </w:rPr>
        <w:t>.2成交通知书对采购人和成交供应商均具有法律效力。成交通知书发出后，采购人无正当理由改变成交结果，或者成交供应商无正当理由放弃成交的，将承担相应的法律责任。</w:t>
      </w:r>
    </w:p>
    <w:p w14:paraId="11CC2AA2">
      <w:pPr>
        <w:ind w:firstLine="424" w:firstLineChars="177"/>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7</w:t>
      </w:r>
      <w:r>
        <w:rPr>
          <w:rFonts w:hint="eastAsia" w:ascii="仿宋" w:hAnsi="仿宋"/>
          <w:color w:val="auto"/>
          <w:highlight w:val="none"/>
        </w:rPr>
        <w:t>.3成交供应商的响应文件作为无效响应文件处理或者有采购法律法规规章制度规定的中标无效情形的，采购人/采购代理机构在取得有权主体的认定以后，有权宣布发出的成交通知书无效，并收回发出的成交通知书，依法重新确定成交供应商或者重新开展采购活动。</w:t>
      </w:r>
    </w:p>
    <w:p w14:paraId="608C4B63">
      <w:pPr>
        <w:pStyle w:val="4"/>
        <w:keepNext w:val="0"/>
        <w:keepLines w:val="0"/>
        <w:spacing w:line="360" w:lineRule="auto"/>
        <w:jc w:val="center"/>
        <w:rPr>
          <w:rFonts w:hint="eastAsia" w:ascii="仿宋" w:hAnsi="仿宋" w:eastAsia="仿宋"/>
          <w:color w:val="auto"/>
          <w:highlight w:val="none"/>
        </w:rPr>
      </w:pPr>
      <w:r>
        <w:rPr>
          <w:rFonts w:hint="eastAsia" w:ascii="仿宋" w:hAnsi="仿宋" w:eastAsia="仿宋"/>
          <w:color w:val="auto"/>
          <w:highlight w:val="none"/>
        </w:rPr>
        <w:t>七、合同事项</w:t>
      </w:r>
    </w:p>
    <w:p w14:paraId="0134FA32">
      <w:pPr>
        <w:pStyle w:val="5"/>
        <w:keepNext w:val="0"/>
        <w:keepLines w:val="0"/>
        <w:spacing w:before="0" w:after="0" w:line="360" w:lineRule="auto"/>
        <w:ind w:firstLine="482" w:firstLineChars="200"/>
        <w:rPr>
          <w:rFonts w:hint="eastAsia" w:ascii="仿宋" w:hAnsi="仿宋"/>
          <w:color w:val="auto"/>
          <w:sz w:val="24"/>
          <w:highlight w:val="none"/>
        </w:rPr>
      </w:pPr>
      <w:bookmarkStart w:id="77" w:name="_Toc101338364"/>
      <w:bookmarkStart w:id="78" w:name="_Toc430773927"/>
      <w:bookmarkStart w:id="79" w:name="_Toc209847069"/>
      <w:bookmarkStart w:id="80" w:name="_Toc101250646"/>
      <w:bookmarkStart w:id="81" w:name="_Toc101174151"/>
      <w:r>
        <w:rPr>
          <w:rFonts w:hint="eastAsia" w:ascii="仿宋" w:hAnsi="仿宋"/>
          <w:color w:val="auto"/>
          <w:sz w:val="24"/>
          <w:highlight w:val="none"/>
        </w:rPr>
        <w:t>2</w:t>
      </w:r>
      <w:r>
        <w:rPr>
          <w:rFonts w:hint="eastAsia" w:ascii="仿宋" w:hAnsi="仿宋"/>
          <w:color w:val="auto"/>
          <w:sz w:val="24"/>
          <w:highlight w:val="none"/>
          <w:lang w:val="en-US" w:eastAsia="zh-CN"/>
        </w:rPr>
        <w:t>8</w:t>
      </w:r>
      <w:r>
        <w:rPr>
          <w:rFonts w:hint="eastAsia" w:ascii="仿宋" w:hAnsi="仿宋"/>
          <w:color w:val="auto"/>
          <w:sz w:val="24"/>
          <w:highlight w:val="none"/>
        </w:rPr>
        <w:t>.签订合同</w:t>
      </w:r>
      <w:bookmarkEnd w:id="77"/>
      <w:bookmarkEnd w:id="78"/>
      <w:bookmarkEnd w:id="79"/>
      <w:bookmarkEnd w:id="80"/>
      <w:bookmarkEnd w:id="81"/>
    </w:p>
    <w:p w14:paraId="686F12D9">
      <w:pPr>
        <w:ind w:firstLine="480" w:firstLineChars="200"/>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8</w:t>
      </w:r>
      <w:r>
        <w:rPr>
          <w:rFonts w:hint="eastAsia" w:ascii="仿宋" w:hAnsi="仿宋"/>
          <w:color w:val="auto"/>
          <w:highlight w:val="none"/>
        </w:rPr>
        <w:t>.1 成交供应商应在成交通知书发出之日起三十日内与采购人签订采购合同。由于成交供应商的原因逾期未与采购人签订采购合同的，将视为放弃成交，取消其成交资格并将按相关规定进行处理。</w:t>
      </w:r>
    </w:p>
    <w:p w14:paraId="08330200">
      <w:pPr>
        <w:ind w:firstLine="480" w:firstLineChars="200"/>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8</w:t>
      </w:r>
      <w:r>
        <w:rPr>
          <w:rFonts w:hint="eastAsia" w:ascii="仿宋" w:hAnsi="仿宋"/>
          <w:color w:val="auto"/>
          <w:highlight w:val="none"/>
        </w:rPr>
        <w:t>.2 询比文件、成交供应商的响应文件及双方确认的澄清文件等，均为有法律约束力的经济合同的组成部分。</w:t>
      </w:r>
    </w:p>
    <w:p w14:paraId="27E07FE9">
      <w:pPr>
        <w:ind w:firstLine="480" w:firstLineChars="200"/>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8</w:t>
      </w:r>
      <w:r>
        <w:rPr>
          <w:rFonts w:hint="eastAsia" w:ascii="仿宋" w:hAnsi="仿宋"/>
          <w:color w:val="auto"/>
          <w:highlight w:val="none"/>
        </w:rPr>
        <w:t>.3 采购人不得向成交供应商提出任何不合理的要求，作为签订合同的条件，不得与成交供应商私下订立背离合同实质性内容的任何协议，所签订的合同不得对询比文件和成交供应商响应文件确定的事项进行修改。</w:t>
      </w:r>
    </w:p>
    <w:p w14:paraId="6A97D32D">
      <w:pPr>
        <w:ind w:firstLine="480" w:firstLineChars="200"/>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8</w:t>
      </w:r>
      <w:r>
        <w:rPr>
          <w:rFonts w:hint="eastAsia" w:ascii="仿宋" w:hAnsi="仿宋"/>
          <w:color w:val="auto"/>
          <w:highlight w:val="none"/>
        </w:rPr>
        <w:t>.4 成交供应商因不可抗力原因不能履行采购合同或放弃成交的，采购人可以与排在成交供应商之后第一位的成交候选人签订采购合同，以此类推。</w:t>
      </w:r>
    </w:p>
    <w:p w14:paraId="5D8D54C4">
      <w:pPr>
        <w:ind w:firstLine="480" w:firstLineChars="200"/>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8</w:t>
      </w:r>
      <w:r>
        <w:rPr>
          <w:rFonts w:hint="eastAsia" w:ascii="仿宋" w:hAnsi="仿宋"/>
          <w:color w:val="auto"/>
          <w:highlight w:val="none"/>
        </w:rPr>
        <w:t>.5成交供应商拒绝签订采购合同或者经相关部门认定成交结果无效的，采购人可以从评审小组推荐的成交候选供应商中依次确定其他供应商作为成交供应商，也可以重新组织采购。重新组织采购活动的，拒绝签订采购合同的成交供应商不得参加对该项目重新开展的采购活动。</w:t>
      </w:r>
    </w:p>
    <w:p w14:paraId="11F9C0DE">
      <w:pPr>
        <w:ind w:firstLine="480" w:firstLineChars="200"/>
        <w:rPr>
          <w:rFonts w:hint="eastAsia" w:ascii="仿宋" w:hAnsi="仿宋"/>
          <w:color w:val="auto"/>
          <w:highlight w:val="none"/>
        </w:rPr>
      </w:pPr>
      <w:r>
        <w:rPr>
          <w:rFonts w:hint="eastAsia" w:ascii="仿宋" w:hAnsi="仿宋"/>
          <w:color w:val="auto"/>
          <w:highlight w:val="none"/>
        </w:rPr>
        <w:t>2</w:t>
      </w:r>
      <w:r>
        <w:rPr>
          <w:rFonts w:ascii="仿宋" w:hAnsi="仿宋"/>
          <w:color w:val="auto"/>
          <w:highlight w:val="none"/>
        </w:rPr>
        <w:t>6</w:t>
      </w:r>
      <w:r>
        <w:rPr>
          <w:rFonts w:hint="eastAsia" w:ascii="仿宋" w:hAnsi="仿宋"/>
          <w:color w:val="auto"/>
          <w:highlight w:val="none"/>
        </w:rPr>
        <w:t>.6 询比文件、成交供应商提交的响应文件、成交供应商承诺书、成交通知书等均为有法律约束力的合同组成内容。</w:t>
      </w:r>
    </w:p>
    <w:p w14:paraId="3568BA13">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2</w:t>
      </w:r>
      <w:r>
        <w:rPr>
          <w:rFonts w:hint="eastAsia" w:ascii="仿宋" w:hAnsi="仿宋"/>
          <w:color w:val="auto"/>
          <w:sz w:val="24"/>
          <w:highlight w:val="none"/>
          <w:lang w:val="en-US" w:eastAsia="zh-CN"/>
        </w:rPr>
        <w:t>9</w:t>
      </w:r>
      <w:r>
        <w:rPr>
          <w:rFonts w:hint="eastAsia" w:ascii="仿宋" w:hAnsi="仿宋"/>
          <w:color w:val="auto"/>
          <w:sz w:val="24"/>
          <w:highlight w:val="none"/>
        </w:rPr>
        <w:t>.合同分包</w:t>
      </w:r>
    </w:p>
    <w:p w14:paraId="0DB731F0">
      <w:pPr>
        <w:ind w:firstLine="480" w:firstLineChars="200"/>
        <w:rPr>
          <w:rFonts w:hint="eastAsia" w:ascii="仿宋" w:hAnsi="仿宋"/>
          <w:color w:val="auto"/>
          <w:highlight w:val="none"/>
        </w:rPr>
      </w:pPr>
      <w:r>
        <w:rPr>
          <w:rFonts w:hint="eastAsia" w:ascii="仿宋" w:hAnsi="仿宋"/>
          <w:color w:val="auto"/>
          <w:highlight w:val="none"/>
        </w:rPr>
        <w:t>不允许。</w:t>
      </w:r>
    </w:p>
    <w:p w14:paraId="48037F28">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lang w:val="en-US" w:eastAsia="zh-CN"/>
        </w:rPr>
        <w:t>30</w:t>
      </w:r>
      <w:r>
        <w:rPr>
          <w:rFonts w:hint="eastAsia" w:ascii="仿宋" w:hAnsi="仿宋"/>
          <w:color w:val="auto"/>
          <w:sz w:val="24"/>
          <w:highlight w:val="none"/>
        </w:rPr>
        <w:t>.合同转包</w:t>
      </w:r>
    </w:p>
    <w:p w14:paraId="4931F97F">
      <w:pPr>
        <w:ind w:firstLine="480" w:firstLineChars="200"/>
        <w:rPr>
          <w:rFonts w:hint="eastAsia" w:ascii="仿宋" w:hAnsi="仿宋"/>
          <w:color w:val="auto"/>
          <w:highlight w:val="none"/>
        </w:rPr>
      </w:pPr>
      <w:r>
        <w:rPr>
          <w:rFonts w:hint="eastAsia" w:ascii="仿宋" w:hAnsi="仿宋"/>
          <w:color w:val="auto"/>
          <w:highlight w:val="none"/>
        </w:rPr>
        <w:t>本采购项目严禁成交供应商将任何采购合同义务转包。成交供应商转包的，视同拒绝履行采购合同义务，将依法追究法律责任。</w:t>
      </w:r>
    </w:p>
    <w:p w14:paraId="1D3D606B">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lang w:val="en-US" w:eastAsia="zh-CN"/>
        </w:rPr>
        <w:t>31</w:t>
      </w:r>
      <w:r>
        <w:rPr>
          <w:rFonts w:hint="eastAsia" w:ascii="仿宋" w:hAnsi="仿宋"/>
          <w:color w:val="auto"/>
          <w:sz w:val="24"/>
          <w:highlight w:val="none"/>
        </w:rPr>
        <w:t>.履行合同</w:t>
      </w:r>
    </w:p>
    <w:p w14:paraId="56A8B632">
      <w:pPr>
        <w:ind w:firstLine="480" w:firstLineChars="200"/>
        <w:rPr>
          <w:rFonts w:hint="eastAsia" w:ascii="仿宋" w:hAnsi="仿宋"/>
          <w:color w:val="auto"/>
          <w:highlight w:val="none"/>
        </w:rPr>
      </w:pPr>
      <w:r>
        <w:rPr>
          <w:rFonts w:hint="eastAsia" w:ascii="仿宋" w:hAnsi="仿宋"/>
          <w:color w:val="auto"/>
          <w:highlight w:val="none"/>
          <w:lang w:val="en-US" w:eastAsia="zh-CN"/>
        </w:rPr>
        <w:t>31</w:t>
      </w:r>
      <w:r>
        <w:rPr>
          <w:rFonts w:hint="eastAsia" w:ascii="仿宋" w:hAnsi="仿宋"/>
          <w:color w:val="auto"/>
          <w:highlight w:val="none"/>
        </w:rPr>
        <w:t>.1 成交供应商与采购人签订合同后，合同双方应严格执行合同条款，履行合同规定的义务，保证合同的顺利完成。</w:t>
      </w:r>
    </w:p>
    <w:p w14:paraId="21628763">
      <w:pPr>
        <w:ind w:firstLine="480" w:firstLineChars="200"/>
        <w:rPr>
          <w:rFonts w:hint="eastAsia" w:ascii="仿宋" w:hAnsi="仿宋"/>
          <w:color w:val="auto"/>
          <w:highlight w:val="none"/>
        </w:rPr>
      </w:pPr>
      <w:r>
        <w:rPr>
          <w:rFonts w:hint="eastAsia" w:ascii="仿宋" w:hAnsi="仿宋"/>
          <w:color w:val="auto"/>
          <w:highlight w:val="none"/>
          <w:lang w:val="en-US" w:eastAsia="zh-CN"/>
        </w:rPr>
        <w:t>31</w:t>
      </w:r>
      <w:r>
        <w:rPr>
          <w:rFonts w:hint="eastAsia" w:ascii="仿宋" w:hAnsi="仿宋"/>
          <w:color w:val="auto"/>
          <w:highlight w:val="none"/>
        </w:rPr>
        <w:t>.2 在合同履行过程中，如发生合同纠纷，合同双方应按照《中华人民共和国民法典》及其他的有关规定进行处理。</w:t>
      </w:r>
    </w:p>
    <w:p w14:paraId="5BF0B808">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3</w:t>
      </w:r>
      <w:r>
        <w:rPr>
          <w:rFonts w:hint="eastAsia" w:ascii="仿宋" w:hAnsi="仿宋"/>
          <w:color w:val="auto"/>
          <w:sz w:val="24"/>
          <w:highlight w:val="none"/>
          <w:lang w:val="en-US" w:eastAsia="zh-CN"/>
        </w:rPr>
        <w:t>2</w:t>
      </w:r>
      <w:r>
        <w:rPr>
          <w:rFonts w:hint="eastAsia" w:ascii="仿宋" w:hAnsi="仿宋"/>
          <w:color w:val="auto"/>
          <w:sz w:val="24"/>
          <w:highlight w:val="none"/>
        </w:rPr>
        <w:t>.验收</w:t>
      </w:r>
    </w:p>
    <w:p w14:paraId="3CD0E74B">
      <w:pPr>
        <w:pStyle w:val="94"/>
        <w:spacing w:line="360" w:lineRule="auto"/>
        <w:ind w:firstLine="480"/>
        <w:rPr>
          <w:rFonts w:ascii="仿宋" w:hAnsi="仿宋" w:eastAsia="仿宋" w:cs="仿宋"/>
          <w:color w:val="auto"/>
          <w:sz w:val="24"/>
          <w:szCs w:val="24"/>
          <w:highlight w:val="none"/>
        </w:rPr>
      </w:pPr>
      <w:r>
        <w:rPr>
          <w:rFonts w:ascii="仿宋" w:hAnsi="仿宋" w:eastAsia="仿宋" w:cs="仿宋"/>
          <w:color w:val="auto"/>
          <w:sz w:val="24"/>
          <w:szCs w:val="24"/>
          <w:highlight w:val="none"/>
          <w:lang w:eastAsia="zh-CN"/>
        </w:rPr>
        <w:t>本采购项目履约验收工作由采购人负责。</w:t>
      </w:r>
    </w:p>
    <w:p w14:paraId="354600AA">
      <w:pPr>
        <w:pStyle w:val="4"/>
        <w:keepNext w:val="0"/>
        <w:keepLines w:val="0"/>
        <w:spacing w:before="0" w:after="0" w:line="360" w:lineRule="auto"/>
        <w:jc w:val="center"/>
        <w:rPr>
          <w:rFonts w:hint="eastAsia" w:ascii="仿宋" w:hAnsi="仿宋" w:eastAsia="仿宋"/>
          <w:color w:val="auto"/>
          <w:highlight w:val="none"/>
        </w:rPr>
      </w:pPr>
      <w:r>
        <w:rPr>
          <w:rFonts w:hint="eastAsia" w:ascii="仿宋" w:hAnsi="仿宋" w:eastAsia="仿宋"/>
          <w:color w:val="auto"/>
          <w:highlight w:val="none"/>
        </w:rPr>
        <w:t>八、询比纪律要求</w:t>
      </w:r>
    </w:p>
    <w:p w14:paraId="59943A1F">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31.供应商不得具有的情形</w:t>
      </w:r>
    </w:p>
    <w:p w14:paraId="2686923A">
      <w:pPr>
        <w:tabs>
          <w:tab w:val="left" w:pos="851"/>
        </w:tabs>
        <w:ind w:firstLine="480" w:firstLineChars="200"/>
        <w:rPr>
          <w:rFonts w:hint="eastAsia" w:ascii="仿宋" w:hAnsi="仿宋"/>
          <w:color w:val="auto"/>
          <w:highlight w:val="none"/>
        </w:rPr>
      </w:pPr>
      <w:r>
        <w:rPr>
          <w:rFonts w:hint="eastAsia" w:ascii="仿宋" w:hAnsi="仿宋"/>
          <w:color w:val="auto"/>
          <w:highlight w:val="none"/>
        </w:rPr>
        <w:t>31.1.有下列情形之一的，视为供应商串通投标：</w:t>
      </w:r>
    </w:p>
    <w:p w14:paraId="13A4822E">
      <w:pPr>
        <w:tabs>
          <w:tab w:val="left" w:pos="851"/>
        </w:tabs>
        <w:ind w:firstLine="480" w:firstLineChars="200"/>
        <w:rPr>
          <w:rFonts w:hint="eastAsia" w:ascii="仿宋" w:hAnsi="仿宋"/>
          <w:color w:val="auto"/>
          <w:highlight w:val="none"/>
        </w:rPr>
      </w:pPr>
      <w:r>
        <w:rPr>
          <w:rFonts w:hint="eastAsia" w:ascii="仿宋" w:hAnsi="仿宋"/>
          <w:color w:val="auto"/>
          <w:highlight w:val="none"/>
        </w:rPr>
        <w:t>（1）不同供应商的响应文件由同一单位或者个人编制。</w:t>
      </w:r>
    </w:p>
    <w:p w14:paraId="2922E0A6">
      <w:pPr>
        <w:tabs>
          <w:tab w:val="left" w:pos="851"/>
        </w:tabs>
        <w:ind w:firstLine="480" w:firstLineChars="200"/>
        <w:rPr>
          <w:rFonts w:hint="eastAsia" w:ascii="仿宋" w:hAnsi="仿宋"/>
          <w:color w:val="auto"/>
          <w:highlight w:val="none"/>
        </w:rPr>
      </w:pPr>
      <w:r>
        <w:rPr>
          <w:rFonts w:hint="eastAsia" w:ascii="仿宋" w:hAnsi="仿宋"/>
          <w:color w:val="auto"/>
          <w:highlight w:val="none"/>
        </w:rPr>
        <w:t>（2）不同供应商委托同一单位或者个人办理投标事宜。</w:t>
      </w:r>
    </w:p>
    <w:p w14:paraId="3A111426">
      <w:pPr>
        <w:tabs>
          <w:tab w:val="left" w:pos="851"/>
        </w:tabs>
        <w:ind w:firstLine="480" w:firstLineChars="200"/>
        <w:rPr>
          <w:rFonts w:hint="eastAsia" w:ascii="仿宋" w:hAnsi="仿宋"/>
          <w:color w:val="auto"/>
          <w:highlight w:val="none"/>
        </w:rPr>
      </w:pPr>
      <w:r>
        <w:rPr>
          <w:rFonts w:hint="eastAsia" w:ascii="仿宋" w:hAnsi="仿宋"/>
          <w:color w:val="auto"/>
          <w:highlight w:val="none"/>
        </w:rPr>
        <w:t>（3）不同供应商的响应文件载明的项目管理成员或者联系人员为同一人。</w:t>
      </w:r>
    </w:p>
    <w:p w14:paraId="3C3ED976">
      <w:pPr>
        <w:tabs>
          <w:tab w:val="left" w:pos="851"/>
        </w:tabs>
        <w:ind w:firstLine="480" w:firstLineChars="200"/>
        <w:rPr>
          <w:rFonts w:hint="eastAsia" w:ascii="仿宋" w:hAnsi="仿宋"/>
          <w:color w:val="auto"/>
          <w:highlight w:val="none"/>
        </w:rPr>
      </w:pPr>
      <w:r>
        <w:rPr>
          <w:rFonts w:hint="eastAsia" w:ascii="仿宋" w:hAnsi="仿宋"/>
          <w:color w:val="auto"/>
          <w:highlight w:val="none"/>
        </w:rPr>
        <w:t>（4）不同供应商的响应文件异常一致或者询比报价呈规律性差异。</w:t>
      </w:r>
    </w:p>
    <w:p w14:paraId="52294DAC">
      <w:pPr>
        <w:tabs>
          <w:tab w:val="left" w:pos="851"/>
        </w:tabs>
        <w:ind w:firstLine="480" w:firstLineChars="200"/>
        <w:rPr>
          <w:rFonts w:hint="eastAsia" w:ascii="仿宋" w:hAnsi="仿宋"/>
          <w:color w:val="auto"/>
          <w:highlight w:val="none"/>
        </w:rPr>
      </w:pPr>
      <w:r>
        <w:rPr>
          <w:rFonts w:hint="eastAsia" w:ascii="仿宋" w:hAnsi="仿宋"/>
          <w:color w:val="auto"/>
          <w:highlight w:val="none"/>
        </w:rPr>
        <w:t>（5）不同供应商的响应文件相互混装。</w:t>
      </w:r>
    </w:p>
    <w:p w14:paraId="1595961B">
      <w:pPr>
        <w:tabs>
          <w:tab w:val="left" w:pos="851"/>
        </w:tabs>
        <w:ind w:firstLine="480" w:firstLineChars="200"/>
        <w:rPr>
          <w:rFonts w:hint="eastAsia" w:ascii="仿宋" w:hAnsi="仿宋"/>
          <w:color w:val="auto"/>
          <w:highlight w:val="none"/>
        </w:rPr>
      </w:pPr>
      <w:r>
        <w:rPr>
          <w:rFonts w:hint="eastAsia" w:ascii="仿宋" w:hAnsi="仿宋"/>
          <w:color w:val="auto"/>
          <w:highlight w:val="none"/>
        </w:rPr>
        <w:t>（6）不同供应商的询比保证金从同一单位和账户转出。</w:t>
      </w:r>
    </w:p>
    <w:p w14:paraId="26AC3C63">
      <w:pPr>
        <w:tabs>
          <w:tab w:val="left" w:pos="851"/>
        </w:tabs>
        <w:ind w:firstLine="480" w:firstLineChars="200"/>
        <w:rPr>
          <w:rFonts w:hint="eastAsia" w:ascii="仿宋" w:hAnsi="仿宋"/>
          <w:color w:val="auto"/>
          <w:highlight w:val="none"/>
        </w:rPr>
      </w:pPr>
      <w:r>
        <w:rPr>
          <w:rFonts w:hint="eastAsia" w:ascii="仿宋" w:hAnsi="仿宋"/>
          <w:color w:val="auto"/>
          <w:highlight w:val="none"/>
        </w:rPr>
        <w:t>31.2.下列情形之一的，属于恶意串通，对供应商依照相关规定追究法律责任</w:t>
      </w:r>
    </w:p>
    <w:p w14:paraId="38956CBE">
      <w:pPr>
        <w:tabs>
          <w:tab w:val="left" w:pos="851"/>
        </w:tabs>
        <w:ind w:firstLine="480" w:firstLineChars="200"/>
        <w:rPr>
          <w:rFonts w:hint="eastAsia" w:ascii="仿宋" w:hAnsi="仿宋"/>
          <w:color w:val="auto"/>
          <w:highlight w:val="none"/>
        </w:rPr>
      </w:pPr>
      <w:r>
        <w:rPr>
          <w:rFonts w:hint="eastAsia" w:ascii="仿宋" w:hAnsi="仿宋"/>
          <w:color w:val="auto"/>
          <w:highlight w:val="none"/>
        </w:rPr>
        <w:t>（1）供应商直接或者间接从采购人或者采购代理机构处获得其他供应商的相关情况并修改其响应文件。</w:t>
      </w:r>
    </w:p>
    <w:p w14:paraId="57799980">
      <w:pPr>
        <w:tabs>
          <w:tab w:val="left" w:pos="851"/>
        </w:tabs>
        <w:ind w:firstLine="480" w:firstLineChars="200"/>
        <w:rPr>
          <w:rFonts w:hint="eastAsia" w:ascii="仿宋" w:hAnsi="仿宋"/>
          <w:color w:val="auto"/>
          <w:highlight w:val="none"/>
        </w:rPr>
      </w:pPr>
      <w:r>
        <w:rPr>
          <w:rFonts w:hint="eastAsia" w:ascii="仿宋" w:hAnsi="仿宋"/>
          <w:color w:val="auto"/>
          <w:highlight w:val="none"/>
        </w:rPr>
        <w:t>（2）供应商按照采购人或者代理机构的授意撤换、修改响应文件。</w:t>
      </w:r>
    </w:p>
    <w:p w14:paraId="6F02B397">
      <w:pPr>
        <w:tabs>
          <w:tab w:val="left" w:pos="851"/>
        </w:tabs>
        <w:ind w:firstLine="480" w:firstLineChars="200"/>
        <w:rPr>
          <w:rFonts w:hint="eastAsia" w:ascii="仿宋" w:hAnsi="仿宋"/>
          <w:color w:val="auto"/>
          <w:highlight w:val="none"/>
        </w:rPr>
      </w:pPr>
      <w:r>
        <w:rPr>
          <w:rFonts w:hint="eastAsia" w:ascii="仿宋" w:hAnsi="仿宋"/>
          <w:color w:val="auto"/>
          <w:highlight w:val="none"/>
        </w:rPr>
        <w:t>（3）供应商之间协商报价、技术方案等响应文件的实质性内容。</w:t>
      </w:r>
    </w:p>
    <w:p w14:paraId="55B09DDE">
      <w:pPr>
        <w:tabs>
          <w:tab w:val="left" w:pos="851"/>
        </w:tabs>
        <w:ind w:firstLine="480" w:firstLineChars="200"/>
        <w:rPr>
          <w:rFonts w:hint="eastAsia" w:ascii="仿宋" w:hAnsi="仿宋"/>
          <w:color w:val="auto"/>
          <w:highlight w:val="none"/>
        </w:rPr>
      </w:pPr>
      <w:r>
        <w:rPr>
          <w:rFonts w:hint="eastAsia" w:ascii="仿宋" w:hAnsi="仿宋"/>
          <w:color w:val="auto"/>
          <w:highlight w:val="none"/>
        </w:rPr>
        <w:t>（4）属于同一集团、协会、商会等组织成员的供应商按照该组织要求协同参加采购活动。</w:t>
      </w:r>
    </w:p>
    <w:p w14:paraId="73A52AC8">
      <w:pPr>
        <w:tabs>
          <w:tab w:val="left" w:pos="851"/>
        </w:tabs>
        <w:ind w:firstLine="480" w:firstLineChars="200"/>
        <w:rPr>
          <w:rFonts w:hint="eastAsia" w:ascii="仿宋" w:hAnsi="仿宋"/>
          <w:color w:val="auto"/>
          <w:highlight w:val="none"/>
        </w:rPr>
      </w:pPr>
      <w:r>
        <w:rPr>
          <w:rFonts w:hint="eastAsia" w:ascii="仿宋" w:hAnsi="仿宋"/>
          <w:color w:val="auto"/>
          <w:highlight w:val="none"/>
        </w:rPr>
        <w:t>（5）供应商之间事先约定由某一特定供应商中标。</w:t>
      </w:r>
    </w:p>
    <w:p w14:paraId="22673265">
      <w:pPr>
        <w:tabs>
          <w:tab w:val="left" w:pos="851"/>
        </w:tabs>
        <w:ind w:firstLine="480" w:firstLineChars="200"/>
        <w:rPr>
          <w:rFonts w:hint="eastAsia" w:ascii="仿宋" w:hAnsi="仿宋"/>
          <w:color w:val="auto"/>
          <w:highlight w:val="none"/>
        </w:rPr>
      </w:pPr>
      <w:r>
        <w:rPr>
          <w:rFonts w:hint="eastAsia" w:ascii="仿宋" w:hAnsi="仿宋"/>
          <w:color w:val="auto"/>
          <w:highlight w:val="none"/>
        </w:rPr>
        <w:t>（6）供应商之间商定部分供应商放弃参加采购活动或者放弃中标。</w:t>
      </w:r>
    </w:p>
    <w:p w14:paraId="6C050A5B">
      <w:pPr>
        <w:tabs>
          <w:tab w:val="left" w:pos="851"/>
        </w:tabs>
        <w:ind w:firstLine="480" w:firstLineChars="200"/>
        <w:rPr>
          <w:rFonts w:hint="eastAsia" w:ascii="仿宋" w:hAnsi="仿宋"/>
          <w:color w:val="auto"/>
          <w:highlight w:val="none"/>
        </w:rPr>
      </w:pPr>
      <w:r>
        <w:rPr>
          <w:rFonts w:hint="eastAsia" w:ascii="仿宋" w:hAnsi="仿宋"/>
          <w:color w:val="auto"/>
          <w:highlight w:val="none"/>
        </w:rPr>
        <w:t>（7）供应商与采购人或者采购代理机构之间、供应商相互之间，为谋求特定供应商中标或者排斥其他供应商的其他串通行为。</w:t>
      </w:r>
    </w:p>
    <w:p w14:paraId="186B31B5">
      <w:pPr>
        <w:tabs>
          <w:tab w:val="left" w:pos="851"/>
        </w:tabs>
        <w:ind w:firstLine="480" w:firstLineChars="200"/>
        <w:rPr>
          <w:rFonts w:hint="eastAsia" w:ascii="仿宋" w:hAnsi="仿宋"/>
          <w:color w:val="auto"/>
          <w:highlight w:val="none"/>
        </w:rPr>
      </w:pPr>
      <w:r>
        <w:rPr>
          <w:rFonts w:hint="eastAsia" w:ascii="仿宋" w:hAnsi="仿宋"/>
          <w:color w:val="auto"/>
          <w:highlight w:val="none"/>
        </w:rPr>
        <w:t>31.3.提供虚假材料谋取中标。</w:t>
      </w:r>
    </w:p>
    <w:p w14:paraId="635EAEEA">
      <w:pPr>
        <w:tabs>
          <w:tab w:val="left" w:pos="851"/>
        </w:tabs>
        <w:ind w:firstLine="480" w:firstLineChars="200"/>
        <w:rPr>
          <w:rFonts w:hint="eastAsia" w:ascii="仿宋" w:hAnsi="仿宋"/>
          <w:color w:val="auto"/>
          <w:highlight w:val="none"/>
        </w:rPr>
      </w:pPr>
      <w:r>
        <w:rPr>
          <w:rFonts w:hint="eastAsia" w:ascii="仿宋" w:hAnsi="仿宋"/>
          <w:color w:val="auto"/>
          <w:highlight w:val="none"/>
        </w:rPr>
        <w:t>31.4.采取不正当手段诋毁、排挤其他供应商。</w:t>
      </w:r>
    </w:p>
    <w:p w14:paraId="42692FC2">
      <w:pPr>
        <w:tabs>
          <w:tab w:val="left" w:pos="851"/>
        </w:tabs>
        <w:ind w:firstLine="480" w:firstLineChars="200"/>
        <w:rPr>
          <w:rFonts w:hint="eastAsia" w:ascii="仿宋" w:hAnsi="仿宋"/>
          <w:color w:val="auto"/>
          <w:highlight w:val="none"/>
        </w:rPr>
      </w:pPr>
      <w:r>
        <w:rPr>
          <w:rFonts w:hint="eastAsia" w:ascii="仿宋" w:hAnsi="仿宋"/>
          <w:color w:val="auto"/>
          <w:highlight w:val="none"/>
        </w:rPr>
        <w:t>31.5.与采购人或者采购代理机构、其他供应商恶意串通。</w:t>
      </w:r>
    </w:p>
    <w:p w14:paraId="5859FCC4">
      <w:pPr>
        <w:tabs>
          <w:tab w:val="left" w:pos="851"/>
        </w:tabs>
        <w:ind w:firstLine="480" w:firstLineChars="200"/>
        <w:rPr>
          <w:rFonts w:hint="eastAsia" w:ascii="仿宋" w:hAnsi="仿宋"/>
          <w:color w:val="auto"/>
          <w:highlight w:val="none"/>
        </w:rPr>
      </w:pPr>
      <w:r>
        <w:rPr>
          <w:rFonts w:hint="eastAsia" w:ascii="仿宋" w:hAnsi="仿宋"/>
          <w:color w:val="auto"/>
          <w:highlight w:val="none"/>
        </w:rPr>
        <w:t>31.6.向采购人或者采购代理机构、评审小组成员行贿或者提供其他不正当利益。</w:t>
      </w:r>
    </w:p>
    <w:p w14:paraId="0F42DC7F">
      <w:pPr>
        <w:tabs>
          <w:tab w:val="left" w:pos="851"/>
        </w:tabs>
        <w:ind w:firstLine="480" w:firstLineChars="200"/>
        <w:rPr>
          <w:rFonts w:hint="eastAsia" w:ascii="仿宋" w:hAnsi="仿宋"/>
          <w:color w:val="auto"/>
          <w:highlight w:val="none"/>
        </w:rPr>
      </w:pPr>
      <w:r>
        <w:rPr>
          <w:rFonts w:hint="eastAsia" w:ascii="仿宋" w:hAnsi="仿宋"/>
          <w:color w:val="auto"/>
          <w:highlight w:val="none"/>
        </w:rPr>
        <w:t>31.7.在询比过程中与采购人或者采购代理机构进行协商谈判。</w:t>
      </w:r>
    </w:p>
    <w:p w14:paraId="1311C031">
      <w:pPr>
        <w:tabs>
          <w:tab w:val="left" w:pos="851"/>
        </w:tabs>
        <w:ind w:firstLine="480" w:firstLineChars="200"/>
        <w:rPr>
          <w:rFonts w:hint="eastAsia" w:ascii="仿宋" w:hAnsi="仿宋"/>
          <w:color w:val="auto"/>
          <w:highlight w:val="none"/>
        </w:rPr>
      </w:pPr>
      <w:r>
        <w:rPr>
          <w:rFonts w:hint="eastAsia" w:ascii="仿宋" w:hAnsi="仿宋"/>
          <w:color w:val="auto"/>
          <w:highlight w:val="none"/>
        </w:rPr>
        <w:t>31.8.中标后无正当理由拒不与采购人签订合同。</w:t>
      </w:r>
    </w:p>
    <w:p w14:paraId="2B06D94A">
      <w:pPr>
        <w:tabs>
          <w:tab w:val="left" w:pos="851"/>
        </w:tabs>
        <w:ind w:firstLine="480" w:firstLineChars="200"/>
        <w:rPr>
          <w:rFonts w:hint="eastAsia" w:ascii="仿宋" w:hAnsi="仿宋"/>
          <w:color w:val="auto"/>
          <w:highlight w:val="none"/>
        </w:rPr>
      </w:pPr>
      <w:r>
        <w:rPr>
          <w:rFonts w:hint="eastAsia" w:ascii="仿宋" w:hAnsi="仿宋"/>
          <w:color w:val="auto"/>
          <w:highlight w:val="none"/>
        </w:rPr>
        <w:t>31.9.未按照询比文件确定的事项签订合同。</w:t>
      </w:r>
    </w:p>
    <w:p w14:paraId="40CABC48">
      <w:pPr>
        <w:tabs>
          <w:tab w:val="left" w:pos="851"/>
        </w:tabs>
        <w:ind w:firstLine="480" w:firstLineChars="200"/>
        <w:rPr>
          <w:rFonts w:hint="eastAsia" w:ascii="仿宋" w:hAnsi="仿宋"/>
          <w:color w:val="auto"/>
          <w:highlight w:val="none"/>
        </w:rPr>
      </w:pPr>
      <w:r>
        <w:rPr>
          <w:rFonts w:hint="eastAsia" w:ascii="仿宋" w:hAnsi="仿宋"/>
          <w:color w:val="auto"/>
          <w:highlight w:val="none"/>
        </w:rPr>
        <w:t>31.10.将合同转包或者违规分包。</w:t>
      </w:r>
    </w:p>
    <w:p w14:paraId="3CA5EC2D">
      <w:pPr>
        <w:tabs>
          <w:tab w:val="left" w:pos="851"/>
        </w:tabs>
        <w:ind w:firstLine="480" w:firstLineChars="200"/>
        <w:rPr>
          <w:rFonts w:hint="eastAsia" w:ascii="仿宋" w:hAnsi="仿宋"/>
          <w:color w:val="auto"/>
          <w:highlight w:val="none"/>
        </w:rPr>
      </w:pPr>
      <w:r>
        <w:rPr>
          <w:rFonts w:hint="eastAsia" w:ascii="仿宋" w:hAnsi="仿宋"/>
          <w:color w:val="auto"/>
          <w:highlight w:val="none"/>
        </w:rPr>
        <w:t>31.11.提供假冒伪劣产品。</w:t>
      </w:r>
    </w:p>
    <w:p w14:paraId="446241E7">
      <w:pPr>
        <w:tabs>
          <w:tab w:val="left" w:pos="851"/>
        </w:tabs>
        <w:ind w:firstLine="480" w:firstLineChars="200"/>
        <w:rPr>
          <w:rFonts w:hint="eastAsia" w:ascii="仿宋" w:hAnsi="仿宋"/>
          <w:color w:val="auto"/>
          <w:highlight w:val="none"/>
        </w:rPr>
      </w:pPr>
      <w:r>
        <w:rPr>
          <w:rFonts w:hint="eastAsia" w:ascii="仿宋" w:hAnsi="仿宋"/>
          <w:color w:val="auto"/>
          <w:highlight w:val="none"/>
        </w:rPr>
        <w:t>31.12.擅自变更、中止或者终止合同。</w:t>
      </w:r>
    </w:p>
    <w:p w14:paraId="088726AB">
      <w:pPr>
        <w:tabs>
          <w:tab w:val="left" w:pos="851"/>
        </w:tabs>
        <w:ind w:firstLine="480" w:firstLineChars="200"/>
        <w:rPr>
          <w:rFonts w:hint="eastAsia" w:ascii="仿宋" w:hAnsi="仿宋"/>
          <w:color w:val="auto"/>
          <w:highlight w:val="none"/>
        </w:rPr>
      </w:pPr>
      <w:r>
        <w:rPr>
          <w:rFonts w:hint="eastAsia" w:ascii="仿宋" w:hAnsi="仿宋"/>
          <w:color w:val="auto"/>
          <w:highlight w:val="none"/>
        </w:rPr>
        <w:t>31.13.拒绝有关部门的监督检查或者向监督检查部门提供虚假情况。</w:t>
      </w:r>
    </w:p>
    <w:p w14:paraId="43E3293D">
      <w:pPr>
        <w:tabs>
          <w:tab w:val="left" w:pos="851"/>
        </w:tabs>
        <w:ind w:firstLine="480" w:firstLineChars="200"/>
        <w:rPr>
          <w:rFonts w:hint="eastAsia" w:ascii="仿宋" w:hAnsi="仿宋"/>
          <w:color w:val="auto"/>
          <w:highlight w:val="none"/>
        </w:rPr>
      </w:pPr>
      <w:r>
        <w:rPr>
          <w:rFonts w:hint="eastAsia" w:ascii="仿宋" w:hAnsi="仿宋"/>
          <w:color w:val="auto"/>
          <w:highlight w:val="none"/>
        </w:rPr>
        <w:t>31.14.法律法规规定的其他禁止情形。</w:t>
      </w:r>
    </w:p>
    <w:p w14:paraId="7CB1EF0F">
      <w:pPr>
        <w:tabs>
          <w:tab w:val="left" w:pos="851"/>
        </w:tabs>
        <w:ind w:firstLine="480" w:firstLineChars="200"/>
        <w:rPr>
          <w:rFonts w:hint="eastAsia" w:ascii="仿宋" w:hAnsi="仿宋"/>
          <w:color w:val="auto"/>
          <w:highlight w:val="none"/>
        </w:rPr>
      </w:pPr>
      <w:r>
        <w:rPr>
          <w:rFonts w:hint="eastAsia" w:ascii="仿宋" w:hAnsi="仿宋"/>
          <w:color w:val="auto"/>
          <w:highlight w:val="none"/>
        </w:rPr>
        <w:t>供应商有前述第一至六条（31.1-31.6）情形的，认定其响应无效；中标人有前述第二至七条（31.1-31.7）情形之一的，认定中标无效。此外，将按照规定追究供应商法律责任。属于恶意串通的，采购人将对供应商列入不良行为记录名单，在一至三年内禁止参加采购人单位的招标活动，情节严重的，由市场监督管理部门吊销营业执照；构成犯罪的，依法追究刑事责任。其中，对涉嫌串通投标罪的，移送公安机关侦查处理，根据《中华人民共和国刑法》第二百二十三条规定，供应商相互串通询比报价，损害采购人或者其他供应商利益，情节严重的，处三年以下有期徒刑或者拘役，并处或者单处罚金。供应商与采购人串通投标，损害国家、集体、公民的合法利益的，依照上述规定处罚。</w:t>
      </w:r>
    </w:p>
    <w:p w14:paraId="512D13DA">
      <w:pPr>
        <w:pStyle w:val="4"/>
        <w:keepNext w:val="0"/>
        <w:keepLines w:val="0"/>
        <w:spacing w:before="0" w:after="0" w:line="360" w:lineRule="auto"/>
        <w:jc w:val="center"/>
        <w:rPr>
          <w:rFonts w:hint="eastAsia" w:ascii="仿宋" w:hAnsi="仿宋" w:eastAsia="仿宋"/>
          <w:color w:val="auto"/>
          <w:highlight w:val="none"/>
        </w:rPr>
      </w:pPr>
      <w:r>
        <w:rPr>
          <w:rFonts w:hint="eastAsia" w:ascii="仿宋" w:hAnsi="仿宋" w:eastAsia="仿宋"/>
          <w:color w:val="auto"/>
          <w:highlight w:val="none"/>
        </w:rPr>
        <w:t>九、询问、质疑和投诉</w:t>
      </w:r>
    </w:p>
    <w:p w14:paraId="495F6058">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32. 询问、质疑、投诉的接收和处理按询比须知中的规定进行处理。</w:t>
      </w:r>
    </w:p>
    <w:p w14:paraId="6AFFFB1D">
      <w:pPr>
        <w:pStyle w:val="4"/>
        <w:keepNext w:val="0"/>
        <w:keepLines w:val="0"/>
        <w:spacing w:before="0" w:after="0" w:line="360" w:lineRule="auto"/>
        <w:jc w:val="center"/>
        <w:rPr>
          <w:rFonts w:hint="eastAsia" w:ascii="仿宋" w:hAnsi="仿宋" w:eastAsia="仿宋"/>
          <w:color w:val="auto"/>
          <w:highlight w:val="none"/>
        </w:rPr>
      </w:pPr>
      <w:r>
        <w:rPr>
          <w:rFonts w:hint="eastAsia" w:ascii="仿宋" w:hAnsi="仿宋" w:eastAsia="仿宋"/>
          <w:color w:val="auto"/>
          <w:highlight w:val="none"/>
        </w:rPr>
        <w:t>十、其他</w:t>
      </w:r>
    </w:p>
    <w:p w14:paraId="79517DFE">
      <w:pPr>
        <w:tabs>
          <w:tab w:val="left" w:pos="851"/>
        </w:tabs>
        <w:ind w:firstLine="495"/>
        <w:jc w:val="left"/>
        <w:rPr>
          <w:rFonts w:hint="eastAsia" w:ascii="仿宋" w:hAnsi="仿宋"/>
          <w:color w:val="auto"/>
          <w:highlight w:val="none"/>
        </w:rPr>
      </w:pPr>
      <w:r>
        <w:rPr>
          <w:rFonts w:hint="eastAsia" w:ascii="仿宋" w:hAnsi="仿宋"/>
          <w:color w:val="auto"/>
          <w:highlight w:val="none"/>
        </w:rPr>
        <w:t>33.本询比文件中所引相关法律制度和采购人相关规定，在采购中有变化的，按照变化后的相关法律制度和采购人相关规定执行。本章规定的内容条款，在本项目递交响应文件截止时间届满后，因相关法律制度和采购人相关规定的变化导致不符合相关法律制度和采购人相关规定的，直接按照变化后的相关法律制度和采购人相关规定执行，本询比文件不再做调整。</w:t>
      </w:r>
    </w:p>
    <w:p w14:paraId="465B8038">
      <w:pPr>
        <w:tabs>
          <w:tab w:val="left" w:pos="851"/>
        </w:tabs>
        <w:ind w:firstLine="495"/>
        <w:jc w:val="left"/>
        <w:rPr>
          <w:rFonts w:hint="eastAsia" w:ascii="仿宋" w:hAnsi="仿宋"/>
          <w:color w:val="auto"/>
          <w:highlight w:val="none"/>
        </w:rPr>
      </w:pPr>
      <w:r>
        <w:rPr>
          <w:rFonts w:hint="eastAsia" w:ascii="仿宋" w:hAnsi="仿宋"/>
          <w:color w:val="auto"/>
          <w:highlight w:val="none"/>
        </w:rPr>
        <w:t>34.国家或行业主管部门对供应商和采购产品的技术标准、质量标准和资格资质条件等有强制性规定的，必须符合其要求。</w:t>
      </w:r>
    </w:p>
    <w:p w14:paraId="3F52C36E">
      <w:pPr>
        <w:widowControl/>
        <w:spacing w:line="240" w:lineRule="auto"/>
        <w:jc w:val="left"/>
        <w:rPr>
          <w:rFonts w:hint="eastAsia" w:ascii="仿宋" w:hAnsi="仿宋"/>
          <w:color w:val="auto"/>
          <w:highlight w:val="none"/>
        </w:rPr>
      </w:pPr>
      <w:r>
        <w:rPr>
          <w:rFonts w:ascii="仿宋" w:hAnsi="仿宋"/>
          <w:color w:val="auto"/>
          <w:highlight w:val="none"/>
        </w:rPr>
        <w:br w:type="page"/>
      </w:r>
    </w:p>
    <w:p w14:paraId="652019B1">
      <w:pPr>
        <w:pStyle w:val="26"/>
        <w:rPr>
          <w:rFonts w:hint="eastAsia" w:ascii="仿宋" w:hAnsi="仿宋"/>
          <w:color w:val="auto"/>
          <w:highlight w:val="none"/>
        </w:rPr>
      </w:pPr>
      <w:bookmarkStart w:id="82" w:name="_Toc37838084"/>
      <w:r>
        <w:rPr>
          <w:rFonts w:hint="eastAsia" w:ascii="仿宋" w:hAnsi="仿宋"/>
          <w:color w:val="auto"/>
          <w:highlight w:val="none"/>
        </w:rPr>
        <w:t>第三章  供应商和报价产品的资格、资质性及其他类似效力要求和应当提供的相关证明材料</w:t>
      </w:r>
      <w:bookmarkEnd w:id="82"/>
    </w:p>
    <w:tbl>
      <w:tblPr>
        <w:tblStyle w:val="30"/>
        <w:tblW w:w="9690"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168"/>
        <w:gridCol w:w="1596"/>
        <w:gridCol w:w="6098"/>
      </w:tblGrid>
      <w:tr w14:paraId="3F88D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B868720">
            <w:pPr>
              <w:widowControl/>
              <w:spacing w:line="240" w:lineRule="auto"/>
              <w:jc w:val="left"/>
              <w:rPr>
                <w:rFonts w:hint="eastAsia" w:ascii="仿宋" w:hAnsi="仿宋" w:cs="仿宋"/>
                <w:color w:val="auto"/>
                <w:highlight w:val="none"/>
              </w:rPr>
            </w:pPr>
            <w:r>
              <w:rPr>
                <w:rFonts w:hint="eastAsia" w:ascii="仿宋" w:hAnsi="仿宋" w:cs="仿宋"/>
                <w:color w:val="auto"/>
                <w:highlight w:val="none"/>
              </w:rPr>
              <w:t>序号</w:t>
            </w:r>
          </w:p>
        </w:tc>
        <w:tc>
          <w:tcPr>
            <w:tcW w:w="2764" w:type="dxa"/>
            <w:gridSpan w:val="2"/>
            <w:vAlign w:val="center"/>
          </w:tcPr>
          <w:p w14:paraId="12FA98B7">
            <w:pPr>
              <w:widowControl/>
              <w:spacing w:line="240" w:lineRule="auto"/>
              <w:jc w:val="center"/>
              <w:rPr>
                <w:rFonts w:hint="eastAsia" w:ascii="仿宋" w:hAnsi="仿宋" w:cs="仿宋"/>
                <w:color w:val="auto"/>
                <w:highlight w:val="none"/>
              </w:rPr>
            </w:pPr>
            <w:r>
              <w:rPr>
                <w:rFonts w:hint="eastAsia" w:ascii="仿宋" w:hAnsi="仿宋" w:cs="仿宋"/>
                <w:color w:val="auto"/>
                <w:highlight w:val="none"/>
              </w:rPr>
              <w:t>具备的条件</w:t>
            </w:r>
          </w:p>
        </w:tc>
        <w:tc>
          <w:tcPr>
            <w:tcW w:w="6098" w:type="dxa"/>
            <w:vAlign w:val="center"/>
          </w:tcPr>
          <w:p w14:paraId="32C15FE6">
            <w:pPr>
              <w:widowControl/>
              <w:spacing w:line="240" w:lineRule="auto"/>
              <w:jc w:val="center"/>
              <w:rPr>
                <w:rFonts w:hint="eastAsia" w:ascii="仿宋" w:hAnsi="仿宋" w:cs="仿宋"/>
                <w:color w:val="auto"/>
                <w:highlight w:val="none"/>
              </w:rPr>
            </w:pPr>
            <w:r>
              <w:rPr>
                <w:rFonts w:hint="eastAsia" w:ascii="仿宋" w:hAnsi="仿宋" w:cs="仿宋"/>
                <w:color w:val="auto"/>
                <w:highlight w:val="none"/>
              </w:rPr>
              <w:t>要求提供的相关证明材料</w:t>
            </w:r>
          </w:p>
        </w:tc>
      </w:tr>
      <w:tr w14:paraId="3933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90" w:type="dxa"/>
            <w:gridSpan w:val="4"/>
            <w:vAlign w:val="center"/>
          </w:tcPr>
          <w:p w14:paraId="7F8555A5">
            <w:pPr>
              <w:widowControl/>
              <w:spacing w:line="240" w:lineRule="auto"/>
              <w:ind w:firstLine="480" w:firstLineChars="200"/>
              <w:jc w:val="center"/>
              <w:rPr>
                <w:rFonts w:hint="eastAsia" w:ascii="仿宋" w:hAnsi="仿宋" w:cs="仿宋"/>
                <w:color w:val="auto"/>
                <w:highlight w:val="none"/>
              </w:rPr>
            </w:pPr>
            <w:r>
              <w:rPr>
                <w:rFonts w:hint="eastAsia" w:ascii="仿宋" w:hAnsi="仿宋" w:cs="仿宋"/>
                <w:color w:val="auto"/>
                <w:highlight w:val="none"/>
              </w:rPr>
              <w:t>供应商应满足资格要求</w:t>
            </w:r>
          </w:p>
        </w:tc>
      </w:tr>
      <w:tr w14:paraId="6B63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A49DDFC">
            <w:pPr>
              <w:widowControl/>
              <w:spacing w:line="240" w:lineRule="auto"/>
              <w:ind w:firstLine="240" w:firstLineChars="100"/>
              <w:jc w:val="left"/>
              <w:rPr>
                <w:rFonts w:hint="eastAsia" w:ascii="仿宋" w:hAnsi="仿宋" w:cs="仿宋"/>
                <w:color w:val="auto"/>
                <w:highlight w:val="none"/>
              </w:rPr>
            </w:pPr>
            <w:r>
              <w:rPr>
                <w:rFonts w:hint="eastAsia" w:ascii="仿宋" w:hAnsi="仿宋" w:cs="仿宋"/>
                <w:color w:val="auto"/>
                <w:highlight w:val="none"/>
              </w:rPr>
              <w:t>1</w:t>
            </w:r>
          </w:p>
        </w:tc>
        <w:tc>
          <w:tcPr>
            <w:tcW w:w="1168" w:type="dxa"/>
            <w:vMerge w:val="restart"/>
            <w:vAlign w:val="center"/>
          </w:tcPr>
          <w:p w14:paraId="4ED5C2A5">
            <w:pPr>
              <w:widowControl/>
              <w:tabs>
                <w:tab w:val="left" w:pos="7665"/>
              </w:tabs>
              <w:spacing w:line="240" w:lineRule="auto"/>
              <w:rPr>
                <w:rFonts w:hint="eastAsia" w:ascii="仿宋" w:hAnsi="仿宋" w:cs="仿宋"/>
                <w:color w:val="auto"/>
                <w:highlight w:val="none"/>
              </w:rPr>
            </w:pPr>
            <w:r>
              <w:rPr>
                <w:rFonts w:hint="eastAsia" w:ascii="仿宋" w:hAnsi="仿宋" w:cs="仿宋"/>
                <w:color w:val="auto"/>
                <w:highlight w:val="none"/>
              </w:rPr>
              <w:t>（一）满足一般资格要求</w:t>
            </w:r>
          </w:p>
        </w:tc>
        <w:tc>
          <w:tcPr>
            <w:tcW w:w="1596" w:type="dxa"/>
            <w:vAlign w:val="center"/>
          </w:tcPr>
          <w:p w14:paraId="79991352">
            <w:pPr>
              <w:widowControl/>
              <w:tabs>
                <w:tab w:val="left" w:pos="7665"/>
              </w:tabs>
              <w:spacing w:line="240" w:lineRule="auto"/>
              <w:rPr>
                <w:rFonts w:hint="eastAsia" w:ascii="仿宋" w:hAnsi="仿宋" w:cs="仿宋"/>
                <w:color w:val="auto"/>
                <w:highlight w:val="none"/>
              </w:rPr>
            </w:pPr>
            <w:r>
              <w:rPr>
                <w:rFonts w:hint="eastAsia" w:ascii="仿宋" w:hAnsi="仿宋" w:cs="仿宋"/>
                <w:color w:val="auto"/>
                <w:highlight w:val="none"/>
              </w:rPr>
              <w:t>具有独立承担民事责任的能力</w:t>
            </w:r>
          </w:p>
        </w:tc>
        <w:tc>
          <w:tcPr>
            <w:tcW w:w="6098" w:type="dxa"/>
            <w:tcBorders>
              <w:bottom w:val="single" w:color="auto" w:sz="4" w:space="0"/>
            </w:tcBorders>
          </w:tcPr>
          <w:p w14:paraId="008739C3">
            <w:pPr>
              <w:pStyle w:val="11"/>
              <w:spacing w:after="0" w:line="240" w:lineRule="auto"/>
              <w:ind w:firstLine="240" w:firstLineChars="100"/>
              <w:rPr>
                <w:rStyle w:val="98"/>
                <w:rFonts w:hint="eastAsia" w:ascii="仿宋" w:hAnsi="仿宋" w:cs="仿宋"/>
                <w:color w:val="auto"/>
                <w:szCs w:val="24"/>
                <w:highlight w:val="none"/>
              </w:rPr>
            </w:pPr>
            <w:r>
              <w:rPr>
                <w:rStyle w:val="98"/>
                <w:rFonts w:hint="eastAsia" w:ascii="仿宋" w:hAnsi="仿宋" w:cs="仿宋"/>
                <w:color w:val="auto"/>
                <w:szCs w:val="24"/>
                <w:highlight w:val="none"/>
              </w:rPr>
              <w:t>1.供应商为企业（包括合伙企业）、个体工商户的,应提供工商营业执照或提供由市场监管部门核发的法人或者其他组织统一社会信用代码的营业执照。（复印件，加盖供应商公章）</w:t>
            </w:r>
          </w:p>
          <w:p w14:paraId="5EBFA2D0">
            <w:pPr>
              <w:pStyle w:val="11"/>
              <w:spacing w:after="0" w:line="240" w:lineRule="auto"/>
              <w:ind w:firstLine="240" w:firstLineChars="100"/>
              <w:rPr>
                <w:rStyle w:val="98"/>
                <w:rFonts w:hint="eastAsia" w:ascii="仿宋" w:hAnsi="仿宋" w:cs="仿宋"/>
                <w:color w:val="auto"/>
                <w:szCs w:val="24"/>
                <w:highlight w:val="none"/>
              </w:rPr>
            </w:pPr>
            <w:r>
              <w:rPr>
                <w:rStyle w:val="98"/>
                <w:rFonts w:hint="eastAsia" w:ascii="仿宋" w:hAnsi="仿宋" w:cs="仿宋"/>
                <w:color w:val="auto"/>
                <w:szCs w:val="24"/>
                <w:highlight w:val="none"/>
              </w:rPr>
              <w:t>2.供应商属于银行、保险、石油石化、电力、电信等有行业特殊情况的，提供企业分支机构营业执照或统一社会信用代码的营业执照。（复印件，加盖供应商公章）</w:t>
            </w:r>
          </w:p>
          <w:p w14:paraId="78D5EF82">
            <w:pPr>
              <w:pStyle w:val="11"/>
              <w:spacing w:after="0" w:line="240" w:lineRule="auto"/>
              <w:ind w:firstLine="240" w:firstLineChars="100"/>
              <w:rPr>
                <w:rStyle w:val="98"/>
                <w:rFonts w:hint="eastAsia" w:ascii="仿宋" w:hAnsi="仿宋" w:cs="仿宋"/>
                <w:color w:val="auto"/>
                <w:szCs w:val="24"/>
                <w:highlight w:val="none"/>
              </w:rPr>
            </w:pPr>
            <w:r>
              <w:rPr>
                <w:rStyle w:val="98"/>
                <w:rFonts w:hint="eastAsia" w:ascii="仿宋" w:hAnsi="仿宋" w:cs="仿宋"/>
                <w:color w:val="auto"/>
                <w:szCs w:val="24"/>
                <w:highlight w:val="none"/>
              </w:rPr>
              <w:t>3.供应商为其他组织的，提供事业单位法人证书或执业许可证等证明文件。（复印件，加盖供应商公章）</w:t>
            </w:r>
          </w:p>
          <w:p w14:paraId="425253C0">
            <w:pPr>
              <w:pStyle w:val="11"/>
              <w:spacing w:after="0" w:line="240" w:lineRule="auto"/>
              <w:ind w:firstLine="240" w:firstLineChars="100"/>
              <w:rPr>
                <w:rStyle w:val="98"/>
                <w:rFonts w:hint="eastAsia" w:ascii="仿宋" w:hAnsi="仿宋" w:cs="仿宋"/>
                <w:color w:val="auto"/>
                <w:szCs w:val="24"/>
                <w:highlight w:val="none"/>
              </w:rPr>
            </w:pPr>
            <w:r>
              <w:rPr>
                <w:rStyle w:val="98"/>
                <w:rFonts w:hint="eastAsia" w:ascii="仿宋" w:hAnsi="仿宋" w:cs="仿宋"/>
                <w:color w:val="auto"/>
                <w:szCs w:val="24"/>
                <w:highlight w:val="none"/>
              </w:rPr>
              <w:t>4.如为自然人的提供《中华人民共和国居民身份证》。（复印件，持原件备查）</w:t>
            </w:r>
          </w:p>
        </w:tc>
      </w:tr>
      <w:tr w14:paraId="0F33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2" w:hRule="atLeast"/>
        </w:trPr>
        <w:tc>
          <w:tcPr>
            <w:tcW w:w="828" w:type="dxa"/>
            <w:vAlign w:val="center"/>
          </w:tcPr>
          <w:p w14:paraId="6BFA7538">
            <w:pPr>
              <w:widowControl/>
              <w:spacing w:line="240" w:lineRule="auto"/>
              <w:jc w:val="center"/>
              <w:rPr>
                <w:rFonts w:hint="eastAsia" w:ascii="仿宋" w:hAnsi="仿宋" w:cs="仿宋"/>
                <w:color w:val="auto"/>
                <w:highlight w:val="none"/>
              </w:rPr>
            </w:pPr>
            <w:r>
              <w:rPr>
                <w:rFonts w:hint="eastAsia" w:ascii="仿宋" w:hAnsi="仿宋" w:cs="仿宋"/>
                <w:color w:val="auto"/>
                <w:highlight w:val="none"/>
              </w:rPr>
              <w:t>2</w:t>
            </w:r>
          </w:p>
        </w:tc>
        <w:tc>
          <w:tcPr>
            <w:tcW w:w="1168" w:type="dxa"/>
            <w:vMerge w:val="continue"/>
            <w:vAlign w:val="center"/>
          </w:tcPr>
          <w:p w14:paraId="026FC615">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150EB3ED">
            <w:pPr>
              <w:widowControl/>
              <w:tabs>
                <w:tab w:val="left" w:pos="7665"/>
              </w:tabs>
              <w:spacing w:line="240" w:lineRule="auto"/>
              <w:jc w:val="center"/>
              <w:rPr>
                <w:rFonts w:hint="eastAsia" w:ascii="仿宋" w:hAnsi="仿宋" w:cs="仿宋"/>
                <w:color w:val="auto"/>
                <w:highlight w:val="none"/>
              </w:rPr>
            </w:pPr>
            <w:r>
              <w:rPr>
                <w:rFonts w:hint="eastAsia" w:ascii="仿宋" w:hAnsi="仿宋" w:cs="仿宋"/>
                <w:color w:val="auto"/>
                <w:highlight w:val="none"/>
              </w:rPr>
              <w:t>具有良好的商业信誉和健全的财务会计制度</w:t>
            </w:r>
          </w:p>
        </w:tc>
        <w:tc>
          <w:tcPr>
            <w:tcW w:w="6098" w:type="dxa"/>
          </w:tcPr>
          <w:p w14:paraId="70194996">
            <w:pPr>
              <w:pStyle w:val="11"/>
              <w:spacing w:after="0" w:line="240" w:lineRule="auto"/>
              <w:ind w:firstLine="240" w:firstLineChars="100"/>
              <w:rPr>
                <w:rStyle w:val="98"/>
                <w:rFonts w:hint="eastAsia" w:ascii="仿宋" w:hAnsi="仿宋" w:cs="仿宋"/>
                <w:color w:val="auto"/>
                <w:szCs w:val="24"/>
                <w:highlight w:val="none"/>
              </w:rPr>
            </w:pPr>
            <w:r>
              <w:rPr>
                <w:rStyle w:val="98"/>
                <w:rFonts w:hint="eastAsia" w:ascii="仿宋" w:hAnsi="仿宋" w:cs="仿宋"/>
                <w:color w:val="auto"/>
                <w:szCs w:val="24"/>
                <w:highlight w:val="none"/>
              </w:rPr>
              <w:t>1.供应商是否具有良好的商业信誉，由供应商出具书面承诺（原件，格式详见第</w:t>
            </w:r>
            <w:r>
              <w:rPr>
                <w:rFonts w:hint="eastAsia" w:ascii="仿宋" w:hAnsi="仿宋" w:cs="仿宋"/>
                <w:color w:val="auto"/>
                <w:highlight w:val="none"/>
              </w:rPr>
              <w:t>五</w:t>
            </w:r>
            <w:r>
              <w:rPr>
                <w:rStyle w:val="98"/>
                <w:rFonts w:hint="eastAsia" w:ascii="仿宋" w:hAnsi="仿宋" w:cs="仿宋"/>
                <w:color w:val="auto"/>
                <w:szCs w:val="24"/>
                <w:highlight w:val="none"/>
              </w:rPr>
              <w:t>章响应文件格式）；</w:t>
            </w:r>
          </w:p>
          <w:p w14:paraId="15290312">
            <w:pPr>
              <w:pStyle w:val="11"/>
              <w:spacing w:after="0" w:line="240" w:lineRule="auto"/>
              <w:ind w:firstLine="240" w:firstLineChars="100"/>
              <w:rPr>
                <w:rStyle w:val="98"/>
                <w:rFonts w:hint="eastAsia" w:ascii="仿宋" w:hAnsi="仿宋" w:cs="仿宋"/>
                <w:color w:val="auto"/>
                <w:szCs w:val="24"/>
                <w:highlight w:val="none"/>
              </w:rPr>
            </w:pPr>
            <w:r>
              <w:rPr>
                <w:rStyle w:val="98"/>
                <w:rFonts w:hint="eastAsia" w:ascii="仿宋" w:hAnsi="仿宋" w:cs="仿宋"/>
                <w:color w:val="auto"/>
                <w:szCs w:val="24"/>
                <w:highlight w:val="none"/>
              </w:rPr>
              <w:t>2.供应商是否有健全的财务会计制度：</w:t>
            </w:r>
          </w:p>
          <w:p w14:paraId="61677B84">
            <w:pPr>
              <w:pStyle w:val="11"/>
              <w:spacing w:after="0" w:line="240" w:lineRule="auto"/>
              <w:ind w:firstLine="240" w:firstLineChars="100"/>
              <w:rPr>
                <w:rStyle w:val="98"/>
                <w:rFonts w:hint="eastAsia" w:ascii="仿宋" w:hAnsi="仿宋" w:cs="仿宋"/>
                <w:color w:val="auto"/>
                <w:szCs w:val="24"/>
                <w:highlight w:val="none"/>
              </w:rPr>
            </w:pPr>
            <w:r>
              <w:rPr>
                <w:rStyle w:val="98"/>
                <w:rFonts w:hint="eastAsia" w:ascii="仿宋" w:hAnsi="仿宋" w:cs="仿宋"/>
                <w:color w:val="auto"/>
                <w:szCs w:val="24"/>
                <w:highlight w:val="none"/>
              </w:rPr>
              <w:t>a.提供近三年（2023年、2024年、2025年度或2022年、2023年、2024年度），经审计的财务审计报告复印件加盖供应商公章。审计报告应当包含报告正文、资产负债表、利润表、现金流量表及所有者权益变动表（如有）、附注，报告正文应当有会计师事务所公章，2个注册会计师的签字和盖章。报表字迹应清晰可辨识。</w:t>
            </w:r>
          </w:p>
          <w:p w14:paraId="59FA56B6">
            <w:pPr>
              <w:pStyle w:val="11"/>
              <w:spacing w:after="0" w:line="240" w:lineRule="auto"/>
              <w:ind w:firstLine="240" w:firstLineChars="100"/>
              <w:rPr>
                <w:rStyle w:val="98"/>
                <w:rFonts w:hint="eastAsia" w:ascii="仿宋" w:hAnsi="仿宋" w:cs="仿宋"/>
                <w:color w:val="auto"/>
                <w:szCs w:val="24"/>
                <w:highlight w:val="none"/>
              </w:rPr>
            </w:pPr>
            <w:r>
              <w:rPr>
                <w:rStyle w:val="98"/>
                <w:rFonts w:hint="eastAsia" w:ascii="仿宋" w:hAnsi="仿宋" w:cs="仿宋"/>
                <w:color w:val="auto"/>
                <w:szCs w:val="24"/>
                <w:highlight w:val="none"/>
              </w:rPr>
              <w:t>b.如因单位性质（军内单位、事业单位等）无法提供审计报告的，可以提供经单位盖章的财务报表复印件加盖供应商公章（2023年、2024年、2025年度或2022年、2023年、2024年度）或具有健全的财务会计制度的承诺函。</w:t>
            </w:r>
          </w:p>
          <w:p w14:paraId="73DD6333">
            <w:pPr>
              <w:pStyle w:val="11"/>
              <w:spacing w:after="0" w:line="240" w:lineRule="auto"/>
              <w:ind w:firstLine="241" w:firstLineChars="100"/>
              <w:rPr>
                <w:rStyle w:val="98"/>
                <w:rFonts w:hint="eastAsia" w:ascii="仿宋" w:hAnsi="仿宋" w:cs="仿宋"/>
                <w:color w:val="auto"/>
                <w:szCs w:val="24"/>
                <w:highlight w:val="none"/>
              </w:rPr>
            </w:pPr>
            <w:r>
              <w:rPr>
                <w:rStyle w:val="98"/>
                <w:rFonts w:hint="eastAsia" w:ascii="仿宋" w:hAnsi="仿宋" w:cs="仿宋"/>
                <w:b/>
                <w:bCs/>
                <w:color w:val="auto"/>
                <w:szCs w:val="24"/>
                <w:highlight w:val="none"/>
              </w:rPr>
              <w:t>注：科研院所、高等院校等事业单位、军内单位因特殊原因无法提供以上材料的，应在其响应文件中就其单位性质以及无法出具的原因作出书面说明</w:t>
            </w:r>
            <w:r>
              <w:rPr>
                <w:rStyle w:val="98"/>
                <w:rFonts w:hint="eastAsia" w:ascii="仿宋" w:hAnsi="仿宋" w:cs="仿宋"/>
                <w:color w:val="auto"/>
                <w:szCs w:val="24"/>
                <w:highlight w:val="none"/>
              </w:rPr>
              <w:t>。</w:t>
            </w:r>
          </w:p>
        </w:tc>
      </w:tr>
      <w:tr w14:paraId="0CBD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470D2795">
            <w:pPr>
              <w:widowControl/>
              <w:spacing w:line="240" w:lineRule="auto"/>
              <w:jc w:val="center"/>
              <w:rPr>
                <w:rFonts w:hint="eastAsia" w:ascii="仿宋" w:hAnsi="仿宋" w:cs="仿宋"/>
                <w:color w:val="auto"/>
                <w:highlight w:val="none"/>
              </w:rPr>
            </w:pPr>
            <w:r>
              <w:rPr>
                <w:rFonts w:hint="eastAsia" w:ascii="仿宋" w:hAnsi="仿宋" w:cs="仿宋"/>
                <w:color w:val="auto"/>
                <w:highlight w:val="none"/>
              </w:rPr>
              <w:t>3</w:t>
            </w:r>
          </w:p>
        </w:tc>
        <w:tc>
          <w:tcPr>
            <w:tcW w:w="1168" w:type="dxa"/>
            <w:vMerge w:val="continue"/>
            <w:vAlign w:val="center"/>
          </w:tcPr>
          <w:p w14:paraId="5EB46794">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49F67A8C">
            <w:pPr>
              <w:widowControl/>
              <w:tabs>
                <w:tab w:val="left" w:pos="7665"/>
              </w:tabs>
              <w:spacing w:line="240" w:lineRule="auto"/>
              <w:jc w:val="center"/>
              <w:rPr>
                <w:rFonts w:hint="eastAsia" w:ascii="仿宋" w:hAnsi="仿宋" w:cs="仿宋"/>
                <w:color w:val="auto"/>
                <w:highlight w:val="none"/>
              </w:rPr>
            </w:pPr>
            <w:r>
              <w:rPr>
                <w:rFonts w:hint="eastAsia" w:ascii="仿宋" w:hAnsi="仿宋" w:cs="仿宋"/>
                <w:color w:val="auto"/>
                <w:highlight w:val="none"/>
              </w:rPr>
              <w:t>具有履行合同所必需的设备和专业技术能力</w:t>
            </w:r>
          </w:p>
        </w:tc>
        <w:tc>
          <w:tcPr>
            <w:tcW w:w="6098" w:type="dxa"/>
          </w:tcPr>
          <w:p w14:paraId="0FC82846">
            <w:pPr>
              <w:pStyle w:val="11"/>
              <w:spacing w:after="0" w:line="240" w:lineRule="auto"/>
              <w:ind w:firstLine="240" w:firstLineChars="100"/>
              <w:rPr>
                <w:color w:val="auto"/>
                <w:highlight w:val="none"/>
              </w:rPr>
            </w:pPr>
            <w:r>
              <w:rPr>
                <w:rStyle w:val="98"/>
                <w:rFonts w:hint="eastAsia" w:ascii="仿宋" w:hAnsi="仿宋" w:cs="仿宋"/>
                <w:color w:val="auto"/>
                <w:szCs w:val="24"/>
                <w:highlight w:val="none"/>
              </w:rPr>
              <w:t>由供应商自行对本单位是否具备履行合同所必需的设备和专业技术能力进行评价。若具有履行合同所必需的设备和专业技术能力的，参与投标时，须出具《履行合同所必须的设备和专业技术能力承诺书》。（原件，格式详见第</w:t>
            </w:r>
            <w:r>
              <w:rPr>
                <w:rFonts w:hint="eastAsia" w:ascii="仿宋" w:hAnsi="仿宋" w:cs="仿宋"/>
                <w:color w:val="auto"/>
                <w:highlight w:val="none"/>
              </w:rPr>
              <w:t>五</w:t>
            </w:r>
            <w:r>
              <w:rPr>
                <w:rStyle w:val="98"/>
                <w:rFonts w:hint="eastAsia" w:ascii="仿宋" w:hAnsi="仿宋" w:cs="仿宋"/>
                <w:color w:val="auto"/>
                <w:szCs w:val="24"/>
                <w:highlight w:val="none"/>
              </w:rPr>
              <w:t>章响应文件格式）</w:t>
            </w:r>
          </w:p>
        </w:tc>
      </w:tr>
      <w:tr w14:paraId="35CC4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8E0C61E">
            <w:pPr>
              <w:widowControl/>
              <w:spacing w:line="240" w:lineRule="auto"/>
              <w:jc w:val="center"/>
              <w:rPr>
                <w:rFonts w:hint="eastAsia" w:ascii="仿宋" w:hAnsi="仿宋" w:cs="仿宋"/>
                <w:color w:val="auto"/>
                <w:highlight w:val="none"/>
              </w:rPr>
            </w:pPr>
            <w:r>
              <w:rPr>
                <w:rFonts w:hint="eastAsia" w:ascii="仿宋" w:hAnsi="仿宋" w:cs="仿宋"/>
                <w:color w:val="auto"/>
                <w:highlight w:val="none"/>
              </w:rPr>
              <w:t>4</w:t>
            </w:r>
          </w:p>
        </w:tc>
        <w:tc>
          <w:tcPr>
            <w:tcW w:w="1168" w:type="dxa"/>
            <w:vMerge w:val="continue"/>
            <w:vAlign w:val="center"/>
          </w:tcPr>
          <w:p w14:paraId="121D695C">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0D5F9696">
            <w:pPr>
              <w:widowControl/>
              <w:tabs>
                <w:tab w:val="left" w:pos="7665"/>
              </w:tabs>
              <w:spacing w:line="240" w:lineRule="auto"/>
              <w:jc w:val="center"/>
              <w:rPr>
                <w:rFonts w:hint="eastAsia" w:ascii="仿宋" w:hAnsi="仿宋" w:cs="仿宋"/>
                <w:color w:val="auto"/>
                <w:highlight w:val="none"/>
              </w:rPr>
            </w:pPr>
            <w:r>
              <w:rPr>
                <w:rFonts w:hint="eastAsia" w:ascii="仿宋" w:hAnsi="仿宋" w:cs="仿宋"/>
                <w:color w:val="auto"/>
                <w:highlight w:val="none"/>
              </w:rPr>
              <w:t>具有依法缴纳税收和社会保障资金的良好记录</w:t>
            </w:r>
          </w:p>
        </w:tc>
        <w:tc>
          <w:tcPr>
            <w:tcW w:w="6098" w:type="dxa"/>
          </w:tcPr>
          <w:p w14:paraId="2720B9C2">
            <w:pPr>
              <w:pStyle w:val="11"/>
              <w:spacing w:after="0" w:line="240" w:lineRule="auto"/>
              <w:ind w:firstLine="240" w:firstLineChars="100"/>
              <w:rPr>
                <w:rStyle w:val="98"/>
                <w:rFonts w:hint="eastAsia" w:ascii="仿宋" w:hAnsi="仿宋" w:cs="仿宋"/>
                <w:color w:val="auto"/>
                <w:szCs w:val="24"/>
                <w:highlight w:val="none"/>
              </w:rPr>
            </w:pPr>
            <w:r>
              <w:rPr>
                <w:rStyle w:val="98"/>
                <w:rFonts w:hint="eastAsia" w:ascii="仿宋" w:hAnsi="仿宋" w:cs="仿宋"/>
                <w:color w:val="auto"/>
                <w:szCs w:val="24"/>
                <w:highlight w:val="none"/>
              </w:rPr>
              <w:t>1.</w:t>
            </w:r>
            <w:r>
              <w:rPr>
                <w:rFonts w:hint="eastAsia" w:ascii="仿宋" w:hAnsi="仿宋" w:cs="仿宋"/>
                <w:color w:val="auto"/>
                <w:highlight w:val="none"/>
              </w:rPr>
              <w:t>具有依法缴纳税收的良好记录</w:t>
            </w:r>
          </w:p>
          <w:p w14:paraId="2D8302F9">
            <w:pPr>
              <w:pStyle w:val="11"/>
              <w:spacing w:after="0" w:line="240" w:lineRule="auto"/>
              <w:ind w:firstLine="240" w:firstLineChars="100"/>
              <w:rPr>
                <w:rStyle w:val="98"/>
                <w:rFonts w:hint="eastAsia" w:ascii="仿宋" w:hAnsi="仿宋" w:cs="仿宋"/>
                <w:color w:val="auto"/>
                <w:szCs w:val="24"/>
                <w:highlight w:val="none"/>
              </w:rPr>
            </w:pPr>
            <w:r>
              <w:rPr>
                <w:rStyle w:val="98"/>
                <w:rFonts w:hint="eastAsia" w:ascii="仿宋" w:hAnsi="仿宋" w:cs="仿宋"/>
                <w:color w:val="auto"/>
                <w:szCs w:val="24"/>
                <w:highlight w:val="none"/>
              </w:rPr>
              <w:t>供应商提供近一年内不少于6个月的缴纳税收的银行电子回</w:t>
            </w:r>
            <w:r>
              <w:rPr>
                <w:rStyle w:val="98"/>
                <w:rFonts w:hint="eastAsia" w:ascii="仿宋" w:hAnsi="仿宋" w:eastAsia="宋体" w:cs="仿宋"/>
                <w:color w:val="auto"/>
                <w:szCs w:val="24"/>
                <w:highlight w:val="none"/>
              </w:rPr>
              <w:t>单（票据）或税务部门出具的纳税证明或者纳税申报资料。（复印件加盖供应商公章，格式详见第</w:t>
            </w:r>
            <w:r>
              <w:rPr>
                <w:rStyle w:val="98"/>
                <w:rFonts w:eastAsia="宋体"/>
                <w:color w:val="auto"/>
                <w:szCs w:val="24"/>
                <w:highlight w:val="none"/>
              </w:rPr>
              <w:t>五</w:t>
            </w:r>
            <w:r>
              <w:rPr>
                <w:rStyle w:val="98"/>
                <w:rFonts w:hint="eastAsia" w:ascii="仿宋" w:hAnsi="仿宋" w:eastAsia="宋体" w:cs="仿宋"/>
                <w:color w:val="auto"/>
                <w:szCs w:val="24"/>
                <w:highlight w:val="none"/>
              </w:rPr>
              <w:t>章响应文件格式）。依法免税的应提供相应证明材料或说明。</w:t>
            </w:r>
          </w:p>
          <w:p w14:paraId="1615C67A">
            <w:pPr>
              <w:pStyle w:val="11"/>
              <w:spacing w:after="0" w:line="240" w:lineRule="auto"/>
              <w:ind w:firstLine="240" w:firstLineChars="100"/>
              <w:rPr>
                <w:rStyle w:val="98"/>
                <w:rFonts w:hint="eastAsia" w:ascii="仿宋" w:hAnsi="仿宋" w:cs="仿宋"/>
                <w:color w:val="auto"/>
                <w:szCs w:val="24"/>
                <w:highlight w:val="none"/>
              </w:rPr>
            </w:pPr>
            <w:r>
              <w:rPr>
                <w:rStyle w:val="98"/>
                <w:rFonts w:hint="eastAsia" w:ascii="仿宋" w:hAnsi="仿宋" w:cs="仿宋"/>
                <w:color w:val="auto"/>
                <w:szCs w:val="24"/>
                <w:highlight w:val="none"/>
              </w:rPr>
              <w:t>2.</w:t>
            </w:r>
            <w:r>
              <w:rPr>
                <w:rFonts w:hint="eastAsia" w:ascii="仿宋" w:hAnsi="仿宋" w:cs="仿宋"/>
                <w:color w:val="auto"/>
                <w:highlight w:val="none"/>
              </w:rPr>
              <w:t>具有依法缴纳社会保障资金的良好记录</w:t>
            </w:r>
          </w:p>
          <w:p w14:paraId="5C6BFCC0">
            <w:pPr>
              <w:pStyle w:val="11"/>
              <w:spacing w:after="0" w:line="240" w:lineRule="auto"/>
              <w:ind w:firstLine="240" w:firstLineChars="100"/>
              <w:rPr>
                <w:rStyle w:val="98"/>
                <w:rFonts w:hint="eastAsia" w:ascii="仿宋" w:hAnsi="仿宋" w:cs="仿宋"/>
                <w:color w:val="auto"/>
                <w:szCs w:val="24"/>
                <w:highlight w:val="none"/>
              </w:rPr>
            </w:pPr>
            <w:r>
              <w:rPr>
                <w:rStyle w:val="98"/>
                <w:rFonts w:hint="eastAsia" w:ascii="仿宋" w:hAnsi="仿宋" w:cs="仿宋"/>
                <w:color w:val="auto"/>
                <w:szCs w:val="24"/>
                <w:highlight w:val="none"/>
              </w:rPr>
              <w:t>供应商提供近一年内不少于3个月的缴纳社保的银行电子回单（票据）或社保部门出具的社保缴纳证明材料。（复印件加盖供应商公章，格式详见第五章响应文件格式）。依法不需要缴纳社会保障资金的应提供相应证明材料</w:t>
            </w:r>
            <w:r>
              <w:rPr>
                <w:rStyle w:val="98"/>
                <w:rFonts w:hint="eastAsia" w:ascii="仿宋" w:hAnsi="仿宋" w:eastAsia="宋体" w:cs="仿宋"/>
                <w:color w:val="auto"/>
                <w:szCs w:val="24"/>
                <w:highlight w:val="none"/>
              </w:rPr>
              <w:t>或说明</w:t>
            </w:r>
            <w:r>
              <w:rPr>
                <w:rStyle w:val="98"/>
                <w:rFonts w:hint="eastAsia" w:ascii="仿宋" w:hAnsi="仿宋" w:cs="仿宋"/>
                <w:color w:val="auto"/>
                <w:szCs w:val="24"/>
                <w:highlight w:val="none"/>
              </w:rPr>
              <w:t>。</w:t>
            </w:r>
          </w:p>
        </w:tc>
      </w:tr>
      <w:tr w14:paraId="6E00E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8F56061">
            <w:pPr>
              <w:widowControl/>
              <w:spacing w:line="240" w:lineRule="auto"/>
              <w:jc w:val="center"/>
              <w:rPr>
                <w:rFonts w:hint="eastAsia" w:ascii="仿宋" w:hAnsi="仿宋" w:cs="仿宋"/>
                <w:color w:val="auto"/>
                <w:highlight w:val="none"/>
              </w:rPr>
            </w:pPr>
            <w:r>
              <w:rPr>
                <w:rFonts w:hint="eastAsia" w:ascii="仿宋" w:hAnsi="仿宋" w:cs="仿宋"/>
                <w:color w:val="auto"/>
                <w:highlight w:val="none"/>
              </w:rPr>
              <w:t>5</w:t>
            </w:r>
          </w:p>
        </w:tc>
        <w:tc>
          <w:tcPr>
            <w:tcW w:w="1168" w:type="dxa"/>
            <w:vMerge w:val="continue"/>
            <w:vAlign w:val="center"/>
          </w:tcPr>
          <w:p w14:paraId="787F6FE2">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4BF41AAD">
            <w:pPr>
              <w:widowControl/>
              <w:tabs>
                <w:tab w:val="left" w:pos="7665"/>
              </w:tabs>
              <w:spacing w:line="240" w:lineRule="auto"/>
              <w:jc w:val="center"/>
              <w:rPr>
                <w:rFonts w:hint="eastAsia" w:ascii="仿宋" w:hAnsi="仿宋" w:cs="仿宋"/>
                <w:color w:val="auto"/>
                <w:highlight w:val="none"/>
              </w:rPr>
            </w:pPr>
            <w:r>
              <w:rPr>
                <w:rFonts w:hint="eastAsia" w:ascii="仿宋" w:hAnsi="仿宋" w:cs="仿宋"/>
                <w:color w:val="auto"/>
                <w:highlight w:val="none"/>
              </w:rPr>
              <w:t>参加本次询比活动前三年内，在经营活动中没有重大违法违规记录</w:t>
            </w:r>
          </w:p>
        </w:tc>
        <w:tc>
          <w:tcPr>
            <w:tcW w:w="6098" w:type="dxa"/>
            <w:vAlign w:val="center"/>
          </w:tcPr>
          <w:p w14:paraId="6EB03623">
            <w:pPr>
              <w:widowControl/>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供应商在参加本次询比活动时做出书面声明。</w:t>
            </w:r>
          </w:p>
          <w:p w14:paraId="7919CE01">
            <w:pPr>
              <w:widowControl/>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（原件，格式详见第五章响应文件格式）</w:t>
            </w:r>
          </w:p>
        </w:tc>
      </w:tr>
      <w:tr w14:paraId="69C1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4D53038">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6</w:t>
            </w:r>
          </w:p>
        </w:tc>
        <w:tc>
          <w:tcPr>
            <w:tcW w:w="1168" w:type="dxa"/>
            <w:vMerge w:val="restart"/>
            <w:vAlign w:val="center"/>
          </w:tcPr>
          <w:p w14:paraId="71A7ABC8">
            <w:pPr>
              <w:widowControl/>
              <w:tabs>
                <w:tab w:val="left" w:pos="7665"/>
              </w:tabs>
              <w:spacing w:line="240" w:lineRule="auto"/>
              <w:jc w:val="center"/>
              <w:rPr>
                <w:rFonts w:hint="eastAsia" w:ascii="仿宋" w:hAnsi="仿宋" w:cs="仿宋"/>
                <w:color w:val="auto"/>
                <w:highlight w:val="none"/>
              </w:rPr>
            </w:pPr>
            <w:r>
              <w:rPr>
                <w:rFonts w:hint="eastAsia" w:ascii="仿宋" w:hAnsi="仿宋" w:cs="仿宋"/>
                <w:color w:val="auto"/>
                <w:highlight w:val="none"/>
              </w:rPr>
              <w:t>（二）满足其它资格要求</w:t>
            </w:r>
          </w:p>
        </w:tc>
        <w:tc>
          <w:tcPr>
            <w:tcW w:w="1596" w:type="dxa"/>
            <w:vAlign w:val="center"/>
          </w:tcPr>
          <w:p w14:paraId="487616E2">
            <w:pPr>
              <w:widowControl/>
              <w:tabs>
                <w:tab w:val="left" w:pos="7665"/>
              </w:tabs>
              <w:spacing w:line="240" w:lineRule="auto"/>
              <w:jc w:val="center"/>
              <w:rPr>
                <w:rFonts w:hint="eastAsia" w:ascii="仿宋" w:hAnsi="仿宋" w:cs="仿宋"/>
                <w:color w:val="auto"/>
                <w:highlight w:val="none"/>
              </w:rPr>
            </w:pPr>
            <w:r>
              <w:rPr>
                <w:rFonts w:hint="eastAsia" w:ascii="仿宋" w:hAnsi="仿宋" w:cs="仿宋"/>
                <w:color w:val="auto"/>
                <w:highlight w:val="none"/>
              </w:rPr>
              <w:t>参加本项目供应商员为本单位在职员工</w:t>
            </w:r>
          </w:p>
        </w:tc>
        <w:tc>
          <w:tcPr>
            <w:tcW w:w="6098" w:type="dxa"/>
            <w:vAlign w:val="center"/>
          </w:tcPr>
          <w:p w14:paraId="7558C66C">
            <w:pPr>
              <w:widowControl/>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提供参加本项目供应商员为本单位在职员工的在职证明材料或承诺函。（格式见第五章响应文件格式）</w:t>
            </w:r>
          </w:p>
        </w:tc>
      </w:tr>
      <w:tr w14:paraId="1A9C6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F205432">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7</w:t>
            </w:r>
          </w:p>
        </w:tc>
        <w:tc>
          <w:tcPr>
            <w:tcW w:w="1168" w:type="dxa"/>
            <w:vMerge w:val="continue"/>
            <w:vAlign w:val="center"/>
          </w:tcPr>
          <w:p w14:paraId="064ABDA9">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7C5AB869">
            <w:pPr>
              <w:widowControl/>
              <w:tabs>
                <w:tab w:val="left" w:pos="7665"/>
              </w:tabs>
              <w:spacing w:line="240" w:lineRule="auto"/>
              <w:jc w:val="center"/>
              <w:rPr>
                <w:rFonts w:hint="eastAsia" w:ascii="仿宋" w:hAnsi="仿宋" w:cs="仿宋"/>
                <w:color w:val="auto"/>
                <w:highlight w:val="none"/>
              </w:rPr>
            </w:pPr>
            <w:r>
              <w:rPr>
                <w:rFonts w:hint="eastAsia" w:ascii="仿宋" w:hAnsi="仿宋" w:cs="仿宋"/>
                <w:color w:val="auto"/>
                <w:highlight w:val="none"/>
              </w:rPr>
              <w:t>供应商法定代表人无行贿犯罪记录</w:t>
            </w:r>
          </w:p>
        </w:tc>
        <w:tc>
          <w:tcPr>
            <w:tcW w:w="6098" w:type="dxa"/>
            <w:vAlign w:val="center"/>
          </w:tcPr>
          <w:p w14:paraId="3F6180F1">
            <w:pPr>
              <w:widowControl/>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提供无行贿犯罪记录承诺函</w:t>
            </w:r>
            <w:r>
              <w:rPr>
                <w:rFonts w:hint="eastAsia" w:ascii="宋体" w:hAnsi="宋体" w:eastAsia="宋体" w:cs="宋体"/>
                <w:color w:val="auto"/>
                <w:highlight w:val="none"/>
              </w:rPr>
              <w:t>。</w:t>
            </w:r>
            <w:r>
              <w:rPr>
                <w:rFonts w:hint="eastAsia" w:ascii="仿宋" w:hAnsi="仿宋" w:cs="仿宋"/>
                <w:color w:val="auto"/>
                <w:highlight w:val="none"/>
              </w:rPr>
              <w:t>并提供“中国裁判文书网”相关查询结果截图，其中包括供应商和法定代表人查询截图。（原件，格式见第五章响应文件格式）</w:t>
            </w:r>
          </w:p>
        </w:tc>
      </w:tr>
      <w:tr w14:paraId="0B67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E219A11">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8</w:t>
            </w:r>
          </w:p>
        </w:tc>
        <w:tc>
          <w:tcPr>
            <w:tcW w:w="1168" w:type="dxa"/>
            <w:vMerge w:val="continue"/>
            <w:vAlign w:val="center"/>
          </w:tcPr>
          <w:p w14:paraId="6A2084D2">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7C9455DC">
            <w:pPr>
              <w:widowControl/>
              <w:tabs>
                <w:tab w:val="left" w:pos="7665"/>
              </w:tabs>
              <w:spacing w:line="240" w:lineRule="auto"/>
              <w:jc w:val="center"/>
              <w:rPr>
                <w:rFonts w:hint="eastAsia" w:ascii="仿宋" w:hAnsi="仿宋" w:cs="仿宋"/>
                <w:color w:val="auto"/>
                <w:highlight w:val="none"/>
              </w:rPr>
            </w:pPr>
            <w:r>
              <w:rPr>
                <w:rFonts w:hint="eastAsia" w:ascii="仿宋" w:hAnsi="仿宋" w:cs="仿宋"/>
                <w:bCs/>
                <w:color w:val="auto"/>
                <w:highlight w:val="none"/>
              </w:rPr>
              <w:t>法定代表人为中华人民共和国国籍，未拥有境外永久居留权</w:t>
            </w:r>
          </w:p>
        </w:tc>
        <w:tc>
          <w:tcPr>
            <w:tcW w:w="6098" w:type="dxa"/>
            <w:vAlign w:val="center"/>
          </w:tcPr>
          <w:p w14:paraId="61AED680">
            <w:pPr>
              <w:widowControl/>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提供法定代表人为中华人民共和国国籍，且未拥有境外永久居留权（含港澳台）的书面声明。（原件，格式见第五章响应文件格式）</w:t>
            </w:r>
          </w:p>
        </w:tc>
      </w:tr>
      <w:tr w14:paraId="4019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9A92CD4">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9</w:t>
            </w:r>
          </w:p>
        </w:tc>
        <w:tc>
          <w:tcPr>
            <w:tcW w:w="1168" w:type="dxa"/>
            <w:vMerge w:val="continue"/>
            <w:vAlign w:val="center"/>
          </w:tcPr>
          <w:p w14:paraId="5A298221">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0571FFE9">
            <w:pPr>
              <w:widowControl/>
              <w:spacing w:line="240" w:lineRule="auto"/>
              <w:ind w:firstLine="240" w:firstLineChars="100"/>
              <w:jc w:val="left"/>
              <w:rPr>
                <w:rFonts w:hint="eastAsia" w:ascii="仿宋" w:hAnsi="仿宋" w:cs="仿宋"/>
                <w:bCs/>
                <w:color w:val="auto"/>
                <w:highlight w:val="none"/>
              </w:rPr>
            </w:pPr>
            <w:r>
              <w:rPr>
                <w:rFonts w:hint="eastAsia" w:ascii="仿宋" w:hAnsi="仿宋" w:cs="仿宋"/>
                <w:bCs/>
                <w:color w:val="auto"/>
                <w:highlight w:val="none"/>
              </w:rPr>
              <w:t>供应商未被“信用中国”或“中国执行信息公开网”网站列入失信被执行人名单</w:t>
            </w:r>
          </w:p>
        </w:tc>
        <w:tc>
          <w:tcPr>
            <w:tcW w:w="6098" w:type="dxa"/>
            <w:vAlign w:val="center"/>
          </w:tcPr>
          <w:p w14:paraId="017351E9">
            <w:pPr>
              <w:widowControl/>
              <w:spacing w:line="240" w:lineRule="auto"/>
              <w:ind w:firstLine="240" w:firstLineChars="100"/>
              <w:rPr>
                <w:rFonts w:hint="eastAsia" w:ascii="仿宋" w:hAnsi="仿宋" w:cs="仿宋"/>
                <w:bCs/>
                <w:color w:val="auto"/>
                <w:highlight w:val="none"/>
              </w:rPr>
            </w:pPr>
            <w:r>
              <w:rPr>
                <w:rFonts w:hint="eastAsia" w:ascii="仿宋" w:hAnsi="仿宋" w:cs="仿宋"/>
                <w:bCs/>
                <w:color w:val="auto"/>
                <w:highlight w:val="none"/>
              </w:rPr>
              <w:t>提供“信用中国”或“中国执行信息公开网”查询记录截图。（格式见第五章响应文件格式）</w:t>
            </w:r>
          </w:p>
        </w:tc>
      </w:tr>
      <w:tr w14:paraId="28DCA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F2438B9">
            <w:pPr>
              <w:pStyle w:val="11"/>
              <w:spacing w:after="0" w:line="240" w:lineRule="auto"/>
              <w:jc w:val="center"/>
              <w:rPr>
                <w:rFonts w:hint="eastAsia" w:ascii="仿宋" w:hAnsi="仿宋" w:cs="仿宋"/>
                <w:color w:val="auto"/>
                <w:highlight w:val="none"/>
              </w:rPr>
            </w:pPr>
          </w:p>
        </w:tc>
        <w:tc>
          <w:tcPr>
            <w:tcW w:w="1168" w:type="dxa"/>
            <w:vMerge w:val="continue"/>
            <w:vAlign w:val="center"/>
          </w:tcPr>
          <w:p w14:paraId="6BA0F216">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187430E1">
            <w:pPr>
              <w:widowControl/>
              <w:spacing w:line="240" w:lineRule="auto"/>
              <w:ind w:firstLine="240" w:firstLineChars="100"/>
              <w:jc w:val="left"/>
              <w:rPr>
                <w:rFonts w:hint="eastAsia" w:ascii="仿宋" w:hAnsi="仿宋" w:cs="仿宋"/>
                <w:bCs/>
                <w:color w:val="auto"/>
                <w:highlight w:val="none"/>
              </w:rPr>
            </w:pPr>
            <w:r>
              <w:rPr>
                <w:rFonts w:hint="eastAsia" w:ascii="仿宋" w:hAnsi="仿宋" w:cs="仿宋"/>
                <w:bCs/>
                <w:color w:val="auto"/>
                <w:highlight w:val="none"/>
              </w:rPr>
              <w:t>业绩要求</w:t>
            </w:r>
          </w:p>
        </w:tc>
        <w:tc>
          <w:tcPr>
            <w:tcW w:w="6098" w:type="dxa"/>
            <w:vAlign w:val="center"/>
          </w:tcPr>
          <w:p w14:paraId="3C83D705">
            <w:pPr>
              <w:spacing w:line="240" w:lineRule="auto"/>
              <w:ind w:firstLine="240" w:firstLineChars="100"/>
              <w:rPr>
                <w:rFonts w:hint="eastAsia" w:ascii="仿宋" w:hAnsi="仿宋" w:cs="仿宋"/>
                <w:bCs/>
                <w:color w:val="auto"/>
                <w:highlight w:val="none"/>
              </w:rPr>
            </w:pPr>
            <w:r>
              <w:rPr>
                <w:rFonts w:hint="eastAsia" w:ascii="仿宋" w:hAnsi="仿宋" w:cs="仿宋"/>
                <w:bCs/>
                <w:color w:val="auto"/>
                <w:highlight w:val="none"/>
              </w:rPr>
              <w:t>2020年1月1日至今，供应商至少具有1个航空领域适航合规体系建设、适航审定、质量保证体系搭建或民航/空管/无人机相关适航咨询服务的业绩案例。（提供合同复印件，判定时间以合同签订时间为准。）</w:t>
            </w:r>
          </w:p>
        </w:tc>
      </w:tr>
      <w:tr w14:paraId="01D9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3D51C2E">
            <w:pPr>
              <w:pStyle w:val="11"/>
              <w:spacing w:after="0" w:line="240" w:lineRule="auto"/>
              <w:jc w:val="center"/>
              <w:rPr>
                <w:color w:val="auto"/>
                <w:highlight w:val="none"/>
              </w:rPr>
            </w:pPr>
            <w:r>
              <w:rPr>
                <w:rFonts w:hint="eastAsia" w:ascii="仿宋" w:hAnsi="仿宋" w:cs="仿宋"/>
                <w:color w:val="auto"/>
                <w:highlight w:val="none"/>
              </w:rPr>
              <w:t>10</w:t>
            </w:r>
          </w:p>
        </w:tc>
        <w:tc>
          <w:tcPr>
            <w:tcW w:w="1168" w:type="dxa"/>
            <w:vMerge w:val="continue"/>
            <w:vAlign w:val="center"/>
          </w:tcPr>
          <w:p w14:paraId="11A6F053">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4C5E4AF0">
            <w:pPr>
              <w:widowControl/>
              <w:tabs>
                <w:tab w:val="left" w:pos="7665"/>
              </w:tabs>
              <w:spacing w:line="240" w:lineRule="auto"/>
              <w:jc w:val="center"/>
              <w:rPr>
                <w:rFonts w:hint="eastAsia" w:ascii="仿宋" w:hAnsi="仿宋" w:cs="仿宋"/>
                <w:color w:val="auto"/>
                <w:highlight w:val="none"/>
              </w:rPr>
            </w:pPr>
            <w:r>
              <w:rPr>
                <w:rFonts w:hint="eastAsia" w:ascii="仿宋" w:hAnsi="仿宋" w:cs="仿宋"/>
                <w:color w:val="auto"/>
                <w:highlight w:val="none"/>
              </w:rPr>
              <w:t>本项目不接受联合体参与询比</w:t>
            </w:r>
          </w:p>
        </w:tc>
        <w:tc>
          <w:tcPr>
            <w:tcW w:w="6098" w:type="dxa"/>
          </w:tcPr>
          <w:p w14:paraId="586DA829">
            <w:pPr>
              <w:widowControl/>
              <w:spacing w:line="240" w:lineRule="auto"/>
              <w:ind w:firstLine="240" w:firstLineChars="100"/>
              <w:jc w:val="left"/>
              <w:rPr>
                <w:rFonts w:hint="eastAsia" w:ascii="仿宋" w:hAnsi="仿宋" w:cs="仿宋"/>
                <w:color w:val="auto"/>
                <w:highlight w:val="none"/>
              </w:rPr>
            </w:pPr>
            <w:r>
              <w:rPr>
                <w:rFonts w:hint="eastAsia" w:ascii="仿宋" w:hAnsi="仿宋" w:cs="仿宋"/>
                <w:color w:val="auto"/>
                <w:highlight w:val="none"/>
              </w:rPr>
              <w:t>供应商在参加本次投标活动时提供非联合体参与询比声明函。（原件，格式详见第五章响应文件格式）</w:t>
            </w:r>
          </w:p>
        </w:tc>
      </w:tr>
      <w:tr w14:paraId="48BAC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90" w:type="dxa"/>
            <w:gridSpan w:val="4"/>
          </w:tcPr>
          <w:p w14:paraId="00794E3A">
            <w:pPr>
              <w:widowControl/>
              <w:spacing w:line="240" w:lineRule="auto"/>
              <w:jc w:val="center"/>
              <w:rPr>
                <w:rFonts w:hint="eastAsia" w:ascii="仿宋" w:hAnsi="仿宋" w:cs="仿宋"/>
                <w:color w:val="auto"/>
                <w:highlight w:val="none"/>
              </w:rPr>
            </w:pPr>
            <w:r>
              <w:rPr>
                <w:rFonts w:hint="eastAsia" w:ascii="仿宋" w:hAnsi="仿宋" w:cs="仿宋"/>
                <w:color w:val="auto"/>
                <w:highlight w:val="none"/>
              </w:rPr>
              <w:t>响应文件的有效性、完整性和响应程度审查（符合性审查）</w:t>
            </w:r>
          </w:p>
        </w:tc>
      </w:tr>
      <w:tr w14:paraId="235B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403162E8">
            <w:pPr>
              <w:pStyle w:val="11"/>
              <w:spacing w:after="0" w:line="240" w:lineRule="auto"/>
              <w:jc w:val="center"/>
              <w:rPr>
                <w:color w:val="auto"/>
                <w:highlight w:val="none"/>
              </w:rPr>
            </w:pPr>
            <w:r>
              <w:rPr>
                <w:rFonts w:hint="eastAsia" w:ascii="仿宋" w:hAnsi="仿宋" w:cs="仿宋"/>
                <w:color w:val="auto"/>
                <w:highlight w:val="none"/>
              </w:rPr>
              <w:t>1</w:t>
            </w:r>
          </w:p>
        </w:tc>
        <w:tc>
          <w:tcPr>
            <w:tcW w:w="2764" w:type="dxa"/>
            <w:gridSpan w:val="2"/>
            <w:vAlign w:val="center"/>
          </w:tcPr>
          <w:p w14:paraId="41AC2FE1">
            <w:pPr>
              <w:widowControl/>
              <w:tabs>
                <w:tab w:val="left" w:pos="7665"/>
              </w:tabs>
              <w:spacing w:line="240" w:lineRule="auto"/>
              <w:rPr>
                <w:rFonts w:hint="eastAsia" w:ascii="仿宋" w:hAnsi="仿宋" w:cs="仿宋"/>
                <w:color w:val="auto"/>
                <w:highlight w:val="none"/>
              </w:rPr>
            </w:pPr>
            <w:r>
              <w:rPr>
                <w:rStyle w:val="98"/>
                <w:rFonts w:hint="eastAsia" w:ascii="仿宋" w:hAnsi="仿宋" w:cs="仿宋"/>
                <w:color w:val="auto"/>
                <w:szCs w:val="24"/>
                <w:highlight w:val="none"/>
              </w:rPr>
              <w:t>响应文件数量</w:t>
            </w:r>
          </w:p>
        </w:tc>
        <w:tc>
          <w:tcPr>
            <w:tcW w:w="6098" w:type="dxa"/>
            <w:vAlign w:val="center"/>
          </w:tcPr>
          <w:p w14:paraId="05B59D2A">
            <w:pPr>
              <w:widowControl/>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响应文件正本1份、副本2份、电子文档（U盘1份）</w:t>
            </w:r>
          </w:p>
        </w:tc>
      </w:tr>
      <w:tr w14:paraId="7C710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52515E6">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2</w:t>
            </w:r>
          </w:p>
        </w:tc>
        <w:tc>
          <w:tcPr>
            <w:tcW w:w="2764" w:type="dxa"/>
            <w:gridSpan w:val="2"/>
            <w:vAlign w:val="center"/>
          </w:tcPr>
          <w:p w14:paraId="2AC60E6B">
            <w:pPr>
              <w:pStyle w:val="94"/>
              <w:jc w:val="both"/>
              <w:rPr>
                <w:rFonts w:ascii="仿宋" w:hAnsi="仿宋" w:eastAsia="仿宋" w:cs="仿宋"/>
                <w:color w:val="auto"/>
                <w:sz w:val="24"/>
                <w:szCs w:val="24"/>
                <w:highlight w:val="none"/>
                <w:lang w:eastAsia="zh-CN"/>
              </w:rPr>
            </w:pPr>
            <w:r>
              <w:rPr>
                <w:rStyle w:val="98"/>
                <w:rFonts w:ascii="仿宋" w:hAnsi="仿宋" w:eastAsia="仿宋" w:cs="仿宋"/>
                <w:color w:val="auto"/>
                <w:sz w:val="24"/>
                <w:szCs w:val="24"/>
                <w:highlight w:val="none"/>
                <w:lang w:eastAsia="zh-CN"/>
              </w:rPr>
              <w:t>密封、签署、盖章</w:t>
            </w:r>
          </w:p>
        </w:tc>
        <w:tc>
          <w:tcPr>
            <w:tcW w:w="6098" w:type="dxa"/>
            <w:vAlign w:val="center"/>
          </w:tcPr>
          <w:p w14:paraId="0B23EE13">
            <w:pPr>
              <w:pStyle w:val="94"/>
              <w:ind w:firstLine="240" w:firstLineChars="100"/>
              <w:jc w:val="both"/>
              <w:rPr>
                <w:rFonts w:ascii="仿宋" w:hAnsi="仿宋" w:eastAsia="仿宋" w:cs="仿宋"/>
                <w:color w:val="auto"/>
                <w:sz w:val="24"/>
                <w:szCs w:val="24"/>
                <w:highlight w:val="none"/>
                <w:lang w:eastAsia="zh-CN"/>
              </w:rPr>
            </w:pPr>
            <w:r>
              <w:rPr>
                <w:rStyle w:val="98"/>
                <w:rFonts w:ascii="仿宋" w:hAnsi="仿宋" w:eastAsia="仿宋" w:cs="仿宋"/>
                <w:color w:val="auto"/>
                <w:sz w:val="24"/>
                <w:szCs w:val="24"/>
                <w:highlight w:val="none"/>
                <w:lang w:eastAsia="zh-CN"/>
              </w:rPr>
              <w:t>未按照询比文件要求进行法定代表人或者有效授权代理人签字的，或者询比文件明确要求加盖公章而未进行盖章的。</w:t>
            </w:r>
          </w:p>
        </w:tc>
      </w:tr>
      <w:tr w14:paraId="1F90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8" w:type="dxa"/>
            <w:vAlign w:val="center"/>
          </w:tcPr>
          <w:p w14:paraId="166C754D">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3</w:t>
            </w:r>
          </w:p>
        </w:tc>
        <w:tc>
          <w:tcPr>
            <w:tcW w:w="2764" w:type="dxa"/>
            <w:gridSpan w:val="2"/>
            <w:vAlign w:val="center"/>
          </w:tcPr>
          <w:p w14:paraId="59DCCA70">
            <w:pPr>
              <w:pStyle w:val="94"/>
              <w:rPr>
                <w:rStyle w:val="98"/>
                <w:rFonts w:ascii="仿宋" w:hAnsi="仿宋" w:eastAsia="仿宋" w:cs="仿宋"/>
                <w:color w:val="auto"/>
                <w:sz w:val="24"/>
                <w:szCs w:val="24"/>
                <w:highlight w:val="none"/>
                <w:lang w:eastAsia="zh-CN"/>
              </w:rPr>
            </w:pPr>
            <w:r>
              <w:rPr>
                <w:rStyle w:val="98"/>
                <w:rFonts w:ascii="仿宋" w:hAnsi="仿宋" w:eastAsia="仿宋" w:cs="仿宋"/>
                <w:color w:val="auto"/>
                <w:sz w:val="24"/>
                <w:szCs w:val="24"/>
                <w:highlight w:val="none"/>
                <w:lang w:eastAsia="zh-CN"/>
              </w:rPr>
              <w:t>格式、语言、计量单位、报价货币、知识产权</w:t>
            </w:r>
          </w:p>
        </w:tc>
        <w:tc>
          <w:tcPr>
            <w:tcW w:w="6098" w:type="dxa"/>
            <w:vAlign w:val="center"/>
          </w:tcPr>
          <w:p w14:paraId="064EFEC3">
            <w:pPr>
              <w:pStyle w:val="94"/>
              <w:ind w:firstLine="240" w:firstLineChars="100"/>
              <w:jc w:val="both"/>
              <w:rPr>
                <w:rStyle w:val="98"/>
                <w:rFonts w:ascii="仿宋" w:hAnsi="仿宋" w:eastAsia="仿宋" w:cs="仿宋"/>
                <w:color w:val="auto"/>
                <w:sz w:val="24"/>
                <w:szCs w:val="24"/>
                <w:highlight w:val="none"/>
                <w:lang w:eastAsia="zh-CN"/>
              </w:rPr>
            </w:pPr>
            <w:r>
              <w:rPr>
                <w:rStyle w:val="98"/>
                <w:rFonts w:ascii="仿宋" w:hAnsi="仿宋" w:eastAsia="仿宋" w:cs="仿宋"/>
                <w:color w:val="auto"/>
                <w:sz w:val="24"/>
                <w:szCs w:val="24"/>
                <w:highlight w:val="none"/>
                <w:lang w:eastAsia="zh-CN"/>
              </w:rPr>
              <w:t>未载明或者载明的标的名称、数量、计量单位、报价及其他合同实质性内容与询比文件要求不一致，且采购人无法接受的，属于无效响应。</w:t>
            </w:r>
          </w:p>
        </w:tc>
      </w:tr>
      <w:tr w14:paraId="4FD90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8C1EC49">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4</w:t>
            </w:r>
          </w:p>
        </w:tc>
        <w:tc>
          <w:tcPr>
            <w:tcW w:w="2764" w:type="dxa"/>
            <w:gridSpan w:val="2"/>
            <w:vAlign w:val="center"/>
          </w:tcPr>
          <w:p w14:paraId="4292AAA0">
            <w:pPr>
              <w:pStyle w:val="94"/>
              <w:rPr>
                <w:rStyle w:val="98"/>
                <w:rFonts w:ascii="仿宋" w:hAnsi="仿宋" w:eastAsia="仿宋" w:cs="仿宋"/>
                <w:color w:val="auto"/>
                <w:sz w:val="24"/>
                <w:szCs w:val="24"/>
                <w:highlight w:val="none"/>
                <w:lang w:eastAsia="zh-CN"/>
              </w:rPr>
            </w:pPr>
            <w:r>
              <w:rPr>
                <w:rStyle w:val="98"/>
                <w:rFonts w:ascii="仿宋" w:hAnsi="仿宋" w:eastAsia="仿宋" w:cs="仿宋"/>
                <w:color w:val="auto"/>
                <w:sz w:val="24"/>
                <w:szCs w:val="24"/>
                <w:highlight w:val="none"/>
                <w:lang w:eastAsia="zh-CN"/>
              </w:rPr>
              <w:t>响应函</w:t>
            </w:r>
          </w:p>
        </w:tc>
        <w:tc>
          <w:tcPr>
            <w:tcW w:w="6098" w:type="dxa"/>
            <w:vAlign w:val="center"/>
          </w:tcPr>
          <w:p w14:paraId="0FA88A94">
            <w:pPr>
              <w:pStyle w:val="94"/>
              <w:jc w:val="both"/>
              <w:rPr>
                <w:rStyle w:val="98"/>
                <w:rFonts w:ascii="仿宋" w:hAnsi="仿宋" w:eastAsia="仿宋" w:cs="仿宋"/>
                <w:color w:val="auto"/>
                <w:sz w:val="24"/>
                <w:szCs w:val="24"/>
                <w:highlight w:val="none"/>
                <w:lang w:eastAsia="zh-CN"/>
              </w:rPr>
            </w:pPr>
            <w:r>
              <w:rPr>
                <w:rStyle w:val="98"/>
                <w:rFonts w:ascii="仿宋" w:hAnsi="仿宋" w:eastAsia="仿宋" w:cs="仿宋"/>
                <w:color w:val="auto"/>
                <w:sz w:val="24"/>
                <w:szCs w:val="24"/>
                <w:highlight w:val="none"/>
                <w:lang w:eastAsia="zh-CN"/>
              </w:rPr>
              <w:t>供应商需在响应文件中提供响应函原件并加盖公章。</w:t>
            </w:r>
          </w:p>
        </w:tc>
      </w:tr>
      <w:tr w14:paraId="52BA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463C76D">
            <w:pPr>
              <w:pStyle w:val="11"/>
              <w:spacing w:after="0" w:line="240" w:lineRule="auto"/>
              <w:jc w:val="center"/>
              <w:rPr>
                <w:rFonts w:eastAsia="宋体"/>
                <w:color w:val="auto"/>
                <w:sz w:val="21"/>
                <w:highlight w:val="none"/>
              </w:rPr>
            </w:pPr>
            <w:r>
              <w:rPr>
                <w:rFonts w:hint="eastAsia" w:ascii="仿宋" w:hAnsi="仿宋" w:cs="仿宋"/>
                <w:color w:val="auto"/>
                <w:highlight w:val="none"/>
              </w:rPr>
              <w:t>5</w:t>
            </w:r>
          </w:p>
        </w:tc>
        <w:tc>
          <w:tcPr>
            <w:tcW w:w="2764" w:type="dxa"/>
            <w:gridSpan w:val="2"/>
            <w:vAlign w:val="center"/>
          </w:tcPr>
          <w:p w14:paraId="12E6829B">
            <w:pPr>
              <w:pStyle w:val="94"/>
              <w:rPr>
                <w:rStyle w:val="98"/>
                <w:rFonts w:ascii="仿宋" w:hAnsi="仿宋" w:eastAsia="仿宋" w:cs="仿宋"/>
                <w:color w:val="auto"/>
                <w:sz w:val="24"/>
                <w:szCs w:val="24"/>
                <w:highlight w:val="none"/>
                <w:lang w:eastAsia="zh-CN"/>
              </w:rPr>
            </w:pPr>
            <w:r>
              <w:rPr>
                <w:rStyle w:val="98"/>
                <w:rFonts w:ascii="仿宋" w:hAnsi="仿宋" w:eastAsia="仿宋" w:cs="仿宋"/>
                <w:color w:val="auto"/>
                <w:sz w:val="24"/>
                <w:szCs w:val="24"/>
                <w:highlight w:val="none"/>
                <w:lang w:eastAsia="zh-CN"/>
              </w:rPr>
              <w:t>询比报价</w:t>
            </w:r>
          </w:p>
        </w:tc>
        <w:tc>
          <w:tcPr>
            <w:tcW w:w="6098" w:type="dxa"/>
            <w:vAlign w:val="center"/>
          </w:tcPr>
          <w:p w14:paraId="302D3E44">
            <w:pPr>
              <w:pStyle w:val="94"/>
              <w:jc w:val="both"/>
              <w:rPr>
                <w:rStyle w:val="98"/>
                <w:rFonts w:ascii="仿宋" w:hAnsi="仿宋" w:eastAsia="仿宋" w:cs="仿宋"/>
                <w:color w:val="auto"/>
                <w:sz w:val="24"/>
                <w:szCs w:val="24"/>
                <w:highlight w:val="none"/>
                <w:lang w:eastAsia="zh-CN"/>
              </w:rPr>
            </w:pPr>
            <w:r>
              <w:rPr>
                <w:rStyle w:val="98"/>
                <w:rFonts w:ascii="仿宋" w:hAnsi="仿宋" w:eastAsia="仿宋" w:cs="仿宋"/>
                <w:color w:val="auto"/>
                <w:sz w:val="24"/>
                <w:szCs w:val="24"/>
                <w:highlight w:val="none"/>
                <w:lang w:eastAsia="zh-CN"/>
              </w:rPr>
              <w:t>提供供应商</w:t>
            </w:r>
            <w:r>
              <w:rPr>
                <w:rStyle w:val="98"/>
                <w:rFonts w:hint="eastAsia" w:ascii="仿宋" w:hAnsi="仿宋" w:eastAsia="仿宋" w:cs="仿宋"/>
                <w:color w:val="auto"/>
                <w:sz w:val="24"/>
                <w:szCs w:val="24"/>
                <w:highlight w:val="none"/>
                <w:lang w:val="en-US" w:eastAsia="zh-CN"/>
              </w:rPr>
              <w:t>报价</w:t>
            </w:r>
            <w:r>
              <w:rPr>
                <w:rStyle w:val="98"/>
                <w:rFonts w:ascii="仿宋" w:hAnsi="仿宋" w:eastAsia="仿宋" w:cs="仿宋"/>
                <w:color w:val="auto"/>
                <w:sz w:val="24"/>
                <w:szCs w:val="24"/>
                <w:highlight w:val="none"/>
                <w:lang w:eastAsia="zh-CN"/>
              </w:rPr>
              <w:t>一览表。且不超过最高限价。</w:t>
            </w:r>
          </w:p>
        </w:tc>
      </w:tr>
      <w:tr w14:paraId="0BD5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62345E3">
            <w:pPr>
              <w:pStyle w:val="11"/>
              <w:spacing w:after="0" w:line="240" w:lineRule="auto"/>
              <w:jc w:val="center"/>
              <w:rPr>
                <w:color w:val="auto"/>
                <w:highlight w:val="none"/>
              </w:rPr>
            </w:pPr>
            <w:r>
              <w:rPr>
                <w:rFonts w:hint="eastAsia" w:ascii="仿宋" w:hAnsi="仿宋" w:cs="仿宋"/>
                <w:color w:val="auto"/>
                <w:highlight w:val="none"/>
              </w:rPr>
              <w:t>6</w:t>
            </w:r>
          </w:p>
        </w:tc>
        <w:tc>
          <w:tcPr>
            <w:tcW w:w="2764" w:type="dxa"/>
            <w:gridSpan w:val="2"/>
            <w:vAlign w:val="center"/>
          </w:tcPr>
          <w:p w14:paraId="223D075C">
            <w:pPr>
              <w:pStyle w:val="94"/>
              <w:rPr>
                <w:rStyle w:val="98"/>
                <w:rFonts w:ascii="仿宋" w:hAnsi="仿宋" w:eastAsia="仿宋" w:cs="仿宋"/>
                <w:color w:val="auto"/>
                <w:sz w:val="24"/>
                <w:szCs w:val="24"/>
                <w:highlight w:val="none"/>
                <w:lang w:eastAsia="zh-CN"/>
              </w:rPr>
            </w:pPr>
            <w:r>
              <w:rPr>
                <w:rStyle w:val="98"/>
                <w:rFonts w:ascii="仿宋" w:hAnsi="仿宋" w:eastAsia="仿宋" w:cs="仿宋"/>
                <w:color w:val="auto"/>
                <w:sz w:val="24"/>
                <w:szCs w:val="24"/>
                <w:highlight w:val="none"/>
                <w:lang w:eastAsia="zh-CN"/>
              </w:rPr>
              <w:t>技术响应表</w:t>
            </w:r>
          </w:p>
        </w:tc>
        <w:tc>
          <w:tcPr>
            <w:tcW w:w="6098" w:type="dxa"/>
            <w:vAlign w:val="center"/>
          </w:tcPr>
          <w:p w14:paraId="1A500B7F">
            <w:pPr>
              <w:pStyle w:val="94"/>
              <w:ind w:firstLine="240" w:firstLineChars="100"/>
              <w:jc w:val="both"/>
              <w:rPr>
                <w:rStyle w:val="98"/>
                <w:rFonts w:ascii="仿宋" w:hAnsi="仿宋" w:eastAsia="仿宋" w:cs="仿宋"/>
                <w:color w:val="auto"/>
                <w:sz w:val="24"/>
                <w:szCs w:val="24"/>
                <w:highlight w:val="none"/>
                <w:lang w:eastAsia="zh-CN"/>
              </w:rPr>
            </w:pPr>
            <w:r>
              <w:rPr>
                <w:rStyle w:val="98"/>
                <w:rFonts w:ascii="仿宋" w:hAnsi="仿宋" w:eastAsia="仿宋" w:cs="仿宋"/>
                <w:color w:val="auto"/>
                <w:sz w:val="24"/>
                <w:szCs w:val="24"/>
                <w:highlight w:val="none"/>
                <w:lang w:eastAsia="zh-CN"/>
              </w:rPr>
              <w:t>提供供应商技术响应表，带“★”号条款出现负偏离，视为无效投标。（格式见第五章响应文件格式）</w:t>
            </w:r>
          </w:p>
        </w:tc>
      </w:tr>
      <w:tr w14:paraId="56C0B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44D6937">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7</w:t>
            </w:r>
          </w:p>
        </w:tc>
        <w:tc>
          <w:tcPr>
            <w:tcW w:w="2764" w:type="dxa"/>
            <w:gridSpan w:val="2"/>
            <w:vAlign w:val="center"/>
          </w:tcPr>
          <w:p w14:paraId="48CA1CD3">
            <w:pPr>
              <w:pStyle w:val="94"/>
              <w:rPr>
                <w:rStyle w:val="98"/>
                <w:rFonts w:ascii="仿宋" w:hAnsi="仿宋" w:eastAsia="仿宋" w:cs="仿宋"/>
                <w:color w:val="auto"/>
                <w:sz w:val="24"/>
                <w:szCs w:val="24"/>
                <w:highlight w:val="none"/>
                <w:lang w:eastAsia="zh-CN"/>
              </w:rPr>
            </w:pPr>
            <w:r>
              <w:rPr>
                <w:rStyle w:val="98"/>
                <w:rFonts w:ascii="仿宋" w:hAnsi="仿宋" w:eastAsia="仿宋" w:cs="仿宋"/>
                <w:color w:val="auto"/>
                <w:sz w:val="24"/>
                <w:szCs w:val="24"/>
                <w:highlight w:val="none"/>
                <w:lang w:eastAsia="zh-CN"/>
              </w:rPr>
              <w:t>商务应答表</w:t>
            </w:r>
          </w:p>
        </w:tc>
        <w:tc>
          <w:tcPr>
            <w:tcW w:w="6098" w:type="dxa"/>
          </w:tcPr>
          <w:p w14:paraId="0CC0AD30">
            <w:pPr>
              <w:pStyle w:val="94"/>
              <w:ind w:firstLine="240" w:firstLineChars="100"/>
              <w:jc w:val="both"/>
              <w:rPr>
                <w:rStyle w:val="98"/>
                <w:rFonts w:ascii="仿宋" w:hAnsi="仿宋" w:eastAsia="仿宋" w:cs="仿宋"/>
                <w:color w:val="auto"/>
                <w:sz w:val="24"/>
                <w:szCs w:val="24"/>
                <w:highlight w:val="none"/>
                <w:lang w:eastAsia="zh-CN"/>
              </w:rPr>
            </w:pPr>
            <w:r>
              <w:rPr>
                <w:rStyle w:val="98"/>
                <w:rFonts w:ascii="仿宋" w:hAnsi="仿宋" w:eastAsia="仿宋" w:cs="仿宋"/>
                <w:color w:val="auto"/>
                <w:sz w:val="24"/>
                <w:szCs w:val="24"/>
                <w:highlight w:val="none"/>
                <w:lang w:eastAsia="zh-CN"/>
              </w:rPr>
              <w:t>提供供应商商务应答表，且满足询比要求。（格式见第五章响应文件格式）</w:t>
            </w:r>
          </w:p>
        </w:tc>
      </w:tr>
      <w:tr w14:paraId="3E7B1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A70B51F">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8</w:t>
            </w:r>
          </w:p>
        </w:tc>
        <w:tc>
          <w:tcPr>
            <w:tcW w:w="2764" w:type="dxa"/>
            <w:gridSpan w:val="2"/>
            <w:vAlign w:val="center"/>
          </w:tcPr>
          <w:p w14:paraId="10E13996">
            <w:pPr>
              <w:pStyle w:val="94"/>
              <w:rPr>
                <w:rStyle w:val="98"/>
                <w:rFonts w:ascii="仿宋" w:hAnsi="仿宋" w:eastAsia="仿宋" w:cs="仿宋"/>
                <w:color w:val="auto"/>
                <w:sz w:val="24"/>
                <w:szCs w:val="24"/>
                <w:highlight w:val="none"/>
                <w:lang w:eastAsia="zh-CN"/>
              </w:rPr>
            </w:pPr>
            <w:r>
              <w:rPr>
                <w:rStyle w:val="98"/>
                <w:rFonts w:hint="default" w:ascii="仿宋" w:hAnsi="仿宋" w:eastAsia="仿宋" w:cs="仿宋"/>
                <w:color w:val="auto"/>
                <w:sz w:val="24"/>
                <w:szCs w:val="24"/>
                <w:highlight w:val="none"/>
                <w:lang w:eastAsia="zh-CN"/>
              </w:rPr>
              <w:t>法定代表人授权书</w:t>
            </w:r>
          </w:p>
        </w:tc>
        <w:tc>
          <w:tcPr>
            <w:tcW w:w="6098" w:type="dxa"/>
          </w:tcPr>
          <w:p w14:paraId="2B6AE25F">
            <w:pPr>
              <w:pStyle w:val="94"/>
              <w:ind w:firstLine="240" w:firstLineChars="100"/>
              <w:jc w:val="both"/>
              <w:rPr>
                <w:rStyle w:val="98"/>
                <w:rFonts w:ascii="仿宋" w:hAnsi="仿宋" w:eastAsia="仿宋" w:cs="仿宋"/>
                <w:color w:val="auto"/>
                <w:sz w:val="24"/>
                <w:szCs w:val="24"/>
                <w:highlight w:val="none"/>
                <w:lang w:eastAsia="zh-CN"/>
              </w:rPr>
            </w:pPr>
            <w:r>
              <w:rPr>
                <w:rStyle w:val="98"/>
                <w:rFonts w:ascii="仿宋" w:hAnsi="仿宋" w:eastAsia="仿宋" w:cs="仿宋"/>
                <w:color w:val="auto"/>
                <w:sz w:val="24"/>
                <w:szCs w:val="24"/>
                <w:highlight w:val="none"/>
                <w:lang w:eastAsia="zh-CN"/>
              </w:rPr>
              <w:t>提供供应商法定代表人授权书</w:t>
            </w:r>
            <w:r>
              <w:rPr>
                <w:rFonts w:ascii="仿宋" w:hAnsi="仿宋" w:eastAsia="仿宋" w:cs="仿宋"/>
                <w:color w:val="auto"/>
                <w:sz w:val="24"/>
                <w:szCs w:val="24"/>
                <w:highlight w:val="none"/>
                <w:lang w:eastAsia="zh-CN"/>
              </w:rPr>
              <w:t>证明</w:t>
            </w:r>
            <w:r>
              <w:rPr>
                <w:rStyle w:val="98"/>
                <w:rFonts w:ascii="仿宋" w:hAnsi="仿宋" w:eastAsia="仿宋" w:cs="仿宋"/>
                <w:color w:val="auto"/>
                <w:sz w:val="24"/>
                <w:szCs w:val="24"/>
                <w:highlight w:val="none"/>
                <w:lang w:eastAsia="zh-CN"/>
              </w:rPr>
              <w:t>。（格式见第五章响应文件格式）</w:t>
            </w:r>
          </w:p>
        </w:tc>
      </w:tr>
      <w:tr w14:paraId="075C1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3268A78">
            <w:pPr>
              <w:spacing w:line="240" w:lineRule="auto"/>
              <w:jc w:val="center"/>
              <w:rPr>
                <w:rFonts w:hint="eastAsia" w:ascii="仿宋" w:hAnsi="仿宋" w:cs="仿宋"/>
                <w:color w:val="auto"/>
                <w:highlight w:val="none"/>
              </w:rPr>
            </w:pPr>
            <w:r>
              <w:rPr>
                <w:rFonts w:hint="eastAsia" w:ascii="仿宋" w:hAnsi="仿宋" w:cs="仿宋"/>
                <w:color w:val="auto"/>
                <w:highlight w:val="none"/>
              </w:rPr>
              <w:t>9</w:t>
            </w:r>
          </w:p>
        </w:tc>
        <w:tc>
          <w:tcPr>
            <w:tcW w:w="2764" w:type="dxa"/>
            <w:gridSpan w:val="2"/>
            <w:vAlign w:val="center"/>
          </w:tcPr>
          <w:p w14:paraId="489AE8D2">
            <w:pPr>
              <w:spacing w:line="240" w:lineRule="auto"/>
              <w:jc w:val="left"/>
              <w:rPr>
                <w:rFonts w:hint="eastAsia" w:ascii="仿宋" w:hAnsi="仿宋" w:eastAsia="仿宋" w:cs="仿宋"/>
                <w:color w:val="auto"/>
                <w:highlight w:val="none"/>
                <w:lang w:eastAsia="zh-CN"/>
              </w:rPr>
            </w:pPr>
            <w:r>
              <w:rPr>
                <w:rFonts w:hint="eastAsia" w:ascii="仿宋" w:hAnsi="仿宋" w:cs="仿宋"/>
                <w:color w:val="auto"/>
                <w:highlight w:val="none"/>
              </w:rPr>
              <w:t>诚信行为声明函</w:t>
            </w:r>
            <w:r>
              <w:rPr>
                <w:rFonts w:hint="eastAsia" w:ascii="仿宋" w:hAnsi="仿宋" w:cs="仿宋"/>
                <w:color w:val="auto"/>
                <w:highlight w:val="none"/>
                <w:lang w:eastAsia="zh-CN"/>
              </w:rPr>
              <w:t>、</w:t>
            </w:r>
            <w:r>
              <w:rPr>
                <w:rFonts w:hint="eastAsia" w:ascii="仿宋" w:hAnsi="仿宋" w:cs="仿宋"/>
                <w:color w:val="auto"/>
                <w:highlight w:val="none"/>
              </w:rPr>
              <w:t>廉政承诺书</w:t>
            </w:r>
          </w:p>
        </w:tc>
        <w:tc>
          <w:tcPr>
            <w:tcW w:w="6098" w:type="dxa"/>
          </w:tcPr>
          <w:p w14:paraId="79E2A836">
            <w:pPr>
              <w:spacing w:line="240" w:lineRule="auto"/>
              <w:jc w:val="left"/>
              <w:rPr>
                <w:rFonts w:hint="eastAsia" w:ascii="仿宋" w:hAnsi="仿宋" w:cs="仿宋"/>
                <w:color w:val="auto"/>
                <w:highlight w:val="none"/>
              </w:rPr>
            </w:pPr>
            <w:r>
              <w:rPr>
                <w:rFonts w:hint="eastAsia" w:ascii="仿宋" w:hAnsi="仿宋" w:cs="仿宋"/>
                <w:color w:val="auto"/>
                <w:highlight w:val="none"/>
              </w:rPr>
              <w:t>提供供应商诚信行为声明函</w:t>
            </w:r>
            <w:r>
              <w:rPr>
                <w:rFonts w:hint="eastAsia" w:ascii="仿宋" w:hAnsi="仿宋" w:cs="仿宋"/>
                <w:color w:val="auto"/>
                <w:highlight w:val="none"/>
                <w:lang w:eastAsia="zh-CN"/>
              </w:rPr>
              <w:t>、</w:t>
            </w:r>
            <w:r>
              <w:rPr>
                <w:rFonts w:hint="eastAsia" w:ascii="仿宋" w:hAnsi="仿宋" w:cs="仿宋"/>
                <w:color w:val="auto"/>
                <w:highlight w:val="none"/>
              </w:rPr>
              <w:t>廉政承诺书。（格式见第五章响应文件格式）</w:t>
            </w:r>
          </w:p>
        </w:tc>
      </w:tr>
      <w:tr w14:paraId="727A6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3DEB160">
            <w:pPr>
              <w:spacing w:line="240" w:lineRule="auto"/>
              <w:jc w:val="center"/>
              <w:rPr>
                <w:rFonts w:hint="eastAsia" w:ascii="仿宋" w:hAnsi="仿宋" w:cs="仿宋"/>
                <w:color w:val="auto"/>
                <w:highlight w:val="none"/>
              </w:rPr>
            </w:pPr>
            <w:r>
              <w:rPr>
                <w:rFonts w:hint="eastAsia" w:ascii="仿宋" w:hAnsi="仿宋" w:cs="仿宋"/>
                <w:color w:val="auto"/>
                <w:highlight w:val="none"/>
              </w:rPr>
              <w:t>10</w:t>
            </w:r>
          </w:p>
        </w:tc>
        <w:tc>
          <w:tcPr>
            <w:tcW w:w="2764" w:type="dxa"/>
            <w:gridSpan w:val="2"/>
            <w:vAlign w:val="center"/>
          </w:tcPr>
          <w:p w14:paraId="4147AC1B">
            <w:pPr>
              <w:spacing w:line="240" w:lineRule="auto"/>
              <w:jc w:val="left"/>
              <w:rPr>
                <w:rFonts w:hint="eastAsia" w:ascii="仿宋" w:hAnsi="仿宋" w:cs="仿宋"/>
                <w:color w:val="auto"/>
                <w:highlight w:val="none"/>
              </w:rPr>
            </w:pPr>
            <w:r>
              <w:rPr>
                <w:rFonts w:hint="eastAsia" w:ascii="仿宋" w:hAnsi="仿宋" w:cs="仿宋"/>
                <w:color w:val="auto"/>
                <w:highlight w:val="none"/>
              </w:rPr>
              <w:t>询比保证金</w:t>
            </w:r>
          </w:p>
        </w:tc>
        <w:tc>
          <w:tcPr>
            <w:tcW w:w="6098" w:type="dxa"/>
            <w:vAlign w:val="top"/>
          </w:tcPr>
          <w:p w14:paraId="75A267F0">
            <w:pPr>
              <w:spacing w:line="240" w:lineRule="auto"/>
              <w:jc w:val="left"/>
              <w:rPr>
                <w:rFonts w:hint="eastAsia" w:ascii="仿宋" w:hAnsi="仿宋" w:cs="仿宋"/>
                <w:color w:val="auto"/>
                <w:highlight w:val="none"/>
              </w:rPr>
            </w:pPr>
            <w:r>
              <w:rPr>
                <w:rFonts w:hint="eastAsia" w:ascii="仿宋" w:hAnsi="仿宋" w:cs="仿宋"/>
                <w:color w:val="auto"/>
                <w:highlight w:val="none"/>
              </w:rPr>
              <w:t>询比</w:t>
            </w:r>
            <w:r>
              <w:rPr>
                <w:rFonts w:ascii="仿宋" w:hAnsi="仿宋" w:cs="仿宋"/>
                <w:color w:val="auto"/>
                <w:highlight w:val="none"/>
              </w:rPr>
              <w:t>保证金满足</w:t>
            </w:r>
            <w:r>
              <w:rPr>
                <w:rFonts w:hint="eastAsia" w:ascii="仿宋" w:hAnsi="仿宋" w:cs="仿宋"/>
                <w:color w:val="auto"/>
                <w:highlight w:val="none"/>
              </w:rPr>
              <w:t>询比文件</w:t>
            </w:r>
            <w:r>
              <w:rPr>
                <w:rFonts w:ascii="仿宋" w:hAnsi="仿宋" w:cs="仿宋"/>
                <w:color w:val="auto"/>
                <w:highlight w:val="none"/>
              </w:rPr>
              <w:t>要求。</w:t>
            </w:r>
            <w:r>
              <w:rPr>
                <w:rStyle w:val="98"/>
                <w:rFonts w:hint="eastAsia" w:ascii="仿宋" w:hAnsi="仿宋" w:cs="仿宋"/>
                <w:color w:val="auto"/>
                <w:szCs w:val="24"/>
                <w:highlight w:val="none"/>
              </w:rPr>
              <w:t>（格式见第五章响应文件格式）</w:t>
            </w:r>
          </w:p>
        </w:tc>
      </w:tr>
      <w:tr w14:paraId="3FA7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C5F852D">
            <w:pPr>
              <w:spacing w:line="240" w:lineRule="auto"/>
              <w:jc w:val="center"/>
              <w:rPr>
                <w:rFonts w:hint="eastAsia" w:ascii="仿宋" w:hAnsi="仿宋" w:cs="仿宋"/>
                <w:color w:val="auto"/>
                <w:highlight w:val="none"/>
              </w:rPr>
            </w:pPr>
            <w:r>
              <w:rPr>
                <w:rFonts w:hint="eastAsia" w:ascii="仿宋" w:hAnsi="仿宋" w:cs="仿宋"/>
                <w:color w:val="auto"/>
                <w:highlight w:val="none"/>
              </w:rPr>
              <w:t>11</w:t>
            </w:r>
          </w:p>
        </w:tc>
        <w:tc>
          <w:tcPr>
            <w:tcW w:w="2764" w:type="dxa"/>
            <w:gridSpan w:val="2"/>
            <w:shd w:val="clear" w:color="auto" w:fill="auto"/>
            <w:vAlign w:val="center"/>
          </w:tcPr>
          <w:p w14:paraId="5784E4B1">
            <w:pPr>
              <w:spacing w:line="360" w:lineRule="auto"/>
              <w:jc w:val="left"/>
              <w:rPr>
                <w:rFonts w:hint="eastAsia" w:ascii="仿宋" w:hAnsi="仿宋" w:eastAsia="仿宋" w:cs="仿宋"/>
                <w:color w:val="auto"/>
                <w:kern w:val="2"/>
                <w:sz w:val="24"/>
                <w:szCs w:val="24"/>
                <w:highlight w:val="none"/>
                <w:lang w:val="en-US" w:eastAsia="zh-CN" w:bidi="ar-SA"/>
              </w:rPr>
            </w:pPr>
            <w:r>
              <w:rPr>
                <w:rFonts w:hint="eastAsia" w:ascii="仿宋" w:hAnsi="仿宋" w:cs="仿宋"/>
                <w:color w:val="auto"/>
                <w:sz w:val="24"/>
                <w:szCs w:val="24"/>
                <w:highlight w:val="none"/>
                <w:lang w:val="en-US" w:eastAsia="zh-CN"/>
              </w:rPr>
              <w:t>询比</w:t>
            </w:r>
            <w:r>
              <w:rPr>
                <w:rFonts w:hint="eastAsia" w:ascii="仿宋" w:hAnsi="仿宋" w:eastAsia="仿宋" w:cs="仿宋"/>
                <w:color w:val="auto"/>
                <w:sz w:val="24"/>
                <w:szCs w:val="24"/>
                <w:highlight w:val="none"/>
                <w:lang w:val="en-US" w:eastAsia="zh-CN"/>
              </w:rPr>
              <w:t>文件中规定的其他无效的情形</w:t>
            </w:r>
          </w:p>
        </w:tc>
        <w:tc>
          <w:tcPr>
            <w:tcW w:w="6098" w:type="dxa"/>
            <w:shd w:val="clear" w:color="auto" w:fill="auto"/>
            <w:vAlign w:val="center"/>
          </w:tcPr>
          <w:p w14:paraId="20462FDF">
            <w:pPr>
              <w:spacing w:line="360" w:lineRule="auto"/>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无需单独提供证明材料。</w:t>
            </w:r>
          </w:p>
        </w:tc>
      </w:tr>
    </w:tbl>
    <w:p w14:paraId="0EA07D60">
      <w:pPr>
        <w:widowControl/>
        <w:jc w:val="left"/>
        <w:rPr>
          <w:rFonts w:hint="eastAsia" w:ascii="仿宋" w:hAnsi="仿宋"/>
          <w:color w:val="auto"/>
          <w:highlight w:val="none"/>
        </w:rPr>
      </w:pPr>
      <w:r>
        <w:rPr>
          <w:rFonts w:ascii="仿宋" w:hAnsi="仿宋"/>
          <w:color w:val="auto"/>
          <w:highlight w:val="none"/>
        </w:rPr>
        <w:br w:type="page"/>
      </w:r>
    </w:p>
    <w:p w14:paraId="3DF684BF">
      <w:pPr>
        <w:pStyle w:val="26"/>
        <w:rPr>
          <w:rFonts w:hint="eastAsia" w:ascii="仿宋" w:hAnsi="仿宋"/>
          <w:color w:val="auto"/>
          <w:highlight w:val="none"/>
        </w:rPr>
      </w:pPr>
      <w:bookmarkStart w:id="83" w:name="_Toc37838085"/>
      <w:r>
        <w:rPr>
          <w:rFonts w:hint="eastAsia" w:ascii="仿宋" w:hAnsi="仿宋"/>
          <w:color w:val="auto"/>
          <w:highlight w:val="none"/>
        </w:rPr>
        <w:t>第四章  采购项目技术、服务及其他商务要求</w:t>
      </w:r>
      <w:bookmarkEnd w:id="83"/>
    </w:p>
    <w:p w14:paraId="354F680F">
      <w:pPr>
        <w:adjustRightInd w:val="0"/>
        <w:snapToGrid w:val="0"/>
        <w:spacing w:line="560" w:lineRule="exact"/>
        <w:jc w:val="center"/>
        <w:rPr>
          <w:rFonts w:hint="eastAsia" w:ascii="方正小标宋简体" w:hAnsi="方正仿宋_GB2312" w:eastAsia="方正小标宋简体" w:cs="方正仿宋_GB2312"/>
          <w:b/>
          <w:bCs/>
          <w:color w:val="auto"/>
          <w:sz w:val="28"/>
          <w:szCs w:val="28"/>
          <w:highlight w:val="none"/>
        </w:rPr>
      </w:pPr>
      <w:bookmarkStart w:id="84" w:name="_Toc230098619"/>
      <w:bookmarkStart w:id="85" w:name="_Hlk53407517"/>
      <w:r>
        <w:rPr>
          <w:rFonts w:hint="eastAsia" w:ascii="方正小标宋简体" w:hAnsi="方正仿宋_GB2312" w:eastAsia="方正小标宋简体" w:cs="方正仿宋_GB2312"/>
          <w:b/>
          <w:bCs/>
          <w:color w:val="auto"/>
          <w:sz w:val="28"/>
          <w:szCs w:val="28"/>
          <w:highlight w:val="none"/>
        </w:rPr>
        <w:t>九洲空管适航能力持续建设咨询服务项目</w:t>
      </w:r>
    </w:p>
    <w:p w14:paraId="4257C4AA">
      <w:pPr>
        <w:pStyle w:val="11"/>
        <w:spacing w:before="120" w:beforeLines="50" w:afterLines="50"/>
        <w:jc w:val="center"/>
        <w:outlineLvl w:val="0"/>
        <w:rPr>
          <w:rFonts w:hint="eastAsia" w:ascii="仿宋_GB2312" w:hAnsi="方正仿宋_GB2312" w:eastAsia="仿宋_GB2312" w:cs="方正仿宋_GB2312"/>
          <w:bCs/>
          <w:color w:val="auto"/>
          <w:sz w:val="24"/>
          <w:szCs w:val="24"/>
          <w:highlight w:val="none"/>
          <w:lang w:bidi="ar"/>
        </w:rPr>
      </w:pPr>
      <w:r>
        <w:rPr>
          <w:rFonts w:hint="eastAsia" w:ascii="方正小标宋简体" w:hAnsi="方正仿宋_GB2312" w:eastAsia="方正小标宋简体" w:cs="方正仿宋_GB2312"/>
          <w:b/>
          <w:bCs/>
          <w:color w:val="auto"/>
          <w:sz w:val="28"/>
          <w:szCs w:val="28"/>
          <w:highlight w:val="none"/>
        </w:rPr>
        <w:t>技术要求</w:t>
      </w:r>
    </w:p>
    <w:p w14:paraId="3C2096F5">
      <w:pPr>
        <w:pStyle w:val="11"/>
        <w:spacing w:before="120" w:beforeLines="50" w:afterLines="50"/>
        <w:outlineLvl w:val="0"/>
        <w:rPr>
          <w:rFonts w:hint="eastAsia" w:ascii="仿宋_GB2312" w:hAnsi="方正仿宋_GB2312" w:eastAsia="仿宋_GB2312" w:cs="方正仿宋_GB2312"/>
          <w:bCs/>
          <w:color w:val="auto"/>
          <w:highlight w:val="none"/>
          <w:lang w:bidi="ar"/>
        </w:rPr>
      </w:pPr>
      <w:r>
        <w:rPr>
          <w:rFonts w:hint="eastAsia" w:ascii="仿宋_GB2312" w:hAnsi="方正仿宋_GB2312" w:eastAsia="仿宋_GB2312" w:cs="方正仿宋_GB2312"/>
          <w:bCs/>
          <w:color w:val="auto"/>
          <w:highlight w:val="none"/>
          <w:lang w:bidi="ar"/>
        </w:rPr>
        <w:t>一、</w:t>
      </w:r>
      <w:r>
        <w:rPr>
          <w:rFonts w:hint="eastAsia" w:ascii="仿宋_GB2312" w:hAnsi="方正仿宋_GB2312" w:eastAsia="仿宋_GB2312" w:cs="方正仿宋_GB2312"/>
          <w:b/>
          <w:bCs/>
          <w:color w:val="auto"/>
          <w:highlight w:val="none"/>
          <w:lang w:bidi="ar"/>
        </w:rPr>
        <w:t>项目总体要求</w:t>
      </w:r>
      <w:bookmarkEnd w:id="84"/>
    </w:p>
    <w:p w14:paraId="494C0FBE">
      <w:pPr>
        <w:pStyle w:val="11"/>
        <w:spacing w:after="0"/>
        <w:outlineLvl w:val="1"/>
        <w:rPr>
          <w:rFonts w:hint="eastAsia" w:ascii="仿宋_GB2312" w:hAnsi="方正仿宋_GB2312" w:eastAsia="仿宋_GB2312" w:cs="方正仿宋_GB2312"/>
          <w:color w:val="auto"/>
          <w:highlight w:val="none"/>
          <w:lang w:bidi="ar"/>
        </w:rPr>
      </w:pPr>
      <w:bookmarkStart w:id="86" w:name="_Toc230098620"/>
      <w:bookmarkStart w:id="87" w:name="OLE_LINK16"/>
      <w:r>
        <w:rPr>
          <w:rFonts w:hint="eastAsia" w:ascii="仿宋_GB2312" w:hAnsi="方正仿宋_GB2312" w:eastAsia="仿宋_GB2312" w:cs="方正仿宋_GB2312"/>
          <w:color w:val="auto"/>
          <w:highlight w:val="none"/>
          <w:lang w:bidi="ar"/>
        </w:rPr>
        <w:t>(一)项目背景</w:t>
      </w:r>
      <w:bookmarkEnd w:id="86"/>
    </w:p>
    <w:bookmarkEnd w:id="87"/>
    <w:p w14:paraId="0604C498">
      <w:pPr>
        <w:pStyle w:val="11"/>
        <w:spacing w:after="0"/>
        <w:ind w:firstLine="640"/>
        <w:rPr>
          <w:rFonts w:hint="eastAsia" w:ascii="仿宋_GB2312" w:hAnsi="方正仿宋_GB2312" w:eastAsia="仿宋_GB2312" w:cs="方正仿宋_GB2312"/>
          <w:color w:val="auto"/>
          <w:highlight w:val="none"/>
          <w:lang w:bidi="ar"/>
        </w:rPr>
      </w:pPr>
      <w:r>
        <w:rPr>
          <w:rFonts w:hint="eastAsia" w:ascii="仿宋_GB2312" w:hAnsi="方正仿宋_GB2312" w:eastAsia="仿宋_GB2312" w:cs="方正仿宋_GB2312"/>
          <w:color w:val="auto"/>
          <w:highlight w:val="none"/>
          <w:lang w:bidi="ar"/>
        </w:rPr>
        <w:t>为满足民用航空、空管装备等高安全性复杂系统研制合规需求，对接适航审定、主制造商审查及持续适航监管要求，公司启动持续加强持续适航能力建设工作。通过引入专业咨询服务商，构建覆盖“需求—设计—验证—交付—在役—退役”全生命周期、可落地、可审查、可持续改进的组织级适航合规体系。</w:t>
      </w:r>
    </w:p>
    <w:p w14:paraId="7FF6A327">
      <w:pPr>
        <w:pStyle w:val="11"/>
        <w:spacing w:after="0"/>
        <w:outlineLvl w:val="1"/>
        <w:rPr>
          <w:rFonts w:hint="eastAsia" w:ascii="仿宋_GB2312" w:hAnsi="方正仿宋_GB2312" w:eastAsia="仿宋_GB2312" w:cs="方正仿宋_GB2312"/>
          <w:color w:val="auto"/>
          <w:highlight w:val="none"/>
          <w:lang w:bidi="ar"/>
        </w:rPr>
      </w:pPr>
      <w:bookmarkStart w:id="88" w:name="_Toc230098621"/>
      <w:r>
        <w:rPr>
          <w:rFonts w:hint="eastAsia" w:ascii="仿宋_GB2312" w:hAnsi="方正仿宋_GB2312" w:eastAsia="仿宋_GB2312" w:cs="方正仿宋_GB2312"/>
          <w:color w:val="auto"/>
          <w:highlight w:val="none"/>
          <w:lang w:bidi="ar"/>
        </w:rPr>
        <w:t>(二)项目建设目标</w:t>
      </w:r>
      <w:bookmarkEnd w:id="88"/>
    </w:p>
    <w:p w14:paraId="33DE0841">
      <w:pPr>
        <w:ind w:firstLine="480" w:firstLineChars="20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lang w:bidi="ar"/>
        </w:rPr>
        <w:t>（1）建立满足SAE ARP 4754A、兼容SAE ARP 4754B的系统研制流程与证据体系；</w:t>
      </w:r>
    </w:p>
    <w:p w14:paraId="67EF6D78">
      <w:pPr>
        <w:ind w:firstLine="480" w:firstLineChars="20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lang w:bidi="ar"/>
        </w:rPr>
        <w:t>（2）建立覆盖在役监控、可靠性、服务通告/适航指令闭环的持续适航体系；</w:t>
      </w:r>
    </w:p>
    <w:p w14:paraId="674775D9">
      <w:pPr>
        <w:ind w:firstLine="480" w:firstLineChars="20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lang w:bidi="ar"/>
        </w:rPr>
        <w:t>（3）实现研制—审定—持续适航一体化运行与完整证据链；</w:t>
      </w:r>
    </w:p>
    <w:p w14:paraId="3B80FD32">
      <w:pPr>
        <w:ind w:firstLine="480" w:firstLineChars="200"/>
        <w:rPr>
          <w:rFonts w:hint="eastAsia" w:ascii="仿宋_GB2312" w:hAnsi="方正仿宋_GB2312" w:eastAsia="仿宋_GB2312" w:cs="方正仿宋_GB2312"/>
          <w:color w:val="auto"/>
          <w:highlight w:val="none"/>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rPr>
        <w:t>（4）</w:t>
      </w:r>
      <w:r>
        <w:rPr>
          <w:rFonts w:hint="eastAsia" w:ascii="仿宋_GB2312" w:hAnsi="方正仿宋_GB2312" w:eastAsia="仿宋_GB2312" w:cs="方正仿宋_GB2312"/>
          <w:color w:val="auto"/>
          <w:highlight w:val="none"/>
          <w:lang w:bidi="ar"/>
        </w:rPr>
        <w:t>完成知识转移，形成组织内生能力</w:t>
      </w:r>
      <w:r>
        <w:rPr>
          <w:rFonts w:hint="eastAsia" w:ascii="仿宋_GB2312" w:hAnsi="方正仿宋_GB2312" w:eastAsia="仿宋_GB2312" w:cs="方正仿宋_GB2312"/>
          <w:color w:val="auto"/>
          <w:highlight w:val="none"/>
        </w:rPr>
        <w:t>。</w:t>
      </w:r>
    </w:p>
    <w:p w14:paraId="5E7E2833">
      <w:pPr>
        <w:pStyle w:val="11"/>
        <w:spacing w:after="0"/>
        <w:outlineLvl w:val="1"/>
        <w:rPr>
          <w:rFonts w:hint="eastAsia" w:ascii="仿宋_GB2312" w:hAnsi="方正仿宋_GB2312" w:eastAsia="仿宋_GB2312" w:cs="方正仿宋_GB2312"/>
          <w:color w:val="auto"/>
          <w:highlight w:val="none"/>
          <w:lang w:bidi="ar"/>
        </w:rPr>
      </w:pPr>
      <w:bookmarkStart w:id="89" w:name="_Toc230098622"/>
      <w:r>
        <w:rPr>
          <w:rFonts w:hint="eastAsia" w:ascii="仿宋_GB2312" w:hAnsi="方正仿宋_GB2312" w:eastAsia="仿宋_GB2312" w:cs="方正仿宋_GB2312"/>
          <w:color w:val="auto"/>
          <w:highlight w:val="none"/>
          <w:lang w:bidi="ar"/>
        </w:rPr>
        <w:t>(三)项目建设原则</w:t>
      </w:r>
      <w:bookmarkEnd w:id="89"/>
    </w:p>
    <w:p w14:paraId="28D91FD8">
      <w:pPr>
        <w:ind w:firstLine="480" w:firstLineChars="20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lang w:bidi="ar"/>
        </w:rPr>
        <w:t>（1）合规性：对标CAAC、FAA、EASA相关适航标准与指南；</w:t>
      </w:r>
    </w:p>
    <w:p w14:paraId="2CA769DA">
      <w:pPr>
        <w:ind w:firstLine="480" w:firstLineChars="20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lang w:bidi="ar"/>
        </w:rPr>
        <w:t>（2）实用性：贴合公司业务现状，流程可执行、模板可填写；</w:t>
      </w:r>
    </w:p>
    <w:p w14:paraId="2D949581">
      <w:pPr>
        <w:ind w:firstLine="480" w:firstLineChars="20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lang w:bidi="ar"/>
        </w:rPr>
        <w:t>（3）可裁剪：支持按型号、审定场景灵活裁剪；</w:t>
      </w:r>
    </w:p>
    <w:p w14:paraId="38385061">
      <w:pPr>
        <w:ind w:firstLine="480" w:firstLineChars="20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lang w:bidi="ar"/>
        </w:rPr>
        <w:t>（4）一体化：研制保障体系、持续适航相互协同；</w:t>
      </w:r>
    </w:p>
    <w:p w14:paraId="63705CE6">
      <w:pPr>
        <w:ind w:firstLine="480" w:firstLineChars="20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lang w:bidi="ar"/>
        </w:rPr>
        <w:t>（5）可审查：满足适航审查要求。</w:t>
      </w:r>
    </w:p>
    <w:p w14:paraId="68A8BE37">
      <w:pPr>
        <w:pStyle w:val="11"/>
        <w:spacing w:before="120" w:beforeLines="50" w:afterLines="50"/>
        <w:outlineLvl w:val="0"/>
        <w:rPr>
          <w:rFonts w:hint="eastAsia" w:ascii="仿宋_GB2312" w:hAnsi="方正仿宋_GB2312" w:eastAsia="仿宋_GB2312" w:cs="方正仿宋_GB2312"/>
          <w:bCs/>
          <w:color w:val="auto"/>
          <w:highlight w:val="none"/>
          <w:lang w:bidi="ar"/>
        </w:rPr>
      </w:pPr>
      <w:bookmarkStart w:id="90" w:name="_Toc230098623"/>
      <w:r>
        <w:rPr>
          <w:rFonts w:hint="eastAsia" w:ascii="仿宋_GB2312" w:hAnsi="方正仿宋_GB2312" w:eastAsia="仿宋_GB2312" w:cs="方正仿宋_GB2312"/>
          <w:bCs/>
          <w:color w:val="auto"/>
          <w:highlight w:val="none"/>
          <w:lang w:bidi="ar"/>
        </w:rPr>
        <w:t>二、</w:t>
      </w:r>
      <w:r>
        <w:rPr>
          <w:rFonts w:hint="eastAsia" w:ascii="仿宋_GB2312" w:hAnsi="方正仿宋_GB2312" w:eastAsia="仿宋_GB2312" w:cs="方正仿宋_GB2312"/>
          <w:b/>
          <w:bCs/>
          <w:color w:val="auto"/>
          <w:highlight w:val="none"/>
          <w:lang w:bidi="ar"/>
        </w:rPr>
        <w:t>项目服务范围与工作内容</w:t>
      </w:r>
      <w:bookmarkEnd w:id="90"/>
    </w:p>
    <w:p w14:paraId="2C963BF1">
      <w:pPr>
        <w:pStyle w:val="11"/>
        <w:spacing w:after="0"/>
        <w:outlineLvl w:val="1"/>
        <w:rPr>
          <w:rFonts w:hint="eastAsia" w:ascii="仿宋_GB2312" w:hAnsi="方正仿宋_GB2312" w:eastAsia="仿宋_GB2312" w:cs="方正仿宋_GB2312"/>
          <w:color w:val="auto"/>
          <w:highlight w:val="none"/>
          <w:lang w:bidi="ar"/>
        </w:rPr>
      </w:pPr>
      <w:bookmarkStart w:id="91" w:name="_Toc230098624"/>
      <w:r>
        <w:rPr>
          <w:rFonts w:hint="eastAsia" w:ascii="仿宋_GB2312" w:hAnsi="方正仿宋_GB2312" w:eastAsia="仿宋_GB2312" w:cs="方正仿宋_GB2312"/>
          <w:color w:val="auto"/>
          <w:highlight w:val="none"/>
          <w:lang w:bidi="ar"/>
        </w:rPr>
        <w:t>(一)现状调研与差距分析</w:t>
      </w:r>
      <w:bookmarkEnd w:id="91"/>
    </w:p>
    <w:p w14:paraId="1A865EF9">
      <w:pPr>
        <w:pStyle w:val="11"/>
        <w:spacing w:after="0"/>
        <w:ind w:firstLine="640"/>
        <w:rPr>
          <w:rFonts w:hint="eastAsia" w:ascii="仿宋_GB2312" w:hAnsi="方正仿宋_GB2312" w:eastAsia="仿宋_GB2312" w:cs="方正仿宋_GB2312"/>
          <w:color w:val="auto"/>
          <w:highlight w:val="none"/>
          <w:lang w:bidi="ar"/>
        </w:rPr>
      </w:pPr>
      <w:r>
        <w:rPr>
          <w:rFonts w:hint="eastAsia" w:ascii="仿宋_GB2312" w:hAnsi="方正仿宋_GB2312" w:eastAsia="仿宋_GB2312" w:cs="方正仿宋_GB2312"/>
          <w:color w:val="auto"/>
          <w:highlight w:val="none"/>
          <w:lang w:bidi="ar"/>
        </w:rPr>
        <w:t>（1）研发组织、流程、人员能力、工具、过程资产、供应商管理现状调研；</w:t>
      </w:r>
    </w:p>
    <w:p w14:paraId="2FF648CE">
      <w:pPr>
        <w:pStyle w:val="11"/>
        <w:spacing w:after="0"/>
        <w:ind w:firstLine="640"/>
        <w:rPr>
          <w:rFonts w:hint="eastAsia" w:ascii="仿宋_GB2312" w:hAnsi="方正仿宋_GB2312" w:eastAsia="仿宋_GB2312" w:cs="方正仿宋_GB2312"/>
          <w:color w:val="auto"/>
          <w:highlight w:val="none"/>
          <w:lang w:bidi="ar"/>
        </w:rPr>
      </w:pPr>
      <w:r>
        <w:rPr>
          <w:rFonts w:hint="eastAsia" w:ascii="仿宋_GB2312" w:hAnsi="方正仿宋_GB2312" w:eastAsia="仿宋_GB2312" w:cs="方正仿宋_GB2312"/>
          <w:color w:val="auto"/>
          <w:highlight w:val="none"/>
          <w:lang w:bidi="ar"/>
        </w:rPr>
        <w:t>（2）对照SAE ARP 4754A/ARP 4761开展研制体系差距分析；</w:t>
      </w:r>
    </w:p>
    <w:p w14:paraId="1653D237">
      <w:pPr>
        <w:pStyle w:val="11"/>
        <w:spacing w:after="0"/>
        <w:ind w:firstLine="640"/>
        <w:rPr>
          <w:rFonts w:hint="eastAsia" w:ascii="仿宋_GB2312" w:hAnsi="方正仿宋_GB2312" w:eastAsia="仿宋_GB2312" w:cs="方正仿宋_GB2312"/>
          <w:color w:val="auto"/>
          <w:highlight w:val="none"/>
          <w:lang w:bidi="ar"/>
        </w:rPr>
      </w:pPr>
      <w:r>
        <w:rPr>
          <w:rFonts w:hint="eastAsia" w:ascii="仿宋_GB2312" w:hAnsi="方正仿宋_GB2312" w:eastAsia="仿宋_GB2312" w:cs="方正仿宋_GB2312"/>
          <w:color w:val="auto"/>
          <w:highlight w:val="none"/>
          <w:lang w:bidi="ar"/>
        </w:rPr>
        <w:t>（3）开展在役产品持续适航现状分析；</w:t>
      </w:r>
    </w:p>
    <w:p w14:paraId="28B4577B">
      <w:pPr>
        <w:pStyle w:val="11"/>
        <w:spacing w:after="0"/>
        <w:ind w:firstLine="64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lang w:bidi="ar"/>
        </w:rPr>
        <w:t>（4）制定体系建设方案，包括公司现有运行体系与标准的差异，以及对应的可实施运行策略；根据公司现有适航产品类型、团队能力提出优化方案；体系流程、产品流程优化。</w:t>
      </w:r>
    </w:p>
    <w:p w14:paraId="298CD8CF">
      <w:pPr>
        <w:pStyle w:val="11"/>
        <w:spacing w:after="0"/>
        <w:outlineLvl w:val="1"/>
        <w:rPr>
          <w:rFonts w:hint="eastAsia" w:ascii="仿宋_GB2312" w:hAnsi="方正仿宋_GB2312" w:eastAsia="仿宋_GB2312" w:cs="方正仿宋_GB2312"/>
          <w:color w:val="auto"/>
          <w:highlight w:val="none"/>
          <w:lang w:bidi="ar"/>
        </w:rPr>
      </w:pPr>
      <w:bookmarkStart w:id="92" w:name="_Toc230098625"/>
      <w:r>
        <w:rPr>
          <w:rFonts w:hint="eastAsia" w:ascii="仿宋_GB2312" w:hAnsi="方正仿宋_GB2312" w:eastAsia="仿宋_GB2312" w:cs="方正仿宋_GB2312"/>
          <w:color w:val="auto"/>
          <w:highlight w:val="none"/>
          <w:lang w:bidi="ar"/>
        </w:rPr>
        <w:t>(二)研制保证体系建设</w:t>
      </w:r>
      <w:bookmarkEnd w:id="92"/>
    </w:p>
    <w:p w14:paraId="1B664FD9">
      <w:pPr>
        <w:pStyle w:val="11"/>
        <w:spacing w:after="0"/>
        <w:ind w:firstLine="640"/>
        <w:rPr>
          <w:rFonts w:hint="eastAsia" w:ascii="仿宋_GB2312" w:hAnsi="方正仿宋_GB2312" w:eastAsia="仿宋_GB2312" w:cs="方正仿宋_GB2312"/>
          <w:color w:val="auto"/>
          <w:highlight w:val="none"/>
          <w:lang w:bidi="ar"/>
        </w:rPr>
      </w:pPr>
      <w:r>
        <w:rPr>
          <w:rFonts w:hint="eastAsia" w:ascii="仿宋_GB2312" w:hAnsi="方正仿宋_GB2312" w:eastAsia="仿宋_GB2312" w:cs="方正仿宋_GB2312"/>
          <w:color w:val="auto"/>
          <w:highlight w:val="none"/>
          <w:lang w:bidi="ar"/>
        </w:rPr>
        <w:t>根据SAE ARP 4754A和ARP 4761，编制如下文件：</w:t>
      </w:r>
    </w:p>
    <w:p w14:paraId="3F11F8B8">
      <w:pPr>
        <w:pStyle w:val="11"/>
        <w:spacing w:after="0"/>
        <w:ind w:firstLine="64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lang w:bidi="ar"/>
        </w:rPr>
        <w:t>（1）公司级研制保证体系手册；</w:t>
      </w:r>
    </w:p>
    <w:p w14:paraId="2F7F9039">
      <w:pPr>
        <w:pStyle w:val="11"/>
        <w:spacing w:after="0"/>
        <w:ind w:firstLine="64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lang w:bidi="ar"/>
        </w:rPr>
        <w:t>（2）流程程序文件，如研制流程、安全性评估流程等程序文件；</w:t>
      </w:r>
    </w:p>
    <w:p w14:paraId="4BCCAB54">
      <w:pPr>
        <w:pStyle w:val="11"/>
        <w:spacing w:after="0"/>
        <w:ind w:firstLine="64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lang w:bidi="ar"/>
        </w:rPr>
        <w:t>（3）以需求为牵引的“需求—确认—设计—验证”确认规范、确认总结、追溯机制、验证规范、验证矩阵、操作指南或规程、编写要求等；</w:t>
      </w:r>
    </w:p>
    <w:p w14:paraId="05D5A071">
      <w:pPr>
        <w:pStyle w:val="11"/>
        <w:spacing w:after="0"/>
        <w:ind w:firstLine="64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lang w:bidi="ar"/>
        </w:rPr>
        <w:t>（4）评审检查单、裁剪规则。</w:t>
      </w:r>
    </w:p>
    <w:p w14:paraId="6F78CA3E">
      <w:pPr>
        <w:pStyle w:val="11"/>
        <w:spacing w:after="0"/>
        <w:outlineLvl w:val="1"/>
        <w:rPr>
          <w:rFonts w:hint="eastAsia" w:ascii="仿宋_GB2312" w:hAnsi="方正仿宋_GB2312" w:eastAsia="仿宋_GB2312" w:cs="方正仿宋_GB2312"/>
          <w:color w:val="auto"/>
          <w:highlight w:val="none"/>
          <w:lang w:bidi="ar"/>
        </w:rPr>
      </w:pPr>
      <w:bookmarkStart w:id="93" w:name="_Toc230098626"/>
      <w:r>
        <w:rPr>
          <w:rFonts w:hint="eastAsia" w:ascii="仿宋_GB2312" w:hAnsi="方正仿宋_GB2312" w:eastAsia="仿宋_GB2312" w:cs="方正仿宋_GB2312"/>
          <w:color w:val="auto"/>
          <w:highlight w:val="none"/>
          <w:lang w:bidi="ar"/>
        </w:rPr>
        <w:t>(三)持续适航体系初步建设</w:t>
      </w:r>
      <w:bookmarkEnd w:id="93"/>
    </w:p>
    <w:p w14:paraId="07F39966">
      <w:pPr>
        <w:pStyle w:val="11"/>
        <w:spacing w:after="0"/>
        <w:ind w:firstLine="640"/>
        <w:rPr>
          <w:rFonts w:hint="eastAsia" w:ascii="仿宋_GB2312" w:hAnsi="方正仿宋_GB2312" w:eastAsia="仿宋_GB2312" w:cs="方正仿宋_GB2312"/>
          <w:color w:val="auto"/>
          <w:highlight w:val="none"/>
          <w:lang w:bidi="ar"/>
        </w:rPr>
      </w:pPr>
      <w:r>
        <w:rPr>
          <w:rFonts w:hint="eastAsia" w:ascii="仿宋_GB2312" w:hAnsi="方正仿宋_GB2312" w:eastAsia="仿宋_GB2312" w:cs="方正仿宋_GB2312"/>
          <w:color w:val="auto"/>
          <w:highlight w:val="none"/>
          <w:lang w:bidi="ar"/>
        </w:rPr>
        <w:t>根据航空器持续适航监管要求，编制如下：</w:t>
      </w:r>
    </w:p>
    <w:p w14:paraId="27508EAF">
      <w:pPr>
        <w:pStyle w:val="11"/>
        <w:spacing w:after="0"/>
        <w:ind w:firstLine="64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lang w:bidi="ar"/>
        </w:rPr>
        <w:t>（1）持续适航管理程序；</w:t>
      </w:r>
    </w:p>
    <w:p w14:paraId="587EA4FE">
      <w:pPr>
        <w:pStyle w:val="11"/>
        <w:spacing w:after="0"/>
        <w:ind w:firstLine="64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lang w:bidi="ar"/>
        </w:rPr>
        <w:t>（2）持续适航→研制反馈与设计改进闭环机制。</w:t>
      </w:r>
    </w:p>
    <w:p w14:paraId="0D8C80D0">
      <w:pPr>
        <w:pStyle w:val="11"/>
        <w:spacing w:after="0"/>
        <w:outlineLvl w:val="1"/>
        <w:rPr>
          <w:rFonts w:hint="eastAsia" w:ascii="仿宋_GB2312" w:hAnsi="方正仿宋_GB2312" w:eastAsia="仿宋_GB2312" w:cs="方正仿宋_GB2312"/>
          <w:color w:val="auto"/>
          <w:highlight w:val="none"/>
          <w:lang w:bidi="ar"/>
        </w:rPr>
      </w:pPr>
      <w:bookmarkStart w:id="94" w:name="_Toc229910060"/>
      <w:bookmarkEnd w:id="94"/>
      <w:bookmarkStart w:id="95" w:name="_Toc229910059"/>
      <w:bookmarkEnd w:id="95"/>
      <w:bookmarkStart w:id="96" w:name="_Toc229910065"/>
      <w:bookmarkEnd w:id="96"/>
      <w:bookmarkStart w:id="97" w:name="_Toc229910058"/>
      <w:bookmarkEnd w:id="97"/>
      <w:bookmarkStart w:id="98" w:name="_Toc229910062"/>
      <w:bookmarkEnd w:id="98"/>
      <w:bookmarkStart w:id="99" w:name="_Toc229910063"/>
      <w:bookmarkEnd w:id="99"/>
      <w:bookmarkStart w:id="100" w:name="_Toc229910066"/>
      <w:bookmarkEnd w:id="100"/>
      <w:bookmarkStart w:id="101" w:name="_Toc229910064"/>
      <w:bookmarkEnd w:id="101"/>
      <w:bookmarkStart w:id="102" w:name="_Toc229910067"/>
      <w:bookmarkEnd w:id="102"/>
      <w:bookmarkStart w:id="103" w:name="_Toc229910061"/>
      <w:bookmarkEnd w:id="103"/>
      <w:bookmarkStart w:id="104" w:name="_Toc230098627"/>
      <w:r>
        <w:rPr>
          <w:rFonts w:hint="eastAsia" w:ascii="仿宋_GB2312" w:hAnsi="方正仿宋_GB2312" w:eastAsia="仿宋_GB2312" w:cs="方正仿宋_GB2312"/>
          <w:color w:val="auto"/>
          <w:highlight w:val="none"/>
          <w:lang w:bidi="ar"/>
        </w:rPr>
        <w:t>(四)体系试运行</w:t>
      </w:r>
    </w:p>
    <w:p w14:paraId="62366B8D">
      <w:pPr>
        <w:pStyle w:val="11"/>
        <w:spacing w:after="0"/>
        <w:ind w:firstLine="64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通过需求指定项目</w:t>
      </w:r>
      <w:r>
        <w:rPr>
          <w:rFonts w:hint="eastAsia" w:ascii="仿宋_GB2312" w:hAnsi="方正仿宋_GB2312" w:eastAsia="仿宋_GB2312" w:cs="方正仿宋_GB2312"/>
          <w:color w:val="auto"/>
          <w:highlight w:val="none"/>
          <w:lang w:bidi="ar"/>
        </w:rPr>
        <w:t>的试运行。</w:t>
      </w:r>
    </w:p>
    <w:p w14:paraId="5CC8DEB5">
      <w:pPr>
        <w:pStyle w:val="11"/>
        <w:spacing w:after="0"/>
        <w:outlineLvl w:val="1"/>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color w:val="auto"/>
          <w:highlight w:val="none"/>
          <w:lang w:bidi="ar"/>
        </w:rPr>
        <w:t>(五)培训、推广与知识转移</w:t>
      </w:r>
      <w:bookmarkEnd w:id="104"/>
    </w:p>
    <w:p w14:paraId="2114A178">
      <w:pPr>
        <w:pStyle w:val="11"/>
        <w:spacing w:after="0"/>
        <w:ind w:firstLine="480" w:firstLineChars="200"/>
        <w:rPr>
          <w:rFonts w:hint="eastAsia" w:ascii="仿宋_GB2312" w:hAnsi="方正仿宋_GB2312" w:eastAsia="仿宋_GB2312" w:cs="方正仿宋_GB2312"/>
          <w:color w:val="auto"/>
          <w:highlight w:val="none"/>
          <w:shd w:val="clear" w:color="auto" w:fill="FFFFFF"/>
        </w:rPr>
      </w:pPr>
      <w:r>
        <w:rPr>
          <w:rFonts w:hint="eastAsia" w:ascii="仿宋_GB2312" w:hAnsi="方正仿宋_GB2312" w:eastAsia="仿宋_GB2312" w:cs="方正仿宋_GB2312"/>
          <w:color w:val="auto"/>
          <w:highlight w:val="none"/>
          <w:lang w:bidi="ar"/>
        </w:rPr>
        <w:t>分专题完成不少于3次培训，包含体系宣贯、流程培训、工具操作，培训每次培训2-3天，参训培训人数不少于10人，提供培训相关讲义、资料、培训记录</w:t>
      </w:r>
      <w:r>
        <w:rPr>
          <w:rFonts w:hint="eastAsia" w:ascii="仿宋_GB2312" w:hAnsi="方正仿宋_GB2312" w:eastAsia="仿宋_GB2312" w:cs="方正仿宋_GB2312"/>
          <w:color w:val="auto"/>
          <w:highlight w:val="none"/>
          <w:shd w:val="clear" w:color="auto" w:fill="FFFFFF"/>
        </w:rPr>
        <w:t>，确保采购人内部团队可独立运维。</w:t>
      </w:r>
    </w:p>
    <w:p w14:paraId="2F8338A9">
      <w:pPr>
        <w:pStyle w:val="25"/>
        <w:spacing w:beforeAutospacing="0" w:afterAutospacing="0"/>
        <w:jc w:val="both"/>
        <w:rPr>
          <w:rFonts w:hint="eastAsia" w:ascii="仿宋_GB2312" w:hAnsi="方正仿宋_GB2312" w:eastAsia="仿宋_GB2312" w:cs="方正仿宋_GB2312"/>
          <w:color w:val="auto"/>
          <w:sz w:val="24"/>
          <w:szCs w:val="24"/>
          <w:highlight w:val="none"/>
          <w:shd w:val="clear" w:color="auto" w:fill="FFFFFF"/>
        </w:rPr>
      </w:pPr>
      <w:r>
        <w:rPr>
          <w:rFonts w:ascii="仿宋_GB2312" w:hAnsi="方正仿宋_GB2312" w:eastAsia="仿宋_GB2312" w:cs="方正仿宋_GB2312"/>
          <w:color w:val="auto"/>
          <w:sz w:val="24"/>
          <w:szCs w:val="24"/>
          <w:highlight w:val="none"/>
          <w:lang w:bidi="ar"/>
        </w:rPr>
        <w:t>★</w:t>
      </w:r>
      <w:r>
        <w:rPr>
          <w:rFonts w:hint="eastAsia" w:ascii="仿宋_GB2312" w:hAnsi="方正仿宋_GB2312" w:eastAsia="仿宋_GB2312" w:cs="方正仿宋_GB2312"/>
          <w:color w:val="auto"/>
          <w:sz w:val="24"/>
          <w:szCs w:val="24"/>
          <w:highlight w:val="none"/>
          <w:shd w:val="clear" w:color="auto" w:fill="FFFFFF"/>
        </w:rPr>
        <w:t>（六）提供驻场服务、模拟审查、局方对接策略支持，实施过程每阶段至少提供现场驻场服务1人次，持续时间不少于5个工作日，根据采购人要求提供适时线上支持，必要时增加现场支持或驻场服务</w:t>
      </w:r>
    </w:p>
    <w:p w14:paraId="58216A7C">
      <w:pPr>
        <w:pStyle w:val="11"/>
        <w:spacing w:before="120" w:beforeLines="50" w:afterLines="50"/>
        <w:outlineLvl w:val="0"/>
        <w:rPr>
          <w:rFonts w:hint="eastAsia" w:ascii="仿宋_GB2312" w:hAnsi="方正仿宋_GB2312" w:eastAsia="仿宋_GB2312" w:cs="方正仿宋_GB2312"/>
          <w:b/>
          <w:bCs/>
          <w:color w:val="auto"/>
          <w:highlight w:val="none"/>
          <w:lang w:bidi="ar"/>
        </w:rPr>
      </w:pPr>
      <w:bookmarkStart w:id="105" w:name="_Toc229910071"/>
      <w:bookmarkEnd w:id="105"/>
      <w:bookmarkStart w:id="106" w:name="_Toc229910069"/>
      <w:bookmarkEnd w:id="106"/>
      <w:bookmarkStart w:id="107" w:name="_Toc229910070"/>
      <w:bookmarkEnd w:id="107"/>
      <w:bookmarkStart w:id="108" w:name="_Toc230098628"/>
      <w:r>
        <w:rPr>
          <w:rFonts w:hint="eastAsia" w:ascii="仿宋_GB2312" w:hAnsi="方正仿宋_GB2312" w:eastAsia="仿宋_GB2312" w:cs="方正仿宋_GB2312"/>
          <w:b/>
          <w:bCs/>
          <w:color w:val="auto"/>
          <w:highlight w:val="none"/>
          <w:lang w:bidi="ar"/>
        </w:rPr>
        <w:t>三、交付物清单</w:t>
      </w:r>
      <w:bookmarkEnd w:id="108"/>
    </w:p>
    <w:p w14:paraId="14FEEEA4">
      <w:pPr>
        <w:pStyle w:val="11"/>
        <w:spacing w:after="0"/>
        <w:rPr>
          <w:rFonts w:hint="eastAsia" w:ascii="仿宋_GB2312" w:hAnsi="方正仿宋_GB2312" w:eastAsia="仿宋_GB2312" w:cs="方正仿宋_GB2312"/>
          <w:color w:val="auto"/>
          <w:highlight w:val="none"/>
          <w:lang w:bidi="ar"/>
        </w:rPr>
      </w:pPr>
      <w:r>
        <w:rPr>
          <w:rFonts w:hint="eastAsia" w:ascii="仿宋_GB2312" w:hAnsi="方正仿宋_GB2312" w:eastAsia="仿宋_GB2312" w:cs="方正仿宋_GB2312"/>
          <w:color w:val="auto"/>
          <w:highlight w:val="none"/>
          <w:lang w:bidi="ar"/>
        </w:rPr>
        <w:t>咨询服务交付物清单如下：</w:t>
      </w:r>
    </w:p>
    <w:p w14:paraId="1315CA05">
      <w:pPr>
        <w:pStyle w:val="11"/>
        <w:widowControl/>
        <w:spacing w:after="0"/>
        <w:ind w:left="1720" w:hanging="108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★（1）</w:t>
      </w:r>
      <w:r>
        <w:rPr>
          <w:rFonts w:hint="eastAsia" w:ascii="仿宋_GB2312" w:hAnsi="方正仿宋_GB2312" w:eastAsia="仿宋_GB2312" w:cs="方正仿宋_GB2312"/>
          <w:color w:val="auto"/>
          <w:highlight w:val="none"/>
          <w:lang w:bidi="ar"/>
        </w:rPr>
        <w:t>现状调研分析报告；</w:t>
      </w:r>
    </w:p>
    <w:p w14:paraId="45F3DD62">
      <w:pPr>
        <w:pStyle w:val="11"/>
        <w:widowControl/>
        <w:spacing w:after="0"/>
        <w:ind w:left="1720" w:hanging="108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★（2）</w:t>
      </w:r>
      <w:r>
        <w:rPr>
          <w:rFonts w:hint="eastAsia" w:ascii="仿宋_GB2312" w:hAnsi="方正仿宋_GB2312" w:eastAsia="仿宋_GB2312" w:cs="方正仿宋_GB2312"/>
          <w:color w:val="auto"/>
          <w:highlight w:val="none"/>
          <w:lang w:bidi="ar"/>
        </w:rPr>
        <w:t>SAE ARP 4754建设报告；</w:t>
      </w:r>
    </w:p>
    <w:p w14:paraId="3780E1F4">
      <w:pPr>
        <w:pStyle w:val="11"/>
        <w:widowControl/>
        <w:spacing w:after="0"/>
        <w:ind w:left="1720" w:hanging="108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★（3）★</w:t>
      </w:r>
      <w:r>
        <w:rPr>
          <w:rFonts w:hint="eastAsia" w:ascii="仿宋_GB2312" w:hAnsi="方正仿宋_GB2312" w:eastAsia="仿宋_GB2312" w:cs="方正仿宋_GB2312"/>
          <w:color w:val="auto"/>
          <w:highlight w:val="none"/>
          <w:lang w:bidi="ar"/>
        </w:rPr>
        <w:t>持续适航体系建设报告；</w:t>
      </w:r>
    </w:p>
    <w:p w14:paraId="66690FF3">
      <w:pPr>
        <w:pStyle w:val="11"/>
        <w:widowControl/>
        <w:spacing w:after="0"/>
        <w:ind w:left="1720" w:hanging="108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★（4）</w:t>
      </w:r>
      <w:r>
        <w:rPr>
          <w:rFonts w:hint="eastAsia" w:ascii="仿宋_GB2312" w:hAnsi="方正仿宋_GB2312" w:eastAsia="仿宋_GB2312" w:cs="方正仿宋_GB2312"/>
          <w:color w:val="auto"/>
          <w:highlight w:val="none"/>
          <w:lang w:bidi="ar"/>
        </w:rPr>
        <w:t>体系建设方案，包括公司现有运行体系与标准的差异，以及对应的可实施运行策略，并通过公司组织的专家评审（包括对本章（1）（2）（3）条的评审），该</w:t>
      </w:r>
      <w:r>
        <w:rPr>
          <w:rFonts w:hint="eastAsia" w:ascii="仿宋_GB2312" w:hAnsi="方正仿宋_GB2312" w:eastAsia="仿宋_GB2312" w:cs="方正仿宋_GB2312"/>
          <w:color w:val="auto"/>
          <w:highlight w:val="none"/>
          <w:shd w:val="clear" w:color="auto" w:fill="FFFFFF"/>
        </w:rPr>
        <w:t>方案完全贴合公司组织、流程、工具、型号现状</w:t>
      </w:r>
      <w:r>
        <w:rPr>
          <w:rFonts w:hint="eastAsia" w:ascii="仿宋_GB2312" w:hAnsi="方正仿宋_GB2312" w:eastAsia="仿宋_GB2312" w:cs="方正仿宋_GB2312"/>
          <w:color w:val="auto"/>
          <w:highlight w:val="none"/>
          <w:lang w:bidi="ar"/>
        </w:rPr>
        <w:t>；</w:t>
      </w:r>
    </w:p>
    <w:p w14:paraId="6795D3F6">
      <w:pPr>
        <w:pStyle w:val="11"/>
        <w:widowControl/>
        <w:spacing w:after="0"/>
        <w:ind w:left="1720" w:hanging="108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★（5）</w:t>
      </w:r>
      <w:r>
        <w:rPr>
          <w:rFonts w:hint="eastAsia" w:ascii="仿宋_GB2312" w:hAnsi="方正仿宋_GB2312" w:eastAsia="仿宋_GB2312" w:cs="方正仿宋_GB2312"/>
          <w:color w:val="auto"/>
          <w:highlight w:val="none"/>
          <w:lang w:bidi="ar"/>
        </w:rPr>
        <w:t>全套体系文件，如手册、流程、操作指南或规程、编写要求、评审检查单等；</w:t>
      </w:r>
    </w:p>
    <w:p w14:paraId="79F179C7">
      <w:pPr>
        <w:pStyle w:val="11"/>
        <w:widowControl/>
        <w:spacing w:after="0"/>
        <w:ind w:left="1720" w:hanging="108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★（6）</w:t>
      </w:r>
      <w:r>
        <w:rPr>
          <w:rFonts w:hint="eastAsia" w:ascii="仿宋_GB2312" w:hAnsi="方正仿宋_GB2312" w:eastAsia="仿宋_GB2312" w:cs="方正仿宋_GB2312"/>
          <w:color w:val="auto"/>
          <w:highlight w:val="none"/>
          <w:lang w:bidi="ar"/>
        </w:rPr>
        <w:t>项目实施报告，包含实施计划、阶段报告、总结报告、评审验收报告；</w:t>
      </w:r>
    </w:p>
    <w:p w14:paraId="3FD9B956">
      <w:pPr>
        <w:pStyle w:val="11"/>
        <w:widowControl/>
        <w:spacing w:after="0"/>
        <w:ind w:left="1720" w:hanging="108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★（7）</w:t>
      </w:r>
      <w:r>
        <w:rPr>
          <w:rFonts w:hint="eastAsia" w:ascii="仿宋_GB2312" w:hAnsi="方正仿宋_GB2312" w:eastAsia="仿宋_GB2312" w:cs="方正仿宋_GB2312"/>
          <w:color w:val="auto"/>
          <w:highlight w:val="none"/>
          <w:lang w:bidi="ar"/>
        </w:rPr>
        <w:t>培训资料，包含SAE ARP 4754和持续适航体系全架构的详细介绍PPT、培训讲义、培训记录表；</w:t>
      </w:r>
    </w:p>
    <w:p w14:paraId="1EA7DD67">
      <w:pPr>
        <w:pStyle w:val="11"/>
        <w:widowControl/>
        <w:spacing w:after="0"/>
        <w:ind w:left="1720" w:hanging="1080"/>
        <w:rPr>
          <w:rFonts w:hint="eastAsia" w:ascii="仿宋_GB2312" w:hAnsi="方正仿宋_GB2312" w:eastAsia="仿宋_GB2312" w:cs="方正仿宋_GB2312"/>
          <w:color w:val="auto"/>
          <w:highlight w:val="none"/>
          <w:lang w:bidi="ar"/>
        </w:rPr>
      </w:pPr>
      <w:r>
        <w:rPr>
          <w:rFonts w:ascii="仿宋_GB2312" w:hAnsi="方正仿宋_GB2312" w:eastAsia="仿宋_GB2312" w:cs="方正仿宋_GB2312"/>
          <w:color w:val="auto"/>
          <w:highlight w:val="none"/>
          <w:lang w:bidi="ar"/>
        </w:rPr>
        <w:t>（8）</w:t>
      </w:r>
      <w:r>
        <w:rPr>
          <w:rFonts w:hint="eastAsia" w:ascii="仿宋_GB2312" w:hAnsi="方正仿宋_GB2312" w:eastAsia="仿宋_GB2312" w:cs="方正仿宋_GB2312"/>
          <w:color w:val="auto"/>
          <w:highlight w:val="none"/>
          <w:shd w:val="clear" w:color="auto" w:fill="FFFFFF"/>
        </w:rPr>
        <w:t>所有交付物可执行、可用于审查，不接受纯理论方案</w:t>
      </w:r>
      <w:r>
        <w:rPr>
          <w:rFonts w:hint="eastAsia" w:ascii="仿宋_GB2312" w:hAnsi="方正仿宋_GB2312" w:eastAsia="仿宋_GB2312" w:cs="方正仿宋_GB2312"/>
          <w:color w:val="auto"/>
          <w:highlight w:val="none"/>
          <w:lang w:bidi="ar"/>
        </w:rPr>
        <w:t>。</w:t>
      </w:r>
    </w:p>
    <w:p w14:paraId="28E584FF">
      <w:pPr>
        <w:pStyle w:val="11"/>
        <w:spacing w:before="120" w:beforeLines="50" w:afterLines="50"/>
        <w:outlineLvl w:val="0"/>
        <w:rPr>
          <w:rFonts w:hint="eastAsia" w:ascii="仿宋_GB2312" w:hAnsi="方正仿宋_GB2312" w:eastAsia="仿宋_GB2312" w:cs="方正仿宋_GB2312"/>
          <w:bCs/>
          <w:color w:val="auto"/>
          <w:highlight w:val="none"/>
          <w:lang w:bidi="ar"/>
        </w:rPr>
      </w:pPr>
      <w:bookmarkStart w:id="109" w:name="_Toc229910091"/>
      <w:bookmarkEnd w:id="109"/>
      <w:bookmarkStart w:id="110" w:name="_Toc229910081"/>
      <w:bookmarkEnd w:id="110"/>
      <w:bookmarkStart w:id="111" w:name="_Toc229910088"/>
      <w:bookmarkEnd w:id="111"/>
      <w:bookmarkStart w:id="112" w:name="_Toc229910090"/>
      <w:bookmarkEnd w:id="112"/>
      <w:bookmarkStart w:id="113" w:name="_Toc229910074"/>
      <w:bookmarkEnd w:id="113"/>
      <w:bookmarkStart w:id="114" w:name="_Toc229910095"/>
      <w:bookmarkEnd w:id="114"/>
      <w:bookmarkStart w:id="115" w:name="_Toc229910082"/>
      <w:bookmarkEnd w:id="115"/>
      <w:bookmarkStart w:id="116" w:name="_Toc229910099"/>
      <w:bookmarkEnd w:id="116"/>
      <w:bookmarkStart w:id="117" w:name="_Toc229910103"/>
      <w:bookmarkEnd w:id="117"/>
      <w:bookmarkStart w:id="118" w:name="_Toc229910092"/>
      <w:bookmarkEnd w:id="118"/>
      <w:bookmarkStart w:id="119" w:name="_Toc229910078"/>
      <w:bookmarkEnd w:id="119"/>
      <w:bookmarkStart w:id="120" w:name="_Toc229910076"/>
      <w:bookmarkEnd w:id="120"/>
      <w:bookmarkStart w:id="121" w:name="_Toc229910085"/>
      <w:bookmarkEnd w:id="121"/>
      <w:bookmarkStart w:id="122" w:name="_Toc229910079"/>
      <w:bookmarkEnd w:id="122"/>
      <w:bookmarkStart w:id="123" w:name="_Toc229910083"/>
      <w:bookmarkEnd w:id="123"/>
      <w:bookmarkStart w:id="124" w:name="_Toc229910100"/>
      <w:bookmarkEnd w:id="124"/>
      <w:bookmarkStart w:id="125" w:name="_Toc229910087"/>
      <w:bookmarkEnd w:id="125"/>
      <w:bookmarkStart w:id="126" w:name="_Toc229910080"/>
      <w:bookmarkEnd w:id="126"/>
      <w:bookmarkStart w:id="127" w:name="_Toc229910108"/>
      <w:bookmarkEnd w:id="127"/>
      <w:bookmarkStart w:id="128" w:name="_Toc229910073"/>
      <w:bookmarkEnd w:id="128"/>
      <w:bookmarkStart w:id="129" w:name="_Toc229910101"/>
      <w:bookmarkEnd w:id="129"/>
      <w:bookmarkStart w:id="130" w:name="_Toc229910098"/>
      <w:bookmarkEnd w:id="130"/>
      <w:bookmarkStart w:id="131" w:name="_Toc229910075"/>
      <w:bookmarkEnd w:id="131"/>
      <w:bookmarkStart w:id="132" w:name="_Toc229910104"/>
      <w:bookmarkEnd w:id="132"/>
      <w:bookmarkStart w:id="133" w:name="_Toc229910089"/>
      <w:bookmarkEnd w:id="133"/>
      <w:bookmarkStart w:id="134" w:name="_Toc229910107"/>
      <w:bookmarkEnd w:id="134"/>
      <w:bookmarkStart w:id="135" w:name="_Toc229910086"/>
      <w:bookmarkEnd w:id="135"/>
      <w:bookmarkStart w:id="136" w:name="_Toc229910094"/>
      <w:bookmarkEnd w:id="136"/>
      <w:bookmarkStart w:id="137" w:name="_Toc229910084"/>
      <w:bookmarkEnd w:id="137"/>
      <w:bookmarkStart w:id="138" w:name="_Toc229910096"/>
      <w:bookmarkEnd w:id="138"/>
      <w:bookmarkStart w:id="139" w:name="_Toc229910106"/>
      <w:bookmarkEnd w:id="139"/>
      <w:bookmarkStart w:id="140" w:name="_Toc229910077"/>
      <w:bookmarkEnd w:id="140"/>
      <w:bookmarkStart w:id="141" w:name="_Toc229910102"/>
      <w:bookmarkEnd w:id="141"/>
      <w:bookmarkStart w:id="142" w:name="_Toc229910105"/>
      <w:bookmarkEnd w:id="142"/>
      <w:bookmarkStart w:id="143" w:name="_Toc229910097"/>
      <w:bookmarkEnd w:id="143"/>
      <w:bookmarkStart w:id="144" w:name="_Toc229910093"/>
      <w:bookmarkEnd w:id="144"/>
      <w:bookmarkStart w:id="145" w:name="_Toc230098629"/>
      <w:r>
        <w:rPr>
          <w:rFonts w:hint="eastAsia" w:ascii="仿宋_GB2312" w:hAnsi="方正仿宋_GB2312" w:eastAsia="仿宋_GB2312" w:cs="方正仿宋_GB2312"/>
          <w:bCs/>
          <w:color w:val="auto"/>
          <w:highlight w:val="none"/>
          <w:lang w:bidi="ar"/>
        </w:rPr>
        <w:t>四、</w:t>
      </w:r>
      <w:r>
        <w:rPr>
          <w:rFonts w:hint="eastAsia" w:ascii="仿宋_GB2312" w:hAnsi="方正仿宋_GB2312" w:eastAsia="仿宋_GB2312" w:cs="方正仿宋_GB2312"/>
          <w:b/>
          <w:bCs/>
          <w:color w:val="auto"/>
          <w:highlight w:val="none"/>
          <w:lang w:bidi="ar"/>
        </w:rPr>
        <w:t>项目实施计划</w:t>
      </w:r>
      <w:bookmarkEnd w:id="145"/>
    </w:p>
    <w:p w14:paraId="082BF68B">
      <w:pPr>
        <w:adjustRightInd w:val="0"/>
        <w:snapToGrid w:val="0"/>
        <w:spacing w:line="560" w:lineRule="exact"/>
        <w:ind w:firstLine="480" w:firstLineChars="200"/>
        <w:rPr>
          <w:rFonts w:hint="eastAsia" w:ascii="仿宋_GB2312" w:hAnsi="方正仿宋_GB2312" w:eastAsia="仿宋_GB2312" w:cs="方正仿宋_GB2312"/>
          <w:color w:val="auto"/>
          <w:highlight w:val="none"/>
        </w:rPr>
      </w:pPr>
      <w:r>
        <w:rPr>
          <w:rFonts w:hint="eastAsia" w:ascii="仿宋_GB2312" w:hAnsi="方正仿宋_GB2312" w:eastAsia="仿宋_GB2312" w:cs="方正仿宋_GB2312"/>
          <w:color w:val="auto"/>
          <w:highlight w:val="none"/>
        </w:rPr>
        <w:t>项目按“启动诊断—体系设计—试点验证—推广固化”四阶段推进，预计总周期为5个月，各阶段安排如下表所示。各阶段之间通过阶段评审进行决策放行，确保前一阶段交付物质量满足后续工作输入要求。</w:t>
      </w:r>
    </w:p>
    <w:p w14:paraId="199DE60D">
      <w:pPr>
        <w:pStyle w:val="2"/>
        <w:spacing w:after="0" w:line="360" w:lineRule="auto"/>
        <w:ind w:left="0" w:leftChars="0"/>
        <w:jc w:val="center"/>
        <w:rPr>
          <w:rFonts w:hint="eastAsia" w:ascii="仿宋_GB2312" w:hAnsi="方正仿宋_GB2312" w:eastAsia="仿宋_GB2312" w:cs="方正仿宋_GB2312"/>
          <w:b/>
          <w:bCs/>
          <w:color w:val="auto"/>
          <w:highlight w:val="none"/>
        </w:rPr>
      </w:pPr>
      <w:r>
        <w:rPr>
          <w:rFonts w:hint="eastAsia" w:ascii="仿宋_GB2312" w:hAnsi="方正仿宋_GB2312" w:eastAsia="仿宋_GB2312" w:cs="方正仿宋_GB2312"/>
          <w:b/>
          <w:bCs/>
          <w:color w:val="auto"/>
          <w:highlight w:val="none"/>
        </w:rPr>
        <w:t>表1  流程咨询项目实施活动及预估周期</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275"/>
        <w:gridCol w:w="1287"/>
        <w:gridCol w:w="5365"/>
      </w:tblGrid>
      <w:tr w14:paraId="5A10F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88" w:type="dxa"/>
            <w:shd w:val="clear" w:color="auto" w:fill="EEECE1" w:themeFill="background2"/>
            <w:vAlign w:val="center"/>
          </w:tcPr>
          <w:p w14:paraId="598F3300">
            <w:pPr>
              <w:widowControl/>
              <w:adjustRightInd w:val="0"/>
              <w:snapToGrid w:val="0"/>
              <w:spacing w:line="240" w:lineRule="auto"/>
              <w:jc w:val="center"/>
              <w:textAlignment w:val="center"/>
              <w:rPr>
                <w:rFonts w:hint="eastAsia" w:ascii="仿宋_GB2312" w:hAnsi="方正仿宋_GB2312" w:eastAsia="仿宋_GB2312" w:cs="方正仿宋_GB2312"/>
                <w:b/>
                <w:bCs/>
                <w:color w:val="auto"/>
                <w:kern w:val="0"/>
                <w:sz w:val="21"/>
                <w:szCs w:val="21"/>
                <w:highlight w:val="none"/>
                <w:lang w:bidi="ar"/>
              </w:rPr>
            </w:pPr>
            <w:r>
              <w:rPr>
                <w:rFonts w:hint="eastAsia" w:ascii="仿宋_GB2312" w:hAnsi="方正仿宋_GB2312" w:eastAsia="仿宋_GB2312" w:cs="方正仿宋_GB2312"/>
                <w:b/>
                <w:bCs/>
                <w:color w:val="auto"/>
                <w:kern w:val="0"/>
                <w:sz w:val="21"/>
                <w:szCs w:val="21"/>
                <w:highlight w:val="none"/>
                <w:lang w:bidi="ar"/>
              </w:rPr>
              <w:t>阶段</w:t>
            </w:r>
          </w:p>
        </w:tc>
        <w:tc>
          <w:tcPr>
            <w:tcW w:w="1275" w:type="dxa"/>
            <w:shd w:val="clear" w:color="auto" w:fill="EEECE1" w:themeFill="background2"/>
            <w:vAlign w:val="center"/>
          </w:tcPr>
          <w:p w14:paraId="65A45C44">
            <w:pPr>
              <w:widowControl/>
              <w:adjustRightInd w:val="0"/>
              <w:snapToGrid w:val="0"/>
              <w:spacing w:line="240" w:lineRule="auto"/>
              <w:jc w:val="center"/>
              <w:textAlignment w:val="center"/>
              <w:rPr>
                <w:rFonts w:hint="eastAsia" w:ascii="仿宋_GB2312" w:hAnsi="方正仿宋_GB2312" w:eastAsia="仿宋_GB2312" w:cs="方正仿宋_GB2312"/>
                <w:b/>
                <w:bCs/>
                <w:color w:val="auto"/>
                <w:kern w:val="0"/>
                <w:sz w:val="21"/>
                <w:szCs w:val="21"/>
                <w:highlight w:val="none"/>
                <w:lang w:bidi="ar"/>
              </w:rPr>
            </w:pPr>
            <w:r>
              <w:rPr>
                <w:rFonts w:hint="eastAsia" w:ascii="仿宋_GB2312" w:hAnsi="方正仿宋_GB2312" w:eastAsia="仿宋_GB2312" w:cs="方正仿宋_GB2312"/>
                <w:b/>
                <w:bCs/>
                <w:color w:val="auto"/>
                <w:kern w:val="0"/>
                <w:sz w:val="21"/>
                <w:szCs w:val="21"/>
                <w:highlight w:val="none"/>
                <w:lang w:bidi="ar"/>
              </w:rPr>
              <w:t>实施活动</w:t>
            </w:r>
          </w:p>
        </w:tc>
        <w:tc>
          <w:tcPr>
            <w:tcW w:w="1287" w:type="dxa"/>
            <w:shd w:val="clear" w:color="auto" w:fill="EEECE1" w:themeFill="background2"/>
            <w:vAlign w:val="center"/>
          </w:tcPr>
          <w:p w14:paraId="6D7491AA">
            <w:pPr>
              <w:widowControl/>
              <w:adjustRightInd w:val="0"/>
              <w:snapToGrid w:val="0"/>
              <w:spacing w:line="240" w:lineRule="auto"/>
              <w:jc w:val="center"/>
              <w:textAlignment w:val="center"/>
              <w:rPr>
                <w:rFonts w:hint="eastAsia" w:ascii="仿宋_GB2312" w:hAnsi="方正仿宋_GB2312" w:eastAsia="仿宋_GB2312" w:cs="方正仿宋_GB2312"/>
                <w:b/>
                <w:bCs/>
                <w:color w:val="auto"/>
                <w:kern w:val="0"/>
                <w:sz w:val="21"/>
                <w:szCs w:val="21"/>
                <w:highlight w:val="none"/>
                <w:lang w:bidi="ar"/>
              </w:rPr>
            </w:pPr>
            <w:r>
              <w:rPr>
                <w:rFonts w:hint="eastAsia" w:ascii="仿宋_GB2312" w:hAnsi="方正仿宋_GB2312" w:eastAsia="仿宋_GB2312" w:cs="方正仿宋_GB2312"/>
                <w:b/>
                <w:bCs/>
                <w:color w:val="auto"/>
                <w:kern w:val="0"/>
                <w:sz w:val="21"/>
                <w:szCs w:val="21"/>
                <w:highlight w:val="none"/>
                <w:lang w:bidi="ar"/>
              </w:rPr>
              <w:t>实施周期（月）</w:t>
            </w:r>
          </w:p>
        </w:tc>
        <w:tc>
          <w:tcPr>
            <w:tcW w:w="5365" w:type="dxa"/>
            <w:shd w:val="clear" w:color="auto" w:fill="EEECE1" w:themeFill="background2"/>
            <w:vAlign w:val="center"/>
          </w:tcPr>
          <w:p w14:paraId="2C05155A">
            <w:pPr>
              <w:widowControl/>
              <w:adjustRightInd w:val="0"/>
              <w:snapToGrid w:val="0"/>
              <w:spacing w:line="240" w:lineRule="auto"/>
              <w:jc w:val="center"/>
              <w:textAlignment w:val="center"/>
              <w:rPr>
                <w:rFonts w:hint="eastAsia" w:ascii="仿宋_GB2312" w:hAnsi="方正仿宋_GB2312" w:eastAsia="仿宋_GB2312" w:cs="方正仿宋_GB2312"/>
                <w:b/>
                <w:bCs/>
                <w:color w:val="auto"/>
                <w:kern w:val="0"/>
                <w:sz w:val="21"/>
                <w:szCs w:val="21"/>
                <w:highlight w:val="none"/>
                <w:lang w:bidi="ar"/>
              </w:rPr>
            </w:pPr>
            <w:r>
              <w:rPr>
                <w:rFonts w:hint="eastAsia" w:ascii="仿宋_GB2312" w:hAnsi="方正仿宋_GB2312" w:eastAsia="仿宋_GB2312" w:cs="方正仿宋_GB2312"/>
                <w:b/>
                <w:bCs/>
                <w:color w:val="auto"/>
                <w:kern w:val="0"/>
                <w:sz w:val="21"/>
                <w:szCs w:val="21"/>
                <w:highlight w:val="none"/>
                <w:lang w:bidi="ar"/>
              </w:rPr>
              <w:t>核心任务与交付物</w:t>
            </w:r>
          </w:p>
        </w:tc>
      </w:tr>
      <w:tr w14:paraId="71BD5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88" w:type="dxa"/>
            <w:vAlign w:val="center"/>
          </w:tcPr>
          <w:p w14:paraId="588A8DB7">
            <w:pPr>
              <w:spacing w:line="240" w:lineRule="auto"/>
              <w:rPr>
                <w:rFonts w:hint="eastAsia" w:ascii="仿宋_GB2312" w:hAnsi="方正仿宋_GB2312" w:eastAsia="仿宋_GB2312" w:cs="方正仿宋_GB2312"/>
                <w:color w:val="auto"/>
                <w:sz w:val="21"/>
                <w:szCs w:val="21"/>
                <w:highlight w:val="none"/>
              </w:rPr>
            </w:pPr>
            <w:r>
              <w:rPr>
                <w:rFonts w:hint="eastAsia" w:ascii="仿宋_GB2312" w:hAnsi="方正仿宋_GB2312" w:eastAsia="仿宋_GB2312" w:cs="方正仿宋_GB2312"/>
                <w:b/>
                <w:bCs/>
                <w:color w:val="auto"/>
                <w:sz w:val="21"/>
                <w:szCs w:val="21"/>
                <w:highlight w:val="none"/>
              </w:rPr>
              <w:t>阶段一</w:t>
            </w:r>
          </w:p>
        </w:tc>
        <w:tc>
          <w:tcPr>
            <w:tcW w:w="1275" w:type="dxa"/>
            <w:vAlign w:val="center"/>
          </w:tcPr>
          <w:p w14:paraId="566B8EC1">
            <w:pPr>
              <w:spacing w:line="240" w:lineRule="auto"/>
              <w:rPr>
                <w:rFonts w:hint="eastAsia" w:ascii="仿宋_GB2312" w:hAnsi="方正仿宋_GB2312" w:eastAsia="仿宋_GB2312" w:cs="方正仿宋_GB2312"/>
                <w:color w:val="auto"/>
                <w:sz w:val="21"/>
                <w:szCs w:val="21"/>
                <w:highlight w:val="none"/>
              </w:rPr>
            </w:pPr>
            <w:r>
              <w:rPr>
                <w:rFonts w:hint="eastAsia" w:ascii="仿宋_GB2312" w:hAnsi="方正仿宋_GB2312" w:eastAsia="仿宋_GB2312" w:cs="方正仿宋_GB2312"/>
                <w:color w:val="auto"/>
                <w:sz w:val="21"/>
                <w:szCs w:val="21"/>
                <w:highlight w:val="none"/>
              </w:rPr>
              <w:t>启动与现状诊断</w:t>
            </w:r>
          </w:p>
        </w:tc>
        <w:tc>
          <w:tcPr>
            <w:tcW w:w="1287" w:type="dxa"/>
            <w:vAlign w:val="center"/>
          </w:tcPr>
          <w:p w14:paraId="775063D1">
            <w:pPr>
              <w:spacing w:line="240" w:lineRule="auto"/>
              <w:rPr>
                <w:rFonts w:hint="eastAsia" w:ascii="仿宋_GB2312" w:hAnsi="方正仿宋_GB2312" w:eastAsia="仿宋_GB2312" w:cs="方正仿宋_GB2312"/>
                <w:color w:val="auto"/>
                <w:sz w:val="21"/>
                <w:szCs w:val="21"/>
                <w:highlight w:val="none"/>
              </w:rPr>
            </w:pPr>
            <w:r>
              <w:rPr>
                <w:rFonts w:hint="eastAsia" w:ascii="仿宋_GB2312" w:hAnsi="方正仿宋_GB2312" w:eastAsia="仿宋_GB2312" w:cs="方正仿宋_GB2312"/>
                <w:color w:val="auto"/>
                <w:sz w:val="21"/>
                <w:szCs w:val="21"/>
                <w:highlight w:val="none"/>
              </w:rPr>
              <w:t>1 个月</w:t>
            </w:r>
          </w:p>
        </w:tc>
        <w:tc>
          <w:tcPr>
            <w:tcW w:w="5365" w:type="dxa"/>
            <w:vAlign w:val="center"/>
          </w:tcPr>
          <w:p w14:paraId="621243BB">
            <w:pPr>
              <w:spacing w:line="240" w:lineRule="auto"/>
              <w:rPr>
                <w:rFonts w:hint="eastAsia" w:ascii="仿宋_GB2312" w:hAnsi="方正仿宋_GB2312" w:eastAsia="仿宋_GB2312" w:cs="方正仿宋_GB2312"/>
                <w:color w:val="auto"/>
                <w:sz w:val="21"/>
                <w:szCs w:val="21"/>
                <w:highlight w:val="none"/>
              </w:rPr>
            </w:pPr>
            <w:r>
              <w:rPr>
                <w:rFonts w:hint="eastAsia" w:ascii="仿宋_GB2312" w:hAnsi="方正仿宋_GB2312" w:eastAsia="仿宋_GB2312" w:cs="方正仿宋_GB2312"/>
                <w:color w:val="auto"/>
                <w:sz w:val="21"/>
                <w:szCs w:val="21"/>
                <w:highlight w:val="none"/>
              </w:rPr>
              <w:t>项目启动会、调研问卷与访谈，现状调研分析报告。</w:t>
            </w:r>
          </w:p>
        </w:tc>
      </w:tr>
      <w:tr w14:paraId="1654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88" w:type="dxa"/>
            <w:vAlign w:val="center"/>
          </w:tcPr>
          <w:p w14:paraId="07016C88">
            <w:pPr>
              <w:spacing w:line="240" w:lineRule="auto"/>
              <w:rPr>
                <w:rFonts w:hint="eastAsia" w:ascii="仿宋_GB2312" w:hAnsi="方正仿宋_GB2312" w:eastAsia="仿宋_GB2312" w:cs="方正仿宋_GB2312"/>
                <w:color w:val="auto"/>
                <w:sz w:val="21"/>
                <w:szCs w:val="21"/>
                <w:highlight w:val="none"/>
              </w:rPr>
            </w:pPr>
            <w:r>
              <w:rPr>
                <w:rFonts w:hint="eastAsia" w:ascii="仿宋_GB2312" w:hAnsi="方正仿宋_GB2312" w:eastAsia="仿宋_GB2312" w:cs="方正仿宋_GB2312"/>
                <w:b/>
                <w:bCs/>
                <w:color w:val="auto"/>
                <w:sz w:val="21"/>
                <w:szCs w:val="21"/>
                <w:highlight w:val="none"/>
              </w:rPr>
              <w:t>阶段二</w:t>
            </w:r>
          </w:p>
        </w:tc>
        <w:tc>
          <w:tcPr>
            <w:tcW w:w="1275" w:type="dxa"/>
            <w:vAlign w:val="center"/>
          </w:tcPr>
          <w:p w14:paraId="5CAD4CAF">
            <w:pPr>
              <w:spacing w:line="240" w:lineRule="auto"/>
              <w:rPr>
                <w:rFonts w:hint="eastAsia" w:ascii="仿宋_GB2312" w:hAnsi="方正仿宋_GB2312" w:eastAsia="仿宋_GB2312" w:cs="方正仿宋_GB2312"/>
                <w:color w:val="auto"/>
                <w:sz w:val="21"/>
                <w:szCs w:val="21"/>
                <w:highlight w:val="none"/>
              </w:rPr>
            </w:pPr>
            <w:r>
              <w:rPr>
                <w:rFonts w:hint="eastAsia" w:ascii="仿宋_GB2312" w:hAnsi="方正仿宋_GB2312" w:eastAsia="仿宋_GB2312" w:cs="方正仿宋_GB2312"/>
                <w:color w:val="auto"/>
                <w:sz w:val="21"/>
                <w:szCs w:val="21"/>
                <w:highlight w:val="none"/>
              </w:rPr>
              <w:t>体系框架设计</w:t>
            </w:r>
          </w:p>
        </w:tc>
        <w:tc>
          <w:tcPr>
            <w:tcW w:w="1287" w:type="dxa"/>
            <w:vAlign w:val="center"/>
          </w:tcPr>
          <w:p w14:paraId="7F63C703">
            <w:pPr>
              <w:spacing w:line="240" w:lineRule="auto"/>
              <w:rPr>
                <w:rFonts w:hint="eastAsia" w:ascii="仿宋_GB2312" w:hAnsi="方正仿宋_GB2312" w:eastAsia="仿宋_GB2312" w:cs="方正仿宋_GB2312"/>
                <w:color w:val="auto"/>
                <w:sz w:val="21"/>
                <w:szCs w:val="21"/>
                <w:highlight w:val="none"/>
              </w:rPr>
            </w:pPr>
            <w:r>
              <w:rPr>
                <w:rFonts w:hint="eastAsia" w:ascii="仿宋_GB2312" w:hAnsi="方正仿宋_GB2312" w:eastAsia="仿宋_GB2312" w:cs="方正仿宋_GB2312"/>
                <w:color w:val="auto"/>
                <w:sz w:val="21"/>
                <w:szCs w:val="21"/>
                <w:highlight w:val="none"/>
              </w:rPr>
              <w:t>1 个月</w:t>
            </w:r>
          </w:p>
        </w:tc>
        <w:tc>
          <w:tcPr>
            <w:tcW w:w="5365" w:type="dxa"/>
            <w:vAlign w:val="center"/>
          </w:tcPr>
          <w:p w14:paraId="31D6BE71">
            <w:pPr>
              <w:spacing w:line="240" w:lineRule="auto"/>
              <w:rPr>
                <w:rFonts w:hint="eastAsia" w:ascii="仿宋_GB2312" w:hAnsi="方正仿宋_GB2312" w:eastAsia="仿宋_GB2312" w:cs="方正仿宋_GB2312"/>
                <w:color w:val="auto"/>
                <w:sz w:val="21"/>
                <w:szCs w:val="21"/>
                <w:highlight w:val="none"/>
              </w:rPr>
            </w:pPr>
            <w:r>
              <w:rPr>
                <w:rFonts w:hint="eastAsia" w:ascii="仿宋_GB2312" w:hAnsi="方正仿宋_GB2312" w:eastAsia="仿宋_GB2312" w:cs="方正仿宋_GB2312"/>
                <w:color w:val="auto"/>
                <w:sz w:val="21"/>
                <w:szCs w:val="21"/>
                <w:highlight w:val="none"/>
              </w:rPr>
              <w:t>系统研制保证体系框架、持续适航体系框架。</w:t>
            </w:r>
          </w:p>
        </w:tc>
      </w:tr>
      <w:tr w14:paraId="63EF5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88" w:type="dxa"/>
            <w:vAlign w:val="center"/>
          </w:tcPr>
          <w:p w14:paraId="4F720869">
            <w:pPr>
              <w:spacing w:line="240" w:lineRule="auto"/>
              <w:rPr>
                <w:rFonts w:hint="eastAsia" w:ascii="仿宋_GB2312" w:hAnsi="方正仿宋_GB2312" w:eastAsia="仿宋_GB2312" w:cs="方正仿宋_GB2312"/>
                <w:color w:val="auto"/>
                <w:sz w:val="21"/>
                <w:szCs w:val="21"/>
                <w:highlight w:val="none"/>
              </w:rPr>
            </w:pPr>
            <w:r>
              <w:rPr>
                <w:rFonts w:hint="eastAsia" w:ascii="仿宋_GB2312" w:hAnsi="方正仿宋_GB2312" w:eastAsia="仿宋_GB2312" w:cs="方正仿宋_GB2312"/>
                <w:b/>
                <w:bCs/>
                <w:color w:val="auto"/>
                <w:sz w:val="21"/>
                <w:szCs w:val="21"/>
                <w:highlight w:val="none"/>
              </w:rPr>
              <w:t>阶段三</w:t>
            </w:r>
          </w:p>
        </w:tc>
        <w:tc>
          <w:tcPr>
            <w:tcW w:w="1275" w:type="dxa"/>
            <w:vAlign w:val="center"/>
          </w:tcPr>
          <w:p w14:paraId="64B9955C">
            <w:pPr>
              <w:spacing w:line="240" w:lineRule="auto"/>
              <w:rPr>
                <w:rFonts w:hint="eastAsia" w:ascii="仿宋_GB2312" w:hAnsi="方正仿宋_GB2312" w:eastAsia="仿宋_GB2312" w:cs="方正仿宋_GB2312"/>
                <w:color w:val="auto"/>
                <w:sz w:val="21"/>
                <w:szCs w:val="21"/>
                <w:highlight w:val="none"/>
              </w:rPr>
            </w:pPr>
            <w:r>
              <w:rPr>
                <w:rFonts w:hint="eastAsia" w:ascii="仿宋_GB2312" w:hAnsi="方正仿宋_GB2312" w:eastAsia="仿宋_GB2312" w:cs="方正仿宋_GB2312"/>
                <w:color w:val="auto"/>
                <w:sz w:val="21"/>
                <w:szCs w:val="21"/>
                <w:highlight w:val="none"/>
              </w:rPr>
              <w:t>体系细化</w:t>
            </w:r>
          </w:p>
        </w:tc>
        <w:tc>
          <w:tcPr>
            <w:tcW w:w="1287" w:type="dxa"/>
            <w:vAlign w:val="center"/>
          </w:tcPr>
          <w:p w14:paraId="3EA3D5DF">
            <w:pPr>
              <w:spacing w:line="240" w:lineRule="auto"/>
              <w:rPr>
                <w:rFonts w:hint="eastAsia" w:ascii="仿宋_GB2312" w:hAnsi="方正仿宋_GB2312" w:eastAsia="仿宋_GB2312" w:cs="方正仿宋_GB2312"/>
                <w:color w:val="auto"/>
                <w:sz w:val="21"/>
                <w:szCs w:val="21"/>
                <w:highlight w:val="none"/>
              </w:rPr>
            </w:pPr>
            <w:r>
              <w:rPr>
                <w:rFonts w:hint="eastAsia" w:ascii="仿宋_GB2312" w:hAnsi="方正仿宋_GB2312" w:eastAsia="仿宋_GB2312" w:cs="方正仿宋_GB2312"/>
                <w:color w:val="auto"/>
                <w:sz w:val="21"/>
                <w:szCs w:val="21"/>
                <w:highlight w:val="none"/>
              </w:rPr>
              <w:t>2 个月</w:t>
            </w:r>
          </w:p>
        </w:tc>
        <w:tc>
          <w:tcPr>
            <w:tcW w:w="5365" w:type="dxa"/>
            <w:vAlign w:val="center"/>
          </w:tcPr>
          <w:p w14:paraId="2E50919F">
            <w:pPr>
              <w:spacing w:line="240" w:lineRule="auto"/>
              <w:rPr>
                <w:rFonts w:hint="eastAsia" w:ascii="仿宋_GB2312" w:hAnsi="方正仿宋_GB2312" w:eastAsia="仿宋_GB2312" w:cs="方正仿宋_GB2312"/>
                <w:color w:val="auto"/>
                <w:sz w:val="21"/>
                <w:szCs w:val="21"/>
                <w:highlight w:val="none"/>
              </w:rPr>
            </w:pPr>
            <w:r>
              <w:rPr>
                <w:rFonts w:hint="eastAsia" w:ascii="仿宋_GB2312" w:hAnsi="方正仿宋_GB2312" w:eastAsia="仿宋_GB2312" w:cs="方正仿宋_GB2312"/>
                <w:color w:val="auto"/>
                <w:sz w:val="21"/>
                <w:szCs w:val="21"/>
                <w:highlight w:val="none"/>
              </w:rPr>
              <w:t>系统研制保证体系流程文件，持续适航管理程序，通过需求指定项目试运行。</w:t>
            </w:r>
          </w:p>
        </w:tc>
      </w:tr>
      <w:tr w14:paraId="27608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88" w:type="dxa"/>
            <w:vAlign w:val="center"/>
          </w:tcPr>
          <w:p w14:paraId="6EFB088E">
            <w:pPr>
              <w:spacing w:line="240" w:lineRule="auto"/>
              <w:rPr>
                <w:rFonts w:hint="eastAsia" w:ascii="仿宋_GB2312" w:hAnsi="方正仿宋_GB2312" w:eastAsia="仿宋_GB2312" w:cs="方正仿宋_GB2312"/>
                <w:color w:val="auto"/>
                <w:sz w:val="21"/>
                <w:szCs w:val="21"/>
                <w:highlight w:val="none"/>
              </w:rPr>
            </w:pPr>
            <w:r>
              <w:rPr>
                <w:rFonts w:hint="eastAsia" w:ascii="仿宋_GB2312" w:hAnsi="方正仿宋_GB2312" w:eastAsia="仿宋_GB2312" w:cs="方正仿宋_GB2312"/>
                <w:b/>
                <w:bCs/>
                <w:color w:val="auto"/>
                <w:sz w:val="21"/>
                <w:szCs w:val="21"/>
                <w:highlight w:val="none"/>
              </w:rPr>
              <w:t>阶段四</w:t>
            </w:r>
          </w:p>
        </w:tc>
        <w:tc>
          <w:tcPr>
            <w:tcW w:w="1275" w:type="dxa"/>
            <w:vAlign w:val="center"/>
          </w:tcPr>
          <w:p w14:paraId="2F84321D">
            <w:pPr>
              <w:spacing w:line="240" w:lineRule="auto"/>
              <w:rPr>
                <w:rFonts w:hint="eastAsia" w:ascii="仿宋_GB2312" w:hAnsi="方正仿宋_GB2312" w:eastAsia="仿宋_GB2312" w:cs="方正仿宋_GB2312"/>
                <w:color w:val="auto"/>
                <w:sz w:val="21"/>
                <w:szCs w:val="21"/>
                <w:highlight w:val="none"/>
              </w:rPr>
            </w:pPr>
            <w:r>
              <w:rPr>
                <w:rFonts w:hint="eastAsia" w:ascii="仿宋_GB2312" w:hAnsi="方正仿宋_GB2312" w:eastAsia="仿宋_GB2312" w:cs="方正仿宋_GB2312"/>
                <w:color w:val="auto"/>
                <w:sz w:val="21"/>
                <w:szCs w:val="21"/>
                <w:highlight w:val="none"/>
              </w:rPr>
              <w:t>培训</w:t>
            </w:r>
          </w:p>
        </w:tc>
        <w:tc>
          <w:tcPr>
            <w:tcW w:w="1287" w:type="dxa"/>
            <w:vAlign w:val="center"/>
          </w:tcPr>
          <w:p w14:paraId="7D834631">
            <w:pPr>
              <w:spacing w:line="240" w:lineRule="auto"/>
              <w:rPr>
                <w:rFonts w:hint="eastAsia" w:ascii="仿宋_GB2312" w:hAnsi="方正仿宋_GB2312" w:eastAsia="仿宋_GB2312" w:cs="方正仿宋_GB2312"/>
                <w:color w:val="auto"/>
                <w:sz w:val="21"/>
                <w:szCs w:val="21"/>
                <w:highlight w:val="none"/>
              </w:rPr>
            </w:pPr>
            <w:r>
              <w:rPr>
                <w:rFonts w:hint="eastAsia" w:ascii="仿宋_GB2312" w:hAnsi="方正仿宋_GB2312" w:eastAsia="仿宋_GB2312" w:cs="方正仿宋_GB2312"/>
                <w:color w:val="auto"/>
                <w:sz w:val="21"/>
                <w:szCs w:val="21"/>
                <w:highlight w:val="none"/>
              </w:rPr>
              <w:t>1 个月</w:t>
            </w:r>
          </w:p>
        </w:tc>
        <w:tc>
          <w:tcPr>
            <w:tcW w:w="5365" w:type="dxa"/>
            <w:vAlign w:val="center"/>
          </w:tcPr>
          <w:p w14:paraId="3028C6D4">
            <w:pPr>
              <w:spacing w:line="240" w:lineRule="auto"/>
              <w:rPr>
                <w:rFonts w:hint="eastAsia" w:ascii="仿宋_GB2312" w:hAnsi="方正仿宋_GB2312" w:eastAsia="仿宋_GB2312" w:cs="方正仿宋_GB2312"/>
                <w:color w:val="auto"/>
                <w:sz w:val="21"/>
                <w:szCs w:val="21"/>
                <w:highlight w:val="none"/>
              </w:rPr>
            </w:pPr>
            <w:r>
              <w:rPr>
                <w:rFonts w:hint="eastAsia" w:ascii="仿宋_GB2312" w:hAnsi="方正仿宋_GB2312" w:eastAsia="仿宋_GB2312" w:cs="方正仿宋_GB2312"/>
                <w:color w:val="auto"/>
                <w:sz w:val="21"/>
                <w:szCs w:val="21"/>
                <w:highlight w:val="none"/>
              </w:rPr>
              <w:t>培训、项目结项。</w:t>
            </w:r>
          </w:p>
        </w:tc>
      </w:tr>
    </w:tbl>
    <w:p w14:paraId="615127A1">
      <w:pPr>
        <w:pStyle w:val="11"/>
        <w:spacing w:before="120" w:beforeLines="50" w:afterLines="50"/>
        <w:outlineLvl w:val="0"/>
        <w:rPr>
          <w:rFonts w:hint="eastAsia" w:ascii="仿宋_GB2312" w:hAnsi="方正仿宋_GB2312" w:eastAsia="仿宋_GB2312" w:cs="方正仿宋_GB2312"/>
          <w:bCs/>
          <w:color w:val="auto"/>
          <w:highlight w:val="none"/>
          <w:lang w:bidi="ar"/>
        </w:rPr>
      </w:pPr>
      <w:bookmarkStart w:id="146" w:name="_Toc229910110"/>
      <w:bookmarkEnd w:id="146"/>
      <w:bookmarkStart w:id="147" w:name="_Toc230098631"/>
      <w:r>
        <w:rPr>
          <w:rFonts w:hint="eastAsia" w:ascii="仿宋_GB2312" w:hAnsi="方正仿宋_GB2312" w:eastAsia="仿宋_GB2312" w:cs="方正仿宋_GB2312"/>
          <w:bCs/>
          <w:color w:val="auto"/>
          <w:highlight w:val="none"/>
          <w:lang w:bidi="ar"/>
        </w:rPr>
        <w:t>五、</w:t>
      </w:r>
      <w:bookmarkEnd w:id="147"/>
      <w:bookmarkStart w:id="148" w:name="_Toc230098632"/>
      <w:r>
        <w:rPr>
          <w:rFonts w:hint="eastAsia" w:ascii="仿宋_GB2312" w:hAnsi="方正仿宋_GB2312" w:eastAsia="仿宋_GB2312" w:cs="方正仿宋_GB2312"/>
          <w:b/>
          <w:bCs/>
          <w:color w:val="auto"/>
          <w:highlight w:val="none"/>
          <w:lang w:bidi="ar"/>
        </w:rPr>
        <w:t>项目管理与沟通机制要求</w:t>
      </w:r>
      <w:bookmarkEnd w:id="148"/>
    </w:p>
    <w:p w14:paraId="016A3DFC">
      <w:pPr>
        <w:pStyle w:val="25"/>
        <w:spacing w:beforeAutospacing="0" w:afterAutospacing="0"/>
        <w:ind w:firstLine="480" w:firstLineChars="200"/>
        <w:jc w:val="both"/>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供应商在提交响应文件时提交《项目管理计划》，计划应清晰展示进度安排和里程碑节点，明确工作活动及交付物，并详尽阐述资源投入、成本估算、沟通机制、风险应对策略。计划中应明确建立定期（阶段/里程碑）的进度汇报机制和关键评审会议制度，以确保采购人能全程参与并掌控项目决策。</w:t>
      </w:r>
    </w:p>
    <w:p w14:paraId="63D88EA3">
      <w:pPr>
        <w:pStyle w:val="25"/>
        <w:spacing w:beforeAutospacing="0" w:afterAutospacing="0"/>
        <w:ind w:firstLine="480" w:firstLineChars="200"/>
        <w:jc w:val="both"/>
        <w:rPr>
          <w:rFonts w:hint="eastAsia" w:ascii="仿宋_GB2312" w:hAnsi="方正仿宋_GB2312" w:eastAsia="仿宋_GB2312" w:cs="方正仿宋_GB2312"/>
          <w:color w:val="auto"/>
          <w:sz w:val="24"/>
          <w:szCs w:val="24"/>
          <w:highlight w:val="none"/>
          <w:shd w:val="clear" w:color="auto" w:fill="FFFFFF"/>
        </w:rPr>
      </w:pPr>
      <w:r>
        <w:rPr>
          <w:rFonts w:ascii="仿宋_GB2312" w:hAnsi="方正仿宋_GB2312" w:eastAsia="仿宋_GB2312" w:cs="方正仿宋_GB2312"/>
          <w:color w:val="auto"/>
          <w:sz w:val="24"/>
          <w:szCs w:val="24"/>
          <w:highlight w:val="none"/>
          <w:lang w:bidi="ar"/>
        </w:rPr>
        <w:t>★</w:t>
      </w:r>
      <w:r>
        <w:rPr>
          <w:rFonts w:hint="eastAsia" w:ascii="仿宋_GB2312" w:hAnsi="方正仿宋_GB2312" w:eastAsia="仿宋_GB2312" w:cs="方正仿宋_GB2312"/>
          <w:color w:val="auto"/>
          <w:sz w:val="24"/>
          <w:szCs w:val="24"/>
          <w:highlight w:val="none"/>
          <w:shd w:val="clear" w:color="auto" w:fill="FFFFFF"/>
        </w:rPr>
        <w:t>供应商须严格遵守双方共同确认的项目范围、时间和成本基准。针对可能出现的项目变更，供应商须制定有效的需求变更管理措施，承诺在采购人提出需求后2个工作日内安排人员进行变更需求梳理，经双方联合评估对项目范围、进度、成本和资源的影响，提供变更文档并组织人员配合变更审批确认。</w:t>
      </w:r>
    </w:p>
    <w:p w14:paraId="05E4F5DC">
      <w:pPr>
        <w:pStyle w:val="11"/>
        <w:spacing w:before="120" w:beforeLines="50" w:afterLines="50"/>
        <w:outlineLvl w:val="0"/>
        <w:rPr>
          <w:rFonts w:hint="eastAsia" w:ascii="仿宋_GB2312" w:hAnsi="方正仿宋_GB2312" w:eastAsia="仿宋_GB2312" w:cs="方正仿宋_GB2312"/>
          <w:bCs/>
          <w:color w:val="auto"/>
          <w:highlight w:val="none"/>
          <w:lang w:bidi="ar"/>
        </w:rPr>
      </w:pPr>
      <w:bookmarkStart w:id="149" w:name="_Toc230098633"/>
      <w:r>
        <w:rPr>
          <w:rFonts w:hint="eastAsia" w:ascii="仿宋_GB2312" w:hAnsi="方正仿宋_GB2312" w:eastAsia="仿宋_GB2312" w:cs="方正仿宋_GB2312"/>
          <w:bCs/>
          <w:color w:val="auto"/>
          <w:highlight w:val="none"/>
          <w:lang w:bidi="ar"/>
        </w:rPr>
        <w:t>七、</w:t>
      </w:r>
      <w:r>
        <w:rPr>
          <w:rFonts w:hint="eastAsia" w:ascii="仿宋_GB2312" w:hAnsi="方正仿宋_GB2312" w:eastAsia="仿宋_GB2312" w:cs="方正仿宋_GB2312"/>
          <w:b/>
          <w:bCs/>
          <w:color w:val="auto"/>
          <w:highlight w:val="none"/>
          <w:lang w:bidi="ar"/>
        </w:rPr>
        <w:t>项目验收标准</w:t>
      </w:r>
      <w:bookmarkEnd w:id="149"/>
    </w:p>
    <w:p w14:paraId="3BB8B46A">
      <w:pPr>
        <w:pStyle w:val="25"/>
        <w:spacing w:beforeAutospacing="0" w:afterAutospacing="0"/>
        <w:ind w:firstLine="480" w:firstLineChars="200"/>
        <w:jc w:val="both"/>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（1）交付物齐全、完整、符合本技术要求及相关适航标准；</w:t>
      </w:r>
    </w:p>
    <w:p w14:paraId="37EE28E4">
      <w:pPr>
        <w:pStyle w:val="25"/>
        <w:spacing w:beforeAutospacing="0" w:afterAutospacing="0"/>
        <w:ind w:firstLine="480" w:firstLineChars="200"/>
        <w:jc w:val="both"/>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（2）体系文件通过公司内部评审；</w:t>
      </w:r>
    </w:p>
    <w:p w14:paraId="46A37943">
      <w:pPr>
        <w:pStyle w:val="25"/>
        <w:spacing w:beforeAutospacing="0" w:afterAutospacing="0"/>
        <w:ind w:firstLine="480" w:firstLineChars="200"/>
        <w:jc w:val="both"/>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（3）完成相关人员培训；</w:t>
      </w:r>
    </w:p>
    <w:p w14:paraId="086FCF4B">
      <w:pPr>
        <w:pStyle w:val="25"/>
        <w:spacing w:beforeAutospacing="0" w:afterAutospacing="0"/>
        <w:ind w:firstLine="480" w:firstLineChars="200"/>
        <w:jc w:val="both"/>
        <w:rPr>
          <w:rFonts w:hint="eastAsia" w:ascii="仿宋_GB2312" w:hAnsi="方正仿宋_GB2312" w:eastAsia="仿宋_GB2312" w:cs="方正仿宋_GB2312"/>
          <w:color w:val="auto"/>
          <w:sz w:val="24"/>
          <w:szCs w:val="24"/>
          <w:highlight w:val="none"/>
          <w:shd w:val="clear" w:color="auto" w:fill="FFFFFF"/>
        </w:rPr>
      </w:pPr>
      <w:r>
        <w:rPr>
          <w:rFonts w:hint="eastAsia" w:ascii="等线" w:hAnsi="等线" w:eastAsia="等线" w:cs="方正仿宋_GB2312"/>
          <w:color w:val="auto"/>
          <w:sz w:val="24"/>
          <w:szCs w:val="24"/>
          <w:highlight w:val="none"/>
          <w:shd w:val="clear" w:color="auto" w:fill="FFFFFF"/>
        </w:rPr>
        <w:t>★</w:t>
      </w:r>
      <w:r>
        <w:rPr>
          <w:rFonts w:hint="eastAsia" w:ascii="仿宋_GB2312" w:hAnsi="方正仿宋_GB2312" w:eastAsia="仿宋_GB2312" w:cs="方正仿宋_GB2312"/>
          <w:color w:val="auto"/>
          <w:sz w:val="24"/>
          <w:szCs w:val="24"/>
          <w:highlight w:val="none"/>
          <w:shd w:val="clear" w:color="auto" w:fill="FFFFFF"/>
        </w:rPr>
        <w:t>（4）通过公司级最终验收评审（本过程将邀请第三方专家参与）。</w:t>
      </w:r>
    </w:p>
    <w:p w14:paraId="44701C74">
      <w:pPr>
        <w:pStyle w:val="11"/>
        <w:spacing w:before="120" w:beforeLines="50" w:afterLines="50"/>
        <w:outlineLvl w:val="0"/>
        <w:rPr>
          <w:rFonts w:hint="eastAsia" w:ascii="仿宋_GB2312" w:hAnsi="方正仿宋_GB2312" w:eastAsia="仿宋_GB2312" w:cs="方正仿宋_GB2312"/>
          <w:bCs/>
          <w:color w:val="auto"/>
          <w:highlight w:val="none"/>
          <w:lang w:bidi="ar"/>
        </w:rPr>
      </w:pPr>
      <w:bookmarkStart w:id="150" w:name="_Toc230098634"/>
      <w:bookmarkStart w:id="151" w:name="_Toc22371"/>
      <w:r>
        <w:rPr>
          <w:rFonts w:hint="eastAsia" w:ascii="等线" w:hAnsi="等线" w:eastAsia="等线" w:cs="方正仿宋_GB2312"/>
          <w:color w:val="auto"/>
          <w:highlight w:val="none"/>
          <w:shd w:val="clear" w:color="auto" w:fill="FFFFFF"/>
        </w:rPr>
        <w:t>★</w:t>
      </w:r>
      <w:r>
        <w:rPr>
          <w:rFonts w:hint="eastAsia" w:ascii="仿宋_GB2312" w:hAnsi="方正仿宋_GB2312" w:eastAsia="仿宋_GB2312" w:cs="方正仿宋_GB2312"/>
          <w:bCs/>
          <w:color w:val="auto"/>
          <w:highlight w:val="none"/>
          <w:lang w:bidi="ar"/>
        </w:rPr>
        <w:t>八、</w:t>
      </w:r>
      <w:r>
        <w:rPr>
          <w:rFonts w:hint="eastAsia" w:ascii="仿宋_GB2312" w:hAnsi="方正仿宋_GB2312" w:eastAsia="仿宋_GB2312" w:cs="方正仿宋_GB2312"/>
          <w:b/>
          <w:bCs/>
          <w:color w:val="auto"/>
          <w:highlight w:val="none"/>
          <w:lang w:bidi="ar"/>
        </w:rPr>
        <w:t>商务与知识产权要求</w:t>
      </w:r>
      <w:bookmarkEnd w:id="150"/>
    </w:p>
    <w:p w14:paraId="1C006E6D">
      <w:pPr>
        <w:pStyle w:val="25"/>
        <w:spacing w:beforeAutospacing="0" w:afterAutospacing="0"/>
        <w:ind w:left="920" w:hanging="440"/>
        <w:jc w:val="both"/>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（1）服务方式：驻场+远程相结合；</w:t>
      </w:r>
    </w:p>
    <w:p w14:paraId="57990EBB">
      <w:pPr>
        <w:pStyle w:val="25"/>
        <w:spacing w:beforeAutospacing="0" w:afterAutospacing="0"/>
        <w:ind w:left="920" w:hanging="440"/>
        <w:jc w:val="both"/>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（2）验收后服务期：项目验收后12个月免费技术支持，并通过局方审查；</w:t>
      </w:r>
    </w:p>
    <w:p w14:paraId="25D7128C">
      <w:pPr>
        <w:pStyle w:val="25"/>
        <w:spacing w:beforeAutospacing="0" w:afterAutospacing="0"/>
        <w:ind w:left="920" w:hanging="440"/>
        <w:jc w:val="both"/>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（3）知识产权：所有交付物知识产权、使用权归双方共有；为采购人建设的内容归采购人所有，供应商提供的专业知识及服务归供应商所有。</w:t>
      </w:r>
    </w:p>
    <w:p w14:paraId="46EF4CF1">
      <w:pPr>
        <w:pStyle w:val="25"/>
        <w:spacing w:beforeAutospacing="0" w:afterAutospacing="0"/>
        <w:ind w:left="920" w:hanging="440"/>
        <w:jc w:val="both"/>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（4）服务商须对项目资料、技术信息、商业信息严格保密。</w:t>
      </w:r>
    </w:p>
    <w:p w14:paraId="65678959">
      <w:pPr>
        <w:pStyle w:val="11"/>
        <w:spacing w:before="120" w:beforeLines="50" w:afterLines="50"/>
        <w:outlineLvl w:val="0"/>
        <w:rPr>
          <w:rFonts w:hint="eastAsia" w:ascii="仿宋_GB2312" w:hAnsi="方正仿宋_GB2312" w:eastAsia="仿宋_GB2312" w:cs="方正仿宋_GB2312"/>
          <w:bCs/>
          <w:color w:val="auto"/>
          <w:highlight w:val="none"/>
          <w:lang w:bidi="ar"/>
        </w:rPr>
      </w:pPr>
      <w:bookmarkStart w:id="152" w:name="_Toc230098635"/>
      <w:r>
        <w:rPr>
          <w:rFonts w:ascii="仿宋_GB2312" w:hAnsi="方正仿宋_GB2312" w:eastAsia="仿宋_GB2312" w:cs="方正仿宋_GB2312"/>
          <w:color w:val="auto"/>
          <w:highlight w:val="none"/>
          <w:lang w:bidi="ar"/>
        </w:rPr>
        <w:t>★</w:t>
      </w:r>
      <w:r>
        <w:rPr>
          <w:rFonts w:hint="eastAsia" w:ascii="仿宋_GB2312" w:hAnsi="方正仿宋_GB2312" w:eastAsia="仿宋_GB2312" w:cs="方正仿宋_GB2312"/>
          <w:bCs/>
          <w:color w:val="auto"/>
          <w:highlight w:val="none"/>
          <w:lang w:bidi="ar"/>
        </w:rPr>
        <w:t>九、</w:t>
      </w:r>
      <w:r>
        <w:rPr>
          <w:rFonts w:hint="eastAsia" w:ascii="仿宋_GB2312" w:hAnsi="方正仿宋_GB2312" w:eastAsia="仿宋_GB2312" w:cs="方正仿宋_GB2312"/>
          <w:b/>
          <w:bCs/>
          <w:color w:val="auto"/>
          <w:highlight w:val="none"/>
          <w:lang w:bidi="ar"/>
        </w:rPr>
        <w:t>培训</w:t>
      </w:r>
      <w:bookmarkEnd w:id="151"/>
      <w:r>
        <w:rPr>
          <w:rFonts w:hint="eastAsia" w:ascii="仿宋_GB2312" w:hAnsi="方正仿宋_GB2312" w:eastAsia="仿宋_GB2312" w:cs="方正仿宋_GB2312"/>
          <w:b/>
          <w:bCs/>
          <w:color w:val="auto"/>
          <w:highlight w:val="none"/>
          <w:lang w:bidi="ar"/>
        </w:rPr>
        <w:t>要求</w:t>
      </w:r>
      <w:bookmarkEnd w:id="152"/>
    </w:p>
    <w:p w14:paraId="500D0654">
      <w:pPr>
        <w:pStyle w:val="25"/>
        <w:spacing w:beforeAutospacing="0" w:afterAutospacing="0"/>
        <w:ind w:firstLine="480" w:firstLineChars="200"/>
        <w:jc w:val="both"/>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培训要求见“(五)培训、推广与知识转移”要求。上述所涉费用应全部包含在本项目的询比报价中。体系建设后，指导开展体系文件的宣贯培训。</w:t>
      </w:r>
    </w:p>
    <w:p w14:paraId="1EB8AD0B">
      <w:pPr>
        <w:pStyle w:val="11"/>
        <w:spacing w:before="120" w:beforeLines="50" w:afterLines="50"/>
        <w:outlineLvl w:val="0"/>
        <w:rPr>
          <w:rFonts w:hint="eastAsia" w:ascii="仿宋_GB2312" w:hAnsi="方正仿宋_GB2312" w:eastAsia="仿宋_GB2312" w:cs="方正仿宋_GB2312"/>
          <w:bCs/>
          <w:color w:val="auto"/>
          <w:highlight w:val="none"/>
          <w:lang w:bidi="ar"/>
        </w:rPr>
      </w:pPr>
      <w:bookmarkStart w:id="153" w:name="_Toc230098636"/>
      <w:r>
        <w:rPr>
          <w:rFonts w:hint="eastAsia" w:ascii="仿宋_GB2312" w:hAnsi="方正仿宋_GB2312" w:eastAsia="仿宋_GB2312" w:cs="方正仿宋_GB2312"/>
          <w:bCs/>
          <w:color w:val="auto"/>
          <w:highlight w:val="none"/>
          <w:lang w:bidi="ar"/>
        </w:rPr>
        <w:t>十、</w:t>
      </w:r>
      <w:r>
        <w:rPr>
          <w:rFonts w:hint="eastAsia" w:ascii="仿宋_GB2312" w:hAnsi="方正仿宋_GB2312" w:eastAsia="仿宋_GB2312" w:cs="方正仿宋_GB2312"/>
          <w:b/>
          <w:bCs/>
          <w:color w:val="auto"/>
          <w:highlight w:val="none"/>
          <w:lang w:bidi="ar"/>
        </w:rPr>
        <w:t>售后服务要求</w:t>
      </w:r>
      <w:bookmarkEnd w:id="153"/>
    </w:p>
    <w:p w14:paraId="2DD34162">
      <w:pPr>
        <w:pStyle w:val="25"/>
        <w:spacing w:beforeAutospacing="0" w:afterAutospacing="0"/>
        <w:ind w:firstLine="480" w:firstLineChars="200"/>
        <w:jc w:val="both"/>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该项目</w:t>
      </w:r>
      <w:bookmarkStart w:id="154" w:name="OLE_LINK24"/>
      <w:r>
        <w:rPr>
          <w:rFonts w:hint="eastAsia" w:ascii="仿宋_GB2312" w:hAnsi="方正仿宋_GB2312" w:eastAsia="仿宋_GB2312" w:cs="方正仿宋_GB2312"/>
          <w:color w:val="auto"/>
          <w:sz w:val="24"/>
          <w:szCs w:val="24"/>
          <w:highlight w:val="none"/>
          <w:shd w:val="clear" w:color="auto" w:fill="FFFFFF"/>
        </w:rPr>
        <w:t>验收后服务期</w:t>
      </w:r>
      <w:bookmarkEnd w:id="154"/>
      <w:r>
        <w:rPr>
          <w:rFonts w:hint="eastAsia" w:ascii="仿宋_GB2312" w:hAnsi="方正仿宋_GB2312" w:eastAsia="仿宋_GB2312" w:cs="方正仿宋_GB2312"/>
          <w:color w:val="auto"/>
          <w:sz w:val="24"/>
          <w:szCs w:val="24"/>
          <w:highlight w:val="none"/>
          <w:shd w:val="clear" w:color="auto" w:fill="FFFFFF"/>
        </w:rPr>
        <w:t>为项目整体验收后的12个月。期间，供应商需提供5×8小时的免费电话及远程支持服务，及时响应咨询与问题处理。供应商除确保交付物符合质量要求外，还需持续支撑流程落地应用，监控运行情况，并针对存在问题提出改进建议和优化方案；若咨询成果出现重大问题，供应商应在接到通知后24小时内派遣技术人员抵达现场解决。</w:t>
      </w:r>
    </w:p>
    <w:p w14:paraId="1C8023E5">
      <w:pPr>
        <w:pStyle w:val="25"/>
        <w:spacing w:beforeAutospacing="0" w:afterAutospacing="0"/>
        <w:ind w:firstLine="480" w:firstLineChars="200"/>
        <w:jc w:val="both"/>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供应商应对上述服务内容提供详细说明，并确保在验收后服务期内所有服务均免费提供。</w:t>
      </w:r>
    </w:p>
    <w:p w14:paraId="7AEDD31E">
      <w:pPr>
        <w:pStyle w:val="25"/>
        <w:spacing w:beforeAutospacing="0" w:afterAutospacing="0"/>
        <w:ind w:firstLine="480" w:firstLineChars="200"/>
        <w:jc w:val="both"/>
        <w:rPr>
          <w:rFonts w:hint="eastAsia" w:ascii="仿宋_GB2312" w:hAnsi="方正仿宋_GB2312" w:eastAsia="仿宋_GB2312" w:cs="方正仿宋_GB2312"/>
          <w:color w:val="auto"/>
          <w:sz w:val="24"/>
          <w:szCs w:val="24"/>
          <w:highlight w:val="none"/>
          <w:shd w:val="clear" w:color="auto" w:fill="FFFFFF"/>
        </w:rPr>
      </w:pPr>
      <w:bookmarkStart w:id="155" w:name="OLE_LINK25"/>
      <w:r>
        <w:rPr>
          <w:rFonts w:hint="eastAsia" w:ascii="等线" w:hAnsi="等线" w:eastAsia="等线" w:cs="方正仿宋_GB2312"/>
          <w:color w:val="auto"/>
          <w:sz w:val="24"/>
          <w:szCs w:val="24"/>
          <w:highlight w:val="none"/>
          <w:shd w:val="clear" w:color="auto" w:fill="FFFFFF"/>
        </w:rPr>
        <w:t>★</w:t>
      </w:r>
      <w:r>
        <w:rPr>
          <w:rFonts w:hint="eastAsia" w:ascii="仿宋_GB2312" w:hAnsi="方正仿宋_GB2312" w:eastAsia="仿宋_GB2312" w:cs="方正仿宋_GB2312"/>
          <w:color w:val="auto"/>
          <w:sz w:val="24"/>
          <w:szCs w:val="24"/>
          <w:highlight w:val="none"/>
          <w:shd w:val="clear" w:color="auto" w:fill="FFFFFF"/>
        </w:rPr>
        <w:t>供应商须明确免费质保期结束后的后续服务内容、收费标准及支持方式（格式自拟，内容必须包含：①后续服务内容，②收费标准，③支持方式。未提供以上三项内容视为不响应。）。</w:t>
      </w:r>
    </w:p>
    <w:bookmarkEnd w:id="155"/>
    <w:p w14:paraId="10C91851">
      <w:pPr>
        <w:pStyle w:val="11"/>
        <w:spacing w:before="120" w:beforeLines="50" w:afterLines="50"/>
        <w:outlineLvl w:val="0"/>
        <w:rPr>
          <w:rFonts w:hint="eastAsia" w:ascii="仿宋_GB2312" w:hAnsi="方正仿宋_GB2312" w:eastAsia="仿宋_GB2312" w:cs="方正仿宋_GB2312"/>
          <w:bCs/>
          <w:color w:val="auto"/>
          <w:highlight w:val="none"/>
          <w:lang w:bidi="ar"/>
        </w:rPr>
      </w:pPr>
      <w:bookmarkStart w:id="156" w:name="_Toc230098637"/>
      <w:r>
        <w:rPr>
          <w:rFonts w:hint="eastAsia" w:ascii="等线" w:hAnsi="等线" w:eastAsia="等线" w:cs="方正仿宋_GB2312"/>
          <w:color w:val="auto"/>
          <w:highlight w:val="none"/>
          <w:shd w:val="clear" w:color="auto" w:fill="FFFFFF"/>
        </w:rPr>
        <w:t>★</w:t>
      </w:r>
      <w:r>
        <w:rPr>
          <w:rFonts w:hint="eastAsia" w:ascii="仿宋_GB2312" w:hAnsi="方正仿宋_GB2312" w:eastAsia="仿宋_GB2312" w:cs="方正仿宋_GB2312"/>
          <w:bCs/>
          <w:color w:val="auto"/>
          <w:highlight w:val="none"/>
          <w:lang w:bidi="ar"/>
        </w:rPr>
        <w:t>十一、</w:t>
      </w:r>
      <w:r>
        <w:rPr>
          <w:rFonts w:hint="eastAsia" w:ascii="仿宋_GB2312" w:hAnsi="方正仿宋_GB2312" w:eastAsia="仿宋_GB2312" w:cs="方正仿宋_GB2312"/>
          <w:b/>
          <w:bCs/>
          <w:color w:val="auto"/>
          <w:highlight w:val="none"/>
          <w:lang w:bidi="ar"/>
        </w:rPr>
        <w:t>保密要求</w:t>
      </w:r>
      <w:bookmarkEnd w:id="156"/>
    </w:p>
    <w:p w14:paraId="0DB69CFE">
      <w:pPr>
        <w:pStyle w:val="25"/>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供应商应遵守《中华人民共和国民法典》的有关规定，对本项目的条款及金额、价格等保守秘密，并对采购人的服务需求和其它技术文档等有关内容保守秘密。</w:t>
      </w:r>
    </w:p>
    <w:p w14:paraId="31B16D47">
      <w:pPr>
        <w:pStyle w:val="25"/>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本项目中的“保密信息”包括但不限于：项目背景、项目需求、项目方案、项目预算以及项目实施过程中可能接触的采购人的网络架构、技术路线、系统数据、业务流程等各类工作秘密及商业秘密，包括贮存及表达的各种载体,包括但不限于文字记录、音像制品、图片、或者具有相同性质的其它载体。</w:t>
      </w:r>
    </w:p>
    <w:p w14:paraId="7EBA0EB0">
      <w:pPr>
        <w:pStyle w:val="25"/>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双方同意任何一方都不得将另一方的保密信息披露给第三方，并且双方同意对另一方的保密信息予以严格保密。</w:t>
      </w:r>
    </w:p>
    <w:p w14:paraId="42D2643B">
      <w:pPr>
        <w:pStyle w:val="25"/>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双方同意对本项目内容、任一阶段的项目工作成果予以保密。对因履行合同而知晓的对方资料予以保密。特别是供应商人员对接触到的采购人的工作秘密及商业秘密履行保密义务。</w:t>
      </w:r>
    </w:p>
    <w:p w14:paraId="1C5C13A9">
      <w:pPr>
        <w:pStyle w:val="25"/>
        <w:spacing w:beforeAutospacing="0" w:afterAutospacing="0"/>
        <w:ind w:firstLine="480" w:firstLineChars="200"/>
        <w:rPr>
          <w:rFonts w:hint="eastAsia" w:ascii="仿宋_GB2312" w:hAnsi="方正仿宋_GB2312" w:eastAsia="仿宋_GB2312" w:cs="方正仿宋_GB2312"/>
          <w:color w:val="auto"/>
          <w:sz w:val="32"/>
          <w:szCs w:val="32"/>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因违反本项目所涉及公司商业秘密，给对方造成损失的，按照《中华人民共和国民法典》追究经济责任。</w:t>
      </w:r>
    </w:p>
    <w:bookmarkEnd w:id="85"/>
    <w:p w14:paraId="136B0746">
      <w:pPr>
        <w:rPr>
          <w:rFonts w:hint="eastAsia" w:ascii="仿宋" w:hAnsi="仿宋" w:cs="仿宋"/>
          <w:color w:val="auto"/>
          <w:highlight w:val="none"/>
        </w:rPr>
      </w:pPr>
    </w:p>
    <w:p w14:paraId="0C02C9D8">
      <w:pPr>
        <w:rPr>
          <w:rFonts w:hint="eastAsia" w:ascii="仿宋" w:hAnsi="仿宋" w:cs="仿宋"/>
          <w:color w:val="auto"/>
          <w:highlight w:val="none"/>
        </w:rPr>
        <w:sectPr>
          <w:footerReference r:id="rId13" w:type="default"/>
          <w:pgSz w:w="11907" w:h="16840"/>
          <w:pgMar w:top="1418" w:right="1418" w:bottom="1418" w:left="1418" w:header="851" w:footer="992" w:gutter="0"/>
          <w:cols w:space="425" w:num="1"/>
          <w:docGrid w:linePitch="326" w:charSpace="0"/>
        </w:sectPr>
      </w:pPr>
    </w:p>
    <w:bookmarkEnd w:id="22"/>
    <w:bookmarkEnd w:id="23"/>
    <w:bookmarkEnd w:id="24"/>
    <w:bookmarkEnd w:id="25"/>
    <w:bookmarkEnd w:id="26"/>
    <w:p w14:paraId="62062CE6">
      <w:pPr>
        <w:pStyle w:val="26"/>
        <w:rPr>
          <w:rFonts w:hint="eastAsia" w:ascii="仿宋" w:hAnsi="仿宋"/>
          <w:color w:val="auto"/>
          <w:highlight w:val="none"/>
        </w:rPr>
      </w:pPr>
      <w:bookmarkStart w:id="157" w:name="_Toc37838086"/>
      <w:bookmarkStart w:id="158" w:name="_Toc183582232"/>
      <w:bookmarkStart w:id="159" w:name="_Toc183682369"/>
      <w:bookmarkStart w:id="160" w:name="_Toc217446057"/>
      <w:r>
        <w:rPr>
          <w:rFonts w:hint="eastAsia" w:ascii="仿宋" w:hAnsi="仿宋"/>
          <w:color w:val="auto"/>
          <w:highlight w:val="none"/>
        </w:rPr>
        <w:t>第五章  响应文件格式</w:t>
      </w:r>
      <w:bookmarkEnd w:id="157"/>
    </w:p>
    <w:p w14:paraId="21F54DB2">
      <w:pPr>
        <w:jc w:val="center"/>
        <w:rPr>
          <w:rFonts w:hint="eastAsia" w:ascii="仿宋" w:hAnsi="仿宋"/>
          <w:b/>
          <w:color w:val="auto"/>
          <w:highlight w:val="none"/>
        </w:rPr>
      </w:pPr>
    </w:p>
    <w:p w14:paraId="5AB26CD8">
      <w:pPr>
        <w:ind w:firstLine="480" w:firstLineChars="200"/>
        <w:rPr>
          <w:rFonts w:hint="eastAsia" w:ascii="仿宋" w:hAnsi="仿宋"/>
          <w:color w:val="auto"/>
          <w:highlight w:val="none"/>
        </w:rPr>
      </w:pPr>
      <w:bookmarkStart w:id="161" w:name="_Toc19877030"/>
      <w:bookmarkStart w:id="162" w:name="_Toc513469321"/>
      <w:r>
        <w:rPr>
          <w:rFonts w:hint="eastAsia" w:ascii="仿宋" w:hAnsi="仿宋"/>
          <w:color w:val="auto"/>
          <w:highlight w:val="none"/>
        </w:rPr>
        <w:t>一</w:t>
      </w:r>
      <w:r>
        <w:rPr>
          <w:rFonts w:hint="eastAsia" w:ascii="仿宋" w:hAnsi="仿宋"/>
          <w:b/>
          <w:color w:val="auto"/>
          <w:highlight w:val="none"/>
        </w:rPr>
        <w:t>、</w:t>
      </w:r>
      <w:bookmarkEnd w:id="161"/>
      <w:bookmarkEnd w:id="162"/>
      <w:bookmarkStart w:id="163" w:name="_Toc513469322"/>
      <w:bookmarkStart w:id="164" w:name="_Toc19877031"/>
      <w:r>
        <w:rPr>
          <w:rFonts w:hint="eastAsia" w:ascii="仿宋" w:hAnsi="仿宋"/>
          <w:color w:val="auto"/>
          <w:highlight w:val="none"/>
        </w:rPr>
        <w:t>供应商应按本章给定格式编写响应文件，供应商改变给定格式但不影响实质响应的，可以继续进行评审。</w:t>
      </w:r>
      <w:bookmarkEnd w:id="163"/>
      <w:r>
        <w:rPr>
          <w:rFonts w:hint="eastAsia" w:ascii="仿宋" w:hAnsi="仿宋"/>
          <w:color w:val="auto"/>
          <w:highlight w:val="none"/>
        </w:rPr>
        <w:t>没有给定格式的由供应商自行编写。</w:t>
      </w:r>
      <w:bookmarkEnd w:id="164"/>
    </w:p>
    <w:p w14:paraId="0A0689BE">
      <w:pPr>
        <w:ind w:firstLine="480" w:firstLineChars="200"/>
        <w:rPr>
          <w:rFonts w:hint="eastAsia" w:ascii="仿宋" w:hAnsi="仿宋"/>
          <w:color w:val="auto"/>
          <w:highlight w:val="none"/>
        </w:rPr>
      </w:pPr>
      <w:bookmarkStart w:id="165" w:name="_Toc19877032"/>
      <w:bookmarkStart w:id="166" w:name="_Toc513469323"/>
      <w:r>
        <w:rPr>
          <w:rFonts w:hint="eastAsia" w:ascii="仿宋" w:hAnsi="仿宋"/>
          <w:color w:val="auto"/>
          <w:highlight w:val="none"/>
        </w:rPr>
        <w:t>二、本章所制响应文件格式有关表格中的备注栏，由供应商根据自身响应情况作解释性说明，不作为必填项。</w:t>
      </w:r>
      <w:bookmarkEnd w:id="165"/>
      <w:bookmarkEnd w:id="166"/>
    </w:p>
    <w:p w14:paraId="37DEE762">
      <w:pPr>
        <w:ind w:firstLine="480" w:firstLineChars="200"/>
        <w:rPr>
          <w:rFonts w:hint="eastAsia" w:ascii="仿宋" w:hAnsi="仿宋"/>
          <w:color w:val="auto"/>
          <w:highlight w:val="none"/>
        </w:rPr>
      </w:pPr>
      <w:bookmarkStart w:id="167" w:name="_Toc513469324"/>
      <w:r>
        <w:rPr>
          <w:rFonts w:hint="eastAsia" w:ascii="仿宋" w:hAnsi="仿宋"/>
          <w:color w:val="auto"/>
          <w:highlight w:val="none"/>
        </w:rPr>
        <w:t>三、本章所制响应文件格式中需要填写的相关内容事项，可能会与本采购项目无关，在不改变响应文件原义、不影响本项目采购需求的情况下，供应商可以不予填写</w:t>
      </w:r>
      <w:bookmarkEnd w:id="167"/>
      <w:r>
        <w:rPr>
          <w:rFonts w:hint="eastAsia" w:ascii="仿宋" w:hAnsi="仿宋"/>
          <w:color w:val="auto"/>
          <w:highlight w:val="none"/>
        </w:rPr>
        <w:t>。</w:t>
      </w:r>
    </w:p>
    <w:p w14:paraId="7D5F7EA1">
      <w:pPr>
        <w:widowControl/>
        <w:jc w:val="left"/>
        <w:rPr>
          <w:rFonts w:hint="eastAsia" w:ascii="仿宋" w:hAnsi="仿宋"/>
          <w:color w:val="auto"/>
          <w:highlight w:val="none"/>
        </w:rPr>
      </w:pPr>
      <w:r>
        <w:rPr>
          <w:rFonts w:ascii="仿宋" w:hAnsi="仿宋"/>
          <w:color w:val="auto"/>
          <w:highlight w:val="none"/>
        </w:rPr>
        <w:br w:type="page"/>
      </w:r>
    </w:p>
    <w:p w14:paraId="5389D322">
      <w:pPr>
        <w:jc w:val="right"/>
        <w:rPr>
          <w:rFonts w:hint="eastAsia" w:ascii="仿宋" w:hAnsi="仿宋"/>
          <w:b/>
          <w:color w:val="auto"/>
          <w:sz w:val="36"/>
          <w:highlight w:val="none"/>
        </w:rPr>
      </w:pPr>
      <w:r>
        <w:rPr>
          <w:rFonts w:ascii="仿宋" w:hAnsi="仿宋"/>
          <w:b/>
          <w:color w:val="auto"/>
          <w:sz w:val="36"/>
          <w:highlight w:val="none"/>
        </w:rPr>
        <w:t>（正本/副本）</w:t>
      </w:r>
    </w:p>
    <w:p w14:paraId="6975A7E0">
      <w:pPr>
        <w:rPr>
          <w:rFonts w:hint="eastAsia" w:ascii="仿宋" w:hAnsi="仿宋"/>
          <w:b/>
          <w:color w:val="auto"/>
          <w:sz w:val="72"/>
          <w:highlight w:val="none"/>
        </w:rPr>
      </w:pPr>
    </w:p>
    <w:p w14:paraId="61B6251F">
      <w:pPr>
        <w:jc w:val="center"/>
        <w:rPr>
          <w:rFonts w:hint="eastAsia" w:ascii="仿宋" w:hAnsi="仿宋"/>
          <w:b/>
          <w:color w:val="auto"/>
          <w:sz w:val="72"/>
          <w:highlight w:val="none"/>
        </w:rPr>
      </w:pPr>
      <w:r>
        <w:rPr>
          <w:rFonts w:hint="eastAsia" w:ascii="仿宋" w:hAnsi="仿宋"/>
          <w:b/>
          <w:color w:val="auto"/>
          <w:sz w:val="40"/>
          <w:szCs w:val="48"/>
          <w:highlight w:val="none"/>
          <w:u w:val="single"/>
        </w:rPr>
        <w:t>XX</w:t>
      </w:r>
      <w:r>
        <w:rPr>
          <w:rFonts w:hint="eastAsia" w:ascii="仿宋" w:hAnsi="仿宋"/>
          <w:b/>
          <w:color w:val="auto"/>
          <w:sz w:val="40"/>
          <w:szCs w:val="48"/>
          <w:highlight w:val="none"/>
        </w:rPr>
        <w:t>项目</w:t>
      </w:r>
    </w:p>
    <w:p w14:paraId="23BB13EB">
      <w:pPr>
        <w:rPr>
          <w:rFonts w:hint="eastAsia" w:ascii="仿宋" w:hAnsi="仿宋"/>
          <w:b/>
          <w:color w:val="auto"/>
          <w:sz w:val="52"/>
          <w:szCs w:val="52"/>
          <w:highlight w:val="none"/>
        </w:rPr>
      </w:pPr>
    </w:p>
    <w:p w14:paraId="5AF7E94C">
      <w:pPr>
        <w:jc w:val="center"/>
        <w:rPr>
          <w:rFonts w:hint="eastAsia" w:ascii="仿宋" w:hAnsi="仿宋"/>
          <w:b/>
          <w:color w:val="auto"/>
          <w:sz w:val="32"/>
          <w:szCs w:val="32"/>
          <w:highlight w:val="none"/>
        </w:rPr>
      </w:pPr>
      <w:r>
        <w:rPr>
          <w:rFonts w:hint="eastAsia" w:ascii="仿宋" w:hAnsi="仿宋"/>
          <w:b/>
          <w:color w:val="auto"/>
          <w:sz w:val="52"/>
          <w:szCs w:val="52"/>
          <w:highlight w:val="none"/>
        </w:rPr>
        <w:t>响 应 文 件</w:t>
      </w:r>
    </w:p>
    <w:p w14:paraId="73BDFB06">
      <w:pPr>
        <w:rPr>
          <w:rFonts w:hint="eastAsia" w:ascii="仿宋" w:hAnsi="仿宋"/>
          <w:b/>
          <w:color w:val="auto"/>
          <w:sz w:val="36"/>
          <w:highlight w:val="none"/>
        </w:rPr>
      </w:pPr>
    </w:p>
    <w:p w14:paraId="5A53FD07">
      <w:pPr>
        <w:rPr>
          <w:rFonts w:hint="eastAsia" w:ascii="仿宋" w:hAnsi="仿宋"/>
          <w:b/>
          <w:color w:val="auto"/>
          <w:sz w:val="36"/>
          <w:highlight w:val="none"/>
        </w:rPr>
      </w:pPr>
    </w:p>
    <w:p w14:paraId="631EEC74">
      <w:pPr>
        <w:ind w:firstLine="643" w:firstLineChars="200"/>
        <w:jc w:val="left"/>
        <w:rPr>
          <w:rFonts w:hint="eastAsia" w:ascii="仿宋" w:hAnsi="仿宋"/>
          <w:b/>
          <w:color w:val="auto"/>
          <w:sz w:val="32"/>
          <w:highlight w:val="none"/>
          <w:u w:val="single"/>
        </w:rPr>
      </w:pPr>
      <w:r>
        <w:rPr>
          <w:rFonts w:hint="eastAsia" w:ascii="仿宋" w:hAnsi="仿宋"/>
          <w:b/>
          <w:color w:val="auto"/>
          <w:sz w:val="32"/>
          <w:highlight w:val="none"/>
        </w:rPr>
        <w:t>供 应 商</w:t>
      </w:r>
      <w:r>
        <w:rPr>
          <w:rFonts w:ascii="仿宋" w:hAnsi="仿宋"/>
          <w:b/>
          <w:color w:val="auto"/>
          <w:sz w:val="32"/>
          <w:highlight w:val="none"/>
        </w:rPr>
        <w:t>名称：</w:t>
      </w:r>
    </w:p>
    <w:p w14:paraId="34620219">
      <w:pPr>
        <w:ind w:firstLine="643" w:firstLineChars="200"/>
        <w:jc w:val="left"/>
        <w:rPr>
          <w:rFonts w:hint="eastAsia" w:ascii="仿宋" w:hAnsi="仿宋"/>
          <w:b/>
          <w:color w:val="auto"/>
          <w:sz w:val="32"/>
          <w:highlight w:val="none"/>
          <w:u w:val="single"/>
        </w:rPr>
      </w:pPr>
      <w:r>
        <w:rPr>
          <w:rFonts w:hint="eastAsia" w:ascii="仿宋" w:hAnsi="仿宋"/>
          <w:b/>
          <w:color w:val="auto"/>
          <w:sz w:val="32"/>
          <w:highlight w:val="none"/>
        </w:rPr>
        <w:t xml:space="preserve">采 购 </w:t>
      </w:r>
      <w:r>
        <w:rPr>
          <w:rFonts w:ascii="仿宋" w:hAnsi="仿宋"/>
          <w:b/>
          <w:color w:val="auto"/>
          <w:sz w:val="32"/>
          <w:highlight w:val="none"/>
        </w:rPr>
        <w:t>编</w:t>
      </w:r>
      <w:r>
        <w:rPr>
          <w:rFonts w:hint="eastAsia" w:ascii="仿宋" w:hAnsi="仿宋"/>
          <w:b/>
          <w:color w:val="auto"/>
          <w:sz w:val="32"/>
          <w:highlight w:val="none"/>
        </w:rPr>
        <w:t xml:space="preserve"> </w:t>
      </w:r>
      <w:r>
        <w:rPr>
          <w:rFonts w:ascii="仿宋" w:hAnsi="仿宋"/>
          <w:b/>
          <w:color w:val="auto"/>
          <w:sz w:val="32"/>
          <w:highlight w:val="none"/>
        </w:rPr>
        <w:t>号：</w:t>
      </w:r>
    </w:p>
    <w:p w14:paraId="2EF73866">
      <w:pPr>
        <w:jc w:val="center"/>
        <w:rPr>
          <w:rFonts w:hint="eastAsia" w:ascii="仿宋" w:hAnsi="仿宋"/>
          <w:b/>
          <w:color w:val="auto"/>
          <w:sz w:val="36"/>
          <w:highlight w:val="none"/>
        </w:rPr>
      </w:pPr>
    </w:p>
    <w:p w14:paraId="5D3B6730">
      <w:pPr>
        <w:jc w:val="center"/>
        <w:rPr>
          <w:rFonts w:hint="eastAsia" w:ascii="仿宋" w:hAnsi="仿宋"/>
          <w:b/>
          <w:color w:val="auto"/>
          <w:sz w:val="36"/>
          <w:highlight w:val="none"/>
        </w:rPr>
      </w:pPr>
    </w:p>
    <w:p w14:paraId="4AF276E0">
      <w:pPr>
        <w:jc w:val="center"/>
        <w:rPr>
          <w:rFonts w:hint="eastAsia" w:ascii="仿宋" w:hAnsi="仿宋"/>
          <w:b/>
          <w:color w:val="auto"/>
          <w:sz w:val="36"/>
          <w:highlight w:val="none"/>
        </w:rPr>
      </w:pPr>
    </w:p>
    <w:p w14:paraId="52C7526E">
      <w:pPr>
        <w:jc w:val="center"/>
        <w:rPr>
          <w:rFonts w:hint="eastAsia" w:ascii="仿宋" w:hAnsi="仿宋" w:cs="Arial"/>
          <w:b/>
          <w:bCs/>
          <w:color w:val="auto"/>
          <w:sz w:val="32"/>
          <w:szCs w:val="32"/>
          <w:highlight w:val="none"/>
        </w:rPr>
      </w:pPr>
      <w:r>
        <w:rPr>
          <w:rFonts w:ascii="仿宋" w:hAnsi="仿宋"/>
          <w:b/>
          <w:color w:val="auto"/>
          <w:sz w:val="32"/>
          <w:highlight w:val="none"/>
        </w:rPr>
        <w:t>日期：</w:t>
      </w:r>
      <w:r>
        <w:rPr>
          <w:rFonts w:hint="eastAsia" w:ascii="仿宋" w:hAnsi="仿宋"/>
          <w:b/>
          <w:color w:val="auto"/>
          <w:sz w:val="32"/>
          <w:highlight w:val="none"/>
        </w:rPr>
        <w:t>2026年XX</w:t>
      </w:r>
      <w:r>
        <w:rPr>
          <w:rFonts w:ascii="仿宋" w:hAnsi="仿宋"/>
          <w:b/>
          <w:color w:val="auto"/>
          <w:sz w:val="32"/>
          <w:highlight w:val="none"/>
        </w:rPr>
        <w:t>月</w:t>
      </w:r>
      <w:r>
        <w:rPr>
          <w:rFonts w:hint="eastAsia" w:ascii="仿宋" w:hAnsi="仿宋"/>
          <w:b/>
          <w:color w:val="auto"/>
          <w:sz w:val="32"/>
          <w:highlight w:val="none"/>
        </w:rPr>
        <w:t>XX</w:t>
      </w:r>
      <w:r>
        <w:rPr>
          <w:rFonts w:ascii="仿宋" w:hAnsi="仿宋"/>
          <w:b/>
          <w:color w:val="auto"/>
          <w:sz w:val="32"/>
          <w:highlight w:val="none"/>
        </w:rPr>
        <w:t>日</w:t>
      </w:r>
    </w:p>
    <w:p w14:paraId="43B224BF">
      <w:pPr>
        <w:widowControl/>
        <w:jc w:val="left"/>
        <w:rPr>
          <w:rFonts w:hint="eastAsia" w:ascii="仿宋" w:hAnsi="仿宋" w:cs="Arial"/>
          <w:b/>
          <w:bCs/>
          <w:color w:val="auto"/>
          <w:sz w:val="32"/>
          <w:szCs w:val="32"/>
          <w:highlight w:val="none"/>
        </w:rPr>
      </w:pPr>
      <w:r>
        <w:rPr>
          <w:rFonts w:ascii="仿宋" w:hAnsi="仿宋" w:cs="Arial"/>
          <w:b/>
          <w:bCs/>
          <w:color w:val="auto"/>
          <w:sz w:val="32"/>
          <w:szCs w:val="32"/>
          <w:highlight w:val="none"/>
        </w:rPr>
        <w:br w:type="page"/>
      </w:r>
    </w:p>
    <w:p w14:paraId="2438849C">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t>目 录</w:t>
      </w:r>
    </w:p>
    <w:p w14:paraId="27442A9E">
      <w:pPr>
        <w:jc w:val="center"/>
        <w:rPr>
          <w:b/>
          <w:bCs/>
          <w:color w:val="auto"/>
          <w:sz w:val="32"/>
          <w:szCs w:val="32"/>
          <w:highlight w:val="none"/>
        </w:rPr>
      </w:pPr>
      <w:r>
        <w:rPr>
          <w:rFonts w:hint="eastAsia"/>
          <w:b/>
          <w:bCs/>
          <w:color w:val="auto"/>
          <w:sz w:val="32"/>
          <w:szCs w:val="32"/>
          <w:highlight w:val="none"/>
        </w:rPr>
        <w:t>（自拟）</w:t>
      </w:r>
    </w:p>
    <w:p w14:paraId="7D23AFFC">
      <w:pPr>
        <w:widowControl/>
        <w:spacing w:line="240" w:lineRule="auto"/>
        <w:jc w:val="left"/>
        <w:rPr>
          <w:rFonts w:hint="eastAsia" w:ascii="仿宋" w:hAnsi="仿宋"/>
          <w:b/>
          <w:color w:val="auto"/>
          <w:sz w:val="32"/>
          <w:szCs w:val="32"/>
          <w:highlight w:val="none"/>
        </w:rPr>
      </w:pPr>
      <w:r>
        <w:rPr>
          <w:rFonts w:ascii="仿宋" w:hAnsi="仿宋"/>
          <w:b/>
          <w:color w:val="auto"/>
          <w:sz w:val="32"/>
          <w:szCs w:val="32"/>
          <w:highlight w:val="none"/>
        </w:rPr>
        <w:br w:type="page"/>
      </w:r>
    </w:p>
    <w:p w14:paraId="5D23466A">
      <w:pPr>
        <w:widowControl/>
        <w:jc w:val="center"/>
        <w:outlineLvl w:val="1"/>
        <w:rPr>
          <w:rFonts w:hint="eastAsia" w:ascii="仿宋" w:hAnsi="仿宋"/>
          <w:b/>
          <w:color w:val="auto"/>
          <w:sz w:val="32"/>
          <w:szCs w:val="32"/>
          <w:highlight w:val="none"/>
        </w:rPr>
      </w:pPr>
      <w:bookmarkStart w:id="168" w:name="_Toc308164824"/>
      <w:r>
        <w:rPr>
          <w:rFonts w:hint="eastAsia" w:ascii="仿宋" w:hAnsi="仿宋"/>
          <w:b/>
          <w:color w:val="auto"/>
          <w:sz w:val="32"/>
          <w:szCs w:val="32"/>
          <w:highlight w:val="none"/>
        </w:rPr>
        <w:t>一、响应函</w:t>
      </w:r>
    </w:p>
    <w:p w14:paraId="2D5131B1">
      <w:pPr>
        <w:rPr>
          <w:rFonts w:hint="eastAsia" w:ascii="仿宋" w:hAnsi="仿宋"/>
          <w:color w:val="auto"/>
          <w:highlight w:val="none"/>
        </w:rPr>
      </w:pPr>
      <w:r>
        <w:rPr>
          <w:rFonts w:hint="eastAsia" w:ascii="仿宋" w:hAnsi="仿宋"/>
          <w:color w:val="auto"/>
          <w:highlight w:val="none"/>
        </w:rPr>
        <w:t>四川国锃招标代理有限公司：</w:t>
      </w:r>
    </w:p>
    <w:p w14:paraId="1EEC1D55">
      <w:pPr>
        <w:ind w:firstLine="480" w:firstLineChars="200"/>
        <w:jc w:val="left"/>
        <w:rPr>
          <w:rFonts w:hint="eastAsia" w:ascii="仿宋" w:hAnsi="仿宋"/>
          <w:color w:val="auto"/>
          <w:highlight w:val="none"/>
        </w:rPr>
      </w:pPr>
      <w:r>
        <w:rPr>
          <w:rFonts w:hint="eastAsia" w:ascii="仿宋" w:hAnsi="仿宋"/>
          <w:color w:val="auto"/>
          <w:highlight w:val="none"/>
        </w:rPr>
        <w:t>1.我方全面研究了“XXXXXX”项目询比文件</w:t>
      </w:r>
      <w:r>
        <w:rPr>
          <w:rFonts w:hint="eastAsia"/>
          <w:color w:val="auto"/>
          <w:highlight w:val="none"/>
        </w:rPr>
        <w:t>（项目编号：XXXX）</w:t>
      </w:r>
      <w:r>
        <w:rPr>
          <w:rFonts w:hint="eastAsia" w:ascii="仿宋" w:hAnsi="仿宋"/>
          <w:color w:val="auto"/>
          <w:highlight w:val="none"/>
        </w:rPr>
        <w:t>，决定参加贵单位组织的本项目询比采购。</w:t>
      </w:r>
    </w:p>
    <w:p w14:paraId="632E0B09">
      <w:pPr>
        <w:ind w:firstLine="480" w:firstLineChars="200"/>
        <w:jc w:val="left"/>
        <w:rPr>
          <w:rFonts w:hint="eastAsia" w:ascii="仿宋" w:hAnsi="仿宋"/>
          <w:color w:val="auto"/>
          <w:highlight w:val="none"/>
        </w:rPr>
      </w:pPr>
      <w:r>
        <w:rPr>
          <w:rFonts w:hint="eastAsia" w:ascii="仿宋" w:hAnsi="仿宋"/>
          <w:color w:val="auto"/>
          <w:highlight w:val="none"/>
        </w:rPr>
        <w:t>2.我方自愿按照询比文件规定的各项要求向采购人提供所需货物/服务。</w:t>
      </w:r>
    </w:p>
    <w:p w14:paraId="786A4B35">
      <w:pPr>
        <w:ind w:firstLine="480" w:firstLineChars="200"/>
        <w:jc w:val="left"/>
        <w:rPr>
          <w:rFonts w:hint="eastAsia" w:ascii="仿宋" w:hAnsi="仿宋"/>
          <w:color w:val="auto"/>
          <w:highlight w:val="none"/>
        </w:rPr>
      </w:pPr>
      <w:r>
        <w:rPr>
          <w:rFonts w:hint="eastAsia" w:ascii="仿宋" w:hAnsi="仿宋"/>
          <w:color w:val="auto"/>
          <w:highlight w:val="none"/>
        </w:rPr>
        <w:t>3.一旦我方成交，我方将严格履行采购合同规定的责任和义务。</w:t>
      </w:r>
    </w:p>
    <w:p w14:paraId="20D42286">
      <w:pPr>
        <w:ind w:firstLine="480" w:firstLineChars="200"/>
        <w:jc w:val="left"/>
        <w:rPr>
          <w:rFonts w:hint="eastAsia" w:ascii="仿宋" w:hAnsi="仿宋"/>
          <w:color w:val="auto"/>
          <w:highlight w:val="none"/>
        </w:rPr>
      </w:pPr>
      <w:r>
        <w:rPr>
          <w:rFonts w:hint="eastAsia" w:ascii="仿宋" w:hAnsi="仿宋"/>
          <w:color w:val="auto"/>
          <w:highlight w:val="none"/>
        </w:rPr>
        <w:t>4.我方为本项目提交的响应文件正本1份，副本2份，用于询比报价。</w:t>
      </w:r>
    </w:p>
    <w:p w14:paraId="053D224F">
      <w:pPr>
        <w:ind w:firstLine="480" w:firstLineChars="200"/>
        <w:jc w:val="left"/>
        <w:rPr>
          <w:rFonts w:hint="eastAsia" w:ascii="仿宋" w:hAnsi="仿宋"/>
          <w:color w:val="auto"/>
          <w:highlight w:val="none"/>
        </w:rPr>
      </w:pPr>
      <w:r>
        <w:rPr>
          <w:rFonts w:hint="eastAsia" w:ascii="仿宋" w:hAnsi="仿宋"/>
          <w:color w:val="auto"/>
          <w:highlight w:val="none"/>
        </w:rPr>
        <w:t>5.我方愿意提供贵单位可能另外要求的，与询比报价有关的文件资料，并保证我方已提供和将要提供的文件资料是真实、准确的。</w:t>
      </w:r>
    </w:p>
    <w:p w14:paraId="1559E9F3">
      <w:pPr>
        <w:ind w:firstLine="480" w:firstLineChars="200"/>
        <w:jc w:val="left"/>
        <w:rPr>
          <w:rFonts w:hint="eastAsia" w:ascii="仿宋" w:hAnsi="仿宋"/>
          <w:color w:val="auto"/>
          <w:highlight w:val="none"/>
        </w:rPr>
      </w:pPr>
      <w:r>
        <w:rPr>
          <w:rFonts w:hint="eastAsia" w:ascii="仿宋" w:hAnsi="仿宋"/>
          <w:color w:val="auto"/>
          <w:highlight w:val="none"/>
        </w:rPr>
        <w:t>6.本次询比响应，我方递交的响应文件有效期为</w:t>
      </w:r>
      <w:r>
        <w:rPr>
          <w:rFonts w:hint="eastAsia" w:ascii="仿宋" w:hAnsi="仿宋" w:cs="仿宋"/>
          <w:bCs/>
          <w:color w:val="auto"/>
          <w:sz w:val="24"/>
          <w:highlight w:val="none"/>
          <w:lang w:val="en-US" w:eastAsia="zh-CN"/>
        </w:rPr>
        <w:t>现场开启</w:t>
      </w:r>
      <w:r>
        <w:rPr>
          <w:rFonts w:hint="eastAsia" w:ascii="仿宋" w:hAnsi="仿宋" w:eastAsia="仿宋" w:cs="仿宋"/>
          <w:bCs/>
          <w:color w:val="auto"/>
          <w:sz w:val="24"/>
          <w:highlight w:val="none"/>
        </w:rPr>
        <w:t>后</w:t>
      </w:r>
      <w:r>
        <w:rPr>
          <w:rFonts w:hint="eastAsia" w:ascii="仿宋" w:hAnsi="仿宋"/>
          <w:color w:val="auto"/>
          <w:highlight w:val="none"/>
        </w:rPr>
        <w:t>90天。</w:t>
      </w:r>
    </w:p>
    <w:p w14:paraId="3570BA10">
      <w:pPr>
        <w:adjustRightInd w:val="0"/>
        <w:ind w:firstLine="480" w:firstLineChars="200"/>
        <w:jc w:val="left"/>
        <w:rPr>
          <w:rFonts w:hint="eastAsia" w:ascii="仿宋" w:hAnsi="仿宋"/>
          <w:color w:val="auto"/>
          <w:highlight w:val="none"/>
        </w:rPr>
      </w:pPr>
    </w:p>
    <w:p w14:paraId="409EC6CA">
      <w:pPr>
        <w:adjustRightInd w:val="0"/>
        <w:ind w:firstLine="480" w:firstLineChars="200"/>
        <w:jc w:val="left"/>
        <w:rPr>
          <w:rFonts w:hint="eastAsia" w:ascii="仿宋" w:hAnsi="仿宋"/>
          <w:color w:val="auto"/>
          <w:highlight w:val="none"/>
        </w:rPr>
      </w:pPr>
    </w:p>
    <w:p w14:paraId="263CF818">
      <w:pPr>
        <w:adjustRightInd w:val="0"/>
        <w:ind w:firstLine="480" w:firstLineChars="200"/>
        <w:jc w:val="left"/>
        <w:rPr>
          <w:rFonts w:hint="eastAsia" w:ascii="仿宋" w:hAnsi="仿宋"/>
          <w:color w:val="auto"/>
          <w:highlight w:val="none"/>
        </w:rPr>
      </w:pPr>
      <w:r>
        <w:rPr>
          <w:rFonts w:hint="eastAsia" w:ascii="仿宋" w:hAnsi="仿宋"/>
          <w:color w:val="auto"/>
          <w:highlight w:val="none"/>
        </w:rPr>
        <w:t>供应商名称：XXX（盖单位公章）</w:t>
      </w:r>
    </w:p>
    <w:p w14:paraId="0C0679DA">
      <w:pPr>
        <w:ind w:firstLine="470" w:firstLineChars="196"/>
        <w:rPr>
          <w:rFonts w:hint="eastAsia" w:ascii="仿宋" w:hAnsi="仿宋"/>
          <w:color w:val="auto"/>
          <w:highlight w:val="none"/>
        </w:rPr>
      </w:pPr>
      <w:r>
        <w:rPr>
          <w:rFonts w:hint="eastAsia" w:ascii="仿宋" w:hAnsi="仿宋"/>
          <w:color w:val="auto"/>
          <w:highlight w:val="none"/>
        </w:rPr>
        <w:t>法定代表人或授权代表（签字或加盖个人印章）：XXX</w:t>
      </w:r>
    </w:p>
    <w:p w14:paraId="6F7D5E75">
      <w:pPr>
        <w:ind w:firstLine="470" w:firstLineChars="196"/>
        <w:rPr>
          <w:rFonts w:hint="eastAsia" w:ascii="仿宋" w:hAnsi="仿宋"/>
          <w:color w:val="auto"/>
          <w:highlight w:val="none"/>
        </w:rPr>
      </w:pPr>
      <w:r>
        <w:rPr>
          <w:rFonts w:hint="eastAsia" w:ascii="仿宋" w:hAnsi="仿宋"/>
          <w:color w:val="auto"/>
          <w:highlight w:val="none"/>
        </w:rPr>
        <w:t>通讯地址：XXX</w:t>
      </w:r>
    </w:p>
    <w:p w14:paraId="379DAC89">
      <w:pPr>
        <w:ind w:firstLine="470" w:firstLineChars="196"/>
        <w:rPr>
          <w:rFonts w:hint="eastAsia" w:ascii="仿宋" w:hAnsi="仿宋"/>
          <w:color w:val="auto"/>
          <w:highlight w:val="none"/>
        </w:rPr>
      </w:pPr>
      <w:r>
        <w:rPr>
          <w:rFonts w:hint="eastAsia" w:ascii="仿宋" w:hAnsi="仿宋"/>
          <w:color w:val="auto"/>
          <w:highlight w:val="none"/>
        </w:rPr>
        <w:t>邮政编码：XXX</w:t>
      </w:r>
    </w:p>
    <w:p w14:paraId="36F0CB54">
      <w:pPr>
        <w:ind w:firstLine="470" w:firstLineChars="196"/>
        <w:rPr>
          <w:rFonts w:hint="eastAsia" w:ascii="仿宋" w:hAnsi="仿宋"/>
          <w:color w:val="auto"/>
          <w:highlight w:val="none"/>
        </w:rPr>
      </w:pPr>
      <w:r>
        <w:rPr>
          <w:rFonts w:hint="eastAsia" w:ascii="仿宋" w:hAnsi="仿宋"/>
          <w:color w:val="auto"/>
          <w:highlight w:val="none"/>
        </w:rPr>
        <w:t>联系电话：XXX</w:t>
      </w:r>
    </w:p>
    <w:p w14:paraId="4EB51AE6">
      <w:pPr>
        <w:ind w:firstLine="470" w:firstLineChars="196"/>
        <w:rPr>
          <w:rFonts w:hint="eastAsia" w:ascii="仿宋" w:hAnsi="仿宋"/>
          <w:color w:val="auto"/>
          <w:highlight w:val="none"/>
        </w:rPr>
      </w:pPr>
      <w:r>
        <w:rPr>
          <w:rFonts w:hint="eastAsia" w:ascii="仿宋" w:hAnsi="仿宋"/>
          <w:color w:val="auto"/>
          <w:highlight w:val="none"/>
        </w:rPr>
        <w:t>传    真：XXX</w:t>
      </w:r>
    </w:p>
    <w:p w14:paraId="14D5CB0A">
      <w:pPr>
        <w:ind w:firstLine="480" w:firstLineChars="200"/>
        <w:rPr>
          <w:rFonts w:hint="eastAsia" w:ascii="仿宋" w:hAnsi="仿宋"/>
          <w:b/>
          <w:color w:val="auto"/>
          <w:sz w:val="32"/>
          <w:szCs w:val="32"/>
          <w:highlight w:val="none"/>
        </w:rPr>
      </w:pPr>
      <w:r>
        <w:rPr>
          <w:rFonts w:hint="eastAsia" w:ascii="仿宋" w:hAnsi="仿宋"/>
          <w:color w:val="auto"/>
          <w:highlight w:val="none"/>
        </w:rPr>
        <w:t>日    期：XXX年XXX月XXX日</w:t>
      </w:r>
      <w:r>
        <w:rPr>
          <w:rFonts w:hint="eastAsia" w:ascii="仿宋" w:hAnsi="仿宋"/>
          <w:b/>
          <w:color w:val="auto"/>
          <w:sz w:val="32"/>
          <w:szCs w:val="32"/>
          <w:highlight w:val="none"/>
        </w:rPr>
        <w:br w:type="page"/>
      </w:r>
      <w:bookmarkEnd w:id="168"/>
    </w:p>
    <w:p w14:paraId="68DAFE2B">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t>二、法定代表人授权书</w:t>
      </w:r>
    </w:p>
    <w:p w14:paraId="3455B906">
      <w:pPr>
        <w:rPr>
          <w:color w:val="auto"/>
          <w:highlight w:val="none"/>
        </w:rPr>
      </w:pPr>
    </w:p>
    <w:p w14:paraId="57A7E941">
      <w:pPr>
        <w:rPr>
          <w:color w:val="auto"/>
          <w:highlight w:val="none"/>
        </w:rPr>
      </w:pPr>
      <w:bookmarkStart w:id="169" w:name="_Toc217446084"/>
      <w:r>
        <w:rPr>
          <w:rFonts w:hint="eastAsia"/>
          <w:color w:val="auto"/>
          <w:highlight w:val="none"/>
        </w:rPr>
        <w:t>四川国锃招标代理有限公司：</w:t>
      </w:r>
    </w:p>
    <w:p w14:paraId="5FAC46CA">
      <w:pPr>
        <w:ind w:firstLine="480" w:firstLineChars="200"/>
        <w:rPr>
          <w:color w:val="auto"/>
          <w:highlight w:val="none"/>
        </w:rPr>
      </w:pPr>
      <w:r>
        <w:rPr>
          <w:rFonts w:hint="eastAsia"/>
          <w:color w:val="auto"/>
          <w:highlight w:val="none"/>
        </w:rPr>
        <w:t>本授权声明：XXXX（供应商名称）XXXX（法定代表人姓名、职务）授权XXXX（被授权人姓名、职务）为我方 “XXXXXXXX”项目（项目编号：XXXX）询比采购活动的合法代表，以我方名义全权处理该项目询比采购的相关事宜。</w:t>
      </w:r>
    </w:p>
    <w:p w14:paraId="6F24ADF7">
      <w:pPr>
        <w:ind w:firstLine="480" w:firstLineChars="200"/>
        <w:rPr>
          <w:color w:val="auto"/>
          <w:highlight w:val="none"/>
        </w:rPr>
      </w:pPr>
      <w:r>
        <w:rPr>
          <w:rFonts w:hint="eastAsia"/>
          <w:color w:val="auto"/>
          <w:highlight w:val="none"/>
        </w:rPr>
        <w:t>特此声明。</w:t>
      </w:r>
    </w:p>
    <w:p w14:paraId="6D32BCDC">
      <w:pPr>
        <w:ind w:firstLine="482" w:firstLineChars="200"/>
        <w:rPr>
          <w:b/>
          <w:color w:val="auto"/>
          <w:highlight w:val="none"/>
        </w:rPr>
      </w:pPr>
      <w:r>
        <w:rPr>
          <w:rFonts w:hint="eastAsia" w:ascii="仿宋" w:hAnsi="仿宋"/>
          <w:b/>
          <w:color w:val="auto"/>
          <w:szCs w:val="21"/>
          <w:highlight w:val="none"/>
        </w:rPr>
        <w:t>附：法定代表人身份证明材料和授权代表身份证明材料。</w:t>
      </w:r>
    </w:p>
    <w:p w14:paraId="4E8445EC">
      <w:pPr>
        <w:rPr>
          <w:color w:val="auto"/>
          <w:highlight w:val="none"/>
        </w:rPr>
      </w:pPr>
    </w:p>
    <w:p w14:paraId="437B4E45">
      <w:pPr>
        <w:rPr>
          <w:color w:val="auto"/>
          <w:highlight w:val="none"/>
        </w:rPr>
      </w:pPr>
    </w:p>
    <w:p w14:paraId="6C76773E">
      <w:pPr>
        <w:rPr>
          <w:color w:val="auto"/>
          <w:highlight w:val="none"/>
        </w:rPr>
      </w:pPr>
    </w:p>
    <w:p w14:paraId="17C97EFC">
      <w:pPr>
        <w:rPr>
          <w:color w:val="auto"/>
          <w:highlight w:val="none"/>
        </w:rPr>
      </w:pPr>
    </w:p>
    <w:p w14:paraId="28194DF5">
      <w:pPr>
        <w:rPr>
          <w:color w:val="auto"/>
          <w:highlight w:val="none"/>
        </w:rPr>
      </w:pPr>
    </w:p>
    <w:p w14:paraId="6DD0839F">
      <w:pPr>
        <w:rPr>
          <w:color w:val="auto"/>
          <w:highlight w:val="none"/>
        </w:rPr>
      </w:pPr>
    </w:p>
    <w:p w14:paraId="73565FDF">
      <w:pPr>
        <w:rPr>
          <w:color w:val="auto"/>
          <w:highlight w:val="none"/>
        </w:rPr>
      </w:pPr>
    </w:p>
    <w:p w14:paraId="53A8EA9E">
      <w:pPr>
        <w:rPr>
          <w:color w:val="auto"/>
          <w:highlight w:val="none"/>
        </w:rPr>
      </w:pPr>
    </w:p>
    <w:p w14:paraId="123D8BF0">
      <w:pPr>
        <w:ind w:firstLine="480" w:firstLineChars="200"/>
        <w:rPr>
          <w:color w:val="auto"/>
          <w:highlight w:val="none"/>
        </w:rPr>
      </w:pPr>
      <w:bookmarkStart w:id="170" w:name="_Toc19877064"/>
      <w:r>
        <w:rPr>
          <w:rFonts w:hint="eastAsia"/>
          <w:color w:val="auto"/>
          <w:highlight w:val="none"/>
        </w:rPr>
        <w:t>法定代表人签字或者加盖个人印章：</w:t>
      </w:r>
      <w:bookmarkEnd w:id="170"/>
    </w:p>
    <w:p w14:paraId="5E2E362D">
      <w:pPr>
        <w:ind w:firstLine="480" w:firstLineChars="200"/>
        <w:rPr>
          <w:color w:val="auto"/>
          <w:highlight w:val="none"/>
        </w:rPr>
      </w:pPr>
      <w:bookmarkStart w:id="171" w:name="_Toc19877065"/>
      <w:r>
        <w:rPr>
          <w:rFonts w:hint="eastAsia"/>
          <w:color w:val="auto"/>
          <w:highlight w:val="none"/>
        </w:rPr>
        <w:t>授权代表签字或者加盖个人印章：</w:t>
      </w:r>
      <w:bookmarkEnd w:id="171"/>
    </w:p>
    <w:p w14:paraId="2DE13AD5">
      <w:pPr>
        <w:ind w:firstLine="480" w:firstLineChars="200"/>
        <w:rPr>
          <w:color w:val="auto"/>
          <w:highlight w:val="none"/>
        </w:rPr>
      </w:pPr>
      <w:bookmarkStart w:id="172" w:name="_Toc19877066"/>
      <w:r>
        <w:rPr>
          <w:rFonts w:hint="eastAsia"/>
          <w:color w:val="auto"/>
          <w:highlight w:val="none"/>
        </w:rPr>
        <w:t>供应商名称：（单位盖章）</w:t>
      </w:r>
      <w:bookmarkEnd w:id="172"/>
    </w:p>
    <w:p w14:paraId="349AD918">
      <w:pPr>
        <w:ind w:firstLine="480" w:firstLineChars="200"/>
        <w:rPr>
          <w:color w:val="auto"/>
          <w:highlight w:val="none"/>
        </w:rPr>
      </w:pPr>
      <w:bookmarkStart w:id="173" w:name="_Toc19877067"/>
      <w:r>
        <w:rPr>
          <w:rFonts w:hint="eastAsia"/>
          <w:color w:val="auto"/>
          <w:highlight w:val="none"/>
        </w:rPr>
        <w:t>日期：</w:t>
      </w:r>
      <w:bookmarkEnd w:id="173"/>
    </w:p>
    <w:p w14:paraId="33872DC9">
      <w:pPr>
        <w:rPr>
          <w:color w:val="auto"/>
          <w:highlight w:val="none"/>
        </w:rPr>
      </w:pPr>
    </w:p>
    <w:p w14:paraId="63F4371B">
      <w:pPr>
        <w:rPr>
          <w:rFonts w:hint="eastAsia" w:ascii="仿宋" w:hAnsi="仿宋"/>
          <w:b/>
          <w:color w:val="auto"/>
          <w:szCs w:val="21"/>
          <w:highlight w:val="none"/>
        </w:rPr>
      </w:pPr>
    </w:p>
    <w:p w14:paraId="2AF304C4">
      <w:pPr>
        <w:ind w:firstLine="480" w:firstLineChars="200"/>
        <w:rPr>
          <w:rFonts w:hint="eastAsia" w:ascii="仿宋" w:hAnsi="仿宋"/>
          <w:color w:val="auto"/>
          <w:szCs w:val="21"/>
          <w:highlight w:val="none"/>
        </w:rPr>
      </w:pPr>
      <w:r>
        <w:rPr>
          <w:rFonts w:hint="eastAsia" w:ascii="仿宋" w:hAnsi="仿宋"/>
          <w:color w:val="auto"/>
          <w:szCs w:val="21"/>
          <w:highlight w:val="none"/>
        </w:rPr>
        <w:t>注：1、供应商委托授权代表参与采购活动时，需按以上要求提交相关资料，如是供应商单位法定代表人（适用供应商为法人单位的）亲自参加采购活动的，则仅需附法定代表人身份证明材料即可。供应商为自然人的，提供身份证明材料即可。</w:t>
      </w:r>
    </w:p>
    <w:p w14:paraId="480A93A4">
      <w:pPr>
        <w:ind w:firstLine="480" w:firstLineChars="200"/>
        <w:rPr>
          <w:rFonts w:hint="eastAsia" w:ascii="仿宋" w:hAnsi="仿宋"/>
          <w:color w:val="auto"/>
          <w:szCs w:val="21"/>
          <w:highlight w:val="none"/>
        </w:rPr>
      </w:pPr>
      <w:r>
        <w:rPr>
          <w:rFonts w:hint="eastAsia" w:ascii="仿宋" w:hAnsi="仿宋"/>
          <w:color w:val="auto"/>
          <w:szCs w:val="21"/>
          <w:highlight w:val="none"/>
        </w:rPr>
        <w:t>2、授权代表、自然人身份证明材料包括有效期内的居民身份证。</w:t>
      </w:r>
    </w:p>
    <w:p w14:paraId="58CEDC82">
      <w:pPr>
        <w:ind w:firstLine="480" w:firstLineChars="200"/>
        <w:rPr>
          <w:rFonts w:hint="eastAsia" w:ascii="仿宋" w:hAnsi="仿宋"/>
          <w:color w:val="auto"/>
          <w:szCs w:val="21"/>
          <w:highlight w:val="none"/>
        </w:rPr>
      </w:pPr>
      <w:r>
        <w:rPr>
          <w:rFonts w:hint="eastAsia" w:ascii="仿宋" w:hAnsi="仿宋"/>
          <w:color w:val="auto"/>
          <w:szCs w:val="21"/>
          <w:highlight w:val="none"/>
        </w:rPr>
        <w:t>3、法定代表人身份证明材料包括有效期内的居民身份证，或法定代表人身份证明书（格式见附件，也可由供应商自拟格式）。</w:t>
      </w:r>
    </w:p>
    <w:p w14:paraId="12EE5094">
      <w:pPr>
        <w:widowControl/>
        <w:spacing w:line="240" w:lineRule="auto"/>
        <w:jc w:val="left"/>
        <w:rPr>
          <w:rFonts w:hint="eastAsia" w:ascii="仿宋" w:hAnsi="仿宋"/>
          <w:b/>
          <w:color w:val="auto"/>
          <w:highlight w:val="none"/>
        </w:rPr>
      </w:pPr>
      <w:r>
        <w:rPr>
          <w:rFonts w:ascii="仿宋" w:hAnsi="仿宋"/>
          <w:b/>
          <w:color w:val="auto"/>
          <w:highlight w:val="none"/>
        </w:rPr>
        <w:br w:type="page"/>
      </w:r>
    </w:p>
    <w:p w14:paraId="5B960013">
      <w:pPr>
        <w:ind w:left="843" w:hanging="843" w:hangingChars="350"/>
        <w:jc w:val="left"/>
        <w:rPr>
          <w:rFonts w:hint="eastAsia" w:ascii="仿宋" w:hAnsi="仿宋"/>
          <w:b/>
          <w:color w:val="auto"/>
          <w:highlight w:val="none"/>
        </w:rPr>
      </w:pPr>
      <w:r>
        <w:rPr>
          <w:rFonts w:hint="eastAsia" w:ascii="仿宋" w:hAnsi="仿宋"/>
          <w:b/>
          <w:color w:val="auto"/>
          <w:highlight w:val="none"/>
        </w:rPr>
        <w:t>附：</w:t>
      </w:r>
    </w:p>
    <w:p w14:paraId="248DCF97">
      <w:pPr>
        <w:jc w:val="center"/>
        <w:rPr>
          <w:rFonts w:hint="eastAsia" w:ascii="仿宋" w:hAnsi="仿宋"/>
          <w:b/>
          <w:color w:val="auto"/>
          <w:sz w:val="28"/>
          <w:szCs w:val="28"/>
          <w:highlight w:val="none"/>
        </w:rPr>
      </w:pPr>
      <w:r>
        <w:rPr>
          <w:rFonts w:ascii="仿宋" w:hAnsi="仿宋"/>
          <w:b/>
          <w:color w:val="auto"/>
          <w:sz w:val="28"/>
          <w:szCs w:val="28"/>
          <w:highlight w:val="none"/>
        </w:rPr>
        <w:t>法定代表人身份证明</w:t>
      </w:r>
      <w:r>
        <w:rPr>
          <w:rFonts w:hint="eastAsia" w:ascii="仿宋" w:hAnsi="仿宋"/>
          <w:b/>
          <w:color w:val="auto"/>
          <w:sz w:val="28"/>
          <w:szCs w:val="28"/>
          <w:highlight w:val="none"/>
        </w:rPr>
        <w:t>书</w:t>
      </w:r>
    </w:p>
    <w:p w14:paraId="6F61A2E7">
      <w:pPr>
        <w:rPr>
          <w:rFonts w:hint="eastAsia" w:ascii="仿宋" w:hAnsi="仿宋"/>
          <w:color w:val="auto"/>
          <w:highlight w:val="none"/>
        </w:rPr>
      </w:pPr>
      <w:r>
        <w:rPr>
          <w:rFonts w:hint="eastAsia" w:ascii="仿宋" w:hAnsi="仿宋"/>
          <w:color w:val="auto"/>
          <w:highlight w:val="none"/>
        </w:rPr>
        <w:t>供应商名称：___________________</w:t>
      </w:r>
    </w:p>
    <w:p w14:paraId="0FB369F6">
      <w:pPr>
        <w:rPr>
          <w:rFonts w:hint="eastAsia" w:ascii="仿宋" w:hAnsi="仿宋"/>
          <w:color w:val="auto"/>
          <w:highlight w:val="none"/>
        </w:rPr>
      </w:pPr>
      <w:r>
        <w:rPr>
          <w:rFonts w:hint="eastAsia" w:ascii="仿宋" w:hAnsi="仿宋"/>
          <w:color w:val="auto"/>
          <w:highlight w:val="none"/>
        </w:rPr>
        <w:t>单位性质：_____________________</w:t>
      </w:r>
    </w:p>
    <w:p w14:paraId="70F4C786">
      <w:pPr>
        <w:rPr>
          <w:rFonts w:hint="eastAsia" w:ascii="仿宋" w:hAnsi="仿宋"/>
          <w:color w:val="auto"/>
          <w:highlight w:val="none"/>
        </w:rPr>
      </w:pPr>
      <w:r>
        <w:rPr>
          <w:rFonts w:hint="eastAsia" w:ascii="仿宋" w:hAnsi="仿宋"/>
          <w:color w:val="auto"/>
          <w:highlight w:val="none"/>
        </w:rPr>
        <w:t>地址：_________________________</w:t>
      </w:r>
    </w:p>
    <w:p w14:paraId="7997529E">
      <w:pPr>
        <w:rPr>
          <w:rFonts w:hint="eastAsia" w:ascii="仿宋" w:hAnsi="仿宋"/>
          <w:color w:val="auto"/>
          <w:highlight w:val="none"/>
        </w:rPr>
      </w:pPr>
      <w:r>
        <w:rPr>
          <w:rFonts w:hint="eastAsia" w:ascii="仿宋" w:hAnsi="仿宋"/>
          <w:color w:val="auto"/>
          <w:highlight w:val="none"/>
        </w:rPr>
        <w:t>成立时间：________年_______月</w:t>
      </w:r>
      <w:r>
        <w:rPr>
          <w:rFonts w:hint="eastAsia" w:ascii="仿宋" w:hAnsi="仿宋"/>
          <w:color w:val="auto"/>
          <w:highlight w:val="none"/>
          <w:u w:val="single"/>
        </w:rPr>
        <w:t>____</w:t>
      </w:r>
      <w:r>
        <w:rPr>
          <w:rFonts w:hint="eastAsia" w:ascii="仿宋" w:hAnsi="仿宋"/>
          <w:color w:val="auto"/>
          <w:highlight w:val="none"/>
        </w:rPr>
        <w:t xml:space="preserve">日 </w:t>
      </w:r>
    </w:p>
    <w:p w14:paraId="3D4969D0">
      <w:pPr>
        <w:rPr>
          <w:rFonts w:hint="eastAsia" w:ascii="仿宋" w:hAnsi="仿宋"/>
          <w:color w:val="auto"/>
          <w:highlight w:val="none"/>
        </w:rPr>
      </w:pPr>
      <w:r>
        <w:rPr>
          <w:rFonts w:hint="eastAsia" w:ascii="仿宋" w:hAnsi="仿宋"/>
          <w:color w:val="auto"/>
          <w:highlight w:val="none"/>
        </w:rPr>
        <w:t>经营期限：</w:t>
      </w:r>
      <w:r>
        <w:rPr>
          <w:rFonts w:hint="eastAsia" w:ascii="仿宋" w:hAnsi="仿宋"/>
          <w:color w:val="auto"/>
          <w:highlight w:val="none"/>
          <w:u w:val="single"/>
        </w:rPr>
        <w:t xml:space="preserve">____________________________ </w:t>
      </w:r>
    </w:p>
    <w:p w14:paraId="446D387D">
      <w:pPr>
        <w:rPr>
          <w:rFonts w:hint="eastAsia" w:ascii="仿宋" w:hAnsi="仿宋"/>
          <w:color w:val="auto"/>
          <w:highlight w:val="none"/>
        </w:rPr>
      </w:pPr>
      <w:r>
        <w:rPr>
          <w:rFonts w:hint="eastAsia" w:ascii="仿宋" w:hAnsi="仿宋"/>
          <w:color w:val="auto"/>
          <w:highlight w:val="none"/>
        </w:rPr>
        <w:t>姓名：</w:t>
      </w:r>
      <w:r>
        <w:rPr>
          <w:rFonts w:hint="eastAsia" w:ascii="仿宋" w:hAnsi="仿宋"/>
          <w:color w:val="auto"/>
          <w:highlight w:val="none"/>
          <w:u w:val="single"/>
        </w:rPr>
        <w:t xml:space="preserve">      </w:t>
      </w:r>
      <w:r>
        <w:rPr>
          <w:rFonts w:hint="eastAsia" w:ascii="仿宋" w:hAnsi="仿宋"/>
          <w:color w:val="auto"/>
          <w:highlight w:val="none"/>
        </w:rPr>
        <w:t>系</w:t>
      </w:r>
      <w:r>
        <w:rPr>
          <w:rFonts w:hint="eastAsia" w:ascii="仿宋" w:hAnsi="仿宋"/>
          <w:color w:val="auto"/>
          <w:highlight w:val="none"/>
          <w:u w:val="single"/>
        </w:rPr>
        <w:t>_____________</w:t>
      </w:r>
      <w:r>
        <w:rPr>
          <w:rFonts w:hint="eastAsia" w:ascii="仿宋" w:hAnsi="仿宋"/>
          <w:color w:val="auto"/>
          <w:highlight w:val="none"/>
        </w:rPr>
        <w:t xml:space="preserve"> (供应商名称)的法定代表人)(职务：</w:t>
      </w:r>
      <w:r>
        <w:rPr>
          <w:rFonts w:hint="eastAsia" w:ascii="仿宋" w:hAnsi="仿宋"/>
          <w:color w:val="auto"/>
          <w:highlight w:val="none"/>
          <w:u w:val="single"/>
        </w:rPr>
        <w:t xml:space="preserve">    </w:t>
      </w:r>
      <w:r>
        <w:rPr>
          <w:rFonts w:hint="eastAsia" w:ascii="仿宋" w:hAnsi="仿宋"/>
          <w:color w:val="auto"/>
          <w:highlight w:val="none"/>
        </w:rPr>
        <w:t>电话：</w:t>
      </w:r>
      <w:r>
        <w:rPr>
          <w:rFonts w:hint="eastAsia" w:ascii="仿宋" w:hAnsi="仿宋"/>
          <w:color w:val="auto"/>
          <w:highlight w:val="none"/>
          <w:u w:val="single"/>
        </w:rPr>
        <w:t xml:space="preserve">     </w:t>
      </w:r>
      <w:r>
        <w:rPr>
          <w:rFonts w:hint="eastAsia" w:ascii="仿宋" w:hAnsi="仿宋"/>
          <w:color w:val="auto"/>
          <w:highlight w:val="none"/>
        </w:rPr>
        <w:t xml:space="preserve">)。 </w:t>
      </w:r>
    </w:p>
    <w:p w14:paraId="2D1CEAC7">
      <w:pPr>
        <w:ind w:firstLine="1440" w:firstLineChars="600"/>
        <w:rPr>
          <w:rFonts w:hint="eastAsia" w:ascii="仿宋" w:hAnsi="仿宋"/>
          <w:color w:val="auto"/>
          <w:highlight w:val="none"/>
        </w:rPr>
      </w:pPr>
      <w:r>
        <w:rPr>
          <w:rFonts w:hint="eastAsia" w:ascii="仿宋" w:hAnsi="仿宋"/>
          <w:color w:val="auto"/>
          <w:highlight w:val="none"/>
        </w:rPr>
        <w:t>特此证明。</w:t>
      </w:r>
    </w:p>
    <w:p w14:paraId="4967A630">
      <w:pPr>
        <w:ind w:firstLine="3960" w:firstLineChars="1650"/>
        <w:rPr>
          <w:rFonts w:hint="eastAsia" w:ascii="仿宋" w:hAnsi="仿宋"/>
          <w:color w:val="auto"/>
          <w:highlight w:val="none"/>
        </w:rPr>
      </w:pPr>
      <w:r>
        <w:rPr>
          <w:rFonts w:hint="eastAsia" w:ascii="仿宋" w:hAnsi="仿宋"/>
          <w:color w:val="auto"/>
          <w:highlight w:val="none"/>
        </w:rPr>
        <w:t>供应商：(盖章)</w:t>
      </w:r>
    </w:p>
    <w:p w14:paraId="285F6DBC">
      <w:pPr>
        <w:ind w:firstLine="480" w:firstLineChars="200"/>
        <w:rPr>
          <w:rFonts w:hint="eastAsia" w:ascii="仿宋" w:hAnsi="仿宋"/>
          <w:color w:val="auto"/>
          <w:highlight w:val="none"/>
        </w:rPr>
      </w:pPr>
      <w:r>
        <w:rPr>
          <w:rFonts w:hint="eastAsia" w:ascii="仿宋" w:hAnsi="仿宋"/>
          <w:color w:val="auto"/>
          <w:highlight w:val="none"/>
        </w:rPr>
        <w:t xml:space="preserve">                               年  月   日</w:t>
      </w:r>
    </w:p>
    <w:bookmarkEnd w:id="169"/>
    <w:p w14:paraId="70018728">
      <w:pPr>
        <w:widowControl/>
        <w:spacing w:line="240" w:lineRule="auto"/>
        <w:jc w:val="left"/>
        <w:rPr>
          <w:rFonts w:hint="eastAsia" w:ascii="仿宋" w:hAnsi="仿宋"/>
          <w:b/>
          <w:color w:val="auto"/>
          <w:sz w:val="32"/>
          <w:szCs w:val="32"/>
          <w:highlight w:val="none"/>
        </w:rPr>
      </w:pPr>
      <w:r>
        <w:rPr>
          <w:rFonts w:ascii="仿宋" w:hAnsi="仿宋"/>
          <w:b/>
          <w:color w:val="auto"/>
          <w:sz w:val="32"/>
          <w:szCs w:val="32"/>
          <w:highlight w:val="none"/>
        </w:rPr>
        <w:br w:type="page"/>
      </w:r>
    </w:p>
    <w:p w14:paraId="05AAFCC6">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t>三、承诺函</w:t>
      </w:r>
    </w:p>
    <w:p w14:paraId="0BAFF97F">
      <w:pPr>
        <w:rPr>
          <w:color w:val="auto"/>
          <w:highlight w:val="none"/>
        </w:rPr>
      </w:pPr>
      <w:r>
        <w:rPr>
          <w:rFonts w:hint="eastAsia"/>
          <w:color w:val="auto"/>
          <w:highlight w:val="none"/>
        </w:rPr>
        <w:t>四川国锃招标代理有限公司：</w:t>
      </w:r>
    </w:p>
    <w:p w14:paraId="79032E23">
      <w:pPr>
        <w:ind w:firstLine="480" w:firstLineChars="200"/>
        <w:rPr>
          <w:color w:val="auto"/>
          <w:highlight w:val="none"/>
        </w:rPr>
      </w:pPr>
      <w:r>
        <w:rPr>
          <w:rFonts w:hint="eastAsia"/>
          <w:color w:val="auto"/>
          <w:highlight w:val="none"/>
        </w:rPr>
        <w:t>我单位作为本次采购项目的供应商，根据询比文件要求，现郑重承诺如下：</w:t>
      </w:r>
    </w:p>
    <w:p w14:paraId="0A0DECFA">
      <w:pPr>
        <w:ind w:firstLine="424" w:firstLineChars="177"/>
        <w:rPr>
          <w:color w:val="auto"/>
          <w:highlight w:val="none"/>
        </w:rPr>
      </w:pPr>
      <w:bookmarkStart w:id="174" w:name="_Toc29330597"/>
      <w:r>
        <w:rPr>
          <w:rFonts w:hint="eastAsia" w:cs="仿宋"/>
          <w:color w:val="auto"/>
          <w:highlight w:val="none"/>
          <w:lang w:bidi="ar"/>
        </w:rPr>
        <w:t>（一）具有独立承担民事责任的能力；</w:t>
      </w:r>
      <w:bookmarkEnd w:id="174"/>
    </w:p>
    <w:p w14:paraId="5348FAD3">
      <w:pPr>
        <w:ind w:firstLine="424" w:firstLineChars="177"/>
        <w:rPr>
          <w:color w:val="auto"/>
          <w:highlight w:val="none"/>
        </w:rPr>
      </w:pPr>
      <w:bookmarkStart w:id="175" w:name="_Toc29330598"/>
      <w:r>
        <w:rPr>
          <w:rFonts w:hint="eastAsia" w:cs="仿宋"/>
          <w:color w:val="auto"/>
          <w:highlight w:val="none"/>
          <w:lang w:bidi="ar"/>
        </w:rPr>
        <w:t>（二）具有良好的商业信誉和健全的财务会计制度；</w:t>
      </w:r>
      <w:bookmarkEnd w:id="175"/>
    </w:p>
    <w:p w14:paraId="31CB5FD9">
      <w:pPr>
        <w:ind w:firstLine="424" w:firstLineChars="177"/>
        <w:rPr>
          <w:color w:val="auto"/>
          <w:highlight w:val="none"/>
        </w:rPr>
      </w:pPr>
      <w:bookmarkStart w:id="176" w:name="_Toc29330599"/>
      <w:r>
        <w:rPr>
          <w:rFonts w:hint="eastAsia" w:cs="仿宋"/>
          <w:color w:val="auto"/>
          <w:highlight w:val="none"/>
          <w:lang w:bidi="ar"/>
        </w:rPr>
        <w:t>（三）具有履行合同所必需的设备和专业技术能力；</w:t>
      </w:r>
      <w:bookmarkEnd w:id="176"/>
    </w:p>
    <w:p w14:paraId="6228D096">
      <w:pPr>
        <w:ind w:firstLine="424" w:firstLineChars="177"/>
        <w:rPr>
          <w:color w:val="auto"/>
          <w:highlight w:val="none"/>
        </w:rPr>
      </w:pPr>
      <w:bookmarkStart w:id="177" w:name="_Toc29330600"/>
      <w:r>
        <w:rPr>
          <w:rFonts w:hint="eastAsia" w:cs="仿宋"/>
          <w:color w:val="auto"/>
          <w:highlight w:val="none"/>
          <w:lang w:bidi="ar"/>
        </w:rPr>
        <w:t>（四）有依法缴纳税收和社会保障资金的良好记录；</w:t>
      </w:r>
      <w:bookmarkEnd w:id="177"/>
    </w:p>
    <w:p w14:paraId="52D6F2A4">
      <w:pPr>
        <w:ind w:firstLine="424" w:firstLineChars="177"/>
        <w:rPr>
          <w:color w:val="auto"/>
          <w:highlight w:val="none"/>
        </w:rPr>
      </w:pPr>
      <w:bookmarkStart w:id="178" w:name="_Toc29330601"/>
      <w:r>
        <w:rPr>
          <w:rFonts w:hint="eastAsia" w:cs="仿宋"/>
          <w:color w:val="auto"/>
          <w:highlight w:val="none"/>
          <w:lang w:bidi="ar"/>
        </w:rPr>
        <w:t>（五）参加采购活动前三年内，在经营活动中没有重大违法记录；</w:t>
      </w:r>
      <w:bookmarkEnd w:id="178"/>
    </w:p>
    <w:p w14:paraId="1B2769DA">
      <w:pPr>
        <w:ind w:firstLine="424" w:firstLineChars="177"/>
        <w:rPr>
          <w:color w:val="auto"/>
          <w:highlight w:val="none"/>
        </w:rPr>
      </w:pPr>
      <w:bookmarkStart w:id="179" w:name="_Toc29330602"/>
      <w:r>
        <w:rPr>
          <w:rFonts w:hint="eastAsia" w:cs="仿宋"/>
          <w:color w:val="auto"/>
          <w:highlight w:val="none"/>
          <w:lang w:bidi="ar"/>
        </w:rPr>
        <w:t>（六）满足法律、行政法规规定的其他条件；</w:t>
      </w:r>
      <w:bookmarkEnd w:id="179"/>
    </w:p>
    <w:p w14:paraId="521495BA">
      <w:pPr>
        <w:ind w:firstLine="424" w:firstLineChars="177"/>
        <w:rPr>
          <w:color w:val="auto"/>
          <w:highlight w:val="none"/>
        </w:rPr>
      </w:pPr>
      <w:bookmarkStart w:id="180" w:name="_Toc29330603"/>
      <w:r>
        <w:rPr>
          <w:rFonts w:hint="eastAsia" w:cs="仿宋"/>
          <w:color w:val="auto"/>
          <w:highlight w:val="none"/>
          <w:lang w:bidi="ar"/>
        </w:rPr>
        <w:t>（七）我单位及其现任法定代表人、主要负责人没有行贿犯罪记录；</w:t>
      </w:r>
      <w:bookmarkEnd w:id="180"/>
    </w:p>
    <w:p w14:paraId="7AC0EFFC">
      <w:pPr>
        <w:ind w:firstLine="424" w:firstLineChars="177"/>
        <w:rPr>
          <w:color w:val="auto"/>
          <w:highlight w:val="none"/>
        </w:rPr>
      </w:pPr>
      <w:bookmarkStart w:id="181" w:name="_Toc29330605"/>
      <w:bookmarkStart w:id="182" w:name="_Toc29330606"/>
      <w:r>
        <w:rPr>
          <w:rFonts w:hint="eastAsia" w:cs="仿宋"/>
          <w:color w:val="auto"/>
          <w:highlight w:val="none"/>
          <w:lang w:bidi="ar"/>
        </w:rPr>
        <w:t>（八）</w:t>
      </w:r>
      <w:r>
        <w:rPr>
          <w:rFonts w:hint="eastAsia" w:ascii="仿宋" w:hAnsi="仿宋" w:cs="宋体"/>
          <w:color w:val="auto"/>
          <w:kern w:val="0"/>
          <w:highlight w:val="none"/>
        </w:rPr>
        <w:t>截至</w:t>
      </w:r>
      <w:r>
        <w:rPr>
          <w:rFonts w:hint="eastAsia" w:ascii="仿宋" w:hAnsi="仿宋"/>
          <w:color w:val="auto"/>
          <w:highlight w:val="none"/>
        </w:rPr>
        <w:t>本项目提交响应文件截止时间</w:t>
      </w:r>
      <w:r>
        <w:rPr>
          <w:rFonts w:hint="eastAsia" w:ascii="仿宋" w:hAnsi="仿宋" w:cs="宋体"/>
          <w:color w:val="auto"/>
          <w:kern w:val="0"/>
          <w:highlight w:val="none"/>
        </w:rPr>
        <w:t>，我单位</w:t>
      </w:r>
      <w:r>
        <w:rPr>
          <w:rFonts w:hint="eastAsia" w:ascii="仿宋" w:hAnsi="仿宋"/>
          <w:color w:val="auto"/>
          <w:highlight w:val="none"/>
        </w:rPr>
        <w:t>未被“信用中国”网站（www.creditchina.gov.cn）、“中国政府采购网”网站（www.ccgp.gov.cn）列入失信被执行人、重大税收违法案件当事人名单、政府采购严重违法失信行为记录名单</w:t>
      </w:r>
      <w:r>
        <w:rPr>
          <w:rFonts w:hint="eastAsia" w:cs="仿宋"/>
          <w:color w:val="auto"/>
          <w:highlight w:val="none"/>
          <w:lang w:bidi="ar"/>
        </w:rPr>
        <w:t>。</w:t>
      </w:r>
      <w:bookmarkEnd w:id="181"/>
    </w:p>
    <w:p w14:paraId="56C39A92">
      <w:pPr>
        <w:ind w:firstLine="424" w:firstLineChars="177"/>
        <w:rPr>
          <w:color w:val="auto"/>
          <w:highlight w:val="none"/>
        </w:rPr>
      </w:pPr>
      <w:r>
        <w:rPr>
          <w:rFonts w:hint="eastAsia" w:cs="仿宋"/>
          <w:color w:val="auto"/>
          <w:highlight w:val="none"/>
          <w:lang w:bidi="ar"/>
        </w:rPr>
        <w:t>（九）</w:t>
      </w:r>
      <w:bookmarkEnd w:id="182"/>
      <w:bookmarkStart w:id="183" w:name="_Toc29330607"/>
      <w:r>
        <w:rPr>
          <w:rFonts w:hint="eastAsia" w:cs="仿宋"/>
          <w:color w:val="auto"/>
          <w:highlight w:val="none"/>
          <w:lang w:bidi="ar"/>
        </w:rPr>
        <w:t>完全接受和满足本项目询比文件中规定的实质性要求，如对询比文件有异议，已经在递交响应文件截止时间届满前依法进行维权救济，不存在对询比文件有异议的同时又参加询比以求侥幸成交或者为实现其他非法目的的行为。</w:t>
      </w:r>
    </w:p>
    <w:p w14:paraId="290DAEFA">
      <w:pPr>
        <w:ind w:firstLine="424" w:firstLineChars="177"/>
        <w:rPr>
          <w:color w:val="auto"/>
          <w:highlight w:val="none"/>
        </w:rPr>
      </w:pPr>
      <w:r>
        <w:rPr>
          <w:rFonts w:hint="eastAsia" w:cs="仿宋"/>
          <w:color w:val="auto"/>
          <w:highlight w:val="none"/>
          <w:lang w:bidi="ar"/>
        </w:rPr>
        <w:t>（十）在参加本次采购活动中，不存在与单位负责人为同一人或者存在直接控股、管理关系的其他供应商参与同一合同项下的采购活动的行为。</w:t>
      </w:r>
      <w:bookmarkEnd w:id="183"/>
    </w:p>
    <w:p w14:paraId="0CFE81CB">
      <w:pPr>
        <w:ind w:firstLine="424" w:firstLineChars="177"/>
        <w:rPr>
          <w:color w:val="auto"/>
          <w:highlight w:val="none"/>
        </w:rPr>
      </w:pPr>
      <w:bookmarkStart w:id="184" w:name="_Toc29330608"/>
      <w:r>
        <w:rPr>
          <w:rFonts w:hint="eastAsia" w:cs="仿宋"/>
          <w:color w:val="auto"/>
          <w:highlight w:val="none"/>
          <w:lang w:bidi="ar"/>
        </w:rPr>
        <w:t>（十一）在参加本次采购活动中，不存在和其他供应商在同一合同项下的采购项目中，同时委托同一个自然人、同一家庭的人员、同一单位的人员作为代理人的行为。</w:t>
      </w:r>
      <w:bookmarkEnd w:id="184"/>
    </w:p>
    <w:p w14:paraId="1AC5FB7A">
      <w:pPr>
        <w:ind w:firstLine="424" w:firstLineChars="177"/>
        <w:rPr>
          <w:color w:val="auto"/>
          <w:highlight w:val="none"/>
        </w:rPr>
      </w:pPr>
      <w:bookmarkStart w:id="185" w:name="_Toc29330609"/>
      <w:r>
        <w:rPr>
          <w:rFonts w:hint="eastAsia" w:cs="仿宋"/>
          <w:color w:val="auto"/>
          <w:highlight w:val="none"/>
          <w:lang w:bidi="ar"/>
        </w:rPr>
        <w:t>（十二）我单位与采购代理机构没有关联关系，不是采购代理机构的母公司或子公司。</w:t>
      </w:r>
      <w:bookmarkEnd w:id="185"/>
      <w:r>
        <w:rPr>
          <w:rFonts w:hint="eastAsia" w:cs="仿宋"/>
          <w:color w:val="auto"/>
          <w:highlight w:val="none"/>
          <w:lang w:bidi="ar"/>
        </w:rPr>
        <w:t>我单位实际控制人或者中高级管理人员，不是采购代理机构工作人员。</w:t>
      </w:r>
    </w:p>
    <w:p w14:paraId="384D29AC">
      <w:pPr>
        <w:ind w:firstLine="424" w:firstLineChars="177"/>
        <w:rPr>
          <w:color w:val="auto"/>
          <w:highlight w:val="none"/>
        </w:rPr>
      </w:pPr>
      <w:bookmarkStart w:id="186" w:name="_Toc29330610"/>
      <w:r>
        <w:rPr>
          <w:rFonts w:hint="eastAsia" w:cs="仿宋"/>
          <w:color w:val="auto"/>
          <w:highlight w:val="none"/>
          <w:lang w:bidi="ar"/>
        </w:rPr>
        <w:t>（十三）响应文件中提供的任何资料和技术、服务、商务等响应承诺情况都是真实的、有效的、合法的。</w:t>
      </w:r>
      <w:bookmarkEnd w:id="186"/>
    </w:p>
    <w:p w14:paraId="034487BA">
      <w:pPr>
        <w:ind w:firstLine="480" w:firstLineChars="200"/>
        <w:rPr>
          <w:rFonts w:hint="eastAsia" w:ascii="仿宋" w:hAnsi="仿宋" w:cs="仿宋"/>
          <w:color w:val="auto"/>
          <w:highlight w:val="none"/>
        </w:rPr>
      </w:pPr>
      <w:r>
        <w:rPr>
          <w:rFonts w:hint="eastAsia" w:cs="仿宋"/>
          <w:color w:val="auto"/>
          <w:highlight w:val="none"/>
          <w:lang w:bidi="ar"/>
        </w:rPr>
        <w:t>（十四）</w:t>
      </w:r>
      <w:r>
        <w:rPr>
          <w:rFonts w:hint="eastAsia" w:ascii="仿宋" w:hAnsi="仿宋" w:cs="仿宋"/>
          <w:color w:val="auto"/>
          <w:highlight w:val="none"/>
          <w:lang w:bidi="ar"/>
        </w:rPr>
        <w:t>如本项目询比采购过程中需要提供样品，则我公司提供的样品即为成交后将要提供的成交产品，我公司对提供样品的性能和质量负责，因样品存在缺陷或者不符合询比文件要求导致未能成交的，我公司愿意承担相应不利后果。</w:t>
      </w:r>
    </w:p>
    <w:p w14:paraId="77178EAF">
      <w:pPr>
        <w:ind w:firstLine="424" w:firstLineChars="177"/>
        <w:rPr>
          <w:color w:val="auto"/>
          <w:highlight w:val="none"/>
        </w:rPr>
      </w:pPr>
      <w:bookmarkStart w:id="187" w:name="_Toc29330611"/>
      <w:r>
        <w:rPr>
          <w:rFonts w:hint="eastAsia" w:cs="仿宋"/>
          <w:color w:val="auto"/>
          <w:highlight w:val="none"/>
          <w:lang w:bidi="ar"/>
        </w:rPr>
        <w:t>（十五）我方承诺，我方及我方所提供的产品符合国家或行业主管部门的技术标准、质量标准和资格资质条件等强制性规定。</w:t>
      </w:r>
    </w:p>
    <w:p w14:paraId="5DC9BE8B">
      <w:pPr>
        <w:ind w:firstLine="424" w:firstLineChars="177"/>
        <w:rPr>
          <w:color w:val="auto"/>
          <w:highlight w:val="none"/>
        </w:rPr>
      </w:pPr>
      <w:r>
        <w:rPr>
          <w:rFonts w:hint="eastAsia" w:cs="仿宋"/>
          <w:color w:val="auto"/>
          <w:highlight w:val="none"/>
          <w:lang w:bidi="ar"/>
        </w:rPr>
        <w:t>（十六）我方保证在本项目使用的任何产品和服务（包括部分使用），不会产生因第三方提出侵犯其专利权、商标权或其它知识产权而引起的法律和经济纠纷，如因专利权、商标权或其它知识产权而引起法律和经济纠纷，由我方承担所有相关责任。除询比文件另有规定外，采购人享有本项目实施过程中产生的知识成果及知识产权。如我方在项目实施过程中采用自有知识成果，我方承诺提供开发接口和开发手册等技术文档，并提供无限期技术支持，采购人享有永久使用权（含采购人委托第三方在该项目后续开发的使用权）。如我方在项目实施过程中采用非自有的知识产权，则在报价中已包括合法获取该知识产权的相关费用。</w:t>
      </w:r>
    </w:p>
    <w:p w14:paraId="1F9FCBB7">
      <w:pPr>
        <w:ind w:firstLine="424" w:firstLineChars="177"/>
        <w:rPr>
          <w:color w:val="auto"/>
          <w:highlight w:val="none"/>
        </w:rPr>
      </w:pPr>
      <w:r>
        <w:rPr>
          <w:rFonts w:hint="eastAsia" w:cs="仿宋"/>
          <w:color w:val="auto"/>
          <w:highlight w:val="none"/>
          <w:lang w:bidi="ar"/>
        </w:rPr>
        <w:t>本单位对上述承诺的内容事项真实性负责。如经查实上述承诺的内容事项存在虚假，我单位愿意接受以提供虚假材料谋取成交追究法律责任。</w:t>
      </w:r>
      <w:bookmarkEnd w:id="187"/>
    </w:p>
    <w:p w14:paraId="5056F090">
      <w:pPr>
        <w:ind w:firstLine="424" w:firstLineChars="177"/>
        <w:rPr>
          <w:color w:val="auto"/>
          <w:highlight w:val="none"/>
        </w:rPr>
      </w:pPr>
    </w:p>
    <w:p w14:paraId="3257B049">
      <w:pPr>
        <w:ind w:firstLine="424" w:firstLineChars="177"/>
        <w:rPr>
          <w:color w:val="auto"/>
          <w:highlight w:val="none"/>
        </w:rPr>
      </w:pPr>
    </w:p>
    <w:p w14:paraId="6912B08A">
      <w:pPr>
        <w:ind w:firstLine="424" w:firstLineChars="177"/>
        <w:rPr>
          <w:color w:val="auto"/>
          <w:highlight w:val="none"/>
        </w:rPr>
      </w:pPr>
    </w:p>
    <w:p w14:paraId="0D0B9E0A">
      <w:pPr>
        <w:ind w:firstLine="424" w:firstLineChars="177"/>
        <w:rPr>
          <w:color w:val="auto"/>
          <w:highlight w:val="none"/>
        </w:rPr>
      </w:pPr>
      <w:bookmarkStart w:id="188" w:name="_Toc19877116"/>
      <w:r>
        <w:rPr>
          <w:rFonts w:hint="eastAsia"/>
          <w:color w:val="auto"/>
          <w:highlight w:val="none"/>
        </w:rPr>
        <w:t>供应商名称：</w:t>
      </w:r>
      <w:r>
        <w:rPr>
          <w:rFonts w:hint="eastAsia"/>
          <w:color w:val="auto"/>
          <w:highlight w:val="none"/>
          <w:u w:val="single"/>
        </w:rPr>
        <w:t xml:space="preserve">         </w:t>
      </w:r>
      <w:r>
        <w:rPr>
          <w:rFonts w:hint="eastAsia"/>
          <w:color w:val="auto"/>
          <w:highlight w:val="none"/>
        </w:rPr>
        <w:t>（单位公章）</w:t>
      </w:r>
      <w:bookmarkEnd w:id="188"/>
    </w:p>
    <w:p w14:paraId="11BA9B6F">
      <w:pPr>
        <w:ind w:firstLine="424" w:firstLineChars="177"/>
        <w:rPr>
          <w:color w:val="auto"/>
          <w:highlight w:val="none"/>
        </w:rPr>
      </w:pPr>
      <w:bookmarkStart w:id="189" w:name="_Toc19877117"/>
      <w:bookmarkStart w:id="190" w:name="_Toc513469407"/>
      <w:r>
        <w:rPr>
          <w:rFonts w:hint="eastAsia"/>
          <w:color w:val="auto"/>
          <w:highlight w:val="none"/>
        </w:rPr>
        <w:t>法定代表人或授权代表（签字或加盖个人印章）：</w:t>
      </w:r>
      <w:bookmarkEnd w:id="189"/>
      <w:bookmarkEnd w:id="190"/>
    </w:p>
    <w:p w14:paraId="3EE9B4D6">
      <w:pPr>
        <w:ind w:firstLine="424" w:firstLineChars="177"/>
        <w:rPr>
          <w:color w:val="auto"/>
          <w:highlight w:val="none"/>
        </w:rPr>
      </w:pPr>
      <w:bookmarkStart w:id="191" w:name="_Toc19877118"/>
      <w:bookmarkStart w:id="192" w:name="_Toc513469408"/>
      <w:r>
        <w:rPr>
          <w:rFonts w:hint="eastAsia"/>
          <w:color w:val="auto"/>
          <w:highlight w:val="none"/>
        </w:rPr>
        <w:t>日期：</w:t>
      </w:r>
      <w:bookmarkEnd w:id="191"/>
      <w:bookmarkEnd w:id="192"/>
    </w:p>
    <w:p w14:paraId="26CB4278">
      <w:pPr>
        <w:rPr>
          <w:rFonts w:hint="eastAsia" w:ascii="仿宋" w:hAnsi="仿宋"/>
          <w:b/>
          <w:color w:val="auto"/>
          <w:sz w:val="32"/>
          <w:szCs w:val="32"/>
          <w:highlight w:val="none"/>
        </w:rPr>
      </w:pPr>
      <w:r>
        <w:rPr>
          <w:rFonts w:hint="eastAsia" w:ascii="仿宋" w:hAnsi="仿宋"/>
          <w:color w:val="auto"/>
          <w:highlight w:val="none"/>
        </w:rPr>
        <w:br w:type="page"/>
      </w:r>
    </w:p>
    <w:p w14:paraId="5EC1CF6E">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t>四、供应商和报价产品的资格、资质性及其他类似效力要求的相关证明材料</w:t>
      </w:r>
    </w:p>
    <w:p w14:paraId="4C3FA6FF">
      <w:pPr>
        <w:pStyle w:val="11"/>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（一）具有独立承担民事责任的能力</w:t>
      </w:r>
    </w:p>
    <w:p w14:paraId="40F65E07">
      <w:pPr>
        <w:pStyle w:val="11"/>
        <w:ind w:firstLine="240" w:firstLineChars="100"/>
        <w:rPr>
          <w:rStyle w:val="98"/>
          <w:rFonts w:hint="eastAsia" w:ascii="仿宋" w:hAnsi="仿宋" w:cs="仿宋"/>
          <w:color w:val="auto"/>
          <w:szCs w:val="24"/>
          <w:highlight w:val="none"/>
        </w:rPr>
      </w:pPr>
      <w:r>
        <w:rPr>
          <w:rStyle w:val="98"/>
          <w:rFonts w:hint="eastAsia" w:ascii="仿宋" w:hAnsi="仿宋" w:cs="仿宋"/>
          <w:color w:val="auto"/>
          <w:szCs w:val="24"/>
          <w:highlight w:val="none"/>
        </w:rPr>
        <w:t>1.供应商为企业（包括合伙企业）、个体工商户的,应提供工商营业执照或提供由市场监管部门核发的法人或者其他组织统一社会信用代码的营业执照。（复印件，加盖供应商公章）</w:t>
      </w:r>
    </w:p>
    <w:p w14:paraId="468200C5">
      <w:pPr>
        <w:pStyle w:val="11"/>
        <w:ind w:firstLine="240" w:firstLineChars="100"/>
        <w:rPr>
          <w:rStyle w:val="98"/>
          <w:rFonts w:hint="eastAsia" w:ascii="仿宋" w:hAnsi="仿宋" w:cs="仿宋"/>
          <w:color w:val="auto"/>
          <w:szCs w:val="24"/>
          <w:highlight w:val="none"/>
        </w:rPr>
      </w:pPr>
      <w:r>
        <w:rPr>
          <w:rStyle w:val="98"/>
          <w:rFonts w:hint="eastAsia" w:ascii="仿宋" w:hAnsi="仿宋" w:cs="仿宋"/>
          <w:color w:val="auto"/>
          <w:szCs w:val="24"/>
          <w:highlight w:val="none"/>
        </w:rPr>
        <w:t>2.供应商属于银行、保险、石油石化、电力、电信等有行业特殊情况的，提供企业分支机构营业执照或统一社会信用代码的营业执照。（复印件，加盖供应商公章）</w:t>
      </w:r>
    </w:p>
    <w:p w14:paraId="04645153">
      <w:pPr>
        <w:pStyle w:val="11"/>
        <w:ind w:firstLine="240" w:firstLineChars="100"/>
        <w:rPr>
          <w:rStyle w:val="98"/>
          <w:rFonts w:hint="eastAsia" w:ascii="仿宋" w:hAnsi="仿宋" w:cs="仿宋"/>
          <w:color w:val="auto"/>
          <w:szCs w:val="24"/>
          <w:highlight w:val="none"/>
        </w:rPr>
      </w:pPr>
      <w:r>
        <w:rPr>
          <w:rStyle w:val="98"/>
          <w:rFonts w:hint="eastAsia" w:ascii="仿宋" w:hAnsi="仿宋" w:cs="仿宋"/>
          <w:color w:val="auto"/>
          <w:szCs w:val="24"/>
          <w:highlight w:val="none"/>
        </w:rPr>
        <w:t>3.供应商为其他组织的，提供事业单位法人证书或执业许可证等证明文件。（复印件，加盖供应商公章）</w:t>
      </w:r>
    </w:p>
    <w:p w14:paraId="179082C5">
      <w:pPr>
        <w:widowControl/>
        <w:ind w:firstLine="480" w:firstLineChars="200"/>
        <w:jc w:val="left"/>
        <w:rPr>
          <w:rFonts w:hint="eastAsia" w:ascii="仿宋" w:hAnsi="仿宋" w:cs="仿宋"/>
          <w:color w:val="auto"/>
          <w:highlight w:val="none"/>
        </w:rPr>
      </w:pPr>
      <w:r>
        <w:rPr>
          <w:rStyle w:val="98"/>
          <w:rFonts w:hint="eastAsia" w:ascii="仿宋" w:hAnsi="仿宋" w:cs="仿宋"/>
          <w:color w:val="auto"/>
          <w:szCs w:val="24"/>
          <w:highlight w:val="none"/>
        </w:rPr>
        <w:t>4.如为自然人的提供《中华人民共和国居民身份证》。（复印件，持原件备查）</w:t>
      </w:r>
      <w:r>
        <w:rPr>
          <w:rFonts w:hint="eastAsia" w:ascii="仿宋" w:hAnsi="仿宋" w:cs="仿宋"/>
          <w:color w:val="auto"/>
          <w:highlight w:val="none"/>
        </w:rPr>
        <w:t>。</w:t>
      </w:r>
    </w:p>
    <w:p w14:paraId="1DF57A16">
      <w:pPr>
        <w:pStyle w:val="11"/>
        <w:rPr>
          <w:rFonts w:hint="eastAsia" w:ascii="宋体" w:hAnsi="宋体" w:cs="黑体"/>
          <w:color w:val="auto"/>
          <w:highlight w:val="none"/>
        </w:rPr>
      </w:pPr>
    </w:p>
    <w:p w14:paraId="6D597282">
      <w:pPr>
        <w:rPr>
          <w:rFonts w:hint="eastAsia" w:ascii="宋体" w:hAnsi="宋体" w:cs="黑体"/>
          <w:color w:val="auto"/>
          <w:highlight w:val="none"/>
        </w:rPr>
      </w:pPr>
    </w:p>
    <w:p w14:paraId="1B8AE13C">
      <w:pPr>
        <w:pStyle w:val="11"/>
        <w:rPr>
          <w:rFonts w:hint="eastAsia" w:ascii="宋体" w:hAnsi="宋体" w:cs="黑体"/>
          <w:color w:val="auto"/>
          <w:highlight w:val="none"/>
        </w:rPr>
      </w:pPr>
    </w:p>
    <w:p w14:paraId="39EF85F3">
      <w:pPr>
        <w:widowControl/>
        <w:ind w:firstLine="482" w:firstLineChars="200"/>
        <w:jc w:val="left"/>
        <w:rPr>
          <w:rFonts w:hint="eastAsia" w:ascii="仿宋" w:hAnsi="仿宋" w:cs="仿宋"/>
          <w:b/>
          <w:bCs/>
          <w:color w:val="auto"/>
          <w:highlight w:val="none"/>
        </w:rPr>
      </w:pPr>
      <w:r>
        <w:rPr>
          <w:rFonts w:hint="eastAsia" w:ascii="仿宋" w:hAnsi="仿宋" w:cs="仿宋"/>
          <w:b/>
          <w:bCs/>
          <w:color w:val="auto"/>
          <w:highlight w:val="none"/>
        </w:rPr>
        <w:t>注：供应商根据询比文件要求提供具有独立承担民事责任的能力证明材料复印件加盖供应商公章。</w:t>
      </w:r>
    </w:p>
    <w:p w14:paraId="34F29C3C">
      <w:pPr>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br w:type="page"/>
      </w:r>
      <w:bookmarkStart w:id="193" w:name="_Toc11234"/>
      <w:r>
        <w:rPr>
          <w:rFonts w:hint="eastAsia" w:ascii="黑体" w:hAnsi="黑体" w:eastAsia="黑体" w:cs="黑体"/>
          <w:b/>
          <w:bCs/>
          <w:color w:val="auto"/>
          <w:sz w:val="28"/>
          <w:szCs w:val="28"/>
          <w:highlight w:val="none"/>
        </w:rPr>
        <w:t>（二）具有良好的商业信誉</w:t>
      </w:r>
      <w:bookmarkEnd w:id="193"/>
    </w:p>
    <w:p w14:paraId="5A608548">
      <w:pPr>
        <w:pStyle w:val="11"/>
        <w:rPr>
          <w:color w:val="auto"/>
          <w:highlight w:val="none"/>
        </w:rPr>
      </w:pPr>
    </w:p>
    <w:p w14:paraId="43E6130B">
      <w:pPr>
        <w:keepNext/>
        <w:keepLines/>
        <w:spacing w:before="260" w:after="260" w:line="240" w:lineRule="atLeast"/>
        <w:jc w:val="center"/>
        <w:rPr>
          <w:rFonts w:hint="eastAsia" w:ascii="宋体" w:hAnsi="宋体" w:eastAsia="黑体"/>
          <w:b/>
          <w:color w:val="auto"/>
          <w:sz w:val="28"/>
          <w:szCs w:val="28"/>
          <w:highlight w:val="none"/>
        </w:rPr>
      </w:pPr>
      <w:r>
        <w:rPr>
          <w:rFonts w:hint="eastAsia" w:ascii="宋体" w:hAnsi="宋体" w:eastAsia="黑体"/>
          <w:b/>
          <w:color w:val="auto"/>
          <w:sz w:val="28"/>
          <w:szCs w:val="28"/>
          <w:highlight w:val="none"/>
        </w:rPr>
        <w:t>具有良好的商业</w:t>
      </w:r>
      <w:r>
        <w:rPr>
          <w:rFonts w:ascii="宋体" w:hAnsi="宋体" w:eastAsia="黑体"/>
          <w:b/>
          <w:color w:val="auto"/>
          <w:sz w:val="28"/>
          <w:szCs w:val="28"/>
          <w:highlight w:val="none"/>
        </w:rPr>
        <w:t>信誉承诺书</w:t>
      </w:r>
    </w:p>
    <w:p w14:paraId="6C755872">
      <w:pPr>
        <w:rPr>
          <w:color w:val="auto"/>
          <w:sz w:val="28"/>
          <w:szCs w:val="28"/>
          <w:highlight w:val="none"/>
        </w:rPr>
      </w:pPr>
    </w:p>
    <w:p w14:paraId="6CCF0A3E">
      <w:pPr>
        <w:rPr>
          <w:rFonts w:hint="eastAsia" w:ascii="仿宋" w:hAnsi="仿宋" w:cs="仿宋"/>
          <w:color w:val="auto"/>
          <w:highlight w:val="none"/>
          <w:u w:val="single"/>
        </w:rPr>
      </w:pPr>
      <w:r>
        <w:rPr>
          <w:rFonts w:hint="eastAsia" w:ascii="仿宋" w:hAnsi="仿宋" w:cs="仿宋"/>
          <w:color w:val="auto"/>
          <w:highlight w:val="none"/>
        </w:rPr>
        <w:t>四川国锃招标代理有限公司：</w:t>
      </w:r>
    </w:p>
    <w:p w14:paraId="5DC8DE0A">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（供应商名称）郑重承诺：</w:t>
      </w:r>
    </w:p>
    <w:p w14:paraId="7DFB06A9">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（供应商名称）在参加本次询比活动前具有良好的商业信誉。</w:t>
      </w:r>
    </w:p>
    <w:p w14:paraId="223B8A37">
      <w:pPr>
        <w:ind w:firstLine="480" w:firstLineChars="200"/>
        <w:rPr>
          <w:rFonts w:hint="eastAsia" w:ascii="仿宋" w:hAnsi="仿宋" w:cs="仿宋"/>
          <w:color w:val="auto"/>
          <w:highlight w:val="none"/>
        </w:rPr>
      </w:pPr>
      <w:r>
        <w:rPr>
          <w:rFonts w:hint="eastAsia" w:ascii="仿宋" w:hAnsi="仿宋" w:cs="仿宋"/>
          <w:color w:val="auto"/>
          <w:highlight w:val="none"/>
        </w:rPr>
        <w:t>本单位对上述承诺的内容事项真实性负责，如有虚假，由我单位承担相关法律责任。</w:t>
      </w:r>
    </w:p>
    <w:p w14:paraId="61322D88">
      <w:pPr>
        <w:ind w:firstLine="540"/>
        <w:rPr>
          <w:rFonts w:hint="eastAsia" w:ascii="仿宋" w:hAnsi="仿宋" w:cs="仿宋"/>
          <w:color w:val="auto"/>
          <w:highlight w:val="none"/>
        </w:rPr>
      </w:pPr>
    </w:p>
    <w:p w14:paraId="5D09942B">
      <w:pPr>
        <w:ind w:firstLine="540"/>
        <w:rPr>
          <w:rFonts w:hint="eastAsia" w:ascii="仿宋" w:hAnsi="仿宋" w:cs="仿宋"/>
          <w:color w:val="auto"/>
          <w:highlight w:val="none"/>
        </w:rPr>
      </w:pPr>
    </w:p>
    <w:p w14:paraId="538626B0">
      <w:pPr>
        <w:adjustRightInd w:val="0"/>
        <w:spacing w:line="480" w:lineRule="exact"/>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供应商名称：      （盖章）</w:t>
      </w:r>
    </w:p>
    <w:p w14:paraId="5C870B72">
      <w:pPr>
        <w:adjustRightInd w:val="0"/>
        <w:spacing w:line="480" w:lineRule="exact"/>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法定代表人或授权代表（签字或盖章）：</w:t>
      </w:r>
    </w:p>
    <w:p w14:paraId="43CF08A1">
      <w:pPr>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日       期：       年  月  日</w:t>
      </w:r>
    </w:p>
    <w:p w14:paraId="788AD7C2">
      <w:pPr>
        <w:ind w:firstLine="540"/>
        <w:rPr>
          <w:color w:val="auto"/>
          <w:sz w:val="28"/>
          <w:szCs w:val="28"/>
          <w:highlight w:val="none"/>
        </w:rPr>
      </w:pPr>
    </w:p>
    <w:p w14:paraId="0184346D">
      <w:pPr>
        <w:rPr>
          <w:rFonts w:hint="eastAsia" w:ascii="宋体" w:hAnsi="宋体"/>
          <w:b/>
          <w:color w:val="auto"/>
          <w:sz w:val="32"/>
          <w:szCs w:val="32"/>
          <w:highlight w:val="none"/>
        </w:rPr>
      </w:pPr>
    </w:p>
    <w:p w14:paraId="47DBF251">
      <w:pPr>
        <w:pStyle w:val="11"/>
        <w:rPr>
          <w:rFonts w:cs="黑体"/>
          <w:color w:val="auto"/>
          <w:highlight w:val="none"/>
        </w:rPr>
      </w:pPr>
    </w:p>
    <w:p w14:paraId="5BEBFA85">
      <w:pPr>
        <w:ind w:firstLine="482" w:firstLineChars="200"/>
        <w:rPr>
          <w:color w:val="auto"/>
          <w:highlight w:val="none"/>
        </w:rPr>
      </w:pPr>
      <w:r>
        <w:rPr>
          <w:rFonts w:hint="eastAsia" w:ascii="仿宋" w:hAnsi="仿宋" w:cs="仿宋"/>
          <w:b/>
          <w:color w:val="auto"/>
          <w:highlight w:val="none"/>
        </w:rPr>
        <w:t>注：供应商在参加询比活动前，被纳入法院、市场监管部门、税务部门、银行认定的失信名单且在有效期内，或者在前三年政府采购合同履约过程中及其他经营活动履约过程中未依法履约被有关行政部门处罚（处理）的，不能认定为具有良好的商业信誉。</w:t>
      </w:r>
    </w:p>
    <w:p w14:paraId="06F6B79B">
      <w:pPr>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br w:type="page"/>
      </w:r>
      <w:bookmarkStart w:id="194" w:name="_Toc5553"/>
      <w:r>
        <w:rPr>
          <w:rFonts w:hint="eastAsia" w:ascii="黑体" w:hAnsi="黑体" w:eastAsia="黑体" w:cs="黑体"/>
          <w:b/>
          <w:bCs/>
          <w:color w:val="auto"/>
          <w:sz w:val="28"/>
          <w:szCs w:val="28"/>
          <w:highlight w:val="none"/>
        </w:rPr>
        <w:t>（三）具有健全的财务会计制度</w:t>
      </w:r>
      <w:bookmarkEnd w:id="194"/>
    </w:p>
    <w:p w14:paraId="41EE6F61">
      <w:pPr>
        <w:rPr>
          <w:rFonts w:hint="eastAsia" w:ascii="宋体" w:hAnsi="宋体" w:cs="黑体"/>
          <w:color w:val="auto"/>
          <w:highlight w:val="none"/>
        </w:rPr>
      </w:pPr>
    </w:p>
    <w:p w14:paraId="7333AD4F">
      <w:pPr>
        <w:ind w:firstLine="720" w:firstLineChars="300"/>
        <w:rPr>
          <w:rStyle w:val="98"/>
          <w:rFonts w:hint="eastAsia" w:ascii="仿宋" w:hAnsi="仿宋" w:cs="仿宋"/>
          <w:color w:val="auto"/>
          <w:szCs w:val="24"/>
          <w:highlight w:val="none"/>
        </w:rPr>
      </w:pPr>
      <w:r>
        <w:rPr>
          <w:rStyle w:val="98"/>
          <w:rFonts w:hint="eastAsia" w:ascii="仿宋" w:hAnsi="仿宋" w:cs="仿宋"/>
          <w:color w:val="auto"/>
          <w:szCs w:val="24"/>
          <w:highlight w:val="none"/>
        </w:rPr>
        <w:t>a.提供近三年（2023年、2024年、2025年度或2022年、2023年、2024年度），经审计的财务审计报告复印件加盖供应商公章。审计报告应当包含报告正文、资产负债表、利润表、现金流量表及所有者权益变动表（如有）、附注，报告正文应当有会计师事务所公章，2个注册会计师的签字和盖章。报表字迹应清晰可辨识。</w:t>
      </w:r>
    </w:p>
    <w:p w14:paraId="208C9E12">
      <w:pPr>
        <w:ind w:firstLine="720" w:firstLineChars="300"/>
        <w:rPr>
          <w:rStyle w:val="98"/>
          <w:rFonts w:hint="eastAsia" w:ascii="仿宋" w:hAnsi="仿宋" w:cs="仿宋"/>
          <w:color w:val="auto"/>
          <w:szCs w:val="24"/>
          <w:highlight w:val="none"/>
        </w:rPr>
      </w:pPr>
      <w:r>
        <w:rPr>
          <w:rStyle w:val="98"/>
          <w:rFonts w:hint="eastAsia" w:ascii="仿宋" w:hAnsi="仿宋" w:cs="仿宋"/>
          <w:color w:val="auto"/>
          <w:szCs w:val="24"/>
          <w:highlight w:val="none"/>
        </w:rPr>
        <w:t>b.如因单位性质（军内单位、事业单位等）无法提供审计报告的，可以提供经单位盖章的财务报表复印件加盖供应商公章（2023年、2024年、2025年度或2022年、2023年、2024年度）或具有健全的财务会计制度的承诺函。</w:t>
      </w:r>
    </w:p>
    <w:p w14:paraId="4D98E172">
      <w:pPr>
        <w:ind w:firstLine="723" w:firstLineChars="300"/>
        <w:rPr>
          <w:rStyle w:val="98"/>
          <w:rFonts w:hint="eastAsia" w:ascii="宋体" w:hAnsi="宋体" w:eastAsia="宋体" w:cs="宋体"/>
          <w:b/>
          <w:bCs/>
          <w:color w:val="auto"/>
          <w:highlight w:val="none"/>
        </w:rPr>
      </w:pPr>
      <w:r>
        <w:rPr>
          <w:rStyle w:val="98"/>
          <w:rFonts w:hint="eastAsia" w:ascii="仿宋" w:hAnsi="仿宋" w:cs="仿宋"/>
          <w:b/>
          <w:bCs/>
          <w:color w:val="auto"/>
          <w:szCs w:val="24"/>
          <w:highlight w:val="none"/>
        </w:rPr>
        <w:t>注：科研院所、高等院校等事业单位、军内单位因特殊原因无法提供以上材料的，应在其响应文件中就其单位性质以及无法出具的原因作出书面说明。</w:t>
      </w:r>
    </w:p>
    <w:p w14:paraId="7D0DA222">
      <w:pPr>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br w:type="page"/>
      </w:r>
      <w:bookmarkStart w:id="195" w:name="_Toc13651"/>
      <w:r>
        <w:rPr>
          <w:rFonts w:hint="eastAsia" w:ascii="黑体" w:hAnsi="黑体" w:eastAsia="黑体" w:cs="黑体"/>
          <w:b/>
          <w:bCs/>
          <w:color w:val="auto"/>
          <w:sz w:val="28"/>
          <w:szCs w:val="28"/>
          <w:highlight w:val="none"/>
        </w:rPr>
        <w:t>（四）具有履行合同所必需的设备和专业技术能力</w:t>
      </w:r>
      <w:bookmarkEnd w:id="195"/>
    </w:p>
    <w:p w14:paraId="0F11FCBF">
      <w:pPr>
        <w:pStyle w:val="11"/>
        <w:rPr>
          <w:color w:val="auto"/>
          <w:highlight w:val="none"/>
        </w:rPr>
      </w:pPr>
    </w:p>
    <w:p w14:paraId="4019F1BF">
      <w:pPr>
        <w:pStyle w:val="11"/>
        <w:rPr>
          <w:rFonts w:cs="黑体"/>
          <w:color w:val="auto"/>
          <w:highlight w:val="none"/>
        </w:rPr>
      </w:pPr>
    </w:p>
    <w:p w14:paraId="3E5BF55E">
      <w:pPr>
        <w:keepNext/>
        <w:keepLines/>
        <w:spacing w:before="260" w:after="260" w:line="240" w:lineRule="atLeast"/>
        <w:jc w:val="center"/>
        <w:rPr>
          <w:rFonts w:hint="eastAsia" w:ascii="宋体" w:hAnsi="宋体" w:eastAsia="黑体"/>
          <w:b/>
          <w:color w:val="auto"/>
          <w:sz w:val="28"/>
          <w:szCs w:val="28"/>
          <w:highlight w:val="none"/>
        </w:rPr>
      </w:pPr>
      <w:bookmarkStart w:id="196" w:name="_Toc11764036"/>
      <w:bookmarkStart w:id="197" w:name="_Toc11923166"/>
      <w:bookmarkStart w:id="198" w:name="_Toc11923095"/>
      <w:r>
        <w:rPr>
          <w:rFonts w:hint="eastAsia" w:ascii="宋体" w:hAnsi="宋体" w:eastAsia="黑体"/>
          <w:b/>
          <w:color w:val="auto"/>
          <w:sz w:val="28"/>
          <w:szCs w:val="28"/>
          <w:highlight w:val="none"/>
        </w:rPr>
        <w:t>具有履行合同所必需的设备和专业技术</w:t>
      </w:r>
      <w:bookmarkEnd w:id="196"/>
      <w:bookmarkEnd w:id="197"/>
      <w:bookmarkEnd w:id="198"/>
    </w:p>
    <w:p w14:paraId="68E0EDD7">
      <w:pPr>
        <w:snapToGrid w:val="0"/>
        <w:jc w:val="center"/>
        <w:rPr>
          <w:rFonts w:hint="eastAsia" w:ascii="宋体" w:hAnsi="宋体" w:eastAsia="黑体"/>
          <w:b/>
          <w:color w:val="auto"/>
          <w:sz w:val="28"/>
          <w:szCs w:val="28"/>
          <w:highlight w:val="none"/>
        </w:rPr>
      </w:pPr>
      <w:r>
        <w:rPr>
          <w:rFonts w:hint="eastAsia" w:ascii="宋体" w:hAnsi="宋体" w:eastAsia="黑体"/>
          <w:b/>
          <w:color w:val="auto"/>
          <w:sz w:val="28"/>
          <w:szCs w:val="28"/>
          <w:highlight w:val="none"/>
        </w:rPr>
        <w:t>能力的</w:t>
      </w:r>
      <w:r>
        <w:rPr>
          <w:rFonts w:ascii="宋体" w:hAnsi="宋体" w:eastAsia="黑体"/>
          <w:b/>
          <w:color w:val="auto"/>
          <w:sz w:val="28"/>
          <w:szCs w:val="28"/>
          <w:highlight w:val="none"/>
        </w:rPr>
        <w:t>承诺书</w:t>
      </w:r>
    </w:p>
    <w:p w14:paraId="18113104">
      <w:pPr>
        <w:rPr>
          <w:color w:val="auto"/>
          <w:sz w:val="28"/>
          <w:szCs w:val="28"/>
          <w:highlight w:val="none"/>
        </w:rPr>
      </w:pPr>
    </w:p>
    <w:p w14:paraId="66922D1C">
      <w:pPr>
        <w:rPr>
          <w:rFonts w:hint="eastAsia" w:ascii="仿宋" w:hAnsi="仿宋" w:cs="仿宋"/>
          <w:color w:val="auto"/>
          <w:highlight w:val="none"/>
          <w:u w:val="single"/>
        </w:rPr>
      </w:pPr>
      <w:r>
        <w:rPr>
          <w:rFonts w:hint="eastAsia" w:ascii="仿宋" w:hAnsi="仿宋" w:cs="仿宋"/>
          <w:color w:val="auto"/>
          <w:highlight w:val="none"/>
        </w:rPr>
        <w:t>四川国锃招标代理有限公司：</w:t>
      </w:r>
    </w:p>
    <w:p w14:paraId="10D97007">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（供应商名称）郑重承诺：</w:t>
      </w:r>
    </w:p>
    <w:p w14:paraId="00AB82C1">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（供应商名称）具有参加本次投标活动，履行招标合同所必须的设备和专业技术能力。</w:t>
      </w:r>
    </w:p>
    <w:p w14:paraId="4EC3E128">
      <w:pPr>
        <w:ind w:firstLine="480" w:firstLineChars="200"/>
        <w:rPr>
          <w:rFonts w:hint="eastAsia" w:ascii="仿宋" w:hAnsi="仿宋" w:cs="仿宋"/>
          <w:color w:val="auto"/>
          <w:highlight w:val="none"/>
        </w:rPr>
      </w:pPr>
      <w:r>
        <w:rPr>
          <w:rFonts w:hint="eastAsia" w:ascii="仿宋" w:hAnsi="仿宋" w:cs="仿宋"/>
          <w:color w:val="auto"/>
          <w:highlight w:val="none"/>
        </w:rPr>
        <w:t>本单位对上述承诺的内容事项真实性负责，如有虚假，由我单位承担相关法律责任。</w:t>
      </w:r>
    </w:p>
    <w:p w14:paraId="4BA19A77">
      <w:pPr>
        <w:ind w:firstLine="540"/>
        <w:rPr>
          <w:rFonts w:hint="eastAsia" w:ascii="仿宋" w:hAnsi="仿宋" w:cs="仿宋"/>
          <w:color w:val="auto"/>
          <w:highlight w:val="none"/>
        </w:rPr>
      </w:pPr>
    </w:p>
    <w:p w14:paraId="11AFB1DB">
      <w:pPr>
        <w:ind w:firstLine="540"/>
        <w:rPr>
          <w:rFonts w:hint="eastAsia" w:ascii="仿宋" w:hAnsi="仿宋" w:cs="仿宋"/>
          <w:color w:val="auto"/>
          <w:highlight w:val="none"/>
        </w:rPr>
      </w:pPr>
    </w:p>
    <w:p w14:paraId="1C46E43F">
      <w:pPr>
        <w:adjustRightInd w:val="0"/>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供应商名称：      （盖章）</w:t>
      </w:r>
    </w:p>
    <w:p w14:paraId="66AEF583">
      <w:pPr>
        <w:adjustRightInd w:val="0"/>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法定代表人或授权代表（签字或盖章）：</w:t>
      </w:r>
    </w:p>
    <w:p w14:paraId="610D9E5F">
      <w:pPr>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日      期：       年  月  日</w:t>
      </w:r>
    </w:p>
    <w:p w14:paraId="62817F0C">
      <w:pPr>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br w:type="page"/>
      </w:r>
      <w:bookmarkStart w:id="199" w:name="_Toc7151"/>
      <w:r>
        <w:rPr>
          <w:rFonts w:hint="eastAsia" w:ascii="黑体" w:hAnsi="黑体" w:eastAsia="黑体" w:cs="黑体"/>
          <w:b/>
          <w:bCs/>
          <w:color w:val="auto"/>
          <w:sz w:val="28"/>
          <w:szCs w:val="28"/>
          <w:highlight w:val="none"/>
        </w:rPr>
        <w:t>（五）具有依法缴纳税收和社会保障资金的良好记录</w:t>
      </w:r>
      <w:bookmarkEnd w:id="199"/>
    </w:p>
    <w:p w14:paraId="1CF3D5B7">
      <w:pPr>
        <w:keepNext/>
        <w:keepLines/>
        <w:spacing w:before="260" w:after="260" w:line="240" w:lineRule="atLeast"/>
        <w:jc w:val="center"/>
        <w:outlineLvl w:val="0"/>
        <w:rPr>
          <w:rFonts w:hint="eastAsia" w:ascii="黑体" w:hAnsi="黑体" w:eastAsia="黑体" w:cs="黑体"/>
          <w:b/>
          <w:color w:val="auto"/>
          <w:sz w:val="28"/>
          <w:szCs w:val="28"/>
          <w:highlight w:val="none"/>
        </w:rPr>
      </w:pPr>
      <w:bookmarkStart w:id="200" w:name="_Toc11923096"/>
      <w:bookmarkStart w:id="201" w:name="_Toc11764037"/>
      <w:bookmarkStart w:id="202" w:name="_Toc11923167"/>
      <w:bookmarkStart w:id="203" w:name="_Toc16772"/>
      <w:bookmarkStart w:id="204" w:name="_Toc30167"/>
      <w:r>
        <w:rPr>
          <w:rFonts w:hint="eastAsia" w:ascii="黑体" w:hAnsi="黑体" w:eastAsia="黑体" w:cs="黑体"/>
          <w:b/>
          <w:color w:val="auto"/>
          <w:sz w:val="28"/>
          <w:szCs w:val="28"/>
          <w:highlight w:val="none"/>
        </w:rPr>
        <w:t>5-1、具有依法缴纳税收良好</w:t>
      </w:r>
      <w:bookmarkEnd w:id="200"/>
      <w:bookmarkEnd w:id="201"/>
      <w:bookmarkEnd w:id="202"/>
      <w:r>
        <w:rPr>
          <w:rFonts w:hint="eastAsia" w:ascii="黑体" w:hAnsi="黑体" w:eastAsia="黑体" w:cs="黑体"/>
          <w:b/>
          <w:color w:val="auto"/>
          <w:sz w:val="28"/>
          <w:szCs w:val="28"/>
          <w:highlight w:val="none"/>
        </w:rPr>
        <w:t>记录的承诺书</w:t>
      </w:r>
      <w:bookmarkEnd w:id="203"/>
      <w:bookmarkEnd w:id="204"/>
    </w:p>
    <w:p w14:paraId="515A859A">
      <w:pPr>
        <w:pStyle w:val="24"/>
        <w:spacing w:line="360" w:lineRule="auto"/>
        <w:ind w:firstLine="480" w:firstLineChars="200"/>
        <w:rPr>
          <w:rStyle w:val="98"/>
          <w:rFonts w:hint="eastAsia" w:ascii="仿宋" w:hAnsi="仿宋" w:eastAsia="仿宋" w:cs="仿宋"/>
          <w:b/>
          <w:bCs/>
          <w:color w:val="auto"/>
          <w:szCs w:val="24"/>
          <w:highlight w:val="none"/>
        </w:rPr>
      </w:pPr>
      <w:r>
        <w:rPr>
          <w:rStyle w:val="98"/>
          <w:rFonts w:hint="eastAsia" w:ascii="仿宋" w:hAnsi="仿宋" w:eastAsia="仿宋" w:cs="仿宋"/>
          <w:color w:val="auto"/>
          <w:szCs w:val="24"/>
          <w:highlight w:val="none"/>
        </w:rPr>
        <w:t>供应商提供近一年内不少于6个月的缴纳税收的银行电子回单（票据）或税务部门出具的纳税证明或者纳税申报资料。依法免税的应提供相应证明材料或说明。</w:t>
      </w:r>
    </w:p>
    <w:p w14:paraId="18C440A9">
      <w:pPr>
        <w:pStyle w:val="24"/>
        <w:spacing w:line="360" w:lineRule="auto"/>
        <w:ind w:firstLine="482" w:firstLineChars="200"/>
        <w:rPr>
          <w:rStyle w:val="98"/>
          <w:rFonts w:hint="eastAsia"/>
          <w:b/>
          <w:bCs/>
          <w:color w:val="auto"/>
          <w:highlight w:val="none"/>
        </w:rPr>
      </w:pPr>
    </w:p>
    <w:p w14:paraId="3BF15375">
      <w:pPr>
        <w:keepNext/>
        <w:keepLines/>
        <w:spacing w:before="260" w:after="260" w:line="240" w:lineRule="atLeast"/>
        <w:ind w:firstLine="1968" w:firstLineChars="700"/>
        <w:outlineLvl w:val="0"/>
        <w:rPr>
          <w:rFonts w:hint="eastAsia" w:ascii="黑体" w:hAnsi="黑体" w:eastAsia="黑体" w:cs="黑体"/>
          <w:b/>
          <w:color w:val="auto"/>
          <w:sz w:val="28"/>
          <w:szCs w:val="28"/>
          <w:highlight w:val="none"/>
        </w:rPr>
      </w:pPr>
      <w:bookmarkStart w:id="205" w:name="_Toc29717"/>
      <w:r>
        <w:rPr>
          <w:rFonts w:hint="eastAsia" w:ascii="黑体" w:hAnsi="黑体" w:eastAsia="黑体" w:cs="黑体"/>
          <w:b/>
          <w:color w:val="auto"/>
          <w:sz w:val="28"/>
          <w:szCs w:val="28"/>
          <w:highlight w:val="none"/>
        </w:rPr>
        <w:br w:type="page"/>
      </w:r>
      <w:bookmarkStart w:id="206" w:name="_Toc1719"/>
      <w:r>
        <w:rPr>
          <w:rFonts w:hint="eastAsia" w:ascii="黑体" w:hAnsi="黑体" w:eastAsia="黑体" w:cs="黑体"/>
          <w:b/>
          <w:color w:val="auto"/>
          <w:sz w:val="28"/>
          <w:szCs w:val="28"/>
          <w:highlight w:val="none"/>
        </w:rPr>
        <w:t>5-2、具有依法缴纳社会保障资金良好记录的承诺书</w:t>
      </w:r>
      <w:bookmarkEnd w:id="205"/>
      <w:bookmarkEnd w:id="206"/>
    </w:p>
    <w:p w14:paraId="341B94F5">
      <w:pPr>
        <w:ind w:firstLine="480" w:firstLineChars="200"/>
        <w:rPr>
          <w:rStyle w:val="98"/>
          <w:rFonts w:eastAsia="宋体"/>
          <w:color w:val="auto"/>
          <w:highlight w:val="none"/>
        </w:rPr>
      </w:pPr>
      <w:r>
        <w:rPr>
          <w:rStyle w:val="98"/>
          <w:rFonts w:hint="eastAsia" w:ascii="仿宋" w:hAnsi="仿宋" w:cs="仿宋"/>
          <w:color w:val="auto"/>
          <w:szCs w:val="24"/>
          <w:highlight w:val="none"/>
        </w:rPr>
        <w:t>供应商提供近一年内不少于3个月的缴纳社保的银行电子回单（票据）或社保部门出具的社保缴纳证明材料。依法不需要缴纳社会保障资金的应提供相</w:t>
      </w:r>
      <w:r>
        <w:rPr>
          <w:rStyle w:val="98"/>
          <w:rFonts w:hint="eastAsia" w:ascii="仿宋" w:hAnsi="仿宋" w:eastAsia="宋体" w:cs="仿宋"/>
          <w:color w:val="auto"/>
          <w:szCs w:val="24"/>
          <w:highlight w:val="none"/>
        </w:rPr>
        <w:t>应证明材料或说明。</w:t>
      </w:r>
    </w:p>
    <w:p w14:paraId="212E5299">
      <w:pPr>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br w:type="page"/>
      </w:r>
      <w:bookmarkStart w:id="207" w:name="_Toc3774"/>
      <w:r>
        <w:rPr>
          <w:rFonts w:hint="eastAsia" w:ascii="黑体" w:hAnsi="黑体" w:eastAsia="黑体" w:cs="黑体"/>
          <w:b/>
          <w:bCs/>
          <w:color w:val="auto"/>
          <w:sz w:val="28"/>
          <w:szCs w:val="28"/>
          <w:highlight w:val="none"/>
        </w:rPr>
        <w:t>（六）参加本次询比活动前三年内，在经营活动中没有重大违法违规记录</w:t>
      </w:r>
      <w:bookmarkEnd w:id="207"/>
    </w:p>
    <w:p w14:paraId="09237806">
      <w:pPr>
        <w:pStyle w:val="11"/>
        <w:rPr>
          <w:color w:val="auto"/>
          <w:highlight w:val="none"/>
        </w:rPr>
      </w:pPr>
    </w:p>
    <w:p w14:paraId="30C039C0">
      <w:pPr>
        <w:keepNext/>
        <w:keepLines/>
        <w:spacing w:before="260" w:after="260" w:line="240" w:lineRule="atLeast"/>
        <w:jc w:val="center"/>
        <w:rPr>
          <w:rFonts w:hint="eastAsia" w:ascii="宋体" w:hAnsi="宋体" w:eastAsia="黑体"/>
          <w:b/>
          <w:color w:val="auto"/>
          <w:sz w:val="28"/>
          <w:szCs w:val="28"/>
          <w:highlight w:val="none"/>
        </w:rPr>
      </w:pPr>
      <w:bookmarkStart w:id="208" w:name="_Toc11923097"/>
      <w:bookmarkStart w:id="209" w:name="_Toc11923168"/>
      <w:bookmarkStart w:id="210" w:name="_Toc11764038"/>
      <w:r>
        <w:rPr>
          <w:rFonts w:ascii="宋体" w:hAnsi="宋体" w:eastAsia="黑体"/>
          <w:b/>
          <w:color w:val="auto"/>
          <w:sz w:val="28"/>
          <w:szCs w:val="28"/>
          <w:highlight w:val="none"/>
        </w:rPr>
        <w:t>没有重大违法记录的书面声明</w:t>
      </w:r>
      <w:bookmarkEnd w:id="208"/>
      <w:bookmarkEnd w:id="209"/>
      <w:bookmarkEnd w:id="210"/>
    </w:p>
    <w:p w14:paraId="59743DBC">
      <w:pPr>
        <w:rPr>
          <w:rFonts w:hint="eastAsia" w:ascii="仿宋" w:hAnsi="仿宋" w:cs="仿宋"/>
          <w:color w:val="auto"/>
          <w:highlight w:val="none"/>
        </w:rPr>
      </w:pPr>
      <w:r>
        <w:rPr>
          <w:rFonts w:hint="eastAsia" w:ascii="仿宋" w:hAnsi="仿宋" w:cs="仿宋"/>
          <w:color w:val="auto"/>
          <w:highlight w:val="none"/>
        </w:rPr>
        <w:t>四川国锃招标代理有限公司：</w:t>
      </w:r>
    </w:p>
    <w:p w14:paraId="5B713DF8">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（供应商名称）郑重声明：</w:t>
      </w:r>
    </w:p>
    <w:p w14:paraId="226349C8">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（供应商名称）在参加本次询比活动前3年内在经营活动中没有重大违法记录（即因违法经营受到刑事处罚或者责令停产停业、吊销许可证或者执照、较大数额罚款等行政处罚的行为）。</w:t>
      </w:r>
    </w:p>
    <w:p w14:paraId="56124CB4">
      <w:pPr>
        <w:ind w:firstLine="540"/>
        <w:rPr>
          <w:rFonts w:hint="eastAsia" w:ascii="仿宋" w:hAnsi="仿宋" w:cs="仿宋"/>
          <w:color w:val="auto"/>
          <w:highlight w:val="none"/>
        </w:rPr>
      </w:pPr>
      <w:r>
        <w:rPr>
          <w:rFonts w:hint="eastAsia" w:ascii="仿宋" w:hAnsi="仿宋" w:cs="仿宋"/>
          <w:color w:val="auto"/>
          <w:highlight w:val="none"/>
        </w:rPr>
        <w:t>本单位对上述声明内容事项真实性负责，如有虚假，由我单位承担相关法律责任。</w:t>
      </w:r>
    </w:p>
    <w:p w14:paraId="1715876F">
      <w:pPr>
        <w:ind w:firstLine="540"/>
        <w:rPr>
          <w:rFonts w:hint="eastAsia" w:ascii="仿宋" w:hAnsi="仿宋" w:cs="仿宋"/>
          <w:color w:val="auto"/>
          <w:highlight w:val="none"/>
        </w:rPr>
      </w:pPr>
      <w:r>
        <w:rPr>
          <w:rFonts w:hint="eastAsia" w:ascii="仿宋" w:hAnsi="仿宋" w:cs="仿宋"/>
          <w:color w:val="auto"/>
          <w:highlight w:val="none"/>
        </w:rPr>
        <w:t>特此声明。</w:t>
      </w:r>
    </w:p>
    <w:p w14:paraId="2FF97256">
      <w:pPr>
        <w:ind w:firstLine="540"/>
        <w:rPr>
          <w:rFonts w:hint="eastAsia" w:ascii="仿宋" w:hAnsi="仿宋" w:cs="仿宋"/>
          <w:color w:val="auto"/>
          <w:highlight w:val="none"/>
        </w:rPr>
      </w:pPr>
    </w:p>
    <w:p w14:paraId="0FA40BE3">
      <w:pPr>
        <w:adjustRightInd w:val="0"/>
        <w:spacing w:line="480" w:lineRule="exact"/>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供应商名称：      （盖章）</w:t>
      </w:r>
    </w:p>
    <w:p w14:paraId="2368B140">
      <w:pPr>
        <w:adjustRightInd w:val="0"/>
        <w:spacing w:line="480" w:lineRule="exact"/>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法定代表人或授权代表（签字或盖章）：</w:t>
      </w:r>
    </w:p>
    <w:p w14:paraId="0264970E">
      <w:pPr>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日       期：       年  月  日</w:t>
      </w:r>
    </w:p>
    <w:p w14:paraId="6803AD67">
      <w:pPr>
        <w:ind w:firstLine="540"/>
        <w:rPr>
          <w:rFonts w:hint="eastAsia" w:ascii="仿宋" w:hAnsi="仿宋" w:cs="仿宋"/>
          <w:color w:val="auto"/>
          <w:highlight w:val="none"/>
        </w:rPr>
      </w:pPr>
    </w:p>
    <w:p w14:paraId="702046E6">
      <w:pPr>
        <w:rPr>
          <w:rFonts w:hint="eastAsia" w:ascii="仿宋" w:hAnsi="仿宋" w:cs="仿宋"/>
          <w:b/>
          <w:color w:val="auto"/>
          <w:highlight w:val="none"/>
        </w:rPr>
      </w:pPr>
      <w:r>
        <w:rPr>
          <w:rFonts w:hint="eastAsia" w:ascii="仿宋" w:hAnsi="仿宋" w:cs="仿宋"/>
          <w:b/>
          <w:color w:val="auto"/>
          <w:highlight w:val="none"/>
        </w:rPr>
        <w:t xml:space="preserve">   </w:t>
      </w:r>
    </w:p>
    <w:p w14:paraId="214CC76A">
      <w:pPr>
        <w:pStyle w:val="99"/>
        <w:rPr>
          <w:rFonts w:hint="eastAsia" w:ascii="仿宋" w:hAnsi="仿宋" w:cs="仿宋"/>
          <w:b/>
          <w:color w:val="auto"/>
          <w:highlight w:val="none"/>
        </w:rPr>
      </w:pPr>
    </w:p>
    <w:p w14:paraId="198AE9AE">
      <w:pPr>
        <w:pStyle w:val="24"/>
        <w:spacing w:line="360" w:lineRule="auto"/>
        <w:ind w:firstLine="482" w:firstLineChars="200"/>
        <w:rPr>
          <w:rFonts w:hint="eastAsia" w:ascii="仿宋" w:hAnsi="仿宋" w:eastAsia="仿宋" w:cs="仿宋"/>
          <w:b/>
          <w:bCs/>
          <w:color w:val="auto"/>
          <w:highlight w:val="none"/>
        </w:rPr>
      </w:pPr>
      <w:r>
        <w:rPr>
          <w:rFonts w:hint="eastAsia" w:ascii="仿宋" w:hAnsi="仿宋" w:eastAsia="仿宋" w:cs="仿宋"/>
          <w:b/>
          <w:bCs/>
          <w:color w:val="auto"/>
          <w:highlight w:val="none"/>
        </w:rPr>
        <w:t>备注：供应商参加本次询比活动前三年内，在经营活动中没有重大违法记录。重大违法记录，是指供应商因违法经营受到刑事处罚或者责令停产停业、吊销许可证或者执照、较大数额罚款等行政处罚。本项目较大数额罚款标准为200万元及以上。</w:t>
      </w:r>
    </w:p>
    <w:p w14:paraId="01336639">
      <w:pPr>
        <w:pStyle w:val="11"/>
        <w:outlineLvl w:val="0"/>
        <w:rPr>
          <w:rFonts w:hint="eastAsia" w:ascii="黑体" w:hAnsi="黑体" w:eastAsia="黑体" w:cs="黑体"/>
          <w:b/>
          <w:bCs/>
          <w:color w:val="auto"/>
          <w:sz w:val="28"/>
          <w:szCs w:val="28"/>
          <w:highlight w:val="none"/>
        </w:rPr>
      </w:pPr>
      <w:r>
        <w:rPr>
          <w:rFonts w:hint="eastAsia" w:ascii="黑体" w:hAnsi="黑体" w:eastAsia="黑体" w:cs="黑体"/>
          <w:b/>
          <w:color w:val="auto"/>
          <w:sz w:val="28"/>
          <w:szCs w:val="28"/>
          <w:highlight w:val="none"/>
        </w:rPr>
        <w:br w:type="page"/>
      </w:r>
      <w:bookmarkStart w:id="211" w:name="_Toc17268"/>
      <w:r>
        <w:rPr>
          <w:rFonts w:hint="eastAsia" w:ascii="黑体" w:hAnsi="黑体" w:eastAsia="黑体" w:cs="黑体"/>
          <w:b/>
          <w:color w:val="auto"/>
          <w:sz w:val="28"/>
          <w:szCs w:val="28"/>
          <w:highlight w:val="none"/>
        </w:rPr>
        <w:t>（七）参加本项目供应商员为本单位在职员工</w:t>
      </w:r>
      <w:bookmarkEnd w:id="211"/>
    </w:p>
    <w:p w14:paraId="2BE53A0D">
      <w:pPr>
        <w:pStyle w:val="11"/>
        <w:jc w:val="center"/>
        <w:rPr>
          <w:rFonts w:hint="eastAsia" w:ascii="黑体" w:hAnsi="黑体" w:eastAsia="黑体" w:cs="黑体"/>
          <w:b/>
          <w:bCs/>
          <w:color w:val="auto"/>
          <w:sz w:val="28"/>
          <w:szCs w:val="28"/>
          <w:highlight w:val="none"/>
        </w:rPr>
      </w:pPr>
    </w:p>
    <w:p w14:paraId="13F0D80C">
      <w:pPr>
        <w:spacing w:line="540" w:lineRule="exact"/>
        <w:jc w:val="center"/>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参加本项目供应商员为本单位在职员工的承诺书</w:t>
      </w:r>
    </w:p>
    <w:p w14:paraId="199D02BD">
      <w:pPr>
        <w:pStyle w:val="11"/>
        <w:rPr>
          <w:rFonts w:hint="eastAsia" w:ascii="黑体" w:hAnsi="黑体" w:eastAsia="黑体" w:cs="黑体"/>
          <w:b/>
          <w:bCs/>
          <w:color w:val="auto"/>
          <w:sz w:val="28"/>
          <w:szCs w:val="28"/>
          <w:highlight w:val="none"/>
        </w:rPr>
      </w:pPr>
    </w:p>
    <w:p w14:paraId="377EDB99">
      <w:pPr>
        <w:rPr>
          <w:rFonts w:hint="eastAsia" w:ascii="仿宋" w:hAnsi="仿宋" w:cs="仿宋"/>
          <w:color w:val="auto"/>
          <w:highlight w:val="none"/>
        </w:rPr>
      </w:pPr>
      <w:r>
        <w:rPr>
          <w:rFonts w:hint="eastAsia" w:ascii="仿宋" w:hAnsi="仿宋" w:cs="仿宋"/>
          <w:color w:val="auto"/>
          <w:highlight w:val="none"/>
        </w:rPr>
        <w:t>四川国锃招标代理有限公司：</w:t>
      </w:r>
    </w:p>
    <w:p w14:paraId="18BB50FE">
      <w:pPr>
        <w:ind w:firstLine="480" w:firstLineChars="20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（供应商名称）郑重承诺：</w:t>
      </w:r>
    </w:p>
    <w:p w14:paraId="651ED851">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（供应商名称）我单位承诺参加本项目供应商员及相关人员为本单位在职员工。</w:t>
      </w:r>
    </w:p>
    <w:p w14:paraId="6B5D9688">
      <w:pPr>
        <w:ind w:firstLine="540"/>
        <w:rPr>
          <w:rFonts w:hint="eastAsia" w:ascii="仿宋" w:hAnsi="仿宋" w:cs="仿宋"/>
          <w:color w:val="auto"/>
          <w:highlight w:val="none"/>
        </w:rPr>
      </w:pPr>
      <w:r>
        <w:rPr>
          <w:rFonts w:hint="eastAsia" w:ascii="仿宋" w:hAnsi="仿宋" w:cs="仿宋"/>
          <w:color w:val="auto"/>
          <w:highlight w:val="none"/>
        </w:rPr>
        <w:t>本单位对上述承诺的内容事项真实性负责，如有虚假，由我单位承担相关法律责任。</w:t>
      </w:r>
    </w:p>
    <w:p w14:paraId="0064C9F5">
      <w:pPr>
        <w:ind w:firstLine="540"/>
        <w:rPr>
          <w:rFonts w:hint="eastAsia" w:ascii="仿宋" w:hAnsi="仿宋" w:cs="仿宋"/>
          <w:color w:val="auto"/>
          <w:highlight w:val="none"/>
        </w:rPr>
      </w:pPr>
    </w:p>
    <w:p w14:paraId="35A47ADF">
      <w:pPr>
        <w:adjustRightInd w:val="0"/>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供应商名称：      （盖章）</w:t>
      </w:r>
    </w:p>
    <w:p w14:paraId="020A7FB4">
      <w:pPr>
        <w:adjustRightInd w:val="0"/>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法定代表人或授权代表（签字或盖章）：</w:t>
      </w:r>
    </w:p>
    <w:p w14:paraId="67D1D137">
      <w:pPr>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日      期：       年  月  日</w:t>
      </w:r>
    </w:p>
    <w:p w14:paraId="775406FE">
      <w:pPr>
        <w:ind w:firstLine="540"/>
        <w:rPr>
          <w:rFonts w:hint="eastAsia" w:ascii="仿宋" w:hAnsi="仿宋" w:cs="仿宋"/>
          <w:color w:val="auto"/>
          <w:highlight w:val="none"/>
        </w:rPr>
      </w:pPr>
    </w:p>
    <w:p w14:paraId="6D9D3136">
      <w:pPr>
        <w:ind w:firstLine="540"/>
        <w:rPr>
          <w:rFonts w:hint="eastAsia" w:ascii="仿宋" w:hAnsi="仿宋" w:cs="仿宋"/>
          <w:color w:val="auto"/>
          <w:highlight w:val="none"/>
        </w:rPr>
      </w:pPr>
    </w:p>
    <w:p w14:paraId="4275D708">
      <w:pPr>
        <w:pStyle w:val="24"/>
        <w:spacing w:line="360" w:lineRule="auto"/>
        <w:ind w:firstLine="482" w:firstLineChars="200"/>
        <w:rPr>
          <w:rFonts w:hint="eastAsia" w:ascii="仿宋" w:hAnsi="仿宋" w:eastAsia="仿宋" w:cs="仿宋"/>
          <w:b/>
          <w:bCs/>
          <w:color w:val="auto"/>
          <w:highlight w:val="none"/>
        </w:rPr>
      </w:pPr>
      <w:r>
        <w:rPr>
          <w:rFonts w:hint="eastAsia" w:ascii="仿宋" w:hAnsi="仿宋" w:eastAsia="仿宋" w:cs="仿宋"/>
          <w:b/>
          <w:bCs/>
          <w:color w:val="auto"/>
          <w:highlight w:val="none"/>
        </w:rPr>
        <w:t>注：</w:t>
      </w:r>
      <w:r>
        <w:rPr>
          <w:rStyle w:val="98"/>
          <w:rFonts w:hint="eastAsia" w:ascii="仿宋" w:hAnsi="仿宋" w:eastAsia="仿宋" w:cs="仿宋"/>
          <w:b/>
          <w:bCs/>
          <w:color w:val="auto"/>
          <w:szCs w:val="24"/>
          <w:highlight w:val="none"/>
        </w:rPr>
        <w:t>供应商可根据其实际提供以下任意一种证明材料</w:t>
      </w:r>
    </w:p>
    <w:p w14:paraId="3DC735D5">
      <w:pPr>
        <w:pStyle w:val="24"/>
        <w:spacing w:line="360" w:lineRule="auto"/>
        <w:ind w:firstLine="482" w:firstLineChars="200"/>
        <w:rPr>
          <w:rFonts w:hint="eastAsia" w:ascii="仿宋" w:hAnsi="仿宋" w:eastAsia="仿宋" w:cs="仿宋"/>
          <w:b/>
          <w:bCs/>
          <w:color w:val="auto"/>
          <w:highlight w:val="none"/>
        </w:rPr>
      </w:pPr>
      <w:r>
        <w:rPr>
          <w:rFonts w:hint="eastAsia" w:ascii="仿宋" w:hAnsi="仿宋" w:eastAsia="仿宋" w:cs="仿宋"/>
          <w:b/>
          <w:bCs/>
          <w:color w:val="auto"/>
          <w:highlight w:val="none"/>
        </w:rPr>
        <w:t>①</w:t>
      </w:r>
      <w:r>
        <w:rPr>
          <w:rStyle w:val="98"/>
          <w:rFonts w:hint="eastAsia" w:ascii="仿宋" w:hAnsi="仿宋" w:eastAsia="仿宋" w:cs="仿宋"/>
          <w:b/>
          <w:bCs/>
          <w:color w:val="auto"/>
          <w:szCs w:val="24"/>
          <w:highlight w:val="none"/>
        </w:rPr>
        <w:t>供应商可提供参加本项目供应商人员的缴纳社保的银行电子回单（票据）或社</w:t>
      </w:r>
      <w:r>
        <w:rPr>
          <w:rFonts w:hint="eastAsia" w:ascii="仿宋" w:hAnsi="仿宋" w:eastAsia="仿宋" w:cs="仿宋"/>
          <w:b/>
          <w:bCs/>
          <w:color w:val="auto"/>
          <w:highlight w:val="none"/>
        </w:rPr>
        <w:t>保部门出具的社保缴纳证明材料（复印件，加盖供应商公章）。</w:t>
      </w:r>
    </w:p>
    <w:p w14:paraId="1E6903BF">
      <w:pPr>
        <w:pStyle w:val="24"/>
        <w:spacing w:line="360" w:lineRule="auto"/>
        <w:ind w:firstLine="482" w:firstLineChars="200"/>
        <w:rPr>
          <w:rFonts w:hint="eastAsia" w:ascii="仿宋" w:hAnsi="仿宋" w:eastAsia="仿宋" w:cs="仿宋"/>
          <w:b/>
          <w:bCs/>
          <w:color w:val="auto"/>
          <w:highlight w:val="none"/>
        </w:rPr>
      </w:pPr>
      <w:r>
        <w:rPr>
          <w:rFonts w:hint="eastAsia" w:ascii="仿宋" w:hAnsi="仿宋" w:eastAsia="仿宋" w:cs="仿宋"/>
          <w:b/>
          <w:bCs/>
          <w:color w:val="auto"/>
          <w:highlight w:val="none"/>
        </w:rPr>
        <w:t>②提供参加本项目供应商员及相关人员为本单位在职员工的承诺书。</w:t>
      </w:r>
    </w:p>
    <w:p w14:paraId="3DC18849">
      <w:pPr>
        <w:rPr>
          <w:rFonts w:hint="eastAsia" w:ascii="宋体" w:hAnsi="宋体" w:eastAsia="宋体" w:cs="宋体"/>
          <w:b/>
          <w:bCs/>
          <w:color w:val="auto"/>
          <w:sz w:val="28"/>
          <w:szCs w:val="28"/>
          <w:highlight w:val="none"/>
        </w:rPr>
      </w:pPr>
    </w:p>
    <w:p w14:paraId="44962073">
      <w:pPr>
        <w:pStyle w:val="11"/>
        <w:rPr>
          <w:rFonts w:eastAsia="宋体" w:cs="宋体"/>
          <w:b/>
          <w:bCs/>
          <w:color w:val="auto"/>
          <w:sz w:val="28"/>
          <w:szCs w:val="28"/>
          <w:highlight w:val="none"/>
        </w:rPr>
      </w:pPr>
      <w:r>
        <w:rPr>
          <w:rFonts w:hint="eastAsia" w:eastAsia="宋体" w:cs="宋体"/>
          <w:b/>
          <w:bCs/>
          <w:color w:val="auto"/>
          <w:sz w:val="28"/>
          <w:szCs w:val="28"/>
          <w:highlight w:val="none"/>
        </w:rPr>
        <w:t xml:space="preserve"> </w:t>
      </w:r>
    </w:p>
    <w:p w14:paraId="4E67C401">
      <w:pPr>
        <w:pStyle w:val="11"/>
        <w:outlineLvl w:val="0"/>
        <w:rPr>
          <w:rFonts w:hint="eastAsia" w:ascii="黑体" w:hAnsi="黑体" w:eastAsia="黑体" w:cs="黑体"/>
          <w:b/>
          <w:bCs/>
          <w:color w:val="auto"/>
          <w:sz w:val="28"/>
          <w:szCs w:val="28"/>
          <w:highlight w:val="none"/>
        </w:rPr>
      </w:pPr>
      <w:r>
        <w:rPr>
          <w:rFonts w:hint="eastAsia" w:eastAsia="宋体" w:cs="宋体"/>
          <w:b/>
          <w:bCs/>
          <w:color w:val="auto"/>
          <w:sz w:val="28"/>
          <w:szCs w:val="28"/>
          <w:highlight w:val="none"/>
        </w:rPr>
        <w:br w:type="page"/>
      </w:r>
      <w:bookmarkStart w:id="212" w:name="_Toc988"/>
      <w:r>
        <w:rPr>
          <w:rFonts w:hint="eastAsia" w:ascii="黑体" w:hAnsi="黑体" w:eastAsia="黑体" w:cs="黑体"/>
          <w:b/>
          <w:bCs/>
          <w:color w:val="auto"/>
          <w:sz w:val="28"/>
          <w:szCs w:val="28"/>
          <w:highlight w:val="none"/>
        </w:rPr>
        <w:t>（八）</w:t>
      </w:r>
      <w:r>
        <w:rPr>
          <w:rFonts w:hint="eastAsia" w:ascii="宋体" w:hAnsi="宋体" w:eastAsia="黑体" w:cs="宋体"/>
          <w:b/>
          <w:color w:val="auto"/>
          <w:sz w:val="28"/>
          <w:szCs w:val="28"/>
          <w:highlight w:val="none"/>
        </w:rPr>
        <w:t>供应商法定代表人无行贿犯罪记录</w:t>
      </w:r>
      <w:bookmarkEnd w:id="212"/>
    </w:p>
    <w:p w14:paraId="7DD7273C">
      <w:pPr>
        <w:pStyle w:val="11"/>
        <w:ind w:firstLine="480" w:firstLineChars="200"/>
        <w:rPr>
          <w:color w:val="auto"/>
          <w:highlight w:val="none"/>
        </w:rPr>
      </w:pPr>
    </w:p>
    <w:p w14:paraId="420936F0">
      <w:pPr>
        <w:pStyle w:val="11"/>
        <w:ind w:firstLine="3373" w:firstLineChars="1200"/>
        <w:rPr>
          <w:color w:val="auto"/>
          <w:highlight w:val="none"/>
        </w:rPr>
      </w:pPr>
      <w:r>
        <w:rPr>
          <w:rFonts w:hint="eastAsia" w:eastAsia="黑体"/>
          <w:b/>
          <w:color w:val="auto"/>
          <w:sz w:val="28"/>
          <w:szCs w:val="28"/>
          <w:highlight w:val="none"/>
        </w:rPr>
        <w:t>无行贿犯罪记录承诺函</w:t>
      </w:r>
    </w:p>
    <w:p w14:paraId="768D5EB0">
      <w:pPr>
        <w:widowControl/>
        <w:spacing w:line="400" w:lineRule="atLeast"/>
        <w:jc w:val="left"/>
        <w:rPr>
          <w:rFonts w:hint="eastAsia" w:ascii="新宋体" w:hAnsi="新宋体" w:eastAsia="新宋体" w:cs="新宋体"/>
          <w:color w:val="auto"/>
          <w:highlight w:val="none"/>
        </w:rPr>
      </w:pPr>
    </w:p>
    <w:p w14:paraId="28768D69">
      <w:pPr>
        <w:widowControl/>
        <w:jc w:val="left"/>
        <w:rPr>
          <w:rFonts w:hint="eastAsia" w:ascii="仿宋" w:hAnsi="仿宋" w:cs="仿宋"/>
          <w:color w:val="auto"/>
          <w:highlight w:val="none"/>
        </w:rPr>
      </w:pPr>
      <w:r>
        <w:rPr>
          <w:rFonts w:hint="eastAsia" w:ascii="仿宋" w:hAnsi="仿宋" w:cs="仿宋"/>
          <w:color w:val="auto"/>
          <w:highlight w:val="none"/>
        </w:rPr>
        <w:t>四川国锃招标代理有限公司：</w:t>
      </w:r>
    </w:p>
    <w:p w14:paraId="671BB834">
      <w:pPr>
        <w:widowControl/>
        <w:ind w:firstLine="470" w:firstLineChars="196"/>
        <w:jc w:val="left"/>
        <w:rPr>
          <w:rFonts w:hint="eastAsia" w:ascii="仿宋" w:hAnsi="仿宋" w:cs="仿宋"/>
          <w:color w:val="auto"/>
          <w:highlight w:val="none"/>
        </w:rPr>
      </w:pPr>
      <w:r>
        <w:rPr>
          <w:rFonts w:hint="eastAsia" w:ascii="仿宋" w:hAnsi="仿宋" w:cs="仿宋"/>
          <w:color w:val="auto"/>
          <w:highlight w:val="none"/>
        </w:rPr>
        <w:t>本公司声明：</w:t>
      </w:r>
      <w:r>
        <w:rPr>
          <w:rFonts w:hint="eastAsia" w:ascii="仿宋" w:hAnsi="仿宋" w:cs="仿宋"/>
          <w:color w:val="auto"/>
          <w:highlight w:val="none"/>
          <w:u w:val="single"/>
        </w:rPr>
        <w:t xml:space="preserve">                     </w:t>
      </w:r>
      <w:r>
        <w:rPr>
          <w:rFonts w:hint="eastAsia" w:ascii="仿宋" w:hAnsi="仿宋" w:cs="仿宋"/>
          <w:color w:val="auto"/>
          <w:highlight w:val="none"/>
        </w:rPr>
        <w:t>(供应商名称)、法定代表人</w:t>
      </w:r>
      <w:r>
        <w:rPr>
          <w:rFonts w:hint="eastAsia" w:ascii="仿宋" w:hAnsi="仿宋" w:cs="仿宋"/>
          <w:color w:val="auto"/>
          <w:highlight w:val="none"/>
          <w:u w:val="single"/>
        </w:rPr>
        <w:t xml:space="preserve">             </w:t>
      </w:r>
      <w:r>
        <w:rPr>
          <w:rFonts w:hint="eastAsia" w:ascii="仿宋" w:hAnsi="仿宋" w:cs="仿宋"/>
          <w:color w:val="auto"/>
          <w:highlight w:val="none"/>
        </w:rPr>
        <w:t xml:space="preserve">(身份证号 </w:t>
      </w:r>
      <w:r>
        <w:rPr>
          <w:rFonts w:hint="eastAsia" w:ascii="仿宋" w:hAnsi="仿宋" w:cs="仿宋"/>
          <w:color w:val="auto"/>
          <w:highlight w:val="none"/>
          <w:u w:val="single"/>
        </w:rPr>
        <w:t xml:space="preserve">          </w:t>
      </w:r>
      <w:r>
        <w:rPr>
          <w:rFonts w:hint="eastAsia" w:ascii="仿宋" w:hAnsi="仿宋" w:cs="仿宋"/>
          <w:color w:val="auto"/>
          <w:highlight w:val="none"/>
        </w:rPr>
        <w:t>)在前3年内不具有行贿犯罪记录。</w:t>
      </w:r>
    </w:p>
    <w:p w14:paraId="2D769289">
      <w:pPr>
        <w:widowControl/>
        <w:ind w:firstLine="470" w:firstLineChars="196"/>
        <w:jc w:val="left"/>
        <w:rPr>
          <w:rFonts w:hint="eastAsia" w:ascii="仿宋" w:hAnsi="仿宋" w:cs="仿宋"/>
          <w:color w:val="auto"/>
          <w:highlight w:val="none"/>
        </w:rPr>
      </w:pPr>
      <w:r>
        <w:rPr>
          <w:rFonts w:hint="eastAsia" w:ascii="仿宋" w:hAnsi="仿宋" w:cs="仿宋"/>
          <w:color w:val="auto"/>
          <w:highlight w:val="none"/>
        </w:rPr>
        <w:t>特此声明。</w:t>
      </w:r>
    </w:p>
    <w:p w14:paraId="38E05DF9">
      <w:pPr>
        <w:widowControl/>
        <w:spacing w:line="400" w:lineRule="atLeast"/>
        <w:ind w:firstLine="470" w:firstLineChars="196"/>
        <w:jc w:val="left"/>
        <w:rPr>
          <w:rFonts w:hint="eastAsia" w:ascii="仿宋" w:hAnsi="仿宋" w:cs="仿宋"/>
          <w:color w:val="auto"/>
          <w:highlight w:val="none"/>
        </w:rPr>
      </w:pPr>
    </w:p>
    <w:p w14:paraId="1281E8E2">
      <w:pPr>
        <w:widowControl/>
        <w:spacing w:line="400" w:lineRule="atLeast"/>
        <w:ind w:firstLine="470" w:firstLineChars="196"/>
        <w:jc w:val="left"/>
        <w:rPr>
          <w:rFonts w:hint="eastAsia" w:ascii="仿宋" w:hAnsi="仿宋" w:cs="仿宋"/>
          <w:color w:val="auto"/>
          <w:highlight w:val="none"/>
        </w:rPr>
      </w:pPr>
    </w:p>
    <w:p w14:paraId="1CCFEE43">
      <w:pPr>
        <w:adjustRightInd w:val="0"/>
        <w:spacing w:line="480" w:lineRule="exact"/>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供应商名称：      （盖章）</w:t>
      </w:r>
    </w:p>
    <w:p w14:paraId="6FF430BE">
      <w:pPr>
        <w:adjustRightInd w:val="0"/>
        <w:spacing w:line="480" w:lineRule="exact"/>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法定代表人或授权代表（签字或盖章）：</w:t>
      </w:r>
    </w:p>
    <w:p w14:paraId="05FECFE7">
      <w:pPr>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日       期：       年  月  日</w:t>
      </w:r>
    </w:p>
    <w:p w14:paraId="1B7A9388">
      <w:pPr>
        <w:spacing w:line="480" w:lineRule="exact"/>
        <w:ind w:firstLine="562" w:firstLineChars="200"/>
        <w:rPr>
          <w:rFonts w:hint="eastAsia" w:ascii="黑体" w:hAnsi="黑体" w:eastAsia="黑体" w:cs="黑体"/>
          <w:b/>
          <w:bCs/>
          <w:color w:val="auto"/>
          <w:sz w:val="28"/>
          <w:szCs w:val="28"/>
          <w:highlight w:val="none"/>
        </w:rPr>
      </w:pPr>
      <w:r>
        <w:rPr>
          <w:rFonts w:hint="eastAsia" w:ascii="黑体" w:hAnsi="黑体" w:eastAsia="黑体" w:cs="黑体"/>
          <w:b/>
          <w:color w:val="auto"/>
          <w:sz w:val="28"/>
          <w:szCs w:val="28"/>
          <w:highlight w:val="none"/>
        </w:rPr>
        <w:br w:type="page"/>
      </w:r>
      <w:r>
        <w:rPr>
          <w:rFonts w:hint="eastAsia" w:ascii="黑体" w:hAnsi="黑体" w:eastAsia="黑体" w:cs="黑体"/>
          <w:b/>
          <w:bCs/>
          <w:color w:val="auto"/>
          <w:sz w:val="28"/>
          <w:szCs w:val="28"/>
          <w:highlight w:val="none"/>
        </w:rPr>
        <w:t>（九）“中国裁判文书网”相关查询结果截图</w:t>
      </w:r>
    </w:p>
    <w:p w14:paraId="487A8E3D">
      <w:pPr>
        <w:pStyle w:val="2"/>
        <w:ind w:left="480"/>
        <w:rPr>
          <w:color w:val="auto"/>
          <w:highlight w:val="none"/>
        </w:rPr>
      </w:pPr>
    </w:p>
    <w:p w14:paraId="20AF9F17">
      <w:pPr>
        <w:pStyle w:val="2"/>
        <w:ind w:left="480"/>
        <w:rPr>
          <w:color w:val="auto"/>
          <w:highlight w:val="none"/>
        </w:rPr>
      </w:pPr>
    </w:p>
    <w:p w14:paraId="0C770289">
      <w:pPr>
        <w:pStyle w:val="11"/>
        <w:outlineLvl w:val="0"/>
        <w:rPr>
          <w:rFonts w:hint="eastAsia" w:ascii="黑体" w:hAnsi="黑体" w:eastAsia="黑体" w:cs="黑体"/>
          <w:b/>
          <w:bCs/>
          <w:color w:val="auto"/>
          <w:sz w:val="28"/>
          <w:szCs w:val="28"/>
          <w:highlight w:val="none"/>
        </w:rPr>
      </w:pPr>
      <w:r>
        <w:rPr>
          <w:rFonts w:hint="eastAsia" w:ascii="宋体" w:hAnsi="宋体" w:eastAsia="宋体" w:cs="宋体"/>
          <w:color w:val="auto"/>
          <w:highlight w:val="none"/>
        </w:rPr>
        <w:t>提供“中国裁判文书网”相关查询结果截图，其中包括供应商和法定代表人查询截图</w:t>
      </w:r>
      <w:r>
        <w:rPr>
          <w:rFonts w:hint="eastAsia" w:ascii="黑体" w:hAnsi="黑体" w:eastAsia="黑体" w:cs="黑体"/>
          <w:b/>
          <w:color w:val="auto"/>
          <w:sz w:val="28"/>
          <w:szCs w:val="28"/>
          <w:highlight w:val="none"/>
        </w:rPr>
        <w:br w:type="page"/>
      </w:r>
      <w:r>
        <w:rPr>
          <w:rFonts w:hint="eastAsia" w:ascii="黑体" w:hAnsi="黑体" w:eastAsia="黑体" w:cs="黑体"/>
          <w:b/>
          <w:bCs/>
          <w:color w:val="auto"/>
          <w:sz w:val="28"/>
          <w:szCs w:val="28"/>
          <w:highlight w:val="none"/>
        </w:rPr>
        <w:t>（十）法定代表人为中华人民共和国国籍，未拥有境外永久居留权</w:t>
      </w:r>
    </w:p>
    <w:p w14:paraId="4CA8F8B1">
      <w:pPr>
        <w:ind w:firstLine="562" w:firstLineChars="200"/>
        <w:jc w:val="center"/>
        <w:rPr>
          <w:rFonts w:hint="eastAsia" w:ascii="仿宋" w:hAnsi="仿宋" w:cs="仿宋"/>
          <w:b/>
          <w:color w:val="auto"/>
          <w:sz w:val="28"/>
          <w:szCs w:val="28"/>
          <w:highlight w:val="none"/>
        </w:rPr>
      </w:pPr>
      <w:r>
        <w:rPr>
          <w:rFonts w:hint="eastAsia" w:ascii="仿宋" w:hAnsi="仿宋" w:cs="仿宋"/>
          <w:b/>
          <w:color w:val="auto"/>
          <w:sz w:val="28"/>
          <w:szCs w:val="28"/>
          <w:highlight w:val="none"/>
        </w:rPr>
        <w:t>法定代表人为中华人民共和国国籍，未拥有境外永久居留权（含港澳台）的书面声明</w:t>
      </w:r>
    </w:p>
    <w:p w14:paraId="09597D9D">
      <w:pPr>
        <w:rPr>
          <w:rFonts w:hint="eastAsia" w:ascii="仿宋" w:hAnsi="仿宋" w:cs="仿宋"/>
          <w:color w:val="auto"/>
          <w:highlight w:val="none"/>
        </w:rPr>
      </w:pPr>
      <w:r>
        <w:rPr>
          <w:rFonts w:hint="eastAsia" w:ascii="仿宋" w:hAnsi="仿宋" w:cs="仿宋"/>
          <w:color w:val="auto"/>
          <w:highlight w:val="none"/>
        </w:rPr>
        <w:t>四川国锃招标代理有限公司：</w:t>
      </w:r>
    </w:p>
    <w:p w14:paraId="4934A54F">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（供应商名称）郑重声明：</w:t>
      </w:r>
    </w:p>
    <w:p w14:paraId="03B6A729">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（供应商名称）的法定代表人为中华人民共和国国籍，未拥有境外永久居留权（含港澳台）。</w:t>
      </w:r>
    </w:p>
    <w:p w14:paraId="1137931C">
      <w:pPr>
        <w:ind w:firstLine="540"/>
        <w:rPr>
          <w:rFonts w:hint="eastAsia" w:ascii="仿宋" w:hAnsi="仿宋" w:cs="仿宋"/>
          <w:color w:val="auto"/>
          <w:highlight w:val="none"/>
        </w:rPr>
      </w:pPr>
      <w:r>
        <w:rPr>
          <w:rFonts w:hint="eastAsia" w:ascii="仿宋" w:hAnsi="仿宋" w:cs="仿宋"/>
          <w:color w:val="auto"/>
          <w:highlight w:val="none"/>
        </w:rPr>
        <w:t>本单位对上述声明内容事项真实性负责，如有虚假，由我单位承担相关法律责任。</w:t>
      </w:r>
    </w:p>
    <w:p w14:paraId="1C134A07">
      <w:pPr>
        <w:ind w:firstLine="540"/>
        <w:rPr>
          <w:rFonts w:hint="eastAsia" w:ascii="仿宋" w:hAnsi="仿宋" w:cs="仿宋"/>
          <w:color w:val="auto"/>
          <w:highlight w:val="none"/>
        </w:rPr>
      </w:pPr>
      <w:r>
        <w:rPr>
          <w:rFonts w:hint="eastAsia" w:ascii="仿宋" w:hAnsi="仿宋" w:cs="仿宋"/>
          <w:color w:val="auto"/>
          <w:highlight w:val="none"/>
        </w:rPr>
        <w:t>特此声明。</w:t>
      </w:r>
    </w:p>
    <w:p w14:paraId="2B0BB281">
      <w:pPr>
        <w:ind w:firstLine="540"/>
        <w:rPr>
          <w:rFonts w:hint="eastAsia" w:ascii="仿宋" w:hAnsi="仿宋" w:cs="仿宋"/>
          <w:color w:val="auto"/>
          <w:highlight w:val="none"/>
        </w:rPr>
      </w:pPr>
    </w:p>
    <w:p w14:paraId="7ACBCF09">
      <w:pPr>
        <w:adjustRightInd w:val="0"/>
        <w:spacing w:line="480" w:lineRule="exact"/>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供应商名称：      （盖章）</w:t>
      </w:r>
    </w:p>
    <w:p w14:paraId="77D273BE">
      <w:pPr>
        <w:adjustRightInd w:val="0"/>
        <w:spacing w:line="480" w:lineRule="exact"/>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法定代表人或授权代表（签字或盖章）：</w:t>
      </w:r>
    </w:p>
    <w:p w14:paraId="5FAF3A61">
      <w:pPr>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日期：      年      月     日</w:t>
      </w:r>
    </w:p>
    <w:p w14:paraId="605F8CE7">
      <w:pPr>
        <w:pStyle w:val="11"/>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br w:type="page"/>
      </w:r>
      <w:r>
        <w:rPr>
          <w:rFonts w:hint="eastAsia" w:ascii="黑体" w:hAnsi="黑体" w:eastAsia="黑体" w:cs="黑体"/>
          <w:b/>
          <w:bCs/>
          <w:color w:val="auto"/>
          <w:sz w:val="28"/>
          <w:szCs w:val="28"/>
          <w:highlight w:val="none"/>
        </w:rPr>
        <w:t>（十一）供应商未被“信用中国”或“中国执行信息公开网”网站列入失信被执行人名单</w:t>
      </w:r>
    </w:p>
    <w:p w14:paraId="4CAD68D0">
      <w:pPr>
        <w:pStyle w:val="11"/>
        <w:ind w:firstLine="480" w:firstLineChars="200"/>
        <w:rPr>
          <w:color w:val="auto"/>
          <w:highlight w:val="none"/>
        </w:rPr>
      </w:pPr>
    </w:p>
    <w:p w14:paraId="339AC6CF">
      <w:pPr>
        <w:spacing w:line="480" w:lineRule="exact"/>
        <w:ind w:firstLine="480" w:firstLineChars="200"/>
        <w:rPr>
          <w:rFonts w:hint="eastAsia" w:ascii="仿宋" w:hAnsi="仿宋" w:cs="仿宋"/>
          <w:color w:val="auto"/>
          <w:highlight w:val="none"/>
        </w:rPr>
      </w:pPr>
      <w:r>
        <w:rPr>
          <w:rFonts w:hint="eastAsia" w:ascii="仿宋" w:hAnsi="仿宋" w:cs="仿宋"/>
          <w:bCs/>
          <w:color w:val="auto"/>
          <w:highlight w:val="none"/>
        </w:rPr>
        <w:t>提供“信用中国”或“中国执行信息公开网”查询记录截图。</w:t>
      </w:r>
    </w:p>
    <w:p w14:paraId="53C9C578">
      <w:pPr>
        <w:pStyle w:val="11"/>
        <w:tabs>
          <w:tab w:val="left" w:pos="3570"/>
        </w:tabs>
        <w:outlineLvl w:val="0"/>
        <w:rPr>
          <w:rFonts w:hint="eastAsia" w:ascii="宋体" w:hAnsi="宋体" w:eastAsia="黑体" w:cs="宋体"/>
          <w:b/>
          <w:color w:val="auto"/>
          <w:sz w:val="28"/>
          <w:szCs w:val="28"/>
          <w:highlight w:val="none"/>
        </w:rPr>
      </w:pPr>
      <w:r>
        <w:rPr>
          <w:rFonts w:hint="eastAsia" w:ascii="黑体" w:hAnsi="黑体" w:eastAsia="黑体" w:cs="黑体"/>
          <w:b/>
          <w:color w:val="auto"/>
          <w:sz w:val="28"/>
          <w:szCs w:val="28"/>
          <w:highlight w:val="none"/>
        </w:rPr>
        <w:br w:type="page"/>
      </w:r>
      <w:bookmarkStart w:id="213" w:name="_Toc6197"/>
      <w:r>
        <w:rPr>
          <w:rFonts w:hint="eastAsia" w:ascii="黑体" w:hAnsi="黑体" w:eastAsia="黑体" w:cs="黑体"/>
          <w:b/>
          <w:color w:val="auto"/>
          <w:sz w:val="28"/>
          <w:szCs w:val="28"/>
          <w:highlight w:val="none"/>
        </w:rPr>
        <w:t>（十二）</w:t>
      </w:r>
      <w:r>
        <w:rPr>
          <w:rFonts w:hint="eastAsia" w:ascii="宋体" w:hAnsi="宋体" w:eastAsia="黑体" w:cs="宋体"/>
          <w:b/>
          <w:color w:val="auto"/>
          <w:sz w:val="28"/>
          <w:szCs w:val="28"/>
          <w:highlight w:val="none"/>
        </w:rPr>
        <w:t>非联合体参与询比声明函</w:t>
      </w:r>
      <w:bookmarkEnd w:id="213"/>
    </w:p>
    <w:p w14:paraId="465524C5">
      <w:pPr>
        <w:widowControl/>
        <w:ind w:firstLine="3654" w:firstLineChars="1300"/>
        <w:jc w:val="left"/>
        <w:rPr>
          <w:rFonts w:hint="eastAsia" w:ascii="仿宋" w:hAnsi="仿宋" w:cs="仿宋"/>
          <w:color w:val="auto"/>
          <w:highlight w:val="none"/>
        </w:rPr>
      </w:pPr>
      <w:r>
        <w:rPr>
          <w:rFonts w:hint="eastAsia" w:ascii="宋体" w:hAnsi="宋体" w:eastAsia="黑体" w:cs="宋体"/>
          <w:b/>
          <w:color w:val="auto"/>
          <w:sz w:val="28"/>
          <w:szCs w:val="28"/>
          <w:highlight w:val="none"/>
        </w:rPr>
        <w:t>非联合体参与询比声明函</w:t>
      </w:r>
    </w:p>
    <w:p w14:paraId="4B706851">
      <w:pPr>
        <w:widowControl/>
        <w:jc w:val="left"/>
        <w:rPr>
          <w:rFonts w:hint="eastAsia" w:ascii="仿宋" w:hAnsi="仿宋" w:cs="仿宋"/>
          <w:color w:val="auto"/>
          <w:highlight w:val="none"/>
        </w:rPr>
      </w:pPr>
    </w:p>
    <w:p w14:paraId="325EC198">
      <w:pPr>
        <w:widowControl/>
        <w:jc w:val="left"/>
        <w:rPr>
          <w:rFonts w:hint="eastAsia" w:ascii="仿宋" w:hAnsi="仿宋" w:cs="仿宋"/>
          <w:color w:val="auto"/>
          <w:highlight w:val="none"/>
        </w:rPr>
      </w:pPr>
      <w:r>
        <w:rPr>
          <w:rFonts w:hint="eastAsia" w:ascii="仿宋" w:hAnsi="仿宋" w:cs="仿宋"/>
          <w:color w:val="auto"/>
          <w:highlight w:val="none"/>
        </w:rPr>
        <w:t>四川国锃招标代理有限公司：</w:t>
      </w:r>
    </w:p>
    <w:p w14:paraId="7835B9B5">
      <w:pPr>
        <w:ind w:firstLine="480" w:firstLineChars="20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（供应商名称）郑重承诺：</w:t>
      </w:r>
    </w:p>
    <w:p w14:paraId="40225E9F">
      <w:pPr>
        <w:autoSpaceDE w:val="0"/>
        <w:autoSpaceDN w:val="0"/>
        <w:adjustRightInd w:val="0"/>
        <w:ind w:firstLine="480" w:firstLineChars="200"/>
        <w:jc w:val="left"/>
        <w:rPr>
          <w:rFonts w:hint="eastAsia" w:ascii="仿宋" w:hAnsi="仿宋" w:cs="仿宋"/>
          <w:color w:val="auto"/>
          <w:kern w:val="0"/>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w:t>
      </w:r>
      <w:r>
        <w:rPr>
          <w:rFonts w:hint="eastAsia" w:ascii="仿宋" w:hAnsi="仿宋" w:cs="仿宋"/>
          <w:color w:val="auto"/>
          <w:kern w:val="0"/>
          <w:highlight w:val="none"/>
        </w:rPr>
        <w:t>注册地址</w:t>
      </w:r>
      <w:r>
        <w:rPr>
          <w:rFonts w:hint="eastAsia" w:ascii="仿宋" w:hAnsi="仿宋" w:cs="仿宋"/>
          <w:color w:val="auto"/>
          <w:highlight w:val="none"/>
          <w:u w:val="single"/>
        </w:rPr>
        <w:t xml:space="preserve">           </w:t>
      </w:r>
      <w:r>
        <w:rPr>
          <w:rFonts w:hint="eastAsia" w:ascii="仿宋" w:hAnsi="仿宋" w:cs="仿宋"/>
          <w:color w:val="auto"/>
          <w:kern w:val="0"/>
          <w:highlight w:val="none"/>
        </w:rPr>
        <w:t>，统一社会信用代码</w:t>
      </w:r>
      <w:r>
        <w:rPr>
          <w:rFonts w:hint="eastAsia" w:ascii="仿宋" w:hAnsi="仿宋" w:cs="仿宋"/>
          <w:color w:val="auto"/>
          <w:highlight w:val="none"/>
          <w:u w:val="single"/>
        </w:rPr>
        <w:t xml:space="preserve">            </w:t>
      </w:r>
      <w:r>
        <w:rPr>
          <w:rFonts w:hint="eastAsia" w:ascii="仿宋" w:hAnsi="仿宋" w:cs="仿宋"/>
          <w:color w:val="auto"/>
          <w:kern w:val="0"/>
          <w:highlight w:val="none"/>
        </w:rPr>
        <w:t>，现就参与</w:t>
      </w:r>
      <w:r>
        <w:rPr>
          <w:rFonts w:hint="eastAsia" w:ascii="仿宋" w:hAnsi="仿宋" w:cs="仿宋"/>
          <w:color w:val="auto"/>
          <w:highlight w:val="none"/>
          <w:u w:val="single"/>
        </w:rPr>
        <w:t xml:space="preserve">             </w:t>
      </w:r>
      <w:r>
        <w:rPr>
          <w:rFonts w:hint="eastAsia" w:ascii="仿宋" w:hAnsi="仿宋" w:cs="仿宋"/>
          <w:color w:val="auto"/>
          <w:kern w:val="0"/>
          <w:highlight w:val="none"/>
        </w:rPr>
        <w:t>（项目名称）</w:t>
      </w:r>
      <w:r>
        <w:rPr>
          <w:rFonts w:hint="eastAsia" w:ascii="仿宋" w:hAnsi="仿宋" w:cs="仿宋"/>
          <w:color w:val="auto"/>
          <w:highlight w:val="none"/>
          <w:u w:val="single"/>
        </w:rPr>
        <w:t xml:space="preserve">             </w:t>
      </w:r>
      <w:r>
        <w:rPr>
          <w:rFonts w:hint="eastAsia" w:ascii="仿宋" w:hAnsi="仿宋" w:cs="仿宋"/>
          <w:color w:val="auto"/>
          <w:kern w:val="0"/>
          <w:highlight w:val="none"/>
        </w:rPr>
        <w:t>的询比活动，郑重声明如下：</w:t>
      </w:r>
    </w:p>
    <w:p w14:paraId="0194DBFF">
      <w:pPr>
        <w:adjustRightInd w:val="0"/>
        <w:ind w:firstLine="480" w:firstLineChars="200"/>
        <w:rPr>
          <w:rFonts w:hint="eastAsia" w:ascii="仿宋" w:hAnsi="仿宋" w:cs="仿宋"/>
          <w:color w:val="auto"/>
          <w:highlight w:val="none"/>
        </w:rPr>
      </w:pPr>
      <w:r>
        <w:rPr>
          <w:rFonts w:hint="eastAsia" w:ascii="仿宋" w:hAnsi="仿宋" w:cs="仿宋"/>
          <w:color w:val="auto"/>
          <w:highlight w:val="none"/>
        </w:rPr>
        <w:t>1.我方确认，本次参与询比系以独立主体身份进行，未与任何其他法人、组织或自然人组成联合体，亦未以任何形式委托其他单位或个人代为参与。</w:t>
      </w:r>
    </w:p>
    <w:p w14:paraId="46C87E22">
      <w:pPr>
        <w:adjustRightInd w:val="0"/>
        <w:ind w:firstLine="480" w:firstLineChars="200"/>
        <w:rPr>
          <w:rFonts w:hint="eastAsia" w:ascii="仿宋" w:hAnsi="仿宋" w:cs="仿宋"/>
          <w:color w:val="auto"/>
          <w:highlight w:val="none"/>
        </w:rPr>
      </w:pPr>
      <w:r>
        <w:rPr>
          <w:rFonts w:hint="eastAsia" w:ascii="仿宋" w:hAnsi="仿宋" w:cs="仿宋"/>
          <w:color w:val="auto"/>
          <w:highlight w:val="none"/>
        </w:rPr>
        <w:t>2.若因我方隐瞒联合体关系或虚假声明导致询比无效或合同解除，我方愿承担一切法律责任及经济赔偿。</w:t>
      </w:r>
    </w:p>
    <w:p w14:paraId="149BB68C">
      <w:pPr>
        <w:adjustRightInd w:val="0"/>
        <w:ind w:firstLine="480" w:firstLineChars="200"/>
        <w:rPr>
          <w:rFonts w:hint="eastAsia" w:ascii="仿宋" w:hAnsi="仿宋" w:cs="仿宋"/>
          <w:color w:val="auto"/>
          <w:highlight w:val="none"/>
        </w:rPr>
      </w:pPr>
      <w:r>
        <w:rPr>
          <w:rFonts w:hint="eastAsia" w:ascii="仿宋" w:hAnsi="仿宋" w:cs="仿宋"/>
          <w:color w:val="auto"/>
          <w:highlight w:val="none"/>
        </w:rPr>
        <w:t>本单位对上述承诺的内容事项真实性负责，如有虚假，由我单位承担相关法律责任。</w:t>
      </w:r>
    </w:p>
    <w:p w14:paraId="34B6CFC8">
      <w:pPr>
        <w:adjustRightInd w:val="0"/>
        <w:ind w:firstLine="480" w:firstLineChars="200"/>
        <w:rPr>
          <w:rFonts w:hint="eastAsia" w:ascii="仿宋" w:hAnsi="仿宋" w:cs="仿宋"/>
          <w:color w:val="auto"/>
          <w:highlight w:val="none"/>
        </w:rPr>
      </w:pPr>
    </w:p>
    <w:p w14:paraId="644E0AF7">
      <w:pPr>
        <w:adjustRightInd w:val="0"/>
        <w:ind w:firstLine="480" w:firstLineChars="200"/>
        <w:rPr>
          <w:rFonts w:hint="eastAsia" w:ascii="仿宋" w:hAnsi="仿宋" w:cs="仿宋"/>
          <w:color w:val="auto"/>
          <w:highlight w:val="none"/>
        </w:rPr>
      </w:pPr>
      <w:r>
        <w:rPr>
          <w:rFonts w:hint="eastAsia" w:ascii="仿宋" w:hAnsi="仿宋" w:cs="仿宋"/>
          <w:color w:val="auto"/>
          <w:highlight w:val="none"/>
        </w:rPr>
        <w:t>供应商名称：      （盖章）</w:t>
      </w:r>
    </w:p>
    <w:p w14:paraId="2107815F">
      <w:pPr>
        <w:adjustRightInd w:val="0"/>
        <w:ind w:firstLine="480" w:firstLineChars="200"/>
        <w:rPr>
          <w:rFonts w:hint="eastAsia" w:ascii="仿宋" w:hAnsi="仿宋" w:cs="仿宋"/>
          <w:color w:val="auto"/>
          <w:highlight w:val="none"/>
        </w:rPr>
      </w:pPr>
      <w:r>
        <w:rPr>
          <w:rFonts w:hint="eastAsia" w:ascii="仿宋" w:hAnsi="仿宋" w:cs="仿宋"/>
          <w:color w:val="auto"/>
          <w:highlight w:val="none"/>
        </w:rPr>
        <w:t>法定代表人或授权代表（签字或盖章）：</w:t>
      </w:r>
    </w:p>
    <w:p w14:paraId="37FAD29C">
      <w:pPr>
        <w:ind w:firstLine="480" w:firstLineChars="200"/>
        <w:rPr>
          <w:rFonts w:hint="eastAsia" w:ascii="仿宋" w:hAnsi="仿宋" w:cs="仿宋"/>
          <w:color w:val="auto"/>
          <w:highlight w:val="none"/>
        </w:rPr>
      </w:pPr>
      <w:r>
        <w:rPr>
          <w:rFonts w:hint="eastAsia" w:ascii="仿宋" w:hAnsi="仿宋" w:cs="仿宋"/>
          <w:color w:val="auto"/>
          <w:highlight w:val="none"/>
        </w:rPr>
        <w:t>日      期：       年  月  日</w:t>
      </w:r>
    </w:p>
    <w:p w14:paraId="2C6E6DE2">
      <w:pPr>
        <w:rPr>
          <w:rFonts w:hint="eastAsia" w:ascii="仿宋" w:hAnsi="仿宋" w:cs="仿宋"/>
          <w:color w:val="auto"/>
          <w:highlight w:val="none"/>
        </w:rPr>
      </w:pPr>
      <w:r>
        <w:rPr>
          <w:rFonts w:hint="eastAsia" w:ascii="仿宋" w:hAnsi="仿宋" w:cs="仿宋"/>
          <w:color w:val="auto"/>
          <w:highlight w:val="none"/>
        </w:rPr>
        <w:br w:type="page"/>
      </w:r>
    </w:p>
    <w:p w14:paraId="237A4E52">
      <w:pPr>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（十三）询比保证金</w:t>
      </w:r>
    </w:p>
    <w:p w14:paraId="261B63C0">
      <w:pPr>
        <w:keepNext/>
        <w:keepLines/>
        <w:spacing w:before="260" w:after="260" w:line="240" w:lineRule="atLeast"/>
        <w:jc w:val="center"/>
        <w:rPr>
          <w:rFonts w:hint="eastAsia" w:ascii="仿宋" w:hAnsi="仿宋" w:cs="仿宋"/>
          <w:b/>
          <w:color w:val="auto"/>
          <w:sz w:val="32"/>
          <w:szCs w:val="32"/>
          <w:highlight w:val="none"/>
        </w:rPr>
      </w:pPr>
      <w:r>
        <w:rPr>
          <w:rFonts w:hint="eastAsia" w:ascii="黑体" w:hAnsi="黑体" w:eastAsia="黑体" w:cs="黑体"/>
          <w:b/>
          <w:color w:val="auto"/>
          <w:sz w:val="28"/>
          <w:szCs w:val="28"/>
          <w:highlight w:val="none"/>
        </w:rPr>
        <w:t>询比保证金</w:t>
      </w:r>
    </w:p>
    <w:p w14:paraId="03CE8CED">
      <w:pPr>
        <w:widowControl/>
        <w:shd w:val="clear" w:color="auto" w:fill="FFFFFF"/>
        <w:spacing w:line="480" w:lineRule="exact"/>
        <w:jc w:val="left"/>
        <w:rPr>
          <w:rFonts w:hint="eastAsia" w:ascii="仿宋" w:hAnsi="仿宋" w:cs="仿宋"/>
          <w:color w:val="auto"/>
          <w:highlight w:val="none"/>
        </w:rPr>
      </w:pPr>
    </w:p>
    <w:p w14:paraId="26012136">
      <w:pPr>
        <w:rPr>
          <w:rFonts w:hint="eastAsia" w:ascii="仿宋" w:hAnsi="仿宋" w:cs="仿宋"/>
          <w:color w:val="auto"/>
          <w:highlight w:val="none"/>
        </w:rPr>
      </w:pPr>
      <w:r>
        <w:rPr>
          <w:rFonts w:hint="eastAsia" w:ascii="仿宋" w:hAnsi="仿宋" w:cs="仿宋"/>
          <w:color w:val="auto"/>
          <w:highlight w:val="none"/>
        </w:rPr>
        <w:t>四川国锃招标代理有限公司：</w:t>
      </w:r>
    </w:p>
    <w:p w14:paraId="1463E88A">
      <w:pPr>
        <w:spacing w:line="460" w:lineRule="exact"/>
        <w:ind w:firstLine="480"/>
        <w:rPr>
          <w:rFonts w:hint="eastAsia" w:ascii="仿宋" w:hAnsi="仿宋" w:cs="仿宋"/>
          <w:color w:val="auto"/>
          <w:highlight w:val="none"/>
        </w:rPr>
      </w:pPr>
      <w:r>
        <w:rPr>
          <w:rFonts w:hint="eastAsia" w:ascii="仿宋" w:hAnsi="仿宋" w:cs="仿宋"/>
          <w:color w:val="auto"/>
          <w:kern w:val="0"/>
          <w:highlight w:val="none"/>
        </w:rPr>
        <w:t>本供应商自愿参加</w:t>
      </w:r>
      <w:r>
        <w:rPr>
          <w:rFonts w:hint="eastAsia" w:ascii="仿宋" w:hAnsi="仿宋" w:cs="仿宋"/>
          <w:color w:val="auto"/>
          <w:highlight w:val="none"/>
          <w:u w:val="single"/>
        </w:rPr>
        <w:t xml:space="preserve">     </w:t>
      </w:r>
      <w:r>
        <w:rPr>
          <w:rFonts w:hint="eastAsia" w:ascii="仿宋" w:hAnsi="仿宋" w:cs="仿宋"/>
          <w:bCs/>
          <w:color w:val="auto"/>
          <w:spacing w:val="8"/>
          <w:highlight w:val="none"/>
          <w:u w:val="single"/>
        </w:rPr>
        <w:t xml:space="preserve"> 项目名称    </w:t>
      </w:r>
      <w:r>
        <w:rPr>
          <w:rFonts w:hint="eastAsia" w:ascii="仿宋" w:hAnsi="仿宋" w:cs="仿宋"/>
          <w:color w:val="auto"/>
          <w:highlight w:val="none"/>
        </w:rPr>
        <w:t>（项目编号：</w:t>
      </w:r>
      <w:r>
        <w:rPr>
          <w:rFonts w:hint="eastAsia" w:ascii="仿宋" w:hAnsi="仿宋" w:cs="仿宋"/>
          <w:color w:val="auto"/>
          <w:highlight w:val="none"/>
          <w:u w:val="single"/>
        </w:rPr>
        <w:t xml:space="preserve">             ，</w:t>
      </w:r>
      <w:r>
        <w:rPr>
          <w:rFonts w:hint="eastAsia" w:ascii="仿宋" w:hAnsi="仿宋" w:cs="仿宋"/>
          <w:bCs/>
          <w:color w:val="auto"/>
          <w:highlight w:val="none"/>
          <w:u w:val="single"/>
        </w:rPr>
        <w:t>包号：</w:t>
      </w:r>
      <w:r>
        <w:rPr>
          <w:rFonts w:hint="eastAsia" w:ascii="仿宋" w:hAnsi="仿宋" w:cs="仿宋"/>
          <w:bCs/>
          <w:color w:val="auto"/>
          <w:highlight w:val="none"/>
        </w:rPr>
        <w:t>第XX包</w:t>
      </w:r>
      <w:r>
        <w:rPr>
          <w:rFonts w:hint="eastAsia" w:ascii="仿宋" w:hAnsi="仿宋" w:cs="仿宋"/>
          <w:color w:val="auto"/>
          <w:highlight w:val="none"/>
        </w:rPr>
        <w:t>）</w:t>
      </w:r>
      <w:r>
        <w:rPr>
          <w:rFonts w:hint="eastAsia" w:ascii="仿宋" w:hAnsi="仿宋" w:cs="仿宋"/>
          <w:color w:val="auto"/>
          <w:kern w:val="0"/>
          <w:highlight w:val="none"/>
        </w:rPr>
        <w:t>的询比，并按询比文件要求交纳询比保证金，金额为人民币</w:t>
      </w:r>
      <w:r>
        <w:rPr>
          <w:rFonts w:hint="eastAsia" w:ascii="仿宋" w:hAnsi="仿宋" w:cs="仿宋"/>
          <w:color w:val="auto"/>
          <w:highlight w:val="none"/>
        </w:rPr>
        <w:t>大写：</w:t>
      </w:r>
      <w:r>
        <w:rPr>
          <w:rFonts w:hint="eastAsia" w:ascii="仿宋" w:hAnsi="仿宋" w:cs="仿宋"/>
          <w:color w:val="auto"/>
          <w:highlight w:val="none"/>
          <w:u w:val="single"/>
        </w:rPr>
        <w:t xml:space="preserve">     </w:t>
      </w:r>
      <w:r>
        <w:rPr>
          <w:rFonts w:hint="eastAsia" w:ascii="仿宋" w:hAnsi="仿宋" w:cs="仿宋"/>
          <w:color w:val="auto"/>
          <w:highlight w:val="none"/>
        </w:rPr>
        <w:t>(</w:t>
      </w:r>
      <w:r>
        <w:rPr>
          <w:rFonts w:hint="eastAsia" w:ascii="仿宋" w:hAnsi="仿宋" w:cs="仿宋"/>
          <w:color w:val="auto"/>
          <w:kern w:val="0"/>
          <w:highlight w:val="none"/>
        </w:rPr>
        <w:t>¥</w:t>
      </w:r>
      <w:r>
        <w:rPr>
          <w:rFonts w:hint="eastAsia" w:ascii="仿宋" w:hAnsi="仿宋" w:cs="仿宋"/>
          <w:color w:val="auto"/>
          <w:kern w:val="0"/>
          <w:highlight w:val="none"/>
          <w:u w:val="single"/>
        </w:rPr>
        <w:t xml:space="preserve"> </w:t>
      </w:r>
      <w:r>
        <w:rPr>
          <w:rFonts w:hint="eastAsia" w:ascii="仿宋" w:hAnsi="仿宋" w:cs="仿宋"/>
          <w:color w:val="auto"/>
          <w:highlight w:val="none"/>
          <w:u w:val="single"/>
        </w:rPr>
        <w:t xml:space="preserve">         </w:t>
      </w:r>
      <w:r>
        <w:rPr>
          <w:rFonts w:hint="eastAsia" w:ascii="仿宋" w:hAnsi="仿宋" w:cs="仿宋"/>
          <w:color w:val="auto"/>
          <w:highlight w:val="none"/>
        </w:rPr>
        <w:t>)。</w:t>
      </w:r>
    </w:p>
    <w:p w14:paraId="57DCBA64">
      <w:pPr>
        <w:ind w:firstLine="540"/>
        <w:rPr>
          <w:rFonts w:hint="eastAsia" w:ascii="仿宋" w:hAnsi="仿宋" w:cs="仿宋"/>
          <w:color w:val="auto"/>
          <w:highlight w:val="none"/>
        </w:rPr>
      </w:pPr>
    </w:p>
    <w:p w14:paraId="49E77A60">
      <w:pPr>
        <w:ind w:firstLine="540"/>
        <w:rPr>
          <w:rFonts w:hint="eastAsia" w:ascii="仿宋" w:hAnsi="仿宋" w:cs="仿宋"/>
          <w:color w:val="auto"/>
          <w:highlight w:val="none"/>
        </w:rPr>
      </w:pPr>
      <w:bookmarkStart w:id="214" w:name="_Hlk125741839"/>
      <w:r>
        <w:rPr>
          <w:rFonts w:hint="eastAsia" w:ascii="仿宋" w:hAnsi="仿宋" w:cs="仿宋"/>
          <w:color w:val="auto"/>
          <w:highlight w:val="none"/>
        </w:rPr>
        <w:t>附：转款凭证复印件</w:t>
      </w:r>
    </w:p>
    <w:bookmarkEnd w:id="214"/>
    <w:p w14:paraId="504E8BDE">
      <w:pPr>
        <w:ind w:firstLine="540"/>
        <w:rPr>
          <w:rFonts w:hint="eastAsia" w:ascii="仿宋" w:hAnsi="仿宋" w:cs="仿宋"/>
          <w:color w:val="auto"/>
          <w:highlight w:val="none"/>
        </w:rPr>
      </w:pPr>
    </w:p>
    <w:p w14:paraId="70589910">
      <w:pPr>
        <w:ind w:firstLine="540"/>
        <w:rPr>
          <w:rFonts w:hint="eastAsia" w:ascii="仿宋" w:hAnsi="仿宋" w:cs="仿宋"/>
          <w:color w:val="auto"/>
          <w:highlight w:val="none"/>
        </w:rPr>
      </w:pPr>
    </w:p>
    <w:p w14:paraId="11F4FDB7">
      <w:pPr>
        <w:ind w:firstLine="540"/>
        <w:rPr>
          <w:rFonts w:hint="eastAsia" w:ascii="仿宋" w:hAnsi="仿宋" w:cs="仿宋"/>
          <w:color w:val="auto"/>
          <w:highlight w:val="none"/>
        </w:rPr>
      </w:pPr>
    </w:p>
    <w:p w14:paraId="7EB6158A">
      <w:pPr>
        <w:ind w:firstLine="540"/>
        <w:rPr>
          <w:rFonts w:hint="eastAsia" w:ascii="仿宋" w:hAnsi="仿宋" w:cs="仿宋"/>
          <w:color w:val="auto"/>
          <w:highlight w:val="none"/>
        </w:rPr>
      </w:pPr>
      <w:r>
        <w:rPr>
          <w:rFonts w:hint="eastAsia" w:ascii="仿宋" w:hAnsi="仿宋" w:cs="仿宋"/>
          <w:color w:val="auto"/>
          <w:highlight w:val="none"/>
        </w:rPr>
        <w:t>供应商名称：              （公章）</w:t>
      </w:r>
    </w:p>
    <w:p w14:paraId="2A655AF3">
      <w:pPr>
        <w:ind w:firstLine="540"/>
        <w:rPr>
          <w:rFonts w:hint="eastAsia" w:ascii="仿宋" w:hAnsi="仿宋" w:cs="仿宋"/>
          <w:color w:val="auto"/>
          <w:highlight w:val="none"/>
        </w:rPr>
      </w:pPr>
      <w:r>
        <w:rPr>
          <w:rFonts w:hint="eastAsia" w:ascii="仿宋" w:hAnsi="仿宋" w:cs="仿宋"/>
          <w:color w:val="auto"/>
          <w:highlight w:val="none"/>
        </w:rPr>
        <w:t xml:space="preserve">日期：    年    月    日 </w:t>
      </w:r>
    </w:p>
    <w:p w14:paraId="0D5EF406">
      <w:pPr>
        <w:ind w:firstLine="480" w:firstLineChars="200"/>
        <w:rPr>
          <w:rFonts w:hint="eastAsia" w:ascii="仿宋" w:hAnsi="仿宋" w:cs="仿宋"/>
          <w:color w:val="auto"/>
          <w:highlight w:val="none"/>
        </w:rPr>
      </w:pPr>
    </w:p>
    <w:p w14:paraId="0EC43232">
      <w:pPr>
        <w:rPr>
          <w:color w:val="auto"/>
          <w:highlight w:val="none"/>
        </w:rPr>
      </w:pPr>
    </w:p>
    <w:p w14:paraId="17C65B7E">
      <w:pPr>
        <w:rPr>
          <w:color w:val="auto"/>
          <w:highlight w:val="none"/>
        </w:rPr>
      </w:pPr>
    </w:p>
    <w:p w14:paraId="2FB0B483">
      <w:pPr>
        <w:rPr>
          <w:color w:val="auto"/>
          <w:highlight w:val="none"/>
        </w:rPr>
      </w:pPr>
      <w:r>
        <w:rPr>
          <w:rFonts w:hint="eastAsia"/>
          <w:color w:val="auto"/>
          <w:highlight w:val="none"/>
        </w:rPr>
        <w:t>……</w:t>
      </w:r>
    </w:p>
    <w:p w14:paraId="2909C0DC">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br w:type="page"/>
      </w:r>
    </w:p>
    <w:p w14:paraId="76388565">
      <w:pPr>
        <w:widowControl/>
        <w:jc w:val="center"/>
        <w:outlineLvl w:val="1"/>
        <w:rPr>
          <w:rFonts w:hint="eastAsia" w:ascii="仿宋" w:hAnsi="仿宋"/>
          <w:b/>
          <w:color w:val="auto"/>
          <w:sz w:val="32"/>
          <w:szCs w:val="32"/>
          <w:highlight w:val="none"/>
        </w:rPr>
      </w:pPr>
      <w:bookmarkStart w:id="215" w:name="_Toc217446087"/>
      <w:r>
        <w:rPr>
          <w:rFonts w:hint="eastAsia" w:ascii="仿宋" w:hAnsi="仿宋"/>
          <w:b/>
          <w:color w:val="auto"/>
          <w:sz w:val="32"/>
          <w:szCs w:val="32"/>
          <w:highlight w:val="none"/>
        </w:rPr>
        <w:t>五、供应商基本情况表</w:t>
      </w:r>
    </w:p>
    <w:tbl>
      <w:tblPr>
        <w:tblStyle w:val="30"/>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080"/>
        <w:gridCol w:w="180"/>
        <w:gridCol w:w="1260"/>
        <w:gridCol w:w="1260"/>
        <w:gridCol w:w="420"/>
        <w:gridCol w:w="480"/>
        <w:gridCol w:w="360"/>
        <w:gridCol w:w="840"/>
        <w:gridCol w:w="60"/>
        <w:gridCol w:w="360"/>
        <w:gridCol w:w="1260"/>
      </w:tblGrid>
      <w:tr w14:paraId="7EB49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20" w:type="dxa"/>
            <w:vAlign w:val="center"/>
          </w:tcPr>
          <w:p w14:paraId="71626CD9">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供应商名称</w:t>
            </w:r>
          </w:p>
        </w:tc>
        <w:tc>
          <w:tcPr>
            <w:tcW w:w="7560" w:type="dxa"/>
            <w:gridSpan w:val="11"/>
            <w:vAlign w:val="center"/>
          </w:tcPr>
          <w:p w14:paraId="67F6B618">
            <w:pPr>
              <w:spacing w:line="240" w:lineRule="auto"/>
              <w:jc w:val="center"/>
              <w:rPr>
                <w:rFonts w:hint="eastAsia" w:ascii="仿宋" w:hAnsi="仿宋" w:cs="Arial"/>
                <w:bCs/>
                <w:color w:val="auto"/>
                <w:sz w:val="21"/>
                <w:szCs w:val="21"/>
                <w:highlight w:val="none"/>
              </w:rPr>
            </w:pPr>
          </w:p>
        </w:tc>
      </w:tr>
      <w:tr w14:paraId="4A474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620" w:type="dxa"/>
            <w:vAlign w:val="center"/>
          </w:tcPr>
          <w:p w14:paraId="71A73DC5">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注册地址</w:t>
            </w:r>
          </w:p>
        </w:tc>
        <w:tc>
          <w:tcPr>
            <w:tcW w:w="4680" w:type="dxa"/>
            <w:gridSpan w:val="6"/>
            <w:vAlign w:val="center"/>
          </w:tcPr>
          <w:p w14:paraId="37F9B510">
            <w:pPr>
              <w:spacing w:line="240" w:lineRule="auto"/>
              <w:jc w:val="center"/>
              <w:rPr>
                <w:rFonts w:hint="eastAsia" w:ascii="仿宋" w:hAnsi="仿宋" w:cs="Arial"/>
                <w:bCs/>
                <w:color w:val="auto"/>
                <w:sz w:val="21"/>
                <w:szCs w:val="21"/>
                <w:highlight w:val="none"/>
              </w:rPr>
            </w:pPr>
          </w:p>
        </w:tc>
        <w:tc>
          <w:tcPr>
            <w:tcW w:w="1260" w:type="dxa"/>
            <w:gridSpan w:val="3"/>
            <w:vAlign w:val="center"/>
          </w:tcPr>
          <w:p w14:paraId="01A40274">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邮政编码</w:t>
            </w:r>
          </w:p>
        </w:tc>
        <w:tc>
          <w:tcPr>
            <w:tcW w:w="1620" w:type="dxa"/>
            <w:gridSpan w:val="2"/>
            <w:vAlign w:val="center"/>
          </w:tcPr>
          <w:p w14:paraId="0BFED53D">
            <w:pPr>
              <w:spacing w:line="240" w:lineRule="auto"/>
              <w:jc w:val="center"/>
              <w:rPr>
                <w:rFonts w:hint="eastAsia" w:ascii="仿宋" w:hAnsi="仿宋" w:cs="Arial"/>
                <w:bCs/>
                <w:color w:val="auto"/>
                <w:sz w:val="21"/>
                <w:szCs w:val="21"/>
                <w:highlight w:val="none"/>
              </w:rPr>
            </w:pPr>
          </w:p>
        </w:tc>
      </w:tr>
      <w:tr w14:paraId="78815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620" w:type="dxa"/>
            <w:vMerge w:val="restart"/>
            <w:vAlign w:val="center"/>
          </w:tcPr>
          <w:p w14:paraId="2BB0473B">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联系方式</w:t>
            </w:r>
          </w:p>
        </w:tc>
        <w:tc>
          <w:tcPr>
            <w:tcW w:w="1080" w:type="dxa"/>
            <w:vAlign w:val="center"/>
          </w:tcPr>
          <w:p w14:paraId="24A97502">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联系人</w:t>
            </w:r>
          </w:p>
        </w:tc>
        <w:tc>
          <w:tcPr>
            <w:tcW w:w="3600" w:type="dxa"/>
            <w:gridSpan w:val="5"/>
            <w:vAlign w:val="center"/>
          </w:tcPr>
          <w:p w14:paraId="13FA87A6">
            <w:pPr>
              <w:spacing w:line="240" w:lineRule="auto"/>
              <w:jc w:val="center"/>
              <w:rPr>
                <w:rFonts w:hint="eastAsia" w:ascii="仿宋" w:hAnsi="仿宋" w:cs="Arial"/>
                <w:bCs/>
                <w:color w:val="auto"/>
                <w:sz w:val="21"/>
                <w:szCs w:val="21"/>
                <w:highlight w:val="none"/>
              </w:rPr>
            </w:pPr>
          </w:p>
        </w:tc>
        <w:tc>
          <w:tcPr>
            <w:tcW w:w="1260" w:type="dxa"/>
            <w:gridSpan w:val="3"/>
            <w:vAlign w:val="center"/>
          </w:tcPr>
          <w:p w14:paraId="0D32AE72">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联系电话</w:t>
            </w:r>
          </w:p>
        </w:tc>
        <w:tc>
          <w:tcPr>
            <w:tcW w:w="1620" w:type="dxa"/>
            <w:gridSpan w:val="2"/>
            <w:vAlign w:val="center"/>
          </w:tcPr>
          <w:p w14:paraId="6C5AF54C">
            <w:pPr>
              <w:spacing w:line="240" w:lineRule="auto"/>
              <w:jc w:val="center"/>
              <w:rPr>
                <w:rFonts w:hint="eastAsia" w:ascii="仿宋" w:hAnsi="仿宋" w:cs="Arial"/>
                <w:bCs/>
                <w:color w:val="auto"/>
                <w:sz w:val="21"/>
                <w:szCs w:val="21"/>
                <w:highlight w:val="none"/>
              </w:rPr>
            </w:pPr>
          </w:p>
        </w:tc>
      </w:tr>
      <w:tr w14:paraId="57A9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20" w:type="dxa"/>
            <w:vMerge w:val="continue"/>
            <w:vAlign w:val="center"/>
          </w:tcPr>
          <w:p w14:paraId="145C100A">
            <w:pPr>
              <w:spacing w:line="240" w:lineRule="auto"/>
              <w:jc w:val="center"/>
              <w:rPr>
                <w:rFonts w:hint="eastAsia" w:ascii="仿宋" w:hAnsi="仿宋" w:cs="Arial"/>
                <w:bCs/>
                <w:color w:val="auto"/>
                <w:sz w:val="21"/>
                <w:szCs w:val="21"/>
                <w:highlight w:val="none"/>
              </w:rPr>
            </w:pPr>
          </w:p>
        </w:tc>
        <w:tc>
          <w:tcPr>
            <w:tcW w:w="1080" w:type="dxa"/>
            <w:vAlign w:val="center"/>
          </w:tcPr>
          <w:p w14:paraId="2ADFFBEB">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传真</w:t>
            </w:r>
          </w:p>
        </w:tc>
        <w:tc>
          <w:tcPr>
            <w:tcW w:w="3600" w:type="dxa"/>
            <w:gridSpan w:val="5"/>
            <w:vAlign w:val="center"/>
          </w:tcPr>
          <w:p w14:paraId="6DD02742">
            <w:pPr>
              <w:spacing w:line="240" w:lineRule="auto"/>
              <w:jc w:val="center"/>
              <w:rPr>
                <w:rFonts w:hint="eastAsia" w:ascii="仿宋" w:hAnsi="仿宋" w:cs="Arial"/>
                <w:bCs/>
                <w:color w:val="auto"/>
                <w:sz w:val="21"/>
                <w:szCs w:val="21"/>
                <w:highlight w:val="none"/>
              </w:rPr>
            </w:pPr>
          </w:p>
        </w:tc>
        <w:tc>
          <w:tcPr>
            <w:tcW w:w="1260" w:type="dxa"/>
            <w:gridSpan w:val="3"/>
            <w:vAlign w:val="center"/>
          </w:tcPr>
          <w:p w14:paraId="657EF45A">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网址</w:t>
            </w:r>
          </w:p>
        </w:tc>
        <w:tc>
          <w:tcPr>
            <w:tcW w:w="1620" w:type="dxa"/>
            <w:gridSpan w:val="2"/>
            <w:vAlign w:val="center"/>
          </w:tcPr>
          <w:p w14:paraId="527117C1">
            <w:pPr>
              <w:spacing w:line="240" w:lineRule="auto"/>
              <w:jc w:val="center"/>
              <w:rPr>
                <w:rFonts w:hint="eastAsia" w:ascii="仿宋" w:hAnsi="仿宋" w:cs="Arial"/>
                <w:bCs/>
                <w:color w:val="auto"/>
                <w:sz w:val="21"/>
                <w:szCs w:val="21"/>
                <w:highlight w:val="none"/>
              </w:rPr>
            </w:pPr>
          </w:p>
        </w:tc>
      </w:tr>
      <w:tr w14:paraId="6A061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20" w:type="dxa"/>
            <w:vAlign w:val="center"/>
          </w:tcPr>
          <w:p w14:paraId="11FCB8CD">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组织结构</w:t>
            </w:r>
          </w:p>
        </w:tc>
        <w:tc>
          <w:tcPr>
            <w:tcW w:w="7560" w:type="dxa"/>
            <w:gridSpan w:val="11"/>
            <w:vAlign w:val="center"/>
          </w:tcPr>
          <w:p w14:paraId="274A575B">
            <w:pPr>
              <w:spacing w:line="240" w:lineRule="auto"/>
              <w:jc w:val="center"/>
              <w:rPr>
                <w:rFonts w:hint="eastAsia" w:ascii="仿宋" w:hAnsi="仿宋" w:cs="Arial"/>
                <w:bCs/>
                <w:color w:val="auto"/>
                <w:sz w:val="21"/>
                <w:szCs w:val="21"/>
                <w:highlight w:val="none"/>
              </w:rPr>
            </w:pPr>
          </w:p>
        </w:tc>
      </w:tr>
      <w:tr w14:paraId="39CAA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20" w:type="dxa"/>
            <w:vAlign w:val="center"/>
          </w:tcPr>
          <w:p w14:paraId="05D86F5A">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法定代表人</w:t>
            </w:r>
          </w:p>
        </w:tc>
        <w:tc>
          <w:tcPr>
            <w:tcW w:w="1260" w:type="dxa"/>
            <w:gridSpan w:val="2"/>
            <w:vAlign w:val="center"/>
          </w:tcPr>
          <w:p w14:paraId="5B348BDD">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姓名</w:t>
            </w:r>
          </w:p>
        </w:tc>
        <w:tc>
          <w:tcPr>
            <w:tcW w:w="1260" w:type="dxa"/>
            <w:vAlign w:val="center"/>
          </w:tcPr>
          <w:p w14:paraId="09E671A8">
            <w:pPr>
              <w:spacing w:line="240" w:lineRule="auto"/>
              <w:jc w:val="center"/>
              <w:rPr>
                <w:rFonts w:hint="eastAsia" w:ascii="仿宋" w:hAnsi="仿宋" w:cs="Arial"/>
                <w:bCs/>
                <w:color w:val="auto"/>
                <w:sz w:val="21"/>
                <w:szCs w:val="21"/>
                <w:highlight w:val="none"/>
              </w:rPr>
            </w:pPr>
          </w:p>
        </w:tc>
        <w:tc>
          <w:tcPr>
            <w:tcW w:w="1260" w:type="dxa"/>
            <w:vAlign w:val="center"/>
          </w:tcPr>
          <w:p w14:paraId="68A301BC">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技术职称</w:t>
            </w:r>
          </w:p>
        </w:tc>
        <w:tc>
          <w:tcPr>
            <w:tcW w:w="1260" w:type="dxa"/>
            <w:gridSpan w:val="3"/>
            <w:vAlign w:val="center"/>
          </w:tcPr>
          <w:p w14:paraId="508682FB">
            <w:pPr>
              <w:spacing w:line="240" w:lineRule="auto"/>
              <w:jc w:val="center"/>
              <w:rPr>
                <w:rFonts w:hint="eastAsia" w:ascii="仿宋" w:hAnsi="仿宋" w:cs="Arial"/>
                <w:bCs/>
                <w:color w:val="auto"/>
                <w:sz w:val="21"/>
                <w:szCs w:val="21"/>
                <w:highlight w:val="none"/>
              </w:rPr>
            </w:pPr>
          </w:p>
        </w:tc>
        <w:tc>
          <w:tcPr>
            <w:tcW w:w="1260" w:type="dxa"/>
            <w:gridSpan w:val="3"/>
            <w:vAlign w:val="center"/>
          </w:tcPr>
          <w:p w14:paraId="535BB06C">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联系电话</w:t>
            </w:r>
          </w:p>
        </w:tc>
        <w:tc>
          <w:tcPr>
            <w:tcW w:w="1260" w:type="dxa"/>
            <w:vAlign w:val="center"/>
          </w:tcPr>
          <w:p w14:paraId="7F8C05E2">
            <w:pPr>
              <w:spacing w:line="240" w:lineRule="auto"/>
              <w:jc w:val="center"/>
              <w:rPr>
                <w:rFonts w:hint="eastAsia" w:ascii="仿宋" w:hAnsi="仿宋" w:cs="Arial"/>
                <w:bCs/>
                <w:color w:val="auto"/>
                <w:sz w:val="21"/>
                <w:szCs w:val="21"/>
                <w:highlight w:val="none"/>
              </w:rPr>
            </w:pPr>
          </w:p>
        </w:tc>
      </w:tr>
      <w:tr w14:paraId="0D4C7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20" w:type="dxa"/>
            <w:vAlign w:val="center"/>
          </w:tcPr>
          <w:p w14:paraId="2ED3DF2C">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技术负责人</w:t>
            </w:r>
          </w:p>
        </w:tc>
        <w:tc>
          <w:tcPr>
            <w:tcW w:w="1260" w:type="dxa"/>
            <w:gridSpan w:val="2"/>
            <w:vAlign w:val="center"/>
          </w:tcPr>
          <w:p w14:paraId="11256385">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姓名</w:t>
            </w:r>
          </w:p>
        </w:tc>
        <w:tc>
          <w:tcPr>
            <w:tcW w:w="1260" w:type="dxa"/>
            <w:vAlign w:val="center"/>
          </w:tcPr>
          <w:p w14:paraId="62679232">
            <w:pPr>
              <w:spacing w:line="240" w:lineRule="auto"/>
              <w:jc w:val="center"/>
              <w:rPr>
                <w:rFonts w:hint="eastAsia" w:ascii="仿宋" w:hAnsi="仿宋" w:cs="Arial"/>
                <w:bCs/>
                <w:color w:val="auto"/>
                <w:sz w:val="21"/>
                <w:szCs w:val="21"/>
                <w:highlight w:val="none"/>
              </w:rPr>
            </w:pPr>
          </w:p>
        </w:tc>
        <w:tc>
          <w:tcPr>
            <w:tcW w:w="1260" w:type="dxa"/>
            <w:vAlign w:val="center"/>
          </w:tcPr>
          <w:p w14:paraId="3A6080CD">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技术职称</w:t>
            </w:r>
          </w:p>
        </w:tc>
        <w:tc>
          <w:tcPr>
            <w:tcW w:w="1260" w:type="dxa"/>
            <w:gridSpan w:val="3"/>
            <w:vAlign w:val="center"/>
          </w:tcPr>
          <w:p w14:paraId="2339FCE2">
            <w:pPr>
              <w:spacing w:line="240" w:lineRule="auto"/>
              <w:jc w:val="center"/>
              <w:rPr>
                <w:rFonts w:hint="eastAsia" w:ascii="仿宋" w:hAnsi="仿宋" w:cs="Arial"/>
                <w:bCs/>
                <w:color w:val="auto"/>
                <w:sz w:val="21"/>
                <w:szCs w:val="21"/>
                <w:highlight w:val="none"/>
              </w:rPr>
            </w:pPr>
          </w:p>
        </w:tc>
        <w:tc>
          <w:tcPr>
            <w:tcW w:w="1260" w:type="dxa"/>
            <w:gridSpan w:val="3"/>
            <w:vAlign w:val="center"/>
          </w:tcPr>
          <w:p w14:paraId="02A73DBA">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联系电话</w:t>
            </w:r>
          </w:p>
        </w:tc>
        <w:tc>
          <w:tcPr>
            <w:tcW w:w="1260" w:type="dxa"/>
            <w:vAlign w:val="center"/>
          </w:tcPr>
          <w:p w14:paraId="64F7B0F4">
            <w:pPr>
              <w:spacing w:line="240" w:lineRule="auto"/>
              <w:jc w:val="center"/>
              <w:rPr>
                <w:rFonts w:hint="eastAsia" w:ascii="仿宋" w:hAnsi="仿宋" w:cs="Arial"/>
                <w:bCs/>
                <w:color w:val="auto"/>
                <w:sz w:val="21"/>
                <w:szCs w:val="21"/>
                <w:highlight w:val="none"/>
              </w:rPr>
            </w:pPr>
          </w:p>
        </w:tc>
      </w:tr>
      <w:tr w14:paraId="3A5B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0" w:type="dxa"/>
            <w:vAlign w:val="center"/>
          </w:tcPr>
          <w:p w14:paraId="4A6AED7B">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成立时间</w:t>
            </w:r>
          </w:p>
        </w:tc>
        <w:tc>
          <w:tcPr>
            <w:tcW w:w="2520" w:type="dxa"/>
            <w:gridSpan w:val="3"/>
            <w:vAlign w:val="center"/>
          </w:tcPr>
          <w:p w14:paraId="03256220">
            <w:pPr>
              <w:spacing w:line="240" w:lineRule="auto"/>
              <w:jc w:val="center"/>
              <w:rPr>
                <w:rFonts w:hint="eastAsia" w:ascii="仿宋" w:hAnsi="仿宋" w:cs="Arial"/>
                <w:bCs/>
                <w:color w:val="auto"/>
                <w:sz w:val="21"/>
                <w:szCs w:val="21"/>
                <w:highlight w:val="none"/>
              </w:rPr>
            </w:pPr>
          </w:p>
        </w:tc>
        <w:tc>
          <w:tcPr>
            <w:tcW w:w="5040" w:type="dxa"/>
            <w:gridSpan w:val="8"/>
            <w:vAlign w:val="center"/>
          </w:tcPr>
          <w:p w14:paraId="4C322251">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员工总人数：</w:t>
            </w:r>
          </w:p>
        </w:tc>
      </w:tr>
      <w:tr w14:paraId="183BF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620" w:type="dxa"/>
            <w:vAlign w:val="center"/>
          </w:tcPr>
          <w:p w14:paraId="5DED6BD7">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企业资质等级</w:t>
            </w:r>
          </w:p>
        </w:tc>
        <w:tc>
          <w:tcPr>
            <w:tcW w:w="2520" w:type="dxa"/>
            <w:gridSpan w:val="3"/>
            <w:vAlign w:val="center"/>
          </w:tcPr>
          <w:p w14:paraId="784F0A58">
            <w:pPr>
              <w:spacing w:line="240" w:lineRule="auto"/>
              <w:jc w:val="center"/>
              <w:rPr>
                <w:rFonts w:hint="eastAsia" w:ascii="仿宋" w:hAnsi="仿宋" w:cs="Arial"/>
                <w:bCs/>
                <w:color w:val="auto"/>
                <w:sz w:val="21"/>
                <w:szCs w:val="21"/>
                <w:highlight w:val="none"/>
              </w:rPr>
            </w:pPr>
          </w:p>
        </w:tc>
        <w:tc>
          <w:tcPr>
            <w:tcW w:w="1680" w:type="dxa"/>
            <w:gridSpan w:val="2"/>
            <w:vMerge w:val="restart"/>
            <w:vAlign w:val="center"/>
          </w:tcPr>
          <w:p w14:paraId="0B4CB9BF">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其中</w:t>
            </w:r>
          </w:p>
        </w:tc>
        <w:tc>
          <w:tcPr>
            <w:tcW w:w="1680" w:type="dxa"/>
            <w:gridSpan w:val="3"/>
            <w:vAlign w:val="center"/>
          </w:tcPr>
          <w:p w14:paraId="197E9DE5">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项目经理</w:t>
            </w:r>
          </w:p>
        </w:tc>
        <w:tc>
          <w:tcPr>
            <w:tcW w:w="1680" w:type="dxa"/>
            <w:gridSpan w:val="3"/>
            <w:vAlign w:val="center"/>
          </w:tcPr>
          <w:p w14:paraId="297C14F0">
            <w:pPr>
              <w:spacing w:line="240" w:lineRule="auto"/>
              <w:jc w:val="center"/>
              <w:rPr>
                <w:rFonts w:hint="eastAsia" w:ascii="仿宋" w:hAnsi="仿宋" w:cs="Arial"/>
                <w:bCs/>
                <w:color w:val="auto"/>
                <w:sz w:val="21"/>
                <w:szCs w:val="21"/>
                <w:highlight w:val="none"/>
              </w:rPr>
            </w:pPr>
          </w:p>
        </w:tc>
      </w:tr>
      <w:tr w14:paraId="32C87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20" w:type="dxa"/>
            <w:vAlign w:val="center"/>
          </w:tcPr>
          <w:p w14:paraId="5095A687">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营业执照</w:t>
            </w:r>
            <w:r>
              <w:rPr>
                <w:rFonts w:hint="eastAsia" w:ascii="仿宋" w:hAnsi="仿宋"/>
                <w:color w:val="auto"/>
                <w:sz w:val="21"/>
                <w:szCs w:val="21"/>
                <w:highlight w:val="none"/>
              </w:rPr>
              <w:t>号</w:t>
            </w:r>
          </w:p>
        </w:tc>
        <w:tc>
          <w:tcPr>
            <w:tcW w:w="2520" w:type="dxa"/>
            <w:gridSpan w:val="3"/>
            <w:vAlign w:val="center"/>
          </w:tcPr>
          <w:p w14:paraId="18227B9C">
            <w:pPr>
              <w:spacing w:line="240" w:lineRule="auto"/>
              <w:jc w:val="center"/>
              <w:rPr>
                <w:rFonts w:hint="eastAsia" w:ascii="仿宋" w:hAnsi="仿宋" w:cs="Arial"/>
                <w:bCs/>
                <w:color w:val="auto"/>
                <w:sz w:val="21"/>
                <w:szCs w:val="21"/>
                <w:highlight w:val="none"/>
              </w:rPr>
            </w:pPr>
          </w:p>
        </w:tc>
        <w:tc>
          <w:tcPr>
            <w:tcW w:w="1680" w:type="dxa"/>
            <w:gridSpan w:val="2"/>
            <w:vMerge w:val="continue"/>
            <w:vAlign w:val="center"/>
          </w:tcPr>
          <w:p w14:paraId="7DECDF18">
            <w:pPr>
              <w:spacing w:line="240" w:lineRule="auto"/>
              <w:jc w:val="center"/>
              <w:rPr>
                <w:rFonts w:hint="eastAsia" w:ascii="仿宋" w:hAnsi="仿宋" w:cs="Arial"/>
                <w:bCs/>
                <w:color w:val="auto"/>
                <w:sz w:val="21"/>
                <w:szCs w:val="21"/>
                <w:highlight w:val="none"/>
              </w:rPr>
            </w:pPr>
          </w:p>
        </w:tc>
        <w:tc>
          <w:tcPr>
            <w:tcW w:w="1680" w:type="dxa"/>
            <w:gridSpan w:val="3"/>
            <w:vAlign w:val="center"/>
          </w:tcPr>
          <w:p w14:paraId="03378A3E">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高级职称人员</w:t>
            </w:r>
          </w:p>
        </w:tc>
        <w:tc>
          <w:tcPr>
            <w:tcW w:w="1680" w:type="dxa"/>
            <w:gridSpan w:val="3"/>
            <w:vAlign w:val="center"/>
          </w:tcPr>
          <w:p w14:paraId="04BF1D02">
            <w:pPr>
              <w:spacing w:line="240" w:lineRule="auto"/>
              <w:jc w:val="center"/>
              <w:rPr>
                <w:rFonts w:hint="eastAsia" w:ascii="仿宋" w:hAnsi="仿宋" w:cs="Arial"/>
                <w:bCs/>
                <w:color w:val="auto"/>
                <w:sz w:val="21"/>
                <w:szCs w:val="21"/>
                <w:highlight w:val="none"/>
              </w:rPr>
            </w:pPr>
          </w:p>
        </w:tc>
      </w:tr>
      <w:tr w14:paraId="46CE2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620" w:type="dxa"/>
            <w:vAlign w:val="center"/>
          </w:tcPr>
          <w:p w14:paraId="4F84383E">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注册资金</w:t>
            </w:r>
          </w:p>
        </w:tc>
        <w:tc>
          <w:tcPr>
            <w:tcW w:w="2520" w:type="dxa"/>
            <w:gridSpan w:val="3"/>
            <w:vAlign w:val="center"/>
          </w:tcPr>
          <w:p w14:paraId="1E6E6FD0">
            <w:pPr>
              <w:spacing w:line="240" w:lineRule="auto"/>
              <w:jc w:val="center"/>
              <w:rPr>
                <w:rFonts w:hint="eastAsia" w:ascii="仿宋" w:hAnsi="仿宋" w:cs="Arial"/>
                <w:bCs/>
                <w:color w:val="auto"/>
                <w:sz w:val="21"/>
                <w:szCs w:val="21"/>
                <w:highlight w:val="none"/>
              </w:rPr>
            </w:pPr>
          </w:p>
        </w:tc>
        <w:tc>
          <w:tcPr>
            <w:tcW w:w="1680" w:type="dxa"/>
            <w:gridSpan w:val="2"/>
            <w:vMerge w:val="continue"/>
            <w:vAlign w:val="center"/>
          </w:tcPr>
          <w:p w14:paraId="0DC45316">
            <w:pPr>
              <w:spacing w:line="240" w:lineRule="auto"/>
              <w:jc w:val="center"/>
              <w:rPr>
                <w:rFonts w:hint="eastAsia" w:ascii="仿宋" w:hAnsi="仿宋" w:cs="Arial"/>
                <w:bCs/>
                <w:color w:val="auto"/>
                <w:sz w:val="21"/>
                <w:szCs w:val="21"/>
                <w:highlight w:val="none"/>
              </w:rPr>
            </w:pPr>
          </w:p>
        </w:tc>
        <w:tc>
          <w:tcPr>
            <w:tcW w:w="1680" w:type="dxa"/>
            <w:gridSpan w:val="3"/>
            <w:vAlign w:val="center"/>
          </w:tcPr>
          <w:p w14:paraId="3FB42246">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中级职称人员</w:t>
            </w:r>
          </w:p>
        </w:tc>
        <w:tc>
          <w:tcPr>
            <w:tcW w:w="1680" w:type="dxa"/>
            <w:gridSpan w:val="3"/>
            <w:vAlign w:val="center"/>
          </w:tcPr>
          <w:p w14:paraId="7C93A281">
            <w:pPr>
              <w:spacing w:line="240" w:lineRule="auto"/>
              <w:jc w:val="center"/>
              <w:rPr>
                <w:rFonts w:hint="eastAsia" w:ascii="仿宋" w:hAnsi="仿宋" w:cs="Arial"/>
                <w:bCs/>
                <w:color w:val="auto"/>
                <w:sz w:val="21"/>
                <w:szCs w:val="21"/>
                <w:highlight w:val="none"/>
              </w:rPr>
            </w:pPr>
          </w:p>
        </w:tc>
      </w:tr>
      <w:tr w14:paraId="48DE9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620" w:type="dxa"/>
            <w:vAlign w:val="center"/>
          </w:tcPr>
          <w:p w14:paraId="6EF630A9">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开户银行</w:t>
            </w:r>
          </w:p>
        </w:tc>
        <w:tc>
          <w:tcPr>
            <w:tcW w:w="2520" w:type="dxa"/>
            <w:gridSpan w:val="3"/>
            <w:vAlign w:val="center"/>
          </w:tcPr>
          <w:p w14:paraId="75B5C1DF">
            <w:pPr>
              <w:spacing w:line="240" w:lineRule="auto"/>
              <w:jc w:val="center"/>
              <w:rPr>
                <w:rFonts w:hint="eastAsia" w:ascii="仿宋" w:hAnsi="仿宋" w:cs="Arial"/>
                <w:bCs/>
                <w:color w:val="auto"/>
                <w:sz w:val="21"/>
                <w:szCs w:val="21"/>
                <w:highlight w:val="none"/>
              </w:rPr>
            </w:pPr>
          </w:p>
        </w:tc>
        <w:tc>
          <w:tcPr>
            <w:tcW w:w="1680" w:type="dxa"/>
            <w:gridSpan w:val="2"/>
            <w:vMerge w:val="continue"/>
            <w:vAlign w:val="center"/>
          </w:tcPr>
          <w:p w14:paraId="58DB793A">
            <w:pPr>
              <w:spacing w:line="240" w:lineRule="auto"/>
              <w:jc w:val="center"/>
              <w:rPr>
                <w:rFonts w:hint="eastAsia" w:ascii="仿宋" w:hAnsi="仿宋" w:cs="Arial"/>
                <w:bCs/>
                <w:color w:val="auto"/>
                <w:sz w:val="21"/>
                <w:szCs w:val="21"/>
                <w:highlight w:val="none"/>
              </w:rPr>
            </w:pPr>
          </w:p>
        </w:tc>
        <w:tc>
          <w:tcPr>
            <w:tcW w:w="1680" w:type="dxa"/>
            <w:gridSpan w:val="3"/>
            <w:vAlign w:val="center"/>
          </w:tcPr>
          <w:p w14:paraId="76C69197">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初级职称人员</w:t>
            </w:r>
          </w:p>
        </w:tc>
        <w:tc>
          <w:tcPr>
            <w:tcW w:w="1680" w:type="dxa"/>
            <w:gridSpan w:val="3"/>
            <w:vAlign w:val="center"/>
          </w:tcPr>
          <w:p w14:paraId="3ACC40CC">
            <w:pPr>
              <w:spacing w:line="240" w:lineRule="auto"/>
              <w:jc w:val="center"/>
              <w:rPr>
                <w:rFonts w:hint="eastAsia" w:ascii="仿宋" w:hAnsi="仿宋" w:cs="Arial"/>
                <w:bCs/>
                <w:color w:val="auto"/>
                <w:sz w:val="21"/>
                <w:szCs w:val="21"/>
                <w:highlight w:val="none"/>
              </w:rPr>
            </w:pPr>
          </w:p>
        </w:tc>
      </w:tr>
      <w:tr w14:paraId="379F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620" w:type="dxa"/>
            <w:vAlign w:val="center"/>
          </w:tcPr>
          <w:p w14:paraId="1F6672BF">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账号</w:t>
            </w:r>
          </w:p>
        </w:tc>
        <w:tc>
          <w:tcPr>
            <w:tcW w:w="2520" w:type="dxa"/>
            <w:gridSpan w:val="3"/>
            <w:vAlign w:val="center"/>
          </w:tcPr>
          <w:p w14:paraId="384CD9C9">
            <w:pPr>
              <w:spacing w:line="240" w:lineRule="auto"/>
              <w:jc w:val="center"/>
              <w:rPr>
                <w:rFonts w:hint="eastAsia" w:ascii="仿宋" w:hAnsi="仿宋" w:cs="Arial"/>
                <w:bCs/>
                <w:color w:val="auto"/>
                <w:sz w:val="21"/>
                <w:szCs w:val="21"/>
                <w:highlight w:val="none"/>
              </w:rPr>
            </w:pPr>
          </w:p>
        </w:tc>
        <w:tc>
          <w:tcPr>
            <w:tcW w:w="1680" w:type="dxa"/>
            <w:gridSpan w:val="2"/>
            <w:vMerge w:val="continue"/>
            <w:vAlign w:val="center"/>
          </w:tcPr>
          <w:p w14:paraId="774BCA09">
            <w:pPr>
              <w:spacing w:line="240" w:lineRule="auto"/>
              <w:jc w:val="center"/>
              <w:rPr>
                <w:rFonts w:hint="eastAsia" w:ascii="仿宋" w:hAnsi="仿宋" w:cs="Arial"/>
                <w:bCs/>
                <w:color w:val="auto"/>
                <w:sz w:val="21"/>
                <w:szCs w:val="21"/>
                <w:highlight w:val="none"/>
              </w:rPr>
            </w:pPr>
          </w:p>
        </w:tc>
        <w:tc>
          <w:tcPr>
            <w:tcW w:w="1680" w:type="dxa"/>
            <w:gridSpan w:val="3"/>
            <w:vAlign w:val="center"/>
          </w:tcPr>
          <w:p w14:paraId="3192A931">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技工</w:t>
            </w:r>
          </w:p>
        </w:tc>
        <w:tc>
          <w:tcPr>
            <w:tcW w:w="1680" w:type="dxa"/>
            <w:gridSpan w:val="3"/>
            <w:vAlign w:val="center"/>
          </w:tcPr>
          <w:p w14:paraId="62718242">
            <w:pPr>
              <w:spacing w:line="240" w:lineRule="auto"/>
              <w:jc w:val="center"/>
              <w:rPr>
                <w:rFonts w:hint="eastAsia" w:ascii="仿宋" w:hAnsi="仿宋" w:cs="Arial"/>
                <w:bCs/>
                <w:color w:val="auto"/>
                <w:sz w:val="21"/>
                <w:szCs w:val="21"/>
                <w:highlight w:val="none"/>
              </w:rPr>
            </w:pPr>
          </w:p>
        </w:tc>
      </w:tr>
      <w:tr w14:paraId="2E47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1620" w:type="dxa"/>
            <w:vAlign w:val="center"/>
          </w:tcPr>
          <w:p w14:paraId="6AC66560">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经营范围</w:t>
            </w:r>
          </w:p>
        </w:tc>
        <w:tc>
          <w:tcPr>
            <w:tcW w:w="7560" w:type="dxa"/>
            <w:gridSpan w:val="11"/>
            <w:vAlign w:val="center"/>
          </w:tcPr>
          <w:p w14:paraId="582C15A6">
            <w:pPr>
              <w:spacing w:line="240" w:lineRule="auto"/>
              <w:jc w:val="center"/>
              <w:rPr>
                <w:rFonts w:hint="eastAsia" w:ascii="仿宋" w:hAnsi="仿宋" w:cs="Arial"/>
                <w:bCs/>
                <w:color w:val="auto"/>
                <w:sz w:val="21"/>
                <w:szCs w:val="21"/>
                <w:highlight w:val="none"/>
              </w:rPr>
            </w:pPr>
          </w:p>
        </w:tc>
      </w:tr>
      <w:tr w14:paraId="5016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20" w:type="dxa"/>
            <w:vAlign w:val="center"/>
          </w:tcPr>
          <w:p w14:paraId="05F5C449">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备注</w:t>
            </w:r>
          </w:p>
        </w:tc>
        <w:tc>
          <w:tcPr>
            <w:tcW w:w="7560" w:type="dxa"/>
            <w:gridSpan w:val="11"/>
            <w:vAlign w:val="center"/>
          </w:tcPr>
          <w:p w14:paraId="4077D440">
            <w:pPr>
              <w:spacing w:line="240" w:lineRule="auto"/>
              <w:jc w:val="center"/>
              <w:rPr>
                <w:rFonts w:hint="eastAsia" w:ascii="仿宋" w:hAnsi="仿宋" w:cs="Arial"/>
                <w:bCs/>
                <w:color w:val="auto"/>
                <w:sz w:val="21"/>
                <w:szCs w:val="21"/>
                <w:highlight w:val="none"/>
              </w:rPr>
            </w:pPr>
          </w:p>
        </w:tc>
      </w:tr>
    </w:tbl>
    <w:p w14:paraId="06E4B88F">
      <w:pPr>
        <w:rPr>
          <w:rFonts w:hint="eastAsia" w:ascii="仿宋" w:hAnsi="仿宋"/>
          <w:color w:val="auto"/>
          <w:highlight w:val="none"/>
        </w:rPr>
      </w:pPr>
    </w:p>
    <w:p w14:paraId="0F890172">
      <w:pPr>
        <w:widowControl/>
        <w:spacing w:line="240" w:lineRule="auto"/>
        <w:jc w:val="left"/>
        <w:rPr>
          <w:rFonts w:hint="eastAsia" w:ascii="仿宋" w:hAnsi="仿宋"/>
          <w:color w:val="auto"/>
          <w:highlight w:val="none"/>
        </w:rPr>
      </w:pPr>
      <w:r>
        <w:rPr>
          <w:rFonts w:ascii="仿宋" w:hAnsi="仿宋"/>
          <w:color w:val="auto"/>
          <w:highlight w:val="none"/>
        </w:rPr>
        <w:br w:type="page"/>
      </w:r>
    </w:p>
    <w:p w14:paraId="16092E6F">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t>六、技术响应表</w:t>
      </w:r>
    </w:p>
    <w:p w14:paraId="79471EC1">
      <w:pPr>
        <w:jc w:val="center"/>
        <w:rPr>
          <w:color w:val="auto"/>
          <w:highlight w:val="none"/>
        </w:rPr>
      </w:pPr>
      <w:r>
        <w:rPr>
          <w:rFonts w:hint="eastAsia" w:ascii="黑体" w:hAnsi="黑体" w:eastAsia="黑体" w:cs="黑体"/>
          <w:b/>
          <w:bCs/>
          <w:color w:val="auto"/>
          <w:sz w:val="28"/>
          <w:szCs w:val="28"/>
          <w:highlight w:val="none"/>
        </w:rPr>
        <w:t>技术响应表</w:t>
      </w:r>
    </w:p>
    <w:tbl>
      <w:tblPr>
        <w:tblStyle w:val="30"/>
        <w:tblW w:w="967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72"/>
        <w:gridCol w:w="2859"/>
        <w:gridCol w:w="2885"/>
        <w:gridCol w:w="1872"/>
        <w:gridCol w:w="1390"/>
      </w:tblGrid>
      <w:tr w14:paraId="64FD7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72" w:type="dxa"/>
            <w:tcBorders>
              <w:top w:val="single" w:color="000000" w:sz="4" w:space="0"/>
              <w:left w:val="single" w:color="000000" w:sz="4" w:space="0"/>
              <w:bottom w:val="single" w:color="000000" w:sz="4" w:space="0"/>
              <w:right w:val="single" w:color="000000" w:sz="4" w:space="0"/>
            </w:tcBorders>
            <w:vAlign w:val="center"/>
          </w:tcPr>
          <w:p w14:paraId="3873C86D">
            <w:pPr>
              <w:snapToGrid w:val="0"/>
              <w:spacing w:line="240" w:lineRule="auto"/>
              <w:jc w:val="center"/>
              <w:textAlignment w:val="baseline"/>
              <w:rPr>
                <w:rStyle w:val="98"/>
                <w:rFonts w:hint="eastAsia" w:ascii="仿宋" w:hAnsi="仿宋" w:cs="仿宋"/>
                <w:color w:val="auto"/>
                <w:sz w:val="21"/>
                <w:highlight w:val="none"/>
              </w:rPr>
            </w:pPr>
            <w:r>
              <w:rPr>
                <w:rStyle w:val="98"/>
                <w:rFonts w:hint="eastAsia" w:ascii="仿宋" w:hAnsi="仿宋" w:cs="仿宋"/>
                <w:color w:val="auto"/>
                <w:sz w:val="21"/>
                <w:highlight w:val="none"/>
              </w:rPr>
              <w:t>序号</w:t>
            </w:r>
          </w:p>
        </w:tc>
        <w:tc>
          <w:tcPr>
            <w:tcW w:w="2859" w:type="dxa"/>
            <w:tcBorders>
              <w:top w:val="single" w:color="000000" w:sz="4" w:space="0"/>
              <w:left w:val="single" w:color="000000" w:sz="4" w:space="0"/>
              <w:bottom w:val="single" w:color="000000" w:sz="4" w:space="0"/>
              <w:right w:val="single" w:color="000000" w:sz="4" w:space="0"/>
            </w:tcBorders>
            <w:vAlign w:val="center"/>
          </w:tcPr>
          <w:p w14:paraId="4CDCD03E">
            <w:pPr>
              <w:snapToGrid w:val="0"/>
              <w:spacing w:line="240" w:lineRule="auto"/>
              <w:jc w:val="center"/>
              <w:textAlignment w:val="baseline"/>
              <w:rPr>
                <w:rStyle w:val="98"/>
                <w:rFonts w:hint="eastAsia" w:ascii="仿宋" w:hAnsi="仿宋" w:cs="仿宋"/>
                <w:color w:val="auto"/>
                <w:sz w:val="21"/>
                <w:highlight w:val="none"/>
              </w:rPr>
            </w:pPr>
            <w:r>
              <w:rPr>
                <w:rStyle w:val="98"/>
                <w:rFonts w:hint="eastAsia" w:ascii="仿宋" w:hAnsi="仿宋" w:cs="仿宋"/>
                <w:color w:val="auto"/>
                <w:sz w:val="21"/>
                <w:highlight w:val="none"/>
              </w:rPr>
              <w:t>询比文件要求</w:t>
            </w:r>
          </w:p>
        </w:tc>
        <w:tc>
          <w:tcPr>
            <w:tcW w:w="2885" w:type="dxa"/>
            <w:tcBorders>
              <w:top w:val="single" w:color="000000" w:sz="4" w:space="0"/>
              <w:left w:val="single" w:color="000000" w:sz="4" w:space="0"/>
              <w:bottom w:val="single" w:color="000000" w:sz="4" w:space="0"/>
              <w:right w:val="single" w:color="000000" w:sz="4" w:space="0"/>
            </w:tcBorders>
            <w:vAlign w:val="center"/>
          </w:tcPr>
          <w:p w14:paraId="4E2DC1C6">
            <w:pPr>
              <w:snapToGrid w:val="0"/>
              <w:spacing w:line="240" w:lineRule="auto"/>
              <w:jc w:val="center"/>
              <w:textAlignment w:val="baseline"/>
              <w:rPr>
                <w:rStyle w:val="98"/>
                <w:rFonts w:hint="eastAsia" w:ascii="仿宋" w:hAnsi="仿宋" w:cs="仿宋"/>
                <w:color w:val="auto"/>
                <w:sz w:val="21"/>
                <w:highlight w:val="none"/>
              </w:rPr>
            </w:pPr>
            <w:r>
              <w:rPr>
                <w:rStyle w:val="98"/>
                <w:rFonts w:hint="eastAsia" w:ascii="仿宋" w:hAnsi="仿宋" w:cs="仿宋"/>
                <w:color w:val="auto"/>
                <w:sz w:val="21"/>
                <w:highlight w:val="none"/>
              </w:rPr>
              <w:t>响应应答</w:t>
            </w:r>
          </w:p>
        </w:tc>
        <w:tc>
          <w:tcPr>
            <w:tcW w:w="1872" w:type="dxa"/>
            <w:tcBorders>
              <w:top w:val="single" w:color="000000" w:sz="4" w:space="0"/>
              <w:left w:val="single" w:color="000000" w:sz="4" w:space="0"/>
              <w:bottom w:val="single" w:color="000000" w:sz="4" w:space="0"/>
              <w:right w:val="single" w:color="000000" w:sz="4" w:space="0"/>
            </w:tcBorders>
            <w:vAlign w:val="center"/>
          </w:tcPr>
          <w:p w14:paraId="4C6FAE4F">
            <w:pPr>
              <w:snapToGrid w:val="0"/>
              <w:spacing w:line="240" w:lineRule="auto"/>
              <w:jc w:val="center"/>
              <w:textAlignment w:val="baseline"/>
              <w:rPr>
                <w:rStyle w:val="98"/>
                <w:rFonts w:hint="eastAsia" w:ascii="仿宋" w:hAnsi="仿宋" w:cs="仿宋"/>
                <w:color w:val="auto"/>
                <w:sz w:val="21"/>
                <w:highlight w:val="none"/>
              </w:rPr>
            </w:pPr>
            <w:r>
              <w:rPr>
                <w:rStyle w:val="98"/>
                <w:rFonts w:hint="eastAsia" w:ascii="仿宋" w:hAnsi="仿宋" w:cs="仿宋"/>
                <w:color w:val="auto"/>
                <w:sz w:val="21"/>
                <w:highlight w:val="none"/>
              </w:rPr>
              <w:t>正/负</w:t>
            </w:r>
            <w:r>
              <w:rPr>
                <w:rStyle w:val="98"/>
                <w:rFonts w:hint="eastAsia" w:ascii="仿宋" w:hAnsi="仿宋" w:cs="仿宋"/>
                <w:bCs/>
                <w:color w:val="auto"/>
                <w:spacing w:val="8"/>
                <w:sz w:val="21"/>
                <w:highlight w:val="none"/>
              </w:rPr>
              <w:t>偏离</w:t>
            </w:r>
          </w:p>
        </w:tc>
        <w:tc>
          <w:tcPr>
            <w:tcW w:w="1390" w:type="dxa"/>
            <w:tcBorders>
              <w:top w:val="single" w:color="000000" w:sz="4" w:space="0"/>
              <w:left w:val="single" w:color="000000" w:sz="4" w:space="0"/>
              <w:bottom w:val="single" w:color="000000" w:sz="4" w:space="0"/>
              <w:right w:val="single" w:color="000000" w:sz="4" w:space="0"/>
            </w:tcBorders>
            <w:vAlign w:val="center"/>
          </w:tcPr>
          <w:p w14:paraId="737EDD52">
            <w:pPr>
              <w:snapToGrid w:val="0"/>
              <w:spacing w:line="240" w:lineRule="auto"/>
              <w:jc w:val="center"/>
              <w:textAlignment w:val="baseline"/>
              <w:rPr>
                <w:rStyle w:val="98"/>
                <w:rFonts w:hint="eastAsia" w:ascii="仿宋" w:hAnsi="仿宋" w:cs="仿宋"/>
                <w:color w:val="auto"/>
                <w:sz w:val="21"/>
                <w:highlight w:val="none"/>
              </w:rPr>
            </w:pPr>
            <w:r>
              <w:rPr>
                <w:rStyle w:val="98"/>
                <w:rFonts w:hint="eastAsia" w:ascii="仿宋" w:hAnsi="仿宋" w:cs="仿宋"/>
                <w:color w:val="auto"/>
                <w:sz w:val="21"/>
                <w:highlight w:val="none"/>
              </w:rPr>
              <w:t>备注</w:t>
            </w:r>
          </w:p>
        </w:tc>
      </w:tr>
      <w:tr w14:paraId="19F47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72" w:type="dxa"/>
            <w:tcBorders>
              <w:top w:val="single" w:color="000000" w:sz="4" w:space="0"/>
              <w:left w:val="single" w:color="000000" w:sz="4" w:space="0"/>
              <w:bottom w:val="single" w:color="000000" w:sz="4" w:space="0"/>
              <w:right w:val="single" w:color="000000" w:sz="4" w:space="0"/>
            </w:tcBorders>
          </w:tcPr>
          <w:p w14:paraId="6BCC90BF">
            <w:pPr>
              <w:snapToGrid w:val="0"/>
              <w:spacing w:line="240" w:lineRule="auto"/>
              <w:textAlignment w:val="baseline"/>
              <w:rPr>
                <w:rStyle w:val="98"/>
                <w:rFonts w:hint="eastAsia" w:ascii="仿宋" w:hAnsi="仿宋" w:cs="仿宋"/>
                <w:color w:val="auto"/>
                <w:sz w:val="21"/>
                <w:highlight w:val="none"/>
              </w:rPr>
            </w:pPr>
          </w:p>
        </w:tc>
        <w:tc>
          <w:tcPr>
            <w:tcW w:w="2859" w:type="dxa"/>
            <w:tcBorders>
              <w:top w:val="single" w:color="000000" w:sz="4" w:space="0"/>
              <w:left w:val="single" w:color="000000" w:sz="4" w:space="0"/>
              <w:bottom w:val="single" w:color="000000" w:sz="4" w:space="0"/>
              <w:right w:val="single" w:color="000000" w:sz="4" w:space="0"/>
            </w:tcBorders>
          </w:tcPr>
          <w:p w14:paraId="21D9E33A">
            <w:pPr>
              <w:snapToGrid w:val="0"/>
              <w:spacing w:line="240" w:lineRule="auto"/>
              <w:textAlignment w:val="baseline"/>
              <w:rPr>
                <w:rStyle w:val="98"/>
                <w:rFonts w:hint="eastAsia" w:ascii="仿宋" w:hAnsi="仿宋" w:cs="仿宋"/>
                <w:color w:val="auto"/>
                <w:sz w:val="21"/>
                <w:highlight w:val="none"/>
              </w:rPr>
            </w:pPr>
          </w:p>
        </w:tc>
        <w:tc>
          <w:tcPr>
            <w:tcW w:w="2885" w:type="dxa"/>
            <w:tcBorders>
              <w:top w:val="single" w:color="000000" w:sz="4" w:space="0"/>
              <w:left w:val="single" w:color="000000" w:sz="4" w:space="0"/>
              <w:bottom w:val="single" w:color="000000" w:sz="4" w:space="0"/>
              <w:right w:val="single" w:color="000000" w:sz="4" w:space="0"/>
            </w:tcBorders>
          </w:tcPr>
          <w:p w14:paraId="3EEEFB04">
            <w:pPr>
              <w:snapToGrid w:val="0"/>
              <w:spacing w:line="240" w:lineRule="auto"/>
              <w:textAlignment w:val="baseline"/>
              <w:rPr>
                <w:rStyle w:val="98"/>
                <w:rFonts w:hint="eastAsia" w:ascii="仿宋" w:hAnsi="仿宋" w:cs="仿宋"/>
                <w:color w:val="auto"/>
                <w:sz w:val="21"/>
                <w:highlight w:val="none"/>
              </w:rPr>
            </w:pPr>
          </w:p>
        </w:tc>
        <w:tc>
          <w:tcPr>
            <w:tcW w:w="1872" w:type="dxa"/>
            <w:tcBorders>
              <w:top w:val="single" w:color="000000" w:sz="4" w:space="0"/>
              <w:left w:val="single" w:color="000000" w:sz="4" w:space="0"/>
              <w:bottom w:val="single" w:color="000000" w:sz="4" w:space="0"/>
              <w:right w:val="single" w:color="000000" w:sz="4" w:space="0"/>
            </w:tcBorders>
          </w:tcPr>
          <w:p w14:paraId="7120A536">
            <w:pPr>
              <w:snapToGrid w:val="0"/>
              <w:spacing w:line="240" w:lineRule="auto"/>
              <w:textAlignment w:val="baseline"/>
              <w:rPr>
                <w:rStyle w:val="98"/>
                <w:rFonts w:hint="eastAsia" w:ascii="仿宋" w:hAnsi="仿宋" w:cs="仿宋"/>
                <w:color w:val="auto"/>
                <w:sz w:val="21"/>
                <w:highlight w:val="none"/>
              </w:rPr>
            </w:pPr>
          </w:p>
        </w:tc>
        <w:tc>
          <w:tcPr>
            <w:tcW w:w="1390" w:type="dxa"/>
            <w:tcBorders>
              <w:top w:val="single" w:color="000000" w:sz="4" w:space="0"/>
              <w:left w:val="single" w:color="000000" w:sz="4" w:space="0"/>
              <w:bottom w:val="single" w:color="000000" w:sz="4" w:space="0"/>
              <w:right w:val="single" w:color="000000" w:sz="4" w:space="0"/>
            </w:tcBorders>
          </w:tcPr>
          <w:p w14:paraId="0C6F03E1">
            <w:pPr>
              <w:snapToGrid w:val="0"/>
              <w:spacing w:line="240" w:lineRule="auto"/>
              <w:textAlignment w:val="baseline"/>
              <w:rPr>
                <w:rStyle w:val="98"/>
                <w:rFonts w:hint="eastAsia" w:ascii="仿宋" w:hAnsi="仿宋" w:cs="仿宋"/>
                <w:color w:val="auto"/>
                <w:sz w:val="21"/>
                <w:highlight w:val="none"/>
              </w:rPr>
            </w:pPr>
          </w:p>
        </w:tc>
      </w:tr>
      <w:tr w14:paraId="4ED1B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72" w:type="dxa"/>
            <w:tcBorders>
              <w:top w:val="single" w:color="000000" w:sz="4" w:space="0"/>
              <w:left w:val="single" w:color="000000" w:sz="4" w:space="0"/>
              <w:bottom w:val="single" w:color="000000" w:sz="4" w:space="0"/>
              <w:right w:val="single" w:color="000000" w:sz="4" w:space="0"/>
            </w:tcBorders>
          </w:tcPr>
          <w:p w14:paraId="530F16D8">
            <w:pPr>
              <w:snapToGrid w:val="0"/>
              <w:spacing w:line="240" w:lineRule="auto"/>
              <w:textAlignment w:val="baseline"/>
              <w:rPr>
                <w:rStyle w:val="98"/>
                <w:rFonts w:hint="eastAsia" w:ascii="仿宋" w:hAnsi="仿宋" w:cs="仿宋"/>
                <w:color w:val="auto"/>
                <w:sz w:val="21"/>
                <w:highlight w:val="none"/>
              </w:rPr>
            </w:pPr>
          </w:p>
        </w:tc>
        <w:tc>
          <w:tcPr>
            <w:tcW w:w="2859" w:type="dxa"/>
            <w:tcBorders>
              <w:top w:val="single" w:color="000000" w:sz="4" w:space="0"/>
              <w:left w:val="single" w:color="000000" w:sz="4" w:space="0"/>
              <w:bottom w:val="single" w:color="000000" w:sz="4" w:space="0"/>
              <w:right w:val="single" w:color="000000" w:sz="4" w:space="0"/>
            </w:tcBorders>
          </w:tcPr>
          <w:p w14:paraId="04EC3437">
            <w:pPr>
              <w:snapToGrid w:val="0"/>
              <w:spacing w:line="240" w:lineRule="auto"/>
              <w:textAlignment w:val="baseline"/>
              <w:rPr>
                <w:rStyle w:val="98"/>
                <w:rFonts w:hint="eastAsia" w:ascii="仿宋" w:hAnsi="仿宋" w:cs="仿宋"/>
                <w:color w:val="auto"/>
                <w:sz w:val="21"/>
                <w:highlight w:val="none"/>
              </w:rPr>
            </w:pPr>
          </w:p>
        </w:tc>
        <w:tc>
          <w:tcPr>
            <w:tcW w:w="2885" w:type="dxa"/>
            <w:tcBorders>
              <w:top w:val="single" w:color="000000" w:sz="4" w:space="0"/>
              <w:left w:val="single" w:color="000000" w:sz="4" w:space="0"/>
              <w:bottom w:val="single" w:color="000000" w:sz="4" w:space="0"/>
              <w:right w:val="single" w:color="000000" w:sz="4" w:space="0"/>
            </w:tcBorders>
          </w:tcPr>
          <w:p w14:paraId="749BC9FD">
            <w:pPr>
              <w:snapToGrid w:val="0"/>
              <w:spacing w:line="240" w:lineRule="auto"/>
              <w:textAlignment w:val="baseline"/>
              <w:rPr>
                <w:rStyle w:val="98"/>
                <w:rFonts w:hint="eastAsia" w:ascii="仿宋" w:hAnsi="仿宋" w:cs="仿宋"/>
                <w:color w:val="auto"/>
                <w:sz w:val="21"/>
                <w:highlight w:val="none"/>
              </w:rPr>
            </w:pPr>
          </w:p>
        </w:tc>
        <w:tc>
          <w:tcPr>
            <w:tcW w:w="1872" w:type="dxa"/>
            <w:tcBorders>
              <w:top w:val="single" w:color="000000" w:sz="4" w:space="0"/>
              <w:left w:val="single" w:color="000000" w:sz="4" w:space="0"/>
              <w:bottom w:val="single" w:color="000000" w:sz="4" w:space="0"/>
              <w:right w:val="single" w:color="000000" w:sz="4" w:space="0"/>
            </w:tcBorders>
          </w:tcPr>
          <w:p w14:paraId="17A0EEF7">
            <w:pPr>
              <w:snapToGrid w:val="0"/>
              <w:spacing w:line="240" w:lineRule="auto"/>
              <w:textAlignment w:val="baseline"/>
              <w:rPr>
                <w:rStyle w:val="98"/>
                <w:rFonts w:hint="eastAsia" w:ascii="仿宋" w:hAnsi="仿宋" w:cs="仿宋"/>
                <w:color w:val="auto"/>
                <w:sz w:val="21"/>
                <w:highlight w:val="none"/>
              </w:rPr>
            </w:pPr>
          </w:p>
        </w:tc>
        <w:tc>
          <w:tcPr>
            <w:tcW w:w="1390" w:type="dxa"/>
            <w:tcBorders>
              <w:top w:val="single" w:color="000000" w:sz="4" w:space="0"/>
              <w:left w:val="single" w:color="000000" w:sz="4" w:space="0"/>
              <w:bottom w:val="single" w:color="000000" w:sz="4" w:space="0"/>
              <w:right w:val="single" w:color="000000" w:sz="4" w:space="0"/>
            </w:tcBorders>
          </w:tcPr>
          <w:p w14:paraId="13FC3D8B">
            <w:pPr>
              <w:snapToGrid w:val="0"/>
              <w:spacing w:line="240" w:lineRule="auto"/>
              <w:textAlignment w:val="baseline"/>
              <w:rPr>
                <w:rStyle w:val="98"/>
                <w:rFonts w:hint="eastAsia" w:ascii="仿宋" w:hAnsi="仿宋" w:cs="仿宋"/>
                <w:color w:val="auto"/>
                <w:sz w:val="21"/>
                <w:highlight w:val="none"/>
              </w:rPr>
            </w:pPr>
          </w:p>
        </w:tc>
      </w:tr>
      <w:tr w14:paraId="526C7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72" w:type="dxa"/>
            <w:tcBorders>
              <w:top w:val="single" w:color="000000" w:sz="4" w:space="0"/>
              <w:left w:val="single" w:color="000000" w:sz="4" w:space="0"/>
              <w:bottom w:val="single" w:color="000000" w:sz="4" w:space="0"/>
              <w:right w:val="single" w:color="000000" w:sz="4" w:space="0"/>
            </w:tcBorders>
          </w:tcPr>
          <w:p w14:paraId="5FB558A6">
            <w:pPr>
              <w:snapToGrid w:val="0"/>
              <w:spacing w:line="240" w:lineRule="auto"/>
              <w:textAlignment w:val="baseline"/>
              <w:rPr>
                <w:rStyle w:val="98"/>
                <w:rFonts w:hint="eastAsia" w:ascii="仿宋" w:hAnsi="仿宋" w:cs="仿宋"/>
                <w:color w:val="auto"/>
                <w:sz w:val="21"/>
                <w:highlight w:val="none"/>
              </w:rPr>
            </w:pPr>
          </w:p>
        </w:tc>
        <w:tc>
          <w:tcPr>
            <w:tcW w:w="2859" w:type="dxa"/>
            <w:tcBorders>
              <w:top w:val="single" w:color="000000" w:sz="4" w:space="0"/>
              <w:left w:val="single" w:color="000000" w:sz="4" w:space="0"/>
              <w:bottom w:val="single" w:color="000000" w:sz="4" w:space="0"/>
              <w:right w:val="single" w:color="000000" w:sz="4" w:space="0"/>
            </w:tcBorders>
          </w:tcPr>
          <w:p w14:paraId="4B16D1D7">
            <w:pPr>
              <w:snapToGrid w:val="0"/>
              <w:spacing w:line="240" w:lineRule="auto"/>
              <w:textAlignment w:val="baseline"/>
              <w:rPr>
                <w:rStyle w:val="98"/>
                <w:rFonts w:hint="eastAsia" w:ascii="仿宋" w:hAnsi="仿宋" w:cs="仿宋"/>
                <w:color w:val="auto"/>
                <w:sz w:val="21"/>
                <w:highlight w:val="none"/>
              </w:rPr>
            </w:pPr>
          </w:p>
        </w:tc>
        <w:tc>
          <w:tcPr>
            <w:tcW w:w="2885" w:type="dxa"/>
            <w:tcBorders>
              <w:top w:val="single" w:color="000000" w:sz="4" w:space="0"/>
              <w:left w:val="single" w:color="000000" w:sz="4" w:space="0"/>
              <w:bottom w:val="single" w:color="000000" w:sz="4" w:space="0"/>
              <w:right w:val="single" w:color="000000" w:sz="4" w:space="0"/>
            </w:tcBorders>
          </w:tcPr>
          <w:p w14:paraId="457CF069">
            <w:pPr>
              <w:snapToGrid w:val="0"/>
              <w:spacing w:line="240" w:lineRule="auto"/>
              <w:textAlignment w:val="baseline"/>
              <w:rPr>
                <w:rStyle w:val="98"/>
                <w:rFonts w:hint="eastAsia" w:ascii="仿宋" w:hAnsi="仿宋" w:cs="仿宋"/>
                <w:color w:val="auto"/>
                <w:sz w:val="21"/>
                <w:highlight w:val="none"/>
              </w:rPr>
            </w:pPr>
          </w:p>
        </w:tc>
        <w:tc>
          <w:tcPr>
            <w:tcW w:w="1872" w:type="dxa"/>
            <w:tcBorders>
              <w:top w:val="single" w:color="000000" w:sz="4" w:space="0"/>
              <w:left w:val="single" w:color="000000" w:sz="4" w:space="0"/>
              <w:bottom w:val="single" w:color="000000" w:sz="4" w:space="0"/>
              <w:right w:val="single" w:color="000000" w:sz="4" w:space="0"/>
            </w:tcBorders>
          </w:tcPr>
          <w:p w14:paraId="651FB4AC">
            <w:pPr>
              <w:snapToGrid w:val="0"/>
              <w:spacing w:line="240" w:lineRule="auto"/>
              <w:textAlignment w:val="baseline"/>
              <w:rPr>
                <w:rStyle w:val="98"/>
                <w:rFonts w:hint="eastAsia" w:ascii="仿宋" w:hAnsi="仿宋" w:cs="仿宋"/>
                <w:color w:val="auto"/>
                <w:sz w:val="21"/>
                <w:highlight w:val="none"/>
              </w:rPr>
            </w:pPr>
          </w:p>
        </w:tc>
        <w:tc>
          <w:tcPr>
            <w:tcW w:w="1390" w:type="dxa"/>
            <w:tcBorders>
              <w:top w:val="single" w:color="000000" w:sz="4" w:space="0"/>
              <w:left w:val="single" w:color="000000" w:sz="4" w:space="0"/>
              <w:bottom w:val="single" w:color="000000" w:sz="4" w:space="0"/>
              <w:right w:val="single" w:color="000000" w:sz="4" w:space="0"/>
            </w:tcBorders>
          </w:tcPr>
          <w:p w14:paraId="0C632419">
            <w:pPr>
              <w:snapToGrid w:val="0"/>
              <w:spacing w:line="240" w:lineRule="auto"/>
              <w:textAlignment w:val="baseline"/>
              <w:rPr>
                <w:rStyle w:val="98"/>
                <w:rFonts w:hint="eastAsia" w:ascii="仿宋" w:hAnsi="仿宋" w:cs="仿宋"/>
                <w:color w:val="auto"/>
                <w:sz w:val="21"/>
                <w:highlight w:val="none"/>
              </w:rPr>
            </w:pPr>
          </w:p>
        </w:tc>
      </w:tr>
      <w:tr w14:paraId="32DB8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672" w:type="dxa"/>
            <w:tcBorders>
              <w:top w:val="single" w:color="000000" w:sz="4" w:space="0"/>
              <w:left w:val="single" w:color="000000" w:sz="4" w:space="0"/>
              <w:bottom w:val="single" w:color="000000" w:sz="4" w:space="0"/>
              <w:right w:val="single" w:color="000000" w:sz="4" w:space="0"/>
            </w:tcBorders>
          </w:tcPr>
          <w:p w14:paraId="27509AAF">
            <w:pPr>
              <w:snapToGrid w:val="0"/>
              <w:spacing w:line="240" w:lineRule="auto"/>
              <w:textAlignment w:val="baseline"/>
              <w:rPr>
                <w:rStyle w:val="98"/>
                <w:rFonts w:hint="eastAsia" w:ascii="仿宋" w:hAnsi="仿宋" w:cs="仿宋"/>
                <w:color w:val="auto"/>
                <w:sz w:val="21"/>
                <w:highlight w:val="none"/>
              </w:rPr>
            </w:pPr>
          </w:p>
        </w:tc>
        <w:tc>
          <w:tcPr>
            <w:tcW w:w="2859" w:type="dxa"/>
            <w:tcBorders>
              <w:top w:val="single" w:color="000000" w:sz="4" w:space="0"/>
              <w:left w:val="single" w:color="000000" w:sz="4" w:space="0"/>
              <w:bottom w:val="single" w:color="000000" w:sz="4" w:space="0"/>
              <w:right w:val="single" w:color="000000" w:sz="4" w:space="0"/>
            </w:tcBorders>
          </w:tcPr>
          <w:p w14:paraId="5A4AFF31">
            <w:pPr>
              <w:snapToGrid w:val="0"/>
              <w:spacing w:line="240" w:lineRule="auto"/>
              <w:textAlignment w:val="baseline"/>
              <w:rPr>
                <w:rStyle w:val="98"/>
                <w:rFonts w:hint="eastAsia" w:ascii="仿宋" w:hAnsi="仿宋" w:cs="仿宋"/>
                <w:color w:val="auto"/>
                <w:sz w:val="21"/>
                <w:highlight w:val="none"/>
              </w:rPr>
            </w:pPr>
          </w:p>
        </w:tc>
        <w:tc>
          <w:tcPr>
            <w:tcW w:w="2885" w:type="dxa"/>
            <w:tcBorders>
              <w:top w:val="single" w:color="000000" w:sz="4" w:space="0"/>
              <w:left w:val="single" w:color="000000" w:sz="4" w:space="0"/>
              <w:bottom w:val="single" w:color="000000" w:sz="4" w:space="0"/>
              <w:right w:val="single" w:color="000000" w:sz="4" w:space="0"/>
            </w:tcBorders>
          </w:tcPr>
          <w:p w14:paraId="0A2CEFEB">
            <w:pPr>
              <w:snapToGrid w:val="0"/>
              <w:spacing w:line="240" w:lineRule="auto"/>
              <w:textAlignment w:val="baseline"/>
              <w:rPr>
                <w:rStyle w:val="98"/>
                <w:rFonts w:hint="eastAsia" w:ascii="仿宋" w:hAnsi="仿宋" w:cs="仿宋"/>
                <w:color w:val="auto"/>
                <w:sz w:val="21"/>
                <w:highlight w:val="none"/>
              </w:rPr>
            </w:pPr>
          </w:p>
        </w:tc>
        <w:tc>
          <w:tcPr>
            <w:tcW w:w="1872" w:type="dxa"/>
            <w:tcBorders>
              <w:top w:val="single" w:color="000000" w:sz="4" w:space="0"/>
              <w:left w:val="single" w:color="000000" w:sz="4" w:space="0"/>
              <w:bottom w:val="single" w:color="000000" w:sz="4" w:space="0"/>
              <w:right w:val="single" w:color="000000" w:sz="4" w:space="0"/>
            </w:tcBorders>
          </w:tcPr>
          <w:p w14:paraId="78FCBA2C">
            <w:pPr>
              <w:snapToGrid w:val="0"/>
              <w:spacing w:line="240" w:lineRule="auto"/>
              <w:textAlignment w:val="baseline"/>
              <w:rPr>
                <w:rStyle w:val="98"/>
                <w:rFonts w:hint="eastAsia" w:ascii="仿宋" w:hAnsi="仿宋" w:cs="仿宋"/>
                <w:color w:val="auto"/>
                <w:sz w:val="21"/>
                <w:highlight w:val="none"/>
              </w:rPr>
            </w:pPr>
          </w:p>
        </w:tc>
        <w:tc>
          <w:tcPr>
            <w:tcW w:w="1390" w:type="dxa"/>
            <w:tcBorders>
              <w:top w:val="single" w:color="000000" w:sz="4" w:space="0"/>
              <w:left w:val="single" w:color="000000" w:sz="4" w:space="0"/>
              <w:bottom w:val="single" w:color="000000" w:sz="4" w:space="0"/>
              <w:right w:val="single" w:color="000000" w:sz="4" w:space="0"/>
            </w:tcBorders>
          </w:tcPr>
          <w:p w14:paraId="127F25D8">
            <w:pPr>
              <w:snapToGrid w:val="0"/>
              <w:spacing w:line="240" w:lineRule="auto"/>
              <w:textAlignment w:val="baseline"/>
              <w:rPr>
                <w:rStyle w:val="98"/>
                <w:rFonts w:hint="eastAsia" w:ascii="仿宋" w:hAnsi="仿宋" w:cs="仿宋"/>
                <w:color w:val="auto"/>
                <w:sz w:val="21"/>
                <w:highlight w:val="none"/>
              </w:rPr>
            </w:pPr>
          </w:p>
        </w:tc>
      </w:tr>
    </w:tbl>
    <w:p w14:paraId="2BB0FEC6">
      <w:pPr>
        <w:ind w:firstLine="240" w:firstLineChars="100"/>
        <w:rPr>
          <w:rFonts w:hint="eastAsia" w:ascii="仿宋" w:hAnsi="仿宋" w:cs="仿宋"/>
          <w:bCs/>
          <w:color w:val="auto"/>
          <w:highlight w:val="none"/>
        </w:rPr>
      </w:pPr>
    </w:p>
    <w:p w14:paraId="402ACCAB">
      <w:pPr>
        <w:adjustRightInd w:val="0"/>
        <w:ind w:firstLine="720" w:firstLineChars="300"/>
        <w:rPr>
          <w:rFonts w:hint="eastAsia" w:ascii="仿宋" w:hAnsi="仿宋" w:cs="仿宋"/>
          <w:color w:val="auto"/>
          <w:highlight w:val="none"/>
        </w:rPr>
      </w:pPr>
      <w:r>
        <w:rPr>
          <w:rFonts w:hint="eastAsia" w:ascii="仿宋" w:hAnsi="仿宋" w:cs="仿宋"/>
          <w:color w:val="auto"/>
          <w:highlight w:val="none"/>
        </w:rPr>
        <w:t>此表可延长</w:t>
      </w:r>
    </w:p>
    <w:p w14:paraId="44FA94B0">
      <w:pPr>
        <w:adjustRightInd w:val="0"/>
        <w:ind w:firstLine="720" w:firstLineChars="300"/>
        <w:rPr>
          <w:rFonts w:hint="eastAsia" w:ascii="仿宋" w:hAnsi="仿宋" w:cs="仿宋"/>
          <w:color w:val="auto"/>
          <w:highlight w:val="none"/>
        </w:rPr>
      </w:pPr>
      <w:r>
        <w:rPr>
          <w:rFonts w:hint="eastAsia" w:ascii="仿宋" w:hAnsi="仿宋" w:cs="仿宋"/>
          <w:color w:val="auto"/>
          <w:highlight w:val="none"/>
        </w:rPr>
        <w:t>注：1.供应商按照询比文件“第四章 采购项目技术、服务及其他商务要求”要求做出的技术应答，可只填写响应文件中与询比文件要求有偏离（包括正偏离和负偏离）的内容，响应文件中应答内容与询比文件要求完全一致（无偏离）的，可不用在此表中列出，视为供应商接受和响应技术要求（注2除外）。</w:t>
      </w:r>
    </w:p>
    <w:p w14:paraId="5C26F23C">
      <w:pPr>
        <w:adjustRightInd w:val="0"/>
        <w:ind w:firstLine="720" w:firstLineChars="300"/>
        <w:rPr>
          <w:rFonts w:hint="eastAsia" w:ascii="仿宋" w:hAnsi="仿宋" w:cs="仿宋"/>
          <w:color w:val="auto"/>
          <w:highlight w:val="none"/>
        </w:rPr>
      </w:pPr>
      <w:r>
        <w:rPr>
          <w:rFonts w:hint="eastAsia" w:ascii="仿宋" w:hAnsi="仿宋" w:cs="仿宋"/>
          <w:color w:val="auto"/>
          <w:highlight w:val="none"/>
        </w:rPr>
        <w:t>2．询比文件第四章要求在提交响应文件时提供相关证明资料或相关材料的，供应商应当在响应文件中提供，否则视为未响应招标要求（负偏离）。</w:t>
      </w:r>
    </w:p>
    <w:p w14:paraId="5D27E0E1">
      <w:pPr>
        <w:adjustRightInd w:val="0"/>
        <w:ind w:firstLine="720" w:firstLineChars="300"/>
        <w:rPr>
          <w:rFonts w:hint="eastAsia" w:ascii="仿宋" w:hAnsi="仿宋" w:cs="仿宋"/>
          <w:color w:val="auto"/>
          <w:highlight w:val="none"/>
        </w:rPr>
      </w:pPr>
      <w:r>
        <w:rPr>
          <w:rFonts w:hint="eastAsia" w:ascii="仿宋" w:hAnsi="仿宋" w:cs="仿宋"/>
          <w:color w:val="auto"/>
          <w:highlight w:val="none"/>
        </w:rPr>
        <w:t>3.供应商必须据实填写，不得虚假响应，否则将取消其询比或成交资格，并按有关规定进行处罚。</w:t>
      </w:r>
    </w:p>
    <w:p w14:paraId="5DEB05F5">
      <w:pPr>
        <w:adjustRightInd w:val="0"/>
        <w:ind w:firstLine="720" w:firstLineChars="300"/>
        <w:rPr>
          <w:rFonts w:hint="eastAsia" w:ascii="仿宋" w:hAnsi="仿宋" w:cs="仿宋"/>
          <w:color w:val="auto"/>
          <w:highlight w:val="none"/>
        </w:rPr>
      </w:pPr>
    </w:p>
    <w:p w14:paraId="1C506943">
      <w:pPr>
        <w:adjustRightInd w:val="0"/>
        <w:ind w:firstLine="720" w:firstLineChars="300"/>
        <w:rPr>
          <w:rFonts w:hint="eastAsia" w:ascii="仿宋" w:hAnsi="仿宋" w:cs="仿宋"/>
          <w:color w:val="auto"/>
          <w:highlight w:val="none"/>
        </w:rPr>
      </w:pPr>
      <w:r>
        <w:rPr>
          <w:rFonts w:hint="eastAsia" w:ascii="仿宋" w:hAnsi="仿宋" w:cs="仿宋"/>
          <w:color w:val="auto"/>
          <w:highlight w:val="none"/>
        </w:rPr>
        <w:t>供应商名称：      （盖章）</w:t>
      </w:r>
    </w:p>
    <w:p w14:paraId="53E30056">
      <w:pPr>
        <w:adjustRightInd w:val="0"/>
        <w:ind w:firstLine="720" w:firstLineChars="300"/>
        <w:rPr>
          <w:rFonts w:hint="eastAsia" w:ascii="仿宋" w:hAnsi="仿宋" w:cs="仿宋"/>
          <w:color w:val="auto"/>
          <w:highlight w:val="none"/>
        </w:rPr>
      </w:pPr>
      <w:r>
        <w:rPr>
          <w:rFonts w:hint="eastAsia" w:ascii="仿宋" w:hAnsi="仿宋" w:cs="仿宋"/>
          <w:color w:val="auto"/>
          <w:highlight w:val="none"/>
        </w:rPr>
        <w:t>法定代表人或授权代表（签字或盖章）：</w:t>
      </w:r>
    </w:p>
    <w:p w14:paraId="4690CAA5">
      <w:pPr>
        <w:pStyle w:val="11"/>
        <w:ind w:firstLine="720" w:firstLineChars="300"/>
        <w:rPr>
          <w:rFonts w:hint="eastAsia" w:ascii="黑体" w:hAnsi="黑体" w:eastAsia="黑体" w:cs="黑体"/>
          <w:b/>
          <w:bCs/>
          <w:color w:val="auto"/>
          <w:sz w:val="28"/>
          <w:szCs w:val="28"/>
          <w:highlight w:val="none"/>
        </w:rPr>
      </w:pPr>
      <w:r>
        <w:rPr>
          <w:rFonts w:hint="eastAsia" w:ascii="仿宋" w:hAnsi="仿宋" w:cs="仿宋"/>
          <w:color w:val="auto"/>
          <w:highlight w:val="none"/>
        </w:rPr>
        <w:t>日      期：      年  月  日</w:t>
      </w:r>
    </w:p>
    <w:p w14:paraId="3BBAE8E5">
      <w:pPr>
        <w:adjustRightInd w:val="0"/>
        <w:ind w:firstLine="540" w:firstLineChars="225"/>
        <w:jc w:val="left"/>
        <w:rPr>
          <w:rFonts w:hint="eastAsia" w:ascii="仿宋" w:hAnsi="仿宋"/>
          <w:bCs/>
          <w:color w:val="auto"/>
          <w:highlight w:val="none"/>
        </w:rPr>
      </w:pPr>
    </w:p>
    <w:p w14:paraId="0C856193">
      <w:pPr>
        <w:rPr>
          <w:rFonts w:hint="eastAsia" w:ascii="仿宋" w:hAnsi="仿宋"/>
          <w:color w:val="auto"/>
          <w:highlight w:val="none"/>
        </w:rPr>
      </w:pPr>
      <w:r>
        <w:rPr>
          <w:rFonts w:ascii="仿宋" w:hAnsi="仿宋"/>
          <w:color w:val="auto"/>
          <w:highlight w:val="none"/>
        </w:rPr>
        <w:br w:type="page"/>
      </w:r>
    </w:p>
    <w:p w14:paraId="73FD09B5">
      <w:pPr>
        <w:widowControl/>
        <w:jc w:val="center"/>
        <w:outlineLvl w:val="1"/>
        <w:rPr>
          <w:rFonts w:hint="eastAsia" w:ascii="仿宋" w:hAnsi="仿宋"/>
          <w:b/>
          <w:color w:val="auto"/>
          <w:sz w:val="32"/>
          <w:szCs w:val="32"/>
          <w:highlight w:val="none"/>
        </w:rPr>
      </w:pPr>
      <w:bookmarkStart w:id="216" w:name="_Toc12436964"/>
      <w:bookmarkStart w:id="217" w:name="_Toc491163343"/>
      <w:bookmarkStart w:id="218" w:name="_Toc13044011"/>
      <w:bookmarkStart w:id="219" w:name="_Toc491163571"/>
      <w:bookmarkStart w:id="220" w:name="_Toc443297235"/>
      <w:bookmarkStart w:id="221" w:name="_Toc315963022"/>
      <w:bookmarkStart w:id="222" w:name="_Toc441921302"/>
      <w:bookmarkStart w:id="223" w:name="_Toc12436912"/>
      <w:bookmarkStart w:id="224" w:name="_Toc389231755"/>
      <w:bookmarkStart w:id="225" w:name="_Toc443231604"/>
      <w:bookmarkStart w:id="226" w:name="_Toc442082150"/>
      <w:bookmarkStart w:id="227" w:name="_Toc13646967"/>
      <w:r>
        <w:rPr>
          <w:rFonts w:hint="eastAsia" w:ascii="仿宋" w:hAnsi="仿宋"/>
          <w:b/>
          <w:color w:val="auto"/>
          <w:sz w:val="32"/>
          <w:szCs w:val="32"/>
          <w:highlight w:val="none"/>
        </w:rPr>
        <w:t>七、商务响应表</w:t>
      </w:r>
    </w:p>
    <w:p w14:paraId="4D6A65A1">
      <w:pPr>
        <w:spacing w:line="240" w:lineRule="atLeast"/>
        <w:jc w:val="center"/>
        <w:rPr>
          <w:rFonts w:hint="eastAsia" w:ascii="黑体" w:hAnsi="黑体" w:eastAsia="黑体" w:cs="黑体"/>
          <w:b/>
          <w:bCs/>
          <w:color w:val="auto"/>
          <w:spacing w:val="8"/>
          <w:sz w:val="28"/>
          <w:szCs w:val="28"/>
          <w:highlight w:val="none"/>
        </w:rPr>
      </w:pPr>
      <w:r>
        <w:rPr>
          <w:rFonts w:hint="eastAsia" w:ascii="黑体" w:hAnsi="黑体" w:eastAsia="黑体" w:cs="黑体"/>
          <w:b/>
          <w:bCs/>
          <w:color w:val="auto"/>
          <w:spacing w:val="8"/>
          <w:sz w:val="28"/>
          <w:szCs w:val="28"/>
          <w:highlight w:val="none"/>
        </w:rPr>
        <w:t>商务应答表</w:t>
      </w:r>
      <w:bookmarkEnd w:id="216"/>
      <w:bookmarkEnd w:id="217"/>
      <w:bookmarkEnd w:id="218"/>
      <w:bookmarkEnd w:id="219"/>
      <w:bookmarkEnd w:id="220"/>
      <w:bookmarkEnd w:id="221"/>
      <w:bookmarkEnd w:id="222"/>
      <w:bookmarkEnd w:id="223"/>
      <w:bookmarkEnd w:id="224"/>
      <w:bookmarkEnd w:id="225"/>
      <w:bookmarkEnd w:id="226"/>
      <w:bookmarkEnd w:id="227"/>
    </w:p>
    <w:tbl>
      <w:tblPr>
        <w:tblStyle w:val="30"/>
        <w:tblpPr w:leftFromText="180" w:rightFromText="180" w:vertAnchor="text" w:horzAnchor="page" w:tblpX="1368" w:tblpY="425"/>
        <w:tblOverlap w:val="never"/>
        <w:tblW w:w="9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55"/>
        <w:gridCol w:w="4565"/>
        <w:gridCol w:w="2130"/>
        <w:gridCol w:w="825"/>
      </w:tblGrid>
      <w:tr w14:paraId="3041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20" w:type="dxa"/>
            <w:tcBorders>
              <w:top w:val="single" w:color="auto" w:sz="4" w:space="0"/>
              <w:left w:val="single" w:color="auto" w:sz="4" w:space="0"/>
              <w:bottom w:val="single" w:color="auto" w:sz="4" w:space="0"/>
              <w:right w:val="single" w:color="auto" w:sz="4" w:space="0"/>
            </w:tcBorders>
            <w:vAlign w:val="center"/>
          </w:tcPr>
          <w:p w14:paraId="05C9BB84">
            <w:pPr>
              <w:spacing w:line="240" w:lineRule="auto"/>
              <w:jc w:val="center"/>
              <w:rPr>
                <w:rFonts w:hint="eastAsia" w:ascii="仿宋" w:hAnsi="仿宋" w:cs="仿宋"/>
                <w:color w:val="auto"/>
                <w:sz w:val="21"/>
                <w:szCs w:val="21"/>
                <w:highlight w:val="none"/>
              </w:rPr>
            </w:pPr>
            <w:r>
              <w:rPr>
                <w:rFonts w:hint="eastAsia" w:ascii="仿宋" w:hAnsi="仿宋" w:cs="仿宋"/>
                <w:color w:val="auto"/>
                <w:sz w:val="21"/>
                <w:szCs w:val="21"/>
                <w:highlight w:val="none"/>
              </w:rPr>
              <w:t>序号</w:t>
            </w:r>
          </w:p>
        </w:tc>
        <w:tc>
          <w:tcPr>
            <w:tcW w:w="1255" w:type="dxa"/>
            <w:tcBorders>
              <w:top w:val="single" w:color="auto" w:sz="4" w:space="0"/>
              <w:left w:val="single" w:color="auto" w:sz="4" w:space="0"/>
              <w:bottom w:val="single" w:color="auto" w:sz="4" w:space="0"/>
              <w:right w:val="single" w:color="auto" w:sz="4" w:space="0"/>
            </w:tcBorders>
            <w:vAlign w:val="center"/>
          </w:tcPr>
          <w:p w14:paraId="272B6B41">
            <w:pPr>
              <w:spacing w:line="240" w:lineRule="auto"/>
              <w:jc w:val="center"/>
              <w:rPr>
                <w:rFonts w:hint="eastAsia" w:ascii="仿宋" w:hAnsi="仿宋" w:cs="仿宋"/>
                <w:color w:val="auto"/>
                <w:sz w:val="21"/>
                <w:szCs w:val="21"/>
                <w:highlight w:val="none"/>
              </w:rPr>
            </w:pPr>
            <w:r>
              <w:rPr>
                <w:rFonts w:hint="eastAsia" w:ascii="仿宋" w:hAnsi="仿宋" w:cs="仿宋"/>
                <w:color w:val="auto"/>
                <w:sz w:val="21"/>
                <w:szCs w:val="21"/>
                <w:highlight w:val="none"/>
              </w:rPr>
              <w:t>内容</w:t>
            </w:r>
          </w:p>
        </w:tc>
        <w:tc>
          <w:tcPr>
            <w:tcW w:w="4565" w:type="dxa"/>
            <w:tcBorders>
              <w:top w:val="single" w:color="auto" w:sz="4" w:space="0"/>
              <w:left w:val="single" w:color="auto" w:sz="4" w:space="0"/>
              <w:bottom w:val="single" w:color="auto" w:sz="4" w:space="0"/>
              <w:right w:val="single" w:color="auto" w:sz="4" w:space="0"/>
            </w:tcBorders>
            <w:vAlign w:val="center"/>
          </w:tcPr>
          <w:p w14:paraId="47BE6E36">
            <w:pPr>
              <w:spacing w:line="240" w:lineRule="auto"/>
              <w:jc w:val="center"/>
              <w:rPr>
                <w:rFonts w:hint="eastAsia" w:ascii="仿宋" w:hAnsi="仿宋" w:cs="仿宋"/>
                <w:color w:val="auto"/>
                <w:sz w:val="21"/>
                <w:szCs w:val="21"/>
                <w:highlight w:val="none"/>
              </w:rPr>
            </w:pPr>
            <w:r>
              <w:rPr>
                <w:rFonts w:hint="eastAsia" w:ascii="仿宋" w:hAnsi="仿宋" w:cs="仿宋"/>
                <w:color w:val="auto"/>
                <w:sz w:val="21"/>
                <w:szCs w:val="21"/>
                <w:highlight w:val="none"/>
              </w:rPr>
              <w:t>询比要求</w:t>
            </w:r>
          </w:p>
        </w:tc>
        <w:tc>
          <w:tcPr>
            <w:tcW w:w="2130" w:type="dxa"/>
            <w:tcBorders>
              <w:top w:val="single" w:color="auto" w:sz="4" w:space="0"/>
              <w:left w:val="single" w:color="auto" w:sz="4" w:space="0"/>
              <w:bottom w:val="single" w:color="auto" w:sz="4" w:space="0"/>
              <w:right w:val="single" w:color="auto" w:sz="4" w:space="0"/>
            </w:tcBorders>
            <w:vAlign w:val="center"/>
          </w:tcPr>
          <w:p w14:paraId="6F96E009">
            <w:pPr>
              <w:spacing w:line="240" w:lineRule="auto"/>
              <w:jc w:val="center"/>
              <w:rPr>
                <w:rFonts w:hint="eastAsia" w:ascii="仿宋" w:hAnsi="仿宋" w:cs="仿宋"/>
                <w:color w:val="auto"/>
                <w:sz w:val="21"/>
                <w:szCs w:val="21"/>
                <w:highlight w:val="none"/>
              </w:rPr>
            </w:pPr>
            <w:r>
              <w:rPr>
                <w:rFonts w:hint="eastAsia" w:ascii="仿宋" w:hAnsi="仿宋" w:cs="仿宋"/>
                <w:color w:val="auto"/>
                <w:sz w:val="21"/>
                <w:szCs w:val="21"/>
                <w:highlight w:val="none"/>
              </w:rPr>
              <w:t>响应应答</w:t>
            </w:r>
          </w:p>
        </w:tc>
        <w:tc>
          <w:tcPr>
            <w:tcW w:w="825" w:type="dxa"/>
            <w:tcBorders>
              <w:top w:val="single" w:color="auto" w:sz="4" w:space="0"/>
              <w:left w:val="single" w:color="auto" w:sz="4" w:space="0"/>
              <w:bottom w:val="single" w:color="auto" w:sz="4" w:space="0"/>
              <w:right w:val="single" w:color="auto" w:sz="4" w:space="0"/>
            </w:tcBorders>
            <w:vAlign w:val="center"/>
          </w:tcPr>
          <w:p w14:paraId="0A1DB1FC">
            <w:pPr>
              <w:spacing w:line="240" w:lineRule="auto"/>
              <w:jc w:val="center"/>
              <w:rPr>
                <w:rFonts w:hint="eastAsia" w:ascii="仿宋" w:hAnsi="仿宋" w:cs="仿宋"/>
                <w:color w:val="auto"/>
                <w:sz w:val="21"/>
                <w:szCs w:val="21"/>
                <w:highlight w:val="none"/>
              </w:rPr>
            </w:pPr>
            <w:r>
              <w:rPr>
                <w:rFonts w:hint="eastAsia" w:ascii="仿宋" w:hAnsi="仿宋" w:cs="仿宋"/>
                <w:color w:val="auto"/>
                <w:sz w:val="21"/>
                <w:szCs w:val="21"/>
                <w:highlight w:val="none"/>
              </w:rPr>
              <w:t>备注</w:t>
            </w:r>
          </w:p>
        </w:tc>
      </w:tr>
      <w:tr w14:paraId="2111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720" w:type="dxa"/>
            <w:tcBorders>
              <w:top w:val="single" w:color="auto" w:sz="4" w:space="0"/>
              <w:left w:val="single" w:color="auto" w:sz="4" w:space="0"/>
              <w:bottom w:val="single" w:color="auto" w:sz="4" w:space="0"/>
              <w:right w:val="single" w:color="auto" w:sz="4" w:space="0"/>
            </w:tcBorders>
            <w:vAlign w:val="center"/>
          </w:tcPr>
          <w:p w14:paraId="63E204AE">
            <w:pPr>
              <w:adjustRightInd w:val="0"/>
              <w:spacing w:line="240" w:lineRule="auto"/>
              <w:jc w:val="center"/>
              <w:rPr>
                <w:rFonts w:hint="eastAsia" w:ascii="仿宋" w:hAnsi="仿宋" w:cs="仿宋"/>
                <w:color w:val="auto"/>
                <w:kern w:val="0"/>
                <w:sz w:val="21"/>
                <w:szCs w:val="21"/>
                <w:highlight w:val="none"/>
              </w:rPr>
            </w:pPr>
            <w:r>
              <w:rPr>
                <w:rFonts w:hint="eastAsia" w:ascii="仿宋" w:hAnsi="仿宋" w:cs="仿宋"/>
                <w:color w:val="auto"/>
                <w:kern w:val="0"/>
                <w:sz w:val="21"/>
                <w:szCs w:val="21"/>
                <w:highlight w:val="none"/>
              </w:rPr>
              <w:t>1</w:t>
            </w:r>
          </w:p>
        </w:tc>
        <w:tc>
          <w:tcPr>
            <w:tcW w:w="1255" w:type="dxa"/>
            <w:tcBorders>
              <w:top w:val="single" w:color="auto" w:sz="4" w:space="0"/>
              <w:left w:val="single" w:color="auto" w:sz="4" w:space="0"/>
              <w:bottom w:val="single" w:color="auto" w:sz="4" w:space="0"/>
              <w:right w:val="single" w:color="auto" w:sz="4" w:space="0"/>
            </w:tcBorders>
            <w:vAlign w:val="center"/>
          </w:tcPr>
          <w:p w14:paraId="70DA7893">
            <w:pPr>
              <w:spacing w:line="240" w:lineRule="auto"/>
              <w:jc w:val="left"/>
              <w:rPr>
                <w:rFonts w:hint="eastAsia" w:ascii="仿宋" w:hAnsi="仿宋" w:cs="仿宋"/>
                <w:color w:val="auto"/>
                <w:sz w:val="21"/>
                <w:szCs w:val="21"/>
                <w:highlight w:val="none"/>
              </w:rPr>
            </w:pPr>
            <w:r>
              <w:rPr>
                <w:rFonts w:hint="eastAsia" w:ascii="仿宋" w:hAnsi="仿宋" w:cs="仿宋"/>
                <w:color w:val="auto"/>
                <w:sz w:val="21"/>
                <w:szCs w:val="21"/>
                <w:highlight w:val="none"/>
              </w:rPr>
              <w:t>项目周期</w:t>
            </w:r>
          </w:p>
        </w:tc>
        <w:tc>
          <w:tcPr>
            <w:tcW w:w="4565" w:type="dxa"/>
            <w:tcBorders>
              <w:top w:val="single" w:color="auto" w:sz="4" w:space="0"/>
              <w:left w:val="single" w:color="auto" w:sz="4" w:space="0"/>
              <w:bottom w:val="single" w:color="auto" w:sz="4" w:space="0"/>
              <w:right w:val="single" w:color="auto" w:sz="4" w:space="0"/>
            </w:tcBorders>
            <w:vAlign w:val="center"/>
          </w:tcPr>
          <w:p w14:paraId="085098CA">
            <w:pPr>
              <w:tabs>
                <w:tab w:val="left" w:pos="7665"/>
              </w:tabs>
              <w:spacing w:line="240" w:lineRule="auto"/>
              <w:rPr>
                <w:rFonts w:hint="eastAsia" w:ascii="仿宋" w:hAnsi="仿宋" w:cs="仿宋"/>
                <w:color w:val="auto"/>
                <w:sz w:val="21"/>
                <w:szCs w:val="21"/>
                <w:highlight w:val="none"/>
              </w:rPr>
            </w:pPr>
            <w:r>
              <w:rPr>
                <w:rFonts w:hint="eastAsia" w:ascii="仿宋" w:hAnsi="仿宋" w:cs="仿宋"/>
                <w:color w:val="auto"/>
                <w:sz w:val="21"/>
                <w:szCs w:val="21"/>
                <w:highlight w:val="none"/>
              </w:rPr>
              <w:t>总周期为5个月。</w:t>
            </w:r>
          </w:p>
        </w:tc>
        <w:tc>
          <w:tcPr>
            <w:tcW w:w="2130" w:type="dxa"/>
            <w:tcBorders>
              <w:top w:val="single" w:color="auto" w:sz="4" w:space="0"/>
              <w:left w:val="single" w:color="auto" w:sz="4" w:space="0"/>
              <w:bottom w:val="single" w:color="auto" w:sz="4" w:space="0"/>
              <w:right w:val="single" w:color="auto" w:sz="4" w:space="0"/>
            </w:tcBorders>
            <w:vAlign w:val="center"/>
          </w:tcPr>
          <w:p w14:paraId="17023AC0">
            <w:pPr>
              <w:spacing w:line="240" w:lineRule="auto"/>
              <w:rPr>
                <w:rFonts w:hint="eastAsia" w:ascii="仿宋" w:hAnsi="仿宋" w:cs="仿宋"/>
                <w:color w:val="auto"/>
                <w:sz w:val="21"/>
                <w:szCs w:val="21"/>
                <w:highlight w:val="none"/>
              </w:rPr>
            </w:pPr>
          </w:p>
        </w:tc>
        <w:tc>
          <w:tcPr>
            <w:tcW w:w="825" w:type="dxa"/>
            <w:tcBorders>
              <w:top w:val="single" w:color="auto" w:sz="4" w:space="0"/>
              <w:left w:val="single" w:color="auto" w:sz="4" w:space="0"/>
              <w:bottom w:val="single" w:color="auto" w:sz="4" w:space="0"/>
              <w:right w:val="single" w:color="auto" w:sz="4" w:space="0"/>
            </w:tcBorders>
          </w:tcPr>
          <w:p w14:paraId="4B94A886">
            <w:pPr>
              <w:spacing w:line="240" w:lineRule="auto"/>
              <w:jc w:val="center"/>
              <w:rPr>
                <w:rFonts w:hint="eastAsia" w:ascii="仿宋" w:hAnsi="仿宋" w:cs="仿宋"/>
                <w:color w:val="auto"/>
                <w:sz w:val="21"/>
                <w:szCs w:val="21"/>
                <w:highlight w:val="none"/>
              </w:rPr>
            </w:pPr>
          </w:p>
        </w:tc>
      </w:tr>
      <w:tr w14:paraId="7007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720" w:type="dxa"/>
            <w:tcBorders>
              <w:top w:val="single" w:color="auto" w:sz="4" w:space="0"/>
              <w:left w:val="single" w:color="auto" w:sz="4" w:space="0"/>
              <w:bottom w:val="single" w:color="auto" w:sz="4" w:space="0"/>
              <w:right w:val="single" w:color="auto" w:sz="4" w:space="0"/>
            </w:tcBorders>
            <w:vAlign w:val="center"/>
          </w:tcPr>
          <w:p w14:paraId="48116AA9">
            <w:pPr>
              <w:adjustRightInd w:val="0"/>
              <w:spacing w:line="240" w:lineRule="auto"/>
              <w:jc w:val="center"/>
              <w:rPr>
                <w:rFonts w:hint="eastAsia" w:ascii="仿宋" w:hAnsi="仿宋" w:cs="仿宋"/>
                <w:color w:val="auto"/>
                <w:kern w:val="0"/>
                <w:sz w:val="21"/>
                <w:szCs w:val="21"/>
                <w:highlight w:val="none"/>
                <w:lang w:val="zh-CN"/>
              </w:rPr>
            </w:pPr>
            <w:r>
              <w:rPr>
                <w:rFonts w:hint="eastAsia" w:ascii="仿宋" w:hAnsi="仿宋" w:cs="仿宋"/>
                <w:color w:val="auto"/>
                <w:kern w:val="0"/>
                <w:sz w:val="21"/>
                <w:szCs w:val="21"/>
                <w:highlight w:val="none"/>
              </w:rPr>
              <w:t>2</w:t>
            </w:r>
          </w:p>
        </w:tc>
        <w:tc>
          <w:tcPr>
            <w:tcW w:w="1255" w:type="dxa"/>
            <w:tcBorders>
              <w:top w:val="single" w:color="auto" w:sz="4" w:space="0"/>
              <w:left w:val="single" w:color="auto" w:sz="4" w:space="0"/>
              <w:bottom w:val="single" w:color="auto" w:sz="4" w:space="0"/>
              <w:right w:val="single" w:color="auto" w:sz="4" w:space="0"/>
            </w:tcBorders>
            <w:vAlign w:val="center"/>
          </w:tcPr>
          <w:p w14:paraId="5F35C303">
            <w:pPr>
              <w:spacing w:line="240" w:lineRule="auto"/>
              <w:jc w:val="left"/>
              <w:rPr>
                <w:rFonts w:hint="eastAsia" w:ascii="仿宋" w:hAnsi="仿宋" w:cs="仿宋"/>
                <w:color w:val="auto"/>
                <w:sz w:val="21"/>
                <w:szCs w:val="21"/>
                <w:highlight w:val="none"/>
              </w:rPr>
            </w:pPr>
            <w:r>
              <w:rPr>
                <w:rFonts w:hint="eastAsia" w:ascii="仿宋" w:hAnsi="仿宋" w:cs="仿宋"/>
                <w:color w:val="auto"/>
                <w:sz w:val="21"/>
                <w:szCs w:val="21"/>
                <w:highlight w:val="none"/>
              </w:rPr>
              <w:t>验收后服务期</w:t>
            </w:r>
          </w:p>
        </w:tc>
        <w:tc>
          <w:tcPr>
            <w:tcW w:w="4565" w:type="dxa"/>
            <w:tcBorders>
              <w:top w:val="single" w:color="auto" w:sz="4" w:space="0"/>
              <w:left w:val="single" w:color="auto" w:sz="4" w:space="0"/>
              <w:bottom w:val="single" w:color="auto" w:sz="4" w:space="0"/>
              <w:right w:val="single" w:color="auto" w:sz="4" w:space="0"/>
            </w:tcBorders>
            <w:vAlign w:val="center"/>
          </w:tcPr>
          <w:p w14:paraId="2C874054">
            <w:pPr>
              <w:widowControl/>
              <w:tabs>
                <w:tab w:val="left" w:pos="7665"/>
              </w:tabs>
              <w:spacing w:line="240" w:lineRule="auto"/>
              <w:jc w:val="left"/>
              <w:rPr>
                <w:rFonts w:hint="eastAsia" w:ascii="仿宋" w:hAnsi="仿宋" w:cs="仿宋"/>
                <w:color w:val="auto"/>
                <w:sz w:val="21"/>
                <w:szCs w:val="21"/>
                <w:highlight w:val="none"/>
              </w:rPr>
            </w:pPr>
            <w:r>
              <w:rPr>
                <w:rFonts w:hint="eastAsia" w:ascii="仿宋" w:hAnsi="仿宋" w:cs="仿宋"/>
                <w:color w:val="auto"/>
                <w:sz w:val="21"/>
                <w:szCs w:val="21"/>
                <w:highlight w:val="none"/>
              </w:rPr>
              <w:t>项目验收后12个月免费技术支持。</w:t>
            </w:r>
          </w:p>
        </w:tc>
        <w:tc>
          <w:tcPr>
            <w:tcW w:w="2130" w:type="dxa"/>
            <w:tcBorders>
              <w:top w:val="single" w:color="auto" w:sz="4" w:space="0"/>
              <w:left w:val="single" w:color="auto" w:sz="4" w:space="0"/>
              <w:bottom w:val="single" w:color="auto" w:sz="4" w:space="0"/>
              <w:right w:val="single" w:color="auto" w:sz="4" w:space="0"/>
            </w:tcBorders>
            <w:vAlign w:val="center"/>
          </w:tcPr>
          <w:p w14:paraId="5BBBA21E">
            <w:pPr>
              <w:spacing w:line="240" w:lineRule="auto"/>
              <w:rPr>
                <w:rFonts w:hint="eastAsia" w:ascii="仿宋" w:hAnsi="仿宋" w:cs="仿宋"/>
                <w:color w:val="auto"/>
                <w:sz w:val="21"/>
                <w:szCs w:val="21"/>
                <w:highlight w:val="none"/>
              </w:rPr>
            </w:pPr>
          </w:p>
        </w:tc>
        <w:tc>
          <w:tcPr>
            <w:tcW w:w="825" w:type="dxa"/>
            <w:tcBorders>
              <w:top w:val="single" w:color="auto" w:sz="4" w:space="0"/>
              <w:left w:val="single" w:color="auto" w:sz="4" w:space="0"/>
              <w:bottom w:val="single" w:color="auto" w:sz="4" w:space="0"/>
              <w:right w:val="single" w:color="auto" w:sz="4" w:space="0"/>
            </w:tcBorders>
          </w:tcPr>
          <w:p w14:paraId="48473D4D">
            <w:pPr>
              <w:spacing w:line="240" w:lineRule="auto"/>
              <w:jc w:val="center"/>
              <w:rPr>
                <w:rFonts w:hint="eastAsia" w:ascii="仿宋" w:hAnsi="仿宋" w:cs="仿宋"/>
                <w:color w:val="auto"/>
                <w:sz w:val="21"/>
                <w:szCs w:val="21"/>
                <w:highlight w:val="none"/>
              </w:rPr>
            </w:pPr>
          </w:p>
        </w:tc>
      </w:tr>
      <w:tr w14:paraId="0E80B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720" w:type="dxa"/>
            <w:tcBorders>
              <w:top w:val="single" w:color="auto" w:sz="4" w:space="0"/>
              <w:left w:val="single" w:color="auto" w:sz="4" w:space="0"/>
              <w:bottom w:val="single" w:color="auto" w:sz="4" w:space="0"/>
              <w:right w:val="single" w:color="auto" w:sz="4" w:space="0"/>
            </w:tcBorders>
            <w:vAlign w:val="center"/>
          </w:tcPr>
          <w:p w14:paraId="6EFC3ED9">
            <w:pPr>
              <w:adjustRightInd w:val="0"/>
              <w:spacing w:line="240" w:lineRule="auto"/>
              <w:jc w:val="center"/>
              <w:rPr>
                <w:rFonts w:hint="eastAsia" w:ascii="仿宋" w:hAnsi="仿宋" w:cs="仿宋"/>
                <w:color w:val="auto"/>
                <w:kern w:val="0"/>
                <w:sz w:val="21"/>
                <w:szCs w:val="21"/>
                <w:highlight w:val="none"/>
              </w:rPr>
            </w:pPr>
            <w:r>
              <w:rPr>
                <w:rFonts w:hint="eastAsia" w:ascii="仿宋" w:hAnsi="仿宋" w:cs="仿宋"/>
                <w:color w:val="auto"/>
                <w:kern w:val="0"/>
                <w:sz w:val="21"/>
                <w:szCs w:val="21"/>
                <w:highlight w:val="none"/>
              </w:rPr>
              <w:t>3</w:t>
            </w:r>
          </w:p>
        </w:tc>
        <w:tc>
          <w:tcPr>
            <w:tcW w:w="1255" w:type="dxa"/>
            <w:tcBorders>
              <w:top w:val="single" w:color="auto" w:sz="4" w:space="0"/>
              <w:left w:val="single" w:color="auto" w:sz="4" w:space="0"/>
              <w:bottom w:val="single" w:color="auto" w:sz="4" w:space="0"/>
              <w:right w:val="single" w:color="auto" w:sz="4" w:space="0"/>
            </w:tcBorders>
            <w:vAlign w:val="center"/>
          </w:tcPr>
          <w:p w14:paraId="5E040E08">
            <w:pPr>
              <w:spacing w:line="240" w:lineRule="auto"/>
              <w:jc w:val="left"/>
              <w:rPr>
                <w:rFonts w:hint="eastAsia" w:ascii="仿宋" w:hAnsi="仿宋" w:cs="仿宋"/>
                <w:color w:val="auto"/>
                <w:sz w:val="21"/>
                <w:szCs w:val="21"/>
                <w:highlight w:val="none"/>
              </w:rPr>
            </w:pPr>
            <w:r>
              <w:rPr>
                <w:rFonts w:hint="eastAsia" w:ascii="仿宋" w:hAnsi="仿宋" w:cs="仿宋"/>
                <w:color w:val="auto"/>
                <w:sz w:val="21"/>
                <w:szCs w:val="21"/>
                <w:highlight w:val="none"/>
              </w:rPr>
              <w:t>付款方式</w:t>
            </w:r>
          </w:p>
        </w:tc>
        <w:tc>
          <w:tcPr>
            <w:tcW w:w="4565" w:type="dxa"/>
            <w:tcBorders>
              <w:top w:val="single" w:color="auto" w:sz="4" w:space="0"/>
              <w:left w:val="single" w:color="auto" w:sz="4" w:space="0"/>
              <w:bottom w:val="single" w:color="auto" w:sz="4" w:space="0"/>
              <w:right w:val="single" w:color="auto" w:sz="4" w:space="0"/>
            </w:tcBorders>
            <w:vAlign w:val="center"/>
          </w:tcPr>
          <w:p w14:paraId="5C9B24D8">
            <w:pPr>
              <w:adjustRightInd w:val="0"/>
              <w:snapToGrid w:val="0"/>
              <w:spacing w:line="240" w:lineRule="auto"/>
              <w:rPr>
                <w:rFonts w:hint="eastAsia" w:ascii="仿宋" w:hAnsi="仿宋" w:cs="仿宋"/>
                <w:color w:val="auto"/>
                <w:kern w:val="0"/>
                <w:sz w:val="21"/>
                <w:szCs w:val="21"/>
                <w:highlight w:val="none"/>
                <w:lang w:bidi="ar"/>
              </w:rPr>
            </w:pPr>
            <w:bookmarkStart w:id="228" w:name="OLE_LINK6"/>
            <w:r>
              <w:rPr>
                <w:rFonts w:hint="eastAsia" w:ascii="仿宋" w:hAnsi="仿宋" w:cs="仿宋"/>
                <w:color w:val="auto"/>
                <w:kern w:val="0"/>
                <w:sz w:val="21"/>
                <w:szCs w:val="21"/>
                <w:highlight w:val="none"/>
                <w:lang w:bidi="ar"/>
              </w:rPr>
              <w:t>1.合同签订生效后，</w:t>
            </w:r>
            <w:r>
              <w:rPr>
                <w:rFonts w:ascii="仿宋" w:hAnsi="仿宋" w:cs="仿宋"/>
                <w:color w:val="auto"/>
                <w:kern w:val="0"/>
                <w:sz w:val="21"/>
                <w:szCs w:val="21"/>
                <w:highlight w:val="none"/>
                <w:lang w:bidi="ar"/>
              </w:rPr>
              <w:t>供应商按照技术要求，完成现状分析、SAE ARP 4754建设报告、持续适航体系建设报告，经需求评审同意后，</w:t>
            </w:r>
            <w:r>
              <w:rPr>
                <w:rFonts w:hint="eastAsia" w:ascii="仿宋" w:hAnsi="仿宋" w:cs="仿宋"/>
                <w:color w:val="auto"/>
                <w:kern w:val="0"/>
                <w:sz w:val="21"/>
                <w:szCs w:val="21"/>
                <w:highlight w:val="none"/>
                <w:lang w:bidi="ar"/>
              </w:rPr>
              <w:t>三十个工作日内支付供应商合同款的30%；</w:t>
            </w:r>
          </w:p>
          <w:p w14:paraId="46E14770">
            <w:pPr>
              <w:adjustRightInd w:val="0"/>
              <w:snapToGrid w:val="0"/>
              <w:spacing w:line="240" w:lineRule="auto"/>
              <w:rPr>
                <w:rFonts w:hint="eastAsia" w:ascii="仿宋" w:hAnsi="仿宋" w:cs="仿宋"/>
                <w:color w:val="auto"/>
                <w:kern w:val="0"/>
                <w:sz w:val="21"/>
                <w:szCs w:val="21"/>
                <w:highlight w:val="none"/>
                <w:lang w:bidi="ar"/>
              </w:rPr>
            </w:pPr>
            <w:r>
              <w:rPr>
                <w:rFonts w:hint="eastAsia" w:ascii="仿宋" w:hAnsi="仿宋" w:cs="仿宋"/>
                <w:color w:val="auto"/>
                <w:kern w:val="0"/>
                <w:sz w:val="21"/>
                <w:szCs w:val="21"/>
                <w:highlight w:val="none"/>
                <w:lang w:bidi="ar"/>
              </w:rPr>
              <w:t>2.供应商在合同约定时间内将</w:t>
            </w:r>
            <w:r>
              <w:rPr>
                <w:rFonts w:ascii="仿宋" w:hAnsi="仿宋" w:cs="仿宋"/>
                <w:color w:val="auto"/>
                <w:kern w:val="0"/>
                <w:sz w:val="21"/>
                <w:szCs w:val="21"/>
                <w:highlight w:val="none"/>
                <w:lang w:bidi="ar"/>
              </w:rPr>
              <w:t>体系建设方案、全套体系文件</w:t>
            </w:r>
            <w:r>
              <w:rPr>
                <w:rFonts w:hint="eastAsia" w:ascii="仿宋" w:hAnsi="仿宋" w:cs="仿宋"/>
                <w:color w:val="auto"/>
                <w:kern w:val="0"/>
                <w:sz w:val="21"/>
                <w:szCs w:val="21"/>
                <w:highlight w:val="none"/>
                <w:lang w:bidi="ar"/>
              </w:rPr>
              <w:t>交付需方，需方在产品安装调试完毕并验收合格且收到供应商开具的全额增值税专用发票后三十个工作日内支付供应商合同款的60%；</w:t>
            </w:r>
          </w:p>
          <w:p w14:paraId="4B7E6CC7">
            <w:pPr>
              <w:widowControl/>
              <w:adjustRightInd w:val="0"/>
              <w:snapToGrid w:val="0"/>
              <w:spacing w:line="240" w:lineRule="auto"/>
              <w:jc w:val="left"/>
              <w:rPr>
                <w:rFonts w:hint="eastAsia" w:ascii="仿宋" w:hAnsi="仿宋" w:cs="仿宋"/>
                <w:color w:val="auto"/>
                <w:sz w:val="21"/>
                <w:szCs w:val="21"/>
                <w:highlight w:val="none"/>
              </w:rPr>
            </w:pPr>
            <w:r>
              <w:rPr>
                <w:rFonts w:hint="eastAsia" w:ascii="仿宋" w:hAnsi="仿宋" w:cs="仿宋"/>
                <w:color w:val="auto"/>
                <w:kern w:val="0"/>
                <w:sz w:val="21"/>
                <w:szCs w:val="21"/>
                <w:highlight w:val="none"/>
                <w:lang w:bidi="ar"/>
              </w:rPr>
              <w:t>3.剩余合同尾款作为供应商履行售后维保的质保金，产品无质量问题或质量瑕疵，自收到供应商全额增值税专用发票之日起12个月后支付供应商合同尾款。</w:t>
            </w:r>
            <w:bookmarkEnd w:id="228"/>
          </w:p>
        </w:tc>
        <w:tc>
          <w:tcPr>
            <w:tcW w:w="2130" w:type="dxa"/>
            <w:tcBorders>
              <w:top w:val="single" w:color="auto" w:sz="4" w:space="0"/>
              <w:left w:val="single" w:color="auto" w:sz="4" w:space="0"/>
              <w:bottom w:val="single" w:color="auto" w:sz="4" w:space="0"/>
              <w:right w:val="single" w:color="auto" w:sz="4" w:space="0"/>
            </w:tcBorders>
            <w:vAlign w:val="center"/>
          </w:tcPr>
          <w:p w14:paraId="4C1FE702">
            <w:pPr>
              <w:spacing w:line="240" w:lineRule="auto"/>
              <w:rPr>
                <w:rFonts w:hint="eastAsia" w:ascii="仿宋" w:hAnsi="仿宋" w:cs="仿宋"/>
                <w:color w:val="auto"/>
                <w:sz w:val="21"/>
                <w:szCs w:val="21"/>
                <w:highlight w:val="none"/>
              </w:rPr>
            </w:pPr>
          </w:p>
        </w:tc>
        <w:tc>
          <w:tcPr>
            <w:tcW w:w="825" w:type="dxa"/>
            <w:tcBorders>
              <w:top w:val="single" w:color="auto" w:sz="4" w:space="0"/>
              <w:left w:val="single" w:color="auto" w:sz="4" w:space="0"/>
              <w:bottom w:val="single" w:color="auto" w:sz="4" w:space="0"/>
              <w:right w:val="single" w:color="auto" w:sz="4" w:space="0"/>
            </w:tcBorders>
          </w:tcPr>
          <w:p w14:paraId="7EEE13F6">
            <w:pPr>
              <w:spacing w:line="240" w:lineRule="auto"/>
              <w:jc w:val="center"/>
              <w:rPr>
                <w:rFonts w:hint="eastAsia" w:ascii="仿宋" w:hAnsi="仿宋" w:cs="仿宋"/>
                <w:color w:val="auto"/>
                <w:sz w:val="21"/>
                <w:szCs w:val="21"/>
                <w:highlight w:val="none"/>
              </w:rPr>
            </w:pPr>
          </w:p>
        </w:tc>
      </w:tr>
    </w:tbl>
    <w:p w14:paraId="7AB4A15F">
      <w:pPr>
        <w:adjustRightInd w:val="0"/>
        <w:spacing w:line="400" w:lineRule="exact"/>
        <w:rPr>
          <w:rFonts w:hint="eastAsia" w:ascii="仿宋" w:hAnsi="仿宋" w:cs="仿宋"/>
          <w:bCs/>
          <w:color w:val="auto"/>
          <w:spacing w:val="8"/>
          <w:highlight w:val="none"/>
        </w:rPr>
      </w:pPr>
    </w:p>
    <w:p w14:paraId="7E9FA1A9">
      <w:pPr>
        <w:adjustRightInd w:val="0"/>
        <w:spacing w:line="400" w:lineRule="exact"/>
        <w:ind w:firstLine="768" w:firstLineChars="300"/>
        <w:rPr>
          <w:rFonts w:hint="eastAsia" w:ascii="仿宋" w:hAnsi="仿宋" w:cs="仿宋"/>
          <w:bCs/>
          <w:color w:val="auto"/>
          <w:spacing w:val="8"/>
          <w:highlight w:val="none"/>
        </w:rPr>
      </w:pPr>
    </w:p>
    <w:p w14:paraId="4D09BCD1">
      <w:pPr>
        <w:adjustRightInd w:val="0"/>
        <w:spacing w:line="400" w:lineRule="exact"/>
        <w:ind w:firstLine="768" w:firstLineChars="300"/>
        <w:rPr>
          <w:rFonts w:hint="eastAsia" w:ascii="仿宋" w:hAnsi="仿宋" w:cs="仿宋"/>
          <w:bCs/>
          <w:color w:val="auto"/>
          <w:spacing w:val="8"/>
          <w:highlight w:val="none"/>
        </w:rPr>
      </w:pPr>
      <w:r>
        <w:rPr>
          <w:rFonts w:hint="eastAsia" w:ascii="仿宋" w:hAnsi="仿宋" w:cs="仿宋"/>
          <w:bCs/>
          <w:color w:val="auto"/>
          <w:spacing w:val="8"/>
          <w:highlight w:val="none"/>
        </w:rPr>
        <w:t>注：1.以上内容不允许负偏离，不满足将导致响应无效。</w:t>
      </w:r>
    </w:p>
    <w:p w14:paraId="099D7179">
      <w:pPr>
        <w:adjustRightInd w:val="0"/>
        <w:spacing w:line="400" w:lineRule="exact"/>
        <w:ind w:firstLine="768" w:firstLineChars="300"/>
        <w:rPr>
          <w:rFonts w:hint="eastAsia" w:ascii="仿宋" w:hAnsi="仿宋" w:cs="仿宋"/>
          <w:bCs/>
          <w:color w:val="auto"/>
          <w:spacing w:val="8"/>
          <w:highlight w:val="none"/>
        </w:rPr>
      </w:pPr>
      <w:r>
        <w:rPr>
          <w:rFonts w:hint="eastAsia" w:ascii="仿宋" w:hAnsi="仿宋" w:cs="仿宋"/>
          <w:bCs/>
          <w:color w:val="auto"/>
          <w:spacing w:val="8"/>
          <w:highlight w:val="none"/>
        </w:rPr>
        <w:t>2.供应商必须据实填写（备注中可注明是否响应，也可注明正、负或无偏离），不得虚假响应，否则将取消其询比或成交资格，并按有关规定进行处罚。</w:t>
      </w:r>
    </w:p>
    <w:p w14:paraId="7816F6BC">
      <w:pPr>
        <w:adjustRightInd w:val="0"/>
        <w:ind w:firstLine="512" w:firstLineChars="200"/>
        <w:rPr>
          <w:rFonts w:hint="eastAsia" w:ascii="仿宋" w:hAnsi="仿宋" w:cs="仿宋"/>
          <w:bCs/>
          <w:color w:val="auto"/>
          <w:spacing w:val="8"/>
          <w:highlight w:val="none"/>
        </w:rPr>
      </w:pPr>
    </w:p>
    <w:p w14:paraId="24048AF3">
      <w:pPr>
        <w:adjustRightInd w:val="0"/>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供应商名称：      （盖章）</w:t>
      </w:r>
    </w:p>
    <w:p w14:paraId="5D536178">
      <w:pPr>
        <w:adjustRightInd w:val="0"/>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法定代表人或授权代表（签字或盖章）：</w:t>
      </w:r>
    </w:p>
    <w:p w14:paraId="62CF2696">
      <w:pPr>
        <w:adjustRightInd w:val="0"/>
        <w:ind w:firstLine="480" w:firstLineChars="200"/>
        <w:rPr>
          <w:rFonts w:hint="eastAsia" w:ascii="宋体" w:hAnsi="宋体"/>
          <w:bCs/>
          <w:color w:val="auto"/>
          <w:spacing w:val="8"/>
          <w:highlight w:val="none"/>
        </w:rPr>
      </w:pPr>
      <w:r>
        <w:rPr>
          <w:rFonts w:hint="eastAsia" w:ascii="仿宋" w:hAnsi="仿宋" w:cs="仿宋"/>
          <w:color w:val="auto"/>
          <w:highlight w:val="none"/>
        </w:rPr>
        <w:t>日       期：       年  月  日</w:t>
      </w:r>
    </w:p>
    <w:p w14:paraId="40083B35">
      <w:pPr>
        <w:pStyle w:val="2"/>
        <w:ind w:left="480"/>
        <w:rPr>
          <w:color w:val="auto"/>
          <w:highlight w:val="none"/>
        </w:rPr>
      </w:pPr>
    </w:p>
    <w:p w14:paraId="16D43D9E">
      <w:pPr>
        <w:rPr>
          <w:rFonts w:hint="eastAsia" w:ascii="仿宋" w:hAnsi="仿宋"/>
          <w:b/>
          <w:color w:val="auto"/>
          <w:sz w:val="32"/>
          <w:szCs w:val="32"/>
          <w:highlight w:val="none"/>
        </w:rPr>
      </w:pPr>
      <w:r>
        <w:rPr>
          <w:rFonts w:hint="eastAsia" w:ascii="仿宋" w:hAnsi="仿宋"/>
          <w:b/>
          <w:color w:val="auto"/>
          <w:sz w:val="32"/>
          <w:szCs w:val="32"/>
          <w:highlight w:val="none"/>
        </w:rPr>
        <w:br w:type="page"/>
      </w:r>
    </w:p>
    <w:p w14:paraId="674C964F">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t>八、供应商类似项目业绩一览表</w:t>
      </w:r>
    </w:p>
    <w:tbl>
      <w:tblPr>
        <w:tblStyle w:val="30"/>
        <w:tblW w:w="855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825"/>
        <w:gridCol w:w="1653"/>
        <w:gridCol w:w="1515"/>
        <w:gridCol w:w="1332"/>
        <w:gridCol w:w="1632"/>
        <w:gridCol w:w="1593"/>
      </w:tblGrid>
      <w:tr w14:paraId="55704ED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top w:val="single" w:color="auto" w:sz="4" w:space="0"/>
            </w:tcBorders>
            <w:vAlign w:val="center"/>
          </w:tcPr>
          <w:p w14:paraId="002F5295">
            <w:pPr>
              <w:spacing w:line="240" w:lineRule="auto"/>
              <w:jc w:val="center"/>
              <w:rPr>
                <w:rFonts w:hint="eastAsia" w:ascii="仿宋" w:hAnsi="仿宋" w:cs="Arial"/>
                <w:b/>
                <w:color w:val="auto"/>
                <w:highlight w:val="none"/>
              </w:rPr>
            </w:pPr>
            <w:r>
              <w:rPr>
                <w:rFonts w:hint="eastAsia" w:ascii="仿宋" w:hAnsi="仿宋" w:cs="Arial"/>
                <w:b/>
                <w:color w:val="auto"/>
                <w:highlight w:val="none"/>
              </w:rPr>
              <w:t>年份</w:t>
            </w:r>
          </w:p>
        </w:tc>
        <w:tc>
          <w:tcPr>
            <w:tcW w:w="1653" w:type="dxa"/>
            <w:vAlign w:val="center"/>
          </w:tcPr>
          <w:p w14:paraId="327FD79A">
            <w:pPr>
              <w:spacing w:line="240" w:lineRule="auto"/>
              <w:jc w:val="center"/>
              <w:rPr>
                <w:rFonts w:hint="eastAsia" w:ascii="仿宋" w:hAnsi="仿宋" w:cs="Arial"/>
                <w:b/>
                <w:color w:val="auto"/>
                <w:highlight w:val="none"/>
              </w:rPr>
            </w:pPr>
            <w:r>
              <w:rPr>
                <w:rFonts w:hint="eastAsia" w:ascii="仿宋" w:hAnsi="仿宋" w:cs="Arial"/>
                <w:b/>
                <w:color w:val="auto"/>
                <w:highlight w:val="none"/>
              </w:rPr>
              <w:t>用户名称</w:t>
            </w:r>
          </w:p>
        </w:tc>
        <w:tc>
          <w:tcPr>
            <w:tcW w:w="1515" w:type="dxa"/>
            <w:vAlign w:val="center"/>
          </w:tcPr>
          <w:p w14:paraId="6D7EEEA2">
            <w:pPr>
              <w:spacing w:line="240" w:lineRule="auto"/>
              <w:jc w:val="center"/>
              <w:rPr>
                <w:rFonts w:hint="eastAsia" w:ascii="仿宋" w:hAnsi="仿宋" w:cs="Arial"/>
                <w:b/>
                <w:color w:val="auto"/>
                <w:highlight w:val="none"/>
              </w:rPr>
            </w:pPr>
            <w:r>
              <w:rPr>
                <w:rFonts w:ascii="仿宋" w:hAnsi="仿宋" w:cs="Arial"/>
                <w:b/>
                <w:color w:val="auto"/>
                <w:highlight w:val="none"/>
              </w:rPr>
              <w:t>项目名称</w:t>
            </w:r>
          </w:p>
        </w:tc>
        <w:tc>
          <w:tcPr>
            <w:tcW w:w="1332" w:type="dxa"/>
            <w:vAlign w:val="center"/>
          </w:tcPr>
          <w:p w14:paraId="3995B437">
            <w:pPr>
              <w:spacing w:line="240" w:lineRule="auto"/>
              <w:jc w:val="center"/>
              <w:rPr>
                <w:rFonts w:hint="eastAsia" w:ascii="仿宋" w:hAnsi="仿宋" w:cs="Arial"/>
                <w:b/>
                <w:color w:val="auto"/>
                <w:highlight w:val="none"/>
              </w:rPr>
            </w:pPr>
            <w:r>
              <w:rPr>
                <w:rFonts w:ascii="仿宋" w:hAnsi="仿宋" w:cs="Arial"/>
                <w:b/>
                <w:color w:val="auto"/>
                <w:highlight w:val="none"/>
              </w:rPr>
              <w:t>完成时间</w:t>
            </w:r>
          </w:p>
        </w:tc>
        <w:tc>
          <w:tcPr>
            <w:tcW w:w="1632" w:type="dxa"/>
            <w:vAlign w:val="center"/>
          </w:tcPr>
          <w:p w14:paraId="3F2F6318">
            <w:pPr>
              <w:spacing w:line="240" w:lineRule="auto"/>
              <w:jc w:val="center"/>
              <w:rPr>
                <w:rFonts w:hint="eastAsia" w:ascii="仿宋" w:hAnsi="仿宋" w:cs="Arial"/>
                <w:b/>
                <w:color w:val="auto"/>
                <w:highlight w:val="none"/>
              </w:rPr>
            </w:pPr>
            <w:r>
              <w:rPr>
                <w:rFonts w:ascii="仿宋" w:hAnsi="仿宋" w:cs="Arial"/>
                <w:b/>
                <w:color w:val="auto"/>
                <w:highlight w:val="none"/>
              </w:rPr>
              <w:t>合同金额</w:t>
            </w:r>
          </w:p>
        </w:tc>
        <w:tc>
          <w:tcPr>
            <w:tcW w:w="1593" w:type="dxa"/>
            <w:tcBorders>
              <w:left w:val="single" w:color="auto" w:sz="4" w:space="0"/>
            </w:tcBorders>
            <w:vAlign w:val="center"/>
          </w:tcPr>
          <w:p w14:paraId="17F963A4">
            <w:pPr>
              <w:spacing w:line="240" w:lineRule="auto"/>
              <w:jc w:val="center"/>
              <w:rPr>
                <w:rFonts w:hint="eastAsia" w:ascii="仿宋" w:hAnsi="仿宋" w:cs="Arial"/>
                <w:b/>
                <w:color w:val="auto"/>
                <w:highlight w:val="none"/>
              </w:rPr>
            </w:pPr>
            <w:r>
              <w:rPr>
                <w:rFonts w:hint="eastAsia" w:ascii="仿宋" w:hAnsi="仿宋" w:cs="Arial"/>
                <w:b/>
                <w:color w:val="auto"/>
                <w:highlight w:val="none"/>
              </w:rPr>
              <w:t>备注</w:t>
            </w:r>
          </w:p>
        </w:tc>
      </w:tr>
      <w:tr w14:paraId="7208A5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508D53CA">
            <w:pPr>
              <w:spacing w:line="240" w:lineRule="auto"/>
              <w:jc w:val="center"/>
              <w:rPr>
                <w:rFonts w:hint="eastAsia" w:ascii="仿宋" w:hAnsi="仿宋" w:cs="Arial"/>
                <w:color w:val="auto"/>
                <w:highlight w:val="none"/>
              </w:rPr>
            </w:pPr>
          </w:p>
        </w:tc>
        <w:tc>
          <w:tcPr>
            <w:tcW w:w="1653" w:type="dxa"/>
            <w:vAlign w:val="center"/>
          </w:tcPr>
          <w:p w14:paraId="58D44360">
            <w:pPr>
              <w:spacing w:line="240" w:lineRule="auto"/>
              <w:jc w:val="center"/>
              <w:rPr>
                <w:rFonts w:hint="eastAsia" w:ascii="仿宋" w:hAnsi="仿宋" w:cs="Arial"/>
                <w:color w:val="auto"/>
                <w:highlight w:val="none"/>
              </w:rPr>
            </w:pPr>
          </w:p>
        </w:tc>
        <w:tc>
          <w:tcPr>
            <w:tcW w:w="1515" w:type="dxa"/>
            <w:vAlign w:val="center"/>
          </w:tcPr>
          <w:p w14:paraId="62298F4B">
            <w:pPr>
              <w:spacing w:line="240" w:lineRule="auto"/>
              <w:jc w:val="center"/>
              <w:rPr>
                <w:rFonts w:hint="eastAsia" w:ascii="仿宋" w:hAnsi="仿宋" w:cs="Arial"/>
                <w:color w:val="auto"/>
                <w:highlight w:val="none"/>
              </w:rPr>
            </w:pPr>
          </w:p>
        </w:tc>
        <w:tc>
          <w:tcPr>
            <w:tcW w:w="1332" w:type="dxa"/>
            <w:vAlign w:val="center"/>
          </w:tcPr>
          <w:p w14:paraId="6F6B0CC8">
            <w:pPr>
              <w:spacing w:line="240" w:lineRule="auto"/>
              <w:jc w:val="center"/>
              <w:rPr>
                <w:rFonts w:hint="eastAsia" w:ascii="仿宋" w:hAnsi="仿宋" w:cs="Arial"/>
                <w:color w:val="auto"/>
                <w:highlight w:val="none"/>
              </w:rPr>
            </w:pPr>
          </w:p>
        </w:tc>
        <w:tc>
          <w:tcPr>
            <w:tcW w:w="1632" w:type="dxa"/>
            <w:vAlign w:val="center"/>
          </w:tcPr>
          <w:p w14:paraId="78D63B01">
            <w:pPr>
              <w:spacing w:line="240" w:lineRule="auto"/>
              <w:jc w:val="center"/>
              <w:rPr>
                <w:rFonts w:hint="eastAsia" w:ascii="仿宋" w:hAnsi="仿宋" w:cs="Arial"/>
                <w:color w:val="auto"/>
                <w:highlight w:val="none"/>
              </w:rPr>
            </w:pPr>
          </w:p>
        </w:tc>
        <w:tc>
          <w:tcPr>
            <w:tcW w:w="1593" w:type="dxa"/>
            <w:tcBorders>
              <w:left w:val="single" w:color="auto" w:sz="4" w:space="0"/>
            </w:tcBorders>
            <w:vAlign w:val="center"/>
          </w:tcPr>
          <w:p w14:paraId="4DA29A5C">
            <w:pPr>
              <w:spacing w:line="240" w:lineRule="auto"/>
              <w:jc w:val="center"/>
              <w:rPr>
                <w:rFonts w:hint="eastAsia" w:ascii="仿宋" w:hAnsi="仿宋" w:cs="Arial"/>
                <w:color w:val="auto"/>
                <w:highlight w:val="none"/>
              </w:rPr>
            </w:pPr>
          </w:p>
        </w:tc>
      </w:tr>
      <w:tr w14:paraId="70FBD26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50B46198">
            <w:pPr>
              <w:spacing w:line="240" w:lineRule="auto"/>
              <w:jc w:val="center"/>
              <w:rPr>
                <w:rFonts w:hint="eastAsia" w:ascii="仿宋" w:hAnsi="仿宋" w:cs="Arial"/>
                <w:color w:val="auto"/>
                <w:highlight w:val="none"/>
              </w:rPr>
            </w:pPr>
          </w:p>
        </w:tc>
        <w:tc>
          <w:tcPr>
            <w:tcW w:w="1653" w:type="dxa"/>
            <w:vAlign w:val="center"/>
          </w:tcPr>
          <w:p w14:paraId="3310E673">
            <w:pPr>
              <w:spacing w:line="240" w:lineRule="auto"/>
              <w:jc w:val="center"/>
              <w:rPr>
                <w:rFonts w:hint="eastAsia" w:ascii="仿宋" w:hAnsi="仿宋" w:cs="Arial"/>
                <w:color w:val="auto"/>
                <w:highlight w:val="none"/>
              </w:rPr>
            </w:pPr>
          </w:p>
        </w:tc>
        <w:tc>
          <w:tcPr>
            <w:tcW w:w="1515" w:type="dxa"/>
            <w:vAlign w:val="center"/>
          </w:tcPr>
          <w:p w14:paraId="2A65A8A3">
            <w:pPr>
              <w:spacing w:line="240" w:lineRule="auto"/>
              <w:jc w:val="center"/>
              <w:rPr>
                <w:rFonts w:hint="eastAsia" w:ascii="仿宋" w:hAnsi="仿宋" w:cs="Arial"/>
                <w:color w:val="auto"/>
                <w:highlight w:val="none"/>
              </w:rPr>
            </w:pPr>
          </w:p>
        </w:tc>
        <w:tc>
          <w:tcPr>
            <w:tcW w:w="1332" w:type="dxa"/>
            <w:vAlign w:val="center"/>
          </w:tcPr>
          <w:p w14:paraId="19034D68">
            <w:pPr>
              <w:spacing w:line="240" w:lineRule="auto"/>
              <w:jc w:val="center"/>
              <w:rPr>
                <w:rFonts w:hint="eastAsia" w:ascii="仿宋" w:hAnsi="仿宋" w:cs="Arial"/>
                <w:color w:val="auto"/>
                <w:highlight w:val="none"/>
              </w:rPr>
            </w:pPr>
          </w:p>
        </w:tc>
        <w:tc>
          <w:tcPr>
            <w:tcW w:w="1632" w:type="dxa"/>
            <w:vAlign w:val="center"/>
          </w:tcPr>
          <w:p w14:paraId="2EBD609B">
            <w:pPr>
              <w:spacing w:line="240" w:lineRule="auto"/>
              <w:jc w:val="center"/>
              <w:rPr>
                <w:rFonts w:hint="eastAsia" w:ascii="仿宋" w:hAnsi="仿宋" w:cs="Arial"/>
                <w:color w:val="auto"/>
                <w:highlight w:val="none"/>
              </w:rPr>
            </w:pPr>
          </w:p>
        </w:tc>
        <w:tc>
          <w:tcPr>
            <w:tcW w:w="1593" w:type="dxa"/>
            <w:tcBorders>
              <w:left w:val="single" w:color="auto" w:sz="4" w:space="0"/>
            </w:tcBorders>
            <w:vAlign w:val="center"/>
          </w:tcPr>
          <w:p w14:paraId="322FDB46">
            <w:pPr>
              <w:spacing w:line="240" w:lineRule="auto"/>
              <w:jc w:val="center"/>
              <w:rPr>
                <w:rFonts w:hint="eastAsia" w:ascii="仿宋" w:hAnsi="仿宋" w:cs="Arial"/>
                <w:color w:val="auto"/>
                <w:highlight w:val="none"/>
              </w:rPr>
            </w:pPr>
          </w:p>
        </w:tc>
      </w:tr>
      <w:tr w14:paraId="0D9C08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07C3F903">
            <w:pPr>
              <w:spacing w:line="240" w:lineRule="auto"/>
              <w:jc w:val="center"/>
              <w:rPr>
                <w:rFonts w:hint="eastAsia" w:ascii="仿宋" w:hAnsi="仿宋" w:cs="Arial"/>
                <w:color w:val="auto"/>
                <w:highlight w:val="none"/>
              </w:rPr>
            </w:pPr>
          </w:p>
        </w:tc>
        <w:tc>
          <w:tcPr>
            <w:tcW w:w="1653" w:type="dxa"/>
            <w:vAlign w:val="center"/>
          </w:tcPr>
          <w:p w14:paraId="0434AD1A">
            <w:pPr>
              <w:spacing w:line="240" w:lineRule="auto"/>
              <w:jc w:val="center"/>
              <w:rPr>
                <w:rFonts w:hint="eastAsia" w:ascii="仿宋" w:hAnsi="仿宋" w:cs="Arial"/>
                <w:color w:val="auto"/>
                <w:highlight w:val="none"/>
              </w:rPr>
            </w:pPr>
          </w:p>
        </w:tc>
        <w:tc>
          <w:tcPr>
            <w:tcW w:w="1515" w:type="dxa"/>
            <w:vAlign w:val="center"/>
          </w:tcPr>
          <w:p w14:paraId="73E17D15">
            <w:pPr>
              <w:spacing w:line="240" w:lineRule="auto"/>
              <w:jc w:val="center"/>
              <w:rPr>
                <w:rFonts w:hint="eastAsia" w:ascii="仿宋" w:hAnsi="仿宋" w:cs="Arial"/>
                <w:color w:val="auto"/>
                <w:highlight w:val="none"/>
              </w:rPr>
            </w:pPr>
          </w:p>
        </w:tc>
        <w:tc>
          <w:tcPr>
            <w:tcW w:w="1332" w:type="dxa"/>
            <w:vAlign w:val="center"/>
          </w:tcPr>
          <w:p w14:paraId="2C888923">
            <w:pPr>
              <w:spacing w:line="240" w:lineRule="auto"/>
              <w:jc w:val="center"/>
              <w:rPr>
                <w:rFonts w:hint="eastAsia" w:ascii="仿宋" w:hAnsi="仿宋" w:cs="Arial"/>
                <w:color w:val="auto"/>
                <w:highlight w:val="none"/>
              </w:rPr>
            </w:pPr>
          </w:p>
        </w:tc>
        <w:tc>
          <w:tcPr>
            <w:tcW w:w="1632" w:type="dxa"/>
            <w:vAlign w:val="center"/>
          </w:tcPr>
          <w:p w14:paraId="0D01DCF5">
            <w:pPr>
              <w:spacing w:line="240" w:lineRule="auto"/>
              <w:jc w:val="center"/>
              <w:rPr>
                <w:rFonts w:hint="eastAsia" w:ascii="仿宋" w:hAnsi="仿宋" w:cs="Arial"/>
                <w:color w:val="auto"/>
                <w:highlight w:val="none"/>
              </w:rPr>
            </w:pPr>
          </w:p>
        </w:tc>
        <w:tc>
          <w:tcPr>
            <w:tcW w:w="1593" w:type="dxa"/>
            <w:tcBorders>
              <w:left w:val="single" w:color="auto" w:sz="4" w:space="0"/>
            </w:tcBorders>
            <w:vAlign w:val="center"/>
          </w:tcPr>
          <w:p w14:paraId="1B86634C">
            <w:pPr>
              <w:spacing w:line="240" w:lineRule="auto"/>
              <w:jc w:val="center"/>
              <w:rPr>
                <w:rFonts w:hint="eastAsia" w:ascii="仿宋" w:hAnsi="仿宋" w:cs="Arial"/>
                <w:color w:val="auto"/>
                <w:highlight w:val="none"/>
              </w:rPr>
            </w:pPr>
          </w:p>
        </w:tc>
      </w:tr>
      <w:tr w14:paraId="524F6F3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35F4FDC1">
            <w:pPr>
              <w:spacing w:line="240" w:lineRule="auto"/>
              <w:jc w:val="center"/>
              <w:rPr>
                <w:rFonts w:hint="eastAsia" w:ascii="仿宋" w:hAnsi="仿宋" w:cs="Arial"/>
                <w:color w:val="auto"/>
                <w:highlight w:val="none"/>
              </w:rPr>
            </w:pPr>
          </w:p>
        </w:tc>
        <w:tc>
          <w:tcPr>
            <w:tcW w:w="1653" w:type="dxa"/>
            <w:tcBorders>
              <w:right w:val="single" w:color="auto" w:sz="4" w:space="0"/>
            </w:tcBorders>
            <w:vAlign w:val="center"/>
          </w:tcPr>
          <w:p w14:paraId="12B796AE">
            <w:pPr>
              <w:spacing w:line="240" w:lineRule="auto"/>
              <w:jc w:val="center"/>
              <w:rPr>
                <w:rFonts w:hint="eastAsia" w:ascii="仿宋" w:hAnsi="仿宋" w:cs="Arial"/>
                <w:color w:val="auto"/>
                <w:highlight w:val="none"/>
              </w:rPr>
            </w:pPr>
          </w:p>
        </w:tc>
        <w:tc>
          <w:tcPr>
            <w:tcW w:w="1515" w:type="dxa"/>
            <w:tcBorders>
              <w:left w:val="single" w:color="auto" w:sz="4" w:space="0"/>
            </w:tcBorders>
            <w:vAlign w:val="center"/>
          </w:tcPr>
          <w:p w14:paraId="281C4237">
            <w:pPr>
              <w:spacing w:line="240" w:lineRule="auto"/>
              <w:jc w:val="center"/>
              <w:rPr>
                <w:rFonts w:hint="eastAsia" w:ascii="仿宋" w:hAnsi="仿宋" w:cs="Arial"/>
                <w:color w:val="auto"/>
                <w:highlight w:val="none"/>
              </w:rPr>
            </w:pPr>
          </w:p>
        </w:tc>
        <w:tc>
          <w:tcPr>
            <w:tcW w:w="1332" w:type="dxa"/>
            <w:vAlign w:val="center"/>
          </w:tcPr>
          <w:p w14:paraId="5F2509E0">
            <w:pPr>
              <w:spacing w:line="240" w:lineRule="auto"/>
              <w:jc w:val="center"/>
              <w:rPr>
                <w:rFonts w:hint="eastAsia" w:ascii="仿宋" w:hAnsi="仿宋" w:cs="Arial"/>
                <w:color w:val="auto"/>
                <w:highlight w:val="none"/>
              </w:rPr>
            </w:pPr>
          </w:p>
        </w:tc>
        <w:tc>
          <w:tcPr>
            <w:tcW w:w="1632" w:type="dxa"/>
            <w:vAlign w:val="center"/>
          </w:tcPr>
          <w:p w14:paraId="2AF8C4AC">
            <w:pPr>
              <w:spacing w:line="240" w:lineRule="auto"/>
              <w:jc w:val="center"/>
              <w:rPr>
                <w:rFonts w:hint="eastAsia" w:ascii="仿宋" w:hAnsi="仿宋" w:cs="Arial"/>
                <w:color w:val="auto"/>
                <w:highlight w:val="none"/>
              </w:rPr>
            </w:pPr>
          </w:p>
        </w:tc>
        <w:tc>
          <w:tcPr>
            <w:tcW w:w="1593" w:type="dxa"/>
            <w:tcBorders>
              <w:left w:val="single" w:color="auto" w:sz="4" w:space="0"/>
            </w:tcBorders>
            <w:vAlign w:val="center"/>
          </w:tcPr>
          <w:p w14:paraId="249DBC59">
            <w:pPr>
              <w:spacing w:line="240" w:lineRule="auto"/>
              <w:jc w:val="center"/>
              <w:rPr>
                <w:rFonts w:hint="eastAsia" w:ascii="仿宋" w:hAnsi="仿宋" w:cs="Arial"/>
                <w:color w:val="auto"/>
                <w:highlight w:val="none"/>
              </w:rPr>
            </w:pPr>
          </w:p>
        </w:tc>
      </w:tr>
      <w:tr w14:paraId="0A2F155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4C6A2C07">
            <w:pPr>
              <w:spacing w:line="240" w:lineRule="auto"/>
              <w:jc w:val="center"/>
              <w:rPr>
                <w:rFonts w:hint="eastAsia" w:ascii="仿宋" w:hAnsi="仿宋" w:cs="Arial"/>
                <w:color w:val="auto"/>
                <w:highlight w:val="none"/>
              </w:rPr>
            </w:pPr>
          </w:p>
        </w:tc>
        <w:tc>
          <w:tcPr>
            <w:tcW w:w="1653" w:type="dxa"/>
            <w:vAlign w:val="center"/>
          </w:tcPr>
          <w:p w14:paraId="2027F857">
            <w:pPr>
              <w:spacing w:line="240" w:lineRule="auto"/>
              <w:jc w:val="center"/>
              <w:rPr>
                <w:rFonts w:hint="eastAsia" w:ascii="仿宋" w:hAnsi="仿宋" w:cs="Arial"/>
                <w:color w:val="auto"/>
                <w:highlight w:val="none"/>
              </w:rPr>
            </w:pPr>
          </w:p>
        </w:tc>
        <w:tc>
          <w:tcPr>
            <w:tcW w:w="1515" w:type="dxa"/>
            <w:vAlign w:val="center"/>
          </w:tcPr>
          <w:p w14:paraId="386ED562">
            <w:pPr>
              <w:spacing w:line="240" w:lineRule="auto"/>
              <w:jc w:val="center"/>
              <w:rPr>
                <w:rFonts w:hint="eastAsia" w:ascii="仿宋" w:hAnsi="仿宋" w:cs="Arial"/>
                <w:color w:val="auto"/>
                <w:highlight w:val="none"/>
              </w:rPr>
            </w:pPr>
          </w:p>
        </w:tc>
        <w:tc>
          <w:tcPr>
            <w:tcW w:w="1332" w:type="dxa"/>
            <w:vAlign w:val="center"/>
          </w:tcPr>
          <w:p w14:paraId="0EFCD7C9">
            <w:pPr>
              <w:spacing w:line="240" w:lineRule="auto"/>
              <w:jc w:val="center"/>
              <w:rPr>
                <w:rFonts w:hint="eastAsia" w:ascii="仿宋" w:hAnsi="仿宋" w:cs="Arial"/>
                <w:color w:val="auto"/>
                <w:highlight w:val="none"/>
              </w:rPr>
            </w:pPr>
          </w:p>
        </w:tc>
        <w:tc>
          <w:tcPr>
            <w:tcW w:w="1632" w:type="dxa"/>
            <w:tcBorders>
              <w:right w:val="single" w:color="auto" w:sz="4" w:space="0"/>
            </w:tcBorders>
            <w:vAlign w:val="center"/>
          </w:tcPr>
          <w:p w14:paraId="14EF02ED">
            <w:pPr>
              <w:spacing w:line="240" w:lineRule="auto"/>
              <w:jc w:val="center"/>
              <w:rPr>
                <w:rFonts w:hint="eastAsia" w:ascii="仿宋" w:hAnsi="仿宋" w:cs="Arial"/>
                <w:color w:val="auto"/>
                <w:highlight w:val="none"/>
              </w:rPr>
            </w:pPr>
          </w:p>
        </w:tc>
        <w:tc>
          <w:tcPr>
            <w:tcW w:w="1593" w:type="dxa"/>
            <w:tcBorders>
              <w:left w:val="single" w:color="auto" w:sz="4" w:space="0"/>
            </w:tcBorders>
            <w:vAlign w:val="center"/>
          </w:tcPr>
          <w:p w14:paraId="30500DD3">
            <w:pPr>
              <w:spacing w:line="240" w:lineRule="auto"/>
              <w:jc w:val="center"/>
              <w:rPr>
                <w:rFonts w:hint="eastAsia" w:ascii="仿宋" w:hAnsi="仿宋" w:cs="Arial"/>
                <w:color w:val="auto"/>
                <w:highlight w:val="none"/>
              </w:rPr>
            </w:pPr>
          </w:p>
        </w:tc>
      </w:tr>
      <w:tr w14:paraId="6E14E3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4B51B112">
            <w:pPr>
              <w:spacing w:line="240" w:lineRule="auto"/>
              <w:jc w:val="center"/>
              <w:rPr>
                <w:rFonts w:hint="eastAsia" w:ascii="仿宋" w:hAnsi="仿宋" w:cs="Arial"/>
                <w:color w:val="auto"/>
                <w:highlight w:val="none"/>
              </w:rPr>
            </w:pPr>
          </w:p>
        </w:tc>
        <w:tc>
          <w:tcPr>
            <w:tcW w:w="1653" w:type="dxa"/>
            <w:vAlign w:val="center"/>
          </w:tcPr>
          <w:p w14:paraId="1802E7EB">
            <w:pPr>
              <w:spacing w:line="240" w:lineRule="auto"/>
              <w:jc w:val="center"/>
              <w:rPr>
                <w:rFonts w:hint="eastAsia" w:ascii="仿宋" w:hAnsi="仿宋" w:cs="Arial"/>
                <w:color w:val="auto"/>
                <w:highlight w:val="none"/>
              </w:rPr>
            </w:pPr>
          </w:p>
        </w:tc>
        <w:tc>
          <w:tcPr>
            <w:tcW w:w="1515" w:type="dxa"/>
            <w:vAlign w:val="center"/>
          </w:tcPr>
          <w:p w14:paraId="4287D6D2">
            <w:pPr>
              <w:spacing w:line="240" w:lineRule="auto"/>
              <w:jc w:val="center"/>
              <w:rPr>
                <w:rFonts w:hint="eastAsia" w:ascii="仿宋" w:hAnsi="仿宋" w:cs="Arial"/>
                <w:color w:val="auto"/>
                <w:highlight w:val="none"/>
              </w:rPr>
            </w:pPr>
          </w:p>
        </w:tc>
        <w:tc>
          <w:tcPr>
            <w:tcW w:w="1332" w:type="dxa"/>
            <w:vAlign w:val="center"/>
          </w:tcPr>
          <w:p w14:paraId="704915D2">
            <w:pPr>
              <w:spacing w:line="240" w:lineRule="auto"/>
              <w:jc w:val="center"/>
              <w:rPr>
                <w:rFonts w:hint="eastAsia" w:ascii="仿宋" w:hAnsi="仿宋" w:cs="Arial"/>
                <w:color w:val="auto"/>
                <w:highlight w:val="none"/>
              </w:rPr>
            </w:pPr>
          </w:p>
        </w:tc>
        <w:tc>
          <w:tcPr>
            <w:tcW w:w="1632" w:type="dxa"/>
            <w:tcBorders>
              <w:right w:val="single" w:color="auto" w:sz="4" w:space="0"/>
            </w:tcBorders>
            <w:vAlign w:val="center"/>
          </w:tcPr>
          <w:p w14:paraId="3ED709D5">
            <w:pPr>
              <w:spacing w:line="240" w:lineRule="auto"/>
              <w:jc w:val="center"/>
              <w:rPr>
                <w:rFonts w:hint="eastAsia" w:ascii="仿宋" w:hAnsi="仿宋" w:cs="Arial"/>
                <w:color w:val="auto"/>
                <w:highlight w:val="none"/>
              </w:rPr>
            </w:pPr>
          </w:p>
        </w:tc>
        <w:tc>
          <w:tcPr>
            <w:tcW w:w="1593" w:type="dxa"/>
            <w:tcBorders>
              <w:left w:val="single" w:color="auto" w:sz="4" w:space="0"/>
            </w:tcBorders>
            <w:vAlign w:val="center"/>
          </w:tcPr>
          <w:p w14:paraId="5AA1039F">
            <w:pPr>
              <w:spacing w:line="240" w:lineRule="auto"/>
              <w:jc w:val="center"/>
              <w:rPr>
                <w:rFonts w:hint="eastAsia" w:ascii="仿宋" w:hAnsi="仿宋" w:cs="Arial"/>
                <w:color w:val="auto"/>
                <w:highlight w:val="none"/>
              </w:rPr>
            </w:pPr>
          </w:p>
        </w:tc>
      </w:tr>
      <w:tr w14:paraId="0BE0B6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32648477">
            <w:pPr>
              <w:spacing w:line="240" w:lineRule="auto"/>
              <w:jc w:val="center"/>
              <w:rPr>
                <w:rFonts w:hint="eastAsia" w:ascii="仿宋" w:hAnsi="仿宋" w:cs="Arial"/>
                <w:color w:val="auto"/>
                <w:highlight w:val="none"/>
              </w:rPr>
            </w:pPr>
          </w:p>
        </w:tc>
        <w:tc>
          <w:tcPr>
            <w:tcW w:w="1653" w:type="dxa"/>
            <w:vAlign w:val="center"/>
          </w:tcPr>
          <w:p w14:paraId="553A9CED">
            <w:pPr>
              <w:spacing w:line="240" w:lineRule="auto"/>
              <w:jc w:val="center"/>
              <w:rPr>
                <w:rFonts w:hint="eastAsia" w:ascii="仿宋" w:hAnsi="仿宋" w:cs="Arial"/>
                <w:color w:val="auto"/>
                <w:highlight w:val="none"/>
              </w:rPr>
            </w:pPr>
          </w:p>
        </w:tc>
        <w:tc>
          <w:tcPr>
            <w:tcW w:w="1515" w:type="dxa"/>
            <w:vAlign w:val="center"/>
          </w:tcPr>
          <w:p w14:paraId="44A305D1">
            <w:pPr>
              <w:spacing w:line="240" w:lineRule="auto"/>
              <w:jc w:val="center"/>
              <w:rPr>
                <w:rFonts w:hint="eastAsia" w:ascii="仿宋" w:hAnsi="仿宋" w:cs="Arial"/>
                <w:color w:val="auto"/>
                <w:highlight w:val="none"/>
              </w:rPr>
            </w:pPr>
          </w:p>
        </w:tc>
        <w:tc>
          <w:tcPr>
            <w:tcW w:w="1332" w:type="dxa"/>
            <w:vAlign w:val="center"/>
          </w:tcPr>
          <w:p w14:paraId="3D22F4F9">
            <w:pPr>
              <w:spacing w:line="240" w:lineRule="auto"/>
              <w:jc w:val="center"/>
              <w:rPr>
                <w:rFonts w:hint="eastAsia" w:ascii="仿宋" w:hAnsi="仿宋" w:cs="Arial"/>
                <w:color w:val="auto"/>
                <w:highlight w:val="none"/>
              </w:rPr>
            </w:pPr>
          </w:p>
        </w:tc>
        <w:tc>
          <w:tcPr>
            <w:tcW w:w="1632" w:type="dxa"/>
            <w:tcBorders>
              <w:right w:val="single" w:color="auto" w:sz="4" w:space="0"/>
            </w:tcBorders>
            <w:vAlign w:val="center"/>
          </w:tcPr>
          <w:p w14:paraId="011CCA54">
            <w:pPr>
              <w:spacing w:line="240" w:lineRule="auto"/>
              <w:jc w:val="center"/>
              <w:rPr>
                <w:rFonts w:hint="eastAsia" w:ascii="仿宋" w:hAnsi="仿宋" w:cs="Arial"/>
                <w:color w:val="auto"/>
                <w:highlight w:val="none"/>
              </w:rPr>
            </w:pPr>
          </w:p>
        </w:tc>
        <w:tc>
          <w:tcPr>
            <w:tcW w:w="1593" w:type="dxa"/>
            <w:tcBorders>
              <w:left w:val="single" w:color="auto" w:sz="4" w:space="0"/>
            </w:tcBorders>
            <w:vAlign w:val="center"/>
          </w:tcPr>
          <w:p w14:paraId="488AB223">
            <w:pPr>
              <w:spacing w:line="240" w:lineRule="auto"/>
              <w:jc w:val="center"/>
              <w:rPr>
                <w:rFonts w:hint="eastAsia" w:ascii="仿宋" w:hAnsi="仿宋" w:cs="Arial"/>
                <w:color w:val="auto"/>
                <w:highlight w:val="none"/>
              </w:rPr>
            </w:pPr>
          </w:p>
        </w:tc>
      </w:tr>
      <w:tr w14:paraId="671C1C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bottom w:val="single" w:color="auto" w:sz="4" w:space="0"/>
            </w:tcBorders>
            <w:vAlign w:val="center"/>
          </w:tcPr>
          <w:p w14:paraId="46C013CD">
            <w:pPr>
              <w:spacing w:line="240" w:lineRule="auto"/>
              <w:jc w:val="center"/>
              <w:rPr>
                <w:rFonts w:hint="eastAsia" w:ascii="仿宋" w:hAnsi="仿宋" w:cs="Arial"/>
                <w:color w:val="auto"/>
                <w:highlight w:val="none"/>
              </w:rPr>
            </w:pPr>
          </w:p>
        </w:tc>
        <w:tc>
          <w:tcPr>
            <w:tcW w:w="1653" w:type="dxa"/>
            <w:tcBorders>
              <w:bottom w:val="single" w:color="auto" w:sz="4" w:space="0"/>
            </w:tcBorders>
            <w:vAlign w:val="center"/>
          </w:tcPr>
          <w:p w14:paraId="51C48466">
            <w:pPr>
              <w:spacing w:line="240" w:lineRule="auto"/>
              <w:jc w:val="center"/>
              <w:rPr>
                <w:rFonts w:hint="eastAsia" w:ascii="仿宋" w:hAnsi="仿宋" w:cs="Arial"/>
                <w:color w:val="auto"/>
                <w:highlight w:val="none"/>
              </w:rPr>
            </w:pPr>
          </w:p>
        </w:tc>
        <w:tc>
          <w:tcPr>
            <w:tcW w:w="1515" w:type="dxa"/>
            <w:tcBorders>
              <w:bottom w:val="single" w:color="auto" w:sz="4" w:space="0"/>
            </w:tcBorders>
            <w:vAlign w:val="center"/>
          </w:tcPr>
          <w:p w14:paraId="7B183097">
            <w:pPr>
              <w:spacing w:line="240" w:lineRule="auto"/>
              <w:jc w:val="center"/>
              <w:rPr>
                <w:rFonts w:hint="eastAsia" w:ascii="仿宋" w:hAnsi="仿宋" w:cs="Arial"/>
                <w:color w:val="auto"/>
                <w:highlight w:val="none"/>
              </w:rPr>
            </w:pPr>
          </w:p>
        </w:tc>
        <w:tc>
          <w:tcPr>
            <w:tcW w:w="1332" w:type="dxa"/>
            <w:tcBorders>
              <w:bottom w:val="single" w:color="auto" w:sz="4" w:space="0"/>
            </w:tcBorders>
            <w:vAlign w:val="center"/>
          </w:tcPr>
          <w:p w14:paraId="6A0D1481">
            <w:pPr>
              <w:spacing w:line="240" w:lineRule="auto"/>
              <w:jc w:val="center"/>
              <w:rPr>
                <w:rFonts w:hint="eastAsia" w:ascii="仿宋" w:hAnsi="仿宋" w:cs="Arial"/>
                <w:color w:val="auto"/>
                <w:highlight w:val="none"/>
              </w:rPr>
            </w:pPr>
          </w:p>
        </w:tc>
        <w:tc>
          <w:tcPr>
            <w:tcW w:w="1632" w:type="dxa"/>
            <w:tcBorders>
              <w:bottom w:val="single" w:color="auto" w:sz="4" w:space="0"/>
              <w:right w:val="single" w:color="auto" w:sz="4" w:space="0"/>
            </w:tcBorders>
            <w:vAlign w:val="center"/>
          </w:tcPr>
          <w:p w14:paraId="12D87840">
            <w:pPr>
              <w:spacing w:line="240" w:lineRule="auto"/>
              <w:jc w:val="center"/>
              <w:rPr>
                <w:rFonts w:hint="eastAsia" w:ascii="仿宋" w:hAnsi="仿宋" w:cs="Arial"/>
                <w:color w:val="auto"/>
                <w:highlight w:val="none"/>
              </w:rPr>
            </w:pPr>
          </w:p>
        </w:tc>
        <w:tc>
          <w:tcPr>
            <w:tcW w:w="1593" w:type="dxa"/>
            <w:tcBorders>
              <w:left w:val="single" w:color="auto" w:sz="4" w:space="0"/>
              <w:bottom w:val="single" w:color="auto" w:sz="4" w:space="0"/>
            </w:tcBorders>
            <w:vAlign w:val="center"/>
          </w:tcPr>
          <w:p w14:paraId="1589EB7F">
            <w:pPr>
              <w:spacing w:line="240" w:lineRule="auto"/>
              <w:jc w:val="center"/>
              <w:rPr>
                <w:rFonts w:hint="eastAsia" w:ascii="仿宋" w:hAnsi="仿宋" w:cs="Arial"/>
                <w:color w:val="auto"/>
                <w:highlight w:val="none"/>
              </w:rPr>
            </w:pPr>
          </w:p>
        </w:tc>
      </w:tr>
      <w:tr w14:paraId="4C34117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top w:val="single" w:color="auto" w:sz="4" w:space="0"/>
              <w:bottom w:val="single" w:color="auto" w:sz="4" w:space="0"/>
            </w:tcBorders>
            <w:vAlign w:val="center"/>
          </w:tcPr>
          <w:p w14:paraId="3C6F481F">
            <w:pPr>
              <w:spacing w:line="240" w:lineRule="auto"/>
              <w:jc w:val="center"/>
              <w:rPr>
                <w:rFonts w:hint="eastAsia" w:ascii="仿宋" w:hAnsi="仿宋" w:cs="Arial"/>
                <w:color w:val="auto"/>
                <w:highlight w:val="none"/>
              </w:rPr>
            </w:pPr>
          </w:p>
        </w:tc>
        <w:tc>
          <w:tcPr>
            <w:tcW w:w="1653" w:type="dxa"/>
            <w:tcBorders>
              <w:top w:val="single" w:color="auto" w:sz="4" w:space="0"/>
              <w:bottom w:val="single" w:color="auto" w:sz="4" w:space="0"/>
            </w:tcBorders>
            <w:vAlign w:val="center"/>
          </w:tcPr>
          <w:p w14:paraId="142EA0F6">
            <w:pPr>
              <w:spacing w:line="240" w:lineRule="auto"/>
              <w:jc w:val="center"/>
              <w:rPr>
                <w:rFonts w:hint="eastAsia" w:ascii="仿宋" w:hAnsi="仿宋" w:cs="Arial"/>
                <w:color w:val="auto"/>
                <w:highlight w:val="none"/>
              </w:rPr>
            </w:pPr>
          </w:p>
        </w:tc>
        <w:tc>
          <w:tcPr>
            <w:tcW w:w="1515" w:type="dxa"/>
            <w:tcBorders>
              <w:top w:val="single" w:color="auto" w:sz="4" w:space="0"/>
              <w:bottom w:val="single" w:color="auto" w:sz="4" w:space="0"/>
            </w:tcBorders>
            <w:vAlign w:val="center"/>
          </w:tcPr>
          <w:p w14:paraId="5BE1ACB8">
            <w:pPr>
              <w:spacing w:line="240" w:lineRule="auto"/>
              <w:jc w:val="center"/>
              <w:rPr>
                <w:rFonts w:hint="eastAsia" w:ascii="仿宋" w:hAnsi="仿宋" w:cs="Arial"/>
                <w:color w:val="auto"/>
                <w:highlight w:val="none"/>
              </w:rPr>
            </w:pPr>
          </w:p>
        </w:tc>
        <w:tc>
          <w:tcPr>
            <w:tcW w:w="1332" w:type="dxa"/>
            <w:tcBorders>
              <w:top w:val="single" w:color="auto" w:sz="4" w:space="0"/>
              <w:bottom w:val="single" w:color="auto" w:sz="4" w:space="0"/>
            </w:tcBorders>
            <w:vAlign w:val="center"/>
          </w:tcPr>
          <w:p w14:paraId="7BAC0740">
            <w:pPr>
              <w:spacing w:line="240" w:lineRule="auto"/>
              <w:jc w:val="center"/>
              <w:rPr>
                <w:rFonts w:hint="eastAsia" w:ascii="仿宋" w:hAnsi="仿宋" w:cs="Arial"/>
                <w:color w:val="auto"/>
                <w:highlight w:val="none"/>
              </w:rPr>
            </w:pPr>
          </w:p>
        </w:tc>
        <w:tc>
          <w:tcPr>
            <w:tcW w:w="1632" w:type="dxa"/>
            <w:tcBorders>
              <w:top w:val="single" w:color="auto" w:sz="4" w:space="0"/>
              <w:bottom w:val="single" w:color="auto" w:sz="4" w:space="0"/>
              <w:right w:val="single" w:color="auto" w:sz="4" w:space="0"/>
            </w:tcBorders>
            <w:vAlign w:val="center"/>
          </w:tcPr>
          <w:p w14:paraId="119F1E7C">
            <w:pPr>
              <w:spacing w:line="240" w:lineRule="auto"/>
              <w:jc w:val="center"/>
              <w:rPr>
                <w:rFonts w:hint="eastAsia" w:ascii="仿宋" w:hAnsi="仿宋" w:cs="Arial"/>
                <w:color w:val="auto"/>
                <w:highlight w:val="none"/>
              </w:rPr>
            </w:pPr>
          </w:p>
        </w:tc>
        <w:tc>
          <w:tcPr>
            <w:tcW w:w="1593" w:type="dxa"/>
            <w:tcBorders>
              <w:top w:val="single" w:color="auto" w:sz="4" w:space="0"/>
              <w:left w:val="single" w:color="auto" w:sz="4" w:space="0"/>
              <w:bottom w:val="single" w:color="auto" w:sz="4" w:space="0"/>
            </w:tcBorders>
            <w:vAlign w:val="center"/>
          </w:tcPr>
          <w:p w14:paraId="206134D2">
            <w:pPr>
              <w:spacing w:line="240" w:lineRule="auto"/>
              <w:jc w:val="center"/>
              <w:rPr>
                <w:rFonts w:hint="eastAsia" w:ascii="仿宋" w:hAnsi="仿宋" w:cs="Arial"/>
                <w:color w:val="auto"/>
                <w:highlight w:val="none"/>
              </w:rPr>
            </w:pPr>
          </w:p>
        </w:tc>
      </w:tr>
      <w:tr w14:paraId="0C0851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top w:val="single" w:color="auto" w:sz="4" w:space="0"/>
              <w:bottom w:val="single" w:color="auto" w:sz="4" w:space="0"/>
            </w:tcBorders>
            <w:vAlign w:val="center"/>
          </w:tcPr>
          <w:p w14:paraId="048FC0E8">
            <w:pPr>
              <w:spacing w:line="240" w:lineRule="auto"/>
              <w:jc w:val="center"/>
              <w:rPr>
                <w:rFonts w:hint="eastAsia" w:ascii="仿宋" w:hAnsi="仿宋" w:cs="Arial"/>
                <w:color w:val="auto"/>
                <w:highlight w:val="none"/>
              </w:rPr>
            </w:pPr>
          </w:p>
        </w:tc>
        <w:tc>
          <w:tcPr>
            <w:tcW w:w="1653" w:type="dxa"/>
            <w:tcBorders>
              <w:top w:val="single" w:color="auto" w:sz="4" w:space="0"/>
              <w:bottom w:val="single" w:color="auto" w:sz="4" w:space="0"/>
            </w:tcBorders>
            <w:vAlign w:val="center"/>
          </w:tcPr>
          <w:p w14:paraId="19E82541">
            <w:pPr>
              <w:spacing w:line="240" w:lineRule="auto"/>
              <w:jc w:val="center"/>
              <w:rPr>
                <w:rFonts w:hint="eastAsia" w:ascii="仿宋" w:hAnsi="仿宋" w:cs="Arial"/>
                <w:color w:val="auto"/>
                <w:highlight w:val="none"/>
              </w:rPr>
            </w:pPr>
          </w:p>
        </w:tc>
        <w:tc>
          <w:tcPr>
            <w:tcW w:w="1515" w:type="dxa"/>
            <w:tcBorders>
              <w:top w:val="single" w:color="auto" w:sz="4" w:space="0"/>
              <w:bottom w:val="single" w:color="auto" w:sz="4" w:space="0"/>
            </w:tcBorders>
            <w:vAlign w:val="center"/>
          </w:tcPr>
          <w:p w14:paraId="79E9DF17">
            <w:pPr>
              <w:spacing w:line="240" w:lineRule="auto"/>
              <w:jc w:val="center"/>
              <w:rPr>
                <w:rFonts w:hint="eastAsia" w:ascii="仿宋" w:hAnsi="仿宋" w:cs="Arial"/>
                <w:color w:val="auto"/>
                <w:highlight w:val="none"/>
              </w:rPr>
            </w:pPr>
          </w:p>
        </w:tc>
        <w:tc>
          <w:tcPr>
            <w:tcW w:w="1332" w:type="dxa"/>
            <w:tcBorders>
              <w:top w:val="single" w:color="auto" w:sz="4" w:space="0"/>
              <w:bottom w:val="single" w:color="auto" w:sz="4" w:space="0"/>
            </w:tcBorders>
            <w:vAlign w:val="center"/>
          </w:tcPr>
          <w:p w14:paraId="1C206334">
            <w:pPr>
              <w:spacing w:line="240" w:lineRule="auto"/>
              <w:jc w:val="center"/>
              <w:rPr>
                <w:rFonts w:hint="eastAsia" w:ascii="仿宋" w:hAnsi="仿宋" w:cs="Arial"/>
                <w:color w:val="auto"/>
                <w:highlight w:val="none"/>
              </w:rPr>
            </w:pPr>
          </w:p>
        </w:tc>
        <w:tc>
          <w:tcPr>
            <w:tcW w:w="1632" w:type="dxa"/>
            <w:tcBorders>
              <w:top w:val="single" w:color="auto" w:sz="4" w:space="0"/>
              <w:bottom w:val="single" w:color="auto" w:sz="4" w:space="0"/>
              <w:right w:val="single" w:color="auto" w:sz="4" w:space="0"/>
            </w:tcBorders>
            <w:vAlign w:val="center"/>
          </w:tcPr>
          <w:p w14:paraId="218A8075">
            <w:pPr>
              <w:spacing w:line="240" w:lineRule="auto"/>
              <w:jc w:val="center"/>
              <w:rPr>
                <w:rFonts w:hint="eastAsia" w:ascii="仿宋" w:hAnsi="仿宋" w:cs="Arial"/>
                <w:color w:val="auto"/>
                <w:highlight w:val="none"/>
              </w:rPr>
            </w:pPr>
          </w:p>
        </w:tc>
        <w:tc>
          <w:tcPr>
            <w:tcW w:w="1593" w:type="dxa"/>
            <w:tcBorders>
              <w:top w:val="single" w:color="auto" w:sz="4" w:space="0"/>
              <w:left w:val="single" w:color="auto" w:sz="4" w:space="0"/>
              <w:bottom w:val="single" w:color="auto" w:sz="4" w:space="0"/>
            </w:tcBorders>
            <w:vAlign w:val="center"/>
          </w:tcPr>
          <w:p w14:paraId="596ED5AE">
            <w:pPr>
              <w:spacing w:line="240" w:lineRule="auto"/>
              <w:jc w:val="center"/>
              <w:rPr>
                <w:rFonts w:hint="eastAsia" w:ascii="仿宋" w:hAnsi="仿宋" w:cs="Arial"/>
                <w:color w:val="auto"/>
                <w:highlight w:val="none"/>
              </w:rPr>
            </w:pPr>
          </w:p>
        </w:tc>
      </w:tr>
      <w:tr w14:paraId="7F05AA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top w:val="single" w:color="auto" w:sz="4" w:space="0"/>
              <w:bottom w:val="single" w:color="auto" w:sz="4" w:space="0"/>
            </w:tcBorders>
            <w:vAlign w:val="center"/>
          </w:tcPr>
          <w:p w14:paraId="362B5472">
            <w:pPr>
              <w:spacing w:line="240" w:lineRule="auto"/>
              <w:jc w:val="center"/>
              <w:rPr>
                <w:rFonts w:hint="eastAsia" w:ascii="仿宋" w:hAnsi="仿宋" w:cs="Arial"/>
                <w:color w:val="auto"/>
                <w:highlight w:val="none"/>
              </w:rPr>
            </w:pPr>
          </w:p>
        </w:tc>
        <w:tc>
          <w:tcPr>
            <w:tcW w:w="1653" w:type="dxa"/>
            <w:tcBorders>
              <w:top w:val="single" w:color="auto" w:sz="4" w:space="0"/>
              <w:bottom w:val="single" w:color="auto" w:sz="4" w:space="0"/>
            </w:tcBorders>
            <w:vAlign w:val="center"/>
          </w:tcPr>
          <w:p w14:paraId="3753750D">
            <w:pPr>
              <w:spacing w:line="240" w:lineRule="auto"/>
              <w:jc w:val="center"/>
              <w:rPr>
                <w:rFonts w:hint="eastAsia" w:ascii="仿宋" w:hAnsi="仿宋" w:cs="Arial"/>
                <w:color w:val="auto"/>
                <w:highlight w:val="none"/>
              </w:rPr>
            </w:pPr>
          </w:p>
        </w:tc>
        <w:tc>
          <w:tcPr>
            <w:tcW w:w="1515" w:type="dxa"/>
            <w:tcBorders>
              <w:top w:val="single" w:color="auto" w:sz="4" w:space="0"/>
              <w:bottom w:val="single" w:color="auto" w:sz="4" w:space="0"/>
            </w:tcBorders>
            <w:vAlign w:val="center"/>
          </w:tcPr>
          <w:p w14:paraId="17BE532F">
            <w:pPr>
              <w:spacing w:line="240" w:lineRule="auto"/>
              <w:jc w:val="center"/>
              <w:rPr>
                <w:rFonts w:hint="eastAsia" w:ascii="仿宋" w:hAnsi="仿宋" w:cs="Arial"/>
                <w:color w:val="auto"/>
                <w:highlight w:val="none"/>
              </w:rPr>
            </w:pPr>
          </w:p>
        </w:tc>
        <w:tc>
          <w:tcPr>
            <w:tcW w:w="1332" w:type="dxa"/>
            <w:tcBorders>
              <w:top w:val="single" w:color="auto" w:sz="4" w:space="0"/>
              <w:bottom w:val="single" w:color="auto" w:sz="4" w:space="0"/>
            </w:tcBorders>
            <w:vAlign w:val="center"/>
          </w:tcPr>
          <w:p w14:paraId="7B89F548">
            <w:pPr>
              <w:spacing w:line="240" w:lineRule="auto"/>
              <w:jc w:val="center"/>
              <w:rPr>
                <w:rFonts w:hint="eastAsia" w:ascii="仿宋" w:hAnsi="仿宋" w:cs="Arial"/>
                <w:color w:val="auto"/>
                <w:highlight w:val="none"/>
              </w:rPr>
            </w:pPr>
          </w:p>
        </w:tc>
        <w:tc>
          <w:tcPr>
            <w:tcW w:w="1632" w:type="dxa"/>
            <w:tcBorders>
              <w:top w:val="single" w:color="auto" w:sz="4" w:space="0"/>
              <w:bottom w:val="single" w:color="auto" w:sz="4" w:space="0"/>
              <w:right w:val="single" w:color="auto" w:sz="4" w:space="0"/>
            </w:tcBorders>
            <w:vAlign w:val="center"/>
          </w:tcPr>
          <w:p w14:paraId="7693C8BC">
            <w:pPr>
              <w:spacing w:line="240" w:lineRule="auto"/>
              <w:jc w:val="center"/>
              <w:rPr>
                <w:rFonts w:hint="eastAsia" w:ascii="仿宋" w:hAnsi="仿宋" w:cs="Arial"/>
                <w:color w:val="auto"/>
                <w:highlight w:val="none"/>
              </w:rPr>
            </w:pPr>
          </w:p>
        </w:tc>
        <w:tc>
          <w:tcPr>
            <w:tcW w:w="1593" w:type="dxa"/>
            <w:tcBorders>
              <w:top w:val="single" w:color="auto" w:sz="4" w:space="0"/>
              <w:left w:val="single" w:color="auto" w:sz="4" w:space="0"/>
              <w:bottom w:val="single" w:color="auto" w:sz="4" w:space="0"/>
            </w:tcBorders>
            <w:vAlign w:val="center"/>
          </w:tcPr>
          <w:p w14:paraId="1E88BE9F">
            <w:pPr>
              <w:spacing w:line="240" w:lineRule="auto"/>
              <w:jc w:val="center"/>
              <w:rPr>
                <w:rFonts w:hint="eastAsia" w:ascii="仿宋" w:hAnsi="仿宋" w:cs="Arial"/>
                <w:color w:val="auto"/>
                <w:highlight w:val="none"/>
              </w:rPr>
            </w:pPr>
          </w:p>
        </w:tc>
      </w:tr>
      <w:tr w14:paraId="07CA7E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top w:val="single" w:color="auto" w:sz="4" w:space="0"/>
            </w:tcBorders>
            <w:vAlign w:val="center"/>
          </w:tcPr>
          <w:p w14:paraId="1757FD2C">
            <w:pPr>
              <w:spacing w:line="240" w:lineRule="auto"/>
              <w:jc w:val="center"/>
              <w:rPr>
                <w:rFonts w:hint="eastAsia" w:ascii="仿宋" w:hAnsi="仿宋" w:cs="Arial"/>
                <w:color w:val="auto"/>
                <w:highlight w:val="none"/>
              </w:rPr>
            </w:pPr>
          </w:p>
        </w:tc>
        <w:tc>
          <w:tcPr>
            <w:tcW w:w="1653" w:type="dxa"/>
            <w:tcBorders>
              <w:top w:val="single" w:color="auto" w:sz="4" w:space="0"/>
            </w:tcBorders>
            <w:vAlign w:val="center"/>
          </w:tcPr>
          <w:p w14:paraId="259850EF">
            <w:pPr>
              <w:spacing w:line="240" w:lineRule="auto"/>
              <w:jc w:val="center"/>
              <w:rPr>
                <w:rFonts w:hint="eastAsia" w:ascii="仿宋" w:hAnsi="仿宋" w:cs="Arial"/>
                <w:color w:val="auto"/>
                <w:highlight w:val="none"/>
              </w:rPr>
            </w:pPr>
          </w:p>
        </w:tc>
        <w:tc>
          <w:tcPr>
            <w:tcW w:w="1515" w:type="dxa"/>
            <w:tcBorders>
              <w:top w:val="single" w:color="auto" w:sz="4" w:space="0"/>
            </w:tcBorders>
            <w:vAlign w:val="center"/>
          </w:tcPr>
          <w:p w14:paraId="5F65B365">
            <w:pPr>
              <w:spacing w:line="240" w:lineRule="auto"/>
              <w:jc w:val="center"/>
              <w:rPr>
                <w:rFonts w:hint="eastAsia" w:ascii="仿宋" w:hAnsi="仿宋" w:cs="Arial"/>
                <w:color w:val="auto"/>
                <w:highlight w:val="none"/>
              </w:rPr>
            </w:pPr>
          </w:p>
        </w:tc>
        <w:tc>
          <w:tcPr>
            <w:tcW w:w="1332" w:type="dxa"/>
            <w:tcBorders>
              <w:top w:val="single" w:color="auto" w:sz="4" w:space="0"/>
            </w:tcBorders>
            <w:vAlign w:val="center"/>
          </w:tcPr>
          <w:p w14:paraId="5BA009F9">
            <w:pPr>
              <w:spacing w:line="240" w:lineRule="auto"/>
              <w:jc w:val="center"/>
              <w:rPr>
                <w:rFonts w:hint="eastAsia" w:ascii="仿宋" w:hAnsi="仿宋" w:cs="Arial"/>
                <w:color w:val="auto"/>
                <w:highlight w:val="none"/>
              </w:rPr>
            </w:pPr>
          </w:p>
        </w:tc>
        <w:tc>
          <w:tcPr>
            <w:tcW w:w="1632" w:type="dxa"/>
            <w:tcBorders>
              <w:top w:val="single" w:color="auto" w:sz="4" w:space="0"/>
              <w:right w:val="single" w:color="auto" w:sz="4" w:space="0"/>
            </w:tcBorders>
            <w:vAlign w:val="center"/>
          </w:tcPr>
          <w:p w14:paraId="25AB7EF5">
            <w:pPr>
              <w:spacing w:line="240" w:lineRule="auto"/>
              <w:jc w:val="center"/>
              <w:rPr>
                <w:rFonts w:hint="eastAsia" w:ascii="仿宋" w:hAnsi="仿宋" w:cs="Arial"/>
                <w:color w:val="auto"/>
                <w:highlight w:val="none"/>
              </w:rPr>
            </w:pPr>
          </w:p>
        </w:tc>
        <w:tc>
          <w:tcPr>
            <w:tcW w:w="1593" w:type="dxa"/>
            <w:tcBorders>
              <w:top w:val="single" w:color="auto" w:sz="4" w:space="0"/>
              <w:left w:val="single" w:color="auto" w:sz="4" w:space="0"/>
            </w:tcBorders>
            <w:vAlign w:val="center"/>
          </w:tcPr>
          <w:p w14:paraId="3F324D41">
            <w:pPr>
              <w:spacing w:line="240" w:lineRule="auto"/>
              <w:jc w:val="center"/>
              <w:rPr>
                <w:rFonts w:hint="eastAsia" w:ascii="仿宋" w:hAnsi="仿宋" w:cs="Arial"/>
                <w:color w:val="auto"/>
                <w:highlight w:val="none"/>
              </w:rPr>
            </w:pPr>
          </w:p>
        </w:tc>
      </w:tr>
    </w:tbl>
    <w:p w14:paraId="7E6B4276">
      <w:pPr>
        <w:rPr>
          <w:color w:val="auto"/>
          <w:highlight w:val="none"/>
        </w:rPr>
      </w:pPr>
    </w:p>
    <w:p w14:paraId="73E193DD">
      <w:pPr>
        <w:widowControl/>
        <w:jc w:val="left"/>
        <w:rPr>
          <w:rFonts w:hint="eastAsia" w:ascii="仿宋" w:hAnsi="仿宋"/>
          <w:color w:val="auto"/>
          <w:highlight w:val="none"/>
        </w:rPr>
      </w:pPr>
      <w:r>
        <w:rPr>
          <w:rFonts w:ascii="仿宋" w:hAnsi="仿宋"/>
          <w:color w:val="auto"/>
          <w:highlight w:val="none"/>
        </w:rPr>
        <w:br w:type="page"/>
      </w:r>
    </w:p>
    <w:p w14:paraId="2FF26DD0">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t>九、供应商拟投入本项目人员表</w:t>
      </w:r>
    </w:p>
    <w:tbl>
      <w:tblPr>
        <w:tblStyle w:val="30"/>
        <w:tblW w:w="86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2"/>
        <w:gridCol w:w="1082"/>
        <w:gridCol w:w="1082"/>
        <w:gridCol w:w="1082"/>
        <w:gridCol w:w="1082"/>
        <w:gridCol w:w="1082"/>
        <w:gridCol w:w="1082"/>
        <w:gridCol w:w="1082"/>
      </w:tblGrid>
      <w:tr w14:paraId="1A0C9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82" w:type="dxa"/>
            <w:vMerge w:val="restart"/>
            <w:vAlign w:val="center"/>
          </w:tcPr>
          <w:p w14:paraId="7227CF70">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拟在本项目担任职务</w:t>
            </w:r>
          </w:p>
        </w:tc>
        <w:tc>
          <w:tcPr>
            <w:tcW w:w="1082" w:type="dxa"/>
            <w:vMerge w:val="restart"/>
            <w:vAlign w:val="center"/>
          </w:tcPr>
          <w:p w14:paraId="7C4DE8DB">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姓名</w:t>
            </w:r>
          </w:p>
        </w:tc>
        <w:tc>
          <w:tcPr>
            <w:tcW w:w="1082" w:type="dxa"/>
            <w:vMerge w:val="restart"/>
            <w:vAlign w:val="center"/>
          </w:tcPr>
          <w:p w14:paraId="53EB235A">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职称</w:t>
            </w:r>
          </w:p>
        </w:tc>
        <w:tc>
          <w:tcPr>
            <w:tcW w:w="1082" w:type="dxa"/>
            <w:vMerge w:val="restart"/>
            <w:vAlign w:val="center"/>
          </w:tcPr>
          <w:p w14:paraId="7EB80F08">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常驻地</w:t>
            </w:r>
          </w:p>
        </w:tc>
        <w:tc>
          <w:tcPr>
            <w:tcW w:w="4328" w:type="dxa"/>
            <w:gridSpan w:val="4"/>
            <w:vAlign w:val="center"/>
          </w:tcPr>
          <w:p w14:paraId="76258FDA">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资格证明（附复印件）</w:t>
            </w:r>
          </w:p>
        </w:tc>
      </w:tr>
      <w:tr w14:paraId="0E17C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vMerge w:val="continue"/>
            <w:vAlign w:val="center"/>
          </w:tcPr>
          <w:p w14:paraId="703F8B25">
            <w:pPr>
              <w:spacing w:line="240" w:lineRule="auto"/>
              <w:jc w:val="center"/>
              <w:rPr>
                <w:rFonts w:hint="eastAsia" w:ascii="仿宋" w:hAnsi="仿宋"/>
                <w:color w:val="auto"/>
                <w:sz w:val="21"/>
                <w:szCs w:val="21"/>
                <w:highlight w:val="none"/>
              </w:rPr>
            </w:pPr>
          </w:p>
        </w:tc>
        <w:tc>
          <w:tcPr>
            <w:tcW w:w="1082" w:type="dxa"/>
            <w:vMerge w:val="continue"/>
            <w:vAlign w:val="center"/>
          </w:tcPr>
          <w:p w14:paraId="50CA0194">
            <w:pPr>
              <w:spacing w:line="240" w:lineRule="auto"/>
              <w:jc w:val="center"/>
              <w:rPr>
                <w:rFonts w:hint="eastAsia" w:ascii="仿宋" w:hAnsi="仿宋"/>
                <w:color w:val="auto"/>
                <w:sz w:val="21"/>
                <w:szCs w:val="21"/>
                <w:highlight w:val="none"/>
              </w:rPr>
            </w:pPr>
          </w:p>
        </w:tc>
        <w:tc>
          <w:tcPr>
            <w:tcW w:w="1082" w:type="dxa"/>
            <w:vMerge w:val="continue"/>
            <w:vAlign w:val="center"/>
          </w:tcPr>
          <w:p w14:paraId="70AB5D69">
            <w:pPr>
              <w:spacing w:line="240" w:lineRule="auto"/>
              <w:jc w:val="center"/>
              <w:rPr>
                <w:rFonts w:hint="eastAsia" w:ascii="仿宋" w:hAnsi="仿宋"/>
                <w:color w:val="auto"/>
                <w:sz w:val="21"/>
                <w:szCs w:val="21"/>
                <w:highlight w:val="none"/>
              </w:rPr>
            </w:pPr>
          </w:p>
        </w:tc>
        <w:tc>
          <w:tcPr>
            <w:tcW w:w="1082" w:type="dxa"/>
            <w:vMerge w:val="continue"/>
            <w:vAlign w:val="center"/>
          </w:tcPr>
          <w:p w14:paraId="792B6C64">
            <w:pPr>
              <w:spacing w:line="240" w:lineRule="auto"/>
              <w:jc w:val="center"/>
              <w:rPr>
                <w:rFonts w:hint="eastAsia" w:ascii="仿宋" w:hAnsi="仿宋"/>
                <w:color w:val="auto"/>
                <w:sz w:val="21"/>
                <w:szCs w:val="21"/>
                <w:highlight w:val="none"/>
              </w:rPr>
            </w:pPr>
          </w:p>
        </w:tc>
        <w:tc>
          <w:tcPr>
            <w:tcW w:w="1082" w:type="dxa"/>
            <w:vAlign w:val="center"/>
          </w:tcPr>
          <w:p w14:paraId="11EA4439">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证书</w:t>
            </w:r>
          </w:p>
          <w:p w14:paraId="6347F6FA">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名称</w:t>
            </w:r>
          </w:p>
        </w:tc>
        <w:tc>
          <w:tcPr>
            <w:tcW w:w="1082" w:type="dxa"/>
            <w:vAlign w:val="center"/>
          </w:tcPr>
          <w:p w14:paraId="5ADABE78">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级别</w:t>
            </w:r>
          </w:p>
        </w:tc>
        <w:tc>
          <w:tcPr>
            <w:tcW w:w="1082" w:type="dxa"/>
            <w:vAlign w:val="center"/>
          </w:tcPr>
          <w:p w14:paraId="14C9DFC8">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证号</w:t>
            </w:r>
          </w:p>
        </w:tc>
        <w:tc>
          <w:tcPr>
            <w:tcW w:w="1082" w:type="dxa"/>
            <w:vAlign w:val="center"/>
          </w:tcPr>
          <w:p w14:paraId="1F9ABB7F">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专业</w:t>
            </w:r>
          </w:p>
        </w:tc>
      </w:tr>
      <w:tr w14:paraId="359A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82" w:type="dxa"/>
          </w:tcPr>
          <w:p w14:paraId="41546887">
            <w:pPr>
              <w:spacing w:line="240" w:lineRule="auto"/>
              <w:rPr>
                <w:rFonts w:hint="eastAsia" w:ascii="仿宋" w:hAnsi="仿宋"/>
                <w:color w:val="auto"/>
                <w:sz w:val="21"/>
                <w:szCs w:val="21"/>
                <w:highlight w:val="none"/>
              </w:rPr>
            </w:pPr>
          </w:p>
        </w:tc>
        <w:tc>
          <w:tcPr>
            <w:tcW w:w="1082" w:type="dxa"/>
          </w:tcPr>
          <w:p w14:paraId="5E3AE8B8">
            <w:pPr>
              <w:spacing w:line="240" w:lineRule="auto"/>
              <w:rPr>
                <w:rFonts w:hint="eastAsia" w:ascii="仿宋" w:hAnsi="仿宋"/>
                <w:color w:val="auto"/>
                <w:sz w:val="21"/>
                <w:szCs w:val="21"/>
                <w:highlight w:val="none"/>
              </w:rPr>
            </w:pPr>
          </w:p>
        </w:tc>
        <w:tc>
          <w:tcPr>
            <w:tcW w:w="1082" w:type="dxa"/>
          </w:tcPr>
          <w:p w14:paraId="14FEC758">
            <w:pPr>
              <w:spacing w:line="240" w:lineRule="auto"/>
              <w:rPr>
                <w:rFonts w:hint="eastAsia" w:ascii="仿宋" w:hAnsi="仿宋"/>
                <w:color w:val="auto"/>
                <w:sz w:val="21"/>
                <w:szCs w:val="21"/>
                <w:highlight w:val="none"/>
              </w:rPr>
            </w:pPr>
          </w:p>
        </w:tc>
        <w:tc>
          <w:tcPr>
            <w:tcW w:w="1082" w:type="dxa"/>
          </w:tcPr>
          <w:p w14:paraId="0D322F0C">
            <w:pPr>
              <w:spacing w:line="240" w:lineRule="auto"/>
              <w:rPr>
                <w:rFonts w:hint="eastAsia" w:ascii="仿宋" w:hAnsi="仿宋"/>
                <w:color w:val="auto"/>
                <w:sz w:val="21"/>
                <w:szCs w:val="21"/>
                <w:highlight w:val="none"/>
              </w:rPr>
            </w:pPr>
          </w:p>
        </w:tc>
        <w:tc>
          <w:tcPr>
            <w:tcW w:w="1082" w:type="dxa"/>
          </w:tcPr>
          <w:p w14:paraId="59439C0D">
            <w:pPr>
              <w:spacing w:line="240" w:lineRule="auto"/>
              <w:rPr>
                <w:rFonts w:hint="eastAsia" w:ascii="仿宋" w:hAnsi="仿宋"/>
                <w:color w:val="auto"/>
                <w:sz w:val="21"/>
                <w:szCs w:val="21"/>
                <w:highlight w:val="none"/>
              </w:rPr>
            </w:pPr>
          </w:p>
        </w:tc>
        <w:tc>
          <w:tcPr>
            <w:tcW w:w="1082" w:type="dxa"/>
          </w:tcPr>
          <w:p w14:paraId="11C67D83">
            <w:pPr>
              <w:spacing w:line="240" w:lineRule="auto"/>
              <w:rPr>
                <w:rFonts w:hint="eastAsia" w:ascii="仿宋" w:hAnsi="仿宋"/>
                <w:color w:val="auto"/>
                <w:sz w:val="21"/>
                <w:szCs w:val="21"/>
                <w:highlight w:val="none"/>
              </w:rPr>
            </w:pPr>
          </w:p>
        </w:tc>
        <w:tc>
          <w:tcPr>
            <w:tcW w:w="1082" w:type="dxa"/>
          </w:tcPr>
          <w:p w14:paraId="06C9B574">
            <w:pPr>
              <w:spacing w:line="240" w:lineRule="auto"/>
              <w:rPr>
                <w:rFonts w:hint="eastAsia" w:ascii="仿宋" w:hAnsi="仿宋"/>
                <w:color w:val="auto"/>
                <w:sz w:val="21"/>
                <w:szCs w:val="21"/>
                <w:highlight w:val="none"/>
              </w:rPr>
            </w:pPr>
          </w:p>
        </w:tc>
        <w:tc>
          <w:tcPr>
            <w:tcW w:w="1082" w:type="dxa"/>
          </w:tcPr>
          <w:p w14:paraId="0342D2B9">
            <w:pPr>
              <w:spacing w:line="240" w:lineRule="auto"/>
              <w:rPr>
                <w:rFonts w:hint="eastAsia" w:ascii="仿宋" w:hAnsi="仿宋"/>
                <w:color w:val="auto"/>
                <w:sz w:val="21"/>
                <w:szCs w:val="21"/>
                <w:highlight w:val="none"/>
              </w:rPr>
            </w:pPr>
          </w:p>
        </w:tc>
      </w:tr>
      <w:tr w14:paraId="11F39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0D56329F">
            <w:pPr>
              <w:spacing w:line="240" w:lineRule="auto"/>
              <w:rPr>
                <w:rFonts w:hint="eastAsia" w:ascii="仿宋" w:hAnsi="仿宋"/>
                <w:color w:val="auto"/>
                <w:sz w:val="21"/>
                <w:szCs w:val="21"/>
                <w:highlight w:val="none"/>
              </w:rPr>
            </w:pPr>
          </w:p>
        </w:tc>
        <w:tc>
          <w:tcPr>
            <w:tcW w:w="1082" w:type="dxa"/>
          </w:tcPr>
          <w:p w14:paraId="3EE0A925">
            <w:pPr>
              <w:spacing w:line="240" w:lineRule="auto"/>
              <w:rPr>
                <w:rFonts w:hint="eastAsia" w:ascii="仿宋" w:hAnsi="仿宋"/>
                <w:color w:val="auto"/>
                <w:sz w:val="21"/>
                <w:szCs w:val="21"/>
                <w:highlight w:val="none"/>
              </w:rPr>
            </w:pPr>
          </w:p>
        </w:tc>
        <w:tc>
          <w:tcPr>
            <w:tcW w:w="1082" w:type="dxa"/>
          </w:tcPr>
          <w:p w14:paraId="4BC5D0CC">
            <w:pPr>
              <w:spacing w:line="240" w:lineRule="auto"/>
              <w:rPr>
                <w:rFonts w:hint="eastAsia" w:ascii="仿宋" w:hAnsi="仿宋"/>
                <w:color w:val="auto"/>
                <w:sz w:val="21"/>
                <w:szCs w:val="21"/>
                <w:highlight w:val="none"/>
              </w:rPr>
            </w:pPr>
          </w:p>
        </w:tc>
        <w:tc>
          <w:tcPr>
            <w:tcW w:w="1082" w:type="dxa"/>
          </w:tcPr>
          <w:p w14:paraId="7EE81293">
            <w:pPr>
              <w:spacing w:line="240" w:lineRule="auto"/>
              <w:rPr>
                <w:rFonts w:hint="eastAsia" w:ascii="仿宋" w:hAnsi="仿宋"/>
                <w:color w:val="auto"/>
                <w:sz w:val="21"/>
                <w:szCs w:val="21"/>
                <w:highlight w:val="none"/>
              </w:rPr>
            </w:pPr>
          </w:p>
        </w:tc>
        <w:tc>
          <w:tcPr>
            <w:tcW w:w="1082" w:type="dxa"/>
          </w:tcPr>
          <w:p w14:paraId="281D83E5">
            <w:pPr>
              <w:spacing w:line="240" w:lineRule="auto"/>
              <w:rPr>
                <w:rFonts w:hint="eastAsia" w:ascii="仿宋" w:hAnsi="仿宋"/>
                <w:color w:val="auto"/>
                <w:sz w:val="21"/>
                <w:szCs w:val="21"/>
                <w:highlight w:val="none"/>
              </w:rPr>
            </w:pPr>
          </w:p>
        </w:tc>
        <w:tc>
          <w:tcPr>
            <w:tcW w:w="1082" w:type="dxa"/>
          </w:tcPr>
          <w:p w14:paraId="0F59B0A6">
            <w:pPr>
              <w:spacing w:line="240" w:lineRule="auto"/>
              <w:rPr>
                <w:rFonts w:hint="eastAsia" w:ascii="仿宋" w:hAnsi="仿宋"/>
                <w:color w:val="auto"/>
                <w:sz w:val="21"/>
                <w:szCs w:val="21"/>
                <w:highlight w:val="none"/>
              </w:rPr>
            </w:pPr>
          </w:p>
        </w:tc>
        <w:tc>
          <w:tcPr>
            <w:tcW w:w="1082" w:type="dxa"/>
          </w:tcPr>
          <w:p w14:paraId="7EDA9C94">
            <w:pPr>
              <w:spacing w:line="240" w:lineRule="auto"/>
              <w:rPr>
                <w:rFonts w:hint="eastAsia" w:ascii="仿宋" w:hAnsi="仿宋"/>
                <w:color w:val="auto"/>
                <w:sz w:val="21"/>
                <w:szCs w:val="21"/>
                <w:highlight w:val="none"/>
              </w:rPr>
            </w:pPr>
          </w:p>
        </w:tc>
        <w:tc>
          <w:tcPr>
            <w:tcW w:w="1082" w:type="dxa"/>
          </w:tcPr>
          <w:p w14:paraId="23B5D686">
            <w:pPr>
              <w:spacing w:line="240" w:lineRule="auto"/>
              <w:rPr>
                <w:rFonts w:hint="eastAsia" w:ascii="仿宋" w:hAnsi="仿宋"/>
                <w:color w:val="auto"/>
                <w:sz w:val="21"/>
                <w:szCs w:val="21"/>
                <w:highlight w:val="none"/>
              </w:rPr>
            </w:pPr>
          </w:p>
        </w:tc>
      </w:tr>
      <w:tr w14:paraId="5A48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48ECA17E">
            <w:pPr>
              <w:spacing w:line="240" w:lineRule="auto"/>
              <w:rPr>
                <w:rFonts w:hint="eastAsia" w:ascii="仿宋" w:hAnsi="仿宋"/>
                <w:color w:val="auto"/>
                <w:sz w:val="21"/>
                <w:szCs w:val="21"/>
                <w:highlight w:val="none"/>
              </w:rPr>
            </w:pPr>
          </w:p>
        </w:tc>
        <w:tc>
          <w:tcPr>
            <w:tcW w:w="1082" w:type="dxa"/>
          </w:tcPr>
          <w:p w14:paraId="38FC3E02">
            <w:pPr>
              <w:spacing w:line="240" w:lineRule="auto"/>
              <w:rPr>
                <w:rFonts w:hint="eastAsia" w:ascii="仿宋" w:hAnsi="仿宋"/>
                <w:color w:val="auto"/>
                <w:sz w:val="21"/>
                <w:szCs w:val="21"/>
                <w:highlight w:val="none"/>
              </w:rPr>
            </w:pPr>
          </w:p>
        </w:tc>
        <w:tc>
          <w:tcPr>
            <w:tcW w:w="1082" w:type="dxa"/>
          </w:tcPr>
          <w:p w14:paraId="3FE3A765">
            <w:pPr>
              <w:spacing w:line="240" w:lineRule="auto"/>
              <w:rPr>
                <w:rFonts w:hint="eastAsia" w:ascii="仿宋" w:hAnsi="仿宋"/>
                <w:color w:val="auto"/>
                <w:sz w:val="21"/>
                <w:szCs w:val="21"/>
                <w:highlight w:val="none"/>
              </w:rPr>
            </w:pPr>
          </w:p>
        </w:tc>
        <w:tc>
          <w:tcPr>
            <w:tcW w:w="1082" w:type="dxa"/>
          </w:tcPr>
          <w:p w14:paraId="1B99B146">
            <w:pPr>
              <w:spacing w:line="240" w:lineRule="auto"/>
              <w:rPr>
                <w:rFonts w:hint="eastAsia" w:ascii="仿宋" w:hAnsi="仿宋"/>
                <w:color w:val="auto"/>
                <w:sz w:val="21"/>
                <w:szCs w:val="21"/>
                <w:highlight w:val="none"/>
              </w:rPr>
            </w:pPr>
          </w:p>
        </w:tc>
        <w:tc>
          <w:tcPr>
            <w:tcW w:w="1082" w:type="dxa"/>
          </w:tcPr>
          <w:p w14:paraId="72328D43">
            <w:pPr>
              <w:spacing w:line="240" w:lineRule="auto"/>
              <w:rPr>
                <w:rFonts w:hint="eastAsia" w:ascii="仿宋" w:hAnsi="仿宋"/>
                <w:color w:val="auto"/>
                <w:sz w:val="21"/>
                <w:szCs w:val="21"/>
                <w:highlight w:val="none"/>
              </w:rPr>
            </w:pPr>
          </w:p>
        </w:tc>
        <w:tc>
          <w:tcPr>
            <w:tcW w:w="1082" w:type="dxa"/>
          </w:tcPr>
          <w:p w14:paraId="18624472">
            <w:pPr>
              <w:spacing w:line="240" w:lineRule="auto"/>
              <w:rPr>
                <w:rFonts w:hint="eastAsia" w:ascii="仿宋" w:hAnsi="仿宋"/>
                <w:color w:val="auto"/>
                <w:sz w:val="21"/>
                <w:szCs w:val="21"/>
                <w:highlight w:val="none"/>
              </w:rPr>
            </w:pPr>
          </w:p>
        </w:tc>
        <w:tc>
          <w:tcPr>
            <w:tcW w:w="1082" w:type="dxa"/>
          </w:tcPr>
          <w:p w14:paraId="0CE87BB2">
            <w:pPr>
              <w:spacing w:line="240" w:lineRule="auto"/>
              <w:rPr>
                <w:rFonts w:hint="eastAsia" w:ascii="仿宋" w:hAnsi="仿宋"/>
                <w:color w:val="auto"/>
                <w:sz w:val="21"/>
                <w:szCs w:val="21"/>
                <w:highlight w:val="none"/>
              </w:rPr>
            </w:pPr>
          </w:p>
        </w:tc>
        <w:tc>
          <w:tcPr>
            <w:tcW w:w="1082" w:type="dxa"/>
          </w:tcPr>
          <w:p w14:paraId="4DDE0A92">
            <w:pPr>
              <w:spacing w:line="240" w:lineRule="auto"/>
              <w:rPr>
                <w:rFonts w:hint="eastAsia" w:ascii="仿宋" w:hAnsi="仿宋"/>
                <w:color w:val="auto"/>
                <w:sz w:val="21"/>
                <w:szCs w:val="21"/>
                <w:highlight w:val="none"/>
              </w:rPr>
            </w:pPr>
          </w:p>
        </w:tc>
      </w:tr>
      <w:tr w14:paraId="6580E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82" w:type="dxa"/>
          </w:tcPr>
          <w:p w14:paraId="2370C8D0">
            <w:pPr>
              <w:spacing w:line="240" w:lineRule="auto"/>
              <w:rPr>
                <w:rFonts w:hint="eastAsia" w:ascii="仿宋" w:hAnsi="仿宋"/>
                <w:color w:val="auto"/>
                <w:sz w:val="21"/>
                <w:szCs w:val="21"/>
                <w:highlight w:val="none"/>
              </w:rPr>
            </w:pPr>
          </w:p>
        </w:tc>
        <w:tc>
          <w:tcPr>
            <w:tcW w:w="1082" w:type="dxa"/>
          </w:tcPr>
          <w:p w14:paraId="38D48AEF">
            <w:pPr>
              <w:spacing w:line="240" w:lineRule="auto"/>
              <w:rPr>
                <w:rFonts w:hint="eastAsia" w:ascii="仿宋" w:hAnsi="仿宋"/>
                <w:color w:val="auto"/>
                <w:sz w:val="21"/>
                <w:szCs w:val="21"/>
                <w:highlight w:val="none"/>
              </w:rPr>
            </w:pPr>
          </w:p>
        </w:tc>
        <w:tc>
          <w:tcPr>
            <w:tcW w:w="1082" w:type="dxa"/>
          </w:tcPr>
          <w:p w14:paraId="4CE2D594">
            <w:pPr>
              <w:spacing w:line="240" w:lineRule="auto"/>
              <w:rPr>
                <w:rFonts w:hint="eastAsia" w:ascii="仿宋" w:hAnsi="仿宋"/>
                <w:color w:val="auto"/>
                <w:sz w:val="21"/>
                <w:szCs w:val="21"/>
                <w:highlight w:val="none"/>
              </w:rPr>
            </w:pPr>
          </w:p>
        </w:tc>
        <w:tc>
          <w:tcPr>
            <w:tcW w:w="1082" w:type="dxa"/>
          </w:tcPr>
          <w:p w14:paraId="3528780A">
            <w:pPr>
              <w:spacing w:line="240" w:lineRule="auto"/>
              <w:rPr>
                <w:rFonts w:hint="eastAsia" w:ascii="仿宋" w:hAnsi="仿宋"/>
                <w:color w:val="auto"/>
                <w:sz w:val="21"/>
                <w:szCs w:val="21"/>
                <w:highlight w:val="none"/>
              </w:rPr>
            </w:pPr>
          </w:p>
        </w:tc>
        <w:tc>
          <w:tcPr>
            <w:tcW w:w="1082" w:type="dxa"/>
          </w:tcPr>
          <w:p w14:paraId="6C91F956">
            <w:pPr>
              <w:spacing w:line="240" w:lineRule="auto"/>
              <w:rPr>
                <w:rFonts w:hint="eastAsia" w:ascii="仿宋" w:hAnsi="仿宋"/>
                <w:color w:val="auto"/>
                <w:sz w:val="21"/>
                <w:szCs w:val="21"/>
                <w:highlight w:val="none"/>
              </w:rPr>
            </w:pPr>
          </w:p>
        </w:tc>
        <w:tc>
          <w:tcPr>
            <w:tcW w:w="1082" w:type="dxa"/>
          </w:tcPr>
          <w:p w14:paraId="3717530D">
            <w:pPr>
              <w:spacing w:line="240" w:lineRule="auto"/>
              <w:rPr>
                <w:rFonts w:hint="eastAsia" w:ascii="仿宋" w:hAnsi="仿宋"/>
                <w:color w:val="auto"/>
                <w:sz w:val="21"/>
                <w:szCs w:val="21"/>
                <w:highlight w:val="none"/>
              </w:rPr>
            </w:pPr>
          </w:p>
        </w:tc>
        <w:tc>
          <w:tcPr>
            <w:tcW w:w="1082" w:type="dxa"/>
          </w:tcPr>
          <w:p w14:paraId="14D9E87A">
            <w:pPr>
              <w:spacing w:line="240" w:lineRule="auto"/>
              <w:rPr>
                <w:rFonts w:hint="eastAsia" w:ascii="仿宋" w:hAnsi="仿宋"/>
                <w:color w:val="auto"/>
                <w:sz w:val="21"/>
                <w:szCs w:val="21"/>
                <w:highlight w:val="none"/>
              </w:rPr>
            </w:pPr>
          </w:p>
        </w:tc>
        <w:tc>
          <w:tcPr>
            <w:tcW w:w="1082" w:type="dxa"/>
          </w:tcPr>
          <w:p w14:paraId="06B84021">
            <w:pPr>
              <w:spacing w:line="240" w:lineRule="auto"/>
              <w:rPr>
                <w:rFonts w:hint="eastAsia" w:ascii="仿宋" w:hAnsi="仿宋"/>
                <w:color w:val="auto"/>
                <w:sz w:val="21"/>
                <w:szCs w:val="21"/>
                <w:highlight w:val="none"/>
              </w:rPr>
            </w:pPr>
          </w:p>
        </w:tc>
      </w:tr>
      <w:tr w14:paraId="24CAD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1C491F68">
            <w:pPr>
              <w:spacing w:line="240" w:lineRule="auto"/>
              <w:rPr>
                <w:rFonts w:hint="eastAsia" w:ascii="仿宋" w:hAnsi="仿宋"/>
                <w:color w:val="auto"/>
                <w:sz w:val="21"/>
                <w:szCs w:val="21"/>
                <w:highlight w:val="none"/>
              </w:rPr>
            </w:pPr>
          </w:p>
        </w:tc>
        <w:tc>
          <w:tcPr>
            <w:tcW w:w="1082" w:type="dxa"/>
          </w:tcPr>
          <w:p w14:paraId="3C4694A6">
            <w:pPr>
              <w:spacing w:line="240" w:lineRule="auto"/>
              <w:rPr>
                <w:rFonts w:hint="eastAsia" w:ascii="仿宋" w:hAnsi="仿宋"/>
                <w:color w:val="auto"/>
                <w:sz w:val="21"/>
                <w:szCs w:val="21"/>
                <w:highlight w:val="none"/>
              </w:rPr>
            </w:pPr>
          </w:p>
        </w:tc>
        <w:tc>
          <w:tcPr>
            <w:tcW w:w="1082" w:type="dxa"/>
          </w:tcPr>
          <w:p w14:paraId="7AC18329">
            <w:pPr>
              <w:spacing w:line="240" w:lineRule="auto"/>
              <w:rPr>
                <w:rFonts w:hint="eastAsia" w:ascii="仿宋" w:hAnsi="仿宋"/>
                <w:color w:val="auto"/>
                <w:sz w:val="21"/>
                <w:szCs w:val="21"/>
                <w:highlight w:val="none"/>
              </w:rPr>
            </w:pPr>
          </w:p>
        </w:tc>
        <w:tc>
          <w:tcPr>
            <w:tcW w:w="1082" w:type="dxa"/>
          </w:tcPr>
          <w:p w14:paraId="6CD1BA72">
            <w:pPr>
              <w:spacing w:line="240" w:lineRule="auto"/>
              <w:rPr>
                <w:rFonts w:hint="eastAsia" w:ascii="仿宋" w:hAnsi="仿宋"/>
                <w:color w:val="auto"/>
                <w:sz w:val="21"/>
                <w:szCs w:val="21"/>
                <w:highlight w:val="none"/>
              </w:rPr>
            </w:pPr>
          </w:p>
        </w:tc>
        <w:tc>
          <w:tcPr>
            <w:tcW w:w="1082" w:type="dxa"/>
          </w:tcPr>
          <w:p w14:paraId="44EA9FAD">
            <w:pPr>
              <w:spacing w:line="240" w:lineRule="auto"/>
              <w:rPr>
                <w:rFonts w:hint="eastAsia" w:ascii="仿宋" w:hAnsi="仿宋"/>
                <w:color w:val="auto"/>
                <w:sz w:val="21"/>
                <w:szCs w:val="21"/>
                <w:highlight w:val="none"/>
              </w:rPr>
            </w:pPr>
          </w:p>
        </w:tc>
        <w:tc>
          <w:tcPr>
            <w:tcW w:w="1082" w:type="dxa"/>
          </w:tcPr>
          <w:p w14:paraId="77FC77DA">
            <w:pPr>
              <w:spacing w:line="240" w:lineRule="auto"/>
              <w:rPr>
                <w:rFonts w:hint="eastAsia" w:ascii="仿宋" w:hAnsi="仿宋"/>
                <w:color w:val="auto"/>
                <w:sz w:val="21"/>
                <w:szCs w:val="21"/>
                <w:highlight w:val="none"/>
              </w:rPr>
            </w:pPr>
          </w:p>
        </w:tc>
        <w:tc>
          <w:tcPr>
            <w:tcW w:w="1082" w:type="dxa"/>
          </w:tcPr>
          <w:p w14:paraId="2B8ED564">
            <w:pPr>
              <w:spacing w:line="240" w:lineRule="auto"/>
              <w:rPr>
                <w:rFonts w:hint="eastAsia" w:ascii="仿宋" w:hAnsi="仿宋"/>
                <w:color w:val="auto"/>
                <w:sz w:val="21"/>
                <w:szCs w:val="21"/>
                <w:highlight w:val="none"/>
              </w:rPr>
            </w:pPr>
          </w:p>
        </w:tc>
        <w:tc>
          <w:tcPr>
            <w:tcW w:w="1082" w:type="dxa"/>
          </w:tcPr>
          <w:p w14:paraId="219D2616">
            <w:pPr>
              <w:spacing w:line="240" w:lineRule="auto"/>
              <w:rPr>
                <w:rFonts w:hint="eastAsia" w:ascii="仿宋" w:hAnsi="仿宋"/>
                <w:color w:val="auto"/>
                <w:sz w:val="21"/>
                <w:szCs w:val="21"/>
                <w:highlight w:val="none"/>
              </w:rPr>
            </w:pPr>
          </w:p>
        </w:tc>
      </w:tr>
      <w:tr w14:paraId="6017F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155E4D91">
            <w:pPr>
              <w:spacing w:line="240" w:lineRule="auto"/>
              <w:rPr>
                <w:rFonts w:hint="eastAsia" w:ascii="仿宋" w:hAnsi="仿宋"/>
                <w:color w:val="auto"/>
                <w:sz w:val="21"/>
                <w:szCs w:val="21"/>
                <w:highlight w:val="none"/>
              </w:rPr>
            </w:pPr>
          </w:p>
        </w:tc>
        <w:tc>
          <w:tcPr>
            <w:tcW w:w="1082" w:type="dxa"/>
          </w:tcPr>
          <w:p w14:paraId="5DD27935">
            <w:pPr>
              <w:spacing w:line="240" w:lineRule="auto"/>
              <w:rPr>
                <w:rFonts w:hint="eastAsia" w:ascii="仿宋" w:hAnsi="仿宋"/>
                <w:color w:val="auto"/>
                <w:sz w:val="21"/>
                <w:szCs w:val="21"/>
                <w:highlight w:val="none"/>
              </w:rPr>
            </w:pPr>
          </w:p>
        </w:tc>
        <w:tc>
          <w:tcPr>
            <w:tcW w:w="1082" w:type="dxa"/>
          </w:tcPr>
          <w:p w14:paraId="6E80D5AB">
            <w:pPr>
              <w:spacing w:line="240" w:lineRule="auto"/>
              <w:rPr>
                <w:rFonts w:hint="eastAsia" w:ascii="仿宋" w:hAnsi="仿宋"/>
                <w:color w:val="auto"/>
                <w:sz w:val="21"/>
                <w:szCs w:val="21"/>
                <w:highlight w:val="none"/>
              </w:rPr>
            </w:pPr>
          </w:p>
        </w:tc>
        <w:tc>
          <w:tcPr>
            <w:tcW w:w="1082" w:type="dxa"/>
          </w:tcPr>
          <w:p w14:paraId="5F920525">
            <w:pPr>
              <w:spacing w:line="240" w:lineRule="auto"/>
              <w:rPr>
                <w:rFonts w:hint="eastAsia" w:ascii="仿宋" w:hAnsi="仿宋"/>
                <w:color w:val="auto"/>
                <w:sz w:val="21"/>
                <w:szCs w:val="21"/>
                <w:highlight w:val="none"/>
              </w:rPr>
            </w:pPr>
          </w:p>
        </w:tc>
        <w:tc>
          <w:tcPr>
            <w:tcW w:w="1082" w:type="dxa"/>
          </w:tcPr>
          <w:p w14:paraId="7FDC3860">
            <w:pPr>
              <w:spacing w:line="240" w:lineRule="auto"/>
              <w:rPr>
                <w:rFonts w:hint="eastAsia" w:ascii="仿宋" w:hAnsi="仿宋"/>
                <w:color w:val="auto"/>
                <w:sz w:val="21"/>
                <w:szCs w:val="21"/>
                <w:highlight w:val="none"/>
              </w:rPr>
            </w:pPr>
          </w:p>
        </w:tc>
        <w:tc>
          <w:tcPr>
            <w:tcW w:w="1082" w:type="dxa"/>
          </w:tcPr>
          <w:p w14:paraId="3E6BB635">
            <w:pPr>
              <w:spacing w:line="240" w:lineRule="auto"/>
              <w:rPr>
                <w:rFonts w:hint="eastAsia" w:ascii="仿宋" w:hAnsi="仿宋"/>
                <w:color w:val="auto"/>
                <w:sz w:val="21"/>
                <w:szCs w:val="21"/>
                <w:highlight w:val="none"/>
              </w:rPr>
            </w:pPr>
          </w:p>
        </w:tc>
        <w:tc>
          <w:tcPr>
            <w:tcW w:w="1082" w:type="dxa"/>
          </w:tcPr>
          <w:p w14:paraId="4539E87E">
            <w:pPr>
              <w:spacing w:line="240" w:lineRule="auto"/>
              <w:rPr>
                <w:rFonts w:hint="eastAsia" w:ascii="仿宋" w:hAnsi="仿宋"/>
                <w:color w:val="auto"/>
                <w:sz w:val="21"/>
                <w:szCs w:val="21"/>
                <w:highlight w:val="none"/>
              </w:rPr>
            </w:pPr>
          </w:p>
        </w:tc>
        <w:tc>
          <w:tcPr>
            <w:tcW w:w="1082" w:type="dxa"/>
          </w:tcPr>
          <w:p w14:paraId="5999106D">
            <w:pPr>
              <w:spacing w:line="240" w:lineRule="auto"/>
              <w:rPr>
                <w:rFonts w:hint="eastAsia" w:ascii="仿宋" w:hAnsi="仿宋"/>
                <w:color w:val="auto"/>
                <w:sz w:val="21"/>
                <w:szCs w:val="21"/>
                <w:highlight w:val="none"/>
              </w:rPr>
            </w:pPr>
          </w:p>
        </w:tc>
      </w:tr>
      <w:tr w14:paraId="589E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82" w:type="dxa"/>
          </w:tcPr>
          <w:p w14:paraId="12CF0773">
            <w:pPr>
              <w:spacing w:line="240" w:lineRule="auto"/>
              <w:rPr>
                <w:rFonts w:hint="eastAsia" w:ascii="仿宋" w:hAnsi="仿宋"/>
                <w:color w:val="auto"/>
                <w:sz w:val="21"/>
                <w:szCs w:val="21"/>
                <w:highlight w:val="none"/>
              </w:rPr>
            </w:pPr>
          </w:p>
        </w:tc>
        <w:tc>
          <w:tcPr>
            <w:tcW w:w="1082" w:type="dxa"/>
          </w:tcPr>
          <w:p w14:paraId="2B5D8857">
            <w:pPr>
              <w:spacing w:line="240" w:lineRule="auto"/>
              <w:rPr>
                <w:rFonts w:hint="eastAsia" w:ascii="仿宋" w:hAnsi="仿宋"/>
                <w:color w:val="auto"/>
                <w:sz w:val="21"/>
                <w:szCs w:val="21"/>
                <w:highlight w:val="none"/>
              </w:rPr>
            </w:pPr>
          </w:p>
        </w:tc>
        <w:tc>
          <w:tcPr>
            <w:tcW w:w="1082" w:type="dxa"/>
          </w:tcPr>
          <w:p w14:paraId="3E4448F9">
            <w:pPr>
              <w:spacing w:line="240" w:lineRule="auto"/>
              <w:rPr>
                <w:rFonts w:hint="eastAsia" w:ascii="仿宋" w:hAnsi="仿宋"/>
                <w:color w:val="auto"/>
                <w:sz w:val="21"/>
                <w:szCs w:val="21"/>
                <w:highlight w:val="none"/>
              </w:rPr>
            </w:pPr>
          </w:p>
        </w:tc>
        <w:tc>
          <w:tcPr>
            <w:tcW w:w="1082" w:type="dxa"/>
          </w:tcPr>
          <w:p w14:paraId="5CB04A5A">
            <w:pPr>
              <w:spacing w:line="240" w:lineRule="auto"/>
              <w:rPr>
                <w:rFonts w:hint="eastAsia" w:ascii="仿宋" w:hAnsi="仿宋"/>
                <w:color w:val="auto"/>
                <w:sz w:val="21"/>
                <w:szCs w:val="21"/>
                <w:highlight w:val="none"/>
              </w:rPr>
            </w:pPr>
          </w:p>
        </w:tc>
        <w:tc>
          <w:tcPr>
            <w:tcW w:w="1082" w:type="dxa"/>
          </w:tcPr>
          <w:p w14:paraId="72214CFD">
            <w:pPr>
              <w:spacing w:line="240" w:lineRule="auto"/>
              <w:rPr>
                <w:rFonts w:hint="eastAsia" w:ascii="仿宋" w:hAnsi="仿宋"/>
                <w:color w:val="auto"/>
                <w:sz w:val="21"/>
                <w:szCs w:val="21"/>
                <w:highlight w:val="none"/>
              </w:rPr>
            </w:pPr>
          </w:p>
        </w:tc>
        <w:tc>
          <w:tcPr>
            <w:tcW w:w="1082" w:type="dxa"/>
          </w:tcPr>
          <w:p w14:paraId="02936E24">
            <w:pPr>
              <w:spacing w:line="240" w:lineRule="auto"/>
              <w:rPr>
                <w:rFonts w:hint="eastAsia" w:ascii="仿宋" w:hAnsi="仿宋"/>
                <w:color w:val="auto"/>
                <w:sz w:val="21"/>
                <w:szCs w:val="21"/>
                <w:highlight w:val="none"/>
              </w:rPr>
            </w:pPr>
          </w:p>
        </w:tc>
        <w:tc>
          <w:tcPr>
            <w:tcW w:w="1082" w:type="dxa"/>
          </w:tcPr>
          <w:p w14:paraId="6CF501AA">
            <w:pPr>
              <w:spacing w:line="240" w:lineRule="auto"/>
              <w:rPr>
                <w:rFonts w:hint="eastAsia" w:ascii="仿宋" w:hAnsi="仿宋"/>
                <w:color w:val="auto"/>
                <w:sz w:val="21"/>
                <w:szCs w:val="21"/>
                <w:highlight w:val="none"/>
              </w:rPr>
            </w:pPr>
          </w:p>
        </w:tc>
        <w:tc>
          <w:tcPr>
            <w:tcW w:w="1082" w:type="dxa"/>
          </w:tcPr>
          <w:p w14:paraId="0E4DC582">
            <w:pPr>
              <w:spacing w:line="240" w:lineRule="auto"/>
              <w:rPr>
                <w:rFonts w:hint="eastAsia" w:ascii="仿宋" w:hAnsi="仿宋"/>
                <w:color w:val="auto"/>
                <w:sz w:val="21"/>
                <w:szCs w:val="21"/>
                <w:highlight w:val="none"/>
              </w:rPr>
            </w:pPr>
          </w:p>
        </w:tc>
      </w:tr>
      <w:tr w14:paraId="1A4F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5D8EE9AA">
            <w:pPr>
              <w:spacing w:line="240" w:lineRule="auto"/>
              <w:rPr>
                <w:rFonts w:hint="eastAsia" w:ascii="仿宋" w:hAnsi="仿宋"/>
                <w:color w:val="auto"/>
                <w:sz w:val="21"/>
                <w:szCs w:val="21"/>
                <w:highlight w:val="none"/>
              </w:rPr>
            </w:pPr>
          </w:p>
        </w:tc>
        <w:tc>
          <w:tcPr>
            <w:tcW w:w="1082" w:type="dxa"/>
          </w:tcPr>
          <w:p w14:paraId="4EA7057C">
            <w:pPr>
              <w:spacing w:line="240" w:lineRule="auto"/>
              <w:rPr>
                <w:rFonts w:hint="eastAsia" w:ascii="仿宋" w:hAnsi="仿宋"/>
                <w:color w:val="auto"/>
                <w:sz w:val="21"/>
                <w:szCs w:val="21"/>
                <w:highlight w:val="none"/>
              </w:rPr>
            </w:pPr>
          </w:p>
        </w:tc>
        <w:tc>
          <w:tcPr>
            <w:tcW w:w="1082" w:type="dxa"/>
          </w:tcPr>
          <w:p w14:paraId="788A4102">
            <w:pPr>
              <w:spacing w:line="240" w:lineRule="auto"/>
              <w:rPr>
                <w:rFonts w:hint="eastAsia" w:ascii="仿宋" w:hAnsi="仿宋"/>
                <w:color w:val="auto"/>
                <w:sz w:val="21"/>
                <w:szCs w:val="21"/>
                <w:highlight w:val="none"/>
              </w:rPr>
            </w:pPr>
          </w:p>
        </w:tc>
        <w:tc>
          <w:tcPr>
            <w:tcW w:w="1082" w:type="dxa"/>
          </w:tcPr>
          <w:p w14:paraId="6AECD732">
            <w:pPr>
              <w:spacing w:line="240" w:lineRule="auto"/>
              <w:rPr>
                <w:rFonts w:hint="eastAsia" w:ascii="仿宋" w:hAnsi="仿宋"/>
                <w:color w:val="auto"/>
                <w:sz w:val="21"/>
                <w:szCs w:val="21"/>
                <w:highlight w:val="none"/>
              </w:rPr>
            </w:pPr>
          </w:p>
        </w:tc>
        <w:tc>
          <w:tcPr>
            <w:tcW w:w="1082" w:type="dxa"/>
          </w:tcPr>
          <w:p w14:paraId="1B08818B">
            <w:pPr>
              <w:spacing w:line="240" w:lineRule="auto"/>
              <w:rPr>
                <w:rFonts w:hint="eastAsia" w:ascii="仿宋" w:hAnsi="仿宋"/>
                <w:color w:val="auto"/>
                <w:sz w:val="21"/>
                <w:szCs w:val="21"/>
                <w:highlight w:val="none"/>
              </w:rPr>
            </w:pPr>
          </w:p>
        </w:tc>
        <w:tc>
          <w:tcPr>
            <w:tcW w:w="1082" w:type="dxa"/>
          </w:tcPr>
          <w:p w14:paraId="305E6606">
            <w:pPr>
              <w:spacing w:line="240" w:lineRule="auto"/>
              <w:rPr>
                <w:rFonts w:hint="eastAsia" w:ascii="仿宋" w:hAnsi="仿宋"/>
                <w:color w:val="auto"/>
                <w:sz w:val="21"/>
                <w:szCs w:val="21"/>
                <w:highlight w:val="none"/>
              </w:rPr>
            </w:pPr>
          </w:p>
        </w:tc>
        <w:tc>
          <w:tcPr>
            <w:tcW w:w="1082" w:type="dxa"/>
          </w:tcPr>
          <w:p w14:paraId="307CB452">
            <w:pPr>
              <w:spacing w:line="240" w:lineRule="auto"/>
              <w:rPr>
                <w:rFonts w:hint="eastAsia" w:ascii="仿宋" w:hAnsi="仿宋"/>
                <w:color w:val="auto"/>
                <w:sz w:val="21"/>
                <w:szCs w:val="21"/>
                <w:highlight w:val="none"/>
              </w:rPr>
            </w:pPr>
          </w:p>
        </w:tc>
        <w:tc>
          <w:tcPr>
            <w:tcW w:w="1082" w:type="dxa"/>
          </w:tcPr>
          <w:p w14:paraId="3B1E73D9">
            <w:pPr>
              <w:spacing w:line="240" w:lineRule="auto"/>
              <w:rPr>
                <w:rFonts w:hint="eastAsia" w:ascii="仿宋" w:hAnsi="仿宋"/>
                <w:color w:val="auto"/>
                <w:sz w:val="21"/>
                <w:szCs w:val="21"/>
                <w:highlight w:val="none"/>
              </w:rPr>
            </w:pPr>
          </w:p>
        </w:tc>
      </w:tr>
      <w:tr w14:paraId="4BD7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6870B426">
            <w:pPr>
              <w:spacing w:line="240" w:lineRule="auto"/>
              <w:rPr>
                <w:rFonts w:hint="eastAsia" w:ascii="仿宋" w:hAnsi="仿宋"/>
                <w:color w:val="auto"/>
                <w:sz w:val="21"/>
                <w:szCs w:val="21"/>
                <w:highlight w:val="none"/>
              </w:rPr>
            </w:pPr>
          </w:p>
        </w:tc>
        <w:tc>
          <w:tcPr>
            <w:tcW w:w="1082" w:type="dxa"/>
          </w:tcPr>
          <w:p w14:paraId="46BBF437">
            <w:pPr>
              <w:spacing w:line="240" w:lineRule="auto"/>
              <w:rPr>
                <w:rFonts w:hint="eastAsia" w:ascii="仿宋" w:hAnsi="仿宋"/>
                <w:color w:val="auto"/>
                <w:sz w:val="21"/>
                <w:szCs w:val="21"/>
                <w:highlight w:val="none"/>
              </w:rPr>
            </w:pPr>
          </w:p>
        </w:tc>
        <w:tc>
          <w:tcPr>
            <w:tcW w:w="1082" w:type="dxa"/>
          </w:tcPr>
          <w:p w14:paraId="3394B6BA">
            <w:pPr>
              <w:spacing w:line="240" w:lineRule="auto"/>
              <w:rPr>
                <w:rFonts w:hint="eastAsia" w:ascii="仿宋" w:hAnsi="仿宋"/>
                <w:color w:val="auto"/>
                <w:sz w:val="21"/>
                <w:szCs w:val="21"/>
                <w:highlight w:val="none"/>
              </w:rPr>
            </w:pPr>
          </w:p>
        </w:tc>
        <w:tc>
          <w:tcPr>
            <w:tcW w:w="1082" w:type="dxa"/>
          </w:tcPr>
          <w:p w14:paraId="6B32C1C1">
            <w:pPr>
              <w:spacing w:line="240" w:lineRule="auto"/>
              <w:rPr>
                <w:rFonts w:hint="eastAsia" w:ascii="仿宋" w:hAnsi="仿宋"/>
                <w:color w:val="auto"/>
                <w:sz w:val="21"/>
                <w:szCs w:val="21"/>
                <w:highlight w:val="none"/>
              </w:rPr>
            </w:pPr>
          </w:p>
        </w:tc>
        <w:tc>
          <w:tcPr>
            <w:tcW w:w="1082" w:type="dxa"/>
          </w:tcPr>
          <w:p w14:paraId="153FEE32">
            <w:pPr>
              <w:spacing w:line="240" w:lineRule="auto"/>
              <w:rPr>
                <w:rFonts w:hint="eastAsia" w:ascii="仿宋" w:hAnsi="仿宋"/>
                <w:color w:val="auto"/>
                <w:sz w:val="21"/>
                <w:szCs w:val="21"/>
                <w:highlight w:val="none"/>
              </w:rPr>
            </w:pPr>
          </w:p>
        </w:tc>
        <w:tc>
          <w:tcPr>
            <w:tcW w:w="1082" w:type="dxa"/>
          </w:tcPr>
          <w:p w14:paraId="50A1A8FD">
            <w:pPr>
              <w:spacing w:line="240" w:lineRule="auto"/>
              <w:rPr>
                <w:rFonts w:hint="eastAsia" w:ascii="仿宋" w:hAnsi="仿宋"/>
                <w:color w:val="auto"/>
                <w:sz w:val="21"/>
                <w:szCs w:val="21"/>
                <w:highlight w:val="none"/>
              </w:rPr>
            </w:pPr>
          </w:p>
        </w:tc>
        <w:tc>
          <w:tcPr>
            <w:tcW w:w="1082" w:type="dxa"/>
          </w:tcPr>
          <w:p w14:paraId="64DCCDEC">
            <w:pPr>
              <w:spacing w:line="240" w:lineRule="auto"/>
              <w:rPr>
                <w:rFonts w:hint="eastAsia" w:ascii="仿宋" w:hAnsi="仿宋"/>
                <w:color w:val="auto"/>
                <w:sz w:val="21"/>
                <w:szCs w:val="21"/>
                <w:highlight w:val="none"/>
              </w:rPr>
            </w:pPr>
          </w:p>
        </w:tc>
        <w:tc>
          <w:tcPr>
            <w:tcW w:w="1082" w:type="dxa"/>
          </w:tcPr>
          <w:p w14:paraId="05D4B2AD">
            <w:pPr>
              <w:spacing w:line="240" w:lineRule="auto"/>
              <w:rPr>
                <w:rFonts w:hint="eastAsia" w:ascii="仿宋" w:hAnsi="仿宋"/>
                <w:color w:val="auto"/>
                <w:sz w:val="21"/>
                <w:szCs w:val="21"/>
                <w:highlight w:val="none"/>
              </w:rPr>
            </w:pPr>
          </w:p>
        </w:tc>
      </w:tr>
    </w:tbl>
    <w:p w14:paraId="1C904C3C">
      <w:pPr>
        <w:rPr>
          <w:rFonts w:hint="eastAsia" w:ascii="仿宋" w:hAnsi="仿宋"/>
          <w:color w:val="auto"/>
          <w:highlight w:val="none"/>
        </w:rPr>
      </w:pPr>
    </w:p>
    <w:p w14:paraId="66C94C26">
      <w:pPr>
        <w:widowControl/>
        <w:spacing w:line="240" w:lineRule="auto"/>
        <w:jc w:val="left"/>
        <w:rPr>
          <w:rFonts w:hint="eastAsia" w:ascii="仿宋" w:hAnsi="仿宋"/>
          <w:color w:val="auto"/>
          <w:highlight w:val="none"/>
        </w:rPr>
      </w:pPr>
      <w:r>
        <w:rPr>
          <w:rFonts w:ascii="仿宋" w:hAnsi="仿宋"/>
          <w:color w:val="auto"/>
          <w:highlight w:val="none"/>
        </w:rPr>
        <w:br w:type="page"/>
      </w:r>
    </w:p>
    <w:p w14:paraId="537B2A0A">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t>十、报价一览表</w:t>
      </w:r>
    </w:p>
    <w:p w14:paraId="3708B27A">
      <w:pPr>
        <w:widowControl/>
        <w:ind w:left="-425" w:leftChars="-177"/>
        <w:jc w:val="left"/>
        <w:outlineLvl w:val="1"/>
        <w:rPr>
          <w:rFonts w:hint="eastAsia" w:ascii="仿宋" w:hAnsi="仿宋"/>
          <w:b/>
          <w:color w:val="auto"/>
          <w:sz w:val="32"/>
          <w:szCs w:val="32"/>
          <w:highlight w:val="none"/>
        </w:rPr>
      </w:pPr>
      <w:r>
        <w:rPr>
          <w:rFonts w:hint="eastAsia" w:ascii="仿宋" w:hAnsi="仿宋"/>
          <w:color w:val="auto"/>
          <w:highlight w:val="none"/>
        </w:rPr>
        <w:t>致：四川国锃招标代理有限公司</w:t>
      </w:r>
    </w:p>
    <w:p w14:paraId="63B3BAED">
      <w:pPr>
        <w:pStyle w:val="11"/>
        <w:spacing w:before="26" w:after="79"/>
        <w:ind w:left="220" w:right="-1" w:firstLine="539"/>
        <w:jc w:val="left"/>
        <w:rPr>
          <w:b/>
          <w:color w:val="auto"/>
          <w:highlight w:val="none"/>
        </w:rPr>
      </w:pPr>
      <w:r>
        <w:rPr>
          <w:rFonts w:hint="eastAsia" w:ascii="仿宋" w:hAnsi="仿宋" w:cs="仿宋"/>
          <w:color w:val="auto"/>
          <w:highlight w:val="none"/>
        </w:rPr>
        <w:t>我公司仔细研究了询比文件的要求，根据本公司的实际情况，本公司的报价如下：</w:t>
      </w:r>
    </w:p>
    <w:tbl>
      <w:tblPr>
        <w:tblStyle w:val="30"/>
        <w:tblW w:w="942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9"/>
        <w:gridCol w:w="2672"/>
        <w:gridCol w:w="2058"/>
        <w:gridCol w:w="1500"/>
        <w:gridCol w:w="1726"/>
      </w:tblGrid>
      <w:tr w14:paraId="5773C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469" w:type="dxa"/>
            <w:vMerge w:val="restart"/>
            <w:vAlign w:val="center"/>
          </w:tcPr>
          <w:p w14:paraId="0116F051">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2672" w:type="dxa"/>
            <w:vMerge w:val="restart"/>
            <w:vAlign w:val="center"/>
          </w:tcPr>
          <w:p w14:paraId="680DFB36">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报价总价（含税）（元）</w:t>
            </w:r>
          </w:p>
        </w:tc>
        <w:tc>
          <w:tcPr>
            <w:tcW w:w="3558" w:type="dxa"/>
            <w:gridSpan w:val="2"/>
            <w:vAlign w:val="center"/>
          </w:tcPr>
          <w:p w14:paraId="7B6B31C3">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其中</w:t>
            </w:r>
          </w:p>
        </w:tc>
        <w:tc>
          <w:tcPr>
            <w:tcW w:w="1726" w:type="dxa"/>
            <w:vMerge w:val="restart"/>
            <w:vAlign w:val="center"/>
          </w:tcPr>
          <w:p w14:paraId="5A6107C4">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31D5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469" w:type="dxa"/>
            <w:vMerge w:val="continue"/>
            <w:vAlign w:val="center"/>
          </w:tcPr>
          <w:p w14:paraId="0F06ADBE">
            <w:pPr>
              <w:spacing w:line="240" w:lineRule="auto"/>
              <w:jc w:val="center"/>
              <w:rPr>
                <w:rFonts w:hint="eastAsia" w:ascii="宋体" w:hAnsi="宋体" w:eastAsia="宋体" w:cs="宋体"/>
                <w:color w:val="auto"/>
                <w:sz w:val="21"/>
                <w:szCs w:val="21"/>
                <w:highlight w:val="none"/>
              </w:rPr>
            </w:pPr>
          </w:p>
        </w:tc>
        <w:tc>
          <w:tcPr>
            <w:tcW w:w="2672" w:type="dxa"/>
            <w:vMerge w:val="continue"/>
            <w:vAlign w:val="center"/>
          </w:tcPr>
          <w:p w14:paraId="0E43FA43">
            <w:pPr>
              <w:spacing w:line="240" w:lineRule="auto"/>
              <w:jc w:val="center"/>
              <w:rPr>
                <w:rFonts w:hint="eastAsia" w:ascii="宋体" w:hAnsi="宋体" w:eastAsia="宋体" w:cs="宋体"/>
                <w:color w:val="auto"/>
                <w:sz w:val="21"/>
                <w:szCs w:val="21"/>
                <w:highlight w:val="none"/>
              </w:rPr>
            </w:pPr>
          </w:p>
        </w:tc>
        <w:tc>
          <w:tcPr>
            <w:tcW w:w="2058" w:type="dxa"/>
            <w:vAlign w:val="center"/>
          </w:tcPr>
          <w:p w14:paraId="60E4A492">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不含税价</w:t>
            </w:r>
          </w:p>
        </w:tc>
        <w:tc>
          <w:tcPr>
            <w:tcW w:w="1500" w:type="dxa"/>
            <w:vAlign w:val="center"/>
          </w:tcPr>
          <w:p w14:paraId="3E8A52C6">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税率</w:t>
            </w:r>
          </w:p>
        </w:tc>
        <w:tc>
          <w:tcPr>
            <w:tcW w:w="1726" w:type="dxa"/>
            <w:vMerge w:val="continue"/>
            <w:vAlign w:val="center"/>
          </w:tcPr>
          <w:p w14:paraId="5B9658AF">
            <w:pPr>
              <w:spacing w:line="240" w:lineRule="auto"/>
              <w:jc w:val="center"/>
              <w:rPr>
                <w:rFonts w:hint="eastAsia" w:ascii="宋体" w:hAnsi="宋体" w:eastAsia="宋体" w:cs="宋体"/>
                <w:color w:val="auto"/>
                <w:sz w:val="21"/>
                <w:szCs w:val="21"/>
                <w:highlight w:val="none"/>
              </w:rPr>
            </w:pPr>
          </w:p>
        </w:tc>
      </w:tr>
      <w:tr w14:paraId="6F434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469" w:type="dxa"/>
            <w:vAlign w:val="center"/>
          </w:tcPr>
          <w:p w14:paraId="5773D88A">
            <w:pPr>
              <w:spacing w:line="240" w:lineRule="auto"/>
              <w:rPr>
                <w:rFonts w:hint="eastAsia" w:ascii="宋体" w:hAnsi="宋体" w:eastAsia="宋体" w:cs="宋体"/>
                <w:color w:val="auto"/>
                <w:sz w:val="21"/>
                <w:szCs w:val="21"/>
                <w:highlight w:val="none"/>
              </w:rPr>
            </w:pPr>
          </w:p>
        </w:tc>
        <w:tc>
          <w:tcPr>
            <w:tcW w:w="2672" w:type="dxa"/>
            <w:vAlign w:val="center"/>
          </w:tcPr>
          <w:p w14:paraId="1246FA95">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大写：  </w:t>
            </w:r>
          </w:p>
          <w:p w14:paraId="4807CE71">
            <w:pPr>
              <w:spacing w:line="240" w:lineRule="auto"/>
              <w:rPr>
                <w:color w:val="auto"/>
                <w:sz w:val="21"/>
                <w:szCs w:val="21"/>
                <w:highlight w:val="none"/>
              </w:rPr>
            </w:pPr>
            <w:r>
              <w:rPr>
                <w:rFonts w:hint="eastAsia" w:ascii="宋体" w:hAnsi="宋体" w:eastAsia="宋体" w:cs="宋体"/>
                <w:color w:val="auto"/>
                <w:sz w:val="21"/>
                <w:szCs w:val="21"/>
                <w:highlight w:val="none"/>
              </w:rPr>
              <w:t>小写：</w:t>
            </w:r>
          </w:p>
        </w:tc>
        <w:tc>
          <w:tcPr>
            <w:tcW w:w="2058" w:type="dxa"/>
            <w:vAlign w:val="center"/>
          </w:tcPr>
          <w:p w14:paraId="6E87943F">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大写：  </w:t>
            </w:r>
          </w:p>
          <w:p w14:paraId="624F34DD">
            <w:pPr>
              <w:spacing w:line="240" w:lineRule="auto"/>
              <w:rPr>
                <w:color w:val="auto"/>
                <w:sz w:val="21"/>
                <w:szCs w:val="21"/>
                <w:highlight w:val="none"/>
              </w:rPr>
            </w:pPr>
            <w:r>
              <w:rPr>
                <w:rFonts w:hint="eastAsia" w:ascii="宋体" w:hAnsi="宋体" w:eastAsia="宋体" w:cs="宋体"/>
                <w:color w:val="auto"/>
                <w:sz w:val="21"/>
                <w:szCs w:val="21"/>
                <w:highlight w:val="none"/>
              </w:rPr>
              <w:t>小写：</w:t>
            </w:r>
          </w:p>
        </w:tc>
        <w:tc>
          <w:tcPr>
            <w:tcW w:w="1500" w:type="dxa"/>
            <w:vAlign w:val="center"/>
          </w:tcPr>
          <w:p w14:paraId="13ABE56B">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1726" w:type="dxa"/>
            <w:vAlign w:val="center"/>
          </w:tcPr>
          <w:p w14:paraId="448CF943">
            <w:pPr>
              <w:spacing w:line="240" w:lineRule="auto"/>
              <w:rPr>
                <w:rFonts w:hint="eastAsia" w:ascii="宋体" w:hAnsi="宋体" w:eastAsia="宋体" w:cs="宋体"/>
                <w:color w:val="auto"/>
                <w:sz w:val="21"/>
                <w:szCs w:val="21"/>
                <w:highlight w:val="none"/>
              </w:rPr>
            </w:pPr>
          </w:p>
        </w:tc>
      </w:tr>
    </w:tbl>
    <w:p w14:paraId="03D8615F">
      <w:pPr>
        <w:rPr>
          <w:b/>
          <w:color w:val="auto"/>
          <w:highlight w:val="none"/>
        </w:rPr>
      </w:pPr>
    </w:p>
    <w:p w14:paraId="1F1C3695">
      <w:pPr>
        <w:rPr>
          <w:rFonts w:hint="eastAsia" w:ascii="仿宋" w:hAnsi="仿宋"/>
          <w:b/>
          <w:bCs/>
          <w:color w:val="auto"/>
          <w:szCs w:val="21"/>
          <w:highlight w:val="none"/>
        </w:rPr>
      </w:pPr>
      <w:bookmarkStart w:id="229" w:name="_Hlk97814281"/>
      <w:r>
        <w:rPr>
          <w:rFonts w:hint="eastAsia" w:ascii="仿宋" w:hAnsi="仿宋"/>
          <w:b/>
          <w:bCs/>
          <w:color w:val="auto"/>
          <w:szCs w:val="21"/>
          <w:highlight w:val="none"/>
        </w:rPr>
        <w:t>注：1、供应商的报价是供应商响应询比项目要求的全部工作内容的价格体现，包含完成本项目的所有费用。</w:t>
      </w:r>
    </w:p>
    <w:p w14:paraId="1866A708">
      <w:pPr>
        <w:rPr>
          <w:rFonts w:hint="eastAsia" w:ascii="仿宋" w:hAnsi="仿宋"/>
          <w:b/>
          <w:bCs/>
          <w:color w:val="auto"/>
          <w:spacing w:val="2"/>
          <w:szCs w:val="21"/>
          <w:highlight w:val="none"/>
        </w:rPr>
      </w:pPr>
      <w:r>
        <w:rPr>
          <w:rFonts w:hint="eastAsia" w:ascii="仿宋" w:hAnsi="仿宋"/>
          <w:b/>
          <w:bCs/>
          <w:color w:val="auto"/>
          <w:spacing w:val="2"/>
          <w:szCs w:val="21"/>
          <w:highlight w:val="none"/>
        </w:rPr>
        <w:t>2、报价表各项内容均需完整填写，未填写的内容（报价除外)，视为与响应文件中相应内容一致（如有)。</w:t>
      </w:r>
    </w:p>
    <w:p w14:paraId="35229A86">
      <w:pPr>
        <w:rPr>
          <w:rFonts w:hint="eastAsia" w:ascii="仿宋" w:hAnsi="仿宋"/>
          <w:b/>
          <w:bCs/>
          <w:color w:val="auto"/>
          <w:spacing w:val="2"/>
          <w:szCs w:val="21"/>
          <w:highlight w:val="none"/>
        </w:rPr>
      </w:pPr>
      <w:r>
        <w:rPr>
          <w:rFonts w:hint="eastAsia" w:ascii="仿宋" w:hAnsi="仿宋"/>
          <w:b/>
          <w:bCs/>
          <w:color w:val="auto"/>
          <w:spacing w:val="2"/>
          <w:szCs w:val="21"/>
          <w:highlight w:val="none"/>
        </w:rPr>
        <w:t>3、如采用不归供应商所有的知识产权，则在该报价中已包括合法获取该知识产权的相关费用。</w:t>
      </w:r>
    </w:p>
    <w:p w14:paraId="77DCCE91">
      <w:pPr>
        <w:pStyle w:val="105"/>
        <w:spacing w:line="360" w:lineRule="auto"/>
        <w:ind w:firstLine="245" w:firstLineChars="100"/>
        <w:rPr>
          <w:rFonts w:hint="eastAsia" w:ascii="仿宋" w:hAnsi="仿宋" w:eastAsia="仿宋" w:cs="仿宋"/>
          <w:color w:val="auto"/>
          <w:sz w:val="24"/>
          <w:highlight w:val="none"/>
        </w:rPr>
      </w:pPr>
      <w:r>
        <w:rPr>
          <w:rFonts w:hint="eastAsia" w:ascii="仿宋" w:hAnsi="仿宋"/>
          <w:b/>
          <w:bCs/>
          <w:color w:val="auto"/>
          <w:spacing w:val="2"/>
          <w:szCs w:val="21"/>
          <w:highlight w:val="none"/>
          <w:lang w:val="en-US" w:eastAsia="zh-CN"/>
        </w:rPr>
        <w:t>4、本表一式两份。一份装订在响应文件内，一份用于现场唱价。开启现场唱价所用的报价一览表与响应文件内的报价一览表内容不一致时，以现场唱价的文件为准。</w:t>
      </w:r>
    </w:p>
    <w:p w14:paraId="7C3AE286">
      <w:pPr>
        <w:pStyle w:val="2"/>
        <w:rPr>
          <w:rFonts w:hint="eastAsia" w:eastAsia="仿宋"/>
          <w:color w:val="auto"/>
          <w:highlight w:val="none"/>
          <w:lang w:val="en-US" w:eastAsia="zh-CN"/>
        </w:rPr>
      </w:pPr>
    </w:p>
    <w:bookmarkEnd w:id="229"/>
    <w:p w14:paraId="0B8EDE80">
      <w:pPr>
        <w:ind w:firstLine="480" w:firstLineChars="200"/>
        <w:rPr>
          <w:rFonts w:hint="eastAsia" w:ascii="仿宋" w:hAnsi="仿宋" w:cs="仿宋"/>
          <w:color w:val="auto"/>
          <w:highlight w:val="none"/>
        </w:rPr>
      </w:pPr>
      <w:r>
        <w:rPr>
          <w:rFonts w:hint="eastAsia" w:ascii="仿宋" w:hAnsi="仿宋" w:cs="仿宋"/>
          <w:color w:val="auto"/>
          <w:highlight w:val="none"/>
        </w:rPr>
        <w:t>供应商名称：</w:t>
      </w:r>
      <w:r>
        <w:rPr>
          <w:rFonts w:ascii="仿宋" w:hAnsi="仿宋" w:cs="仿宋"/>
          <w:color w:val="auto"/>
          <w:highlight w:val="none"/>
        </w:rPr>
        <w:t>XXXX</w:t>
      </w:r>
      <w:r>
        <w:rPr>
          <w:rFonts w:hint="eastAsia" w:ascii="仿宋" w:hAnsi="仿宋" w:cs="仿宋"/>
          <w:color w:val="auto"/>
          <w:highlight w:val="none"/>
        </w:rPr>
        <w:t>（盖单位公章）</w:t>
      </w:r>
    </w:p>
    <w:p w14:paraId="02FA837C">
      <w:pPr>
        <w:ind w:firstLine="480" w:firstLineChars="200"/>
        <w:rPr>
          <w:rFonts w:hint="eastAsia" w:ascii="仿宋" w:hAnsi="仿宋" w:cs="仿宋"/>
          <w:color w:val="auto"/>
          <w:highlight w:val="none"/>
        </w:rPr>
      </w:pPr>
      <w:r>
        <w:rPr>
          <w:rFonts w:hint="eastAsia" w:ascii="仿宋" w:hAnsi="仿宋" w:cs="仿宋"/>
          <w:color w:val="auto"/>
          <w:highlight w:val="none"/>
        </w:rPr>
        <w:t>法定代表人或授权代表（签字或加盖个人印章）：</w:t>
      </w:r>
      <w:r>
        <w:rPr>
          <w:rFonts w:ascii="仿宋" w:hAnsi="仿宋" w:cs="仿宋"/>
          <w:color w:val="auto"/>
          <w:highlight w:val="none"/>
        </w:rPr>
        <w:t>XXXX</w:t>
      </w:r>
    </w:p>
    <w:p w14:paraId="5F92DB40">
      <w:pPr>
        <w:ind w:firstLine="480" w:firstLineChars="200"/>
        <w:rPr>
          <w:rFonts w:hint="eastAsia" w:ascii="仿宋" w:hAnsi="仿宋" w:cs="仿宋"/>
          <w:color w:val="auto"/>
          <w:highlight w:val="none"/>
        </w:rPr>
      </w:pPr>
      <w:r>
        <w:rPr>
          <w:rFonts w:hint="eastAsia" w:ascii="仿宋" w:hAnsi="仿宋" w:cs="仿宋"/>
          <w:color w:val="auto"/>
          <w:highlight w:val="none"/>
        </w:rPr>
        <w:t>日期：</w:t>
      </w:r>
      <w:r>
        <w:rPr>
          <w:rFonts w:ascii="仿宋" w:hAnsi="仿宋" w:cs="仿宋"/>
          <w:color w:val="auto"/>
          <w:highlight w:val="none"/>
        </w:rPr>
        <w:t xml:space="preserve"> XXXX</w:t>
      </w:r>
    </w:p>
    <w:p w14:paraId="1FF210BA">
      <w:pPr>
        <w:pStyle w:val="2"/>
        <w:ind w:left="480"/>
        <w:rPr>
          <w:color w:val="auto"/>
          <w:highlight w:val="none"/>
        </w:rPr>
      </w:pPr>
    </w:p>
    <w:p w14:paraId="24787E52">
      <w:pPr>
        <w:jc w:val="center"/>
        <w:rPr>
          <w:rFonts w:hint="eastAsia" w:ascii="仿宋" w:hAnsi="仿宋"/>
          <w:b/>
          <w:color w:val="auto"/>
          <w:highlight w:val="none"/>
        </w:rPr>
      </w:pPr>
    </w:p>
    <w:bookmarkEnd w:id="215"/>
    <w:p w14:paraId="3D92E5F5">
      <w:pPr>
        <w:rPr>
          <w:rFonts w:hint="eastAsia" w:ascii="仿宋" w:hAnsi="仿宋"/>
          <w:b/>
          <w:color w:val="auto"/>
          <w:sz w:val="32"/>
          <w:szCs w:val="32"/>
          <w:highlight w:val="none"/>
        </w:rPr>
      </w:pPr>
      <w:r>
        <w:rPr>
          <w:rFonts w:ascii="仿宋" w:hAnsi="仿宋"/>
          <w:color w:val="auto"/>
          <w:highlight w:val="none"/>
        </w:rPr>
        <w:br w:type="page"/>
      </w:r>
    </w:p>
    <w:p w14:paraId="478CBD7F">
      <w:pPr>
        <w:pStyle w:val="26"/>
        <w:rPr>
          <w:rFonts w:hint="eastAsia" w:ascii="仿宋" w:hAnsi="仿宋"/>
          <w:color w:val="auto"/>
          <w:highlight w:val="none"/>
        </w:rPr>
      </w:pPr>
      <w:bookmarkStart w:id="230" w:name="_Toc37838087"/>
      <w:r>
        <w:rPr>
          <w:rFonts w:hint="eastAsia" w:ascii="仿宋" w:hAnsi="仿宋"/>
          <w:color w:val="auto"/>
          <w:highlight w:val="none"/>
        </w:rPr>
        <w:t>第六章  评审方法</w:t>
      </w:r>
      <w:bookmarkEnd w:id="230"/>
    </w:p>
    <w:p w14:paraId="7D4E94A3">
      <w:pPr>
        <w:pStyle w:val="4"/>
        <w:keepNext w:val="0"/>
        <w:keepLines w:val="0"/>
        <w:spacing w:before="0" w:after="0" w:line="360" w:lineRule="auto"/>
        <w:ind w:firstLine="472" w:firstLineChars="196"/>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1.总则</w:t>
      </w:r>
    </w:p>
    <w:p w14:paraId="4AA939CF">
      <w:pPr>
        <w:ind w:firstLine="424" w:firstLineChars="177"/>
        <w:rPr>
          <w:color w:val="auto"/>
          <w:highlight w:val="none"/>
        </w:rPr>
      </w:pPr>
      <w:r>
        <w:rPr>
          <w:rFonts w:hint="eastAsia"/>
          <w:color w:val="auto"/>
          <w:highlight w:val="none"/>
        </w:rPr>
        <w:t xml:space="preserve">1.1 </w:t>
      </w:r>
      <w:r>
        <w:rPr>
          <w:rStyle w:val="98"/>
          <w:rFonts w:hint="eastAsia" w:ascii="仿宋" w:hAnsi="仿宋" w:cs="仿宋"/>
          <w:color w:val="auto"/>
          <w:szCs w:val="24"/>
          <w:highlight w:val="none"/>
        </w:rPr>
        <w:t>采购人及采购代理机构结合本询比项目特点制定本次询比评审办法</w:t>
      </w:r>
      <w:r>
        <w:rPr>
          <w:rFonts w:hint="eastAsia"/>
          <w:color w:val="auto"/>
          <w:highlight w:val="none"/>
        </w:rPr>
        <w:t>。</w:t>
      </w:r>
    </w:p>
    <w:p w14:paraId="591B9922">
      <w:pPr>
        <w:ind w:firstLine="424" w:firstLineChars="177"/>
        <w:rPr>
          <w:color w:val="auto"/>
          <w:highlight w:val="none"/>
        </w:rPr>
      </w:pPr>
      <w:r>
        <w:rPr>
          <w:rFonts w:hint="eastAsia"/>
          <w:color w:val="auto"/>
          <w:highlight w:val="none"/>
        </w:rPr>
        <w:t>1.2 评审工作由</w:t>
      </w:r>
      <w:r>
        <w:rPr>
          <w:rFonts w:hint="eastAsia" w:ascii="仿宋" w:hAnsi="仿宋"/>
          <w:color w:val="auto"/>
          <w:highlight w:val="none"/>
        </w:rPr>
        <w:t>采购人或</w:t>
      </w:r>
      <w:r>
        <w:rPr>
          <w:rFonts w:hint="eastAsia"/>
          <w:color w:val="auto"/>
          <w:highlight w:val="none"/>
        </w:rPr>
        <w:t>采购代理机构负责组织，具体评审由</w:t>
      </w:r>
      <w:r>
        <w:rPr>
          <w:rFonts w:hint="eastAsia" w:ascii="仿宋" w:hAnsi="仿宋"/>
          <w:color w:val="auto"/>
          <w:highlight w:val="none"/>
        </w:rPr>
        <w:t>采购人或</w:t>
      </w:r>
      <w:r>
        <w:rPr>
          <w:rFonts w:hint="eastAsia"/>
          <w:color w:val="auto"/>
          <w:highlight w:val="none"/>
        </w:rPr>
        <w:t>采购代理机构依法组建的评审小组负责。</w:t>
      </w:r>
    </w:p>
    <w:p w14:paraId="12CE8C83">
      <w:pPr>
        <w:ind w:firstLine="424" w:firstLineChars="177"/>
        <w:rPr>
          <w:color w:val="auto"/>
          <w:highlight w:val="none"/>
        </w:rPr>
      </w:pPr>
      <w:r>
        <w:rPr>
          <w:rFonts w:hint="eastAsia"/>
          <w:color w:val="auto"/>
          <w:highlight w:val="none"/>
        </w:rPr>
        <w:t>1.3 评审工作应遵循公平、公正、科学及择优的原则，并以相同的评审程序和标准对待所有的供应商。</w:t>
      </w:r>
    </w:p>
    <w:p w14:paraId="18F14B4B">
      <w:pPr>
        <w:ind w:firstLine="424" w:firstLineChars="177"/>
        <w:rPr>
          <w:color w:val="auto"/>
          <w:highlight w:val="none"/>
        </w:rPr>
      </w:pPr>
      <w:r>
        <w:rPr>
          <w:rFonts w:hint="eastAsia"/>
          <w:color w:val="auto"/>
          <w:highlight w:val="none"/>
        </w:rPr>
        <w:t>1.4 评审小组按照询比文件规定的评审方法和标准进行评审，并独立履行下列职责：</w:t>
      </w:r>
    </w:p>
    <w:p w14:paraId="7BE23D95">
      <w:pPr>
        <w:ind w:firstLine="424" w:firstLineChars="177"/>
        <w:rPr>
          <w:color w:val="auto"/>
          <w:highlight w:val="none"/>
        </w:rPr>
      </w:pPr>
      <w:r>
        <w:rPr>
          <w:rFonts w:hint="eastAsia"/>
          <w:color w:val="auto"/>
          <w:highlight w:val="none"/>
        </w:rPr>
        <w:t>（一）熟悉和理解询比文件，确定询比文件内容是否违反国家有关强制性规定或者询比文件存在歧义、重大缺陷；</w:t>
      </w:r>
    </w:p>
    <w:p w14:paraId="316165F4">
      <w:pPr>
        <w:ind w:firstLine="424" w:firstLineChars="177"/>
        <w:rPr>
          <w:color w:val="auto"/>
          <w:highlight w:val="none"/>
        </w:rPr>
      </w:pPr>
      <w:r>
        <w:rPr>
          <w:rFonts w:hint="eastAsia"/>
          <w:color w:val="auto"/>
          <w:highlight w:val="none"/>
        </w:rPr>
        <w:t>（二）审查供应商响应文件是否满足询比文件要求，并作出公正评价；</w:t>
      </w:r>
    </w:p>
    <w:p w14:paraId="00911FFB">
      <w:pPr>
        <w:ind w:firstLine="424" w:firstLineChars="177"/>
        <w:rPr>
          <w:color w:val="auto"/>
          <w:highlight w:val="none"/>
        </w:rPr>
      </w:pPr>
      <w:r>
        <w:rPr>
          <w:rFonts w:hint="eastAsia"/>
          <w:color w:val="auto"/>
          <w:highlight w:val="none"/>
        </w:rPr>
        <w:t>（三）根据需要要求供应商对询比文件有关事项作出澄清、说明或者纠正；</w:t>
      </w:r>
    </w:p>
    <w:p w14:paraId="5A848798">
      <w:pPr>
        <w:ind w:firstLine="424" w:firstLineChars="177"/>
        <w:rPr>
          <w:color w:val="auto"/>
          <w:highlight w:val="none"/>
        </w:rPr>
      </w:pPr>
      <w:r>
        <w:rPr>
          <w:rFonts w:hint="eastAsia"/>
          <w:color w:val="auto"/>
          <w:highlight w:val="none"/>
        </w:rPr>
        <w:t>（四）推荐成交供应商，或者受采购人委托确定成交供应商；</w:t>
      </w:r>
    </w:p>
    <w:p w14:paraId="2952C0E4">
      <w:pPr>
        <w:ind w:firstLine="424" w:firstLineChars="177"/>
        <w:rPr>
          <w:color w:val="auto"/>
          <w:highlight w:val="none"/>
        </w:rPr>
      </w:pPr>
      <w:r>
        <w:rPr>
          <w:rFonts w:hint="eastAsia"/>
          <w:color w:val="auto"/>
          <w:highlight w:val="none"/>
        </w:rPr>
        <w:t>（五）编写评审报告并进行签署；</w:t>
      </w:r>
    </w:p>
    <w:p w14:paraId="66BEB4A1">
      <w:pPr>
        <w:ind w:firstLine="424" w:firstLineChars="177"/>
        <w:rPr>
          <w:color w:val="auto"/>
          <w:highlight w:val="none"/>
        </w:rPr>
      </w:pPr>
      <w:r>
        <w:rPr>
          <w:rFonts w:hint="eastAsia"/>
          <w:color w:val="auto"/>
          <w:highlight w:val="none"/>
        </w:rPr>
        <w:t>（六）向采购人或者其他监督管理部门报告非法干预评审工作的行为；</w:t>
      </w:r>
    </w:p>
    <w:p w14:paraId="3D248178">
      <w:pPr>
        <w:ind w:firstLine="424" w:firstLineChars="177"/>
        <w:rPr>
          <w:color w:val="auto"/>
          <w:highlight w:val="none"/>
        </w:rPr>
      </w:pPr>
      <w:r>
        <w:rPr>
          <w:rFonts w:hint="eastAsia"/>
          <w:color w:val="auto"/>
          <w:highlight w:val="none"/>
        </w:rPr>
        <w:t>（七）法律、法规和规章及其他相关制度规定的其他职责。</w:t>
      </w:r>
    </w:p>
    <w:p w14:paraId="3C87B189">
      <w:pPr>
        <w:ind w:firstLine="424" w:firstLineChars="177"/>
        <w:rPr>
          <w:color w:val="auto"/>
          <w:highlight w:val="none"/>
        </w:rPr>
      </w:pPr>
      <w:r>
        <w:rPr>
          <w:rFonts w:hint="eastAsia"/>
          <w:color w:val="auto"/>
          <w:highlight w:val="none"/>
        </w:rPr>
        <w:t>1.5评审过程独立、保密。供应商非法干预评审过程的，其响应文件作为无效处理。</w:t>
      </w:r>
    </w:p>
    <w:p w14:paraId="3CB29F8C">
      <w:pPr>
        <w:ind w:firstLine="424" w:firstLineChars="177"/>
        <w:rPr>
          <w:color w:val="auto"/>
          <w:highlight w:val="none"/>
        </w:rPr>
      </w:pPr>
      <w:r>
        <w:rPr>
          <w:rFonts w:hint="eastAsia"/>
          <w:color w:val="auto"/>
          <w:highlight w:val="none"/>
        </w:rPr>
        <w:t>1.6 评审小组评价响应文件，除评审小组要求其澄清、说明或者纠正而提供的资料外，仅依据响应文件本身的内容，不寻求供应商提供其他外部证据。</w:t>
      </w:r>
    </w:p>
    <w:p w14:paraId="2B9FA257">
      <w:pPr>
        <w:pStyle w:val="4"/>
        <w:keepNext w:val="0"/>
        <w:keepLines w:val="0"/>
        <w:spacing w:before="0" w:after="0" w:line="360" w:lineRule="auto"/>
        <w:ind w:firstLine="472" w:firstLineChars="196"/>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2.评审程序</w:t>
      </w:r>
    </w:p>
    <w:p w14:paraId="2623AD56">
      <w:pPr>
        <w:ind w:firstLine="424" w:firstLineChars="177"/>
        <w:rPr>
          <w:color w:val="auto"/>
          <w:highlight w:val="none"/>
        </w:rPr>
      </w:pPr>
      <w:r>
        <w:rPr>
          <w:rFonts w:hint="eastAsia"/>
          <w:color w:val="auto"/>
          <w:highlight w:val="none"/>
        </w:rPr>
        <w:t>2.1熟悉和理解询比文件和停止评审。</w:t>
      </w:r>
    </w:p>
    <w:p w14:paraId="41BD8BE4">
      <w:pPr>
        <w:ind w:firstLine="424" w:firstLineChars="177"/>
        <w:rPr>
          <w:color w:val="auto"/>
          <w:highlight w:val="none"/>
        </w:rPr>
      </w:pPr>
      <w:r>
        <w:rPr>
          <w:rFonts w:hint="eastAsia"/>
          <w:color w:val="auto"/>
          <w:highlight w:val="none"/>
        </w:rPr>
        <w:t>2.1.1 评审小组正式评审前，应当对询比文件进行熟悉和理解，内容主要包括询比文件中供应商资格条件要求、采购项目技术、服务和商务要求、评审方法和标准以及采购合同主要条款等。</w:t>
      </w:r>
    </w:p>
    <w:p w14:paraId="1FAC86E4">
      <w:pPr>
        <w:ind w:firstLine="424" w:firstLineChars="177"/>
        <w:rPr>
          <w:color w:val="auto"/>
          <w:highlight w:val="none"/>
        </w:rPr>
      </w:pPr>
      <w:r>
        <w:rPr>
          <w:rFonts w:hint="eastAsia"/>
          <w:color w:val="auto"/>
          <w:highlight w:val="none"/>
        </w:rPr>
        <w:t>2.1.2本询比文件有下列情形之一的，评审小组应当停止评审：</w:t>
      </w:r>
    </w:p>
    <w:p w14:paraId="38BFA33C">
      <w:pPr>
        <w:ind w:firstLine="424" w:firstLineChars="177"/>
        <w:rPr>
          <w:color w:val="auto"/>
          <w:highlight w:val="none"/>
        </w:rPr>
      </w:pPr>
      <w:r>
        <w:rPr>
          <w:rFonts w:hint="eastAsia"/>
          <w:color w:val="auto"/>
          <w:highlight w:val="none"/>
        </w:rPr>
        <w:t>（1）询比文件的规定存在重大歧义、重大缺陷，并导致无法评审的；</w:t>
      </w:r>
    </w:p>
    <w:p w14:paraId="2AE5F670">
      <w:pPr>
        <w:ind w:firstLine="424" w:firstLineChars="177"/>
        <w:rPr>
          <w:color w:val="auto"/>
          <w:highlight w:val="none"/>
        </w:rPr>
      </w:pPr>
      <w:r>
        <w:rPr>
          <w:rFonts w:hint="eastAsia"/>
          <w:color w:val="auto"/>
          <w:highlight w:val="none"/>
        </w:rPr>
        <w:t>（2）询比文件明显以不合理条件对供应商实行差别待遇或者歧视待遇的；</w:t>
      </w:r>
    </w:p>
    <w:p w14:paraId="532BDEA8">
      <w:pPr>
        <w:ind w:firstLine="424" w:firstLineChars="177"/>
        <w:rPr>
          <w:color w:val="auto"/>
          <w:highlight w:val="none"/>
        </w:rPr>
      </w:pPr>
      <w:r>
        <w:rPr>
          <w:rFonts w:hint="eastAsia"/>
          <w:color w:val="auto"/>
          <w:highlight w:val="none"/>
        </w:rPr>
        <w:t>（3）询比文件载明的成交原则不合规定的；</w:t>
      </w:r>
    </w:p>
    <w:p w14:paraId="5509C72B">
      <w:pPr>
        <w:ind w:firstLine="424" w:firstLineChars="177"/>
        <w:rPr>
          <w:color w:val="auto"/>
          <w:highlight w:val="none"/>
        </w:rPr>
      </w:pPr>
      <w:r>
        <w:rPr>
          <w:rFonts w:hint="eastAsia"/>
          <w:color w:val="auto"/>
          <w:highlight w:val="none"/>
        </w:rPr>
        <w:t>（4）询比文件有违反其他有关强制性规定的情形。</w:t>
      </w:r>
    </w:p>
    <w:p w14:paraId="732AAB4A">
      <w:pPr>
        <w:ind w:firstLine="426" w:firstLineChars="177"/>
        <w:rPr>
          <w:b/>
          <w:color w:val="auto"/>
          <w:highlight w:val="none"/>
        </w:rPr>
      </w:pPr>
      <w:r>
        <w:rPr>
          <w:rFonts w:hint="eastAsia"/>
          <w:b/>
          <w:color w:val="auto"/>
          <w:highlight w:val="none"/>
        </w:rPr>
        <w:t>2.1.3出现本条2.1.2规定应当停止评审情形的，评审小组应当向采购人书面说明情况。除本条规定的情形外，评审小组不得以任何方式和理由停止评审。</w:t>
      </w:r>
    </w:p>
    <w:p w14:paraId="46FA1A96">
      <w:pPr>
        <w:ind w:firstLine="424" w:firstLineChars="177"/>
        <w:rPr>
          <w:color w:val="auto"/>
          <w:highlight w:val="none"/>
        </w:rPr>
      </w:pPr>
      <w:r>
        <w:rPr>
          <w:rFonts w:hint="eastAsia"/>
          <w:color w:val="auto"/>
          <w:highlight w:val="none"/>
        </w:rPr>
        <w:t>2.2 资格性审查</w:t>
      </w:r>
    </w:p>
    <w:p w14:paraId="03DACB21">
      <w:pPr>
        <w:ind w:firstLine="424" w:firstLineChars="177"/>
        <w:rPr>
          <w:b/>
          <w:color w:val="auto"/>
          <w:highlight w:val="none"/>
        </w:rPr>
      </w:pPr>
      <w:r>
        <w:rPr>
          <w:rFonts w:hint="eastAsia"/>
          <w:color w:val="auto"/>
          <w:highlight w:val="none"/>
        </w:rPr>
        <w:t>2.2.1</w:t>
      </w:r>
      <w:r>
        <w:rPr>
          <w:rFonts w:hint="eastAsia"/>
          <w:b/>
          <w:color w:val="auto"/>
          <w:highlight w:val="none"/>
        </w:rPr>
        <w:t>评审小组应依据相关规定和询比文件的规定，对响应文件是否按照询比文件第三章要求提供证明材料，以确定供应商是否具备询比资格。</w:t>
      </w:r>
    </w:p>
    <w:p w14:paraId="7BAF7445">
      <w:pPr>
        <w:ind w:firstLine="426" w:firstLineChars="177"/>
        <w:rPr>
          <w:color w:val="auto"/>
          <w:highlight w:val="none"/>
        </w:rPr>
      </w:pPr>
      <w:r>
        <w:rPr>
          <w:rFonts w:hint="eastAsia"/>
          <w:b/>
          <w:color w:val="auto"/>
          <w:highlight w:val="none"/>
        </w:rPr>
        <w:t>2.3</w:t>
      </w:r>
      <w:r>
        <w:rPr>
          <w:color w:val="auto"/>
          <w:highlight w:val="none"/>
        </w:rPr>
        <w:t xml:space="preserve"> </w:t>
      </w:r>
      <w:r>
        <w:rPr>
          <w:rFonts w:hint="eastAsia"/>
          <w:color w:val="auto"/>
          <w:highlight w:val="none"/>
        </w:rPr>
        <w:t>符合性审查</w:t>
      </w:r>
    </w:p>
    <w:p w14:paraId="150C7F9E">
      <w:pPr>
        <w:overflowPunct w:val="0"/>
        <w:autoSpaceDE w:val="0"/>
        <w:autoSpaceDN w:val="0"/>
        <w:ind w:firstLine="480" w:firstLineChars="200"/>
        <w:rPr>
          <w:rFonts w:hint="eastAsia" w:ascii="仿宋" w:hAnsi="仿宋"/>
          <w:color w:val="auto"/>
          <w:highlight w:val="none"/>
        </w:rPr>
      </w:pPr>
      <w:r>
        <w:rPr>
          <w:rStyle w:val="98"/>
          <w:rFonts w:hint="eastAsia" w:ascii="仿宋" w:hAnsi="仿宋" w:cs="仿宋"/>
          <w:color w:val="auto"/>
          <w:szCs w:val="24"/>
          <w:highlight w:val="none"/>
        </w:rPr>
        <w:t>审小组依据第三章 供应商符合性审查中规定的要求，对符合资格要求供应商的响应文件进行符合性审查，以确定是否对询比文件的实质性要求作出响应。供应商响应文件属于“第三章 供应商资格及符合性审查”情况之一的，在符合性检查时按照无效投标处理</w:t>
      </w:r>
      <w:r>
        <w:rPr>
          <w:rFonts w:hint="eastAsia" w:ascii="仿宋" w:hAnsi="仿宋"/>
          <w:color w:val="auto"/>
          <w:highlight w:val="none"/>
        </w:rPr>
        <w:t>。</w:t>
      </w:r>
    </w:p>
    <w:p w14:paraId="1B889051">
      <w:pPr>
        <w:ind w:firstLine="424" w:firstLineChars="177"/>
        <w:rPr>
          <w:color w:val="auto"/>
          <w:highlight w:val="none"/>
        </w:rPr>
      </w:pPr>
      <w:r>
        <w:rPr>
          <w:rFonts w:hint="eastAsia"/>
          <w:color w:val="auto"/>
          <w:highlight w:val="none"/>
        </w:rPr>
        <w:t>2.4比较与评价。按询比文件中规定的评审方法和标准，对未作无效处理的响应文件进行综合比较与评价。</w:t>
      </w:r>
    </w:p>
    <w:p w14:paraId="61152494">
      <w:pPr>
        <w:ind w:firstLine="424" w:firstLineChars="177"/>
        <w:rPr>
          <w:color w:val="auto"/>
          <w:highlight w:val="none"/>
        </w:rPr>
      </w:pPr>
      <w:r>
        <w:rPr>
          <w:rFonts w:hint="eastAsia"/>
          <w:color w:val="auto"/>
          <w:highlight w:val="none"/>
        </w:rPr>
        <w:t>2.5评审小组复核。评分汇总结束后，评审小组应当进行复核，特别对拟推荐为成交候选供应商的、报价最低的、响应文件被认定为无效的进行重点复核。</w:t>
      </w:r>
    </w:p>
    <w:p w14:paraId="0329219A">
      <w:pPr>
        <w:ind w:firstLine="424" w:firstLineChars="177"/>
        <w:rPr>
          <w:color w:val="auto"/>
          <w:highlight w:val="none"/>
        </w:rPr>
      </w:pPr>
      <w:r>
        <w:rPr>
          <w:rFonts w:hint="eastAsia"/>
          <w:color w:val="auto"/>
          <w:highlight w:val="none"/>
        </w:rPr>
        <w:t>2.6推荐成交候选供应商。</w:t>
      </w:r>
    </w:p>
    <w:p w14:paraId="5BFAD0A2">
      <w:pPr>
        <w:ind w:firstLine="424" w:firstLineChars="177"/>
        <w:rPr>
          <w:rFonts w:hint="eastAsia" w:ascii="仿宋" w:hAnsi="仿宋"/>
          <w:color w:val="auto"/>
          <w:highlight w:val="none"/>
        </w:rPr>
      </w:pPr>
      <w:r>
        <w:rPr>
          <w:rFonts w:hint="eastAsia" w:ascii="仿宋" w:hAnsi="仿宋"/>
          <w:color w:val="auto"/>
          <w:highlight w:val="none"/>
        </w:rPr>
        <w:t>采用综合评分法评审的项目，根据评审得分由高到低的顺序，推荐1-3名候选成交供应商；评审得分相同的，按照报价由低到高的顺序推荐成交候选供应商</w:t>
      </w:r>
      <w:r>
        <w:rPr>
          <w:rStyle w:val="98"/>
          <w:rFonts w:hint="eastAsia" w:ascii="仿宋" w:hAnsi="仿宋" w:cs="仿宋"/>
          <w:color w:val="auto"/>
          <w:szCs w:val="24"/>
          <w:highlight w:val="none"/>
        </w:rPr>
        <w:t>。如经初步审查后供应商只剩1个，评审委员会认定明显缺乏竞争将否决其投标，认定具有竞争性则出具评审意见推荐其为中标候选人。</w:t>
      </w:r>
    </w:p>
    <w:p w14:paraId="4022BFD4">
      <w:pPr>
        <w:ind w:firstLine="424" w:firstLineChars="177"/>
        <w:rPr>
          <w:color w:val="auto"/>
          <w:highlight w:val="none"/>
        </w:rPr>
      </w:pPr>
      <w:r>
        <w:rPr>
          <w:rFonts w:hint="eastAsia"/>
          <w:color w:val="auto"/>
          <w:highlight w:val="none"/>
        </w:rPr>
        <w:t>2.7采购代理机构现场复核评审结果。</w:t>
      </w:r>
    </w:p>
    <w:p w14:paraId="102604DB">
      <w:pPr>
        <w:ind w:firstLine="424" w:firstLineChars="177"/>
        <w:rPr>
          <w:color w:val="auto"/>
          <w:highlight w:val="none"/>
        </w:rPr>
      </w:pPr>
      <w:r>
        <w:rPr>
          <w:rFonts w:hint="eastAsia"/>
          <w:color w:val="auto"/>
          <w:highlight w:val="none"/>
        </w:rPr>
        <w:t>2.8编写评审报告。评审小组推荐成交候选供应商后，应向采购代理机构出具评审报告。</w:t>
      </w:r>
    </w:p>
    <w:p w14:paraId="1D94FB0F">
      <w:pPr>
        <w:ind w:firstLine="424" w:firstLineChars="177"/>
        <w:rPr>
          <w:color w:val="auto"/>
          <w:highlight w:val="none"/>
        </w:rPr>
      </w:pPr>
      <w:r>
        <w:rPr>
          <w:rFonts w:hint="eastAsia"/>
          <w:color w:val="auto"/>
          <w:highlight w:val="none"/>
        </w:rPr>
        <w:t>评审报告应当由评审小组全体人员签字认可。评审小组成员对评审报告有异议的，评审小组按照少数服从多数的原则推荐成交候选供应商，采购程序继续进行。对评审报告有异议的评审小组成员，应当在报告上签署不同意见并说明理由，由评审小组书面记录相关情况。评审小组成员拒绝在报告上签字又不书面说明其不同意见和理由的，视为同意评审报告。</w:t>
      </w:r>
    </w:p>
    <w:p w14:paraId="77703C72">
      <w:pPr>
        <w:ind w:firstLine="424" w:firstLineChars="177"/>
        <w:rPr>
          <w:color w:val="auto"/>
          <w:highlight w:val="none"/>
        </w:rPr>
      </w:pPr>
      <w:r>
        <w:rPr>
          <w:rFonts w:hint="eastAsia"/>
          <w:color w:val="auto"/>
          <w:highlight w:val="none"/>
        </w:rPr>
        <w:t>2.9评审异议处理规则。在评审过程中，评审小组成员对响应文件是否符合询比文件规定存在争议的，应当以少数服从多数的原则处理，但不违背询比文件规定。有不同意见的评审小组成员认为认定过程和结果不符合法律法规或者询比文件规定的，应当在评审报告中予以反映。</w:t>
      </w:r>
    </w:p>
    <w:p w14:paraId="27CBE4FD">
      <w:pPr>
        <w:ind w:firstLine="424" w:firstLineChars="177"/>
        <w:rPr>
          <w:color w:val="auto"/>
          <w:highlight w:val="none"/>
        </w:rPr>
      </w:pPr>
      <w:r>
        <w:rPr>
          <w:rFonts w:hint="eastAsia"/>
          <w:color w:val="auto"/>
          <w:highlight w:val="none"/>
        </w:rPr>
        <w:t>2.10供应商澄清、说明</w:t>
      </w:r>
    </w:p>
    <w:p w14:paraId="541C9640">
      <w:pPr>
        <w:ind w:firstLine="424" w:firstLineChars="177"/>
        <w:rPr>
          <w:color w:val="auto"/>
          <w:highlight w:val="none"/>
        </w:rPr>
      </w:pPr>
      <w:r>
        <w:rPr>
          <w:rFonts w:hint="eastAsia"/>
          <w:color w:val="auto"/>
          <w:highlight w:val="none"/>
        </w:rPr>
        <w:t>2.10.1评审小组在对响应文件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7BCF502">
      <w:pPr>
        <w:ind w:firstLine="424" w:firstLineChars="177"/>
        <w:rPr>
          <w:color w:val="auto"/>
          <w:highlight w:val="none"/>
        </w:rPr>
      </w:pPr>
      <w:r>
        <w:rPr>
          <w:rFonts w:hint="eastAsia"/>
          <w:color w:val="auto"/>
          <w:highlight w:val="none"/>
        </w:rPr>
        <w:t>2.10.2评审小组要求供应商澄清、说明或者更正响应文件应当以书面形式作出。供应商的澄清、说明或者更正应当由法定代表人/本人或其授权代表签字（注：供应商为法人的，应当由其法定代表人或者授权代表签字确认；供应商为其他组织的，应当由其主要负责人或者授权代表签字确认；供应商为自然人的，应当由其本人或者授权代表签字确认）或者加盖公章。</w:t>
      </w:r>
    </w:p>
    <w:p w14:paraId="57102CCF">
      <w:pPr>
        <w:ind w:firstLine="424" w:firstLineChars="177"/>
        <w:rPr>
          <w:color w:val="auto"/>
          <w:highlight w:val="none"/>
        </w:rPr>
      </w:pPr>
      <w:r>
        <w:rPr>
          <w:rFonts w:hint="eastAsia"/>
          <w:color w:val="auto"/>
          <w:highlight w:val="none"/>
        </w:rPr>
        <w:t>2.10.3报价如果出现下列不一致的，可按以下原则进行修改：</w:t>
      </w:r>
    </w:p>
    <w:p w14:paraId="6358005E">
      <w:pPr>
        <w:ind w:firstLine="424" w:firstLineChars="177"/>
        <w:rPr>
          <w:rFonts w:hint="eastAsia"/>
          <w:color w:val="auto"/>
          <w:highlight w:val="none"/>
        </w:rPr>
      </w:pPr>
      <w:r>
        <w:rPr>
          <w:rFonts w:hint="eastAsia"/>
          <w:color w:val="auto"/>
          <w:highlight w:val="none"/>
        </w:rPr>
        <w:t>（1）响应文件内分项报价内容与报价一览表不一致的，以现场唱价的报价一览表为准；若报价一览表中不含税金额核算后与含税总价不符，以不含税金额修正含税总价。</w:t>
      </w:r>
    </w:p>
    <w:p w14:paraId="6ACA85C0">
      <w:pPr>
        <w:ind w:firstLine="424" w:firstLineChars="177"/>
        <w:rPr>
          <w:rFonts w:hint="eastAsia"/>
          <w:color w:val="auto"/>
          <w:highlight w:val="none"/>
        </w:rPr>
      </w:pPr>
      <w:r>
        <w:rPr>
          <w:rFonts w:hint="eastAsia"/>
          <w:color w:val="auto"/>
          <w:highlight w:val="none"/>
        </w:rPr>
        <w:t>（2）大写金额与小写金额不一致的，以大写金额为准。</w:t>
      </w:r>
    </w:p>
    <w:p w14:paraId="667F7906">
      <w:pPr>
        <w:ind w:firstLine="424" w:firstLineChars="177"/>
        <w:rPr>
          <w:rFonts w:hint="eastAsia"/>
          <w:color w:val="auto"/>
          <w:highlight w:val="none"/>
        </w:rPr>
      </w:pPr>
      <w:r>
        <w:rPr>
          <w:rFonts w:hint="eastAsia"/>
          <w:color w:val="auto"/>
          <w:highlight w:val="none"/>
        </w:rPr>
        <w:t>（3）单价小数点、百分比出现明显错位的，以总价为准，反向修正单价。</w:t>
      </w:r>
    </w:p>
    <w:p w14:paraId="4C7F6EE2">
      <w:pPr>
        <w:ind w:firstLine="424" w:firstLineChars="177"/>
        <w:rPr>
          <w:rFonts w:hint="eastAsia"/>
          <w:color w:val="auto"/>
          <w:highlight w:val="none"/>
        </w:rPr>
      </w:pPr>
      <w:r>
        <w:rPr>
          <w:rFonts w:hint="eastAsia"/>
          <w:color w:val="auto"/>
          <w:highlight w:val="none"/>
        </w:rPr>
        <w:t>（4）总价与单价逐项汇总合计金额不一致的，以单价汇总计算金额为准。</w:t>
      </w:r>
    </w:p>
    <w:p w14:paraId="570AD6E8">
      <w:pPr>
        <w:ind w:firstLine="424" w:firstLineChars="177"/>
        <w:rPr>
          <w:color w:val="auto"/>
          <w:highlight w:val="none"/>
        </w:rPr>
      </w:pPr>
      <w:r>
        <w:rPr>
          <w:rFonts w:hint="eastAsia"/>
          <w:color w:val="auto"/>
          <w:highlight w:val="none"/>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14:paraId="55E35DC5">
      <w:pPr>
        <w:ind w:firstLine="424" w:firstLineChars="177"/>
        <w:rPr>
          <w:color w:val="auto"/>
          <w:highlight w:val="none"/>
        </w:rPr>
      </w:pPr>
      <w:r>
        <w:rPr>
          <w:rFonts w:hint="eastAsia"/>
          <w:color w:val="auto"/>
          <w:highlight w:val="none"/>
        </w:rPr>
        <w:t>不得未经澄清、说明或者更正，直接将供应商响应文件作为无效处理。对不同文字文本响应文件的解释发生异议的，以中文文本为准。</w:t>
      </w:r>
    </w:p>
    <w:p w14:paraId="0E912017">
      <w:pPr>
        <w:ind w:firstLine="424" w:firstLineChars="177"/>
        <w:rPr>
          <w:color w:val="auto"/>
          <w:highlight w:val="none"/>
        </w:rPr>
      </w:pPr>
      <w:r>
        <w:rPr>
          <w:rFonts w:hint="eastAsia"/>
          <w:color w:val="auto"/>
          <w:highlight w:val="none"/>
        </w:rPr>
        <w:t>2.11终止询比采购活动。</w:t>
      </w:r>
    </w:p>
    <w:p w14:paraId="7088DDCE">
      <w:pPr>
        <w:ind w:firstLine="424" w:firstLineChars="177"/>
        <w:rPr>
          <w:color w:val="auto"/>
          <w:highlight w:val="none"/>
        </w:rPr>
      </w:pPr>
      <w:r>
        <w:rPr>
          <w:rFonts w:hint="eastAsia"/>
          <w:color w:val="auto"/>
          <w:highlight w:val="none"/>
        </w:rPr>
        <w:t>出现下列情形之一的，采购人或者采购代理机构应当终止询比采购活动，重新开展采购活动：</w:t>
      </w:r>
    </w:p>
    <w:p w14:paraId="4DB224AA">
      <w:pPr>
        <w:ind w:firstLine="424" w:firstLineChars="177"/>
        <w:rPr>
          <w:color w:val="auto"/>
          <w:highlight w:val="none"/>
        </w:rPr>
      </w:pPr>
      <w:r>
        <w:rPr>
          <w:rFonts w:hint="eastAsia"/>
          <w:color w:val="auto"/>
          <w:highlight w:val="none"/>
        </w:rPr>
        <w:t>（1）因情况变化，不再符合规定的询比采购方式适用情形的；</w:t>
      </w:r>
    </w:p>
    <w:p w14:paraId="46357F46">
      <w:pPr>
        <w:ind w:firstLine="424" w:firstLineChars="177"/>
        <w:rPr>
          <w:color w:val="auto"/>
          <w:highlight w:val="none"/>
        </w:rPr>
      </w:pPr>
      <w:r>
        <w:rPr>
          <w:rFonts w:hint="eastAsia"/>
          <w:color w:val="auto"/>
          <w:highlight w:val="none"/>
        </w:rPr>
        <w:t>（2）出现影响采购公正的违法、违规行为的；</w:t>
      </w:r>
    </w:p>
    <w:p w14:paraId="0D608164">
      <w:pPr>
        <w:ind w:firstLine="424" w:firstLineChars="177"/>
        <w:rPr>
          <w:color w:val="auto"/>
          <w:highlight w:val="none"/>
        </w:rPr>
      </w:pPr>
      <w:r>
        <w:rPr>
          <w:rFonts w:hint="eastAsia"/>
          <w:color w:val="auto"/>
          <w:highlight w:val="none"/>
        </w:rPr>
        <w:t>（3）采用公告邀请方式的采购项目，在采购过程中符合要求的供应商只剩1个，且认定明显缺乏竞争。</w:t>
      </w:r>
    </w:p>
    <w:p w14:paraId="4A508E74">
      <w:pPr>
        <w:pStyle w:val="4"/>
        <w:keepNext w:val="0"/>
        <w:keepLines w:val="0"/>
        <w:spacing w:before="0" w:after="0" w:line="360" w:lineRule="auto"/>
        <w:ind w:firstLine="472" w:firstLineChars="196"/>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 综合评分</w:t>
      </w:r>
    </w:p>
    <w:p w14:paraId="0F75C9AA">
      <w:pPr>
        <w:ind w:firstLine="480" w:firstLineChars="200"/>
        <w:rPr>
          <w:rFonts w:hint="eastAsia" w:ascii="仿宋" w:hAnsi="仿宋"/>
          <w:color w:val="auto"/>
          <w:highlight w:val="none"/>
        </w:rPr>
      </w:pPr>
      <w:r>
        <w:rPr>
          <w:rFonts w:hint="eastAsia" w:ascii="仿宋" w:hAnsi="仿宋"/>
          <w:color w:val="auto"/>
          <w:highlight w:val="none"/>
        </w:rPr>
        <w:t>综合评分明细表</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672"/>
        <w:gridCol w:w="5767"/>
        <w:gridCol w:w="1098"/>
      </w:tblGrid>
      <w:tr w14:paraId="42E6A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513" w:type="pct"/>
            <w:vAlign w:val="center"/>
          </w:tcPr>
          <w:p w14:paraId="34C64A36">
            <w:pPr>
              <w:jc w:val="center"/>
              <w:rPr>
                <w:rFonts w:hint="eastAsia" w:ascii="宋体" w:hAnsi="宋体" w:eastAsia="宋体" w:cs="宋体"/>
                <w:color w:val="auto"/>
                <w:sz w:val="21"/>
                <w:szCs w:val="21"/>
                <w:highlight w:val="none"/>
              </w:rPr>
            </w:pPr>
            <w:bookmarkStart w:id="231" w:name="OLE_LINK1"/>
            <w:r>
              <w:rPr>
                <w:rFonts w:hint="eastAsia" w:ascii="宋体" w:hAnsi="宋体" w:eastAsia="宋体" w:cs="宋体"/>
                <w:color w:val="auto"/>
                <w:sz w:val="21"/>
                <w:szCs w:val="21"/>
                <w:highlight w:val="none"/>
              </w:rPr>
              <w:t>项目及权重</w:t>
            </w:r>
          </w:p>
        </w:tc>
        <w:tc>
          <w:tcPr>
            <w:tcW w:w="879" w:type="pct"/>
            <w:vAlign w:val="center"/>
          </w:tcPr>
          <w:p w14:paraId="3619D01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评分因素</w:t>
            </w:r>
          </w:p>
        </w:tc>
        <w:tc>
          <w:tcPr>
            <w:tcW w:w="3031" w:type="pct"/>
            <w:vAlign w:val="center"/>
          </w:tcPr>
          <w:p w14:paraId="1750A700">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评分标准</w:t>
            </w:r>
          </w:p>
        </w:tc>
        <w:tc>
          <w:tcPr>
            <w:tcW w:w="578" w:type="pct"/>
            <w:vAlign w:val="center"/>
          </w:tcPr>
          <w:p w14:paraId="0C2357A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w:t>
            </w:r>
          </w:p>
        </w:tc>
      </w:tr>
      <w:tr w14:paraId="4902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pct"/>
            <w:vMerge w:val="restart"/>
            <w:vAlign w:val="center"/>
          </w:tcPr>
          <w:p w14:paraId="2658289D">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技术评分（</w:t>
            </w:r>
            <w:r>
              <w:rPr>
                <w:rFonts w:hint="eastAsia" w:ascii="宋体" w:hAnsi="宋体" w:eastAsia="宋体" w:cs="宋体"/>
                <w:color w:val="auto"/>
                <w:sz w:val="21"/>
                <w:szCs w:val="21"/>
                <w:highlight w:val="none"/>
                <w:lang w:val="en-US" w:eastAsia="zh-CN"/>
              </w:rPr>
              <w:t>60</w:t>
            </w:r>
            <w:r>
              <w:rPr>
                <w:rFonts w:hint="eastAsia" w:ascii="宋体" w:hAnsi="宋体" w:eastAsia="宋体" w:cs="宋体"/>
                <w:color w:val="auto"/>
                <w:sz w:val="21"/>
                <w:szCs w:val="21"/>
                <w:highlight w:val="none"/>
              </w:rPr>
              <w:t>%）</w:t>
            </w:r>
          </w:p>
        </w:tc>
        <w:tc>
          <w:tcPr>
            <w:tcW w:w="879" w:type="pct"/>
            <w:vAlign w:val="center"/>
          </w:tcPr>
          <w:p w14:paraId="1F1AE189">
            <w:pPr>
              <w:jc w:val="cente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项目实施团队</w:t>
            </w:r>
          </w:p>
        </w:tc>
        <w:tc>
          <w:tcPr>
            <w:tcW w:w="3031" w:type="pct"/>
            <w:vAlign w:val="center"/>
          </w:tcPr>
          <w:p w14:paraId="654AF7B8">
            <w:pPr>
              <w:pStyle w:val="101"/>
              <w:tabs>
                <w:tab w:val="left" w:pos="565"/>
              </w:tabs>
              <w:ind w:firstLine="0" w:firstLineChars="0"/>
              <w:jc w:val="left"/>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1.项目经理（项目负责人）：以项目负责人（项目经理）的身份参与的</w:t>
            </w:r>
            <w:bookmarkStart w:id="232" w:name="OLE_LINK11"/>
            <w:r>
              <w:rPr>
                <w:rFonts w:hint="eastAsia" w:ascii="仿宋_GB2312" w:hAnsi="宋体" w:eastAsia="仿宋_GB2312" w:cs="宋体"/>
                <w:color w:val="auto"/>
                <w:sz w:val="21"/>
                <w:szCs w:val="21"/>
                <w:highlight w:val="none"/>
              </w:rPr>
              <w:t>适航体系/4754研制保障体系类的咨询</w:t>
            </w:r>
            <w:bookmarkEnd w:id="232"/>
            <w:r>
              <w:rPr>
                <w:rFonts w:hint="eastAsia" w:ascii="仿宋_GB2312" w:hAnsi="宋体" w:eastAsia="仿宋_GB2312" w:cs="宋体"/>
                <w:color w:val="auto"/>
                <w:sz w:val="21"/>
                <w:szCs w:val="21"/>
                <w:highlight w:val="none"/>
              </w:rPr>
              <w:t>项目数量2个得2分，每增加1个加1分。本项最多得3分,少于2个不得分。</w:t>
            </w:r>
          </w:p>
          <w:p w14:paraId="080E3B78">
            <w:pPr>
              <w:pStyle w:val="101"/>
              <w:tabs>
                <w:tab w:val="left" w:pos="565"/>
              </w:tabs>
              <w:ind w:firstLine="0" w:firstLineChars="0"/>
              <w:jc w:val="left"/>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2.技术负责人：以项目负责人（项目经理）或技术负责人的身份参与的适航体系/4754研制保障体系类的咨询项目数量2个得3分，每增加1个加1分。本项最多得4分，少于2个不得分。</w:t>
            </w:r>
          </w:p>
          <w:p w14:paraId="250C141B">
            <w:pPr>
              <w:pStyle w:val="101"/>
              <w:tabs>
                <w:tab w:val="left" w:pos="565"/>
              </w:tabs>
              <w:ind w:firstLine="0" w:firstLineChars="0"/>
              <w:jc w:val="left"/>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注：</w:t>
            </w:r>
          </w:p>
          <w:p w14:paraId="5B6C1B69">
            <w:pPr>
              <w:pStyle w:val="101"/>
              <w:tabs>
                <w:tab w:val="left" w:pos="565"/>
              </w:tabs>
              <w:ind w:firstLine="0" w:firstLineChars="0"/>
              <w:jc w:val="left"/>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1.以上人员不重复计分。</w:t>
            </w:r>
          </w:p>
          <w:p w14:paraId="5D646F8C">
            <w:pPr>
              <w:pStyle w:val="101"/>
              <w:tabs>
                <w:tab w:val="left" w:pos="565"/>
              </w:tabs>
              <w:ind w:firstLine="0" w:firstLineChars="0"/>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2.提供以下资料</w:t>
            </w:r>
            <w:r>
              <w:rPr>
                <w:rFonts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rPr>
              <w:t>人员</w:t>
            </w:r>
            <w:r>
              <w:rPr>
                <w:rFonts w:hint="eastAsia" w:ascii="仿宋_GB2312" w:hAnsi="宋体" w:eastAsia="仿宋_GB2312" w:cs="宋体"/>
                <w:color w:val="auto"/>
                <w:sz w:val="21"/>
                <w:szCs w:val="21"/>
                <w:highlight w:val="none"/>
              </w:rPr>
              <w:t>简历（体现从业年限、工作内容）、合同案例（能体现相应人员）、</w:t>
            </w:r>
            <w:r>
              <w:rPr>
                <w:rFonts w:hint="eastAsia" w:ascii="仿宋_GB2312" w:hAnsi="仿宋_GB2312" w:eastAsia="仿宋_GB2312" w:cs="仿宋_GB2312"/>
                <w:color w:val="auto"/>
                <w:sz w:val="21"/>
                <w:szCs w:val="21"/>
                <w:highlight w:val="none"/>
              </w:rPr>
              <w:t>以及</w:t>
            </w:r>
            <w:r>
              <w:rPr>
                <w:rFonts w:ascii="仿宋_GB2312" w:hAnsi="仿宋_GB2312" w:eastAsia="仿宋_GB2312" w:cs="仿宋_GB2312"/>
                <w:color w:val="auto"/>
                <w:sz w:val="21"/>
                <w:szCs w:val="21"/>
                <w:highlight w:val="none"/>
              </w:rPr>
              <w:t>在职证明（在职证明包括：社保缴纳凭证或劳动合同或工资发放证明</w:t>
            </w:r>
            <w:r>
              <w:rPr>
                <w:rFonts w:hint="eastAsia" w:ascii="仿宋_GB2312" w:hAnsi="宋体" w:eastAsia="仿宋_GB2312" w:cs="宋体"/>
                <w:color w:val="auto"/>
                <w:sz w:val="21"/>
                <w:szCs w:val="21"/>
                <w:highlight w:val="none"/>
              </w:rPr>
              <w:t>）。未提供或提供不完整不得分。</w:t>
            </w:r>
          </w:p>
        </w:tc>
        <w:tc>
          <w:tcPr>
            <w:tcW w:w="578" w:type="pct"/>
            <w:vAlign w:val="center"/>
          </w:tcPr>
          <w:p w14:paraId="711836FB">
            <w:pPr>
              <w:jc w:val="cente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7</w:t>
            </w:r>
          </w:p>
        </w:tc>
      </w:tr>
      <w:tr w14:paraId="19C6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pct"/>
            <w:vMerge w:val="continue"/>
            <w:vAlign w:val="center"/>
          </w:tcPr>
          <w:p w14:paraId="74C44142">
            <w:pPr>
              <w:rPr>
                <w:rFonts w:hint="eastAsia" w:ascii="宋体" w:hAnsi="宋体" w:eastAsia="宋体" w:cs="宋体"/>
                <w:color w:val="auto"/>
                <w:sz w:val="21"/>
                <w:szCs w:val="21"/>
                <w:highlight w:val="none"/>
              </w:rPr>
            </w:pPr>
          </w:p>
        </w:tc>
        <w:tc>
          <w:tcPr>
            <w:tcW w:w="879" w:type="pct"/>
            <w:vAlign w:val="center"/>
          </w:tcPr>
          <w:p w14:paraId="28088334">
            <w:pPr>
              <w:jc w:val="cente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项目管理计划</w:t>
            </w:r>
          </w:p>
        </w:tc>
        <w:tc>
          <w:tcPr>
            <w:tcW w:w="3031" w:type="pct"/>
            <w:vAlign w:val="center"/>
          </w:tcPr>
          <w:p w14:paraId="699E300A">
            <w:pPr>
              <w:pStyle w:val="101"/>
              <w:tabs>
                <w:tab w:val="left" w:pos="565"/>
              </w:tabs>
              <w:ind w:firstLine="0" w:firstLineChars="0"/>
              <w:jc w:val="left"/>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供应商</w:t>
            </w:r>
            <w:r>
              <w:rPr>
                <w:rFonts w:ascii="仿宋_GB2312" w:hAnsi="宋体" w:eastAsia="仿宋_GB2312" w:cs="宋体"/>
                <w:color w:val="auto"/>
                <w:sz w:val="21"/>
                <w:szCs w:val="21"/>
                <w:highlight w:val="none"/>
              </w:rPr>
              <w:t>应根据本项目服务内容要求并结合自身实际情况，编制项目管理方案。包括以下内容：①</w:t>
            </w:r>
            <w:r>
              <w:rPr>
                <w:rFonts w:hint="eastAsia" w:ascii="仿宋_GB2312" w:hAnsi="宋体" w:eastAsia="仿宋_GB2312" w:cs="宋体"/>
                <w:color w:val="auto"/>
                <w:sz w:val="21"/>
                <w:szCs w:val="21"/>
                <w:highlight w:val="none"/>
              </w:rPr>
              <w:t>项目进度安排</w:t>
            </w:r>
            <w:r>
              <w:rPr>
                <w:rFonts w:ascii="仿宋_GB2312" w:hAnsi="宋体" w:eastAsia="仿宋_GB2312" w:cs="宋体"/>
                <w:color w:val="auto"/>
                <w:sz w:val="21"/>
                <w:szCs w:val="21"/>
                <w:highlight w:val="none"/>
              </w:rPr>
              <w:t>；②</w:t>
            </w:r>
            <w:r>
              <w:rPr>
                <w:rFonts w:hint="eastAsia" w:ascii="仿宋_GB2312" w:hAnsi="宋体" w:eastAsia="仿宋_GB2312" w:cs="宋体"/>
                <w:color w:val="auto"/>
                <w:sz w:val="21"/>
                <w:szCs w:val="21"/>
                <w:highlight w:val="none"/>
              </w:rPr>
              <w:t>里程碑节点</w:t>
            </w:r>
            <w:r>
              <w:rPr>
                <w:rFonts w:ascii="仿宋_GB2312" w:hAnsi="宋体" w:eastAsia="仿宋_GB2312" w:cs="宋体"/>
                <w:color w:val="auto"/>
                <w:sz w:val="21"/>
                <w:szCs w:val="21"/>
                <w:highlight w:val="none"/>
              </w:rPr>
              <w:t>；③工作活动及交付物；④资源投入、成本估算、沟通机制、风险应对策略；⑤进度汇报机制和关键评审会议制度进行综合评审，上述所有方案完全满足项目需求的得</w:t>
            </w:r>
            <w:r>
              <w:rPr>
                <w:rFonts w:hint="eastAsia" w:ascii="仿宋_GB2312" w:hAnsi="宋体" w:eastAsia="仿宋_GB2312" w:cs="宋体"/>
                <w:color w:val="auto"/>
                <w:sz w:val="21"/>
                <w:szCs w:val="21"/>
                <w:highlight w:val="none"/>
              </w:rPr>
              <w:t>10</w:t>
            </w:r>
            <w:r>
              <w:rPr>
                <w:rFonts w:ascii="仿宋_GB2312" w:hAnsi="宋体" w:eastAsia="仿宋_GB2312" w:cs="宋体"/>
                <w:color w:val="auto"/>
                <w:sz w:val="21"/>
                <w:szCs w:val="21"/>
                <w:highlight w:val="none"/>
              </w:rPr>
              <w:t>分，每有一项内容缺项或漏项（具体是指：所涉及的对项目实施方案中的5个单项方案）的扣</w:t>
            </w:r>
            <w:r>
              <w:rPr>
                <w:rFonts w:hint="eastAsia" w:ascii="仿宋_GB2312" w:hAnsi="宋体" w:eastAsia="仿宋_GB2312" w:cs="宋体"/>
                <w:color w:val="auto"/>
                <w:sz w:val="21"/>
                <w:szCs w:val="21"/>
                <w:highlight w:val="none"/>
              </w:rPr>
              <w:t>2</w:t>
            </w:r>
            <w:r>
              <w:rPr>
                <w:rFonts w:ascii="仿宋_GB2312" w:hAnsi="宋体" w:eastAsia="仿宋_GB2312" w:cs="宋体"/>
                <w:color w:val="auto"/>
                <w:sz w:val="21"/>
                <w:szCs w:val="21"/>
                <w:highlight w:val="none"/>
              </w:rPr>
              <w:t>分，扣完为止。每个对应上述5个单项方案中的内容存在不足或缺陷的，每有一处/项扣</w:t>
            </w:r>
            <w:r>
              <w:rPr>
                <w:rFonts w:hint="eastAsia" w:ascii="仿宋_GB2312" w:hAnsi="宋体" w:eastAsia="仿宋_GB2312" w:cs="宋体"/>
                <w:color w:val="auto"/>
                <w:sz w:val="21"/>
                <w:szCs w:val="21"/>
                <w:highlight w:val="none"/>
              </w:rPr>
              <w:t>1</w:t>
            </w:r>
            <w:r>
              <w:rPr>
                <w:rFonts w:ascii="仿宋_GB2312" w:hAnsi="宋体" w:eastAsia="仿宋_GB2312" w:cs="宋体"/>
                <w:color w:val="auto"/>
                <w:sz w:val="21"/>
                <w:szCs w:val="21"/>
                <w:highlight w:val="none"/>
              </w:rPr>
              <w:t>分（单项内容要素扣减分值不超过</w:t>
            </w:r>
            <w:r>
              <w:rPr>
                <w:rFonts w:hint="eastAsia" w:ascii="仿宋_GB2312" w:hAnsi="宋体" w:eastAsia="仿宋_GB2312" w:cs="宋体"/>
                <w:color w:val="auto"/>
                <w:sz w:val="21"/>
                <w:szCs w:val="21"/>
                <w:highlight w:val="none"/>
              </w:rPr>
              <w:t>2</w:t>
            </w:r>
            <w:r>
              <w:rPr>
                <w:rFonts w:ascii="仿宋_GB2312" w:hAnsi="宋体" w:eastAsia="仿宋_GB2312" w:cs="宋体"/>
                <w:color w:val="auto"/>
                <w:sz w:val="21"/>
                <w:szCs w:val="21"/>
                <w:highlight w:val="none"/>
              </w:rPr>
              <w:t>分），扣完为止。</w:t>
            </w:r>
          </w:p>
        </w:tc>
        <w:tc>
          <w:tcPr>
            <w:tcW w:w="578" w:type="pct"/>
            <w:vAlign w:val="center"/>
          </w:tcPr>
          <w:p w14:paraId="74A5DAC7">
            <w:pPr>
              <w:jc w:val="cente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10</w:t>
            </w:r>
          </w:p>
        </w:tc>
      </w:tr>
      <w:tr w14:paraId="73A5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pct"/>
            <w:vMerge w:val="continue"/>
            <w:vAlign w:val="center"/>
          </w:tcPr>
          <w:p w14:paraId="018E9EB3">
            <w:pPr>
              <w:rPr>
                <w:rFonts w:hint="eastAsia" w:ascii="宋体" w:hAnsi="宋体" w:eastAsia="宋体" w:cs="宋体"/>
                <w:color w:val="auto"/>
                <w:sz w:val="21"/>
                <w:szCs w:val="21"/>
                <w:highlight w:val="none"/>
              </w:rPr>
            </w:pPr>
          </w:p>
        </w:tc>
        <w:tc>
          <w:tcPr>
            <w:tcW w:w="879" w:type="pct"/>
            <w:vAlign w:val="center"/>
          </w:tcPr>
          <w:p w14:paraId="576AF1AC">
            <w:pPr>
              <w:jc w:val="cente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项目技术方案</w:t>
            </w:r>
          </w:p>
        </w:tc>
        <w:tc>
          <w:tcPr>
            <w:tcW w:w="3031" w:type="pct"/>
            <w:vAlign w:val="center"/>
          </w:tcPr>
          <w:p w14:paraId="3CC6399D">
            <w:pPr>
              <w:pStyle w:val="101"/>
              <w:tabs>
                <w:tab w:val="left" w:pos="565"/>
              </w:tabs>
              <w:ind w:firstLine="0" w:firstLineChars="0"/>
              <w:jc w:val="left"/>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供应商应根据本项目服务内容要求并结合自身实际情况，编制项目技术方案。包括以下内容：①项目建设总体思路、体系整体架构；②项目重难点识别及总体应对思路；③建设落地措施及优化；④项目成果管理及移交；⑤技术落地稳态保障和质量保障措施进行综合评审，上述所有方案完全满足项目需求的得20分，每有一项内容缺项或漏项（具体是指：所涉及的对项目实施方案中的5个单项方案）的扣4分，扣完为止。每个对应上述5个单项方案中的内容存在不足或缺陷的，每有一处/项扣2分（单项内容要素扣减分值不超过4分），扣完为止。</w:t>
            </w:r>
          </w:p>
        </w:tc>
        <w:tc>
          <w:tcPr>
            <w:tcW w:w="578" w:type="pct"/>
            <w:vAlign w:val="center"/>
          </w:tcPr>
          <w:p w14:paraId="1B9D1115">
            <w:pPr>
              <w:jc w:val="cente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20</w:t>
            </w:r>
          </w:p>
        </w:tc>
      </w:tr>
      <w:tr w14:paraId="65DEF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pct"/>
            <w:vMerge w:val="continue"/>
            <w:vAlign w:val="center"/>
          </w:tcPr>
          <w:p w14:paraId="2A48B513">
            <w:pPr>
              <w:rPr>
                <w:rFonts w:hint="eastAsia" w:ascii="宋体" w:hAnsi="宋体" w:eastAsia="宋体" w:cs="宋体"/>
                <w:color w:val="auto"/>
                <w:sz w:val="21"/>
                <w:szCs w:val="21"/>
                <w:highlight w:val="none"/>
              </w:rPr>
            </w:pPr>
          </w:p>
        </w:tc>
        <w:tc>
          <w:tcPr>
            <w:tcW w:w="879" w:type="pct"/>
            <w:vAlign w:val="center"/>
          </w:tcPr>
          <w:p w14:paraId="42575625">
            <w:pPr>
              <w:rPr>
                <w:rFonts w:hint="eastAsia" w:ascii="仿宋_GB2312" w:hAnsi="宋体" w:eastAsia="仿宋_GB2312" w:cs="宋体"/>
                <w:color w:val="auto"/>
                <w:sz w:val="21"/>
                <w:szCs w:val="21"/>
                <w:highlight w:val="none"/>
              </w:rPr>
            </w:pPr>
            <w:r>
              <w:rPr>
                <w:rFonts w:ascii="仿宋_GB2312" w:hAnsi="宋体" w:eastAsia="仿宋_GB2312" w:cs="宋体"/>
                <w:color w:val="auto"/>
                <w:sz w:val="21"/>
                <w:szCs w:val="21"/>
                <w:highlight w:val="none"/>
              </w:rPr>
              <w:t>培训及售后服务方案</w:t>
            </w:r>
          </w:p>
        </w:tc>
        <w:tc>
          <w:tcPr>
            <w:tcW w:w="3031" w:type="pct"/>
            <w:vAlign w:val="center"/>
          </w:tcPr>
          <w:p w14:paraId="2B90A4C8">
            <w:pP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供应商应根据本项目技术及服务内容要求并结合自身实际情况及对项目所在地域环境分布的了解，编制项目后续服务方案，应保证服务质量满足相关标准，包括以下内容：①服务机构设置；②日常技术答疑服务；③响应机制及措施；④培训实施方案（含参训范围、课程内容设置计划）进行综合评审，上述所有方案完全满足项目需求的得14分，每有一项内容缺项或漏项的扣3.5分，扣完为止。每个对应上,4个单项方案中的内容存在不足或缺陷的，每有一处/项扣1.75分（单项内容要素扣减分值不超过3.5分），扣完为止。</w:t>
            </w:r>
          </w:p>
          <w:p w14:paraId="670E503D">
            <w:pP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注：1、内容满足需求是指：①内容与项目服务需求吻合，有具体详细的阐述；②阐述从实际出发，切合项目背景、项目需求并提出专业技术建议或者解决方案；③内容符合国家、地方、行业标准、行业惯例以及项目特点；④内容清楚明了、表述规范、含义准确。 2、①不足具体是指：对应单项中的内容缺失（不完整）、与对应单项的要求缺少重要节点（如仅有框架或标题、单项内容仅复制询比要求的内容、涉及内容无重点）；②缺陷具体是指：单项方案中出现套用其他项目方案或内容、内容中出现前后描述不一致现象或语言描述出现有错误、内容涉及适用的规范及标准（方法）出现错误、实施地点区域错误等任意一种情形。</w:t>
            </w:r>
          </w:p>
        </w:tc>
        <w:tc>
          <w:tcPr>
            <w:tcW w:w="578" w:type="pct"/>
            <w:vAlign w:val="center"/>
          </w:tcPr>
          <w:p w14:paraId="2B292E38">
            <w:pPr>
              <w:jc w:val="cente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14</w:t>
            </w:r>
          </w:p>
        </w:tc>
      </w:tr>
      <w:tr w14:paraId="23F4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pct"/>
            <w:vMerge w:val="continue"/>
            <w:vAlign w:val="center"/>
          </w:tcPr>
          <w:p w14:paraId="34AC67DC">
            <w:pPr>
              <w:rPr>
                <w:rFonts w:hint="eastAsia" w:ascii="宋体" w:hAnsi="宋体" w:eastAsia="宋体" w:cs="宋体"/>
                <w:color w:val="auto"/>
                <w:sz w:val="21"/>
                <w:szCs w:val="21"/>
                <w:highlight w:val="none"/>
              </w:rPr>
            </w:pPr>
          </w:p>
        </w:tc>
        <w:tc>
          <w:tcPr>
            <w:tcW w:w="879" w:type="pct"/>
            <w:vAlign w:val="center"/>
          </w:tcPr>
          <w:p w14:paraId="551938CA">
            <w:pPr>
              <w:jc w:val="cente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履约经验</w:t>
            </w:r>
          </w:p>
        </w:tc>
        <w:tc>
          <w:tcPr>
            <w:tcW w:w="3031" w:type="pct"/>
            <w:vAlign w:val="center"/>
          </w:tcPr>
          <w:p w14:paraId="43A47D5E">
            <w:pP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具有2020年1月1日至今，在满足资格条件业绩基础上，供应商每增加一个航空领域适航合规体系建设、适航审定、质量保证体系搭建或民航/空管/无人机相关适航咨询服务业绩案例的得3分，最高9分。</w:t>
            </w:r>
          </w:p>
          <w:p w14:paraId="186A4CC7">
            <w:pP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注：提供合同复印件，判定时间以合同签订时间为准。</w:t>
            </w:r>
          </w:p>
        </w:tc>
        <w:tc>
          <w:tcPr>
            <w:tcW w:w="578" w:type="pct"/>
            <w:vAlign w:val="center"/>
          </w:tcPr>
          <w:p w14:paraId="411028AA">
            <w:pPr>
              <w:jc w:val="cente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9</w:t>
            </w:r>
          </w:p>
        </w:tc>
      </w:tr>
      <w:tr w14:paraId="6EE2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3" w:type="pct"/>
            <w:vAlign w:val="center"/>
          </w:tcPr>
          <w:p w14:paraId="00B68F7F">
            <w:pP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询比报价评分标准40%</w:t>
            </w:r>
          </w:p>
        </w:tc>
        <w:tc>
          <w:tcPr>
            <w:tcW w:w="879" w:type="pct"/>
            <w:vAlign w:val="center"/>
          </w:tcPr>
          <w:p w14:paraId="76AB9F19">
            <w:pPr>
              <w:jc w:val="cente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报价</w:t>
            </w:r>
          </w:p>
        </w:tc>
        <w:tc>
          <w:tcPr>
            <w:tcW w:w="3031" w:type="pct"/>
            <w:vAlign w:val="center"/>
          </w:tcPr>
          <w:p w14:paraId="3103897B">
            <w:pP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1.基准价=有效供应商有效报价的平均值；</w:t>
            </w:r>
          </w:p>
          <w:p w14:paraId="6FBDFB63">
            <w:pP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2.价格分计算方法(保留两位小数，第三位四舍五入计算):</w:t>
            </w:r>
          </w:p>
          <w:p w14:paraId="6661FEA5">
            <w:pP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A.有效报价低于或等于基准价</w:t>
            </w:r>
          </w:p>
          <w:p w14:paraId="5872FF8B">
            <w:pP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报价得分=(1-|报价-基准价|/基准价)×40</w:t>
            </w:r>
          </w:p>
          <w:p w14:paraId="4EC25E26">
            <w:pP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B.有效报价高于基准价</w:t>
            </w:r>
          </w:p>
          <w:p w14:paraId="11A2ABCD">
            <w:pP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报价得分=(1-|报价-基准价|/基准价)×40×0.95</w:t>
            </w:r>
          </w:p>
          <w:p w14:paraId="28A5A2B4">
            <w:pPr>
              <w:rPr>
                <w:rFonts w:hint="eastAsia" w:ascii="仿宋_GB2312" w:hAnsi="宋体" w:eastAsia="仿宋_GB2312" w:cs="宋体"/>
                <w:color w:val="auto"/>
                <w:sz w:val="21"/>
                <w:szCs w:val="21"/>
                <w:highlight w:val="none"/>
              </w:rPr>
            </w:pPr>
            <w:r>
              <w:rPr>
                <w:rFonts w:hint="eastAsia" w:ascii="仿宋_GB2312" w:hAnsi="宋体" w:eastAsia="仿宋_GB2312" w:cs="宋体"/>
                <w:color w:val="auto"/>
                <w:sz w:val="21"/>
                <w:szCs w:val="21"/>
                <w:highlight w:val="none"/>
              </w:rPr>
              <w:t>注：供应商报价明显低于其他供应商报价的，有可能影响项目质量或不能诚信履约的，评审小组有权要求其在评审现场合理的时间内提供书面说明，必要时提供相应证明材料;供应商不能证明其报价合理性的，评审小组应当将其作为无效报价处理。</w:t>
            </w:r>
          </w:p>
        </w:tc>
        <w:tc>
          <w:tcPr>
            <w:tcW w:w="578" w:type="pct"/>
            <w:vAlign w:val="center"/>
          </w:tcPr>
          <w:p w14:paraId="755F94F3">
            <w:pPr>
              <w:rPr>
                <w:rFonts w:hint="eastAsia" w:ascii="宋体" w:hAnsi="宋体" w:eastAsia="宋体" w:cs="宋体"/>
                <w:color w:val="auto"/>
                <w:sz w:val="21"/>
                <w:szCs w:val="21"/>
                <w:highlight w:val="none"/>
              </w:rPr>
            </w:pPr>
            <w:r>
              <w:rPr>
                <w:rFonts w:hint="eastAsia" w:ascii="仿宋_GB2312" w:hAnsi="宋体" w:eastAsia="仿宋_GB2312" w:cs="宋体"/>
                <w:color w:val="auto"/>
                <w:sz w:val="21"/>
                <w:szCs w:val="21"/>
                <w:highlight w:val="none"/>
              </w:rPr>
              <w:t>40</w:t>
            </w:r>
          </w:p>
        </w:tc>
      </w:tr>
      <w:bookmarkEnd w:id="231"/>
    </w:tbl>
    <w:p w14:paraId="75BF1AC5">
      <w:pPr>
        <w:pStyle w:val="4"/>
        <w:keepNext w:val="0"/>
        <w:keepLines w:val="0"/>
        <w:spacing w:before="0" w:after="0" w:line="360" w:lineRule="auto"/>
        <w:ind w:firstLine="472" w:firstLineChars="196"/>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4．评审纪律及注意事项</w:t>
      </w:r>
    </w:p>
    <w:p w14:paraId="3F72F3DF">
      <w:pPr>
        <w:tabs>
          <w:tab w:val="left" w:pos="851"/>
        </w:tabs>
        <w:ind w:firstLine="480" w:firstLineChars="200"/>
        <w:rPr>
          <w:rFonts w:hint="eastAsia" w:ascii="仿宋" w:hAnsi="仿宋"/>
          <w:color w:val="auto"/>
          <w:highlight w:val="none"/>
        </w:rPr>
      </w:pPr>
      <w:r>
        <w:rPr>
          <w:rFonts w:hint="eastAsia" w:ascii="仿宋" w:hAnsi="仿宋"/>
          <w:color w:val="auto"/>
          <w:highlight w:val="none"/>
        </w:rPr>
        <w:t>4.1评审小组内部讨论的情况和意见必须保密，任何人不得以任何形式透露给供应商或与供应商有关的单位或个人。</w:t>
      </w:r>
    </w:p>
    <w:p w14:paraId="3802990A">
      <w:pPr>
        <w:tabs>
          <w:tab w:val="left" w:pos="851"/>
        </w:tabs>
        <w:ind w:firstLine="480" w:firstLineChars="200"/>
        <w:rPr>
          <w:rFonts w:hint="eastAsia" w:ascii="仿宋" w:hAnsi="仿宋"/>
          <w:color w:val="auto"/>
          <w:highlight w:val="none"/>
        </w:rPr>
      </w:pPr>
      <w:r>
        <w:rPr>
          <w:rFonts w:hint="eastAsia" w:ascii="仿宋" w:hAnsi="仿宋"/>
          <w:color w:val="auto"/>
          <w:highlight w:val="none"/>
        </w:rPr>
        <w:t>4.2在评审过程中，供应商不得以任何形式对评审小组成员进行旨在影响评审结果的私下接触，否则将取消其响应资格。</w:t>
      </w:r>
    </w:p>
    <w:p w14:paraId="56B5E51B">
      <w:pPr>
        <w:tabs>
          <w:tab w:val="left" w:pos="851"/>
        </w:tabs>
        <w:ind w:firstLine="480" w:firstLineChars="200"/>
        <w:rPr>
          <w:rFonts w:hint="eastAsia" w:ascii="仿宋" w:hAnsi="仿宋"/>
          <w:color w:val="auto"/>
          <w:highlight w:val="none"/>
        </w:rPr>
      </w:pPr>
      <w:r>
        <w:rPr>
          <w:rFonts w:hint="eastAsia" w:ascii="仿宋" w:hAnsi="仿宋"/>
          <w:color w:val="auto"/>
          <w:highlight w:val="none"/>
        </w:rPr>
        <w:t>4.3对各供应商的商业秘密，评审小组成员应予以保密，不得泄露给其他供应商。</w:t>
      </w:r>
    </w:p>
    <w:p w14:paraId="1B2319CC">
      <w:pPr>
        <w:tabs>
          <w:tab w:val="left" w:pos="851"/>
        </w:tabs>
        <w:ind w:firstLine="480" w:firstLineChars="200"/>
        <w:rPr>
          <w:rFonts w:hint="eastAsia" w:ascii="仿宋" w:hAnsi="仿宋"/>
          <w:color w:val="auto"/>
          <w:highlight w:val="none"/>
        </w:rPr>
      </w:pPr>
      <w:r>
        <w:rPr>
          <w:rFonts w:hint="eastAsia" w:ascii="仿宋" w:hAnsi="仿宋"/>
          <w:color w:val="auto"/>
          <w:highlight w:val="none"/>
        </w:rPr>
        <w:t>4.4评审小组独立评判，推荐成交候选人，并写出书面报告。</w:t>
      </w:r>
    </w:p>
    <w:p w14:paraId="2CA16A8C">
      <w:pPr>
        <w:pStyle w:val="4"/>
        <w:keepNext w:val="0"/>
        <w:keepLines w:val="0"/>
        <w:spacing w:before="0" w:after="0" w:line="360" w:lineRule="auto"/>
        <w:ind w:left="422" w:leftChars="176"/>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5.评审小组在采购活动中承担以下义务：</w:t>
      </w:r>
    </w:p>
    <w:p w14:paraId="4781429E">
      <w:pPr>
        <w:tabs>
          <w:tab w:val="left" w:pos="7665"/>
        </w:tabs>
        <w:ind w:firstLine="480" w:firstLineChars="200"/>
        <w:rPr>
          <w:rFonts w:hint="eastAsia" w:ascii="仿宋" w:hAnsi="仿宋"/>
          <w:color w:val="auto"/>
          <w:highlight w:val="none"/>
        </w:rPr>
      </w:pPr>
      <w:r>
        <w:rPr>
          <w:rFonts w:hint="eastAsia" w:ascii="仿宋" w:hAnsi="仿宋"/>
          <w:color w:val="auto"/>
          <w:highlight w:val="none"/>
        </w:rPr>
        <w:t>5.1遵守评审工作纪律；</w:t>
      </w:r>
    </w:p>
    <w:p w14:paraId="44E5855C">
      <w:pPr>
        <w:tabs>
          <w:tab w:val="left" w:pos="7665"/>
        </w:tabs>
        <w:ind w:firstLine="480" w:firstLineChars="200"/>
        <w:rPr>
          <w:rFonts w:hint="eastAsia" w:ascii="仿宋" w:hAnsi="仿宋"/>
          <w:color w:val="auto"/>
          <w:highlight w:val="none"/>
        </w:rPr>
      </w:pPr>
      <w:r>
        <w:rPr>
          <w:rFonts w:hint="eastAsia" w:ascii="仿宋" w:hAnsi="仿宋"/>
          <w:color w:val="auto"/>
          <w:highlight w:val="none"/>
        </w:rPr>
        <w:t>5.2按照客观、公正、审慎的原则，根据询比文件规定的评审程序、评审方法和评审标准进行独立评审；</w:t>
      </w:r>
    </w:p>
    <w:p w14:paraId="3439EBB8">
      <w:pPr>
        <w:tabs>
          <w:tab w:val="left" w:pos="7665"/>
        </w:tabs>
        <w:ind w:firstLine="480" w:firstLineChars="200"/>
        <w:rPr>
          <w:rFonts w:hint="eastAsia" w:ascii="仿宋" w:hAnsi="仿宋"/>
          <w:color w:val="auto"/>
          <w:highlight w:val="none"/>
        </w:rPr>
      </w:pPr>
      <w:r>
        <w:rPr>
          <w:rFonts w:hint="eastAsia" w:ascii="仿宋" w:hAnsi="仿宋"/>
          <w:color w:val="auto"/>
          <w:highlight w:val="none"/>
        </w:rPr>
        <w:t>5.3不得泄露评审文件、评审情况和在评审过程中获悉的商业秘密；</w:t>
      </w:r>
    </w:p>
    <w:p w14:paraId="2D14CEC2">
      <w:pPr>
        <w:tabs>
          <w:tab w:val="left" w:pos="7665"/>
        </w:tabs>
        <w:ind w:firstLine="480" w:firstLineChars="200"/>
        <w:rPr>
          <w:rFonts w:hint="eastAsia" w:ascii="仿宋" w:hAnsi="仿宋"/>
          <w:color w:val="auto"/>
          <w:highlight w:val="none"/>
        </w:rPr>
      </w:pPr>
      <w:r>
        <w:rPr>
          <w:rFonts w:hint="eastAsia" w:ascii="仿宋" w:hAnsi="仿宋"/>
          <w:color w:val="auto"/>
          <w:highlight w:val="none"/>
        </w:rPr>
        <w:t>5.4及时向监督管理部门报告评审过程中发现的采购人、采购代理机构向评审专家做倾向性、误导性的解释或者说明，以及供应商行贿、提供虚假材料或者串通等违法行为；</w:t>
      </w:r>
    </w:p>
    <w:p w14:paraId="124CA4F2">
      <w:pPr>
        <w:tabs>
          <w:tab w:val="left" w:pos="7665"/>
        </w:tabs>
        <w:ind w:firstLine="480" w:firstLineChars="200"/>
        <w:rPr>
          <w:rFonts w:hint="eastAsia" w:ascii="仿宋" w:hAnsi="仿宋"/>
          <w:color w:val="auto"/>
          <w:highlight w:val="none"/>
        </w:rPr>
      </w:pPr>
      <w:r>
        <w:rPr>
          <w:rFonts w:hint="eastAsia" w:ascii="仿宋" w:hAnsi="仿宋"/>
          <w:color w:val="auto"/>
          <w:highlight w:val="none"/>
        </w:rPr>
        <w:t>5.5及时向有关部门举报在评审过程中受到非法干预的情况；</w:t>
      </w:r>
    </w:p>
    <w:p w14:paraId="2160A1CC">
      <w:pPr>
        <w:tabs>
          <w:tab w:val="left" w:pos="7665"/>
        </w:tabs>
        <w:ind w:firstLine="480" w:firstLineChars="200"/>
        <w:rPr>
          <w:rFonts w:hint="eastAsia" w:ascii="仿宋" w:hAnsi="仿宋"/>
          <w:color w:val="auto"/>
          <w:highlight w:val="none"/>
        </w:rPr>
      </w:pPr>
      <w:r>
        <w:rPr>
          <w:rFonts w:hint="eastAsia" w:ascii="仿宋" w:hAnsi="仿宋"/>
          <w:color w:val="auto"/>
          <w:highlight w:val="none"/>
        </w:rPr>
        <w:t>5.6配合答复处理供应商的询问、质疑和投诉等事项；</w:t>
      </w:r>
    </w:p>
    <w:p w14:paraId="132BC656">
      <w:pPr>
        <w:tabs>
          <w:tab w:val="left" w:pos="7665"/>
        </w:tabs>
        <w:ind w:firstLine="480" w:firstLineChars="200"/>
        <w:rPr>
          <w:rFonts w:hint="eastAsia" w:ascii="仿宋" w:hAnsi="仿宋"/>
          <w:color w:val="auto"/>
          <w:highlight w:val="none"/>
        </w:rPr>
      </w:pPr>
      <w:r>
        <w:rPr>
          <w:rFonts w:hint="eastAsia" w:ascii="仿宋" w:hAnsi="仿宋"/>
          <w:color w:val="auto"/>
          <w:highlight w:val="none"/>
        </w:rPr>
        <w:t>5.7法律、法规和规章规定的其他义务。</w:t>
      </w:r>
    </w:p>
    <w:p w14:paraId="11647FB3">
      <w:pPr>
        <w:pStyle w:val="4"/>
        <w:keepNext w:val="0"/>
        <w:keepLines w:val="0"/>
        <w:spacing w:before="0" w:after="0" w:line="360" w:lineRule="auto"/>
        <w:ind w:firstLine="424" w:firstLineChars="176"/>
        <w:rPr>
          <w:rFonts w:hint="eastAsia" w:ascii="仿宋" w:hAnsi="仿宋" w:eastAsia="仿宋"/>
          <w:color w:val="auto"/>
          <w:sz w:val="24"/>
          <w:szCs w:val="24"/>
          <w:highlight w:val="none"/>
        </w:rPr>
      </w:pPr>
      <w:r>
        <w:rPr>
          <w:rFonts w:hint="eastAsia" w:ascii="仿宋" w:hAnsi="仿宋" w:eastAsia="仿宋"/>
          <w:color w:val="auto"/>
          <w:sz w:val="24"/>
          <w:szCs w:val="24"/>
          <w:highlight w:val="none"/>
        </w:rPr>
        <w:t>6.评审小组成员在采购活动中应当遵守以下工作纪律：</w:t>
      </w:r>
    </w:p>
    <w:p w14:paraId="5783C12E">
      <w:pPr>
        <w:tabs>
          <w:tab w:val="left" w:pos="7665"/>
        </w:tabs>
        <w:ind w:firstLine="480" w:firstLineChars="200"/>
        <w:rPr>
          <w:rFonts w:hint="eastAsia" w:ascii="仿宋" w:hAnsi="仿宋"/>
          <w:color w:val="auto"/>
          <w:highlight w:val="none"/>
        </w:rPr>
      </w:pPr>
      <w:r>
        <w:rPr>
          <w:rFonts w:hint="eastAsia" w:ascii="仿宋" w:hAnsi="仿宋"/>
          <w:color w:val="auto"/>
          <w:highlight w:val="none"/>
        </w:rPr>
        <w:t>6.1评审前，应当将通讯工具或者相关电子设备交由采购代理机构统一保管；</w:t>
      </w:r>
    </w:p>
    <w:p w14:paraId="7496E2AA">
      <w:pPr>
        <w:tabs>
          <w:tab w:val="left" w:pos="7665"/>
        </w:tabs>
        <w:ind w:firstLine="480" w:firstLineChars="200"/>
        <w:rPr>
          <w:rFonts w:hint="eastAsia" w:ascii="仿宋" w:hAnsi="仿宋"/>
          <w:color w:val="auto"/>
          <w:highlight w:val="none"/>
        </w:rPr>
      </w:pPr>
      <w:r>
        <w:rPr>
          <w:rFonts w:hint="eastAsia" w:ascii="仿宋" w:hAnsi="仿宋"/>
          <w:color w:val="auto"/>
          <w:highlight w:val="none"/>
        </w:rPr>
        <w:t>6.2评审过程中，不得与外界联系，因发生不可预见情况，确实需要与外界联系的，应当在监督人员监督之下办理；</w:t>
      </w:r>
    </w:p>
    <w:p w14:paraId="5B82959B">
      <w:pPr>
        <w:tabs>
          <w:tab w:val="left" w:pos="7665"/>
        </w:tabs>
        <w:ind w:firstLine="480" w:firstLineChars="200"/>
        <w:rPr>
          <w:rFonts w:hint="eastAsia" w:ascii="仿宋" w:hAnsi="仿宋"/>
          <w:color w:val="auto"/>
          <w:highlight w:val="none"/>
        </w:rPr>
      </w:pPr>
      <w:r>
        <w:rPr>
          <w:rFonts w:hint="eastAsia" w:ascii="仿宋" w:hAnsi="仿宋"/>
          <w:color w:val="auto"/>
          <w:highlight w:val="none"/>
        </w:rPr>
        <w:t>6.3评审过程中，不得发表影响评审公正的倾向性、歧视性言论，不得明示或暗示供应商在澄清时表达与其响应文件原义不同的意见，不得以询比文件没有规定的评审方法和标准作为评审的依据，不得修改或者细化评审程序、评审方法、评审因素和评审标准，不得违规撰写评审意见，不得拒绝对自己的评审意见签字确认；</w:t>
      </w:r>
    </w:p>
    <w:p w14:paraId="3BB25345">
      <w:pPr>
        <w:tabs>
          <w:tab w:val="left" w:pos="7665"/>
        </w:tabs>
        <w:ind w:firstLine="480" w:firstLineChars="200"/>
        <w:rPr>
          <w:rFonts w:hint="eastAsia" w:ascii="仿宋" w:hAnsi="仿宋"/>
          <w:color w:val="auto"/>
          <w:highlight w:val="none"/>
        </w:rPr>
      </w:pPr>
      <w:r>
        <w:rPr>
          <w:rFonts w:hint="eastAsia" w:ascii="仿宋" w:hAnsi="仿宋"/>
          <w:color w:val="auto"/>
          <w:highlight w:val="none"/>
        </w:rPr>
        <w:t>6.4在评审过程中和评审结束后，不得记录、复制或带走任何评审资料，不得向外界透露评审内容；</w:t>
      </w:r>
    </w:p>
    <w:p w14:paraId="4331507D">
      <w:pPr>
        <w:tabs>
          <w:tab w:val="left" w:pos="7665"/>
        </w:tabs>
        <w:ind w:firstLine="480" w:firstLineChars="200"/>
        <w:rPr>
          <w:rFonts w:hint="eastAsia" w:ascii="仿宋" w:hAnsi="仿宋"/>
          <w:color w:val="auto"/>
          <w:highlight w:val="none"/>
        </w:rPr>
      </w:pPr>
      <w:r>
        <w:rPr>
          <w:rFonts w:hint="eastAsia" w:ascii="仿宋" w:hAnsi="仿宋"/>
          <w:color w:val="auto"/>
          <w:highlight w:val="none"/>
        </w:rPr>
        <w:t>6.5评审现场服从采购代理机构工作人员的管理，接受现场监督人员的合法监督；</w:t>
      </w:r>
    </w:p>
    <w:p w14:paraId="55E99DC1">
      <w:pPr>
        <w:tabs>
          <w:tab w:val="left" w:pos="7665"/>
        </w:tabs>
        <w:ind w:firstLine="480" w:firstLineChars="200"/>
        <w:rPr>
          <w:rFonts w:hint="eastAsia" w:ascii="仿宋" w:hAnsi="仿宋"/>
          <w:color w:val="auto"/>
          <w:highlight w:val="none"/>
        </w:rPr>
      </w:pPr>
      <w:r>
        <w:rPr>
          <w:rFonts w:hint="eastAsia" w:ascii="仿宋" w:hAnsi="仿宋"/>
          <w:color w:val="auto"/>
          <w:highlight w:val="none"/>
        </w:rPr>
        <w:t>6.6遵守有关廉洁自律规定，不得私下接触供应商，不得收受供应商及有关业务单位和个人的财物或好处，不得接受采购代理机构的请托。</w:t>
      </w:r>
    </w:p>
    <w:p w14:paraId="7E55E6DA">
      <w:pPr>
        <w:widowControl/>
        <w:jc w:val="left"/>
        <w:rPr>
          <w:rFonts w:hint="eastAsia" w:ascii="仿宋" w:hAnsi="仿宋"/>
          <w:b/>
          <w:bCs/>
          <w:color w:val="auto"/>
          <w:sz w:val="32"/>
          <w:szCs w:val="32"/>
          <w:highlight w:val="none"/>
        </w:rPr>
      </w:pPr>
      <w:r>
        <w:rPr>
          <w:rFonts w:ascii="仿宋" w:hAnsi="仿宋"/>
          <w:color w:val="auto"/>
          <w:highlight w:val="none"/>
        </w:rPr>
        <w:br w:type="page"/>
      </w:r>
    </w:p>
    <w:p w14:paraId="40862F0F">
      <w:pPr>
        <w:pStyle w:val="26"/>
        <w:spacing w:before="0" w:after="0" w:line="240" w:lineRule="auto"/>
        <w:rPr>
          <w:rFonts w:hint="eastAsia" w:ascii="仿宋" w:hAnsi="仿宋"/>
          <w:color w:val="auto"/>
          <w:highlight w:val="none"/>
        </w:rPr>
      </w:pPr>
      <w:bookmarkStart w:id="233" w:name="_Toc37838088"/>
      <w:r>
        <w:rPr>
          <w:rFonts w:hint="eastAsia" w:ascii="仿宋" w:hAnsi="仿宋"/>
          <w:color w:val="auto"/>
          <w:highlight w:val="none"/>
        </w:rPr>
        <w:t>第七章  采购合同</w:t>
      </w:r>
      <w:bookmarkEnd w:id="30"/>
      <w:bookmarkEnd w:id="158"/>
      <w:bookmarkEnd w:id="159"/>
      <w:bookmarkEnd w:id="160"/>
      <w:bookmarkEnd w:id="233"/>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261"/>
        <w:gridCol w:w="3409"/>
        <w:gridCol w:w="4387"/>
      </w:tblGrid>
      <w:tr w14:paraId="7928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2"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6C821A5">
            <w:pPr>
              <w:rPr>
                <w:b/>
                <w:bCs/>
                <w:color w:val="auto"/>
                <w:highlight w:val="none"/>
                <w:u w:val="single"/>
              </w:rPr>
            </w:pPr>
            <w:r>
              <w:rPr>
                <w:b/>
                <w:bCs/>
                <w:color w:val="auto"/>
                <w:highlight w:val="none"/>
              </w:rPr>
              <w:t>合同编号：</w:t>
            </w:r>
            <w:r>
              <w:rPr>
                <w:b/>
                <w:bCs/>
                <w:color w:val="auto"/>
                <w:highlight w:val="none"/>
                <w:u w:val="single"/>
              </w:rPr>
              <w:t xml:space="preserve">                   </w:t>
            </w:r>
          </w:p>
          <w:p w14:paraId="76BFB6EA">
            <w:pPr>
              <w:rPr>
                <w:color w:val="auto"/>
                <w:highlight w:val="none"/>
              </w:rPr>
            </w:pPr>
          </w:p>
          <w:p w14:paraId="2F596C54">
            <w:pPr>
              <w:rPr>
                <w:color w:val="auto"/>
                <w:highlight w:val="none"/>
              </w:rPr>
            </w:pPr>
          </w:p>
          <w:p w14:paraId="149DA697">
            <w:pPr>
              <w:rPr>
                <w:b/>
                <w:bCs/>
                <w:color w:val="auto"/>
                <w:highlight w:val="none"/>
              </w:rPr>
            </w:pPr>
            <w:r>
              <w:rPr>
                <w:color w:val="auto"/>
                <w:highlight w:val="none"/>
              </w:rPr>
              <w:t>技术服务合同书</w:t>
            </w:r>
          </w:p>
          <w:p w14:paraId="7F0C9AAF">
            <w:pPr>
              <w:rPr>
                <w:color w:val="auto"/>
                <w:highlight w:val="none"/>
              </w:rPr>
            </w:pPr>
          </w:p>
          <w:p w14:paraId="219735BF">
            <w:pPr>
              <w:rPr>
                <w:color w:val="auto"/>
                <w:highlight w:val="none"/>
              </w:rPr>
            </w:pPr>
          </w:p>
          <w:p w14:paraId="40F591C4">
            <w:pPr>
              <w:rPr>
                <w:color w:val="auto"/>
                <w:highlight w:val="none"/>
              </w:rPr>
            </w:pPr>
          </w:p>
          <w:p w14:paraId="37FF3975">
            <w:pPr>
              <w:rPr>
                <w:color w:val="auto"/>
                <w:highlight w:val="none"/>
              </w:rPr>
            </w:pPr>
          </w:p>
          <w:p w14:paraId="5FD862CA">
            <w:pPr>
              <w:rPr>
                <w:color w:val="auto"/>
                <w:highlight w:val="none"/>
              </w:rPr>
            </w:pPr>
          </w:p>
          <w:p w14:paraId="0B52D33A">
            <w:pPr>
              <w:rPr>
                <w:b/>
                <w:bCs/>
                <w:color w:val="auto"/>
                <w:highlight w:val="none"/>
              </w:rPr>
            </w:pPr>
          </w:p>
          <w:p w14:paraId="037E0482">
            <w:pPr>
              <w:rPr>
                <w:b/>
                <w:bCs/>
                <w:color w:val="auto"/>
                <w:highlight w:val="none"/>
                <w:u w:val="single"/>
              </w:rPr>
            </w:pPr>
            <w:r>
              <w:rPr>
                <w:b/>
                <w:bCs/>
                <w:color w:val="auto"/>
                <w:highlight w:val="none"/>
              </w:rPr>
              <w:t>合同名称：</w:t>
            </w:r>
            <w:bookmarkStart w:id="234" w:name="_Hlk184301316"/>
            <w:r>
              <w:rPr>
                <w:b/>
                <w:bCs/>
                <w:color w:val="auto"/>
                <w:highlight w:val="none"/>
                <w:u w:val="single"/>
              </w:rPr>
              <w:t>九洲空管适航能力持续建设咨询服务项目</w:t>
            </w:r>
            <w:bookmarkEnd w:id="234"/>
          </w:p>
          <w:p w14:paraId="147F97B1">
            <w:pPr>
              <w:rPr>
                <w:b/>
                <w:bCs/>
                <w:color w:val="auto"/>
                <w:highlight w:val="none"/>
              </w:rPr>
            </w:pPr>
            <w:r>
              <w:rPr>
                <w:b/>
                <w:bCs/>
                <w:color w:val="auto"/>
                <w:highlight w:val="none"/>
              </w:rPr>
              <w:t xml:space="preserve">  </w:t>
            </w:r>
          </w:p>
          <w:p w14:paraId="7DEB1812">
            <w:pPr>
              <w:rPr>
                <w:b/>
                <w:bCs/>
                <w:color w:val="auto"/>
                <w:highlight w:val="none"/>
              </w:rPr>
            </w:pPr>
          </w:p>
          <w:p w14:paraId="1951FB76">
            <w:pPr>
              <w:rPr>
                <w:b/>
                <w:bCs/>
                <w:color w:val="auto"/>
                <w:highlight w:val="none"/>
              </w:rPr>
            </w:pPr>
          </w:p>
        </w:tc>
      </w:tr>
      <w:tr w14:paraId="03E1A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3"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1AE759A">
            <w:pPr>
              <w:rPr>
                <w:b/>
                <w:bCs/>
                <w:color w:val="auto"/>
                <w:highlight w:val="none"/>
              </w:rPr>
            </w:pPr>
            <w:r>
              <w:rPr>
                <w:b/>
                <w:bCs/>
                <w:color w:val="auto"/>
                <w:highlight w:val="none"/>
              </w:rPr>
              <w:t>目    录</w:t>
            </w:r>
          </w:p>
          <w:p w14:paraId="0CE25516">
            <w:pPr>
              <w:rPr>
                <w:bCs/>
                <w:color w:val="auto"/>
                <w:highlight w:val="none"/>
              </w:rPr>
            </w:pPr>
            <w:r>
              <w:rPr>
                <w:bCs/>
                <w:color w:val="auto"/>
                <w:highlight w:val="none"/>
              </w:rPr>
              <w:t>一、合同当事人</w:t>
            </w:r>
          </w:p>
          <w:p w14:paraId="61E6F30C">
            <w:pPr>
              <w:rPr>
                <w:bCs/>
                <w:color w:val="auto"/>
                <w:highlight w:val="none"/>
              </w:rPr>
            </w:pPr>
            <w:r>
              <w:rPr>
                <w:bCs/>
                <w:color w:val="auto"/>
                <w:highlight w:val="none"/>
              </w:rPr>
              <w:t>二、研制依据</w:t>
            </w:r>
          </w:p>
          <w:p w14:paraId="74070D31">
            <w:pPr>
              <w:rPr>
                <w:bCs/>
                <w:color w:val="auto"/>
                <w:highlight w:val="none"/>
              </w:rPr>
            </w:pPr>
            <w:r>
              <w:rPr>
                <w:bCs/>
                <w:color w:val="auto"/>
                <w:highlight w:val="none"/>
              </w:rPr>
              <w:t>三、合同标的</w:t>
            </w:r>
          </w:p>
          <w:p w14:paraId="4D91F7FA">
            <w:pPr>
              <w:rPr>
                <w:bCs/>
                <w:color w:val="auto"/>
                <w:highlight w:val="none"/>
              </w:rPr>
            </w:pPr>
            <w:r>
              <w:rPr>
                <w:bCs/>
                <w:color w:val="auto"/>
                <w:highlight w:val="none"/>
              </w:rPr>
              <w:t>四、质量保证要求</w:t>
            </w:r>
          </w:p>
          <w:p w14:paraId="73E3104D">
            <w:pPr>
              <w:rPr>
                <w:bCs/>
                <w:color w:val="auto"/>
                <w:highlight w:val="none"/>
              </w:rPr>
            </w:pPr>
            <w:r>
              <w:rPr>
                <w:bCs/>
                <w:color w:val="auto"/>
                <w:highlight w:val="none"/>
              </w:rPr>
              <w:t>五、双方分工与职责</w:t>
            </w:r>
          </w:p>
          <w:p w14:paraId="68F55C0C">
            <w:pPr>
              <w:rPr>
                <w:bCs/>
                <w:color w:val="auto"/>
                <w:highlight w:val="none"/>
              </w:rPr>
            </w:pPr>
            <w:r>
              <w:rPr>
                <w:bCs/>
                <w:color w:val="auto"/>
                <w:highlight w:val="none"/>
              </w:rPr>
              <w:t>六、研制进度</w:t>
            </w:r>
          </w:p>
          <w:p w14:paraId="27D91ECA">
            <w:pPr>
              <w:rPr>
                <w:bCs/>
                <w:color w:val="auto"/>
                <w:highlight w:val="none"/>
              </w:rPr>
            </w:pPr>
            <w:r>
              <w:rPr>
                <w:bCs/>
                <w:color w:val="auto"/>
                <w:highlight w:val="none"/>
              </w:rPr>
              <w:t>七、合同价款和支付</w:t>
            </w:r>
          </w:p>
          <w:p w14:paraId="4F7EEA79">
            <w:pPr>
              <w:rPr>
                <w:bCs/>
                <w:color w:val="auto"/>
                <w:highlight w:val="none"/>
              </w:rPr>
            </w:pPr>
            <w:r>
              <w:rPr>
                <w:bCs/>
                <w:color w:val="auto"/>
                <w:highlight w:val="none"/>
              </w:rPr>
              <w:t>八、风险责任承担</w:t>
            </w:r>
          </w:p>
          <w:p w14:paraId="52F5FB8C">
            <w:pPr>
              <w:rPr>
                <w:bCs/>
                <w:color w:val="auto"/>
                <w:highlight w:val="none"/>
              </w:rPr>
            </w:pPr>
            <w:r>
              <w:rPr>
                <w:bCs/>
                <w:color w:val="auto"/>
                <w:highlight w:val="none"/>
              </w:rPr>
              <w:t>九、验收</w:t>
            </w:r>
          </w:p>
          <w:p w14:paraId="41C010A9">
            <w:pPr>
              <w:rPr>
                <w:bCs/>
                <w:color w:val="auto"/>
                <w:highlight w:val="none"/>
              </w:rPr>
            </w:pPr>
            <w:r>
              <w:rPr>
                <w:bCs/>
                <w:color w:val="auto"/>
                <w:highlight w:val="none"/>
              </w:rPr>
              <w:t>十、合同当事人的权利和义务</w:t>
            </w:r>
          </w:p>
          <w:p w14:paraId="004C0554">
            <w:pPr>
              <w:rPr>
                <w:bCs/>
                <w:color w:val="auto"/>
                <w:highlight w:val="none"/>
              </w:rPr>
            </w:pPr>
            <w:r>
              <w:rPr>
                <w:bCs/>
                <w:color w:val="auto"/>
                <w:highlight w:val="none"/>
              </w:rPr>
              <w:t>十一、知识产权及成果约定</w:t>
            </w:r>
          </w:p>
          <w:p w14:paraId="7F752A7F">
            <w:pPr>
              <w:rPr>
                <w:bCs/>
                <w:color w:val="auto"/>
                <w:highlight w:val="none"/>
              </w:rPr>
            </w:pPr>
            <w:r>
              <w:rPr>
                <w:bCs/>
                <w:color w:val="auto"/>
                <w:highlight w:val="none"/>
              </w:rPr>
              <w:t>十二、保密</w:t>
            </w:r>
          </w:p>
          <w:p w14:paraId="4CEC592D">
            <w:pPr>
              <w:rPr>
                <w:bCs/>
                <w:color w:val="auto"/>
                <w:highlight w:val="none"/>
              </w:rPr>
            </w:pPr>
            <w:r>
              <w:rPr>
                <w:bCs/>
                <w:color w:val="auto"/>
                <w:highlight w:val="none"/>
              </w:rPr>
              <w:t>十三、合同的变更和解除</w:t>
            </w:r>
          </w:p>
          <w:p w14:paraId="2225F222">
            <w:pPr>
              <w:rPr>
                <w:bCs/>
                <w:color w:val="auto"/>
                <w:highlight w:val="none"/>
              </w:rPr>
            </w:pPr>
            <w:r>
              <w:rPr>
                <w:bCs/>
                <w:color w:val="auto"/>
                <w:highlight w:val="none"/>
              </w:rPr>
              <w:t>十四、违约责任</w:t>
            </w:r>
          </w:p>
          <w:p w14:paraId="24C6D393">
            <w:pPr>
              <w:rPr>
                <w:bCs/>
                <w:color w:val="auto"/>
                <w:highlight w:val="none"/>
              </w:rPr>
            </w:pPr>
            <w:r>
              <w:rPr>
                <w:bCs/>
                <w:color w:val="auto"/>
                <w:highlight w:val="none"/>
              </w:rPr>
              <w:t>十五、纠纷处理方式</w:t>
            </w:r>
          </w:p>
          <w:p w14:paraId="7AAF8458">
            <w:pPr>
              <w:rPr>
                <w:bCs/>
                <w:color w:val="auto"/>
                <w:highlight w:val="none"/>
              </w:rPr>
            </w:pPr>
            <w:r>
              <w:rPr>
                <w:bCs/>
                <w:color w:val="auto"/>
                <w:highlight w:val="none"/>
              </w:rPr>
              <w:t>十六、其  它</w:t>
            </w:r>
          </w:p>
          <w:p w14:paraId="3A750AEC">
            <w:pPr>
              <w:rPr>
                <w:bCs/>
                <w:color w:val="auto"/>
                <w:highlight w:val="none"/>
              </w:rPr>
            </w:pPr>
            <w:r>
              <w:rPr>
                <w:bCs/>
                <w:color w:val="auto"/>
                <w:highlight w:val="none"/>
              </w:rPr>
              <w:t>十七、附  件</w:t>
            </w:r>
          </w:p>
          <w:p w14:paraId="3730C964">
            <w:pPr>
              <w:rPr>
                <w:bCs/>
                <w:color w:val="auto"/>
                <w:highlight w:val="none"/>
              </w:rPr>
            </w:pPr>
          </w:p>
          <w:p w14:paraId="65AACA02">
            <w:pPr>
              <w:rPr>
                <w:bCs/>
                <w:color w:val="auto"/>
                <w:highlight w:val="none"/>
              </w:rPr>
            </w:pPr>
          </w:p>
          <w:p w14:paraId="64148FE8">
            <w:pPr>
              <w:rPr>
                <w:bCs/>
                <w:color w:val="auto"/>
                <w:highlight w:val="none"/>
              </w:rPr>
            </w:pPr>
          </w:p>
        </w:tc>
      </w:tr>
      <w:tr w14:paraId="73FEE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02EA5D03">
            <w:pPr>
              <w:rPr>
                <w:b/>
                <w:bCs/>
                <w:color w:val="auto"/>
                <w:highlight w:val="none"/>
              </w:rPr>
            </w:pPr>
            <w:r>
              <w:rPr>
                <w:b/>
                <w:bCs/>
                <w:color w:val="auto"/>
                <w:highlight w:val="none"/>
              </w:rPr>
              <w:t>1  合同当事人</w:t>
            </w:r>
          </w:p>
        </w:tc>
      </w:tr>
      <w:tr w14:paraId="61B5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78" w:type="pct"/>
            <w:gridSpan w:val="2"/>
            <w:tcBorders>
              <w:top w:val="single" w:color="auto" w:sz="4" w:space="0"/>
              <w:left w:val="single" w:color="auto" w:sz="4" w:space="0"/>
              <w:bottom w:val="single" w:color="auto" w:sz="4" w:space="0"/>
              <w:right w:val="single" w:color="auto" w:sz="4" w:space="0"/>
            </w:tcBorders>
            <w:vAlign w:val="center"/>
          </w:tcPr>
          <w:p w14:paraId="143C963E">
            <w:pPr>
              <w:rPr>
                <w:color w:val="auto"/>
                <w:highlight w:val="none"/>
              </w:rPr>
            </w:pPr>
            <w:r>
              <w:rPr>
                <w:color w:val="auto"/>
                <w:highlight w:val="none"/>
              </w:rPr>
              <w:t>项目</w:t>
            </w:r>
          </w:p>
        </w:tc>
        <w:tc>
          <w:tcPr>
            <w:tcW w:w="1804" w:type="pct"/>
            <w:tcBorders>
              <w:top w:val="single" w:color="auto" w:sz="4" w:space="0"/>
              <w:left w:val="single" w:color="auto" w:sz="4" w:space="0"/>
              <w:bottom w:val="single" w:color="auto" w:sz="4" w:space="0"/>
              <w:right w:val="single" w:color="auto" w:sz="4" w:space="0"/>
            </w:tcBorders>
            <w:vAlign w:val="center"/>
          </w:tcPr>
          <w:p w14:paraId="735C9313">
            <w:pPr>
              <w:rPr>
                <w:color w:val="auto"/>
                <w:highlight w:val="none"/>
              </w:rPr>
            </w:pPr>
            <w:r>
              <w:rPr>
                <w:color w:val="auto"/>
                <w:highlight w:val="none"/>
              </w:rPr>
              <w:t>甲   方</w:t>
            </w:r>
          </w:p>
        </w:tc>
        <w:tc>
          <w:tcPr>
            <w:tcW w:w="2318" w:type="pct"/>
            <w:tcBorders>
              <w:top w:val="single" w:color="auto" w:sz="4" w:space="0"/>
              <w:left w:val="single" w:color="auto" w:sz="4" w:space="0"/>
              <w:bottom w:val="single" w:color="auto" w:sz="4" w:space="0"/>
              <w:right w:val="single" w:color="auto" w:sz="4" w:space="0"/>
            </w:tcBorders>
            <w:vAlign w:val="center"/>
          </w:tcPr>
          <w:p w14:paraId="418335D7">
            <w:pPr>
              <w:rPr>
                <w:color w:val="auto"/>
                <w:highlight w:val="none"/>
              </w:rPr>
            </w:pPr>
            <w:r>
              <w:rPr>
                <w:color w:val="auto"/>
                <w:highlight w:val="none"/>
              </w:rPr>
              <w:t>乙   方</w:t>
            </w:r>
          </w:p>
        </w:tc>
      </w:tr>
      <w:tr w14:paraId="65C59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jc w:val="center"/>
        </w:trPr>
        <w:tc>
          <w:tcPr>
            <w:tcW w:w="878" w:type="pct"/>
            <w:gridSpan w:val="2"/>
            <w:tcBorders>
              <w:top w:val="single" w:color="auto" w:sz="4" w:space="0"/>
              <w:left w:val="single" w:color="auto" w:sz="4" w:space="0"/>
              <w:bottom w:val="single" w:color="auto" w:sz="4" w:space="0"/>
              <w:right w:val="single" w:color="auto" w:sz="4" w:space="0"/>
            </w:tcBorders>
            <w:vAlign w:val="center"/>
          </w:tcPr>
          <w:p w14:paraId="03B1E5CC">
            <w:pPr>
              <w:rPr>
                <w:color w:val="auto"/>
                <w:highlight w:val="none"/>
              </w:rPr>
            </w:pPr>
            <w:r>
              <w:rPr>
                <w:color w:val="auto"/>
                <w:highlight w:val="none"/>
              </w:rPr>
              <w:t>单位名称</w:t>
            </w:r>
          </w:p>
          <w:p w14:paraId="5AC97C21">
            <w:pPr>
              <w:rPr>
                <w:color w:val="auto"/>
                <w:highlight w:val="none"/>
              </w:rPr>
            </w:pPr>
            <w:r>
              <w:rPr>
                <w:color w:val="auto"/>
                <w:highlight w:val="none"/>
              </w:rPr>
              <w:t>法定代表</w:t>
            </w:r>
          </w:p>
          <w:p w14:paraId="7EABE097">
            <w:pPr>
              <w:rPr>
                <w:color w:val="auto"/>
                <w:highlight w:val="none"/>
              </w:rPr>
            </w:pPr>
            <w:r>
              <w:rPr>
                <w:color w:val="auto"/>
                <w:highlight w:val="none"/>
              </w:rPr>
              <w:t>（职  务）</w:t>
            </w:r>
          </w:p>
        </w:tc>
        <w:tc>
          <w:tcPr>
            <w:tcW w:w="1804" w:type="pct"/>
            <w:tcBorders>
              <w:top w:val="single" w:color="auto" w:sz="4" w:space="0"/>
              <w:left w:val="single" w:color="auto" w:sz="4" w:space="0"/>
              <w:bottom w:val="single" w:color="auto" w:sz="4" w:space="0"/>
              <w:right w:val="single" w:color="auto" w:sz="4" w:space="0"/>
            </w:tcBorders>
            <w:vAlign w:val="center"/>
          </w:tcPr>
          <w:p w14:paraId="22D4028F">
            <w:pPr>
              <w:rPr>
                <w:color w:val="auto"/>
                <w:highlight w:val="none"/>
              </w:rPr>
            </w:pPr>
          </w:p>
        </w:tc>
        <w:tc>
          <w:tcPr>
            <w:tcW w:w="2318" w:type="pct"/>
            <w:tcBorders>
              <w:top w:val="single" w:color="auto" w:sz="4" w:space="0"/>
              <w:left w:val="single" w:color="auto" w:sz="4" w:space="0"/>
              <w:bottom w:val="single" w:color="auto" w:sz="4" w:space="0"/>
              <w:right w:val="single" w:color="auto" w:sz="4" w:space="0"/>
            </w:tcBorders>
            <w:vAlign w:val="center"/>
          </w:tcPr>
          <w:p w14:paraId="3A72EB9C">
            <w:pPr>
              <w:rPr>
                <w:color w:val="auto"/>
                <w:highlight w:val="none"/>
              </w:rPr>
            </w:pPr>
          </w:p>
        </w:tc>
      </w:tr>
      <w:tr w14:paraId="44BC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6" w:hRule="atLeast"/>
          <w:jc w:val="center"/>
        </w:trPr>
        <w:tc>
          <w:tcPr>
            <w:tcW w:w="878" w:type="pct"/>
            <w:gridSpan w:val="2"/>
            <w:tcBorders>
              <w:top w:val="single" w:color="auto" w:sz="4" w:space="0"/>
              <w:left w:val="single" w:color="auto" w:sz="4" w:space="0"/>
              <w:bottom w:val="single" w:color="auto" w:sz="4" w:space="0"/>
              <w:right w:val="single" w:color="auto" w:sz="4" w:space="0"/>
            </w:tcBorders>
            <w:vAlign w:val="center"/>
          </w:tcPr>
          <w:p w14:paraId="68BEA6D6">
            <w:pPr>
              <w:rPr>
                <w:color w:val="auto"/>
                <w:highlight w:val="none"/>
              </w:rPr>
            </w:pPr>
            <w:r>
              <w:rPr>
                <w:color w:val="auto"/>
                <w:highlight w:val="none"/>
              </w:rPr>
              <w:t>单位地址</w:t>
            </w:r>
          </w:p>
          <w:p w14:paraId="75135886">
            <w:pPr>
              <w:rPr>
                <w:color w:val="auto"/>
                <w:highlight w:val="none"/>
              </w:rPr>
            </w:pPr>
          </w:p>
          <w:p w14:paraId="02380565">
            <w:pPr>
              <w:rPr>
                <w:color w:val="auto"/>
                <w:highlight w:val="none"/>
              </w:rPr>
            </w:pPr>
            <w:r>
              <w:rPr>
                <w:color w:val="auto"/>
                <w:highlight w:val="none"/>
              </w:rPr>
              <w:t>邮政编码</w:t>
            </w:r>
          </w:p>
          <w:p w14:paraId="3A3398C8">
            <w:pPr>
              <w:rPr>
                <w:color w:val="auto"/>
                <w:highlight w:val="none"/>
              </w:rPr>
            </w:pPr>
            <w:r>
              <w:rPr>
                <w:color w:val="auto"/>
                <w:highlight w:val="none"/>
              </w:rPr>
              <w:t>电    话</w:t>
            </w:r>
          </w:p>
          <w:p w14:paraId="68790720">
            <w:pPr>
              <w:rPr>
                <w:color w:val="auto"/>
                <w:highlight w:val="none"/>
              </w:rPr>
            </w:pPr>
            <w:r>
              <w:rPr>
                <w:color w:val="auto"/>
                <w:highlight w:val="none"/>
              </w:rPr>
              <w:t>传    真</w:t>
            </w:r>
          </w:p>
          <w:p w14:paraId="061338A3">
            <w:pPr>
              <w:rPr>
                <w:color w:val="auto"/>
                <w:highlight w:val="none"/>
              </w:rPr>
            </w:pPr>
            <w:r>
              <w:rPr>
                <w:color w:val="auto"/>
                <w:highlight w:val="none"/>
              </w:rPr>
              <w:t>帐户名称</w:t>
            </w:r>
          </w:p>
          <w:p w14:paraId="2A7068CF">
            <w:pPr>
              <w:rPr>
                <w:color w:val="auto"/>
                <w:highlight w:val="none"/>
              </w:rPr>
            </w:pPr>
            <w:r>
              <w:rPr>
                <w:color w:val="auto"/>
                <w:highlight w:val="none"/>
              </w:rPr>
              <w:t>开户银行</w:t>
            </w:r>
          </w:p>
          <w:p w14:paraId="35718B64">
            <w:pPr>
              <w:rPr>
                <w:color w:val="auto"/>
                <w:highlight w:val="none"/>
              </w:rPr>
            </w:pPr>
            <w:r>
              <w:rPr>
                <w:color w:val="auto"/>
                <w:highlight w:val="none"/>
              </w:rPr>
              <w:t>帐    号</w:t>
            </w:r>
          </w:p>
          <w:p w14:paraId="5FFD4C06">
            <w:pPr>
              <w:rPr>
                <w:color w:val="auto"/>
                <w:highlight w:val="none"/>
              </w:rPr>
            </w:pPr>
            <w:r>
              <w:rPr>
                <w:color w:val="auto"/>
                <w:highlight w:val="none"/>
              </w:rPr>
              <w:t>税    号</w:t>
            </w:r>
          </w:p>
        </w:tc>
        <w:tc>
          <w:tcPr>
            <w:tcW w:w="1804" w:type="pct"/>
            <w:tcBorders>
              <w:top w:val="single" w:color="auto" w:sz="4" w:space="0"/>
              <w:left w:val="single" w:color="auto" w:sz="4" w:space="0"/>
              <w:bottom w:val="single" w:color="auto" w:sz="4" w:space="0"/>
              <w:right w:val="single" w:color="auto" w:sz="4" w:space="0"/>
            </w:tcBorders>
          </w:tcPr>
          <w:p w14:paraId="135A7413">
            <w:pPr>
              <w:rPr>
                <w:color w:val="auto"/>
                <w:highlight w:val="none"/>
              </w:rPr>
            </w:pPr>
          </w:p>
        </w:tc>
        <w:tc>
          <w:tcPr>
            <w:tcW w:w="2318" w:type="pct"/>
            <w:tcBorders>
              <w:top w:val="single" w:color="auto" w:sz="4" w:space="0"/>
              <w:left w:val="single" w:color="auto" w:sz="4" w:space="0"/>
              <w:bottom w:val="single" w:color="auto" w:sz="4" w:space="0"/>
              <w:right w:val="single" w:color="auto" w:sz="4" w:space="0"/>
            </w:tcBorders>
          </w:tcPr>
          <w:p w14:paraId="1023B3FA">
            <w:pPr>
              <w:rPr>
                <w:color w:val="auto"/>
                <w:highlight w:val="none"/>
              </w:rPr>
            </w:pPr>
          </w:p>
        </w:tc>
      </w:tr>
      <w:tr w14:paraId="18A6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3" w:hRule="atLeast"/>
          <w:jc w:val="center"/>
        </w:trPr>
        <w:tc>
          <w:tcPr>
            <w:tcW w:w="203" w:type="pct"/>
            <w:tcBorders>
              <w:top w:val="single" w:color="auto" w:sz="4" w:space="0"/>
              <w:left w:val="single" w:color="auto" w:sz="4" w:space="0"/>
              <w:bottom w:val="single" w:color="auto" w:sz="4" w:space="0"/>
              <w:right w:val="single" w:color="auto" w:sz="4" w:space="0"/>
            </w:tcBorders>
            <w:vAlign w:val="center"/>
          </w:tcPr>
          <w:p w14:paraId="05A480CA">
            <w:pPr>
              <w:rPr>
                <w:color w:val="auto"/>
                <w:highlight w:val="none"/>
              </w:rPr>
            </w:pPr>
            <w:r>
              <w:rPr>
                <w:color w:val="auto"/>
                <w:highlight w:val="none"/>
              </w:rPr>
              <w:t>签</w:t>
            </w:r>
          </w:p>
          <w:p w14:paraId="12ED7F3B">
            <w:pPr>
              <w:rPr>
                <w:color w:val="auto"/>
                <w:highlight w:val="none"/>
              </w:rPr>
            </w:pPr>
            <w:r>
              <w:rPr>
                <w:color w:val="auto"/>
                <w:highlight w:val="none"/>
              </w:rPr>
              <w:t>字栏</w:t>
            </w:r>
          </w:p>
          <w:p w14:paraId="3C36B69A">
            <w:pPr>
              <w:rPr>
                <w:color w:val="auto"/>
                <w:highlight w:val="none"/>
              </w:rPr>
            </w:pPr>
          </w:p>
        </w:tc>
        <w:tc>
          <w:tcPr>
            <w:tcW w:w="675" w:type="pct"/>
            <w:tcBorders>
              <w:top w:val="single" w:color="auto" w:sz="4" w:space="0"/>
              <w:left w:val="single" w:color="auto" w:sz="4" w:space="0"/>
              <w:bottom w:val="single" w:color="auto" w:sz="4" w:space="0"/>
              <w:right w:val="single" w:color="auto" w:sz="4" w:space="0"/>
            </w:tcBorders>
            <w:vAlign w:val="center"/>
          </w:tcPr>
          <w:p w14:paraId="1A080651">
            <w:pPr>
              <w:rPr>
                <w:color w:val="auto"/>
                <w:highlight w:val="none"/>
              </w:rPr>
            </w:pPr>
            <w:r>
              <w:rPr>
                <w:color w:val="auto"/>
                <w:highlight w:val="none"/>
              </w:rPr>
              <w:t>委托代理人</w:t>
            </w:r>
          </w:p>
          <w:p w14:paraId="40E71922">
            <w:pPr>
              <w:rPr>
                <w:color w:val="auto"/>
                <w:highlight w:val="none"/>
              </w:rPr>
            </w:pPr>
            <w:r>
              <w:rPr>
                <w:color w:val="auto"/>
                <w:highlight w:val="none"/>
              </w:rPr>
              <w:t>签字日期</w:t>
            </w:r>
          </w:p>
          <w:p w14:paraId="7CBC00AB">
            <w:pPr>
              <w:rPr>
                <w:color w:val="auto"/>
                <w:highlight w:val="none"/>
              </w:rPr>
            </w:pPr>
            <w:r>
              <w:rPr>
                <w:color w:val="auto"/>
                <w:highlight w:val="none"/>
              </w:rPr>
              <w:t>签字地址</w:t>
            </w:r>
          </w:p>
          <w:p w14:paraId="53729FB9">
            <w:pPr>
              <w:rPr>
                <w:color w:val="auto"/>
                <w:highlight w:val="none"/>
              </w:rPr>
            </w:pPr>
            <w:r>
              <w:rPr>
                <w:color w:val="auto"/>
                <w:highlight w:val="none"/>
              </w:rPr>
              <w:t>单    位</w:t>
            </w:r>
          </w:p>
          <w:p w14:paraId="6F6662EE">
            <w:pPr>
              <w:rPr>
                <w:color w:val="auto"/>
                <w:highlight w:val="none"/>
              </w:rPr>
            </w:pPr>
            <w:r>
              <w:rPr>
                <w:color w:val="auto"/>
                <w:highlight w:val="none"/>
              </w:rPr>
              <w:t>(盖  章)</w:t>
            </w:r>
          </w:p>
        </w:tc>
        <w:tc>
          <w:tcPr>
            <w:tcW w:w="1804" w:type="pct"/>
            <w:tcBorders>
              <w:top w:val="single" w:color="auto" w:sz="4" w:space="0"/>
              <w:left w:val="single" w:color="auto" w:sz="4" w:space="0"/>
              <w:bottom w:val="single" w:color="auto" w:sz="4" w:space="0"/>
              <w:right w:val="single" w:color="auto" w:sz="4" w:space="0"/>
            </w:tcBorders>
            <w:vAlign w:val="center"/>
          </w:tcPr>
          <w:p w14:paraId="45EE45CA">
            <w:pPr>
              <w:rPr>
                <w:color w:val="auto"/>
                <w:highlight w:val="none"/>
              </w:rPr>
            </w:pPr>
          </w:p>
          <w:p w14:paraId="60F81DA3">
            <w:pPr>
              <w:rPr>
                <w:color w:val="auto"/>
                <w:highlight w:val="none"/>
              </w:rPr>
            </w:pPr>
          </w:p>
          <w:p w14:paraId="2995EC74">
            <w:pPr>
              <w:rPr>
                <w:color w:val="auto"/>
                <w:highlight w:val="none"/>
              </w:rPr>
            </w:pPr>
          </w:p>
          <w:p w14:paraId="779CE9BD">
            <w:pPr>
              <w:rPr>
                <w:color w:val="auto"/>
                <w:highlight w:val="none"/>
              </w:rPr>
            </w:pPr>
          </w:p>
          <w:p w14:paraId="59C0026D">
            <w:pPr>
              <w:rPr>
                <w:color w:val="auto"/>
                <w:highlight w:val="none"/>
              </w:rPr>
            </w:pPr>
          </w:p>
          <w:p w14:paraId="3629F8B9">
            <w:pPr>
              <w:rPr>
                <w:color w:val="auto"/>
                <w:highlight w:val="none"/>
              </w:rPr>
            </w:pPr>
          </w:p>
          <w:p w14:paraId="0337A4FB">
            <w:pPr>
              <w:rPr>
                <w:color w:val="auto"/>
                <w:highlight w:val="none"/>
              </w:rPr>
            </w:pPr>
          </w:p>
          <w:p w14:paraId="08C0E783">
            <w:pPr>
              <w:rPr>
                <w:color w:val="auto"/>
                <w:highlight w:val="none"/>
              </w:rPr>
            </w:pPr>
          </w:p>
          <w:p w14:paraId="6B7E3427">
            <w:pPr>
              <w:rPr>
                <w:color w:val="auto"/>
                <w:highlight w:val="none"/>
              </w:rPr>
            </w:pPr>
          </w:p>
        </w:tc>
        <w:tc>
          <w:tcPr>
            <w:tcW w:w="2318" w:type="pct"/>
            <w:tcBorders>
              <w:top w:val="single" w:color="auto" w:sz="4" w:space="0"/>
              <w:left w:val="single" w:color="auto" w:sz="4" w:space="0"/>
              <w:bottom w:val="single" w:color="auto" w:sz="4" w:space="0"/>
              <w:right w:val="single" w:color="auto" w:sz="4" w:space="0"/>
            </w:tcBorders>
            <w:vAlign w:val="center"/>
          </w:tcPr>
          <w:p w14:paraId="63A3A967">
            <w:pPr>
              <w:rPr>
                <w:color w:val="auto"/>
                <w:highlight w:val="none"/>
              </w:rPr>
            </w:pPr>
          </w:p>
        </w:tc>
      </w:tr>
      <w:tr w14:paraId="0A34C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4FFBCEAE">
            <w:pPr>
              <w:rPr>
                <w:color w:val="auto"/>
                <w:highlight w:val="none"/>
              </w:rPr>
            </w:pPr>
            <w:r>
              <w:rPr>
                <w:b/>
                <w:bCs/>
                <w:color w:val="auto"/>
                <w:highlight w:val="none"/>
              </w:rPr>
              <w:t>2  依据</w:t>
            </w:r>
          </w:p>
        </w:tc>
      </w:tr>
      <w:tr w14:paraId="36819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24BE6050">
            <w:pPr>
              <w:rPr>
                <w:color w:val="auto"/>
                <w:highlight w:val="none"/>
              </w:rPr>
            </w:pPr>
            <w:r>
              <w:rPr>
                <w:color w:val="auto"/>
                <w:highlight w:val="none"/>
              </w:rPr>
              <w:t>本合同依据双方约定的技术服务内容开展技术服务工作，见附件</w:t>
            </w:r>
            <w:bookmarkStart w:id="235" w:name="OLE_LINK5"/>
            <w:r>
              <w:rPr>
                <w:color w:val="auto"/>
                <w:highlight w:val="none"/>
              </w:rPr>
              <w:t>《九洲空管适航能力持续建设咨询服务项目询比文件》以及响应文件</w:t>
            </w:r>
            <w:bookmarkEnd w:id="235"/>
            <w:r>
              <w:rPr>
                <w:color w:val="auto"/>
                <w:highlight w:val="none"/>
              </w:rPr>
              <w:t>。</w:t>
            </w:r>
          </w:p>
        </w:tc>
      </w:tr>
      <w:tr w14:paraId="5421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23FA4B27">
            <w:pPr>
              <w:rPr>
                <w:color w:val="auto"/>
                <w:highlight w:val="none"/>
              </w:rPr>
            </w:pPr>
            <w:r>
              <w:rPr>
                <w:b/>
                <w:bCs/>
                <w:color w:val="auto"/>
                <w:highlight w:val="none"/>
              </w:rPr>
              <w:t>3  合同标的</w:t>
            </w:r>
          </w:p>
        </w:tc>
      </w:tr>
      <w:tr w14:paraId="3598C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01A2599">
            <w:pPr>
              <w:rPr>
                <w:b/>
                <w:color w:val="auto"/>
                <w:highlight w:val="none"/>
              </w:rPr>
            </w:pPr>
            <w:r>
              <w:rPr>
                <w:b/>
                <w:color w:val="auto"/>
                <w:highlight w:val="none"/>
              </w:rPr>
              <w:t>3.1 技术服务内容</w:t>
            </w:r>
          </w:p>
          <w:p w14:paraId="76211EA5">
            <w:pPr>
              <w:rPr>
                <w:color w:val="auto"/>
                <w:highlight w:val="none"/>
              </w:rPr>
            </w:pPr>
            <w:r>
              <w:rPr>
                <w:color w:val="auto"/>
                <w:highlight w:val="none"/>
              </w:rPr>
              <w:t>对标 CAAC、FAA、EASA 适航标准，建成符合SAE ARP 4754A/4754B、SAE ARP 4761的研制保证体系与闭环式持续适航体系，实现研制、审定、持续适航一体化运行，完成知识转移，帮助甲方形成适航管理自主运维能力，成果满足适航审查要求。</w:t>
            </w:r>
          </w:p>
          <w:p w14:paraId="6FA18564">
            <w:pPr>
              <w:rPr>
                <w:color w:val="auto"/>
                <w:highlight w:val="none"/>
              </w:rPr>
            </w:pPr>
            <w:r>
              <w:rPr>
                <w:color w:val="auto"/>
                <w:highlight w:val="none"/>
              </w:rPr>
              <w:t>严格遵循合规性、实用性、可裁剪、一体化、可审查五大原则开展全部服务工作。</w:t>
            </w:r>
          </w:p>
          <w:p w14:paraId="22874B6F">
            <w:pPr>
              <w:rPr>
                <w:b/>
                <w:color w:val="auto"/>
                <w:highlight w:val="none"/>
              </w:rPr>
            </w:pPr>
            <w:r>
              <w:rPr>
                <w:b/>
                <w:color w:val="auto"/>
                <w:highlight w:val="none"/>
              </w:rPr>
              <w:t>3.2验收内容及成果形式</w:t>
            </w:r>
          </w:p>
          <w:p w14:paraId="3B65AFC6">
            <w:pPr>
              <w:rPr>
                <w:color w:val="auto"/>
                <w:highlight w:val="none"/>
              </w:rPr>
            </w:pPr>
            <w:r>
              <w:rPr>
                <w:color w:val="auto"/>
                <w:highlight w:val="none"/>
              </w:rPr>
              <w:t>项目交付内容具体清单见表1。</w:t>
            </w:r>
          </w:p>
          <w:p w14:paraId="47151F96">
            <w:pPr>
              <w:rPr>
                <w:color w:val="auto"/>
                <w:highlight w:val="none"/>
              </w:rPr>
            </w:pPr>
            <w:r>
              <w:rPr>
                <w:color w:val="auto"/>
                <w:highlight w:val="none"/>
              </w:rPr>
              <w:t>表1  交付清单</w:t>
            </w:r>
          </w:p>
          <w:tbl>
            <w:tblPr>
              <w:tblStyle w:val="30"/>
              <w:tblW w:w="482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5543"/>
              <w:gridCol w:w="754"/>
              <w:gridCol w:w="1905"/>
            </w:tblGrid>
            <w:tr w14:paraId="4154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tcBorders>
                    <w:top w:val="single" w:color="auto" w:sz="4" w:space="0"/>
                    <w:left w:val="single" w:color="auto" w:sz="4" w:space="0"/>
                    <w:bottom w:val="single" w:color="auto" w:sz="4" w:space="0"/>
                    <w:right w:val="single" w:color="auto" w:sz="4" w:space="0"/>
                  </w:tcBorders>
                  <w:vAlign w:val="center"/>
                </w:tcPr>
                <w:p w14:paraId="1069A379">
                  <w:pPr>
                    <w:rPr>
                      <w:color w:val="auto"/>
                      <w:highlight w:val="none"/>
                    </w:rPr>
                  </w:pPr>
                  <w:r>
                    <w:rPr>
                      <w:color w:val="auto"/>
                      <w:highlight w:val="none"/>
                    </w:rPr>
                    <w:t>序号</w:t>
                  </w:r>
                </w:p>
              </w:tc>
              <w:tc>
                <w:tcPr>
                  <w:tcW w:w="3093" w:type="pct"/>
                  <w:tcBorders>
                    <w:top w:val="single" w:color="auto" w:sz="4" w:space="0"/>
                    <w:left w:val="single" w:color="auto" w:sz="4" w:space="0"/>
                    <w:bottom w:val="single" w:color="auto" w:sz="4" w:space="0"/>
                    <w:right w:val="single" w:color="auto" w:sz="4" w:space="0"/>
                  </w:tcBorders>
                  <w:vAlign w:val="center"/>
                </w:tcPr>
                <w:p w14:paraId="3FB1149A">
                  <w:pPr>
                    <w:rPr>
                      <w:color w:val="auto"/>
                      <w:highlight w:val="none"/>
                    </w:rPr>
                  </w:pPr>
                  <w:bookmarkStart w:id="236" w:name="OLE_LINK8"/>
                  <w:r>
                    <w:rPr>
                      <w:color w:val="auto"/>
                      <w:highlight w:val="none"/>
                    </w:rPr>
                    <w:t>具体内容</w:t>
                  </w:r>
                  <w:bookmarkEnd w:id="236"/>
                </w:p>
              </w:tc>
              <w:tc>
                <w:tcPr>
                  <w:tcW w:w="421" w:type="pct"/>
                  <w:tcBorders>
                    <w:top w:val="single" w:color="auto" w:sz="4" w:space="0"/>
                    <w:left w:val="single" w:color="auto" w:sz="4" w:space="0"/>
                    <w:bottom w:val="single" w:color="auto" w:sz="4" w:space="0"/>
                    <w:right w:val="single" w:color="auto" w:sz="4" w:space="0"/>
                  </w:tcBorders>
                  <w:vAlign w:val="center"/>
                </w:tcPr>
                <w:p w14:paraId="077021E7">
                  <w:pPr>
                    <w:rPr>
                      <w:color w:val="auto"/>
                      <w:highlight w:val="none"/>
                    </w:rPr>
                  </w:pPr>
                  <w:r>
                    <w:rPr>
                      <w:color w:val="auto"/>
                      <w:highlight w:val="none"/>
                    </w:rPr>
                    <w:t>数量</w:t>
                  </w:r>
                </w:p>
              </w:tc>
              <w:tc>
                <w:tcPr>
                  <w:tcW w:w="1063" w:type="pct"/>
                  <w:tcBorders>
                    <w:top w:val="single" w:color="auto" w:sz="4" w:space="0"/>
                    <w:left w:val="single" w:color="auto" w:sz="4" w:space="0"/>
                    <w:bottom w:val="single" w:color="auto" w:sz="4" w:space="0"/>
                    <w:right w:val="single" w:color="auto" w:sz="4" w:space="0"/>
                  </w:tcBorders>
                  <w:vAlign w:val="center"/>
                </w:tcPr>
                <w:p w14:paraId="73D1591B">
                  <w:pPr>
                    <w:rPr>
                      <w:color w:val="auto"/>
                      <w:highlight w:val="none"/>
                    </w:rPr>
                  </w:pPr>
                  <w:r>
                    <w:rPr>
                      <w:color w:val="auto"/>
                      <w:highlight w:val="none"/>
                    </w:rPr>
                    <w:t>形式</w:t>
                  </w:r>
                </w:p>
              </w:tc>
            </w:tr>
            <w:tr w14:paraId="08A6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tcBorders>
                    <w:top w:val="single" w:color="auto" w:sz="4" w:space="0"/>
                    <w:left w:val="single" w:color="auto" w:sz="4" w:space="0"/>
                    <w:bottom w:val="single" w:color="auto" w:sz="4" w:space="0"/>
                    <w:right w:val="single" w:color="auto" w:sz="4" w:space="0"/>
                  </w:tcBorders>
                  <w:vAlign w:val="center"/>
                </w:tcPr>
                <w:p w14:paraId="5BBBD19D">
                  <w:pPr>
                    <w:numPr>
                      <w:ilvl w:val="0"/>
                      <w:numId w:val="2"/>
                    </w:numPr>
                    <w:tabs>
                      <w:tab w:val="clear" w:pos="420"/>
                    </w:tabs>
                    <w:rPr>
                      <w:color w:val="auto"/>
                      <w:highlight w:val="none"/>
                    </w:rPr>
                  </w:pPr>
                </w:p>
              </w:tc>
              <w:tc>
                <w:tcPr>
                  <w:tcW w:w="3093" w:type="pct"/>
                  <w:tcBorders>
                    <w:top w:val="single" w:color="auto" w:sz="4" w:space="0"/>
                    <w:left w:val="single" w:color="auto" w:sz="4" w:space="0"/>
                    <w:bottom w:val="single" w:color="auto" w:sz="4" w:space="0"/>
                    <w:right w:val="single" w:color="auto" w:sz="4" w:space="0"/>
                  </w:tcBorders>
                  <w:vAlign w:val="center"/>
                </w:tcPr>
                <w:p w14:paraId="4F655870">
                  <w:pPr>
                    <w:rPr>
                      <w:color w:val="auto"/>
                      <w:highlight w:val="none"/>
                    </w:rPr>
                  </w:pPr>
                  <w:r>
                    <w:rPr>
                      <w:color w:val="auto"/>
                      <w:highlight w:val="none"/>
                    </w:rPr>
                    <w:t>现状调研分析报告</w:t>
                  </w:r>
                </w:p>
              </w:tc>
              <w:tc>
                <w:tcPr>
                  <w:tcW w:w="421" w:type="pct"/>
                  <w:tcBorders>
                    <w:top w:val="single" w:color="auto" w:sz="4" w:space="0"/>
                    <w:left w:val="single" w:color="auto" w:sz="4" w:space="0"/>
                    <w:bottom w:val="single" w:color="auto" w:sz="4" w:space="0"/>
                    <w:right w:val="single" w:color="auto" w:sz="4" w:space="0"/>
                  </w:tcBorders>
                  <w:vAlign w:val="center"/>
                </w:tcPr>
                <w:p w14:paraId="7DFEA9CF">
                  <w:pPr>
                    <w:rPr>
                      <w:color w:val="auto"/>
                      <w:highlight w:val="none"/>
                    </w:rPr>
                  </w:pPr>
                  <w:r>
                    <w:rPr>
                      <w:color w:val="auto"/>
                      <w:highlight w:val="none"/>
                    </w:rPr>
                    <w:t>1</w:t>
                  </w:r>
                </w:p>
              </w:tc>
              <w:tc>
                <w:tcPr>
                  <w:tcW w:w="1063" w:type="pct"/>
                  <w:tcBorders>
                    <w:top w:val="single" w:color="auto" w:sz="4" w:space="0"/>
                    <w:left w:val="single" w:color="auto" w:sz="4" w:space="0"/>
                    <w:bottom w:val="single" w:color="auto" w:sz="4" w:space="0"/>
                    <w:right w:val="single" w:color="auto" w:sz="4" w:space="0"/>
                  </w:tcBorders>
                  <w:vAlign w:val="center"/>
                </w:tcPr>
                <w:p w14:paraId="2DC56455">
                  <w:pPr>
                    <w:rPr>
                      <w:color w:val="auto"/>
                      <w:highlight w:val="none"/>
                    </w:rPr>
                  </w:pPr>
                  <w:r>
                    <w:rPr>
                      <w:color w:val="auto"/>
                      <w:highlight w:val="none"/>
                    </w:rPr>
                    <w:t>文件</w:t>
                  </w:r>
                </w:p>
              </w:tc>
            </w:tr>
            <w:tr w14:paraId="054C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tcBorders>
                    <w:top w:val="single" w:color="auto" w:sz="4" w:space="0"/>
                    <w:left w:val="single" w:color="auto" w:sz="4" w:space="0"/>
                    <w:bottom w:val="single" w:color="auto" w:sz="4" w:space="0"/>
                    <w:right w:val="single" w:color="auto" w:sz="4" w:space="0"/>
                  </w:tcBorders>
                  <w:vAlign w:val="center"/>
                </w:tcPr>
                <w:p w14:paraId="06FA6159">
                  <w:pPr>
                    <w:numPr>
                      <w:ilvl w:val="0"/>
                      <w:numId w:val="2"/>
                    </w:numPr>
                    <w:tabs>
                      <w:tab w:val="clear" w:pos="420"/>
                    </w:tabs>
                    <w:rPr>
                      <w:color w:val="auto"/>
                      <w:highlight w:val="none"/>
                    </w:rPr>
                  </w:pPr>
                </w:p>
              </w:tc>
              <w:tc>
                <w:tcPr>
                  <w:tcW w:w="3093" w:type="pct"/>
                  <w:tcBorders>
                    <w:top w:val="single" w:color="auto" w:sz="4" w:space="0"/>
                    <w:left w:val="single" w:color="auto" w:sz="4" w:space="0"/>
                    <w:bottom w:val="single" w:color="auto" w:sz="4" w:space="0"/>
                    <w:right w:val="single" w:color="auto" w:sz="4" w:space="0"/>
                  </w:tcBorders>
                  <w:vAlign w:val="center"/>
                </w:tcPr>
                <w:p w14:paraId="4E753AF8">
                  <w:pPr>
                    <w:rPr>
                      <w:color w:val="auto"/>
                      <w:highlight w:val="none"/>
                    </w:rPr>
                  </w:pPr>
                  <w:r>
                    <w:rPr>
                      <w:color w:val="auto"/>
                      <w:highlight w:val="none"/>
                    </w:rPr>
                    <w:t>SAE ARP 4754建设报告</w:t>
                  </w:r>
                </w:p>
              </w:tc>
              <w:tc>
                <w:tcPr>
                  <w:tcW w:w="421" w:type="pct"/>
                  <w:tcBorders>
                    <w:top w:val="single" w:color="auto" w:sz="4" w:space="0"/>
                    <w:left w:val="single" w:color="auto" w:sz="4" w:space="0"/>
                    <w:bottom w:val="single" w:color="auto" w:sz="4" w:space="0"/>
                    <w:right w:val="single" w:color="auto" w:sz="4" w:space="0"/>
                  </w:tcBorders>
                  <w:vAlign w:val="center"/>
                </w:tcPr>
                <w:p w14:paraId="0264194F">
                  <w:pPr>
                    <w:rPr>
                      <w:color w:val="auto"/>
                      <w:highlight w:val="none"/>
                    </w:rPr>
                  </w:pPr>
                  <w:r>
                    <w:rPr>
                      <w:color w:val="auto"/>
                      <w:highlight w:val="none"/>
                    </w:rPr>
                    <w:t>1</w:t>
                  </w:r>
                </w:p>
              </w:tc>
              <w:tc>
                <w:tcPr>
                  <w:tcW w:w="1063" w:type="pct"/>
                  <w:tcBorders>
                    <w:top w:val="single" w:color="auto" w:sz="4" w:space="0"/>
                    <w:left w:val="single" w:color="auto" w:sz="4" w:space="0"/>
                    <w:bottom w:val="single" w:color="auto" w:sz="4" w:space="0"/>
                    <w:right w:val="single" w:color="auto" w:sz="4" w:space="0"/>
                  </w:tcBorders>
                  <w:vAlign w:val="center"/>
                </w:tcPr>
                <w:p w14:paraId="552B9DAD">
                  <w:pPr>
                    <w:rPr>
                      <w:color w:val="auto"/>
                      <w:highlight w:val="none"/>
                    </w:rPr>
                  </w:pPr>
                  <w:r>
                    <w:rPr>
                      <w:color w:val="auto"/>
                      <w:highlight w:val="none"/>
                    </w:rPr>
                    <w:t>文件</w:t>
                  </w:r>
                </w:p>
              </w:tc>
            </w:tr>
            <w:tr w14:paraId="4054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tcBorders>
                    <w:top w:val="single" w:color="auto" w:sz="4" w:space="0"/>
                    <w:left w:val="single" w:color="auto" w:sz="4" w:space="0"/>
                    <w:bottom w:val="single" w:color="auto" w:sz="4" w:space="0"/>
                    <w:right w:val="single" w:color="auto" w:sz="4" w:space="0"/>
                  </w:tcBorders>
                  <w:vAlign w:val="center"/>
                </w:tcPr>
                <w:p w14:paraId="6FAB9165">
                  <w:pPr>
                    <w:numPr>
                      <w:ilvl w:val="0"/>
                      <w:numId w:val="2"/>
                    </w:numPr>
                    <w:tabs>
                      <w:tab w:val="clear" w:pos="420"/>
                    </w:tabs>
                    <w:rPr>
                      <w:color w:val="auto"/>
                      <w:highlight w:val="none"/>
                    </w:rPr>
                  </w:pPr>
                </w:p>
              </w:tc>
              <w:tc>
                <w:tcPr>
                  <w:tcW w:w="3093" w:type="pct"/>
                  <w:tcBorders>
                    <w:top w:val="single" w:color="auto" w:sz="4" w:space="0"/>
                    <w:left w:val="single" w:color="auto" w:sz="4" w:space="0"/>
                    <w:bottom w:val="single" w:color="auto" w:sz="4" w:space="0"/>
                    <w:right w:val="single" w:color="auto" w:sz="4" w:space="0"/>
                  </w:tcBorders>
                  <w:vAlign w:val="center"/>
                </w:tcPr>
                <w:p w14:paraId="23F5B3B9">
                  <w:pPr>
                    <w:rPr>
                      <w:color w:val="auto"/>
                      <w:highlight w:val="none"/>
                    </w:rPr>
                  </w:pPr>
                  <w:r>
                    <w:rPr>
                      <w:color w:val="auto"/>
                      <w:highlight w:val="none"/>
                    </w:rPr>
                    <w:t>持续适航体系建设报告</w:t>
                  </w:r>
                </w:p>
              </w:tc>
              <w:tc>
                <w:tcPr>
                  <w:tcW w:w="421" w:type="pct"/>
                  <w:tcBorders>
                    <w:top w:val="single" w:color="auto" w:sz="4" w:space="0"/>
                    <w:left w:val="single" w:color="auto" w:sz="4" w:space="0"/>
                    <w:bottom w:val="single" w:color="auto" w:sz="4" w:space="0"/>
                    <w:right w:val="single" w:color="auto" w:sz="4" w:space="0"/>
                  </w:tcBorders>
                  <w:vAlign w:val="center"/>
                </w:tcPr>
                <w:p w14:paraId="23FC8691">
                  <w:pPr>
                    <w:rPr>
                      <w:color w:val="auto"/>
                      <w:highlight w:val="none"/>
                    </w:rPr>
                  </w:pPr>
                  <w:r>
                    <w:rPr>
                      <w:color w:val="auto"/>
                      <w:highlight w:val="none"/>
                    </w:rPr>
                    <w:t>1</w:t>
                  </w:r>
                </w:p>
              </w:tc>
              <w:tc>
                <w:tcPr>
                  <w:tcW w:w="1063" w:type="pct"/>
                  <w:tcBorders>
                    <w:top w:val="single" w:color="auto" w:sz="4" w:space="0"/>
                    <w:left w:val="single" w:color="auto" w:sz="4" w:space="0"/>
                    <w:bottom w:val="single" w:color="auto" w:sz="4" w:space="0"/>
                    <w:right w:val="single" w:color="auto" w:sz="4" w:space="0"/>
                  </w:tcBorders>
                  <w:vAlign w:val="center"/>
                </w:tcPr>
                <w:p w14:paraId="29C331A8">
                  <w:pPr>
                    <w:rPr>
                      <w:color w:val="auto"/>
                      <w:highlight w:val="none"/>
                    </w:rPr>
                  </w:pPr>
                  <w:r>
                    <w:rPr>
                      <w:color w:val="auto"/>
                      <w:highlight w:val="none"/>
                    </w:rPr>
                    <w:t>文件</w:t>
                  </w:r>
                </w:p>
              </w:tc>
            </w:tr>
            <w:tr w14:paraId="7746E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tcBorders>
                    <w:top w:val="single" w:color="auto" w:sz="4" w:space="0"/>
                    <w:left w:val="single" w:color="auto" w:sz="4" w:space="0"/>
                    <w:bottom w:val="single" w:color="auto" w:sz="4" w:space="0"/>
                    <w:right w:val="single" w:color="auto" w:sz="4" w:space="0"/>
                  </w:tcBorders>
                  <w:vAlign w:val="center"/>
                </w:tcPr>
                <w:p w14:paraId="10D8291E">
                  <w:pPr>
                    <w:numPr>
                      <w:ilvl w:val="0"/>
                      <w:numId w:val="2"/>
                    </w:numPr>
                    <w:tabs>
                      <w:tab w:val="clear" w:pos="420"/>
                    </w:tabs>
                    <w:rPr>
                      <w:color w:val="auto"/>
                      <w:highlight w:val="none"/>
                    </w:rPr>
                  </w:pPr>
                </w:p>
              </w:tc>
              <w:tc>
                <w:tcPr>
                  <w:tcW w:w="3093" w:type="pct"/>
                  <w:tcBorders>
                    <w:top w:val="single" w:color="auto" w:sz="4" w:space="0"/>
                    <w:left w:val="single" w:color="auto" w:sz="4" w:space="0"/>
                    <w:bottom w:val="single" w:color="auto" w:sz="4" w:space="0"/>
                    <w:right w:val="single" w:color="auto" w:sz="4" w:space="0"/>
                  </w:tcBorders>
                  <w:vAlign w:val="center"/>
                </w:tcPr>
                <w:p w14:paraId="4FAE2A8E">
                  <w:pPr>
                    <w:rPr>
                      <w:color w:val="auto"/>
                      <w:highlight w:val="none"/>
                    </w:rPr>
                  </w:pPr>
                  <w:r>
                    <w:rPr>
                      <w:color w:val="auto"/>
                      <w:highlight w:val="none"/>
                    </w:rPr>
                    <w:t>体系建设方案</w:t>
                  </w:r>
                </w:p>
              </w:tc>
              <w:tc>
                <w:tcPr>
                  <w:tcW w:w="421" w:type="pct"/>
                  <w:tcBorders>
                    <w:top w:val="single" w:color="auto" w:sz="4" w:space="0"/>
                    <w:left w:val="single" w:color="auto" w:sz="4" w:space="0"/>
                    <w:bottom w:val="single" w:color="auto" w:sz="4" w:space="0"/>
                    <w:right w:val="single" w:color="auto" w:sz="4" w:space="0"/>
                  </w:tcBorders>
                </w:tcPr>
                <w:p w14:paraId="67A36E70">
                  <w:pPr>
                    <w:rPr>
                      <w:color w:val="auto"/>
                      <w:highlight w:val="none"/>
                    </w:rPr>
                  </w:pPr>
                  <w:r>
                    <w:rPr>
                      <w:color w:val="auto"/>
                      <w:highlight w:val="none"/>
                    </w:rPr>
                    <w:t>1</w:t>
                  </w:r>
                </w:p>
              </w:tc>
              <w:tc>
                <w:tcPr>
                  <w:tcW w:w="1063" w:type="pct"/>
                  <w:tcBorders>
                    <w:top w:val="single" w:color="auto" w:sz="4" w:space="0"/>
                    <w:left w:val="single" w:color="auto" w:sz="4" w:space="0"/>
                    <w:bottom w:val="single" w:color="auto" w:sz="4" w:space="0"/>
                    <w:right w:val="single" w:color="auto" w:sz="4" w:space="0"/>
                  </w:tcBorders>
                  <w:vAlign w:val="center"/>
                </w:tcPr>
                <w:p w14:paraId="03D0AB43">
                  <w:pPr>
                    <w:rPr>
                      <w:color w:val="auto"/>
                      <w:highlight w:val="none"/>
                    </w:rPr>
                  </w:pPr>
                  <w:r>
                    <w:rPr>
                      <w:color w:val="auto"/>
                      <w:highlight w:val="none"/>
                    </w:rPr>
                    <w:t>文件</w:t>
                  </w:r>
                </w:p>
              </w:tc>
            </w:tr>
            <w:tr w14:paraId="7D18F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tcBorders>
                    <w:top w:val="single" w:color="auto" w:sz="4" w:space="0"/>
                    <w:left w:val="single" w:color="auto" w:sz="4" w:space="0"/>
                    <w:bottom w:val="single" w:color="auto" w:sz="4" w:space="0"/>
                    <w:right w:val="single" w:color="auto" w:sz="4" w:space="0"/>
                  </w:tcBorders>
                  <w:vAlign w:val="center"/>
                </w:tcPr>
                <w:p w14:paraId="75B46288">
                  <w:pPr>
                    <w:numPr>
                      <w:ilvl w:val="0"/>
                      <w:numId w:val="2"/>
                    </w:numPr>
                    <w:tabs>
                      <w:tab w:val="clear" w:pos="420"/>
                    </w:tabs>
                    <w:rPr>
                      <w:color w:val="auto"/>
                      <w:highlight w:val="none"/>
                    </w:rPr>
                  </w:pPr>
                </w:p>
              </w:tc>
              <w:tc>
                <w:tcPr>
                  <w:tcW w:w="3093" w:type="pct"/>
                  <w:tcBorders>
                    <w:top w:val="single" w:color="auto" w:sz="4" w:space="0"/>
                    <w:left w:val="single" w:color="auto" w:sz="4" w:space="0"/>
                    <w:bottom w:val="single" w:color="auto" w:sz="4" w:space="0"/>
                    <w:right w:val="single" w:color="auto" w:sz="4" w:space="0"/>
                  </w:tcBorders>
                  <w:vAlign w:val="center"/>
                </w:tcPr>
                <w:p w14:paraId="24350101">
                  <w:pPr>
                    <w:rPr>
                      <w:color w:val="auto"/>
                      <w:highlight w:val="none"/>
                    </w:rPr>
                  </w:pPr>
                  <w:r>
                    <w:rPr>
                      <w:color w:val="auto"/>
                      <w:highlight w:val="none"/>
                    </w:rPr>
                    <w:t>全套体系文件</w:t>
                  </w:r>
                </w:p>
              </w:tc>
              <w:tc>
                <w:tcPr>
                  <w:tcW w:w="421" w:type="pct"/>
                  <w:tcBorders>
                    <w:top w:val="single" w:color="auto" w:sz="4" w:space="0"/>
                    <w:left w:val="single" w:color="auto" w:sz="4" w:space="0"/>
                    <w:bottom w:val="single" w:color="auto" w:sz="4" w:space="0"/>
                    <w:right w:val="single" w:color="auto" w:sz="4" w:space="0"/>
                  </w:tcBorders>
                </w:tcPr>
                <w:p w14:paraId="2074581C">
                  <w:pPr>
                    <w:rPr>
                      <w:color w:val="auto"/>
                      <w:highlight w:val="none"/>
                    </w:rPr>
                  </w:pPr>
                  <w:r>
                    <w:rPr>
                      <w:color w:val="auto"/>
                      <w:highlight w:val="none"/>
                    </w:rPr>
                    <w:t>1</w:t>
                  </w:r>
                </w:p>
              </w:tc>
              <w:tc>
                <w:tcPr>
                  <w:tcW w:w="1063" w:type="pct"/>
                  <w:tcBorders>
                    <w:top w:val="single" w:color="auto" w:sz="4" w:space="0"/>
                    <w:left w:val="single" w:color="auto" w:sz="4" w:space="0"/>
                    <w:bottom w:val="single" w:color="auto" w:sz="4" w:space="0"/>
                    <w:right w:val="single" w:color="auto" w:sz="4" w:space="0"/>
                  </w:tcBorders>
                  <w:vAlign w:val="center"/>
                </w:tcPr>
                <w:p w14:paraId="2A64EE5C">
                  <w:pPr>
                    <w:rPr>
                      <w:color w:val="auto"/>
                      <w:highlight w:val="none"/>
                    </w:rPr>
                  </w:pPr>
                  <w:r>
                    <w:rPr>
                      <w:color w:val="auto"/>
                      <w:highlight w:val="none"/>
                    </w:rPr>
                    <w:t>文件</w:t>
                  </w:r>
                </w:p>
              </w:tc>
            </w:tr>
            <w:tr w14:paraId="6A14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tcBorders>
                    <w:top w:val="single" w:color="auto" w:sz="4" w:space="0"/>
                    <w:left w:val="single" w:color="auto" w:sz="4" w:space="0"/>
                    <w:bottom w:val="single" w:color="auto" w:sz="4" w:space="0"/>
                    <w:right w:val="single" w:color="auto" w:sz="4" w:space="0"/>
                  </w:tcBorders>
                  <w:vAlign w:val="center"/>
                </w:tcPr>
                <w:p w14:paraId="42DA5FD4">
                  <w:pPr>
                    <w:numPr>
                      <w:ilvl w:val="0"/>
                      <w:numId w:val="2"/>
                    </w:numPr>
                    <w:tabs>
                      <w:tab w:val="clear" w:pos="420"/>
                    </w:tabs>
                    <w:rPr>
                      <w:color w:val="auto"/>
                      <w:highlight w:val="none"/>
                    </w:rPr>
                  </w:pPr>
                </w:p>
              </w:tc>
              <w:tc>
                <w:tcPr>
                  <w:tcW w:w="3093" w:type="pct"/>
                  <w:tcBorders>
                    <w:top w:val="single" w:color="auto" w:sz="4" w:space="0"/>
                    <w:left w:val="single" w:color="auto" w:sz="4" w:space="0"/>
                    <w:bottom w:val="single" w:color="auto" w:sz="4" w:space="0"/>
                    <w:right w:val="single" w:color="auto" w:sz="4" w:space="0"/>
                  </w:tcBorders>
                  <w:vAlign w:val="center"/>
                </w:tcPr>
                <w:p w14:paraId="4E9B1D0F">
                  <w:pPr>
                    <w:rPr>
                      <w:color w:val="auto"/>
                      <w:highlight w:val="none"/>
                    </w:rPr>
                  </w:pPr>
                  <w:r>
                    <w:rPr>
                      <w:color w:val="auto"/>
                      <w:highlight w:val="none"/>
                    </w:rPr>
                    <w:t>项目实施报告</w:t>
                  </w:r>
                </w:p>
              </w:tc>
              <w:tc>
                <w:tcPr>
                  <w:tcW w:w="421" w:type="pct"/>
                  <w:tcBorders>
                    <w:top w:val="single" w:color="auto" w:sz="4" w:space="0"/>
                    <w:left w:val="single" w:color="auto" w:sz="4" w:space="0"/>
                    <w:bottom w:val="single" w:color="auto" w:sz="4" w:space="0"/>
                    <w:right w:val="single" w:color="auto" w:sz="4" w:space="0"/>
                  </w:tcBorders>
                </w:tcPr>
                <w:p w14:paraId="2FB6A882">
                  <w:pPr>
                    <w:rPr>
                      <w:color w:val="auto"/>
                      <w:highlight w:val="none"/>
                    </w:rPr>
                  </w:pPr>
                  <w:r>
                    <w:rPr>
                      <w:color w:val="auto"/>
                      <w:highlight w:val="none"/>
                    </w:rPr>
                    <w:t>1</w:t>
                  </w:r>
                </w:p>
              </w:tc>
              <w:tc>
                <w:tcPr>
                  <w:tcW w:w="1063" w:type="pct"/>
                  <w:tcBorders>
                    <w:top w:val="single" w:color="auto" w:sz="4" w:space="0"/>
                    <w:left w:val="single" w:color="auto" w:sz="4" w:space="0"/>
                    <w:bottom w:val="single" w:color="auto" w:sz="4" w:space="0"/>
                    <w:right w:val="single" w:color="auto" w:sz="4" w:space="0"/>
                  </w:tcBorders>
                  <w:vAlign w:val="center"/>
                </w:tcPr>
                <w:p w14:paraId="0D6B57D3">
                  <w:pPr>
                    <w:rPr>
                      <w:color w:val="auto"/>
                      <w:highlight w:val="none"/>
                    </w:rPr>
                  </w:pPr>
                  <w:r>
                    <w:rPr>
                      <w:color w:val="auto"/>
                      <w:highlight w:val="none"/>
                    </w:rPr>
                    <w:t>文件</w:t>
                  </w:r>
                </w:p>
              </w:tc>
            </w:tr>
            <w:tr w14:paraId="7515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tcBorders>
                    <w:top w:val="single" w:color="auto" w:sz="4" w:space="0"/>
                    <w:left w:val="single" w:color="auto" w:sz="4" w:space="0"/>
                    <w:bottom w:val="single" w:color="auto" w:sz="4" w:space="0"/>
                    <w:right w:val="single" w:color="auto" w:sz="4" w:space="0"/>
                  </w:tcBorders>
                  <w:vAlign w:val="center"/>
                </w:tcPr>
                <w:p w14:paraId="404437E0">
                  <w:pPr>
                    <w:numPr>
                      <w:ilvl w:val="0"/>
                      <w:numId w:val="2"/>
                    </w:numPr>
                    <w:tabs>
                      <w:tab w:val="clear" w:pos="420"/>
                    </w:tabs>
                    <w:rPr>
                      <w:color w:val="auto"/>
                      <w:highlight w:val="none"/>
                    </w:rPr>
                  </w:pPr>
                </w:p>
              </w:tc>
              <w:tc>
                <w:tcPr>
                  <w:tcW w:w="3093" w:type="pct"/>
                  <w:tcBorders>
                    <w:top w:val="single" w:color="auto" w:sz="4" w:space="0"/>
                    <w:left w:val="single" w:color="auto" w:sz="4" w:space="0"/>
                    <w:bottom w:val="single" w:color="auto" w:sz="4" w:space="0"/>
                    <w:right w:val="single" w:color="auto" w:sz="4" w:space="0"/>
                  </w:tcBorders>
                  <w:vAlign w:val="center"/>
                </w:tcPr>
                <w:p w14:paraId="142066BE">
                  <w:pPr>
                    <w:rPr>
                      <w:color w:val="auto"/>
                      <w:highlight w:val="none"/>
                    </w:rPr>
                  </w:pPr>
                  <w:r>
                    <w:rPr>
                      <w:color w:val="auto"/>
                      <w:highlight w:val="none"/>
                    </w:rPr>
                    <w:t>培训资料</w:t>
                  </w:r>
                </w:p>
              </w:tc>
              <w:tc>
                <w:tcPr>
                  <w:tcW w:w="421" w:type="pct"/>
                  <w:tcBorders>
                    <w:top w:val="single" w:color="auto" w:sz="4" w:space="0"/>
                    <w:left w:val="single" w:color="auto" w:sz="4" w:space="0"/>
                    <w:bottom w:val="single" w:color="auto" w:sz="4" w:space="0"/>
                    <w:right w:val="single" w:color="auto" w:sz="4" w:space="0"/>
                  </w:tcBorders>
                </w:tcPr>
                <w:p w14:paraId="3A123CBF">
                  <w:pPr>
                    <w:rPr>
                      <w:color w:val="auto"/>
                      <w:highlight w:val="none"/>
                    </w:rPr>
                  </w:pPr>
                  <w:r>
                    <w:rPr>
                      <w:color w:val="auto"/>
                      <w:highlight w:val="none"/>
                    </w:rPr>
                    <w:t>1</w:t>
                  </w:r>
                </w:p>
              </w:tc>
              <w:tc>
                <w:tcPr>
                  <w:tcW w:w="1063" w:type="pct"/>
                  <w:tcBorders>
                    <w:top w:val="single" w:color="auto" w:sz="4" w:space="0"/>
                    <w:left w:val="single" w:color="auto" w:sz="4" w:space="0"/>
                    <w:bottom w:val="single" w:color="auto" w:sz="4" w:space="0"/>
                    <w:right w:val="single" w:color="auto" w:sz="4" w:space="0"/>
                  </w:tcBorders>
                  <w:vAlign w:val="center"/>
                </w:tcPr>
                <w:p w14:paraId="68B14E4A">
                  <w:pPr>
                    <w:rPr>
                      <w:color w:val="auto"/>
                      <w:highlight w:val="none"/>
                    </w:rPr>
                  </w:pPr>
                  <w:r>
                    <w:rPr>
                      <w:color w:val="auto"/>
                      <w:highlight w:val="none"/>
                    </w:rPr>
                    <w:t>文件</w:t>
                  </w:r>
                </w:p>
              </w:tc>
            </w:tr>
          </w:tbl>
          <w:p w14:paraId="50ADC62F">
            <w:pPr>
              <w:rPr>
                <w:color w:val="auto"/>
                <w:highlight w:val="none"/>
              </w:rPr>
            </w:pPr>
          </w:p>
        </w:tc>
      </w:tr>
      <w:tr w14:paraId="549E1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4233B470">
            <w:pPr>
              <w:rPr>
                <w:color w:val="auto"/>
                <w:highlight w:val="none"/>
              </w:rPr>
            </w:pPr>
            <w:r>
              <w:rPr>
                <w:b/>
                <w:bCs/>
                <w:color w:val="auto"/>
                <w:highlight w:val="none"/>
              </w:rPr>
              <w:t>4  质量保证要求</w:t>
            </w:r>
          </w:p>
        </w:tc>
      </w:tr>
      <w:tr w14:paraId="3FE32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4FEB5E01">
            <w:pPr>
              <w:rPr>
                <w:color w:val="auto"/>
                <w:highlight w:val="none"/>
              </w:rPr>
            </w:pPr>
            <w:r>
              <w:rPr>
                <w:color w:val="auto"/>
                <w:highlight w:val="none"/>
              </w:rPr>
              <w:t>4.1 项目所有交付物可执行、可用于审查，不接受纯理论方案。</w:t>
            </w:r>
          </w:p>
          <w:p w14:paraId="13822B9A">
            <w:pPr>
              <w:rPr>
                <w:color w:val="auto"/>
                <w:highlight w:val="none"/>
              </w:rPr>
            </w:pPr>
            <w:r>
              <w:rPr>
                <w:color w:val="auto"/>
                <w:highlight w:val="none"/>
              </w:rPr>
              <w:t>4.2 甲方对该项目的验收、服务等过程进行监督；</w:t>
            </w:r>
          </w:p>
          <w:p w14:paraId="03CF6141">
            <w:pPr>
              <w:rPr>
                <w:color w:val="auto"/>
                <w:highlight w:val="none"/>
              </w:rPr>
            </w:pPr>
            <w:r>
              <w:rPr>
                <w:color w:val="auto"/>
                <w:highlight w:val="none"/>
              </w:rPr>
              <w:t>4.3 乙方应接受甲方或甲方现场代表对研制工作的质量监督；</w:t>
            </w:r>
          </w:p>
          <w:p w14:paraId="45D2B7D4">
            <w:pPr>
              <w:rPr>
                <w:color w:val="auto"/>
                <w:highlight w:val="none"/>
              </w:rPr>
            </w:pPr>
            <w:r>
              <w:rPr>
                <w:color w:val="auto"/>
                <w:highlight w:val="none"/>
              </w:rPr>
              <w:t>4.4 甲方及甲方现场代表可定期或不定期组织对乙方工作进行检查和评审。</w:t>
            </w:r>
          </w:p>
        </w:tc>
      </w:tr>
      <w:tr w14:paraId="0902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08B0FDB9">
            <w:pPr>
              <w:rPr>
                <w:b/>
                <w:bCs/>
                <w:color w:val="auto"/>
                <w:highlight w:val="none"/>
              </w:rPr>
            </w:pPr>
            <w:r>
              <w:rPr>
                <w:b/>
                <w:bCs/>
                <w:color w:val="auto"/>
                <w:highlight w:val="none"/>
              </w:rPr>
              <w:t>5  双方分工与职责</w:t>
            </w:r>
          </w:p>
        </w:tc>
      </w:tr>
      <w:tr w14:paraId="435D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96D0E72">
            <w:pPr>
              <w:rPr>
                <w:b/>
                <w:color w:val="auto"/>
                <w:highlight w:val="none"/>
              </w:rPr>
            </w:pPr>
            <w:r>
              <w:rPr>
                <w:b/>
                <w:color w:val="auto"/>
                <w:highlight w:val="none"/>
              </w:rPr>
              <w:t>5.1 甲方责任</w:t>
            </w:r>
          </w:p>
          <w:p w14:paraId="27CFFE23">
            <w:pPr>
              <w:numPr>
                <w:ilvl w:val="0"/>
                <w:numId w:val="3"/>
              </w:numPr>
              <w:ind w:firstLine="480" w:firstLineChars="200"/>
              <w:rPr>
                <w:color w:val="auto"/>
                <w:highlight w:val="none"/>
              </w:rPr>
            </w:pPr>
            <w:r>
              <w:rPr>
                <w:color w:val="auto"/>
                <w:highlight w:val="none"/>
              </w:rPr>
              <w:t>甲方负责向乙方提供项目实施所需资料和工作条件，并保证所提供资料的按时性和准确性；</w:t>
            </w:r>
          </w:p>
          <w:p w14:paraId="71554C92">
            <w:pPr>
              <w:numPr>
                <w:ilvl w:val="0"/>
                <w:numId w:val="3"/>
              </w:numPr>
              <w:ind w:firstLine="480" w:firstLineChars="200"/>
              <w:rPr>
                <w:color w:val="auto"/>
                <w:highlight w:val="none"/>
              </w:rPr>
            </w:pPr>
            <w:r>
              <w:rPr>
                <w:color w:val="auto"/>
                <w:highlight w:val="none"/>
              </w:rPr>
              <w:t>项目实施期间，甲方负责向乙方提出参考意见或修改意见；</w:t>
            </w:r>
          </w:p>
          <w:p w14:paraId="70675E4B">
            <w:pPr>
              <w:numPr>
                <w:ilvl w:val="0"/>
                <w:numId w:val="3"/>
              </w:numPr>
              <w:ind w:firstLine="480" w:firstLineChars="200"/>
              <w:rPr>
                <w:color w:val="auto"/>
                <w:highlight w:val="none"/>
              </w:rPr>
            </w:pPr>
            <w:r>
              <w:rPr>
                <w:color w:val="auto"/>
                <w:highlight w:val="none"/>
              </w:rPr>
              <w:t>甲方负责组织相关人员对乙方工作成果进行审核验收；</w:t>
            </w:r>
          </w:p>
          <w:p w14:paraId="48995AC2">
            <w:pPr>
              <w:numPr>
                <w:ilvl w:val="0"/>
                <w:numId w:val="3"/>
              </w:numPr>
              <w:ind w:firstLine="480" w:firstLineChars="200"/>
              <w:rPr>
                <w:color w:val="auto"/>
                <w:highlight w:val="none"/>
              </w:rPr>
            </w:pPr>
            <w:r>
              <w:rPr>
                <w:color w:val="auto"/>
                <w:highlight w:val="none"/>
              </w:rPr>
              <w:t>甲方应按合同规定向乙方支付费用。</w:t>
            </w:r>
          </w:p>
          <w:p w14:paraId="3E3B9387">
            <w:pPr>
              <w:rPr>
                <w:b/>
                <w:color w:val="auto"/>
                <w:highlight w:val="none"/>
              </w:rPr>
            </w:pPr>
            <w:r>
              <w:rPr>
                <w:b/>
                <w:color w:val="auto"/>
                <w:highlight w:val="none"/>
              </w:rPr>
              <w:t>5.2 乙方责任</w:t>
            </w:r>
          </w:p>
          <w:p w14:paraId="0E976DB9">
            <w:pPr>
              <w:numPr>
                <w:ilvl w:val="0"/>
                <w:numId w:val="4"/>
              </w:numPr>
              <w:ind w:firstLine="480" w:firstLineChars="200"/>
              <w:rPr>
                <w:color w:val="auto"/>
                <w:highlight w:val="none"/>
              </w:rPr>
            </w:pPr>
            <w:r>
              <w:rPr>
                <w:color w:val="auto"/>
                <w:highlight w:val="none"/>
              </w:rPr>
              <w:t>乙方负责成立项目实施小组，承担甲方项目的实施；</w:t>
            </w:r>
          </w:p>
          <w:p w14:paraId="62591737">
            <w:pPr>
              <w:numPr>
                <w:ilvl w:val="0"/>
                <w:numId w:val="4"/>
              </w:numPr>
              <w:ind w:firstLine="480" w:firstLineChars="200"/>
              <w:rPr>
                <w:color w:val="auto"/>
                <w:highlight w:val="none"/>
              </w:rPr>
            </w:pPr>
            <w:r>
              <w:rPr>
                <w:color w:val="auto"/>
                <w:highlight w:val="none"/>
              </w:rPr>
              <w:t>乙方需严格按合同规定节点和开发周期完成项目的实施，所有技术指标、研究内容和成果形式必须满足合同标的的要求；</w:t>
            </w:r>
          </w:p>
          <w:p w14:paraId="0EDC7DFD">
            <w:pPr>
              <w:numPr>
                <w:ilvl w:val="0"/>
                <w:numId w:val="4"/>
              </w:numPr>
              <w:ind w:firstLine="480" w:firstLineChars="200"/>
              <w:rPr>
                <w:color w:val="auto"/>
                <w:highlight w:val="none"/>
              </w:rPr>
            </w:pPr>
            <w:r>
              <w:rPr>
                <w:color w:val="auto"/>
                <w:highlight w:val="none"/>
              </w:rPr>
              <w:t>项目实施期间，乙方负责听取并研究甲方相关意见；</w:t>
            </w:r>
          </w:p>
          <w:p w14:paraId="3BDA00B1">
            <w:pPr>
              <w:numPr>
                <w:ilvl w:val="0"/>
                <w:numId w:val="4"/>
              </w:numPr>
              <w:ind w:firstLine="480" w:firstLineChars="200"/>
              <w:rPr>
                <w:color w:val="auto"/>
                <w:highlight w:val="none"/>
              </w:rPr>
            </w:pPr>
            <w:r>
              <w:rPr>
                <w:color w:val="auto"/>
                <w:highlight w:val="none"/>
              </w:rPr>
              <w:t>项目实施期间，若甲方提出异议，经甲乙双方友好协商后，由乙方进行修改；</w:t>
            </w:r>
          </w:p>
          <w:p w14:paraId="35595F77">
            <w:pPr>
              <w:numPr>
                <w:ilvl w:val="0"/>
                <w:numId w:val="4"/>
              </w:numPr>
              <w:ind w:firstLine="480" w:firstLineChars="200"/>
              <w:rPr>
                <w:color w:val="auto"/>
                <w:highlight w:val="none"/>
              </w:rPr>
            </w:pPr>
            <w:r>
              <w:rPr>
                <w:color w:val="auto"/>
                <w:highlight w:val="none"/>
              </w:rPr>
              <w:t>协同甲方进行项目验收；</w:t>
            </w:r>
          </w:p>
          <w:p w14:paraId="40B037EA">
            <w:pPr>
              <w:numPr>
                <w:ilvl w:val="0"/>
                <w:numId w:val="4"/>
              </w:numPr>
              <w:rPr>
                <w:color w:val="auto"/>
                <w:highlight w:val="none"/>
              </w:rPr>
            </w:pPr>
            <w:r>
              <w:rPr>
                <w:color w:val="auto"/>
                <w:highlight w:val="none"/>
              </w:rPr>
              <w:t>项目验收后，向甲方传授该项目相关技术知识，提供相关的技术指导。</w:t>
            </w:r>
          </w:p>
        </w:tc>
      </w:tr>
      <w:tr w14:paraId="5ED2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04056A7B">
            <w:pPr>
              <w:rPr>
                <w:color w:val="auto"/>
                <w:highlight w:val="none"/>
              </w:rPr>
            </w:pPr>
            <w:r>
              <w:rPr>
                <w:b/>
                <w:bCs/>
                <w:color w:val="auto"/>
                <w:highlight w:val="none"/>
              </w:rPr>
              <w:t>6  技术服务进度</w:t>
            </w:r>
          </w:p>
        </w:tc>
      </w:tr>
      <w:tr w14:paraId="307B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54940C2D">
            <w:pPr>
              <w:rPr>
                <w:b/>
                <w:color w:val="auto"/>
                <w:highlight w:val="none"/>
              </w:rPr>
            </w:pPr>
            <w:r>
              <w:rPr>
                <w:b/>
                <w:color w:val="auto"/>
                <w:highlight w:val="none"/>
              </w:rPr>
              <w:t>6.1 技术服务周期</w:t>
            </w:r>
          </w:p>
          <w:p w14:paraId="4EA3EA5F">
            <w:pPr>
              <w:rPr>
                <w:color w:val="auto"/>
                <w:highlight w:val="none"/>
              </w:rPr>
            </w:pPr>
            <w:r>
              <w:rPr>
                <w:color w:val="auto"/>
                <w:highlight w:val="none"/>
              </w:rPr>
              <w:t>合同签订之日起，5个月内，并通过甲方评审。</w:t>
            </w:r>
          </w:p>
          <w:p w14:paraId="0163180E">
            <w:pPr>
              <w:rPr>
                <w:b/>
                <w:color w:val="auto"/>
                <w:highlight w:val="none"/>
              </w:rPr>
            </w:pPr>
            <w:r>
              <w:rPr>
                <w:b/>
                <w:color w:val="auto"/>
                <w:highlight w:val="none"/>
              </w:rPr>
              <w:t>6.2 项目质保期</w:t>
            </w:r>
          </w:p>
          <w:p w14:paraId="519E86E2">
            <w:pPr>
              <w:rPr>
                <w:color w:val="auto"/>
                <w:highlight w:val="none"/>
              </w:rPr>
            </w:pPr>
            <w:r>
              <w:rPr>
                <w:color w:val="auto"/>
                <w:highlight w:val="none"/>
              </w:rPr>
              <w:t>12个月。</w:t>
            </w:r>
          </w:p>
          <w:p w14:paraId="49A975FA">
            <w:pPr>
              <w:rPr>
                <w:b/>
                <w:color w:val="auto"/>
                <w:highlight w:val="none"/>
              </w:rPr>
            </w:pPr>
            <w:r>
              <w:rPr>
                <w:b/>
                <w:color w:val="auto"/>
                <w:highlight w:val="none"/>
              </w:rPr>
              <w:t>6.3项目研制进度要求</w:t>
            </w:r>
          </w:p>
          <w:p w14:paraId="051FD004">
            <w:pPr>
              <w:rPr>
                <w:color w:val="auto"/>
                <w:highlight w:val="none"/>
              </w:rPr>
            </w:pPr>
            <w:r>
              <w:rPr>
                <w:color w:val="auto"/>
                <w:highlight w:val="none"/>
              </w:rPr>
              <w:t>按照《九洲空管适航能力持续建设咨询服务项目询比文件》以及响应文件等要求执行。技术服务过程中，若在甲、乙双方协调一致后，可根据具体情况调整研制进度。。</w:t>
            </w:r>
          </w:p>
        </w:tc>
      </w:tr>
      <w:tr w14:paraId="3D54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19A3D5F9">
            <w:pPr>
              <w:rPr>
                <w:color w:val="auto"/>
                <w:highlight w:val="none"/>
              </w:rPr>
            </w:pPr>
            <w:r>
              <w:rPr>
                <w:b/>
                <w:bCs/>
                <w:color w:val="auto"/>
                <w:highlight w:val="none"/>
              </w:rPr>
              <w:t>7  合同价款和支付节点</w:t>
            </w:r>
          </w:p>
        </w:tc>
      </w:tr>
      <w:tr w14:paraId="56A7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6C76F68D">
            <w:pPr>
              <w:rPr>
                <w:b/>
                <w:color w:val="auto"/>
                <w:highlight w:val="none"/>
              </w:rPr>
            </w:pPr>
            <w:r>
              <w:rPr>
                <w:b/>
                <w:color w:val="auto"/>
                <w:highlight w:val="none"/>
              </w:rPr>
              <w:t>7.1 合同总价款</w:t>
            </w:r>
          </w:p>
          <w:p w14:paraId="2ADD6A86">
            <w:pPr>
              <w:rPr>
                <w:color w:val="auto"/>
                <w:highlight w:val="none"/>
              </w:rPr>
            </w:pPr>
            <w:r>
              <w:rPr>
                <w:color w:val="auto"/>
                <w:highlight w:val="none"/>
              </w:rPr>
              <w:t>研究开发和报酬总额共计：XX万元（人民币XXX整）。</w:t>
            </w:r>
          </w:p>
          <w:p w14:paraId="0B4C4E5B">
            <w:pPr>
              <w:rPr>
                <w:color w:val="auto"/>
                <w:highlight w:val="none"/>
              </w:rPr>
            </w:pPr>
            <w:r>
              <w:rPr>
                <w:color w:val="auto"/>
                <w:highlight w:val="none"/>
              </w:rPr>
              <w:t>不含税总额：XX元（人民币XXXX）；</w:t>
            </w:r>
          </w:p>
          <w:p w14:paraId="0966AAF7">
            <w:pPr>
              <w:rPr>
                <w:color w:val="auto"/>
                <w:highlight w:val="none"/>
              </w:rPr>
            </w:pPr>
            <w:r>
              <w:rPr>
                <w:color w:val="auto"/>
                <w:highlight w:val="none"/>
              </w:rPr>
              <w:t>税额：XXXX元（人民币XXXX）。</w:t>
            </w:r>
          </w:p>
          <w:p w14:paraId="42B97828">
            <w:pPr>
              <w:rPr>
                <w:b/>
                <w:color w:val="auto"/>
                <w:highlight w:val="none"/>
              </w:rPr>
            </w:pPr>
            <w:r>
              <w:rPr>
                <w:b/>
                <w:color w:val="auto"/>
                <w:highlight w:val="none"/>
              </w:rPr>
              <w:t>7.2 支付方式</w:t>
            </w:r>
          </w:p>
          <w:p w14:paraId="604379BC">
            <w:pPr>
              <w:rPr>
                <w:color w:val="auto"/>
                <w:highlight w:val="none"/>
              </w:rPr>
            </w:pPr>
            <w:r>
              <w:rPr>
                <w:color w:val="auto"/>
                <w:highlight w:val="none"/>
              </w:rPr>
              <w:t>合同签订生效后，乙方按照技术要求，完成现状分析、SAE ARP 4754建设报告、持续适航体系建设报告，经甲方评审通过后，30个工作日内支付乙方30%合同价款,共计XXX万元。</w:t>
            </w:r>
          </w:p>
          <w:p w14:paraId="17A20E05">
            <w:pPr>
              <w:rPr>
                <w:color w:val="auto"/>
                <w:highlight w:val="none"/>
              </w:rPr>
            </w:pPr>
            <w:r>
              <w:rPr>
                <w:color w:val="auto"/>
                <w:highlight w:val="none"/>
              </w:rPr>
              <w:t>乙方在合同约定时间内将体系建设方案、全套体系文件产品交付甲方，通过甲方验收后30个工作日内支付乙方60%合同价款，共计XX万元。</w:t>
            </w:r>
          </w:p>
          <w:p w14:paraId="3F009ECC">
            <w:pPr>
              <w:rPr>
                <w:color w:val="auto"/>
                <w:highlight w:val="none"/>
              </w:rPr>
            </w:pPr>
            <w:r>
              <w:rPr>
                <w:color w:val="auto"/>
                <w:highlight w:val="none"/>
              </w:rPr>
              <w:t>剩余合同尾款作为乙方履行售后服务期保证金，通过局方评审后，30个工作日内支付10%合同价款，共计XX万元。</w:t>
            </w:r>
          </w:p>
          <w:p w14:paraId="15D8CECE">
            <w:pPr>
              <w:rPr>
                <w:color w:val="auto"/>
                <w:highlight w:val="none"/>
              </w:rPr>
            </w:pPr>
            <w:r>
              <w:rPr>
                <w:color w:val="auto"/>
                <w:highlight w:val="none"/>
              </w:rPr>
              <w:t>共计XX万元。</w:t>
            </w:r>
          </w:p>
          <w:p w14:paraId="39826E62">
            <w:pPr>
              <w:rPr>
                <w:b/>
                <w:color w:val="auto"/>
                <w:highlight w:val="none"/>
              </w:rPr>
            </w:pPr>
            <w:r>
              <w:rPr>
                <w:b/>
                <w:color w:val="auto"/>
                <w:highlight w:val="none"/>
              </w:rPr>
              <w:t>7.3 付款要求</w:t>
            </w:r>
          </w:p>
          <w:p w14:paraId="5BD16C42">
            <w:pPr>
              <w:rPr>
                <w:color w:val="auto"/>
                <w:highlight w:val="none"/>
              </w:rPr>
            </w:pPr>
            <w:r>
              <w:rPr>
                <w:color w:val="auto"/>
                <w:highlight w:val="none"/>
              </w:rPr>
              <w:t>乙方必须保证专款专用。</w:t>
            </w:r>
          </w:p>
          <w:p w14:paraId="0C3304D5">
            <w:pPr>
              <w:rPr>
                <w:b/>
                <w:color w:val="auto"/>
                <w:highlight w:val="none"/>
              </w:rPr>
            </w:pPr>
            <w:r>
              <w:rPr>
                <w:b/>
                <w:color w:val="auto"/>
                <w:highlight w:val="none"/>
              </w:rPr>
              <w:t>7.4 结算</w:t>
            </w:r>
          </w:p>
          <w:p w14:paraId="1C4D2597">
            <w:pPr>
              <w:rPr>
                <w:color w:val="auto"/>
                <w:highlight w:val="none"/>
              </w:rPr>
            </w:pPr>
            <w:r>
              <w:rPr>
                <w:color w:val="auto"/>
                <w:highlight w:val="none"/>
              </w:rPr>
              <w:t>乙方在付款节点前提供增值税专用发票，税率为X%，甲方收到发票后按上述支付方式规定，向乙方支付经费。</w:t>
            </w:r>
          </w:p>
        </w:tc>
      </w:tr>
      <w:tr w14:paraId="2171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E6C727C">
            <w:pPr>
              <w:rPr>
                <w:b/>
                <w:bCs/>
                <w:color w:val="auto"/>
                <w:highlight w:val="none"/>
              </w:rPr>
            </w:pPr>
            <w:r>
              <w:rPr>
                <w:b/>
                <w:bCs/>
                <w:color w:val="auto"/>
                <w:highlight w:val="none"/>
              </w:rPr>
              <w:t>8  风险责任承担</w:t>
            </w:r>
          </w:p>
        </w:tc>
      </w:tr>
      <w:tr w14:paraId="6448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bottom"/>
          </w:tcPr>
          <w:p w14:paraId="07C922E5">
            <w:pPr>
              <w:rPr>
                <w:color w:val="auto"/>
                <w:highlight w:val="none"/>
              </w:rPr>
            </w:pPr>
            <w:r>
              <w:rPr>
                <w:color w:val="auto"/>
                <w:highlight w:val="none"/>
              </w:rPr>
              <w:t>8.1在本合同履行过程中，因出现无法克服的技术困难，致使项目技术服务失败或者部分失败的，甲方按照乙方实际工作量，向乙方支付合理费用，剩余已付费用，乙方需退还甲方。</w:t>
            </w:r>
          </w:p>
          <w:p w14:paraId="4A4C541A">
            <w:pPr>
              <w:rPr>
                <w:color w:val="auto"/>
                <w:highlight w:val="none"/>
              </w:rPr>
            </w:pPr>
            <w:r>
              <w:rPr>
                <w:color w:val="auto"/>
                <w:highlight w:val="none"/>
              </w:rPr>
              <w:t>8.2一方发现技术风险存在并有可能致使技术服务失败或部分失败的情形时，应当在5个工作日内以书面方式通知另一方并采取适当措施减少损失。如一方逾期未通知并未采取适当措施而致使损失扩大的，应当就扩大的损失承担赔偿责任。</w:t>
            </w:r>
          </w:p>
          <w:p w14:paraId="6D434A07">
            <w:pPr>
              <w:rPr>
                <w:color w:val="auto"/>
                <w:highlight w:val="none"/>
              </w:rPr>
            </w:pPr>
            <w:r>
              <w:rPr>
                <w:color w:val="auto"/>
                <w:highlight w:val="none"/>
              </w:rPr>
              <w:t>关于技术风险的认定：</w:t>
            </w:r>
          </w:p>
          <w:p w14:paraId="497BCD8D">
            <w:pPr>
              <w:rPr>
                <w:color w:val="auto"/>
                <w:highlight w:val="none"/>
              </w:rPr>
            </w:pPr>
            <w:r>
              <w:rPr>
                <w:color w:val="auto"/>
                <w:highlight w:val="none"/>
              </w:rPr>
              <w:t>1)认定方式：双方确定本项目的技术风险按双方协商的方式认定。</w:t>
            </w:r>
          </w:p>
          <w:p w14:paraId="2D89805A">
            <w:pPr>
              <w:rPr>
                <w:color w:val="auto"/>
                <w:highlight w:val="none"/>
              </w:rPr>
            </w:pPr>
            <w:r>
              <w:rPr>
                <w:color w:val="auto"/>
                <w:highlight w:val="none"/>
              </w:rPr>
              <w:t>2)认定内容：应当包括技术风险的存在、范围、程度及损失大小等。</w:t>
            </w:r>
          </w:p>
          <w:p w14:paraId="0F0DC647">
            <w:pPr>
              <w:rPr>
                <w:color w:val="auto"/>
                <w:highlight w:val="none"/>
              </w:rPr>
            </w:pPr>
            <w:r>
              <w:rPr>
                <w:color w:val="auto"/>
                <w:highlight w:val="none"/>
              </w:rPr>
              <w:t>3)认定条件：</w:t>
            </w:r>
          </w:p>
          <w:p w14:paraId="1E7C5382">
            <w:pPr>
              <w:rPr>
                <w:color w:val="auto"/>
                <w:highlight w:val="none"/>
              </w:rPr>
            </w:pPr>
            <w:r>
              <w:rPr>
                <w:color w:val="auto"/>
                <w:highlight w:val="none"/>
              </w:rPr>
              <w:t>a）本项目在现有技术水平条件下具有足够的难度。</w:t>
            </w:r>
          </w:p>
          <w:p w14:paraId="229C612B">
            <w:pPr>
              <w:rPr>
                <w:color w:val="auto"/>
                <w:highlight w:val="none"/>
              </w:rPr>
            </w:pPr>
            <w:r>
              <w:rPr>
                <w:color w:val="auto"/>
                <w:highlight w:val="none"/>
              </w:rPr>
              <w:t>b）乙方在主观上无过错且经双方确认研究开发失败为合理的失败。</w:t>
            </w:r>
          </w:p>
        </w:tc>
      </w:tr>
      <w:tr w14:paraId="3227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4B3B0479">
            <w:pPr>
              <w:rPr>
                <w:color w:val="auto"/>
                <w:highlight w:val="none"/>
              </w:rPr>
            </w:pPr>
            <w:r>
              <w:rPr>
                <w:b/>
                <w:bCs/>
                <w:color w:val="auto"/>
                <w:highlight w:val="none"/>
              </w:rPr>
              <w:t>9  验收</w:t>
            </w:r>
          </w:p>
        </w:tc>
      </w:tr>
      <w:tr w14:paraId="41CB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2F126A1C">
            <w:pPr>
              <w:rPr>
                <w:b/>
                <w:color w:val="auto"/>
                <w:highlight w:val="none"/>
              </w:rPr>
            </w:pPr>
            <w:r>
              <w:rPr>
                <w:b/>
                <w:color w:val="auto"/>
                <w:highlight w:val="none"/>
              </w:rPr>
              <w:t>9.1 验收依据</w:t>
            </w:r>
          </w:p>
          <w:p w14:paraId="707D7954">
            <w:pPr>
              <w:rPr>
                <w:color w:val="auto"/>
                <w:highlight w:val="none"/>
              </w:rPr>
            </w:pPr>
            <w:r>
              <w:rPr>
                <w:color w:val="auto"/>
                <w:highlight w:val="none"/>
              </w:rPr>
              <w:t>本合同，以及询比文件和响应文件。</w:t>
            </w:r>
          </w:p>
          <w:p w14:paraId="18A47E75">
            <w:pPr>
              <w:rPr>
                <w:b/>
                <w:color w:val="auto"/>
                <w:highlight w:val="none"/>
              </w:rPr>
            </w:pPr>
            <w:r>
              <w:rPr>
                <w:b/>
                <w:color w:val="auto"/>
                <w:highlight w:val="none"/>
              </w:rPr>
              <w:t>9.2 验收方式</w:t>
            </w:r>
          </w:p>
          <w:p w14:paraId="79941A8E">
            <w:pPr>
              <w:rPr>
                <w:color w:val="auto"/>
                <w:highlight w:val="none"/>
              </w:rPr>
            </w:pPr>
            <w:r>
              <w:rPr>
                <w:color w:val="auto"/>
                <w:highlight w:val="none"/>
              </w:rPr>
              <w:t>通过甲方组织的评审，提供合同标的相关资料并通过项目验收评审。</w:t>
            </w:r>
          </w:p>
        </w:tc>
      </w:tr>
      <w:tr w14:paraId="774AD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BFD163C">
            <w:pPr>
              <w:rPr>
                <w:color w:val="auto"/>
                <w:highlight w:val="none"/>
              </w:rPr>
            </w:pPr>
            <w:r>
              <w:rPr>
                <w:b/>
                <w:bCs/>
                <w:color w:val="auto"/>
                <w:highlight w:val="none"/>
              </w:rPr>
              <w:t>10  合同当事人的权利和义务</w:t>
            </w:r>
          </w:p>
        </w:tc>
      </w:tr>
      <w:tr w14:paraId="79420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0E76AE6E">
            <w:pPr>
              <w:rPr>
                <w:b/>
                <w:color w:val="auto"/>
                <w:highlight w:val="none"/>
              </w:rPr>
            </w:pPr>
            <w:r>
              <w:rPr>
                <w:b/>
                <w:color w:val="auto"/>
                <w:highlight w:val="none"/>
              </w:rPr>
              <w:t>10.1 甲方的主要权利</w:t>
            </w:r>
          </w:p>
          <w:p w14:paraId="7A0E782A">
            <w:pPr>
              <w:numPr>
                <w:ilvl w:val="0"/>
                <w:numId w:val="5"/>
              </w:numPr>
              <w:ind w:firstLine="480" w:firstLineChars="200"/>
              <w:rPr>
                <w:color w:val="auto"/>
                <w:highlight w:val="none"/>
              </w:rPr>
            </w:pPr>
            <w:r>
              <w:rPr>
                <w:color w:val="auto"/>
                <w:highlight w:val="none"/>
              </w:rPr>
              <w:t>获得乙方提供的科研成果和技术资料。</w:t>
            </w:r>
          </w:p>
          <w:p w14:paraId="1824EB08">
            <w:pPr>
              <w:numPr>
                <w:ilvl w:val="0"/>
                <w:numId w:val="5"/>
              </w:numPr>
              <w:ind w:firstLine="480" w:firstLineChars="200"/>
              <w:rPr>
                <w:color w:val="auto"/>
                <w:highlight w:val="none"/>
              </w:rPr>
            </w:pPr>
            <w:r>
              <w:rPr>
                <w:color w:val="auto"/>
                <w:highlight w:val="none"/>
              </w:rPr>
              <w:t>获得合同约定的成果效益。</w:t>
            </w:r>
          </w:p>
          <w:p w14:paraId="5B594A7A">
            <w:pPr>
              <w:numPr>
                <w:ilvl w:val="0"/>
                <w:numId w:val="5"/>
              </w:numPr>
              <w:ind w:firstLine="480" w:firstLineChars="200"/>
              <w:rPr>
                <w:color w:val="auto"/>
                <w:highlight w:val="none"/>
              </w:rPr>
            </w:pPr>
            <w:r>
              <w:rPr>
                <w:color w:val="auto"/>
                <w:highlight w:val="none"/>
              </w:rPr>
              <w:t>督促、检查乙方合同履行情况。</w:t>
            </w:r>
          </w:p>
          <w:p w14:paraId="0B8B097C">
            <w:pPr>
              <w:numPr>
                <w:ilvl w:val="0"/>
                <w:numId w:val="5"/>
              </w:numPr>
              <w:ind w:firstLine="480" w:firstLineChars="200"/>
              <w:rPr>
                <w:color w:val="auto"/>
                <w:highlight w:val="none"/>
              </w:rPr>
            </w:pPr>
            <w:r>
              <w:rPr>
                <w:color w:val="auto"/>
                <w:highlight w:val="none"/>
              </w:rPr>
              <w:t>如果乙方未按合同约定开展研究工作，甲方有权要求其采取补救措施。如果甲方提出要求逾期十日内乙方仍不履行合同，甲方有权要求赔偿（已付合同额5%）和终止合同。</w:t>
            </w:r>
          </w:p>
          <w:p w14:paraId="6FF78162">
            <w:pPr>
              <w:numPr>
                <w:ilvl w:val="0"/>
                <w:numId w:val="5"/>
              </w:numPr>
              <w:ind w:firstLine="480" w:firstLineChars="200"/>
              <w:rPr>
                <w:color w:val="auto"/>
                <w:highlight w:val="none"/>
              </w:rPr>
            </w:pPr>
            <w:r>
              <w:rPr>
                <w:color w:val="auto"/>
                <w:highlight w:val="none"/>
              </w:rPr>
              <w:t>如果乙方将科研经费用于履行合同以外目的时，甲方有权制止并要求其退还相应的经费用于履行合同。如自甲方提出要求逾期十日内，乙方仍未退还，甲方有权终止合同、索还挪用经费并要求赔偿（已付合同额5%）。</w:t>
            </w:r>
          </w:p>
          <w:p w14:paraId="052B744E">
            <w:pPr>
              <w:numPr>
                <w:ilvl w:val="0"/>
                <w:numId w:val="5"/>
              </w:numPr>
              <w:ind w:firstLine="480" w:firstLineChars="200"/>
              <w:rPr>
                <w:color w:val="auto"/>
                <w:highlight w:val="none"/>
              </w:rPr>
            </w:pPr>
            <w:r>
              <w:rPr>
                <w:color w:val="auto"/>
                <w:highlight w:val="none"/>
              </w:rPr>
              <w:t>按合同约定应得的违约金和赔偿金。</w:t>
            </w:r>
          </w:p>
          <w:p w14:paraId="6F1996CB">
            <w:pPr>
              <w:rPr>
                <w:b/>
                <w:color w:val="auto"/>
                <w:highlight w:val="none"/>
              </w:rPr>
            </w:pPr>
            <w:r>
              <w:rPr>
                <w:b/>
                <w:color w:val="auto"/>
                <w:highlight w:val="none"/>
              </w:rPr>
              <w:t>10.2 甲方的主要义务</w:t>
            </w:r>
          </w:p>
          <w:p w14:paraId="43BAEE5F">
            <w:pPr>
              <w:numPr>
                <w:ilvl w:val="0"/>
                <w:numId w:val="6"/>
              </w:numPr>
              <w:ind w:firstLine="480" w:firstLineChars="200"/>
              <w:rPr>
                <w:color w:val="auto"/>
                <w:highlight w:val="none"/>
              </w:rPr>
            </w:pPr>
            <w:r>
              <w:rPr>
                <w:color w:val="auto"/>
                <w:highlight w:val="none"/>
              </w:rPr>
              <w:t>获得照合同约定支付合同价款。</w:t>
            </w:r>
          </w:p>
          <w:p w14:paraId="75577977">
            <w:pPr>
              <w:numPr>
                <w:ilvl w:val="0"/>
                <w:numId w:val="6"/>
              </w:numPr>
              <w:ind w:firstLine="480" w:firstLineChars="200"/>
              <w:rPr>
                <w:color w:val="auto"/>
                <w:highlight w:val="none"/>
              </w:rPr>
            </w:pPr>
            <w:r>
              <w:rPr>
                <w:color w:val="auto"/>
                <w:highlight w:val="none"/>
              </w:rPr>
              <w:t>按照合同约定做好相应的技术协调工作。</w:t>
            </w:r>
          </w:p>
          <w:p w14:paraId="37DBCAF5">
            <w:pPr>
              <w:numPr>
                <w:ilvl w:val="0"/>
                <w:numId w:val="6"/>
              </w:numPr>
              <w:rPr>
                <w:color w:val="auto"/>
                <w:highlight w:val="none"/>
              </w:rPr>
            </w:pPr>
            <w:r>
              <w:rPr>
                <w:color w:val="auto"/>
                <w:highlight w:val="none"/>
              </w:rPr>
              <w:t>按照项目节点及时验收交付物，收到乙方提交的交付物、完成相应标的目标后10个工作日内验收完毕。</w:t>
            </w:r>
          </w:p>
          <w:p w14:paraId="0605F53F">
            <w:pPr>
              <w:rPr>
                <w:b/>
                <w:color w:val="auto"/>
                <w:highlight w:val="none"/>
              </w:rPr>
            </w:pPr>
            <w:r>
              <w:rPr>
                <w:b/>
                <w:color w:val="auto"/>
                <w:highlight w:val="none"/>
              </w:rPr>
              <w:t>10.3 乙方的主要权利</w:t>
            </w:r>
          </w:p>
          <w:p w14:paraId="2D9E1601">
            <w:pPr>
              <w:numPr>
                <w:ilvl w:val="0"/>
                <w:numId w:val="7"/>
              </w:numPr>
              <w:ind w:firstLine="480" w:firstLineChars="200"/>
              <w:rPr>
                <w:color w:val="auto"/>
                <w:highlight w:val="none"/>
              </w:rPr>
            </w:pPr>
            <w:r>
              <w:rPr>
                <w:color w:val="auto"/>
                <w:highlight w:val="none"/>
              </w:rPr>
              <w:t>按合同约定的成果效益。</w:t>
            </w:r>
          </w:p>
          <w:p w14:paraId="24BEECF9">
            <w:pPr>
              <w:numPr>
                <w:ilvl w:val="0"/>
                <w:numId w:val="7"/>
              </w:numPr>
              <w:ind w:firstLine="480" w:firstLineChars="200"/>
              <w:rPr>
                <w:color w:val="auto"/>
                <w:highlight w:val="none"/>
              </w:rPr>
            </w:pPr>
            <w:r>
              <w:rPr>
                <w:color w:val="auto"/>
                <w:highlight w:val="none"/>
              </w:rPr>
              <w:t>按合同约定获得研制经费。</w:t>
            </w:r>
          </w:p>
          <w:p w14:paraId="4B95C04F">
            <w:pPr>
              <w:numPr>
                <w:ilvl w:val="0"/>
                <w:numId w:val="7"/>
              </w:numPr>
              <w:ind w:firstLine="480" w:firstLineChars="200"/>
              <w:rPr>
                <w:color w:val="auto"/>
                <w:highlight w:val="none"/>
              </w:rPr>
            </w:pPr>
            <w:r>
              <w:rPr>
                <w:color w:val="auto"/>
                <w:highlight w:val="none"/>
              </w:rPr>
              <w:t>按照合同约定获得违约金和赔偿金。</w:t>
            </w:r>
          </w:p>
          <w:p w14:paraId="4AFF64D9">
            <w:pPr>
              <w:numPr>
                <w:ilvl w:val="0"/>
                <w:numId w:val="7"/>
              </w:numPr>
              <w:ind w:firstLine="480" w:firstLineChars="200"/>
              <w:rPr>
                <w:color w:val="auto"/>
                <w:highlight w:val="none"/>
              </w:rPr>
            </w:pPr>
            <w:r>
              <w:rPr>
                <w:color w:val="auto"/>
                <w:highlight w:val="none"/>
              </w:rPr>
              <w:t>如甲方逾期付款，乙方有权按照应付未付金额万分之三的标准，向乙方交付违约金。</w:t>
            </w:r>
          </w:p>
          <w:p w14:paraId="42CCC3FB">
            <w:pPr>
              <w:rPr>
                <w:b/>
                <w:color w:val="auto"/>
                <w:highlight w:val="none"/>
              </w:rPr>
            </w:pPr>
            <w:r>
              <w:rPr>
                <w:b/>
                <w:color w:val="auto"/>
                <w:highlight w:val="none"/>
              </w:rPr>
              <w:t>10.4 乙方主要义务</w:t>
            </w:r>
          </w:p>
          <w:p w14:paraId="44874448">
            <w:pPr>
              <w:numPr>
                <w:ilvl w:val="0"/>
                <w:numId w:val="8"/>
              </w:numPr>
              <w:ind w:firstLine="480" w:firstLineChars="200"/>
              <w:rPr>
                <w:color w:val="auto"/>
                <w:highlight w:val="none"/>
              </w:rPr>
            </w:pPr>
            <w:r>
              <w:rPr>
                <w:color w:val="auto"/>
                <w:highlight w:val="none"/>
              </w:rPr>
              <w:t>按合同约定制定并实施研究计划。</w:t>
            </w:r>
          </w:p>
          <w:p w14:paraId="14535EAB">
            <w:pPr>
              <w:numPr>
                <w:ilvl w:val="0"/>
                <w:numId w:val="8"/>
              </w:numPr>
              <w:ind w:firstLine="480" w:firstLineChars="200"/>
              <w:rPr>
                <w:color w:val="auto"/>
                <w:highlight w:val="none"/>
              </w:rPr>
            </w:pPr>
            <w:r>
              <w:rPr>
                <w:color w:val="auto"/>
                <w:highlight w:val="none"/>
              </w:rPr>
              <w:t>按合同约定提供符合技术要求的科研成果和技术资料，并按规定向甲方提供技术支持和技术服务，以及必要的升级支持。</w:t>
            </w:r>
          </w:p>
          <w:p w14:paraId="5D6377CC">
            <w:pPr>
              <w:numPr>
                <w:ilvl w:val="0"/>
                <w:numId w:val="8"/>
              </w:numPr>
              <w:ind w:firstLine="480" w:firstLineChars="200"/>
              <w:rPr>
                <w:color w:val="auto"/>
                <w:highlight w:val="none"/>
              </w:rPr>
            </w:pPr>
            <w:r>
              <w:rPr>
                <w:color w:val="auto"/>
                <w:highlight w:val="none"/>
              </w:rPr>
              <w:t>协助甲方进行成果应用工作，提供咨询服务，协助解决甲方应用过程中出现的问题。</w:t>
            </w:r>
          </w:p>
          <w:p w14:paraId="4BF7B75B">
            <w:pPr>
              <w:rPr>
                <w:color w:val="auto"/>
                <w:highlight w:val="none"/>
              </w:rPr>
            </w:pPr>
            <w:r>
              <w:rPr>
                <w:color w:val="auto"/>
                <w:highlight w:val="none"/>
              </w:rPr>
              <w:t>对其交付的技术成果及产品的质量负责。</w:t>
            </w:r>
          </w:p>
        </w:tc>
      </w:tr>
      <w:tr w14:paraId="1D02F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6119EB8">
            <w:pPr>
              <w:rPr>
                <w:b/>
                <w:bCs/>
                <w:color w:val="auto"/>
                <w:highlight w:val="none"/>
              </w:rPr>
            </w:pPr>
            <w:r>
              <w:rPr>
                <w:b/>
                <w:bCs/>
                <w:color w:val="auto"/>
                <w:highlight w:val="none"/>
              </w:rPr>
              <w:t>11  知识产权及成果约定</w:t>
            </w:r>
          </w:p>
        </w:tc>
      </w:tr>
      <w:tr w14:paraId="04D18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15279DF9">
            <w:pPr>
              <w:rPr>
                <w:color w:val="auto"/>
                <w:highlight w:val="none"/>
              </w:rPr>
            </w:pPr>
            <w:r>
              <w:rPr>
                <w:color w:val="auto"/>
                <w:highlight w:val="none"/>
              </w:rPr>
              <w:t>11.1 乙方为甲方设计和开发的项目所有权归甲方所有；</w:t>
            </w:r>
            <w:r>
              <w:rPr>
                <w:color w:val="auto"/>
                <w:highlight w:val="none"/>
              </w:rPr>
              <w:tab/>
            </w:r>
          </w:p>
          <w:p w14:paraId="2BE4145A">
            <w:pPr>
              <w:rPr>
                <w:color w:val="auto"/>
                <w:highlight w:val="none"/>
              </w:rPr>
            </w:pPr>
            <w:r>
              <w:rPr>
                <w:color w:val="auto"/>
                <w:highlight w:val="none"/>
              </w:rPr>
              <w:t>11.2 本合同研制项目的技术成果、知识产权、研究成果（包括但不限于专利、技术秘密、著作权）所有权归</w:t>
            </w:r>
            <w:r>
              <w:rPr>
                <w:color w:val="auto"/>
                <w:highlight w:val="none"/>
              </w:rPr>
              <w:sym w:font="Wingdings 2" w:char="F0A3"/>
            </w:r>
            <w:r>
              <w:rPr>
                <w:color w:val="auto"/>
                <w:highlight w:val="none"/>
              </w:rPr>
              <w:t>甲方</w:t>
            </w:r>
            <w:r>
              <w:rPr>
                <w:color w:val="auto"/>
                <w:highlight w:val="none"/>
              </w:rPr>
              <w:fldChar w:fldCharType="begin"/>
            </w:r>
            <w:r>
              <w:rPr>
                <w:color w:val="auto"/>
                <w:highlight w:val="none"/>
              </w:rPr>
              <w:instrText xml:space="preserve"> eq \o\ac(□,√)</w:instrText>
            </w:r>
            <w:r>
              <w:rPr>
                <w:color w:val="auto"/>
                <w:highlight w:val="none"/>
              </w:rPr>
              <w:fldChar w:fldCharType="end"/>
            </w:r>
            <w:r>
              <w:rPr>
                <w:color w:val="auto"/>
                <w:highlight w:val="none"/>
              </w:rPr>
              <w:t>双方共有；</w:t>
            </w:r>
          </w:p>
          <w:p w14:paraId="67ED91B1">
            <w:pPr>
              <w:rPr>
                <w:color w:val="auto"/>
                <w:highlight w:val="none"/>
              </w:rPr>
            </w:pPr>
            <w:r>
              <w:rPr>
                <w:color w:val="auto"/>
                <w:highlight w:val="none"/>
              </w:rPr>
              <w:t>11.3本合同项目开发完成的发明创造的专利申请权属于双方共有；</w:t>
            </w:r>
          </w:p>
          <w:p w14:paraId="1FFB1AB4">
            <w:pPr>
              <w:rPr>
                <w:color w:val="auto"/>
                <w:highlight w:val="none"/>
              </w:rPr>
            </w:pPr>
            <w:r>
              <w:rPr>
                <w:color w:val="auto"/>
                <w:highlight w:val="none"/>
              </w:rPr>
              <w:t>11.3.1若本合同研制项目的技术成果、知识产权、研究成果归属甲方，未经甲方书面许可，乙方不得使用或许可他人使用该项技术成果、知识产权、研究成果，也不得向任何第三人披露、提供相关信息，更不得对该项技术成果、知识产权、研究成果进行任何改进。</w:t>
            </w:r>
          </w:p>
          <w:p w14:paraId="7F3C3857">
            <w:pPr>
              <w:rPr>
                <w:color w:val="auto"/>
                <w:highlight w:val="none"/>
              </w:rPr>
            </w:pPr>
            <w:r>
              <w:rPr>
                <w:color w:val="auto"/>
                <w:highlight w:val="none"/>
              </w:rPr>
              <w:t>11.3.2若本合同研制项目的技术成果、知识产权、研究成果归属双方共有，未经一方书面同意，另一方不得转让该项技术成果、知识产权、研究成果；在不损害对方利益的前提下，双方均有权使用或许可他人使用该项技术成果、知识产权、研究成果，所得的收益，归各自所有；双方均有权对该项技术成果、知识产权、研究成果进行后续改进，后续改进的技术成果、知识产权、研究成果归改进人所有，未经改进人书面许可，另一方不得使用或许可他人使用。</w:t>
            </w:r>
          </w:p>
          <w:p w14:paraId="444A5059">
            <w:pPr>
              <w:rPr>
                <w:color w:val="auto"/>
                <w:highlight w:val="none"/>
              </w:rPr>
            </w:pPr>
            <w:r>
              <w:rPr>
                <w:color w:val="auto"/>
                <w:highlight w:val="none"/>
              </w:rPr>
              <w:t>11.4 乙方应当保证其交付给甲方的研究开发成果不侵犯任何第三方法人的合法权益，如发生第三人指控甲方实施的技术侵权，乙方应当承担由此而产生的全部责任，包括但不限于公司荣誉损失，信用损失，公司直接财产以及维权产生的诉讼费、律师费、鉴定费等。</w:t>
            </w:r>
          </w:p>
          <w:p w14:paraId="71F95227">
            <w:pPr>
              <w:rPr>
                <w:color w:val="auto"/>
                <w:highlight w:val="none"/>
              </w:rPr>
            </w:pPr>
            <w:r>
              <w:rPr>
                <w:color w:val="auto"/>
                <w:highlight w:val="none"/>
              </w:rPr>
              <w:t>11.5 本项目双方均应保护对方知识产权，未经任何一方同意，不得将对方的资料及文件擅自修改、复制或向第三方转让或用于其他的项目。</w:t>
            </w:r>
          </w:p>
        </w:tc>
      </w:tr>
      <w:tr w14:paraId="5602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5BFB154">
            <w:pPr>
              <w:rPr>
                <w:color w:val="auto"/>
                <w:highlight w:val="none"/>
              </w:rPr>
            </w:pPr>
            <w:r>
              <w:rPr>
                <w:b/>
                <w:bCs/>
                <w:color w:val="auto"/>
                <w:highlight w:val="none"/>
              </w:rPr>
              <w:t>12  保  密</w:t>
            </w:r>
          </w:p>
        </w:tc>
      </w:tr>
      <w:tr w14:paraId="056CB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447A231C">
            <w:pPr>
              <w:rPr>
                <w:color w:val="auto"/>
                <w:highlight w:val="none"/>
              </w:rPr>
            </w:pPr>
            <w:r>
              <w:rPr>
                <w:color w:val="auto"/>
                <w:highlight w:val="none"/>
              </w:rPr>
              <w:t>12.1 本项目密级为非密项目，本合同文本非密。</w:t>
            </w:r>
          </w:p>
          <w:p w14:paraId="1CA1C76F">
            <w:pPr>
              <w:rPr>
                <w:color w:val="auto"/>
                <w:highlight w:val="none"/>
              </w:rPr>
            </w:pPr>
            <w:r>
              <w:rPr>
                <w:color w:val="auto"/>
                <w:highlight w:val="none"/>
              </w:rPr>
              <w:t>12.2 甲乙双方对项目的技术指标以及相关资料、信息有保密责任，不得向第三方泄露。</w:t>
            </w:r>
          </w:p>
        </w:tc>
      </w:tr>
      <w:tr w14:paraId="67BFD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64748C8">
            <w:pPr>
              <w:rPr>
                <w:color w:val="auto"/>
                <w:highlight w:val="none"/>
              </w:rPr>
            </w:pPr>
            <w:r>
              <w:rPr>
                <w:b/>
                <w:bCs/>
                <w:color w:val="auto"/>
                <w:highlight w:val="none"/>
              </w:rPr>
              <w:t>13  合同的变更和解除</w:t>
            </w:r>
          </w:p>
        </w:tc>
      </w:tr>
      <w:tr w14:paraId="0CFC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46CC5BEB">
            <w:pPr>
              <w:rPr>
                <w:b/>
                <w:color w:val="auto"/>
                <w:highlight w:val="none"/>
              </w:rPr>
            </w:pPr>
            <w:r>
              <w:rPr>
                <w:b/>
                <w:color w:val="auto"/>
                <w:highlight w:val="none"/>
              </w:rPr>
              <w:t>13.1变更条件</w:t>
            </w:r>
          </w:p>
          <w:p w14:paraId="28EF1E44">
            <w:pPr>
              <w:rPr>
                <w:color w:val="auto"/>
                <w:highlight w:val="none"/>
              </w:rPr>
            </w:pPr>
            <w:r>
              <w:rPr>
                <w:color w:val="auto"/>
                <w:highlight w:val="none"/>
              </w:rPr>
              <w:t>发生不可抗力事件。</w:t>
            </w:r>
          </w:p>
          <w:p w14:paraId="7868CCA6">
            <w:pPr>
              <w:rPr>
                <w:color w:val="auto"/>
                <w:highlight w:val="none"/>
              </w:rPr>
            </w:pPr>
            <w:r>
              <w:rPr>
                <w:color w:val="auto"/>
                <w:highlight w:val="none"/>
              </w:rPr>
              <w:t>因技术、市场等原因使项目相关内容发生变化时，由乙方提出申请，甲乙双方协商后解决。</w:t>
            </w:r>
          </w:p>
          <w:p w14:paraId="677FF41D">
            <w:pPr>
              <w:rPr>
                <w:b/>
                <w:color w:val="auto"/>
                <w:highlight w:val="none"/>
              </w:rPr>
            </w:pPr>
            <w:r>
              <w:rPr>
                <w:b/>
                <w:color w:val="auto"/>
                <w:highlight w:val="none"/>
              </w:rPr>
              <w:t>13.2解除条件</w:t>
            </w:r>
          </w:p>
          <w:p w14:paraId="32C4E775">
            <w:pPr>
              <w:rPr>
                <w:color w:val="auto"/>
                <w:highlight w:val="none"/>
              </w:rPr>
            </w:pPr>
            <w:r>
              <w:rPr>
                <w:color w:val="auto"/>
                <w:highlight w:val="none"/>
              </w:rPr>
              <w:t>发生不可抗力事件。</w:t>
            </w:r>
          </w:p>
          <w:p w14:paraId="46F0550F">
            <w:pPr>
              <w:rPr>
                <w:b/>
                <w:bCs/>
                <w:color w:val="auto"/>
                <w:highlight w:val="none"/>
              </w:rPr>
            </w:pPr>
            <w:r>
              <w:rPr>
                <w:color w:val="auto"/>
                <w:highlight w:val="none"/>
              </w:rPr>
              <w:t>乙方无法完成委托开发内容，甲方有权终止合同，并要求乙方全额退还预付款。如果由于乙方原因导致无法完成任务，乙方退还预付款项，如果因为甲方原因导致失败，款项不予退还。</w:t>
            </w:r>
          </w:p>
        </w:tc>
      </w:tr>
      <w:tr w14:paraId="2887C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C97D9B5">
            <w:pPr>
              <w:rPr>
                <w:color w:val="auto"/>
                <w:highlight w:val="none"/>
              </w:rPr>
            </w:pPr>
            <w:r>
              <w:rPr>
                <w:b/>
                <w:bCs/>
                <w:color w:val="auto"/>
                <w:highlight w:val="none"/>
              </w:rPr>
              <w:t>14  违约责任</w:t>
            </w:r>
          </w:p>
        </w:tc>
      </w:tr>
      <w:tr w14:paraId="4AD62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B58828B">
            <w:pPr>
              <w:rPr>
                <w:color w:val="auto"/>
                <w:highlight w:val="none"/>
              </w:rPr>
            </w:pPr>
            <w:r>
              <w:rPr>
                <w:color w:val="auto"/>
                <w:highlight w:val="none"/>
              </w:rPr>
              <w:t>14.1在合同有效期，因不可抗力造成一方不能履行合同规定的责任和义务，不视为违约，不承担由此所带来的一切法律责任。不可抗力系指：战争、水灾、火灾、地震、台风及其他不可预见并且对其发生和后果不能防止或避免的事故。</w:t>
            </w:r>
          </w:p>
          <w:p w14:paraId="0D951AD7">
            <w:pPr>
              <w:rPr>
                <w:color w:val="auto"/>
                <w:highlight w:val="none"/>
              </w:rPr>
            </w:pPr>
            <w:r>
              <w:rPr>
                <w:color w:val="auto"/>
                <w:highlight w:val="none"/>
              </w:rPr>
              <w:t>14.2甲、乙任何一方若泄露了其在履行合同过程中所获知的对方的技术情报和资料的，须承担违约责任，应向对方支付合同总价款的5%作为违约金，并赔偿由此给对方造成的一切经济损失。</w:t>
            </w:r>
          </w:p>
          <w:p w14:paraId="2C3365D3">
            <w:pPr>
              <w:rPr>
                <w:color w:val="auto"/>
                <w:highlight w:val="none"/>
              </w:rPr>
            </w:pPr>
            <w:r>
              <w:rPr>
                <w:color w:val="auto"/>
                <w:highlight w:val="none"/>
              </w:rPr>
              <w:t>14.3 甲、乙任何一方违反约定造成研究开发工作停滞、延误或者失败的，须承担违约责任，应向对方支付合同总价款的5%作为违约金，并赔偿由此给对方造成的一切经济损失。</w:t>
            </w:r>
          </w:p>
        </w:tc>
      </w:tr>
      <w:tr w14:paraId="5CE3E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13AC87D7">
            <w:pPr>
              <w:rPr>
                <w:color w:val="auto"/>
                <w:highlight w:val="none"/>
              </w:rPr>
            </w:pPr>
            <w:r>
              <w:rPr>
                <w:b/>
                <w:bCs/>
                <w:color w:val="auto"/>
                <w:highlight w:val="none"/>
              </w:rPr>
              <w:t>15  纠纷处理方式</w:t>
            </w:r>
          </w:p>
        </w:tc>
      </w:tr>
      <w:tr w14:paraId="7633C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2F2732EF">
            <w:pPr>
              <w:rPr>
                <w:color w:val="auto"/>
                <w:highlight w:val="none"/>
              </w:rPr>
            </w:pPr>
            <w:r>
              <w:rPr>
                <w:color w:val="auto"/>
                <w:highlight w:val="none"/>
              </w:rPr>
              <w:t>15.1双方在合同履行过程中发生纠纷，应协商解决。</w:t>
            </w:r>
          </w:p>
          <w:p w14:paraId="0DD9C3A8">
            <w:pPr>
              <w:rPr>
                <w:b/>
                <w:bCs/>
                <w:color w:val="auto"/>
                <w:highlight w:val="none"/>
              </w:rPr>
            </w:pPr>
            <w:r>
              <w:rPr>
                <w:color w:val="auto"/>
                <w:highlight w:val="none"/>
              </w:rPr>
              <w:t>15.2协商解决不成的，向甲方住所地法院提起诉讼。</w:t>
            </w:r>
          </w:p>
        </w:tc>
      </w:tr>
      <w:tr w14:paraId="1D061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C44232C">
            <w:pPr>
              <w:rPr>
                <w:color w:val="auto"/>
                <w:highlight w:val="none"/>
              </w:rPr>
            </w:pPr>
            <w:r>
              <w:rPr>
                <w:b/>
                <w:bCs/>
                <w:color w:val="auto"/>
                <w:highlight w:val="none"/>
              </w:rPr>
              <w:t>16  其　它</w:t>
            </w:r>
          </w:p>
        </w:tc>
      </w:tr>
      <w:tr w14:paraId="42CA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9"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0D621A78">
            <w:pPr>
              <w:rPr>
                <w:color w:val="auto"/>
                <w:highlight w:val="none"/>
              </w:rPr>
            </w:pPr>
            <w:r>
              <w:rPr>
                <w:color w:val="auto"/>
                <w:highlight w:val="none"/>
              </w:rPr>
              <w:t>16.1 本合同一式四份，双方各执两份，经双方签字、盖章后生效。</w:t>
            </w:r>
          </w:p>
          <w:p w14:paraId="079E2E69">
            <w:pPr>
              <w:rPr>
                <w:color w:val="auto"/>
                <w:highlight w:val="none"/>
              </w:rPr>
            </w:pPr>
            <w:r>
              <w:rPr>
                <w:color w:val="auto"/>
                <w:highlight w:val="none"/>
              </w:rPr>
              <w:t>16.2 完成合同标的、验收、经费结算和本合同规定双方的权利和义务后，本合同即行终止。</w:t>
            </w:r>
          </w:p>
          <w:p w14:paraId="5A672A31">
            <w:pPr>
              <w:rPr>
                <w:color w:val="auto"/>
                <w:highlight w:val="none"/>
              </w:rPr>
            </w:pPr>
            <w:r>
              <w:rPr>
                <w:color w:val="auto"/>
                <w:highlight w:val="none"/>
              </w:rPr>
              <w:t>16.3 该项目所涉及的相关技术变更协调单、会议纪要、技术合同等与合同文本具有同等法律效力。如与合同文本有分歧的地方，以合同文本为准。</w:t>
            </w:r>
          </w:p>
        </w:tc>
      </w:tr>
      <w:tr w14:paraId="6ED1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6AFFB50B">
            <w:pPr>
              <w:rPr>
                <w:color w:val="auto"/>
                <w:highlight w:val="none"/>
              </w:rPr>
            </w:pPr>
            <w:r>
              <w:rPr>
                <w:b/>
                <w:bCs/>
                <w:color w:val="auto"/>
                <w:highlight w:val="none"/>
              </w:rPr>
              <w:t>17  附　件</w:t>
            </w:r>
          </w:p>
        </w:tc>
      </w:tr>
      <w:tr w14:paraId="7FED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6E605016">
            <w:pPr>
              <w:rPr>
                <w:color w:val="auto"/>
                <w:highlight w:val="none"/>
              </w:rPr>
            </w:pPr>
            <w:r>
              <w:rPr>
                <w:color w:val="auto"/>
                <w:highlight w:val="none"/>
              </w:rPr>
              <w:t>《九洲空管适航能力持续建设咨询服务项目询比文件》以及响应文件</w:t>
            </w:r>
          </w:p>
        </w:tc>
      </w:tr>
    </w:tbl>
    <w:p w14:paraId="504CF808">
      <w:pPr>
        <w:rPr>
          <w:color w:val="auto"/>
          <w:highlight w:val="none"/>
        </w:rPr>
      </w:pPr>
    </w:p>
    <w:sectPr>
      <w:footerReference r:id="rId14" w:type="default"/>
      <w:pgSz w:w="11906" w:h="16838"/>
      <w:pgMar w:top="1440" w:right="1191" w:bottom="1440" w:left="1418" w:header="851" w:footer="992" w:gutter="0"/>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Segoe UI Emoji">
    <w:panose1 w:val="020B0502040204020203"/>
    <w:charset w:val="00"/>
    <w:family w:val="swiss"/>
    <w:pitch w:val="default"/>
    <w:sig w:usb0="00000001" w:usb1="02000000" w:usb2="00000000" w:usb3="00000000" w:csb0="00000001" w:csb1="00000000"/>
  </w:font>
  <w:font w:name="Wingdings 2">
    <w:altName w:val="Wingdings"/>
    <w:panose1 w:val="05020102010507070707"/>
    <w:charset w:val="02"/>
    <w:family w:val="roman"/>
    <w:pitch w:val="default"/>
    <w:sig w:usb0="00000000" w:usb1="00000000" w:usb2="00000000" w:usb3="00000000" w:csb0="80000000" w:csb1="00000000"/>
  </w:font>
  <w:font w:name="方正仿宋_GB2312">
    <w:altName w:val="微软雅黑"/>
    <w:panose1 w:val="00000000000000000000"/>
    <w:charset w:val="86"/>
    <w:family w:val="auto"/>
    <w:pitch w:val="default"/>
    <w:sig w:usb0="00000000" w:usb1="00000000" w:usb2="00000012" w:usb3="00000000" w:csb0="0004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50DEC">
    <w:pPr>
      <w:pStyle w:val="18"/>
      <w:jc w:val="center"/>
      <w:rPr>
        <w:rFonts w:hint="eastAsia"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71781">
    <w:pPr>
      <w:pStyle w:val="18"/>
      <w:jc w:val="center"/>
    </w:pPr>
    <w:r>
      <w:rPr>
        <w:rFonts w:hint="eastAsia"/>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39381735"/>
    </w:sdtPr>
    <w:sdtContent>
      <w:p w14:paraId="510ACCDE">
        <w:pPr>
          <w:pStyle w:val="18"/>
          <w:jc w:val="center"/>
        </w:pPr>
        <w:r>
          <w:fldChar w:fldCharType="begin"/>
        </w:r>
        <w:r>
          <w:instrText xml:space="preserve">PAGE   \* MERGEFORMAT</w:instrText>
        </w:r>
        <w:r>
          <w:fldChar w:fldCharType="separate"/>
        </w:r>
        <w:r>
          <w:rPr>
            <w:lang w:val="zh-CN"/>
          </w:rPr>
          <w:t>2</w:t>
        </w:r>
        <w:r>
          <w:fldChar w:fldCharType="end"/>
        </w:r>
      </w:p>
    </w:sdtContent>
  </w:sdt>
  <w:p w14:paraId="26624342">
    <w:pPr>
      <w:pStyle w:val="1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AC3BE">
    <w:pPr>
      <w:pStyle w:val="1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42739">
    <w:pPr>
      <w:pStyle w:val="18"/>
      <w:jc w:val="center"/>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3071762"/>
    </w:sdtPr>
    <w:sdtContent>
      <w:p w14:paraId="49B0C7FF">
        <w:pPr>
          <w:pStyle w:val="18"/>
          <w:jc w:val="center"/>
        </w:pPr>
        <w:r>
          <w:fldChar w:fldCharType="begin"/>
        </w:r>
        <w:r>
          <w:instrText xml:space="preserve">PAGE   \* MERGEFORMAT</w:instrText>
        </w:r>
        <w:r>
          <w:fldChar w:fldCharType="separate"/>
        </w:r>
        <w:r>
          <w:rPr>
            <w:lang w:val="zh-CN"/>
          </w:rPr>
          <w:t>23</w:t>
        </w:r>
        <w: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38A6A">
    <w:pPr>
      <w:pStyle w:val="18"/>
      <w:jc w:val="center"/>
    </w:pPr>
    <w:r>
      <w:fldChar w:fldCharType="begin"/>
    </w:r>
    <w:r>
      <w:instrText xml:space="preserve"> PAGE   \* MERGEFORMAT </w:instrText>
    </w:r>
    <w:r>
      <w:fldChar w:fldCharType="separate"/>
    </w:r>
    <w:r>
      <w:rPr>
        <w:lang w:val="zh-CN"/>
      </w:rPr>
      <w:t>60</w:t>
    </w:r>
    <w:r>
      <w:rPr>
        <w:lang w:val="zh-CN"/>
      </w:rPr>
      <w:fldChar w:fldCharType="end"/>
    </w:r>
  </w:p>
  <w:p w14:paraId="6501E4DD">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60522">
    <w:pPr>
      <w:pBdr>
        <w:bottom w:val="single" w:color="auto" w:sz="4" w:space="0"/>
      </w:pBdr>
      <w:snapToGrid w:val="0"/>
      <w:spacing w:line="240" w:lineRule="auto"/>
      <w:rPr>
        <w:rFonts w:eastAsia="宋体"/>
        <w:sz w:val="18"/>
        <w:szCs w:val="20"/>
      </w:rPr>
    </w:pPr>
    <w:r>
      <w:rPr>
        <w:rFonts w:eastAsia="宋体"/>
        <w:sz w:val="18"/>
        <w:szCs w:val="20"/>
      </w:rPr>
      <w:drawing>
        <wp:inline distT="0" distB="0" distL="114300" distR="114300">
          <wp:extent cx="2526665" cy="342265"/>
          <wp:effectExtent l="0" t="0" r="6985"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2526665" cy="342265"/>
                  </a:xfrm>
                  <a:prstGeom prst="rect">
                    <a:avLst/>
                  </a:prstGeom>
                  <a:noFill/>
                  <a:ln>
                    <a:noFill/>
                  </a:ln>
                </pic:spPr>
              </pic:pic>
            </a:graphicData>
          </a:graphic>
        </wp:inline>
      </w:drawing>
    </w:r>
    <w:r>
      <w:rPr>
        <w:rFonts w:hint="eastAsia" w:ascii="宋体" w:hAnsi="宋体" w:eastAsia="宋体"/>
        <w:b/>
        <w:bCs/>
        <w:sz w:val="40"/>
        <w:szCs w:val="40"/>
      </w:rPr>
      <w:t xml:space="preserve">            </w:t>
    </w:r>
    <w:r>
      <w:rPr>
        <w:rFonts w:hint="eastAsia" w:ascii="楷体" w:hAnsi="楷体" w:eastAsia="楷体" w:cs="楷体"/>
        <w:color w:val="FF0000"/>
        <w:sz w:val="28"/>
        <w:szCs w:val="28"/>
      </w:rPr>
      <w:t>公开 公平 公正 诚信</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27E36">
    <w:pPr>
      <w:pBdr>
        <w:bottom w:val="single" w:color="auto" w:sz="4" w:space="0"/>
      </w:pBdr>
      <w:snapToGrid w:val="0"/>
      <w:rPr>
        <w:rFonts w:eastAsia="宋体"/>
        <w:sz w:val="18"/>
        <w:szCs w:val="20"/>
      </w:rPr>
    </w:pPr>
    <w:r>
      <w:rPr>
        <w:rFonts w:eastAsia="宋体"/>
        <w:sz w:val="18"/>
        <w:szCs w:val="20"/>
      </w:rPr>
      <w:drawing>
        <wp:inline distT="0" distB="0" distL="114300" distR="114300">
          <wp:extent cx="2526665" cy="342265"/>
          <wp:effectExtent l="0" t="0" r="698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2526665" cy="342265"/>
                  </a:xfrm>
                  <a:prstGeom prst="rect">
                    <a:avLst/>
                  </a:prstGeom>
                  <a:noFill/>
                  <a:ln>
                    <a:noFill/>
                  </a:ln>
                </pic:spPr>
              </pic:pic>
            </a:graphicData>
          </a:graphic>
        </wp:inline>
      </w:drawing>
    </w:r>
    <w:r>
      <w:rPr>
        <w:rFonts w:hint="eastAsia" w:ascii="宋体" w:hAnsi="宋体" w:eastAsia="宋体"/>
        <w:b/>
        <w:bCs/>
        <w:sz w:val="40"/>
        <w:szCs w:val="40"/>
      </w:rPr>
      <w:t xml:space="preserve">            </w:t>
    </w:r>
    <w:r>
      <w:rPr>
        <w:rFonts w:hint="eastAsia" w:ascii="楷体" w:hAnsi="楷体" w:eastAsia="楷体" w:cs="楷体"/>
        <w:color w:val="FF0000"/>
        <w:sz w:val="28"/>
        <w:szCs w:val="28"/>
      </w:rPr>
      <w:t>公开 公平 公正 诚信</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5953C">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6F1B5F"/>
    <w:multiLevelType w:val="singleLevel"/>
    <w:tmpl w:val="D66F1B5F"/>
    <w:lvl w:ilvl="0" w:tentative="0">
      <w:start w:val="1"/>
      <w:numFmt w:val="decimal"/>
      <w:lvlText w:val="%1"/>
      <w:lvlJc w:val="left"/>
      <w:pPr>
        <w:tabs>
          <w:tab w:val="left" w:pos="420"/>
        </w:tabs>
        <w:ind w:left="425" w:hanging="425"/>
      </w:pPr>
    </w:lvl>
  </w:abstractNum>
  <w:abstractNum w:abstractNumId="1">
    <w:nsid w:val="01CD50C7"/>
    <w:multiLevelType w:val="multilevel"/>
    <w:tmpl w:val="01CD50C7"/>
    <w:lvl w:ilvl="0" w:tentative="0">
      <w:start w:val="1"/>
      <w:numFmt w:val="decimal"/>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2">
    <w:nsid w:val="047F26B7"/>
    <w:multiLevelType w:val="multilevel"/>
    <w:tmpl w:val="047F26B7"/>
    <w:lvl w:ilvl="0" w:tentative="0">
      <w:start w:val="1"/>
      <w:numFmt w:val="decimal"/>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09FB1056"/>
    <w:multiLevelType w:val="multilevel"/>
    <w:tmpl w:val="09FB1056"/>
    <w:lvl w:ilvl="0" w:tentative="0">
      <w:start w:val="1"/>
      <w:numFmt w:val="decimal"/>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4">
    <w:nsid w:val="2175307A"/>
    <w:multiLevelType w:val="multilevel"/>
    <w:tmpl w:val="2175307A"/>
    <w:lvl w:ilvl="0" w:tentative="0">
      <w:start w:val="1"/>
      <w:numFmt w:val="decimal"/>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320F359C"/>
    <w:multiLevelType w:val="multilevel"/>
    <w:tmpl w:val="320F359C"/>
    <w:lvl w:ilvl="0" w:tentative="0">
      <w:start w:val="1"/>
      <w:numFmt w:val="decimal"/>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6">
    <w:nsid w:val="5216629E"/>
    <w:multiLevelType w:val="multilevel"/>
    <w:tmpl w:val="5216629E"/>
    <w:lvl w:ilvl="0" w:tentative="0">
      <w:start w:val="1"/>
      <w:numFmt w:val="decimal"/>
      <w:pStyle w:val="91"/>
      <w:isLgl/>
      <w:suff w:val="nothing"/>
      <w:lvlText w:val="%1　"/>
      <w:lvlJc w:val="left"/>
      <w:rPr>
        <w:rFonts w:hint="default" w:ascii="Times New Roman" w:hAnsi="Times New Roman" w:eastAsia="宋体" w:cs="Times New Roman"/>
        <w:b/>
        <w:i w:val="0"/>
        <w:color w:val="auto"/>
        <w:sz w:val="28"/>
        <w:u w:val="none"/>
      </w:rPr>
    </w:lvl>
    <w:lvl w:ilvl="1" w:tentative="0">
      <w:start w:val="1"/>
      <w:numFmt w:val="decimal"/>
      <w:pStyle w:val="90"/>
      <w:isLgl/>
      <w:suff w:val="nothing"/>
      <w:lvlText w:val="%1.%2　"/>
      <w:lvlJc w:val="left"/>
      <w:rPr>
        <w:rFonts w:hint="default" w:ascii="Times New Roman" w:hAnsi="Times New Roman" w:eastAsia="宋体" w:cs="Times New Roman"/>
        <w:b/>
        <w:i w:val="0"/>
        <w:snapToGrid/>
        <w:color w:val="auto"/>
        <w:spacing w:val="0"/>
        <w:w w:val="100"/>
        <w:kern w:val="21"/>
        <w:sz w:val="28"/>
        <w:u w:val="none"/>
      </w:rPr>
    </w:lvl>
    <w:lvl w:ilvl="2" w:tentative="0">
      <w:start w:val="1"/>
      <w:numFmt w:val="decimal"/>
      <w:pStyle w:val="92"/>
      <w:isLgl/>
      <w:suff w:val="nothing"/>
      <w:lvlText w:val="%1.%2.%3　"/>
      <w:lvlJc w:val="left"/>
      <w:rPr>
        <w:rFonts w:hint="default" w:ascii="Times New Roman" w:hAnsi="Times New Roman" w:eastAsia="黑体" w:cs="Times New Roman"/>
        <w:b w:val="0"/>
        <w:i w:val="0"/>
        <w:sz w:val="28"/>
      </w:rPr>
    </w:lvl>
    <w:lvl w:ilvl="3" w:tentative="0">
      <w:start w:val="1"/>
      <w:numFmt w:val="decimal"/>
      <w:isLgl/>
      <w:suff w:val="nothing"/>
      <w:lvlText w:val="%1.%2.%3.%4　"/>
      <w:lvlJc w:val="left"/>
      <w:rPr>
        <w:rFonts w:hint="default" w:ascii="Times New Roman" w:hAnsi="Times New Roman" w:eastAsia="宋体" w:cs="Times New Roman"/>
        <w:b/>
        <w:i w:val="0"/>
        <w:color w:val="auto"/>
        <w:sz w:val="28"/>
        <w:u w:val="none"/>
      </w:rPr>
    </w:lvl>
    <w:lvl w:ilvl="4" w:tentative="0">
      <w:start w:val="1"/>
      <w:numFmt w:val="decimal"/>
      <w:isLgl/>
      <w:suff w:val="nothing"/>
      <w:lvlText w:val="%1.%2.%3.%4.%5　"/>
      <w:lvlJc w:val="left"/>
      <w:rPr>
        <w:rFonts w:hint="default" w:ascii="Times New Roman" w:hAnsi="Times New Roman" w:eastAsia="宋体" w:cs="Times New Roman"/>
        <w:b/>
        <w:i w:val="0"/>
        <w:color w:val="auto"/>
        <w:sz w:val="28"/>
        <w:u w:val="none"/>
      </w:rPr>
    </w:lvl>
    <w:lvl w:ilvl="5" w:tentative="0">
      <w:start w:val="1"/>
      <w:numFmt w:val="decimal"/>
      <w:isLgl/>
      <w:suff w:val="nothing"/>
      <w:lvlText w:val="%1.%2.%3.%4.%5.%6　"/>
      <w:lvlJc w:val="left"/>
      <w:rPr>
        <w:rFonts w:hint="default" w:ascii="Times New Roman" w:hAnsi="Times New Roman" w:eastAsia="宋体" w:cs="Times New Roman"/>
        <w:b/>
        <w:i w:val="0"/>
        <w:sz w:val="28"/>
      </w:rPr>
    </w:lvl>
    <w:lvl w:ilvl="6" w:tentative="0">
      <w:start w:val="1"/>
      <w:numFmt w:val="lowerLetter"/>
      <w:lvlText w:val="%7) "/>
      <w:lvlJc w:val="left"/>
      <w:pPr>
        <w:tabs>
          <w:tab w:val="left" w:pos="660"/>
        </w:tabs>
        <w:ind w:left="-100" w:firstLine="400"/>
      </w:pPr>
      <w:rPr>
        <w:rFonts w:hint="default" w:ascii="Times New Roman" w:hAnsi="Times New Roman" w:eastAsia="宋体" w:cs="Times New Roman"/>
        <w:b/>
        <w:i w:val="0"/>
        <w:color w:val="auto"/>
        <w:sz w:val="28"/>
        <w:u w:val="none"/>
      </w:rPr>
    </w:lvl>
    <w:lvl w:ilvl="7" w:tentative="0">
      <w:start w:val="1"/>
      <w:numFmt w:val="decimal"/>
      <w:lvlText w:val="%8)"/>
      <w:lvlJc w:val="left"/>
      <w:pPr>
        <w:tabs>
          <w:tab w:val="left" w:pos="885"/>
        </w:tabs>
        <w:ind w:left="525"/>
      </w:pPr>
      <w:rPr>
        <w:rFonts w:hint="default" w:ascii="Times New Roman" w:hAnsi="Times New Roman" w:eastAsia="宋体" w:cs="Times New Roman"/>
        <w:b/>
        <w:i w:val="0"/>
        <w:color w:val="auto"/>
        <w:sz w:val="28"/>
        <w:u w:val="none"/>
      </w:rPr>
    </w:lvl>
    <w:lvl w:ilvl="8" w:tentative="0">
      <w:start w:val="1"/>
      <w:numFmt w:val="none"/>
      <w:lvlText w:val="%9"/>
      <w:lvlJc w:val="left"/>
      <w:pPr>
        <w:tabs>
          <w:tab w:val="left" w:pos="885"/>
        </w:tabs>
        <w:ind w:left="525"/>
      </w:pPr>
      <w:rPr>
        <w:rFonts w:hint="eastAsia" w:ascii="宋体" w:eastAsia="宋体" w:cs="Times New Roman"/>
        <w:b w:val="0"/>
        <w:i w:val="0"/>
        <w:color w:val="auto"/>
        <w:sz w:val="28"/>
        <w:u w:val="none"/>
      </w:rPr>
    </w:lvl>
  </w:abstractNum>
  <w:abstractNum w:abstractNumId="7">
    <w:nsid w:val="61E72EBF"/>
    <w:multiLevelType w:val="multilevel"/>
    <w:tmpl w:val="61E72EBF"/>
    <w:lvl w:ilvl="0" w:tentative="0">
      <w:start w:val="1"/>
      <w:numFmt w:val="decimal"/>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6"/>
  </w:num>
  <w:num w:numId="2">
    <w:abstractNumId w:val="0"/>
    <w:lvlOverride w:ilvl="0">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CC7"/>
    <w:rsid w:val="00001C58"/>
    <w:rsid w:val="00005448"/>
    <w:rsid w:val="00005A4A"/>
    <w:rsid w:val="00007CB3"/>
    <w:rsid w:val="000111E5"/>
    <w:rsid w:val="00013069"/>
    <w:rsid w:val="00013B92"/>
    <w:rsid w:val="00015C1C"/>
    <w:rsid w:val="000164CD"/>
    <w:rsid w:val="0002289D"/>
    <w:rsid w:val="00023BEA"/>
    <w:rsid w:val="00026686"/>
    <w:rsid w:val="00031202"/>
    <w:rsid w:val="00032303"/>
    <w:rsid w:val="000369D6"/>
    <w:rsid w:val="00036EA7"/>
    <w:rsid w:val="00044760"/>
    <w:rsid w:val="00046E9E"/>
    <w:rsid w:val="000523BD"/>
    <w:rsid w:val="00054A93"/>
    <w:rsid w:val="00057560"/>
    <w:rsid w:val="000630B7"/>
    <w:rsid w:val="00065513"/>
    <w:rsid w:val="00065709"/>
    <w:rsid w:val="00065C01"/>
    <w:rsid w:val="000668EA"/>
    <w:rsid w:val="00074B4D"/>
    <w:rsid w:val="000765B5"/>
    <w:rsid w:val="00081388"/>
    <w:rsid w:val="000827AD"/>
    <w:rsid w:val="00082838"/>
    <w:rsid w:val="00084467"/>
    <w:rsid w:val="0008614E"/>
    <w:rsid w:val="000925C7"/>
    <w:rsid w:val="00097FD3"/>
    <w:rsid w:val="000A21D3"/>
    <w:rsid w:val="000A4E2F"/>
    <w:rsid w:val="000A5C35"/>
    <w:rsid w:val="000A65D1"/>
    <w:rsid w:val="000A6C47"/>
    <w:rsid w:val="000B0E72"/>
    <w:rsid w:val="000B3B37"/>
    <w:rsid w:val="000B4DB2"/>
    <w:rsid w:val="000B6020"/>
    <w:rsid w:val="000C3980"/>
    <w:rsid w:val="000D3F69"/>
    <w:rsid w:val="000D5D4C"/>
    <w:rsid w:val="000D657A"/>
    <w:rsid w:val="000D65E5"/>
    <w:rsid w:val="000E40ED"/>
    <w:rsid w:val="000E6245"/>
    <w:rsid w:val="000F284D"/>
    <w:rsid w:val="000F407A"/>
    <w:rsid w:val="000F5881"/>
    <w:rsid w:val="000F68F9"/>
    <w:rsid w:val="000F717F"/>
    <w:rsid w:val="0010084D"/>
    <w:rsid w:val="00102547"/>
    <w:rsid w:val="001061D9"/>
    <w:rsid w:val="001146F5"/>
    <w:rsid w:val="00117A0C"/>
    <w:rsid w:val="00124DDE"/>
    <w:rsid w:val="001304C7"/>
    <w:rsid w:val="001319BE"/>
    <w:rsid w:val="0013295A"/>
    <w:rsid w:val="00135B53"/>
    <w:rsid w:val="00135C33"/>
    <w:rsid w:val="0014078B"/>
    <w:rsid w:val="00140F3C"/>
    <w:rsid w:val="00142F70"/>
    <w:rsid w:val="00144CC2"/>
    <w:rsid w:val="00145266"/>
    <w:rsid w:val="0015222A"/>
    <w:rsid w:val="0015244C"/>
    <w:rsid w:val="00153C02"/>
    <w:rsid w:val="001561A9"/>
    <w:rsid w:val="00160EEA"/>
    <w:rsid w:val="00162E9A"/>
    <w:rsid w:val="00165613"/>
    <w:rsid w:val="001678CC"/>
    <w:rsid w:val="0017253F"/>
    <w:rsid w:val="00172A27"/>
    <w:rsid w:val="001749B2"/>
    <w:rsid w:val="00175E3D"/>
    <w:rsid w:val="00176CC2"/>
    <w:rsid w:val="001775E2"/>
    <w:rsid w:val="00181CFE"/>
    <w:rsid w:val="001828A5"/>
    <w:rsid w:val="0019033F"/>
    <w:rsid w:val="0019045F"/>
    <w:rsid w:val="0019628F"/>
    <w:rsid w:val="001A08F4"/>
    <w:rsid w:val="001A1085"/>
    <w:rsid w:val="001A3981"/>
    <w:rsid w:val="001B0E06"/>
    <w:rsid w:val="001B1487"/>
    <w:rsid w:val="001B4D29"/>
    <w:rsid w:val="001B4FCB"/>
    <w:rsid w:val="001B5EB7"/>
    <w:rsid w:val="001C3198"/>
    <w:rsid w:val="001C3BCB"/>
    <w:rsid w:val="001C4BA6"/>
    <w:rsid w:val="001C5652"/>
    <w:rsid w:val="001D2F30"/>
    <w:rsid w:val="001D30D5"/>
    <w:rsid w:val="001E0A55"/>
    <w:rsid w:val="001E2361"/>
    <w:rsid w:val="001F30BC"/>
    <w:rsid w:val="001F472C"/>
    <w:rsid w:val="001F4ACC"/>
    <w:rsid w:val="001F50DC"/>
    <w:rsid w:val="002029B2"/>
    <w:rsid w:val="00203CC1"/>
    <w:rsid w:val="00216294"/>
    <w:rsid w:val="002214FF"/>
    <w:rsid w:val="00221B34"/>
    <w:rsid w:val="00224A5E"/>
    <w:rsid w:val="00226754"/>
    <w:rsid w:val="0022796C"/>
    <w:rsid w:val="002410DD"/>
    <w:rsid w:val="002432CB"/>
    <w:rsid w:val="00243C4A"/>
    <w:rsid w:val="00245913"/>
    <w:rsid w:val="00247EAE"/>
    <w:rsid w:val="00252F30"/>
    <w:rsid w:val="002556D4"/>
    <w:rsid w:val="0025620B"/>
    <w:rsid w:val="00263B9F"/>
    <w:rsid w:val="00265C86"/>
    <w:rsid w:val="00266ACF"/>
    <w:rsid w:val="0027217B"/>
    <w:rsid w:val="00275B54"/>
    <w:rsid w:val="00277116"/>
    <w:rsid w:val="00283F80"/>
    <w:rsid w:val="002856B1"/>
    <w:rsid w:val="00286724"/>
    <w:rsid w:val="00290229"/>
    <w:rsid w:val="0029101B"/>
    <w:rsid w:val="00291CB0"/>
    <w:rsid w:val="002921B8"/>
    <w:rsid w:val="00294543"/>
    <w:rsid w:val="002952EE"/>
    <w:rsid w:val="0029578B"/>
    <w:rsid w:val="00296301"/>
    <w:rsid w:val="002A79C8"/>
    <w:rsid w:val="002B0288"/>
    <w:rsid w:val="002B186D"/>
    <w:rsid w:val="002B2562"/>
    <w:rsid w:val="002B2ED7"/>
    <w:rsid w:val="002B6548"/>
    <w:rsid w:val="002B684A"/>
    <w:rsid w:val="002C2505"/>
    <w:rsid w:val="002C39F8"/>
    <w:rsid w:val="002C57FD"/>
    <w:rsid w:val="002C5FCD"/>
    <w:rsid w:val="002C6481"/>
    <w:rsid w:val="002C6495"/>
    <w:rsid w:val="002D0757"/>
    <w:rsid w:val="002D1551"/>
    <w:rsid w:val="002E0D4B"/>
    <w:rsid w:val="002E20FE"/>
    <w:rsid w:val="002E4291"/>
    <w:rsid w:val="002E638B"/>
    <w:rsid w:val="002F01D1"/>
    <w:rsid w:val="003074D0"/>
    <w:rsid w:val="00310F78"/>
    <w:rsid w:val="00311B30"/>
    <w:rsid w:val="00322536"/>
    <w:rsid w:val="003269C4"/>
    <w:rsid w:val="00326E3B"/>
    <w:rsid w:val="00337ACC"/>
    <w:rsid w:val="0034266C"/>
    <w:rsid w:val="0034293A"/>
    <w:rsid w:val="0034391C"/>
    <w:rsid w:val="00344AF9"/>
    <w:rsid w:val="003468B2"/>
    <w:rsid w:val="00346FE0"/>
    <w:rsid w:val="00350428"/>
    <w:rsid w:val="00362641"/>
    <w:rsid w:val="00365759"/>
    <w:rsid w:val="00370BD2"/>
    <w:rsid w:val="00370DDE"/>
    <w:rsid w:val="00370EEA"/>
    <w:rsid w:val="00374032"/>
    <w:rsid w:val="00377733"/>
    <w:rsid w:val="00381F99"/>
    <w:rsid w:val="00385006"/>
    <w:rsid w:val="003852DE"/>
    <w:rsid w:val="003862F6"/>
    <w:rsid w:val="00386426"/>
    <w:rsid w:val="00390401"/>
    <w:rsid w:val="00391E8F"/>
    <w:rsid w:val="0039772C"/>
    <w:rsid w:val="003A1638"/>
    <w:rsid w:val="003A3E0C"/>
    <w:rsid w:val="003B1D14"/>
    <w:rsid w:val="003B7723"/>
    <w:rsid w:val="003C0B2A"/>
    <w:rsid w:val="003C6855"/>
    <w:rsid w:val="003D06D2"/>
    <w:rsid w:val="003D1887"/>
    <w:rsid w:val="003D3C5D"/>
    <w:rsid w:val="003E1166"/>
    <w:rsid w:val="003E3938"/>
    <w:rsid w:val="003E4611"/>
    <w:rsid w:val="003E4E57"/>
    <w:rsid w:val="003E5DC3"/>
    <w:rsid w:val="003E6740"/>
    <w:rsid w:val="003E6A16"/>
    <w:rsid w:val="003E7A79"/>
    <w:rsid w:val="003F05CF"/>
    <w:rsid w:val="003F3869"/>
    <w:rsid w:val="004016D1"/>
    <w:rsid w:val="00405A3E"/>
    <w:rsid w:val="00406EF6"/>
    <w:rsid w:val="00412654"/>
    <w:rsid w:val="00412F05"/>
    <w:rsid w:val="004142DD"/>
    <w:rsid w:val="00414D9E"/>
    <w:rsid w:val="00421C88"/>
    <w:rsid w:val="0043026D"/>
    <w:rsid w:val="00430630"/>
    <w:rsid w:val="00432AE6"/>
    <w:rsid w:val="00433775"/>
    <w:rsid w:val="004345C2"/>
    <w:rsid w:val="0044295A"/>
    <w:rsid w:val="00445974"/>
    <w:rsid w:val="00446565"/>
    <w:rsid w:val="004523CB"/>
    <w:rsid w:val="00452DAD"/>
    <w:rsid w:val="00454EA7"/>
    <w:rsid w:val="0047100A"/>
    <w:rsid w:val="004711F3"/>
    <w:rsid w:val="00474D42"/>
    <w:rsid w:val="00475238"/>
    <w:rsid w:val="00480BC9"/>
    <w:rsid w:val="00481FBE"/>
    <w:rsid w:val="0048490E"/>
    <w:rsid w:val="004853D8"/>
    <w:rsid w:val="00485B42"/>
    <w:rsid w:val="00491B5A"/>
    <w:rsid w:val="00494CEB"/>
    <w:rsid w:val="00495742"/>
    <w:rsid w:val="00495761"/>
    <w:rsid w:val="00495C77"/>
    <w:rsid w:val="004A052E"/>
    <w:rsid w:val="004A3B54"/>
    <w:rsid w:val="004A511B"/>
    <w:rsid w:val="004A68FC"/>
    <w:rsid w:val="004A79B0"/>
    <w:rsid w:val="004A7D83"/>
    <w:rsid w:val="004B0900"/>
    <w:rsid w:val="004B1195"/>
    <w:rsid w:val="004B17E6"/>
    <w:rsid w:val="004B309B"/>
    <w:rsid w:val="004B4A39"/>
    <w:rsid w:val="004B4D3D"/>
    <w:rsid w:val="004C4BB3"/>
    <w:rsid w:val="004D36FF"/>
    <w:rsid w:val="004D57B4"/>
    <w:rsid w:val="004D5BBD"/>
    <w:rsid w:val="004D7A88"/>
    <w:rsid w:val="004E0572"/>
    <w:rsid w:val="004E0A90"/>
    <w:rsid w:val="004E13B2"/>
    <w:rsid w:val="004E3186"/>
    <w:rsid w:val="004E4B20"/>
    <w:rsid w:val="004E4BC9"/>
    <w:rsid w:val="004E5121"/>
    <w:rsid w:val="004E6E99"/>
    <w:rsid w:val="004F48BC"/>
    <w:rsid w:val="0050026A"/>
    <w:rsid w:val="005060E7"/>
    <w:rsid w:val="00507C61"/>
    <w:rsid w:val="00510D9B"/>
    <w:rsid w:val="00511D23"/>
    <w:rsid w:val="005121E5"/>
    <w:rsid w:val="00513881"/>
    <w:rsid w:val="00514698"/>
    <w:rsid w:val="00514B36"/>
    <w:rsid w:val="005164E1"/>
    <w:rsid w:val="0052188D"/>
    <w:rsid w:val="005218F7"/>
    <w:rsid w:val="00525091"/>
    <w:rsid w:val="00526C93"/>
    <w:rsid w:val="00527271"/>
    <w:rsid w:val="0052758C"/>
    <w:rsid w:val="0053258F"/>
    <w:rsid w:val="0053272D"/>
    <w:rsid w:val="00534BD8"/>
    <w:rsid w:val="005423AB"/>
    <w:rsid w:val="00542D50"/>
    <w:rsid w:val="00543245"/>
    <w:rsid w:val="00543968"/>
    <w:rsid w:val="0054467E"/>
    <w:rsid w:val="00545BED"/>
    <w:rsid w:val="00547A73"/>
    <w:rsid w:val="00553D86"/>
    <w:rsid w:val="005546CE"/>
    <w:rsid w:val="005555B8"/>
    <w:rsid w:val="00556E96"/>
    <w:rsid w:val="0055735D"/>
    <w:rsid w:val="00560801"/>
    <w:rsid w:val="00563FBE"/>
    <w:rsid w:val="00565857"/>
    <w:rsid w:val="005717BE"/>
    <w:rsid w:val="005740F1"/>
    <w:rsid w:val="00575B2A"/>
    <w:rsid w:val="005865E8"/>
    <w:rsid w:val="00587011"/>
    <w:rsid w:val="005902F2"/>
    <w:rsid w:val="00592566"/>
    <w:rsid w:val="0059716C"/>
    <w:rsid w:val="005A06C1"/>
    <w:rsid w:val="005A2676"/>
    <w:rsid w:val="005B0200"/>
    <w:rsid w:val="005B247F"/>
    <w:rsid w:val="005B3868"/>
    <w:rsid w:val="005B585B"/>
    <w:rsid w:val="005C3D07"/>
    <w:rsid w:val="005D2F41"/>
    <w:rsid w:val="005D43E8"/>
    <w:rsid w:val="005D568D"/>
    <w:rsid w:val="005D5DFD"/>
    <w:rsid w:val="005D6DEE"/>
    <w:rsid w:val="005E1BC3"/>
    <w:rsid w:val="005E60C0"/>
    <w:rsid w:val="005F379A"/>
    <w:rsid w:val="005F7092"/>
    <w:rsid w:val="00602600"/>
    <w:rsid w:val="00603C19"/>
    <w:rsid w:val="0061016D"/>
    <w:rsid w:val="00614867"/>
    <w:rsid w:val="00615546"/>
    <w:rsid w:val="006176F5"/>
    <w:rsid w:val="00626021"/>
    <w:rsid w:val="006264A8"/>
    <w:rsid w:val="00626C07"/>
    <w:rsid w:val="00633817"/>
    <w:rsid w:val="00635846"/>
    <w:rsid w:val="00636E73"/>
    <w:rsid w:val="006435A8"/>
    <w:rsid w:val="00643954"/>
    <w:rsid w:val="006455CF"/>
    <w:rsid w:val="00646C7D"/>
    <w:rsid w:val="00646D03"/>
    <w:rsid w:val="00650A61"/>
    <w:rsid w:val="006542E9"/>
    <w:rsid w:val="006555B5"/>
    <w:rsid w:val="0065620D"/>
    <w:rsid w:val="00660852"/>
    <w:rsid w:val="0066241F"/>
    <w:rsid w:val="00662500"/>
    <w:rsid w:val="00666728"/>
    <w:rsid w:val="00666C85"/>
    <w:rsid w:val="006714C3"/>
    <w:rsid w:val="00673D5C"/>
    <w:rsid w:val="006754D6"/>
    <w:rsid w:val="00680B02"/>
    <w:rsid w:val="00680E94"/>
    <w:rsid w:val="00681ED3"/>
    <w:rsid w:val="006835E8"/>
    <w:rsid w:val="006840A2"/>
    <w:rsid w:val="006909F6"/>
    <w:rsid w:val="00691C60"/>
    <w:rsid w:val="006A10E2"/>
    <w:rsid w:val="006A145B"/>
    <w:rsid w:val="006A1557"/>
    <w:rsid w:val="006A1C03"/>
    <w:rsid w:val="006A2822"/>
    <w:rsid w:val="006A3CE1"/>
    <w:rsid w:val="006A42B6"/>
    <w:rsid w:val="006A451F"/>
    <w:rsid w:val="006B1A65"/>
    <w:rsid w:val="006B3AF2"/>
    <w:rsid w:val="006B3E7C"/>
    <w:rsid w:val="006B43FF"/>
    <w:rsid w:val="006B75C6"/>
    <w:rsid w:val="006B7D82"/>
    <w:rsid w:val="006C339E"/>
    <w:rsid w:val="006C5B2C"/>
    <w:rsid w:val="006D0A18"/>
    <w:rsid w:val="006D2602"/>
    <w:rsid w:val="006D68D9"/>
    <w:rsid w:val="006E06FD"/>
    <w:rsid w:val="006E0909"/>
    <w:rsid w:val="006E1F96"/>
    <w:rsid w:val="006E2274"/>
    <w:rsid w:val="006E4111"/>
    <w:rsid w:val="006E5AB5"/>
    <w:rsid w:val="006E6F80"/>
    <w:rsid w:val="006F183A"/>
    <w:rsid w:val="006F2875"/>
    <w:rsid w:val="006F2E23"/>
    <w:rsid w:val="006F48BC"/>
    <w:rsid w:val="006F60FB"/>
    <w:rsid w:val="006F77B5"/>
    <w:rsid w:val="00705F3E"/>
    <w:rsid w:val="00707F52"/>
    <w:rsid w:val="0071255F"/>
    <w:rsid w:val="007210BF"/>
    <w:rsid w:val="0072395D"/>
    <w:rsid w:val="007273D6"/>
    <w:rsid w:val="00731E86"/>
    <w:rsid w:val="00734095"/>
    <w:rsid w:val="00735683"/>
    <w:rsid w:val="00744AF8"/>
    <w:rsid w:val="007477E9"/>
    <w:rsid w:val="00751A9C"/>
    <w:rsid w:val="00753346"/>
    <w:rsid w:val="00754369"/>
    <w:rsid w:val="007564B8"/>
    <w:rsid w:val="00764FFD"/>
    <w:rsid w:val="00781564"/>
    <w:rsid w:val="0078305D"/>
    <w:rsid w:val="0078321E"/>
    <w:rsid w:val="00784BAC"/>
    <w:rsid w:val="0078547B"/>
    <w:rsid w:val="007871E2"/>
    <w:rsid w:val="00787717"/>
    <w:rsid w:val="00791344"/>
    <w:rsid w:val="007925E8"/>
    <w:rsid w:val="00794208"/>
    <w:rsid w:val="00794D09"/>
    <w:rsid w:val="007961ED"/>
    <w:rsid w:val="00796786"/>
    <w:rsid w:val="007A7E51"/>
    <w:rsid w:val="007B1B2D"/>
    <w:rsid w:val="007B2E0E"/>
    <w:rsid w:val="007B7247"/>
    <w:rsid w:val="007C223F"/>
    <w:rsid w:val="007C3829"/>
    <w:rsid w:val="007D3049"/>
    <w:rsid w:val="007D34A7"/>
    <w:rsid w:val="007D4EC5"/>
    <w:rsid w:val="007E27C8"/>
    <w:rsid w:val="007F25BD"/>
    <w:rsid w:val="007F368D"/>
    <w:rsid w:val="007F6DE5"/>
    <w:rsid w:val="007F6F87"/>
    <w:rsid w:val="008001CD"/>
    <w:rsid w:val="00801EDD"/>
    <w:rsid w:val="00803301"/>
    <w:rsid w:val="008034D0"/>
    <w:rsid w:val="00803950"/>
    <w:rsid w:val="008049E2"/>
    <w:rsid w:val="00806B7E"/>
    <w:rsid w:val="00806F77"/>
    <w:rsid w:val="00811538"/>
    <w:rsid w:val="00814C3F"/>
    <w:rsid w:val="00817877"/>
    <w:rsid w:val="00827B8D"/>
    <w:rsid w:val="00836CC7"/>
    <w:rsid w:val="00840D7A"/>
    <w:rsid w:val="0085006A"/>
    <w:rsid w:val="00850A86"/>
    <w:rsid w:val="0085391E"/>
    <w:rsid w:val="0085482A"/>
    <w:rsid w:val="00857534"/>
    <w:rsid w:val="008601D7"/>
    <w:rsid w:val="00865DF5"/>
    <w:rsid w:val="008673F4"/>
    <w:rsid w:val="00870E86"/>
    <w:rsid w:val="00871455"/>
    <w:rsid w:val="008718FC"/>
    <w:rsid w:val="00880780"/>
    <w:rsid w:val="00885998"/>
    <w:rsid w:val="00886C13"/>
    <w:rsid w:val="00890707"/>
    <w:rsid w:val="00891D13"/>
    <w:rsid w:val="008923A1"/>
    <w:rsid w:val="00892532"/>
    <w:rsid w:val="008938FA"/>
    <w:rsid w:val="008944D2"/>
    <w:rsid w:val="008A04A3"/>
    <w:rsid w:val="008A0C68"/>
    <w:rsid w:val="008A2642"/>
    <w:rsid w:val="008A5839"/>
    <w:rsid w:val="008A6EE3"/>
    <w:rsid w:val="008B1194"/>
    <w:rsid w:val="008B1F36"/>
    <w:rsid w:val="008B2B34"/>
    <w:rsid w:val="008B2BF0"/>
    <w:rsid w:val="008B7F65"/>
    <w:rsid w:val="008C0B98"/>
    <w:rsid w:val="008C3176"/>
    <w:rsid w:val="008C4311"/>
    <w:rsid w:val="008C4B62"/>
    <w:rsid w:val="008D2D30"/>
    <w:rsid w:val="008D6D24"/>
    <w:rsid w:val="008E324C"/>
    <w:rsid w:val="008E72A0"/>
    <w:rsid w:val="008E7882"/>
    <w:rsid w:val="008F1BB6"/>
    <w:rsid w:val="008F29D2"/>
    <w:rsid w:val="008F3312"/>
    <w:rsid w:val="008F4238"/>
    <w:rsid w:val="008F5C2E"/>
    <w:rsid w:val="00900E19"/>
    <w:rsid w:val="00900E24"/>
    <w:rsid w:val="00901526"/>
    <w:rsid w:val="009029CB"/>
    <w:rsid w:val="009038A5"/>
    <w:rsid w:val="00903CF1"/>
    <w:rsid w:val="00905933"/>
    <w:rsid w:val="00905A92"/>
    <w:rsid w:val="0090694B"/>
    <w:rsid w:val="009137D3"/>
    <w:rsid w:val="0091748B"/>
    <w:rsid w:val="00927023"/>
    <w:rsid w:val="0093054A"/>
    <w:rsid w:val="0093148F"/>
    <w:rsid w:val="0094365A"/>
    <w:rsid w:val="009436A3"/>
    <w:rsid w:val="00945B48"/>
    <w:rsid w:val="00950255"/>
    <w:rsid w:val="00950D29"/>
    <w:rsid w:val="0095153E"/>
    <w:rsid w:val="00952A46"/>
    <w:rsid w:val="00954384"/>
    <w:rsid w:val="00957FA4"/>
    <w:rsid w:val="009676DB"/>
    <w:rsid w:val="00970802"/>
    <w:rsid w:val="009722DB"/>
    <w:rsid w:val="009735EB"/>
    <w:rsid w:val="00976C43"/>
    <w:rsid w:val="00977F18"/>
    <w:rsid w:val="0098018D"/>
    <w:rsid w:val="00982CE8"/>
    <w:rsid w:val="00982ECC"/>
    <w:rsid w:val="009846A0"/>
    <w:rsid w:val="009A79E2"/>
    <w:rsid w:val="009B0656"/>
    <w:rsid w:val="009B41A4"/>
    <w:rsid w:val="009B53B2"/>
    <w:rsid w:val="009C405E"/>
    <w:rsid w:val="009C4AA9"/>
    <w:rsid w:val="009C59AB"/>
    <w:rsid w:val="009C7C40"/>
    <w:rsid w:val="009D0B18"/>
    <w:rsid w:val="009D0E3E"/>
    <w:rsid w:val="009D1C9B"/>
    <w:rsid w:val="009D4ADF"/>
    <w:rsid w:val="009E2CDE"/>
    <w:rsid w:val="009F2067"/>
    <w:rsid w:val="009F310C"/>
    <w:rsid w:val="00A12B43"/>
    <w:rsid w:val="00A12FB3"/>
    <w:rsid w:val="00A13806"/>
    <w:rsid w:val="00A16035"/>
    <w:rsid w:val="00A17204"/>
    <w:rsid w:val="00A17A6E"/>
    <w:rsid w:val="00A21ACE"/>
    <w:rsid w:val="00A2227B"/>
    <w:rsid w:val="00A23093"/>
    <w:rsid w:val="00A253C1"/>
    <w:rsid w:val="00A2572A"/>
    <w:rsid w:val="00A25A75"/>
    <w:rsid w:val="00A27FD8"/>
    <w:rsid w:val="00A30458"/>
    <w:rsid w:val="00A33B52"/>
    <w:rsid w:val="00A35052"/>
    <w:rsid w:val="00A43A57"/>
    <w:rsid w:val="00A43EC1"/>
    <w:rsid w:val="00A43FD4"/>
    <w:rsid w:val="00A44D9D"/>
    <w:rsid w:val="00A51497"/>
    <w:rsid w:val="00A51D0C"/>
    <w:rsid w:val="00A522C6"/>
    <w:rsid w:val="00A52BD0"/>
    <w:rsid w:val="00A6116F"/>
    <w:rsid w:val="00A61F95"/>
    <w:rsid w:val="00A63F3D"/>
    <w:rsid w:val="00A63FE4"/>
    <w:rsid w:val="00A665BA"/>
    <w:rsid w:val="00A76FA1"/>
    <w:rsid w:val="00A81987"/>
    <w:rsid w:val="00A821BE"/>
    <w:rsid w:val="00A826B8"/>
    <w:rsid w:val="00A83CE6"/>
    <w:rsid w:val="00A85FE8"/>
    <w:rsid w:val="00A86D9A"/>
    <w:rsid w:val="00A93C3D"/>
    <w:rsid w:val="00A94903"/>
    <w:rsid w:val="00A96914"/>
    <w:rsid w:val="00AA0C8C"/>
    <w:rsid w:val="00AA4E2B"/>
    <w:rsid w:val="00AA51A5"/>
    <w:rsid w:val="00AB077B"/>
    <w:rsid w:val="00AB44D6"/>
    <w:rsid w:val="00AB4D62"/>
    <w:rsid w:val="00AB509F"/>
    <w:rsid w:val="00AB7998"/>
    <w:rsid w:val="00AC3C11"/>
    <w:rsid w:val="00AC6202"/>
    <w:rsid w:val="00AD11BE"/>
    <w:rsid w:val="00AD14AB"/>
    <w:rsid w:val="00AD2757"/>
    <w:rsid w:val="00AD2AFF"/>
    <w:rsid w:val="00AD2FDB"/>
    <w:rsid w:val="00AD5094"/>
    <w:rsid w:val="00AE1F0E"/>
    <w:rsid w:val="00AE6A1B"/>
    <w:rsid w:val="00AF048D"/>
    <w:rsid w:val="00AF2525"/>
    <w:rsid w:val="00AF258E"/>
    <w:rsid w:val="00AF3DD5"/>
    <w:rsid w:val="00AF4380"/>
    <w:rsid w:val="00AF5EB1"/>
    <w:rsid w:val="00AF7602"/>
    <w:rsid w:val="00B004E7"/>
    <w:rsid w:val="00B03175"/>
    <w:rsid w:val="00B06502"/>
    <w:rsid w:val="00B074A3"/>
    <w:rsid w:val="00B07B58"/>
    <w:rsid w:val="00B14850"/>
    <w:rsid w:val="00B154F2"/>
    <w:rsid w:val="00B22542"/>
    <w:rsid w:val="00B26888"/>
    <w:rsid w:val="00B27658"/>
    <w:rsid w:val="00B30FDE"/>
    <w:rsid w:val="00B31362"/>
    <w:rsid w:val="00B35746"/>
    <w:rsid w:val="00B43818"/>
    <w:rsid w:val="00B455F6"/>
    <w:rsid w:val="00B4602E"/>
    <w:rsid w:val="00B46F85"/>
    <w:rsid w:val="00B47CEF"/>
    <w:rsid w:val="00B52096"/>
    <w:rsid w:val="00B52F73"/>
    <w:rsid w:val="00B55D22"/>
    <w:rsid w:val="00B55F73"/>
    <w:rsid w:val="00B649CA"/>
    <w:rsid w:val="00B66860"/>
    <w:rsid w:val="00B71A6B"/>
    <w:rsid w:val="00B72871"/>
    <w:rsid w:val="00B731C8"/>
    <w:rsid w:val="00B75693"/>
    <w:rsid w:val="00B76C86"/>
    <w:rsid w:val="00B77282"/>
    <w:rsid w:val="00B77F88"/>
    <w:rsid w:val="00B804BA"/>
    <w:rsid w:val="00B86564"/>
    <w:rsid w:val="00B95A25"/>
    <w:rsid w:val="00BA03C7"/>
    <w:rsid w:val="00BA09D7"/>
    <w:rsid w:val="00BA10CF"/>
    <w:rsid w:val="00BA1AA7"/>
    <w:rsid w:val="00BA5477"/>
    <w:rsid w:val="00BA7901"/>
    <w:rsid w:val="00BA7ADF"/>
    <w:rsid w:val="00BB09E5"/>
    <w:rsid w:val="00BB6569"/>
    <w:rsid w:val="00BB71F7"/>
    <w:rsid w:val="00BC43B7"/>
    <w:rsid w:val="00BC5ABD"/>
    <w:rsid w:val="00BC677B"/>
    <w:rsid w:val="00BD03EA"/>
    <w:rsid w:val="00BD4717"/>
    <w:rsid w:val="00BD566E"/>
    <w:rsid w:val="00BE1CE0"/>
    <w:rsid w:val="00BE36A9"/>
    <w:rsid w:val="00BE44E5"/>
    <w:rsid w:val="00BF3509"/>
    <w:rsid w:val="00BF5C1A"/>
    <w:rsid w:val="00BF678C"/>
    <w:rsid w:val="00BF76C4"/>
    <w:rsid w:val="00C014D1"/>
    <w:rsid w:val="00C0205F"/>
    <w:rsid w:val="00C05460"/>
    <w:rsid w:val="00C06413"/>
    <w:rsid w:val="00C06F70"/>
    <w:rsid w:val="00C12E76"/>
    <w:rsid w:val="00C1303C"/>
    <w:rsid w:val="00C23780"/>
    <w:rsid w:val="00C27D34"/>
    <w:rsid w:val="00C30BB9"/>
    <w:rsid w:val="00C31C48"/>
    <w:rsid w:val="00C3250D"/>
    <w:rsid w:val="00C33142"/>
    <w:rsid w:val="00C34E5A"/>
    <w:rsid w:val="00C367C5"/>
    <w:rsid w:val="00C36D78"/>
    <w:rsid w:val="00C37C03"/>
    <w:rsid w:val="00C427D4"/>
    <w:rsid w:val="00C52057"/>
    <w:rsid w:val="00C52DF8"/>
    <w:rsid w:val="00C52EB7"/>
    <w:rsid w:val="00C52F99"/>
    <w:rsid w:val="00C54126"/>
    <w:rsid w:val="00C54439"/>
    <w:rsid w:val="00C54639"/>
    <w:rsid w:val="00C54C19"/>
    <w:rsid w:val="00C54F7A"/>
    <w:rsid w:val="00C55113"/>
    <w:rsid w:val="00C55D0A"/>
    <w:rsid w:val="00C56E8E"/>
    <w:rsid w:val="00C64A05"/>
    <w:rsid w:val="00C65D16"/>
    <w:rsid w:val="00C66651"/>
    <w:rsid w:val="00C72136"/>
    <w:rsid w:val="00C73398"/>
    <w:rsid w:val="00C74342"/>
    <w:rsid w:val="00C746E0"/>
    <w:rsid w:val="00C74AC5"/>
    <w:rsid w:val="00C76B26"/>
    <w:rsid w:val="00C76EC2"/>
    <w:rsid w:val="00C83826"/>
    <w:rsid w:val="00C839D8"/>
    <w:rsid w:val="00C8484A"/>
    <w:rsid w:val="00C85C0C"/>
    <w:rsid w:val="00C86545"/>
    <w:rsid w:val="00C872ED"/>
    <w:rsid w:val="00C879A2"/>
    <w:rsid w:val="00C906D5"/>
    <w:rsid w:val="00C914B0"/>
    <w:rsid w:val="00C964D0"/>
    <w:rsid w:val="00CA1018"/>
    <w:rsid w:val="00CA2580"/>
    <w:rsid w:val="00CA3F70"/>
    <w:rsid w:val="00CA5E27"/>
    <w:rsid w:val="00CA7E0A"/>
    <w:rsid w:val="00CB0554"/>
    <w:rsid w:val="00CB3879"/>
    <w:rsid w:val="00CB74A8"/>
    <w:rsid w:val="00CC02B6"/>
    <w:rsid w:val="00CC5AD0"/>
    <w:rsid w:val="00CD0264"/>
    <w:rsid w:val="00CD24E6"/>
    <w:rsid w:val="00CD3CE2"/>
    <w:rsid w:val="00CD4D06"/>
    <w:rsid w:val="00CD5FBC"/>
    <w:rsid w:val="00CE086D"/>
    <w:rsid w:val="00CE1C90"/>
    <w:rsid w:val="00CE7D02"/>
    <w:rsid w:val="00CF1070"/>
    <w:rsid w:val="00CF37F6"/>
    <w:rsid w:val="00CF644F"/>
    <w:rsid w:val="00CF7069"/>
    <w:rsid w:val="00D01D88"/>
    <w:rsid w:val="00D02A57"/>
    <w:rsid w:val="00D063E9"/>
    <w:rsid w:val="00D07A07"/>
    <w:rsid w:val="00D07E8A"/>
    <w:rsid w:val="00D1098B"/>
    <w:rsid w:val="00D139EA"/>
    <w:rsid w:val="00D21D65"/>
    <w:rsid w:val="00D226E4"/>
    <w:rsid w:val="00D23834"/>
    <w:rsid w:val="00D2768D"/>
    <w:rsid w:val="00D3147D"/>
    <w:rsid w:val="00D31F10"/>
    <w:rsid w:val="00D401DD"/>
    <w:rsid w:val="00D41692"/>
    <w:rsid w:val="00D41B75"/>
    <w:rsid w:val="00D45961"/>
    <w:rsid w:val="00D529C5"/>
    <w:rsid w:val="00D5480E"/>
    <w:rsid w:val="00D5648E"/>
    <w:rsid w:val="00D57BDF"/>
    <w:rsid w:val="00D748C7"/>
    <w:rsid w:val="00D754B9"/>
    <w:rsid w:val="00D75D64"/>
    <w:rsid w:val="00D76C58"/>
    <w:rsid w:val="00D879A1"/>
    <w:rsid w:val="00D91259"/>
    <w:rsid w:val="00D918DF"/>
    <w:rsid w:val="00D947D3"/>
    <w:rsid w:val="00D9587A"/>
    <w:rsid w:val="00D978D2"/>
    <w:rsid w:val="00DA1E0D"/>
    <w:rsid w:val="00DA5855"/>
    <w:rsid w:val="00DA6341"/>
    <w:rsid w:val="00DA65F1"/>
    <w:rsid w:val="00DB1E41"/>
    <w:rsid w:val="00DB3E12"/>
    <w:rsid w:val="00DB55F9"/>
    <w:rsid w:val="00DB65BF"/>
    <w:rsid w:val="00DB6BB1"/>
    <w:rsid w:val="00DC28A4"/>
    <w:rsid w:val="00DC3407"/>
    <w:rsid w:val="00DC4E12"/>
    <w:rsid w:val="00DD081A"/>
    <w:rsid w:val="00DD2F5B"/>
    <w:rsid w:val="00DD3BA1"/>
    <w:rsid w:val="00DE0F6C"/>
    <w:rsid w:val="00DE1D34"/>
    <w:rsid w:val="00DE73E7"/>
    <w:rsid w:val="00DF4AB3"/>
    <w:rsid w:val="00E00640"/>
    <w:rsid w:val="00E02558"/>
    <w:rsid w:val="00E02F3C"/>
    <w:rsid w:val="00E115A4"/>
    <w:rsid w:val="00E132E2"/>
    <w:rsid w:val="00E16DC0"/>
    <w:rsid w:val="00E21D3B"/>
    <w:rsid w:val="00E243F8"/>
    <w:rsid w:val="00E25115"/>
    <w:rsid w:val="00E26D5C"/>
    <w:rsid w:val="00E30D82"/>
    <w:rsid w:val="00E30E2B"/>
    <w:rsid w:val="00E355DF"/>
    <w:rsid w:val="00E356DD"/>
    <w:rsid w:val="00E4218F"/>
    <w:rsid w:val="00E432B0"/>
    <w:rsid w:val="00E434EF"/>
    <w:rsid w:val="00E43516"/>
    <w:rsid w:val="00E437D7"/>
    <w:rsid w:val="00E43D9F"/>
    <w:rsid w:val="00E455DF"/>
    <w:rsid w:val="00E50E0E"/>
    <w:rsid w:val="00E5151E"/>
    <w:rsid w:val="00E55300"/>
    <w:rsid w:val="00E573F7"/>
    <w:rsid w:val="00E60505"/>
    <w:rsid w:val="00E60763"/>
    <w:rsid w:val="00E614E7"/>
    <w:rsid w:val="00E62D36"/>
    <w:rsid w:val="00E6510B"/>
    <w:rsid w:val="00E66550"/>
    <w:rsid w:val="00E71202"/>
    <w:rsid w:val="00E75D47"/>
    <w:rsid w:val="00E80F63"/>
    <w:rsid w:val="00E81C38"/>
    <w:rsid w:val="00E8379A"/>
    <w:rsid w:val="00E86DE7"/>
    <w:rsid w:val="00E87462"/>
    <w:rsid w:val="00E9035C"/>
    <w:rsid w:val="00E91A92"/>
    <w:rsid w:val="00E92B7F"/>
    <w:rsid w:val="00E949C1"/>
    <w:rsid w:val="00E971A9"/>
    <w:rsid w:val="00EA66CC"/>
    <w:rsid w:val="00EA752D"/>
    <w:rsid w:val="00EB09C9"/>
    <w:rsid w:val="00EB11A5"/>
    <w:rsid w:val="00EB30F5"/>
    <w:rsid w:val="00EB5A93"/>
    <w:rsid w:val="00EB6A14"/>
    <w:rsid w:val="00ED0A13"/>
    <w:rsid w:val="00ED0F84"/>
    <w:rsid w:val="00ED4F72"/>
    <w:rsid w:val="00EE04B5"/>
    <w:rsid w:val="00EE3326"/>
    <w:rsid w:val="00EE501B"/>
    <w:rsid w:val="00EF0EE5"/>
    <w:rsid w:val="00EF129D"/>
    <w:rsid w:val="00F0540D"/>
    <w:rsid w:val="00F070D6"/>
    <w:rsid w:val="00F0726E"/>
    <w:rsid w:val="00F10717"/>
    <w:rsid w:val="00F10912"/>
    <w:rsid w:val="00F140FB"/>
    <w:rsid w:val="00F15C0D"/>
    <w:rsid w:val="00F214C6"/>
    <w:rsid w:val="00F21D95"/>
    <w:rsid w:val="00F30D86"/>
    <w:rsid w:val="00F32588"/>
    <w:rsid w:val="00F37676"/>
    <w:rsid w:val="00F41B44"/>
    <w:rsid w:val="00F43266"/>
    <w:rsid w:val="00F44C37"/>
    <w:rsid w:val="00F45204"/>
    <w:rsid w:val="00F50840"/>
    <w:rsid w:val="00F51C5E"/>
    <w:rsid w:val="00F5579E"/>
    <w:rsid w:val="00F56478"/>
    <w:rsid w:val="00F57D99"/>
    <w:rsid w:val="00F61241"/>
    <w:rsid w:val="00F62755"/>
    <w:rsid w:val="00F63F93"/>
    <w:rsid w:val="00F64220"/>
    <w:rsid w:val="00F6438E"/>
    <w:rsid w:val="00F65BF7"/>
    <w:rsid w:val="00F65C16"/>
    <w:rsid w:val="00F65D78"/>
    <w:rsid w:val="00F6656D"/>
    <w:rsid w:val="00F70A30"/>
    <w:rsid w:val="00F7520D"/>
    <w:rsid w:val="00F76EF5"/>
    <w:rsid w:val="00F81FC6"/>
    <w:rsid w:val="00F8733C"/>
    <w:rsid w:val="00F90DAF"/>
    <w:rsid w:val="00F91B37"/>
    <w:rsid w:val="00F92EF6"/>
    <w:rsid w:val="00F95890"/>
    <w:rsid w:val="00FA773B"/>
    <w:rsid w:val="00FB0AC6"/>
    <w:rsid w:val="00FB0E97"/>
    <w:rsid w:val="00FB1BA1"/>
    <w:rsid w:val="00FB318F"/>
    <w:rsid w:val="00FB4051"/>
    <w:rsid w:val="00FB6AFF"/>
    <w:rsid w:val="00FC0925"/>
    <w:rsid w:val="00FC2599"/>
    <w:rsid w:val="00FC6036"/>
    <w:rsid w:val="00FC7243"/>
    <w:rsid w:val="00FD050F"/>
    <w:rsid w:val="00FD2CE9"/>
    <w:rsid w:val="00FD5822"/>
    <w:rsid w:val="00FD5DDD"/>
    <w:rsid w:val="00FD5E2E"/>
    <w:rsid w:val="00FE089C"/>
    <w:rsid w:val="00FE4448"/>
    <w:rsid w:val="00FF2FBA"/>
    <w:rsid w:val="00FF34EB"/>
    <w:rsid w:val="00FF34EF"/>
    <w:rsid w:val="00FF4E0C"/>
    <w:rsid w:val="02090CA9"/>
    <w:rsid w:val="0232418C"/>
    <w:rsid w:val="03906372"/>
    <w:rsid w:val="04B53CC4"/>
    <w:rsid w:val="052C1E73"/>
    <w:rsid w:val="05C06FB6"/>
    <w:rsid w:val="06603905"/>
    <w:rsid w:val="07347725"/>
    <w:rsid w:val="092C6A9D"/>
    <w:rsid w:val="09EC2CDD"/>
    <w:rsid w:val="0A9A7D83"/>
    <w:rsid w:val="0B6C1413"/>
    <w:rsid w:val="0BC96B04"/>
    <w:rsid w:val="0CC0610A"/>
    <w:rsid w:val="0D320AA7"/>
    <w:rsid w:val="0F0B6D4F"/>
    <w:rsid w:val="0FD0094D"/>
    <w:rsid w:val="114C393B"/>
    <w:rsid w:val="148004C0"/>
    <w:rsid w:val="152E6FF4"/>
    <w:rsid w:val="155A7CD5"/>
    <w:rsid w:val="15A85D05"/>
    <w:rsid w:val="16936712"/>
    <w:rsid w:val="16CB6CAA"/>
    <w:rsid w:val="184C5C5F"/>
    <w:rsid w:val="18A92545"/>
    <w:rsid w:val="1A4B0BC9"/>
    <w:rsid w:val="1C5F35FB"/>
    <w:rsid w:val="1D834151"/>
    <w:rsid w:val="1D9A1776"/>
    <w:rsid w:val="1DE862D8"/>
    <w:rsid w:val="1DEA1D3A"/>
    <w:rsid w:val="1E187212"/>
    <w:rsid w:val="1F665027"/>
    <w:rsid w:val="20A86BA8"/>
    <w:rsid w:val="21475783"/>
    <w:rsid w:val="21621C41"/>
    <w:rsid w:val="21C84CCC"/>
    <w:rsid w:val="227B299A"/>
    <w:rsid w:val="249055AC"/>
    <w:rsid w:val="25AB0C07"/>
    <w:rsid w:val="26A35B5A"/>
    <w:rsid w:val="290530D0"/>
    <w:rsid w:val="29757A37"/>
    <w:rsid w:val="2B56528A"/>
    <w:rsid w:val="2C1C41A6"/>
    <w:rsid w:val="2C873857"/>
    <w:rsid w:val="2D0933DA"/>
    <w:rsid w:val="2D095047"/>
    <w:rsid w:val="2F3B6F7B"/>
    <w:rsid w:val="30A65D60"/>
    <w:rsid w:val="31060043"/>
    <w:rsid w:val="314C6946"/>
    <w:rsid w:val="31D31A3A"/>
    <w:rsid w:val="329165E5"/>
    <w:rsid w:val="32D04130"/>
    <w:rsid w:val="333B3439"/>
    <w:rsid w:val="345E62B7"/>
    <w:rsid w:val="34962F8F"/>
    <w:rsid w:val="354A7B9C"/>
    <w:rsid w:val="35645510"/>
    <w:rsid w:val="357418BA"/>
    <w:rsid w:val="3620672F"/>
    <w:rsid w:val="36C86158"/>
    <w:rsid w:val="375C6A6C"/>
    <w:rsid w:val="380A4E1F"/>
    <w:rsid w:val="3A2B484E"/>
    <w:rsid w:val="3A724721"/>
    <w:rsid w:val="3D0E7B24"/>
    <w:rsid w:val="3E2972F7"/>
    <w:rsid w:val="3E3B5B6E"/>
    <w:rsid w:val="3F1457BD"/>
    <w:rsid w:val="3FF73D4A"/>
    <w:rsid w:val="40A23390"/>
    <w:rsid w:val="433615FF"/>
    <w:rsid w:val="43C314FE"/>
    <w:rsid w:val="445B5D01"/>
    <w:rsid w:val="447A524D"/>
    <w:rsid w:val="44BC26E7"/>
    <w:rsid w:val="454D1F64"/>
    <w:rsid w:val="458D30FB"/>
    <w:rsid w:val="45B77140"/>
    <w:rsid w:val="480D788C"/>
    <w:rsid w:val="48145A2C"/>
    <w:rsid w:val="485D1F3C"/>
    <w:rsid w:val="48F365A1"/>
    <w:rsid w:val="4D6E17A1"/>
    <w:rsid w:val="4D881EDA"/>
    <w:rsid w:val="4E4C54B7"/>
    <w:rsid w:val="502A09AF"/>
    <w:rsid w:val="509F7324"/>
    <w:rsid w:val="52705C01"/>
    <w:rsid w:val="5337545B"/>
    <w:rsid w:val="54020E27"/>
    <w:rsid w:val="54386008"/>
    <w:rsid w:val="54B57A07"/>
    <w:rsid w:val="55430C48"/>
    <w:rsid w:val="5608326D"/>
    <w:rsid w:val="57074FD5"/>
    <w:rsid w:val="5754744C"/>
    <w:rsid w:val="577D6F4D"/>
    <w:rsid w:val="58033882"/>
    <w:rsid w:val="591201B9"/>
    <w:rsid w:val="5C221AB8"/>
    <w:rsid w:val="5C546C4B"/>
    <w:rsid w:val="5D5F2444"/>
    <w:rsid w:val="5FDE29B8"/>
    <w:rsid w:val="603A4BFD"/>
    <w:rsid w:val="604E4D3D"/>
    <w:rsid w:val="615D65F5"/>
    <w:rsid w:val="62B25299"/>
    <w:rsid w:val="62BB1E1D"/>
    <w:rsid w:val="63A76821"/>
    <w:rsid w:val="64182FBA"/>
    <w:rsid w:val="64413309"/>
    <w:rsid w:val="65715BE7"/>
    <w:rsid w:val="682C06D0"/>
    <w:rsid w:val="682E4555"/>
    <w:rsid w:val="68673BF1"/>
    <w:rsid w:val="68702372"/>
    <w:rsid w:val="68B2691D"/>
    <w:rsid w:val="6A0B03FD"/>
    <w:rsid w:val="6A45236F"/>
    <w:rsid w:val="6A8A5229"/>
    <w:rsid w:val="6C156DC9"/>
    <w:rsid w:val="6DDA1A15"/>
    <w:rsid w:val="6F3E1FDB"/>
    <w:rsid w:val="703C6B0F"/>
    <w:rsid w:val="70462D3E"/>
    <w:rsid w:val="70DC55D0"/>
    <w:rsid w:val="7201759C"/>
    <w:rsid w:val="73686279"/>
    <w:rsid w:val="736C7A97"/>
    <w:rsid w:val="74EA7F14"/>
    <w:rsid w:val="75D85351"/>
    <w:rsid w:val="76285A4E"/>
    <w:rsid w:val="76937619"/>
    <w:rsid w:val="76A4597E"/>
    <w:rsid w:val="76C054F3"/>
    <w:rsid w:val="7C5D2009"/>
    <w:rsid w:val="7CB21DF4"/>
    <w:rsid w:val="7CFF7503"/>
    <w:rsid w:val="7D260703"/>
    <w:rsid w:val="7E180BA6"/>
    <w:rsid w:val="7F072E3D"/>
    <w:rsid w:val="7F890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0" w:semiHidden="0" w:name="toc 2"/>
    <w:lsdException w:qFormat="1"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仿宋" w:cs="Times New Roman"/>
      <w:kern w:val="2"/>
      <w:sz w:val="24"/>
      <w:szCs w:val="24"/>
      <w:lang w:val="en-US" w:eastAsia="zh-CN" w:bidi="ar-SA"/>
    </w:rPr>
  </w:style>
  <w:style w:type="paragraph" w:styleId="3">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40"/>
    <w:qFormat/>
    <w:uiPriority w:val="0"/>
    <w:pPr>
      <w:keepNext/>
      <w:keepLines/>
      <w:spacing w:before="260" w:after="260" w:line="416" w:lineRule="auto"/>
      <w:outlineLvl w:val="2"/>
    </w:pPr>
    <w:rPr>
      <w:b/>
      <w:bCs/>
      <w:sz w:val="32"/>
      <w:szCs w:val="32"/>
    </w:rPr>
  </w:style>
  <w:style w:type="paragraph" w:styleId="6">
    <w:name w:val="heading 4"/>
    <w:basedOn w:val="1"/>
    <w:next w:val="1"/>
    <w:link w:val="41"/>
    <w:qFormat/>
    <w:uiPriority w:val="0"/>
    <w:pPr>
      <w:keepNext/>
      <w:keepLines/>
      <w:spacing w:before="280" w:after="290" w:line="376" w:lineRule="auto"/>
      <w:outlineLvl w:val="3"/>
    </w:pPr>
    <w:rPr>
      <w:rFonts w:ascii="Cambria" w:hAnsi="Cambria"/>
      <w:b/>
      <w:bCs/>
      <w:sz w:val="28"/>
      <w:szCs w:val="28"/>
    </w:rPr>
  </w:style>
  <w:style w:type="paragraph" w:styleId="7">
    <w:name w:val="heading 6"/>
    <w:basedOn w:val="1"/>
    <w:next w:val="1"/>
    <w:link w:val="88"/>
    <w:semiHidden/>
    <w:unhideWhenUsed/>
    <w:qFormat/>
    <w:uiPriority w:val="9"/>
    <w:pPr>
      <w:keepNext/>
      <w:keepLines/>
      <w:spacing w:before="240" w:after="64" w:line="320" w:lineRule="auto"/>
      <w:outlineLvl w:val="5"/>
    </w:pPr>
    <w:rPr>
      <w:rFonts w:asciiTheme="majorHAnsi" w:hAnsiTheme="majorHAnsi" w:eastAsiaTheme="majorEastAsia" w:cstheme="majorBidi"/>
      <w:b/>
      <w:bCs/>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50"/>
    <w:qFormat/>
    <w:uiPriority w:val="0"/>
    <w:pPr>
      <w:spacing w:after="120" w:line="480" w:lineRule="auto"/>
      <w:ind w:left="420" w:leftChars="200"/>
    </w:pPr>
  </w:style>
  <w:style w:type="paragraph" w:styleId="8">
    <w:name w:val="Normal Indent"/>
    <w:basedOn w:val="1"/>
    <w:link w:val="46"/>
    <w:qFormat/>
    <w:uiPriority w:val="0"/>
    <w:pPr>
      <w:ind w:firstLine="420" w:firstLineChars="200"/>
    </w:pPr>
  </w:style>
  <w:style w:type="paragraph" w:styleId="9">
    <w:name w:val="Document Map"/>
    <w:basedOn w:val="1"/>
    <w:link w:val="72"/>
    <w:semiHidden/>
    <w:qFormat/>
    <w:uiPriority w:val="0"/>
    <w:pPr>
      <w:shd w:val="clear" w:color="auto" w:fill="000080"/>
    </w:pPr>
  </w:style>
  <w:style w:type="paragraph" w:styleId="10">
    <w:name w:val="annotation text"/>
    <w:basedOn w:val="1"/>
    <w:link w:val="58"/>
    <w:qFormat/>
    <w:uiPriority w:val="99"/>
    <w:pPr>
      <w:jc w:val="left"/>
    </w:pPr>
    <w:rPr>
      <w:rFonts w:asciiTheme="minorHAnsi" w:hAnsiTheme="minorHAnsi" w:eastAsiaTheme="minorEastAsia" w:cstheme="minorBidi"/>
      <w:sz w:val="18"/>
      <w:szCs w:val="22"/>
    </w:rPr>
  </w:style>
  <w:style w:type="paragraph" w:styleId="11">
    <w:name w:val="Body Text"/>
    <w:basedOn w:val="1"/>
    <w:next w:val="1"/>
    <w:link w:val="67"/>
    <w:qFormat/>
    <w:uiPriority w:val="0"/>
    <w:pPr>
      <w:spacing w:after="120"/>
    </w:pPr>
  </w:style>
  <w:style w:type="paragraph" w:styleId="12">
    <w:name w:val="Body Text Indent"/>
    <w:basedOn w:val="1"/>
    <w:next w:val="13"/>
    <w:link w:val="47"/>
    <w:qFormat/>
    <w:uiPriority w:val="0"/>
    <w:pPr>
      <w:ind w:firstLine="630"/>
    </w:pPr>
    <w:rPr>
      <w:sz w:val="32"/>
      <w:szCs w:val="20"/>
    </w:rPr>
  </w:style>
  <w:style w:type="paragraph" w:customStyle="1" w:styleId="13">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14">
    <w:name w:val="toc 3"/>
    <w:basedOn w:val="1"/>
    <w:next w:val="1"/>
    <w:unhideWhenUsed/>
    <w:qFormat/>
    <w:uiPriority w:val="0"/>
    <w:pPr>
      <w:ind w:left="840" w:leftChars="400"/>
    </w:pPr>
  </w:style>
  <w:style w:type="paragraph" w:styleId="15">
    <w:name w:val="Plain Text"/>
    <w:basedOn w:val="1"/>
    <w:link w:val="60"/>
    <w:qFormat/>
    <w:uiPriority w:val="0"/>
    <w:pPr>
      <w:autoSpaceDE w:val="0"/>
      <w:autoSpaceDN w:val="0"/>
      <w:adjustRightInd w:val="0"/>
    </w:pPr>
    <w:rPr>
      <w:rFonts w:ascii="宋体" w:hAnsi="Tms Rmn" w:cstheme="minorBidi"/>
      <w:szCs w:val="22"/>
    </w:rPr>
  </w:style>
  <w:style w:type="paragraph" w:styleId="16">
    <w:name w:val="Date"/>
    <w:basedOn w:val="1"/>
    <w:next w:val="1"/>
    <w:link w:val="86"/>
    <w:semiHidden/>
    <w:unhideWhenUsed/>
    <w:qFormat/>
    <w:uiPriority w:val="99"/>
    <w:pPr>
      <w:ind w:left="100" w:leftChars="2500"/>
    </w:pPr>
  </w:style>
  <w:style w:type="paragraph" w:styleId="17">
    <w:name w:val="Balloon Text"/>
    <w:basedOn w:val="1"/>
    <w:link w:val="56"/>
    <w:qFormat/>
    <w:uiPriority w:val="0"/>
    <w:rPr>
      <w:sz w:val="18"/>
      <w:szCs w:val="18"/>
    </w:rPr>
  </w:style>
  <w:style w:type="paragraph" w:styleId="18">
    <w:name w:val="footer"/>
    <w:basedOn w:val="1"/>
    <w:link w:val="43"/>
    <w:unhideWhenUsed/>
    <w:qFormat/>
    <w:uiPriority w:val="99"/>
    <w:pPr>
      <w:tabs>
        <w:tab w:val="center" w:pos="4153"/>
        <w:tab w:val="right" w:pos="8306"/>
      </w:tabs>
      <w:snapToGrid w:val="0"/>
      <w:jc w:val="left"/>
    </w:pPr>
    <w:rPr>
      <w:sz w:val="18"/>
      <w:szCs w:val="18"/>
    </w:rPr>
  </w:style>
  <w:style w:type="paragraph" w:styleId="19">
    <w:name w:val="header"/>
    <w:basedOn w:val="1"/>
    <w:link w:val="42"/>
    <w:unhideWhenUsed/>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tabs>
        <w:tab w:val="right" w:leader="dot" w:pos="9345"/>
      </w:tabs>
      <w:spacing w:before="120" w:after="120"/>
      <w:ind w:right="-50" w:rightChars="-50"/>
      <w:jc w:val="left"/>
    </w:pPr>
    <w:rPr>
      <w:rFonts w:eastAsia="微软雅黑"/>
      <w:b/>
      <w:bCs/>
      <w:caps/>
      <w:sz w:val="20"/>
      <w:szCs w:val="20"/>
    </w:rPr>
  </w:style>
  <w:style w:type="paragraph" w:styleId="21">
    <w:name w:val="Subtitle"/>
    <w:basedOn w:val="1"/>
    <w:next w:val="1"/>
    <w:link w:val="83"/>
    <w:qFormat/>
    <w:uiPriority w:val="11"/>
    <w:pPr>
      <w:spacing w:before="240" w:after="60" w:line="312" w:lineRule="auto"/>
      <w:jc w:val="center"/>
      <w:outlineLvl w:val="1"/>
    </w:pPr>
    <w:rPr>
      <w:rFonts w:ascii="Cambria" w:hAnsi="Cambria"/>
      <w:b/>
      <w:bCs/>
      <w:kern w:val="28"/>
      <w:sz w:val="32"/>
      <w:szCs w:val="32"/>
    </w:rPr>
  </w:style>
  <w:style w:type="paragraph" w:styleId="22">
    <w:name w:val="Body Text Indent 3"/>
    <w:basedOn w:val="1"/>
    <w:link w:val="51"/>
    <w:qFormat/>
    <w:uiPriority w:val="0"/>
    <w:pPr>
      <w:spacing w:after="120"/>
      <w:ind w:left="420" w:leftChars="200"/>
    </w:pPr>
    <w:rPr>
      <w:sz w:val="16"/>
      <w:szCs w:val="16"/>
    </w:rPr>
  </w:style>
  <w:style w:type="paragraph" w:styleId="23">
    <w:name w:val="toc 2"/>
    <w:basedOn w:val="1"/>
    <w:next w:val="1"/>
    <w:unhideWhenUsed/>
    <w:qFormat/>
    <w:uiPriority w:val="0"/>
    <w:pPr>
      <w:spacing w:line="400" w:lineRule="exact"/>
      <w:ind w:left="210" w:leftChars="100" w:firstLine="480" w:firstLineChars="200"/>
      <w:jc w:val="left"/>
    </w:pPr>
    <w:rPr>
      <w:smallCaps/>
      <w:color w:val="000000"/>
    </w:rPr>
  </w:style>
  <w:style w:type="paragraph" w:styleId="2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宋体" w:hAnsi="宋体" w:eastAsia="宋体" w:cs="宋体"/>
      <w:kern w:val="0"/>
    </w:rPr>
  </w:style>
  <w:style w:type="paragraph" w:styleId="25">
    <w:name w:val="Normal (Web)"/>
    <w:basedOn w:val="1"/>
    <w:qFormat/>
    <w:uiPriority w:val="99"/>
    <w:pPr>
      <w:widowControl/>
      <w:spacing w:before="100" w:beforeAutospacing="1" w:after="100" w:afterAutospacing="1"/>
      <w:jc w:val="left"/>
    </w:pPr>
    <w:rPr>
      <w:rFonts w:ascii="宋体" w:hAnsi="宋体"/>
      <w:kern w:val="0"/>
      <w:sz w:val="18"/>
      <w:szCs w:val="18"/>
    </w:rPr>
  </w:style>
  <w:style w:type="paragraph" w:styleId="26">
    <w:name w:val="Title"/>
    <w:basedOn w:val="1"/>
    <w:next w:val="1"/>
    <w:link w:val="82"/>
    <w:qFormat/>
    <w:uiPriority w:val="10"/>
    <w:pPr>
      <w:spacing w:before="240" w:after="60"/>
      <w:jc w:val="center"/>
      <w:outlineLvl w:val="0"/>
    </w:pPr>
    <w:rPr>
      <w:rFonts w:ascii="Cambria" w:hAnsi="Cambria"/>
      <w:b/>
      <w:bCs/>
      <w:sz w:val="32"/>
      <w:szCs w:val="32"/>
    </w:rPr>
  </w:style>
  <w:style w:type="paragraph" w:styleId="27">
    <w:name w:val="annotation subject"/>
    <w:basedOn w:val="10"/>
    <w:next w:val="10"/>
    <w:link w:val="78"/>
    <w:qFormat/>
    <w:uiPriority w:val="0"/>
    <w:rPr>
      <w:b/>
      <w:bCs/>
      <w:sz w:val="21"/>
      <w:szCs w:val="24"/>
    </w:rPr>
  </w:style>
  <w:style w:type="paragraph" w:styleId="28">
    <w:name w:val="Body Text First Indent"/>
    <w:basedOn w:val="11"/>
    <w:next w:val="1"/>
    <w:qFormat/>
    <w:uiPriority w:val="0"/>
    <w:pPr>
      <w:spacing w:line="240" w:lineRule="auto"/>
      <w:ind w:firstLine="420" w:firstLineChars="100"/>
    </w:pPr>
    <w:rPr>
      <w:sz w:val="21"/>
    </w:rPr>
  </w:style>
  <w:style w:type="paragraph" w:styleId="29">
    <w:name w:val="Body Text First Indent 2"/>
    <w:basedOn w:val="12"/>
    <w:next w:val="28"/>
    <w:unhideWhenUsed/>
    <w:qFormat/>
    <w:uiPriority w:val="99"/>
    <w:pPr>
      <w:tabs>
        <w:tab w:val="left" w:pos="1110"/>
        <w:tab w:val="left" w:pos="1440"/>
      </w:tabs>
      <w:spacing w:after="120"/>
      <w:ind w:left="360" w:firstLine="210"/>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uiPriority w:val="22"/>
    <w:rPr>
      <w:b/>
      <w:bCs/>
    </w:rPr>
  </w:style>
  <w:style w:type="character" w:styleId="34">
    <w:name w:val="page number"/>
    <w:basedOn w:val="32"/>
    <w:qFormat/>
    <w:uiPriority w:val="0"/>
  </w:style>
  <w:style w:type="character" w:styleId="35">
    <w:name w:val="FollowedHyperlink"/>
    <w:unhideWhenUsed/>
    <w:qFormat/>
    <w:uiPriority w:val="0"/>
    <w:rPr>
      <w:color w:val="800080"/>
      <w:u w:val="single"/>
    </w:rPr>
  </w:style>
  <w:style w:type="character" w:styleId="36">
    <w:name w:val="Hyperlink"/>
    <w:qFormat/>
    <w:uiPriority w:val="99"/>
    <w:rPr>
      <w:color w:val="0000FF"/>
      <w:u w:val="single"/>
    </w:rPr>
  </w:style>
  <w:style w:type="character" w:styleId="37">
    <w:name w:val="annotation reference"/>
    <w:qFormat/>
    <w:uiPriority w:val="99"/>
    <w:rPr>
      <w:sz w:val="21"/>
      <w:szCs w:val="21"/>
    </w:rPr>
  </w:style>
  <w:style w:type="character" w:customStyle="1" w:styleId="38">
    <w:name w:val="标题 1 字符"/>
    <w:basedOn w:val="32"/>
    <w:link w:val="3"/>
    <w:qFormat/>
    <w:uiPriority w:val="0"/>
    <w:rPr>
      <w:rFonts w:ascii="Times New Roman" w:hAnsi="Times New Roman" w:eastAsia="宋体" w:cs="Times New Roman"/>
      <w:b/>
      <w:bCs/>
      <w:kern w:val="44"/>
      <w:sz w:val="44"/>
      <w:szCs w:val="44"/>
    </w:rPr>
  </w:style>
  <w:style w:type="character" w:customStyle="1" w:styleId="39">
    <w:name w:val="标题 2 字符"/>
    <w:basedOn w:val="32"/>
    <w:link w:val="4"/>
    <w:qFormat/>
    <w:uiPriority w:val="0"/>
    <w:rPr>
      <w:rFonts w:ascii="Arial" w:hAnsi="Arial" w:eastAsia="黑体" w:cs="Times New Roman"/>
      <w:b/>
      <w:bCs/>
      <w:sz w:val="32"/>
      <w:szCs w:val="32"/>
    </w:rPr>
  </w:style>
  <w:style w:type="character" w:customStyle="1" w:styleId="40">
    <w:name w:val="标题 3 字符"/>
    <w:basedOn w:val="32"/>
    <w:link w:val="5"/>
    <w:qFormat/>
    <w:uiPriority w:val="0"/>
    <w:rPr>
      <w:rFonts w:ascii="Times New Roman" w:hAnsi="Times New Roman" w:eastAsia="宋体" w:cs="Times New Roman"/>
      <w:b/>
      <w:bCs/>
      <w:sz w:val="32"/>
      <w:szCs w:val="32"/>
    </w:rPr>
  </w:style>
  <w:style w:type="character" w:customStyle="1" w:styleId="41">
    <w:name w:val="标题 4 字符"/>
    <w:basedOn w:val="32"/>
    <w:link w:val="6"/>
    <w:qFormat/>
    <w:uiPriority w:val="0"/>
    <w:rPr>
      <w:rFonts w:ascii="Cambria" w:hAnsi="Cambria" w:eastAsia="宋体" w:cs="Times New Roman"/>
      <w:b/>
      <w:bCs/>
      <w:sz w:val="28"/>
      <w:szCs w:val="28"/>
    </w:rPr>
  </w:style>
  <w:style w:type="character" w:customStyle="1" w:styleId="42">
    <w:name w:val="页眉 字符"/>
    <w:basedOn w:val="32"/>
    <w:link w:val="19"/>
    <w:qFormat/>
    <w:uiPriority w:val="0"/>
    <w:rPr>
      <w:rFonts w:ascii="Times New Roman" w:hAnsi="Times New Roman" w:eastAsia="宋体" w:cs="Times New Roman"/>
      <w:sz w:val="18"/>
      <w:szCs w:val="18"/>
    </w:rPr>
  </w:style>
  <w:style w:type="character" w:customStyle="1" w:styleId="43">
    <w:name w:val="页脚 字符"/>
    <w:basedOn w:val="32"/>
    <w:link w:val="18"/>
    <w:qFormat/>
    <w:uiPriority w:val="99"/>
    <w:rPr>
      <w:rFonts w:ascii="Times New Roman" w:hAnsi="Times New Roman" w:eastAsia="宋体" w:cs="Times New Roman"/>
      <w:sz w:val="18"/>
      <w:szCs w:val="18"/>
    </w:rPr>
  </w:style>
  <w:style w:type="character" w:customStyle="1" w:styleId="44">
    <w:name w:val="页脚 Char1"/>
    <w:qFormat/>
    <w:uiPriority w:val="0"/>
    <w:rPr>
      <w:rFonts w:eastAsia="宋体"/>
      <w:kern w:val="2"/>
      <w:sz w:val="18"/>
      <w:lang w:val="en-US" w:eastAsia="zh-CN" w:bidi="ar-SA"/>
    </w:rPr>
  </w:style>
  <w:style w:type="character" w:customStyle="1" w:styleId="45">
    <w:name w:val="页眉 Char1"/>
    <w:qFormat/>
    <w:uiPriority w:val="0"/>
    <w:rPr>
      <w:rFonts w:eastAsia="宋体"/>
      <w:kern w:val="2"/>
      <w:sz w:val="18"/>
      <w:lang w:val="en-US" w:eastAsia="zh-CN" w:bidi="ar-SA"/>
    </w:rPr>
  </w:style>
  <w:style w:type="character" w:customStyle="1" w:styleId="46">
    <w:name w:val="正文缩进 字符"/>
    <w:link w:val="8"/>
    <w:qFormat/>
    <w:uiPriority w:val="0"/>
    <w:rPr>
      <w:rFonts w:ascii="Times New Roman" w:hAnsi="Times New Roman" w:eastAsia="宋体" w:cs="Times New Roman"/>
      <w:szCs w:val="24"/>
    </w:rPr>
  </w:style>
  <w:style w:type="character" w:customStyle="1" w:styleId="47">
    <w:name w:val="正文文本缩进 字符"/>
    <w:basedOn w:val="32"/>
    <w:link w:val="12"/>
    <w:qFormat/>
    <w:uiPriority w:val="0"/>
    <w:rPr>
      <w:rFonts w:ascii="Times New Roman" w:hAnsi="Times New Roman" w:eastAsia="宋体" w:cs="Times New Roman"/>
      <w:sz w:val="32"/>
      <w:szCs w:val="20"/>
    </w:rPr>
  </w:style>
  <w:style w:type="paragraph" w:customStyle="1" w:styleId="48">
    <w:name w:val="正文首行缩进两字符"/>
    <w:basedOn w:val="1"/>
    <w:qFormat/>
    <w:uiPriority w:val="99"/>
    <w:pPr>
      <w:ind w:firstLine="200" w:firstLineChars="200"/>
    </w:pPr>
  </w:style>
  <w:style w:type="paragraph" w:customStyle="1" w:styleId="49">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customStyle="1" w:styleId="50">
    <w:name w:val="正文文本缩进 2 字符"/>
    <w:basedOn w:val="32"/>
    <w:link w:val="2"/>
    <w:qFormat/>
    <w:uiPriority w:val="0"/>
    <w:rPr>
      <w:rFonts w:ascii="Times New Roman" w:hAnsi="Times New Roman" w:eastAsia="宋体" w:cs="Times New Roman"/>
      <w:szCs w:val="24"/>
    </w:rPr>
  </w:style>
  <w:style w:type="character" w:customStyle="1" w:styleId="51">
    <w:name w:val="正文文本缩进 3 字符"/>
    <w:basedOn w:val="32"/>
    <w:link w:val="22"/>
    <w:qFormat/>
    <w:uiPriority w:val="0"/>
    <w:rPr>
      <w:rFonts w:ascii="Times New Roman" w:hAnsi="Times New Roman" w:eastAsia="宋体" w:cs="Times New Roman"/>
      <w:sz w:val="16"/>
      <w:szCs w:val="16"/>
    </w:rPr>
  </w:style>
  <w:style w:type="paragraph" w:customStyle="1" w:styleId="52">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53">
    <w:name w:val="表格"/>
    <w:basedOn w:val="1"/>
    <w:qFormat/>
    <w:uiPriority w:val="0"/>
    <w:pPr>
      <w:spacing w:line="400" w:lineRule="exact"/>
    </w:pPr>
  </w:style>
  <w:style w:type="paragraph" w:customStyle="1" w:styleId="54">
    <w:name w:val="样式 首行缩进:  2 字符"/>
    <w:basedOn w:val="1"/>
    <w:qFormat/>
    <w:uiPriority w:val="0"/>
    <w:pPr>
      <w:spacing w:line="400" w:lineRule="exact"/>
      <w:ind w:firstLine="200" w:firstLineChars="200"/>
    </w:pPr>
    <w:rPr>
      <w:rFonts w:cs="宋体"/>
    </w:rPr>
  </w:style>
  <w:style w:type="character" w:customStyle="1" w:styleId="55">
    <w:name w:val="（符号）邀请函中一、"/>
    <w:qFormat/>
    <w:uiPriority w:val="0"/>
    <w:rPr>
      <w:rFonts w:ascii="黑体" w:hAnsi="黑体" w:eastAsia="黑体"/>
      <w:b/>
      <w:bCs/>
      <w:sz w:val="24"/>
    </w:rPr>
  </w:style>
  <w:style w:type="character" w:customStyle="1" w:styleId="56">
    <w:name w:val="批注框文本 字符"/>
    <w:basedOn w:val="32"/>
    <w:link w:val="17"/>
    <w:qFormat/>
    <w:uiPriority w:val="0"/>
    <w:rPr>
      <w:rFonts w:ascii="Times New Roman" w:hAnsi="Times New Roman" w:eastAsia="宋体" w:cs="Times New Roman"/>
      <w:sz w:val="18"/>
      <w:szCs w:val="18"/>
    </w:rPr>
  </w:style>
  <w:style w:type="character" w:customStyle="1" w:styleId="57">
    <w:name w:val="Char Char9"/>
    <w:qFormat/>
    <w:uiPriority w:val="0"/>
    <w:rPr>
      <w:kern w:val="2"/>
      <w:sz w:val="21"/>
    </w:rPr>
  </w:style>
  <w:style w:type="character" w:customStyle="1" w:styleId="58">
    <w:name w:val="批注文字 字符"/>
    <w:basedOn w:val="32"/>
    <w:link w:val="10"/>
    <w:qFormat/>
    <w:uiPriority w:val="99"/>
    <w:rPr>
      <w:sz w:val="18"/>
    </w:rPr>
  </w:style>
  <w:style w:type="character" w:customStyle="1" w:styleId="59">
    <w:name w:val="批注文字 Char"/>
    <w:basedOn w:val="32"/>
    <w:qFormat/>
    <w:uiPriority w:val="99"/>
    <w:rPr>
      <w:rFonts w:ascii="Times New Roman" w:hAnsi="Times New Roman" w:eastAsia="宋体" w:cs="Times New Roman"/>
      <w:szCs w:val="24"/>
    </w:rPr>
  </w:style>
  <w:style w:type="character" w:customStyle="1" w:styleId="60">
    <w:name w:val="纯文本 字符"/>
    <w:link w:val="15"/>
    <w:unhideWhenUsed/>
    <w:qFormat/>
    <w:uiPriority w:val="0"/>
    <w:rPr>
      <w:rFonts w:ascii="宋体" w:hAnsi="Tms Rmn" w:eastAsia="宋体"/>
    </w:rPr>
  </w:style>
  <w:style w:type="character" w:customStyle="1" w:styleId="61">
    <w:name w:val="纯文本 Char1"/>
    <w:basedOn w:val="32"/>
    <w:qFormat/>
    <w:uiPriority w:val="99"/>
    <w:rPr>
      <w:rFonts w:ascii="宋体" w:hAnsi="Courier New" w:eastAsia="宋体" w:cs="Courier New"/>
      <w:szCs w:val="21"/>
    </w:rPr>
  </w:style>
  <w:style w:type="paragraph" w:customStyle="1" w:styleId="62">
    <w:name w:val="GW-正文"/>
    <w:basedOn w:val="1"/>
    <w:link w:val="63"/>
    <w:qFormat/>
    <w:uiPriority w:val="0"/>
    <w:pPr>
      <w:ind w:firstLine="200" w:firstLineChars="200"/>
    </w:pPr>
    <w:rPr>
      <w:rFonts w:eastAsia="仿宋_GB2312"/>
    </w:rPr>
  </w:style>
  <w:style w:type="character" w:customStyle="1" w:styleId="63">
    <w:name w:val="GW-正文 Char"/>
    <w:link w:val="62"/>
    <w:qFormat/>
    <w:uiPriority w:val="0"/>
    <w:rPr>
      <w:rFonts w:ascii="Times New Roman" w:hAnsi="Times New Roman" w:eastAsia="仿宋_GB2312" w:cs="Times New Roman"/>
      <w:sz w:val="24"/>
      <w:szCs w:val="24"/>
    </w:rPr>
  </w:style>
  <w:style w:type="paragraph" w:styleId="64">
    <w:name w:val="List Paragraph"/>
    <w:basedOn w:val="1"/>
    <w:link w:val="65"/>
    <w:qFormat/>
    <w:uiPriority w:val="34"/>
    <w:pPr>
      <w:ind w:firstLine="420" w:firstLineChars="200"/>
    </w:pPr>
  </w:style>
  <w:style w:type="character" w:customStyle="1" w:styleId="65">
    <w:name w:val="列表段落 字符"/>
    <w:link w:val="64"/>
    <w:qFormat/>
    <w:uiPriority w:val="34"/>
    <w:rPr>
      <w:rFonts w:ascii="Times New Roman" w:hAnsi="Times New Roman" w:eastAsia="宋体" w:cs="Times New Roman"/>
      <w:szCs w:val="24"/>
    </w:rPr>
  </w:style>
  <w:style w:type="paragraph" w:customStyle="1" w:styleId="66">
    <w:name w:val="标3"/>
    <w:basedOn w:val="1"/>
    <w:qFormat/>
    <w:uiPriority w:val="0"/>
    <w:pPr>
      <w:tabs>
        <w:tab w:val="left" w:pos="1740"/>
      </w:tabs>
      <w:adjustRightInd w:val="0"/>
      <w:snapToGrid w:val="0"/>
      <w:spacing w:before="50"/>
      <w:ind w:left="1740" w:hanging="420"/>
      <w:outlineLvl w:val="2"/>
    </w:pPr>
    <w:rPr>
      <w:rFonts w:ascii="Arial Narrow" w:hAnsi="Arial Narrow" w:eastAsia="仿宋_GB2312"/>
      <w:sz w:val="28"/>
      <w:szCs w:val="20"/>
    </w:rPr>
  </w:style>
  <w:style w:type="character" w:customStyle="1" w:styleId="67">
    <w:name w:val="正文文本 字符"/>
    <w:basedOn w:val="32"/>
    <w:link w:val="11"/>
    <w:qFormat/>
    <w:uiPriority w:val="0"/>
    <w:rPr>
      <w:rFonts w:ascii="Times New Roman" w:hAnsi="Times New Roman" w:eastAsia="宋体" w:cs="Times New Roman"/>
      <w:szCs w:val="24"/>
    </w:rPr>
  </w:style>
  <w:style w:type="character" w:customStyle="1" w:styleId="68">
    <w:name w:val="标题 2 Char Char"/>
    <w:qFormat/>
    <w:uiPriority w:val="0"/>
    <w:rPr>
      <w:rFonts w:ascii="Arial" w:hAnsi="Arial" w:eastAsia="黑体"/>
      <w:b/>
      <w:kern w:val="2"/>
      <w:sz w:val="28"/>
      <w:lang w:val="en-US" w:eastAsia="zh-CN" w:bidi="ar-SA"/>
    </w:rPr>
  </w:style>
  <w:style w:type="character" w:customStyle="1" w:styleId="69">
    <w:name w:val="标题 1 Char1"/>
    <w:qFormat/>
    <w:uiPriority w:val="0"/>
    <w:rPr>
      <w:b/>
      <w:bCs/>
      <w:kern w:val="44"/>
      <w:sz w:val="44"/>
      <w:szCs w:val="44"/>
    </w:rPr>
  </w:style>
  <w:style w:type="character" w:customStyle="1" w:styleId="70">
    <w:name w:val="（符号）三标题1.1 Char"/>
    <w:link w:val="71"/>
    <w:qFormat/>
    <w:locked/>
    <w:uiPriority w:val="0"/>
    <w:rPr>
      <w:rFonts w:ascii="宋体" w:hAnsi="宋体" w:eastAsia="宋体"/>
      <w:sz w:val="24"/>
      <w:szCs w:val="24"/>
    </w:rPr>
  </w:style>
  <w:style w:type="paragraph" w:customStyle="1" w:styleId="71">
    <w:name w:val="（符号）三标题1.1"/>
    <w:basedOn w:val="1"/>
    <w:link w:val="70"/>
    <w:qFormat/>
    <w:uiPriority w:val="0"/>
    <w:pPr>
      <w:tabs>
        <w:tab w:val="left" w:pos="700"/>
        <w:tab w:val="left" w:pos="840"/>
      </w:tabs>
      <w:spacing w:line="500" w:lineRule="exact"/>
      <w:ind w:left="840" w:hanging="420"/>
    </w:pPr>
    <w:rPr>
      <w:rFonts w:ascii="宋体" w:hAnsi="宋体" w:cstheme="minorBidi"/>
    </w:rPr>
  </w:style>
  <w:style w:type="character" w:customStyle="1" w:styleId="72">
    <w:name w:val="文档结构图 字符"/>
    <w:basedOn w:val="32"/>
    <w:link w:val="9"/>
    <w:semiHidden/>
    <w:qFormat/>
    <w:uiPriority w:val="0"/>
    <w:rPr>
      <w:rFonts w:ascii="Times New Roman" w:hAnsi="Times New Roman" w:eastAsia="宋体" w:cs="Times New Roman"/>
      <w:szCs w:val="24"/>
      <w:shd w:val="clear" w:color="auto" w:fill="000080"/>
    </w:rPr>
  </w:style>
  <w:style w:type="paragraph" w:customStyle="1" w:styleId="73">
    <w:name w:val="Char2 Char Char"/>
    <w:basedOn w:val="9"/>
    <w:qFormat/>
    <w:uiPriority w:val="0"/>
    <w:rPr>
      <w:rFonts w:ascii="Tahoma" w:hAnsi="Tahoma"/>
    </w:rPr>
  </w:style>
  <w:style w:type="paragraph" w:customStyle="1" w:styleId="74">
    <w:name w:val="正文2"/>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customStyle="1" w:styleId="75">
    <w:name w:val="Char1"/>
    <w:basedOn w:val="1"/>
    <w:qFormat/>
    <w:uiPriority w:val="0"/>
    <w:rPr>
      <w:szCs w:val="21"/>
    </w:rPr>
  </w:style>
  <w:style w:type="paragraph" w:customStyle="1" w:styleId="76">
    <w:name w:val="正文1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77">
    <w:name w:val="Char2"/>
    <w:basedOn w:val="1"/>
    <w:qFormat/>
    <w:uiPriority w:val="0"/>
    <w:pPr>
      <w:adjustRightInd w:val="0"/>
      <w:spacing w:line="400" w:lineRule="exact"/>
      <w:ind w:firstLine="514" w:firstLineChars="200"/>
    </w:pPr>
    <w:rPr>
      <w:rFonts w:ascii="宋体" w:hAnsi="宋体"/>
      <w:b/>
      <w:spacing w:val="8"/>
      <w:kern w:val="0"/>
      <w:szCs w:val="20"/>
    </w:rPr>
  </w:style>
  <w:style w:type="character" w:customStyle="1" w:styleId="78">
    <w:name w:val="批注主题 字符"/>
    <w:basedOn w:val="59"/>
    <w:link w:val="27"/>
    <w:qFormat/>
    <w:uiPriority w:val="0"/>
    <w:rPr>
      <w:rFonts w:ascii="Times New Roman" w:hAnsi="Times New Roman" w:eastAsia="宋体" w:cs="Times New Roman"/>
      <w:b/>
      <w:bCs/>
      <w:szCs w:val="24"/>
    </w:rPr>
  </w:style>
  <w:style w:type="paragraph" w:customStyle="1" w:styleId="79">
    <w:name w:val="Char Char Char Char Char Char Char Char Char Char Char Char Char Char1 Char Char Char Char"/>
    <w:basedOn w:val="1"/>
    <w:qFormat/>
    <w:uiPriority w:val="0"/>
    <w:rPr>
      <w:szCs w:val="21"/>
    </w:rPr>
  </w:style>
  <w:style w:type="paragraph" w:customStyle="1" w:styleId="80">
    <w:name w:val="正文3"/>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customStyle="1" w:styleId="81">
    <w:name w:val="font31"/>
    <w:qFormat/>
    <w:uiPriority w:val="0"/>
    <w:rPr>
      <w:rFonts w:hint="eastAsia" w:ascii="宋体" w:hAnsi="宋体" w:eastAsia="宋体" w:cs="宋体"/>
      <w:color w:val="000000"/>
      <w:sz w:val="21"/>
      <w:szCs w:val="21"/>
      <w:u w:val="none"/>
    </w:rPr>
  </w:style>
  <w:style w:type="character" w:customStyle="1" w:styleId="82">
    <w:name w:val="标题 字符"/>
    <w:basedOn w:val="32"/>
    <w:link w:val="26"/>
    <w:qFormat/>
    <w:uiPriority w:val="10"/>
    <w:rPr>
      <w:rFonts w:ascii="Cambria" w:hAnsi="Cambria" w:eastAsia="宋体" w:cs="Times New Roman"/>
      <w:b/>
      <w:bCs/>
      <w:sz w:val="32"/>
      <w:szCs w:val="32"/>
    </w:rPr>
  </w:style>
  <w:style w:type="character" w:customStyle="1" w:styleId="83">
    <w:name w:val="副标题 字符"/>
    <w:basedOn w:val="32"/>
    <w:link w:val="21"/>
    <w:qFormat/>
    <w:uiPriority w:val="11"/>
    <w:rPr>
      <w:rFonts w:ascii="Cambria" w:hAnsi="Cambria" w:eastAsia="宋体" w:cs="Times New Roman"/>
      <w:b/>
      <w:bCs/>
      <w:kern w:val="28"/>
      <w:sz w:val="32"/>
      <w:szCs w:val="32"/>
    </w:rPr>
  </w:style>
  <w:style w:type="paragraph" w:customStyle="1" w:styleId="84">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85">
    <w:name w:val="正文 A"/>
    <w:next w:val="1"/>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character" w:customStyle="1" w:styleId="86">
    <w:name w:val="日期 字符"/>
    <w:basedOn w:val="32"/>
    <w:link w:val="16"/>
    <w:semiHidden/>
    <w:qFormat/>
    <w:uiPriority w:val="99"/>
    <w:rPr>
      <w:rFonts w:ascii="Times New Roman" w:hAnsi="Times New Roman" w:eastAsia="宋体" w:cs="Times New Roman"/>
      <w:kern w:val="2"/>
      <w:sz w:val="21"/>
      <w:szCs w:val="24"/>
    </w:rPr>
  </w:style>
  <w:style w:type="paragraph" w:customStyle="1" w:styleId="87">
    <w:name w:val="Table Paragraph"/>
    <w:basedOn w:val="1"/>
    <w:qFormat/>
    <w:uiPriority w:val="1"/>
    <w:pPr>
      <w:autoSpaceDE w:val="0"/>
      <w:autoSpaceDN w:val="0"/>
      <w:adjustRightInd w:val="0"/>
      <w:jc w:val="left"/>
    </w:pPr>
    <w:rPr>
      <w:kern w:val="0"/>
    </w:rPr>
  </w:style>
  <w:style w:type="character" w:customStyle="1" w:styleId="88">
    <w:name w:val="标题 6 字符"/>
    <w:basedOn w:val="32"/>
    <w:link w:val="7"/>
    <w:semiHidden/>
    <w:qFormat/>
    <w:uiPriority w:val="9"/>
    <w:rPr>
      <w:rFonts w:asciiTheme="majorHAnsi" w:hAnsiTheme="majorHAnsi" w:eastAsiaTheme="majorEastAsia" w:cstheme="majorBidi"/>
      <w:b/>
      <w:bCs/>
      <w:kern w:val="2"/>
      <w:sz w:val="24"/>
      <w:szCs w:val="24"/>
    </w:rPr>
  </w:style>
  <w:style w:type="character" w:customStyle="1" w:styleId="89">
    <w:name w:val="m"/>
    <w:basedOn w:val="32"/>
    <w:qFormat/>
    <w:uiPriority w:val="0"/>
  </w:style>
  <w:style w:type="paragraph" w:customStyle="1" w:styleId="90">
    <w:name w:val="章标题"/>
    <w:next w:val="1"/>
    <w:link w:val="93"/>
    <w:qFormat/>
    <w:uiPriority w:val="0"/>
    <w:pPr>
      <w:numPr>
        <w:ilvl w:val="1"/>
        <w:numId w:val="1"/>
      </w:numPr>
      <w:spacing w:beforeLines="50" w:afterLines="50" w:line="460" w:lineRule="exact"/>
      <w:jc w:val="both"/>
      <w:outlineLvl w:val="0"/>
    </w:pPr>
    <w:rPr>
      <w:rFonts w:ascii="黑体" w:hAnsi="Times New Roman" w:eastAsia="黑体" w:cs="Times New Roman"/>
      <w:b/>
      <w:sz w:val="28"/>
      <w:lang w:val="en-US" w:eastAsia="zh-CN" w:bidi="ar-SA"/>
    </w:rPr>
  </w:style>
  <w:style w:type="paragraph" w:customStyle="1" w:styleId="91">
    <w:name w:val="二级条标题"/>
    <w:basedOn w:val="1"/>
    <w:qFormat/>
    <w:uiPriority w:val="0"/>
    <w:pPr>
      <w:numPr>
        <w:ilvl w:val="0"/>
        <w:numId w:val="1"/>
      </w:numPr>
      <w:spacing w:line="240" w:lineRule="auto"/>
    </w:pPr>
    <w:rPr>
      <w:rFonts w:eastAsia="宋体"/>
      <w:sz w:val="21"/>
    </w:rPr>
  </w:style>
  <w:style w:type="paragraph" w:customStyle="1" w:styleId="92">
    <w:name w:val="正文列项_字母"/>
    <w:basedOn w:val="1"/>
    <w:qFormat/>
    <w:uiPriority w:val="0"/>
    <w:pPr>
      <w:widowControl/>
      <w:numPr>
        <w:ilvl w:val="2"/>
        <w:numId w:val="1"/>
      </w:numPr>
      <w:autoSpaceDE w:val="0"/>
      <w:autoSpaceDN w:val="0"/>
      <w:spacing w:line="460" w:lineRule="exact"/>
      <w:ind w:left="450" w:leftChars="300" w:hanging="150" w:hangingChars="150"/>
      <w:outlineLvl w:val="6"/>
    </w:pPr>
    <w:rPr>
      <w:rFonts w:ascii="宋体" w:eastAsia="宋体"/>
      <w:kern w:val="0"/>
      <w:sz w:val="28"/>
      <w:szCs w:val="20"/>
    </w:rPr>
  </w:style>
  <w:style w:type="character" w:customStyle="1" w:styleId="93">
    <w:name w:val="章标题 Char Char"/>
    <w:link w:val="90"/>
    <w:qFormat/>
    <w:locked/>
    <w:uiPriority w:val="0"/>
    <w:rPr>
      <w:rFonts w:ascii="黑体" w:hAnsi="Times New Roman" w:eastAsia="黑体" w:cs="Times New Roman"/>
      <w:b/>
      <w:sz w:val="28"/>
    </w:rPr>
  </w:style>
  <w:style w:type="paragraph" w:customStyle="1" w:styleId="94">
    <w:name w:val="null3"/>
    <w:qFormat/>
    <w:uiPriority w:val="0"/>
    <w:rPr>
      <w:rFonts w:hint="eastAsia" w:ascii="Calibri" w:hAnsi="Calibri" w:eastAsia="宋体" w:cs="Times New Roman"/>
      <w:lang w:val="en-US" w:eastAsia="zh-Hans" w:bidi="ar-SA"/>
    </w:rPr>
  </w:style>
  <w:style w:type="paragraph" w:customStyle="1" w:styleId="95">
    <w:name w:val="引用1"/>
    <w:next w:val="1"/>
    <w:qFormat/>
    <w:uiPriority w:val="99"/>
    <w:pPr>
      <w:wordWrap w:val="0"/>
      <w:spacing w:before="200" w:after="160"/>
      <w:ind w:left="864" w:right="864"/>
      <w:jc w:val="center"/>
    </w:pPr>
    <w:rPr>
      <w:rFonts w:ascii="Times New Roman" w:hAnsi="Times New Roman" w:eastAsia="宋体" w:cs="Times New Roman"/>
      <w:i/>
      <w:iCs/>
      <w:sz w:val="21"/>
      <w:szCs w:val="21"/>
      <w:lang w:val="en-US" w:eastAsia="zh-CN" w:bidi="ar-SA"/>
    </w:rPr>
  </w:style>
  <w:style w:type="paragraph" w:customStyle="1" w:styleId="96">
    <w:name w:val="pa-3"/>
    <w:basedOn w:val="1"/>
    <w:qFormat/>
    <w:uiPriority w:val="0"/>
    <w:pPr>
      <w:widowControl/>
      <w:spacing w:line="280" w:lineRule="atLeast"/>
      <w:ind w:firstLine="480"/>
    </w:pPr>
    <w:rPr>
      <w:rFonts w:ascii="宋体" w:hAnsi="宋体" w:cs="宋体"/>
      <w:kern w:val="0"/>
    </w:rPr>
  </w:style>
  <w:style w:type="character" w:customStyle="1" w:styleId="97">
    <w:name w:val="样式 +中文正文 小四 蓝色"/>
    <w:qFormat/>
    <w:uiPriority w:val="0"/>
    <w:rPr>
      <w:rFonts w:ascii="宋体" w:eastAsia="宋体"/>
      <w:color w:val="auto"/>
      <w:kern w:val="0"/>
      <w:sz w:val="24"/>
    </w:rPr>
  </w:style>
  <w:style w:type="character" w:customStyle="1" w:styleId="98">
    <w:name w:val="NormalCharacter"/>
    <w:basedOn w:val="32"/>
    <w:semiHidden/>
    <w:qFormat/>
    <w:uiPriority w:val="0"/>
    <w:rPr>
      <w:szCs w:val="21"/>
    </w:rPr>
  </w:style>
  <w:style w:type="paragraph" w:customStyle="1" w:styleId="99">
    <w:name w:val="_Style 3"/>
    <w:basedOn w:val="1"/>
    <w:next w:val="1"/>
    <w:qFormat/>
    <w:uiPriority w:val="34"/>
    <w:pPr>
      <w:ind w:firstLine="420"/>
    </w:pPr>
  </w:style>
  <w:style w:type="paragraph" w:customStyle="1" w:styleId="100">
    <w:name w:val="BodyText"/>
    <w:basedOn w:val="1"/>
    <w:next w:val="1"/>
    <w:qFormat/>
    <w:uiPriority w:val="0"/>
    <w:pPr>
      <w:jc w:val="left"/>
    </w:pPr>
    <w:rPr>
      <w:rFonts w:ascii="宋体" w:hAnsi="宋体"/>
      <w:lang w:eastAsia="en-US"/>
    </w:rPr>
  </w:style>
  <w:style w:type="paragraph" w:customStyle="1" w:styleId="101">
    <w:name w:val="列出段落1"/>
    <w:basedOn w:val="1"/>
    <w:qFormat/>
    <w:uiPriority w:val="34"/>
    <w:pPr>
      <w:ind w:firstLine="420" w:firstLineChars="200"/>
    </w:pPr>
    <w:rPr>
      <w:rFonts w:eastAsia="宋体"/>
    </w:rPr>
  </w:style>
  <w:style w:type="paragraph" w:customStyle="1" w:styleId="102">
    <w:name w:val="修订2"/>
    <w:hidden/>
    <w:unhideWhenUsed/>
    <w:qFormat/>
    <w:uiPriority w:val="99"/>
    <w:rPr>
      <w:rFonts w:ascii="Times New Roman" w:hAnsi="Times New Roman" w:eastAsia="仿宋" w:cs="Times New Roman"/>
      <w:kern w:val="2"/>
      <w:sz w:val="24"/>
      <w:szCs w:val="24"/>
      <w:lang w:val="en-US" w:eastAsia="zh-CN" w:bidi="ar-SA"/>
    </w:rPr>
  </w:style>
  <w:style w:type="paragraph" w:customStyle="1" w:styleId="103">
    <w:name w:val="Revision"/>
    <w:hidden/>
    <w:unhideWhenUsed/>
    <w:qFormat/>
    <w:uiPriority w:val="99"/>
    <w:rPr>
      <w:rFonts w:ascii="Times New Roman" w:hAnsi="Times New Roman" w:eastAsia="仿宋" w:cs="Times New Roman"/>
      <w:kern w:val="2"/>
      <w:sz w:val="24"/>
      <w:szCs w:val="24"/>
      <w:lang w:val="en-US" w:eastAsia="zh-CN" w:bidi="ar-SA"/>
    </w:rPr>
  </w:style>
  <w:style w:type="character" w:customStyle="1" w:styleId="104">
    <w:name w:val="Unresolved Mention"/>
    <w:basedOn w:val="32"/>
    <w:semiHidden/>
    <w:unhideWhenUsed/>
    <w:qFormat/>
    <w:uiPriority w:val="99"/>
    <w:rPr>
      <w:color w:val="605E5C"/>
      <w:shd w:val="clear" w:color="auto" w:fill="E1DFDD"/>
    </w:rPr>
  </w:style>
  <w:style w:type="paragraph" w:customStyle="1" w:styleId="105">
    <w:name w:val="Plain Text"/>
    <w:basedOn w:val="1"/>
    <w:qFormat/>
    <w:uiPriority w:val="0"/>
    <w:rPr>
      <w:rFonts w:ascii="宋体" w:hAnsi="Courier New"/>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ff77b97d-a9bf-4477-8cbb-1ea540eb8e7c</errorID>
      <errorWord>/）</errorWord>
      <group>L1_Punc</group>
      <groupName>标点问题</groupName>
      <ability>L2_Punc_CN</ability>
      <abilityName>标点符号问题</abilityName>
      <candidateList>
        <item>）</item>
      </candidateList>
      <explain/>
      <paraID> F6D8EF2</paraID>
      <start>52</start>
      <end>54</end>
      <status>unmodified</status>
      <modifiedWord/>
      <trackRevisions>false</trackRevisions>
    </reviewItem>
    <reviewItem>
      <errorID>c46ac34e-b09b-4f14-a17a-5b7176984892</errorID>
      <errorWord>其它</errorWord>
      <group>L1_Word</group>
      <groupName>字词问题</groupName>
      <ability>L2_Alias</ability>
      <abilityName>也作/曾用词</abilityName>
      <candidateList>
        <item>其他</item>
      </candidateList>
      <explain>词汇[其它]为不规范表述或旧称，其规范书面表述为[其他]。</explain>
      <paraID>48A1BC0B</paraID>
      <start>10</start>
      <end>12</end>
      <status>unmodified</status>
      <modifiedWord/>
      <trackRevisions>false</trackRevisions>
    </reviewItem>
    <reviewItem>
      <errorID>719cc0ab-a92b-47e6-a7a1-b45ea9f7be86</errorID>
      <errorWord>日至2026年</errorWord>
      <group>L1_Word</group>
      <groupName>字词问题</groupName>
      <ability>L2_Typo</ability>
      <abilityName>字词错误</abilityName>
      <candidateList>
        <item>日起至2026年</item>
      </candidateList>
      <explain/>
      <paraID>59DBEA94</paraID>
      <start>17</start>
      <end>24</end>
      <status>unmodified</status>
      <modifiedWord/>
      <trackRevisions>false</trackRevisions>
    </reviewItem>
    <reviewItem>
      <errorID>66e0b5c8-efd4-48d7-89b4-a1f460ced822</errorID>
      <errorWord>,</errorWord>
      <group>L1_Format</group>
      <groupName>格式问题</groupName>
      <ability>L2_HalfPunc_CN</ability>
      <abilityName>全半角问题</abilityName>
      <candidateList>
        <item>，</item>
      </candidateList>
      <explain>文本全半角错误。</explain>
      <paraID>6D2862B7</paraID>
      <start>42</start>
      <end>43</end>
      <status>unmodified</status>
      <modifiedWord/>
      <trackRevisions>false</trackRevisions>
    </reviewItem>
    <reviewItem>
      <errorID>791c11d1-f939-40da-a24a-fd26f3700782</errorID>
      <errorWord>,</errorWord>
      <group>L1_Format</group>
      <groupName>格式问题</groupName>
      <ability>L2_HalfPunc_CN</ability>
      <abilityName>全半角问题</abilityName>
      <candidateList>
        <item>，</item>
      </candidateList>
      <explain>文本全半角错误。</explain>
      <paraID>59E8DC1A</paraID>
      <start>11</start>
      <end>12</end>
      <status>unmodified</status>
      <modifiedWord/>
      <trackRevisions>false</trackRevisions>
    </reviewItem>
    <reviewItem>
      <errorID>381b2d60-ebd8-4b18-ad57-795a23e12aa3</errorID>
      <errorWord>须提交</errorWord>
      <group>L1_Word</group>
      <groupName>字词问题</groupName>
      <ability>L2_Typo</ability>
      <abilityName>字词错误</abilityName>
      <candidateList>
        <item>需提交</item>
      </candidateList>
      <explain>存在发音相同字词的误用。</explain>
      <paraID>3CDFB608</paraID>
      <start>6</start>
      <end>9</end>
      <status>unmodified</status>
      <modifiedWord/>
      <trackRevisions>false</trackRevisions>
    </reviewItem>
    <reviewItem>
      <errorID>23fe7b31-0fe0-402a-9684-abebb6260221</errorID>
      <errorWord>果</errorWord>
      <group>L1_Word</group>
      <groupName>字词问题</groupName>
      <ability>L2_Typo</ability>
      <abilityName>字词错误</abilityName>
      <candidateList>
        <item>果在</item>
      </candidateList>
      <explain/>
      <paraID>6A97B391</paraID>
      <start>3</start>
      <end>4</end>
      <status>unmodified</status>
      <modifiedWord/>
      <trackRevisions>false</trackRevisions>
    </reviewItem>
    <reviewItem>
      <errorID>f8d2bec0-351b-4dee-aa5f-f7c3316c16a9</errorID>
      <errorWord>位</errorWord>
      <group>L1_Word</group>
      <groupName>字词问题</groupName>
      <ability>L2_Typo</ability>
      <abilityName>字词错误</abilityName>
      <candidateList>
        <item>位在</item>
      </candidateList>
      <explain/>
      <paraID>62EB5106</paraID>
      <start>69</start>
      <end>70</end>
      <status>unmodified</status>
      <modifiedWord/>
      <trackRevisions>false</trackRevisions>
    </reviewItem>
    <reviewItem>
      <errorID>14e5bcd3-05ac-44ba-91eb-8026e14293e8</errorID>
      <errorWord>一次性支付给</errorWord>
      <group>L1_Word</group>
      <groupName>字词问题</groupName>
      <ability>L2_Typo</ability>
      <abilityName>字词错误</abilityName>
      <candidateList>
        <item>一次性支付</item>
      </candidateList>
      <explain/>
      <paraID>62EB5106</paraID>
      <start>78</start>
      <end>84</end>
      <status>unmodified</status>
      <modifiedWord/>
      <trackRevisions>false</trackRevisions>
    </reviewItem>
    <reviewItem>
      <errorID>34f7ccba-8647-4829-bb88-2214433dccff</errorID>
      <errorWord>人确定成交供应商</errorWord>
      <group>L1_Word</group>
      <groupName>字词问题</groupName>
      <ability>L2_Typo</ability>
      <abilityName>字词错误</abilityName>
      <candidateList>
        <item>人在确定成交供应商</item>
      </candidateList>
      <explain/>
      <paraID>4E0524AD</paraID>
      <start>6</start>
      <end>14</end>
      <status>unmodified</status>
      <modifiedWord/>
      <trackRevisions>false</trackRevisions>
    </reviewItem>
    <reviewItem>
      <errorID>b7f7eee2-cb31-456c-bbc9-03568b0d5ee5</errorID>
      <errorWord>其它</errorWord>
      <group>L1_Word</group>
      <groupName>字词问题</groupName>
      <ability>L2_Alias</ability>
      <abilityName>也作/曾用词</abilityName>
      <candidateList>
        <item>其他</item>
      </candidateList>
      <explain>词汇[其它]为不规范表述或旧称，其规范书面表述为[其他]。</explain>
      <paraID>62FB4C81</paraID>
      <start>54</start>
      <end>56</end>
      <status>unmodified</status>
      <modifiedWord/>
      <trackRevisions>false</trackRevisions>
    </reviewItem>
    <reviewItem>
      <errorID>7400a706-06c6-4ee4-805f-fb3d4762bb5c</errorID>
      <errorWord>其它</errorWord>
      <group>L1_Word</group>
      <groupName>字词问题</groupName>
      <ability>L2_Alias</ability>
      <abilityName>也作/曾用词</abilityName>
      <candidateList>
        <item>其他</item>
      </candidateList>
      <explain>词汇[其它]为不规范表述或旧称，其规范书面表述为[其他]。</explain>
      <paraID>62FB4C81</paraID>
      <start>84</start>
      <end>86</end>
      <status>unmodified</status>
      <modifiedWord/>
      <trackRevisions>false</trackRevisions>
    </reviewItem>
    <reviewItem>
      <errorID>3aaae4ee-118e-4b93-bbb4-678099f6c391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157AEF1C</paraID>
      <start>0</start>
      <end>3</end>
      <status>unmodified</status>
      <modifiedWord/>
      <trackRevisions>false</trackRevisions>
    </reviewItem>
    <reviewItem>
      <errorID>94897466-7c7b-412e-b487-5f1547f181e5</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4BF7AD08</paraID>
      <start>0</start>
      <end>3</end>
      <status>unmodified</status>
      <modifiedWord/>
      <trackRevisions>false</trackRevisions>
    </reviewItem>
    <reviewItem>
      <errorID>a41377ef-58e9-44b8-a79b-66bf274040c8</errorID>
      <errorWord>需</errorWord>
      <group>L1_Word</group>
      <groupName>字词问题</groupName>
      <ability>L2_Typo</ability>
      <abilityName>字词错误</abilityName>
      <candidateList>
        <item>须</item>
      </candidateList>
      <explain>存在发音相同字词的误用。</explain>
      <paraID>380EB90A</paraID>
      <start>85</start>
      <end>86</end>
      <status>unmodified</status>
      <modifiedWord/>
      <trackRevisions>false</trackRevisions>
    </reviewItem>
    <reviewItem>
      <errorID>20f3728d-5bcf-4ed1-b51d-be33141ba14f</errorID>
      <errorWord>人确定成交供应商</errorWord>
      <group>L1_Word</group>
      <groupName>字词问题</groupName>
      <ability>L2_Typo</ability>
      <abilityName>字词错误</abilityName>
      <candidateList>
        <item>人在确定成交供应商</item>
      </candidateList>
      <explain/>
      <paraID>23A51A57</paraID>
      <start>35</start>
      <end>43</end>
      <status>unmodified</status>
      <modifiedWord/>
      <trackRevisions>false</trackRevisions>
    </reviewItem>
    <reviewItem>
      <errorID>7ee80bd9-7847-48fe-9635-82976b0efc68</errorID>
      <errorWord>将在</errorWord>
      <group>L1_Word</group>
      <groupName>字词问题</groupName>
      <ability>L2_Typo</ability>
      <abilityName>字词错误</abilityName>
      <candidateList>
        <item>将</item>
      </candidateList>
      <explain>（jiāng）将要；（jiàng）勇将、上将、游泳健将；（qiāng）请求，将子无怒。</explain>
      <paraID> FF051ED</paraID>
      <start>19</start>
      <end>21</end>
      <status>unmodified</status>
      <modifiedWord/>
      <trackRevisions>false</trackRevisions>
    </reviewItem>
    <reviewItem>
      <errorID>5043c526-49e3-464e-a432-e14aff5c2725</errorID>
      <errorWord>组</errorWord>
      <group>L1_Word</group>
      <groupName>字词问题</groupName>
      <ability>L2_Typo</ability>
      <abilityName>字词错误</abilityName>
      <candidateList>
        <item>组在</item>
      </candidateList>
      <explain/>
      <paraID>58507EF1</paraID>
      <start>11</start>
      <end>12</end>
      <status>unmodified</status>
      <modifiedWord/>
      <trackRevisions>false</trackRevisions>
    </reviewItem>
    <reviewItem>
      <errorID>b7582fc9-cc30-480b-9af3-8d06fdc4a2e7</errorID>
      <errorWord>:</errorWord>
      <group>L1_Format</group>
      <groupName>格式问题</groupName>
      <ability>L2_HalfPunc_CN</ability>
      <abilityName>全半角问题</abilityName>
      <candidateList>
        <item>：</item>
      </candidateList>
      <explain>文本全半角错误。</explain>
      <paraID>58507EF1</paraID>
      <start>54</start>
      <end>56</end>
      <status>modified</status>
      <modifiedWord>：:</modifiedWord>
      <trackRevisions>true</trackRevisions>
    </reviewItem>
    <reviewItem>
      <errorID>620c737a-1405-467a-8fe1-b98ec3314419</errorID>
      <errorWord>人确定成交供应商</errorWord>
      <group>L1_Word</group>
      <groupName>字词问题</groupName>
      <ability>L2_Typo</ability>
      <abilityName>字词错误</abilityName>
      <candidateList>
        <item>人在确定成交供应商</item>
      </candidateList>
      <explain/>
      <paraID>19CC921F</paraID>
      <start>6</start>
      <end>14</end>
      <status>unmodified</status>
      <modifiedWord/>
      <trackRevisions>false</trackRevisions>
    </reviewItem>
    <reviewItem>
      <errorID>b9c66f53-ab11-4c2b-a004-a2a409c01cab</errorID>
      <errorWord>为</errorWord>
      <group>L1_Word</group>
      <groupName>字词问题</groupName>
      <ability>L2_Typo</ability>
      <abilityName>字词错误</abilityName>
      <candidateList>
        <item>为具</item>
      </candidateList>
      <explain/>
      <paraID>64C89354</paraID>
      <start>39</start>
      <end>40</end>
      <status>unmodified</status>
      <modifiedWord/>
      <trackRevisions>false</trackRevisions>
    </reviewItem>
    <reviewItem>
      <errorID>81c6ff26-9208-4ed5-8db3-8a144f760a56</errorID>
      <errorWord>他的</errorWord>
      <group>L1_Word</group>
      <groupName>字词问题</groupName>
      <ability>L2_Typo</ability>
      <abilityName>字词错误</abilityName>
      <candidateList>
        <item>他</item>
      </candidateList>
      <explain/>
      <paraID> DD56FFF</paraID>
      <start>43</start>
      <end>45</end>
      <status>unmodified</status>
      <modifiedWord/>
      <trackRevisions>false</trackRevisions>
    </reviewItem>
    <reviewItem>
      <errorID>0cb02bb5-4f4e-4d92-92ab-0fa22b1db46e</errorID>
      <errorWord>文件不再做</errorWord>
      <group>L1_Word</group>
      <groupName>字词问题</groupName>
      <ability>L2_Typo</ability>
      <abilityName>字词错误</abilityName>
      <candidateList>
        <item>文件不再作</item>
      </candidateList>
      <explain/>
      <paraID>6B9362BB</paraID>
      <start>153</start>
      <end>158</end>
      <status>unmodified</status>
      <modifiedWord/>
      <trackRevisions>false</trackRevisions>
    </reviewItem>
    <reviewItem>
      <errorID>af1d9c86-7933-4022-8bad-3ece17160b60</errorID>
      <errorWord>,</errorWord>
      <group>L1_Format</group>
      <groupName>格式问题</groupName>
      <ability>L2_HalfPunc_CN</ability>
      <abilityName>全半角问题</abilityName>
      <candidateList>
        <item>，</item>
      </candidateList>
      <explain>文本全半角错误。</explain>
      <paraID>484681C9</paraID>
      <start>23</start>
      <end>24</end>
      <status>unmodified</status>
      <modifiedWord/>
      <trackRevisions>false</trackRevisions>
    </reviewItem>
    <reviewItem>
      <errorID>fff1b21a-0253-4c2e-b070-55413e1dd7e1</errorID>
      <errorWord>其它</errorWord>
      <group>L1_Word</group>
      <groupName>字词问题</groupName>
      <ability>L2_Alias</ability>
      <abilityName>也作/曾用词</abilityName>
      <candidateList>
        <item>其他</item>
      </candidateList>
      <explain>词汇[其它]为不规范表述或旧称，其规范书面表述为[其他]。</explain>
      <paraID>6C7E8EFF</paraID>
      <start>5</start>
      <end>7</end>
      <status>unmodified</status>
      <modifiedWord/>
      <trackRevisions>false</trackRevisions>
    </reviewItem>
    <reviewItem>
      <errorID>7fdf16fc-4d00-4bd4-9024-0158720d65ef</errorID>
      <errorWord>（</errorWord>
      <group>L1_Punc</group>
      <groupName>标点问题</groupName>
      <ability>L2_Punc_CN</ability>
      <abilityName>标点符号问题</abilityName>
      <candidateList/>
      <explain>同一形式括号套用。</explain>
      <paraID>37A7707A</paraID>
      <start>59</start>
      <end>60</end>
      <status>unmodified</status>
      <modifiedWord/>
      <trackRevisions>false</trackRevisions>
    </reviewItem>
    <reviewItem>
      <errorID>55ac2a55-8563-48df-aa64-d38e7ee9a986</errorID>
      <errorWord>）</errorWord>
      <group>L1_Punc</group>
      <groupName>标点问题</groupName>
      <ability>L2_Punc_CN</ability>
      <abilityName>标点符号问题</abilityName>
      <candidateList/>
      <explain>同一形式括号套用。</explain>
      <paraID>37A7707A</paraID>
      <start>61</start>
      <end>62</end>
      <status>unmodified</status>
      <modifiedWord/>
      <trackRevisions>false</trackRevisions>
    </reviewItem>
    <reviewItem>
      <errorID>5e6a55ca-3212-462f-8751-08e1f27bd222</errorID>
      <errorWord>（</errorWord>
      <group>L1_Punc</group>
      <groupName>标点问题</groupName>
      <ability>L2_Punc_CN</ability>
      <abilityName>标点符号问题</abilityName>
      <candidateList/>
      <explain>同一形式括号套用。</explain>
      <paraID>37A7707A</paraID>
      <start>62</start>
      <end>63</end>
      <status>unmodified</status>
      <modifiedWord/>
      <trackRevisions>false</trackRevisions>
    </reviewItem>
    <reviewItem>
      <errorID>505ddeae-7d3d-4a1f-ba6f-7a98f19f25af</errorID>
      <errorWord>）</errorWord>
      <group>L1_Punc</group>
      <groupName>标点问题</groupName>
      <ability>L2_Punc_CN</ability>
      <abilityName>标点符号问题</abilityName>
      <candidateList/>
      <explain>同一形式括号套用。</explain>
      <paraID>37A7707A</paraID>
      <start>64</start>
      <end>65</end>
      <status>unmodified</status>
      <modifiedWord/>
      <trackRevisions>false</trackRevisions>
    </reviewItem>
    <reviewItem>
      <errorID>44b8da1f-c6bc-4904-82fd-12b5428aaf55</errorID>
      <errorWord>（</errorWord>
      <group>L1_Punc</group>
      <groupName>标点问题</groupName>
      <ability>L2_Punc_CN</ability>
      <abilityName>标点符号问题</abilityName>
      <candidateList/>
      <explain>同一形式括号套用。</explain>
      <paraID>37A7707A</paraID>
      <start>65</start>
      <end>66</end>
      <status>unmodified</status>
      <modifiedWord/>
      <trackRevisions>false</trackRevisions>
    </reviewItem>
    <reviewItem>
      <errorID>8dcd9f52-ad63-4d31-ab72-7c2fa2ea9fa3</errorID>
      <errorWord>）</errorWord>
      <group>L1_Punc</group>
      <groupName>标点问题</groupName>
      <ability>L2_Punc_CN</ability>
      <abilityName>标点符号问题</abilityName>
      <candidateList/>
      <explain>同一形式括号套用。</explain>
      <paraID>37A7707A</paraID>
      <start>67</start>
      <end>68</end>
      <status>unmodified</status>
      <modifiedWord/>
      <trackRevisions>false</trackRevisions>
    </reviewItem>
    <reviewItem>
      <errorID>6c6ecf02-1daf-4cd4-94ba-69cf606b32ff</errorID>
      <errorWord>晰</errorWord>
      <group>L1_Word</group>
      <groupName>字词问题</groupName>
      <ability>L2_Typo</ability>
      <abilityName>字词错误</abilityName>
      <candidateList>
        <item>晰地</item>
      </candidateList>
      <explain/>
      <paraID>447045C8</paraID>
      <start>32</start>
      <end>33</end>
      <status>unmodified</status>
      <modifiedWord/>
      <trackRevisions>false</trackRevisions>
    </reviewItem>
    <reviewItem>
      <errorID>12a74f46-1639-4dc4-ab51-b11314f45dee</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 BECDA3E</paraID>
      <start>23</start>
      <end>25</end>
      <status>unmodified</status>
      <modifiedWord/>
      <trackRevisions>false</trackRevisions>
    </reviewItem>
    <reviewItem>
      <errorID>ae182865-bed3-4087-bf5e-c4389d56e4cb</errorID>
      <errorWord>其它</errorWord>
      <group>L1_Word</group>
      <groupName>字词问题</groupName>
      <ability>L2_Alias</ability>
      <abilityName>也作/曾用词</abilityName>
      <candidateList>
        <item>其他</item>
      </candidateList>
      <explain>词汇[其它]为不规范表述或旧称，其规范书面表述为[其他]。</explain>
      <paraID>60E24BE1</paraID>
      <start>64</start>
      <end>66</end>
      <status>unmodified</status>
      <modifiedWord/>
      <trackRevisions>false</trackRevisions>
    </reviewItem>
    <reviewItem>
      <errorID>79fe59b5-59f6-4d77-bee3-70a38cb5b0ba</errorID>
      <errorWord>,</errorWord>
      <group>L1_Format</group>
      <groupName>格式问题</groupName>
      <ability>L2_HalfPunc_CN</ability>
      <abilityName>全半角问题</abilityName>
      <candidateList>
        <item>，</item>
      </candidateList>
      <explain>文本全半角错误。</explain>
      <paraID>6B811CFE</paraID>
      <start>113</start>
      <end>114</end>
      <status>unmodified</status>
      <modifiedWord/>
      <trackRevisions>false</trackRevisions>
    </reviewItem>
    <reviewItem>
      <errorID>5f95b7b4-6f14-49fa-a2d4-3ab40fa4e464</errorID>
      <errorWord>、或者</errorWord>
      <group>L1_Word</group>
      <groupName>字词问题</groupName>
      <ability>L2_Typo</ability>
      <abilityName>字词错误</abilityName>
      <candidateList>
        <item>，或者</item>
      </candidateList>
      <explain/>
      <paraID>6B811CFE</paraID>
      <start>132</start>
      <end>135</end>
      <status>unmodified</status>
      <modifiedWord/>
      <trackRevisions>false</trackRevisions>
    </reviewItem>
    <reviewItem>
      <errorID>edabf305-d0c6-4181-aae1-f30b3be34651</errorID>
      <errorWord>其它载体</errorWord>
      <group>L1_Word</group>
      <groupName>字词问题</groupName>
      <ability>L2_Alias</ability>
      <abilityName>也作/曾用词</abilityName>
      <candidateList>
        <item>其他载体</item>
      </candidateList>
      <explain>词汇[其它载体]为不规范表述或旧称，其规范书面表述为[其他载体]。</explain>
      <paraID>6B811CFE</paraID>
      <start>142</start>
      <end>146</end>
      <status>unmodified</status>
      <modifiedWord/>
      <trackRevisions>false</trackRevisions>
    </reviewItem>
    <reviewItem>
      <errorID>1bf0dc6d-ee37-43ff-a956-008464bac4d7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7B286A42</paraID>
      <start>0</start>
      <end>2</end>
      <status>unmodified</status>
      <modifiedWord/>
      <trackRevisions>false</trackRevisions>
    </reviewItem>
    <reviewItem>
      <errorID>020ae253-b527-4d11-9635-b8cd7d113903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58814F06</paraID>
      <start>0</start>
      <end>2</end>
      <status>unmodified</status>
      <modifiedWord/>
      <trackRevisions>false</trackRevisions>
    </reviewItem>
    <reviewItem>
      <errorID>a2eb08c3-d0d3-45b0-af0b-6508dbeb3277</errorID>
      <errorWord>其它</errorWord>
      <group>L1_Word</group>
      <groupName>字词问题</groupName>
      <ability>L2_Alias</ability>
      <abilityName>也作/曾用词</abilityName>
      <candidateList>
        <item>其他</item>
      </candidateList>
      <explain>词汇[其它]为不规范表述或旧称，其规范书面表述为[其他]。</explain>
      <paraID>24757EF0</paraID>
      <start>52</start>
      <end>54</end>
      <status>unmodified</status>
      <modifiedWord/>
      <trackRevisions>false</trackRevisions>
    </reviewItem>
    <reviewItem>
      <errorID>59ff8acf-f9ff-4dbc-ad44-88a1cd12d1c0</errorID>
      <errorWord>其它</errorWord>
      <group>L1_Word</group>
      <groupName>字词问题</groupName>
      <ability>L2_Alias</ability>
      <abilityName>也作/曾用词</abilityName>
      <candidateList>
        <item>其他</item>
      </candidateList>
      <explain>词汇[其它]为不规范表述或旧称，其规范书面表述为[其他]。</explain>
      <paraID>24757EF0</paraID>
      <start>80</start>
      <end>82</end>
      <status>unmodified</status>
      <modifiedWord/>
      <trackRevisions>false</trackRevisions>
    </reviewItem>
    <reviewItem>
      <errorID>15e35882-a19d-4737-8c16-a2ffb55557bd</errorID>
      <errorWord>自有的知识产权</errorWord>
      <group>L1_Political</group>
      <groupName>政治性问题</groupName>
      <ability>L2_Keyword</ability>
      <abilityName>固定表述</abilityName>
      <candidateList>
        <item>自主知识产权</item>
      </candidateList>
      <explain>词汇“自主知识产权”在特定场景下为固定表述形式，请确认此处的“自有的知识产权”是否存在不当。</explain>
      <paraID>24757EF0</paraID>
      <start>246</start>
      <end>253</end>
      <status>unmodified</status>
      <modifiedWord/>
      <trackRevisions>false</trackRevisions>
    </reviewItem>
    <reviewItem>
      <errorID>8f5ecbde-7803-422a-8524-60254fb03bb4</errorID>
      <errorWord>,</errorWord>
      <group>L1_Format</group>
      <groupName>格式问题</groupName>
      <ability>L2_HalfPunc_CN</ability>
      <abilityName>全半角问题</abilityName>
      <candidateList>
        <item>，</item>
      </candidateList>
      <explain>文本全半角错误。</explain>
      <paraID>7D16590F</paraID>
      <start>23</start>
      <end>24</end>
      <status>unmodified</status>
      <modifiedWord/>
      <trackRevisions>false</trackRevisions>
    </reviewItem>
    <reviewItem>
      <errorID>ec105cb5-a00d-4a47-8ca3-2051b1a3f9be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22E707B9</paraID>
      <start>0</start>
      <end>2</end>
      <status>unmodified</status>
      <modifiedWord/>
      <trackRevisions>false</trackRevisions>
    </reviewItem>
    <reviewItem>
      <errorID>329ccd9a-8c2e-4171-b83d-4ad3a923b6c1</errorID>
      <errorWord>:</errorWord>
      <group>L1_Format</group>
      <groupName>格式问题</groupName>
      <ability>L2_HalfPunc_CN</ability>
      <abilityName>全半角问题</abilityName>
      <candidateList>
        <item>：</item>
      </candidateList>
      <explain>文本全半角错误。</explain>
      <paraID>6BDCEB01</paraID>
      <start>1</start>
      <end>3</end>
      <status>modified</status>
      <modifiedWord>：:</modifiedWord>
      <trackRevisions>true</trackRevisions>
    </reviewItem>
    <reviewItem>
      <errorID>d99ab9ba-5079-4537-af73-76b7da40cd6e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A25B45F</paraID>
      <start>0</start>
      <end>2</end>
      <status>unmodified</status>
      <modifiedWord/>
      <trackRevisions>false</trackRevisions>
    </reviewItem>
    <reviewItem>
      <errorID>453457da-bfe4-490c-9138-ff78bfd36093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282148E5</paraID>
      <start>0</start>
      <end>2</end>
      <status>unmodified</status>
      <modifiedWord/>
      <trackRevisions>false</trackRevisions>
    </reviewItem>
    <reviewItem>
      <errorID>0e99d361-56b7-4728-adca-7f44efccbf2c</errorID>
      <errorWord>:</errorWord>
      <group>L1_Format</group>
      <groupName>格式问题</groupName>
      <ability>L2_HalfPunc_CN</ability>
      <abilityName>全半角问题</abilityName>
      <candidateList>
        <item>：</item>
      </candidateList>
      <explain>文本全半角错误。</explain>
      <paraID>289349CB</paraID>
      <start>2</start>
      <end>4</end>
      <status>modified</status>
      <modifiedWord>：:</modifiedWord>
      <trackRevisions>true</trackRevisions>
    </reviewItem>
    <reviewItem>
      <errorID>8c1a28e1-1947-4d40-927b-046e6071ae0c</errorID>
      <errorWord>法律、法规</errorWord>
      <group>L1_Word</group>
      <groupName>字词问题</groupName>
      <ability>L2_Typo</ability>
      <abilityName>字词错误</abilityName>
      <candidateList>
        <item>法律法规</item>
      </candidateList>
      <explain/>
      <paraID>11FB6145</paraID>
      <start>3</start>
      <end>8</end>
      <status>unmodified</status>
      <modifiedWord/>
      <trackRevisions>false</trackRevisions>
    </reviewItem>
    <reviewItem>
      <errorID>2464b82f-e8fc-4506-9a81-7306ff94c975</errorID>
      <errorWord>不</errorWord>
      <group>L1_Word</group>
      <groupName>字词问题</groupName>
      <ability>L2_Typo</ability>
      <abilityName>字词错误</abilityName>
      <candidateList>
        <item>不符</item>
      </candidateList>
      <explain/>
      <paraID>2FA989C2</paraID>
      <start>14</start>
      <end>15</end>
      <status>unmodified</status>
      <modifiedWord/>
      <trackRevisions>false</trackRevisions>
    </reviewItem>
    <reviewItem>
      <errorID>a8c51b05-64ee-478d-b347-40f082ea1bc9</errorID>
      <errorWord>。。</errorWord>
      <group>L1_Punc</group>
      <groupName>标点问题</groupName>
      <ability>L2_Punc_CN</ability>
      <abilityName>标点符号问题</abilityName>
      <candidateList>
        <item>。</item>
      </candidateList>
      <explain/>
      <paraID>60B0BE69</paraID>
      <start>69</start>
      <end>71</end>
      <status>unmodified</status>
      <modifiedWord/>
      <trackRevisions>false</trackRevisions>
    </reviewItem>
    <reviewItem>
      <errorID>e5212974-6a4c-4351-a209-62b76f179d61</errorID>
      <errorWord>、以及</errorWord>
      <group>L1_Punc</group>
      <groupName>标点问题</groupName>
      <ability>L2_Punc_CN</ability>
      <abilityName>标点符号问题</abilityName>
      <candidateList>
        <item>，以及</item>
      </candidateList>
      <explain>连接词前后不宜使用顿号，建议使用逗号。</explain>
      <paraID>6B1428BE</paraID>
      <start>36</start>
      <end>39</end>
      <status>unmodified</status>
      <modifiedWord/>
      <trackRevisions>false</trackRevisions>
    </reviewItem>
    <reviewItem>
      <errorID>5152fc4f-90e0-43a6-b571-87f2a9fd398b</errorID>
      <errorWord>出现有</errorWord>
      <group>L1_Word</group>
      <groupName>字词问题</groupName>
      <ability>L2_Typo</ability>
      <abilityName>字词错误</abilityName>
      <candidateList>
        <item>出现</item>
      </candidateList>
      <explain>〈动〉❶显露出来：比赛开始前半小时运动员已经～在运动场上了。❷产生出来：近年来～了许多优秀作品。</explain>
      <paraID>1B68A583</paraID>
      <start>445</start>
      <end>448</end>
      <status>unmodified</status>
      <modifiedWord/>
      <trackRevisions>false</trackRevisions>
    </reviewItem>
    <reviewItem>
      <errorID>47e1b15e-e3a1-4078-ac7b-aa6d0f811cb6</errorID>
      <errorWord>,</errorWord>
      <group>L1_Format</group>
      <groupName>格式问题</groupName>
      <ability>L2_HalfPunc_CN</ability>
      <abilityName>全半角问题</abilityName>
      <candidateList>
        <item>，</item>
      </candidateList>
      <explain>文本全半角错误。</explain>
      <paraID>2894CA84</paraID>
      <start>224</start>
      <end>225</end>
      <status>unmodified</status>
      <modifiedWord/>
      <trackRevisions>false</trackRevisions>
    </reviewItem>
    <reviewItem>
      <errorID>f440f852-df96-406f-a6c6-ce3c2947b311</errorID>
      <errorWord>出现有</errorWord>
      <group>L1_Word</group>
      <groupName>字词问题</groupName>
      <ability>L2_Typo</ability>
      <abilityName>字词错误</abilityName>
      <candidateList>
        <item>出现</item>
      </candidateList>
      <explain>〈动〉❶显露出来：比赛开始前半小时运动员已经～在运动场上了。❷产生出来：近年来～了许多优秀作品。</explain>
      <paraID>6F12C3C2</paraID>
      <start>238</start>
      <end>241</end>
      <status>unmodified</status>
      <modifiedWord/>
      <trackRevisions>false</trackRevisions>
    </reviewItem>
    <reviewItem>
      <errorID>30bc25d7-3502-4942-a163-b0256d0e9c5a</errorID>
      <errorWord>;</errorWord>
      <group>L1_Format</group>
      <groupName>格式问题</groupName>
      <ability>L2_HalfPunc_CN</ability>
      <abilityName>全半角问题</abilityName>
      <candidateList>
        <item>；</item>
      </candidateList>
      <explain>文本全半角错误。</explain>
      <paraID>38DB5415</paraID>
      <start>74</start>
      <end>75</end>
      <status>unmodified</status>
      <modifiedWord/>
      <trackRevisions>false</trackRevisions>
    </reviewItem>
    <reviewItem>
      <errorID>bf9183a4-2ea8-4ff5-a0a0-5bcd5a1884d5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3358F2F9</paraID>
      <start>0</start>
      <end>2</end>
      <status>unmodified</status>
      <modifiedWord/>
      <trackRevisions>false</trackRevisions>
    </reviewItem>
    <reviewItem>
      <errorID>750cbcb7-2414-4d70-b933-05b32643bee6</errorID>
      <errorWord>法律、法规</errorWord>
      <group>L1_Word</group>
      <groupName>字词问题</groupName>
      <ability>L2_Typo</ability>
      <abilityName>字词错误</abilityName>
      <candidateList>
        <item>法律法规</item>
      </candidateList>
      <explain/>
      <paraID>1A1FBFBF</paraID>
      <start>3</start>
      <end>8</end>
      <status>unmodified</status>
      <modifiedWord/>
      <trackRevisions>false</trackRevisions>
    </reviewItem>
    <reviewItem>
      <errorID>5b174b1f-1fd4-499f-a0a0-180f402fbc2a</errorID>
      <errorWord>件</errorWord>
      <group>L1_Word</group>
      <groupName>字词问题</groupName>
      <ability>L2_Typo</ability>
      <abilityName>字词错误</abilityName>
      <candidateList>
        <item>件中</item>
      </candidateList>
      <explain/>
      <paraID>2AF49F18</paraID>
      <start>66</start>
      <end>67</end>
      <status>unmodified</status>
      <modifiedWord/>
      <trackRevisions>false</trackRevisions>
    </reviewItem>
  </reviewItems>
  <config/>
</contractReview>
</file>

<file path=customXml/itemProps1.xml><?xml version="1.0" encoding="utf-8"?>
<ds:datastoreItem xmlns:ds="http://schemas.openxmlformats.org/officeDocument/2006/customXml" ds:itemID="{6F865F43-B385-40FA-B664-DD6FDEF29D2F}">
  <ds:schemaRefs/>
</ds:datastoreItem>
</file>

<file path=customXml/itemProps2.xml><?xml version="1.0" encoding="utf-8"?>
<ds:datastoreItem xmlns:ds="http://schemas.openxmlformats.org/officeDocument/2006/customXml" ds:itemID="{99579931-AEDA-41AE-ACEB-608A034CF8C4}">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73</Pages>
  <Words>21906</Words>
  <Characters>23029</Characters>
  <Lines>1183</Lines>
  <Paragraphs>1194</Paragraphs>
  <TotalTime>20</TotalTime>
  <ScaleCrop>false</ScaleCrop>
  <LinksUpToDate>false</LinksUpToDate>
  <CharactersWithSpaces>23840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2026-06-16T10:00:00Z</dcterms:created>
  <dc:creator>邱燏智</dc:creator>
  <cp:lastModifiedBy>嘿嘿</cp:lastModifiedBy>
  <cp:lastPrinted>2019-06-21T06:30:00Z</cp:lastPrinted>
  <dcterms:modified xsi:type="dcterms:W3CDTF">2026-06-29T06:42:19Z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eyJoZGlkIjoiODc1Yzg4Nzk4ODk4MjUxYmM2ZTlkMTQxNDJhZGM5OTUiLCJ1c2VySWQiOiIzMDA3NTAzMTAifQ==</vt:lpwstr>
  </property>
  <property fmtid="{D5CDD505-2E9C-101B-9397-08002B2CF9AE}" pid="4" name="ICV">
    <vt:lpwstr>A833EEC9818146668456BBACA6AF9280_13</vt:lpwstr>
  </property>
</Properties>
</file>