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napToGrid w:val="0"/>
        <w:spacing w:line="560" w:lineRule="exact"/>
        <w:jc w:val="center"/>
        <w:rPr>
          <w:rFonts w:ascii="方正小标宋简体" w:hAnsi="方正小标宋简体" w:eastAsia="方正小标宋简体" w:cs="方正小标宋简体"/>
          <w:b w:val="0"/>
          <w:bCs/>
          <w:sz w:val="44"/>
          <w:szCs w:val="44"/>
          <w:highlight w:val="none"/>
        </w:rPr>
      </w:pPr>
      <w:r>
        <w:rPr>
          <w:rFonts w:ascii="方正小标宋简体" w:hAnsi="方正小标宋简体" w:eastAsia="方正小标宋简体" w:cs="方正小标宋简体"/>
          <w:b w:val="0"/>
          <w:bCs/>
          <w:sz w:val="44"/>
          <w:szCs w:val="44"/>
          <w:highlight w:val="none"/>
        </w:rPr>
        <w:t>202</w:t>
      </w:r>
      <w:r>
        <w:rPr>
          <w:rFonts w:hint="eastAsia" w:ascii="方正小标宋简体" w:hAnsi="方正小标宋简体" w:eastAsia="方正小标宋简体" w:cs="方正小标宋简体"/>
          <w:b w:val="0"/>
          <w:bCs/>
          <w:sz w:val="44"/>
          <w:szCs w:val="44"/>
          <w:highlight w:val="none"/>
          <w:lang w:val="en-US" w:eastAsia="zh-CN"/>
        </w:rPr>
        <w:t>4</w:t>
      </w:r>
      <w:r>
        <w:rPr>
          <w:rFonts w:ascii="方正小标宋简体" w:hAnsi="方正小标宋简体" w:eastAsia="方正小标宋简体" w:cs="方正小标宋简体"/>
          <w:b w:val="0"/>
          <w:bCs/>
          <w:sz w:val="44"/>
          <w:szCs w:val="44"/>
          <w:highlight w:val="none"/>
        </w:rPr>
        <w:t>年度经营业绩责任书</w:t>
      </w:r>
    </w:p>
    <w:p>
      <w:pPr>
        <w:keepNext w:val="0"/>
        <w:keepLines w:val="0"/>
        <w:pageBreakBefore w:val="0"/>
        <w:kinsoku/>
        <w:wordWrap/>
        <w:overflowPunct/>
        <w:topLinePunct w:val="0"/>
        <w:autoSpaceDE/>
        <w:autoSpaceDN/>
        <w:bidi w:val="0"/>
        <w:adjustRightInd w:val="0"/>
        <w:snapToGrid w:val="0"/>
        <w:spacing w:line="560" w:lineRule="exact"/>
        <w:jc w:val="center"/>
        <w:rPr>
          <w:rFonts w:ascii="方正小标宋简体" w:hAnsi="方正小标宋简体" w:eastAsia="方正小标宋简体" w:cs="方正小标宋简体"/>
          <w:b w:val="0"/>
          <w:bCs/>
          <w:sz w:val="44"/>
          <w:szCs w:val="44"/>
          <w:highlight w:val="none"/>
        </w:rPr>
      </w:pP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lang w:val="en-US" w:eastAsia="zh-CN"/>
        </w:rPr>
        <w:t>公司</w:t>
      </w:r>
      <w:r>
        <w:rPr>
          <w:rFonts w:hint="eastAsia" w:ascii="仿宋_GB2312" w:hAnsi="仿宋_GB2312" w:eastAsia="仿宋_GB2312" w:cs="仿宋_GB2312"/>
          <w:b w:val="0"/>
          <w:bCs/>
          <w:sz w:val="32"/>
          <w:szCs w:val="32"/>
          <w:highlight w:val="none"/>
        </w:rPr>
        <w:t>：</w:t>
      </w:r>
      <w:r>
        <w:rPr>
          <w:rFonts w:hint="eastAsia" w:ascii="仿宋_GB2312" w:hAnsi="仿宋_GB2312" w:eastAsia="仿宋_GB2312" w:cs="仿宋_GB2312"/>
          <w:b w:val="0"/>
          <w:bCs/>
          <w:sz w:val="32"/>
          <w:szCs w:val="32"/>
          <w:highlight w:val="none"/>
          <w:u w:val="none"/>
          <w:lang w:val="en-US" w:eastAsia="zh-CN"/>
        </w:rPr>
        <w:t>九洲千城置业有限责任公司</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甲方（考核方、授权代表）：杜明茗</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身份证号码：510727198705230610</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default"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任职单位及职务：九洲千城置业有限责任公司董事长</w:t>
      </w:r>
    </w:p>
    <w:p>
      <w:pPr>
        <w:keepNext w:val="0"/>
        <w:keepLines w:val="0"/>
        <w:pageBreakBefore w:val="0"/>
        <w:kinsoku/>
        <w:wordWrap/>
        <w:overflowPunct/>
        <w:topLinePunct w:val="0"/>
        <w:autoSpaceDE/>
        <w:autoSpaceDN/>
        <w:bidi w:val="0"/>
        <w:spacing w:line="560" w:lineRule="exact"/>
        <w:ind w:firstLine="640" w:firstLineChars="200"/>
        <w:jc w:val="left"/>
        <w:rPr>
          <w:rFonts w:hint="eastAsia" w:ascii="仿宋_GB2312" w:hAnsi="仿宋_GB2312" w:eastAsia="仿宋_GB2312" w:cs="仿宋_GB2312"/>
          <w:b w:val="0"/>
          <w:bCs/>
          <w:sz w:val="32"/>
          <w:szCs w:val="32"/>
          <w:highlight w:val="none"/>
        </w:rPr>
      </w:pPr>
      <w:bookmarkStart w:id="0" w:name="_GoBack"/>
      <w:bookmarkEnd w:id="0"/>
    </w:p>
    <w:p>
      <w:pPr>
        <w:keepNext w:val="0"/>
        <w:keepLines w:val="0"/>
        <w:pageBreakBefore w:val="0"/>
        <w:kinsoku/>
        <w:wordWrap/>
        <w:overflowPunct/>
        <w:topLinePunct w:val="0"/>
        <w:autoSpaceDE/>
        <w:autoSpaceDN/>
        <w:bidi w:val="0"/>
        <w:spacing w:line="560" w:lineRule="exact"/>
        <w:ind w:firstLine="640" w:firstLineChars="200"/>
        <w:jc w:val="left"/>
        <w:rPr>
          <w:rFonts w:hint="eastAsia" w:ascii="仿宋_GB2312" w:hAnsi="仿宋_GB2312" w:eastAsia="仿宋_GB2312" w:cs="仿宋_GB2312"/>
          <w:b w:val="0"/>
          <w:bCs/>
          <w:sz w:val="32"/>
          <w:szCs w:val="32"/>
          <w:highlight w:val="none"/>
          <w:u w:val="single"/>
          <w:lang w:val="en-US" w:eastAsia="zh-CN"/>
        </w:rPr>
      </w:pPr>
      <w:r>
        <w:rPr>
          <w:rFonts w:hint="eastAsia" w:ascii="仿宋_GB2312" w:hAnsi="仿宋_GB2312" w:eastAsia="仿宋_GB2312" w:cs="仿宋_GB2312"/>
          <w:b w:val="0"/>
          <w:bCs/>
          <w:sz w:val="32"/>
          <w:szCs w:val="32"/>
          <w:highlight w:val="none"/>
          <w:lang w:val="en-US" w:eastAsia="zh-CN"/>
        </w:rPr>
        <w:t>乙方（</w:t>
      </w:r>
      <w:r>
        <w:rPr>
          <w:rFonts w:hint="eastAsia" w:ascii="仿宋_GB2312" w:hAnsi="仿宋_GB2312" w:eastAsia="仿宋_GB2312" w:cs="仿宋_GB2312"/>
          <w:b w:val="0"/>
          <w:bCs/>
          <w:sz w:val="32"/>
          <w:szCs w:val="32"/>
          <w:highlight w:val="none"/>
        </w:rPr>
        <w:t>被考核方</w:t>
      </w:r>
      <w:r>
        <w:rPr>
          <w:rFonts w:hint="eastAsia" w:ascii="仿宋_GB2312" w:hAnsi="仿宋_GB2312" w:eastAsia="仿宋_GB2312" w:cs="仿宋_GB2312"/>
          <w:b w:val="0"/>
          <w:bCs/>
          <w:sz w:val="32"/>
          <w:szCs w:val="32"/>
          <w:highlight w:val="none"/>
          <w:lang w:val="en-US" w:eastAsia="zh-CN"/>
        </w:rPr>
        <w:t>）</w:t>
      </w:r>
      <w:r>
        <w:rPr>
          <w:rFonts w:hint="eastAsia" w:ascii="仿宋_GB2312" w:hAnsi="仿宋_GB2312" w:eastAsia="仿宋_GB2312" w:cs="仿宋_GB2312"/>
          <w:b w:val="0"/>
          <w:bCs/>
          <w:sz w:val="32"/>
          <w:szCs w:val="32"/>
          <w:highlight w:val="none"/>
        </w:rPr>
        <w:t>：</w:t>
      </w:r>
      <w:r>
        <w:rPr>
          <w:rFonts w:hint="eastAsia" w:ascii="仿宋_GB2312" w:hAnsi="仿宋_GB2312" w:eastAsia="仿宋_GB2312" w:cs="仿宋_GB2312"/>
          <w:b w:val="0"/>
          <w:bCs/>
          <w:sz w:val="32"/>
          <w:szCs w:val="32"/>
          <w:highlight w:val="none"/>
          <w:u w:val="none"/>
          <w:lang w:val="en-US" w:eastAsia="zh-CN"/>
        </w:rPr>
        <w:t>杨楠</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default"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身份证号码：500221198410070616</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rPr>
      </w:pP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为充分调动公司经营者的积极性，鼓励为公司经营发展找增量、提效益，引导其全面完成年度和任期经营目标任务，结合《绵阳市市属国有企业负责人经营业绩考核办法》（绵府办发〔2021〕24号）及九洲集团薪酬绩效等相关管理制度,业绩指标一年一签。为此特制定本责任书。</w:t>
      </w: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eastAsia="zh-CN"/>
        </w:rPr>
        <w:t>一、</w:t>
      </w:r>
      <w:r>
        <w:rPr>
          <w:rFonts w:hint="eastAsia" w:ascii="黑体" w:hAnsi="黑体" w:eastAsia="黑体" w:cs="黑体"/>
          <w:b w:val="0"/>
          <w:bCs/>
          <w:sz w:val="32"/>
          <w:szCs w:val="32"/>
          <w:highlight w:val="none"/>
        </w:rPr>
        <w:t>考核周期</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考核期限：</w:t>
      </w:r>
      <w:r>
        <w:rPr>
          <w:rFonts w:hint="eastAsia" w:ascii="仿宋_GB2312" w:hAnsi="仿宋_GB2312" w:eastAsia="仿宋_GB2312" w:cs="仿宋_GB2312"/>
          <w:b w:val="0"/>
          <w:bCs/>
          <w:sz w:val="32"/>
          <w:szCs w:val="32"/>
          <w:highlight w:val="none"/>
          <w:u w:val="single"/>
        </w:rPr>
        <w:t>202</w:t>
      </w:r>
      <w:r>
        <w:rPr>
          <w:rFonts w:hint="eastAsia" w:ascii="仿宋_GB2312" w:hAnsi="仿宋_GB2312" w:eastAsia="仿宋_GB2312" w:cs="仿宋_GB2312"/>
          <w:b w:val="0"/>
          <w:bCs/>
          <w:sz w:val="32"/>
          <w:szCs w:val="32"/>
          <w:highlight w:val="none"/>
          <w:u w:val="single"/>
          <w:lang w:val="en-US" w:eastAsia="zh-CN"/>
        </w:rPr>
        <w:t>4</w:t>
      </w:r>
      <w:r>
        <w:rPr>
          <w:rFonts w:hint="eastAsia" w:ascii="仿宋_GB2312" w:hAnsi="仿宋_GB2312" w:eastAsia="仿宋_GB2312" w:cs="仿宋_GB2312"/>
          <w:b w:val="0"/>
          <w:bCs/>
          <w:sz w:val="32"/>
          <w:szCs w:val="32"/>
          <w:highlight w:val="none"/>
          <w:u w:val="single"/>
        </w:rPr>
        <w:t>年1月1日至202</w:t>
      </w:r>
      <w:r>
        <w:rPr>
          <w:rFonts w:hint="eastAsia" w:ascii="仿宋_GB2312" w:hAnsi="仿宋_GB2312" w:eastAsia="仿宋_GB2312" w:cs="仿宋_GB2312"/>
          <w:b w:val="0"/>
          <w:bCs/>
          <w:sz w:val="32"/>
          <w:szCs w:val="32"/>
          <w:highlight w:val="none"/>
          <w:u w:val="single"/>
          <w:lang w:val="en-US" w:eastAsia="zh-CN"/>
        </w:rPr>
        <w:t>4</w:t>
      </w:r>
      <w:r>
        <w:rPr>
          <w:rFonts w:hint="eastAsia" w:ascii="仿宋_GB2312" w:hAnsi="仿宋_GB2312" w:eastAsia="仿宋_GB2312" w:cs="仿宋_GB2312"/>
          <w:b w:val="0"/>
          <w:bCs/>
          <w:sz w:val="32"/>
          <w:szCs w:val="32"/>
          <w:highlight w:val="none"/>
          <w:u w:val="single"/>
        </w:rPr>
        <w:t>年12月31日</w:t>
      </w: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lang w:val="en-US" w:eastAsia="zh-CN"/>
        </w:rPr>
        <w:t>二、</w:t>
      </w:r>
      <w:r>
        <w:rPr>
          <w:rFonts w:hint="eastAsia" w:ascii="黑体" w:hAnsi="黑体" w:eastAsia="黑体" w:cs="黑体"/>
          <w:b w:val="0"/>
          <w:bCs/>
          <w:sz w:val="32"/>
          <w:szCs w:val="32"/>
          <w:highlight w:val="none"/>
          <w:lang w:eastAsia="zh-CN"/>
        </w:rPr>
        <w:t>考核指标</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经营业绩指标分为组织绩效指标、任务绩效指标、协同绩效指标和红线指标等四个维度</w:t>
      </w:r>
      <w:r>
        <w:rPr>
          <w:rFonts w:hint="eastAsia" w:ascii="仿宋_GB2312" w:hAnsi="仿宋_GB2312" w:eastAsia="仿宋_GB2312" w:cs="仿宋_GB2312"/>
          <w:b w:val="0"/>
          <w:bCs/>
          <w:sz w:val="32"/>
          <w:szCs w:val="32"/>
          <w:highlight w:val="none"/>
          <w:lang w:eastAsia="zh-CN"/>
        </w:rPr>
        <w:t>，</w:t>
      </w:r>
      <w:r>
        <w:rPr>
          <w:rFonts w:hint="eastAsia" w:ascii="仿宋_GB2312" w:hAnsi="仿宋_GB2312" w:eastAsia="仿宋_GB2312" w:cs="仿宋_GB2312"/>
          <w:b w:val="0"/>
          <w:bCs/>
          <w:sz w:val="32"/>
          <w:szCs w:val="32"/>
          <w:highlight w:val="none"/>
        </w:rPr>
        <w:t>由甲方根据企业发展战略、经营计划、历史数据、行业对标情况以及乙方岗位职责等确定，202</w:t>
      </w:r>
      <w:r>
        <w:rPr>
          <w:rFonts w:hint="eastAsia" w:ascii="仿宋_GB2312" w:hAnsi="仿宋_GB2312" w:eastAsia="仿宋_GB2312" w:cs="仿宋_GB2312"/>
          <w:b w:val="0"/>
          <w:bCs/>
          <w:sz w:val="32"/>
          <w:szCs w:val="32"/>
          <w:highlight w:val="none"/>
          <w:lang w:val="en-US" w:eastAsia="zh-CN"/>
        </w:rPr>
        <w:t>4</w:t>
      </w:r>
      <w:r>
        <w:rPr>
          <w:rFonts w:hint="eastAsia" w:ascii="仿宋_GB2312" w:hAnsi="仿宋_GB2312" w:eastAsia="仿宋_GB2312" w:cs="仿宋_GB2312"/>
          <w:b w:val="0"/>
          <w:bCs/>
          <w:sz w:val="32"/>
          <w:szCs w:val="32"/>
          <w:highlight w:val="none"/>
        </w:rPr>
        <w:t>年业绩目标如下：</w:t>
      </w:r>
    </w:p>
    <w:p>
      <w:pPr>
        <w:keepNext w:val="0"/>
        <w:keepLines w:val="0"/>
        <w:pageBreakBefore w:val="0"/>
        <w:kinsoku/>
        <w:wordWrap/>
        <w:overflowPunct/>
        <w:topLinePunct w:val="0"/>
        <w:autoSpaceDE/>
        <w:autoSpaceDN/>
        <w:bidi w:val="0"/>
        <w:spacing w:line="560" w:lineRule="exact"/>
        <w:ind w:firstLine="643" w:firstLineChars="200"/>
        <w:rPr>
          <w:rFonts w:hint="eastAsia" w:ascii="楷体_GB2312" w:hAnsi="楷体_GB2312" w:eastAsia="楷体_GB2312" w:cs="楷体_GB2312"/>
          <w:b/>
          <w:bCs w:val="0"/>
          <w:sz w:val="32"/>
          <w:szCs w:val="32"/>
          <w:highlight w:val="none"/>
        </w:rPr>
      </w:pPr>
      <w:r>
        <w:rPr>
          <w:rFonts w:hint="eastAsia" w:ascii="楷体_GB2312" w:hAnsi="楷体_GB2312" w:eastAsia="楷体_GB2312" w:cs="楷体_GB2312"/>
          <w:b/>
          <w:bCs w:val="0"/>
          <w:sz w:val="32"/>
          <w:szCs w:val="32"/>
          <w:highlight w:val="none"/>
        </w:rPr>
        <w:t>（一）组织绩效</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eastAsia="仿宋_GB2312"/>
          <w:b w:val="0"/>
          <w:bCs/>
          <w:sz w:val="32"/>
          <w:szCs w:val="32"/>
          <w:highlight w:val="none"/>
        </w:rPr>
      </w:pPr>
      <w:r>
        <w:rPr>
          <w:rFonts w:hint="eastAsia" w:ascii="仿宋_GB2312" w:eastAsia="仿宋_GB2312"/>
          <w:b w:val="0"/>
          <w:bCs/>
          <w:sz w:val="32"/>
          <w:szCs w:val="32"/>
          <w:highlight w:val="none"/>
        </w:rPr>
        <w:t>组织绩效指标为定量的经济指标，主要包括所在公司营业收入、利润总额、人工成本利润率、期间费用率、应收账款周转率、存货周转率等指标，指标得分上不封顶。</w:t>
      </w:r>
    </w:p>
    <w:tbl>
      <w:tblPr>
        <w:tblStyle w:val="21"/>
        <w:tblpPr w:leftFromText="180" w:rightFromText="180" w:vertAnchor="text" w:horzAnchor="page" w:tblpX="742" w:tblpY="122"/>
        <w:tblOverlap w:val="never"/>
        <w:tblW w:w="586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09"/>
        <w:gridCol w:w="679"/>
        <w:gridCol w:w="623"/>
        <w:gridCol w:w="641"/>
        <w:gridCol w:w="701"/>
        <w:gridCol w:w="638"/>
        <w:gridCol w:w="624"/>
        <w:gridCol w:w="650"/>
        <w:gridCol w:w="740"/>
        <w:gridCol w:w="533"/>
        <w:gridCol w:w="650"/>
        <w:gridCol w:w="650"/>
        <w:gridCol w:w="637"/>
        <w:gridCol w:w="676"/>
        <w:gridCol w:w="727"/>
        <w:gridCol w:w="65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380"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kern w:val="0"/>
                <w:sz w:val="21"/>
                <w:szCs w:val="21"/>
                <w:highlight w:val="none"/>
                <w:u w:val="none"/>
                <w:lang w:val="en-US" w:eastAsia="zh-CN" w:bidi="ar"/>
              </w:rPr>
            </w:pPr>
            <w:r>
              <w:rPr>
                <w:rFonts w:hint="eastAsia" w:ascii="仿宋_GB2312" w:hAnsi="仿宋_GB2312" w:eastAsia="仿宋_GB2312" w:cs="仿宋_GB2312"/>
                <w:b/>
                <w:bCs/>
                <w:i w:val="0"/>
                <w:iCs w:val="0"/>
                <w:color w:val="auto"/>
                <w:kern w:val="0"/>
                <w:sz w:val="21"/>
                <w:szCs w:val="21"/>
                <w:highlight w:val="none"/>
                <w:u w:val="none"/>
                <w:lang w:val="en-US" w:eastAsia="zh-CN" w:bidi="ar"/>
              </w:rPr>
              <w:t>公司</w:t>
            </w:r>
          </w:p>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bidi="ar"/>
              </w:rPr>
              <w:t>名称</w:t>
            </w:r>
          </w:p>
        </w:tc>
        <w:tc>
          <w:tcPr>
            <w:tcW w:w="319" w:type="pct"/>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bCs/>
                <w:color w:val="auto"/>
                <w:sz w:val="21"/>
                <w:szCs w:val="21"/>
                <w:highlight w:val="none"/>
                <w:lang w:val="en-US" w:eastAsia="zh-CN" w:bidi="ar"/>
              </w:rPr>
            </w:pPr>
            <w:r>
              <w:rPr>
                <w:rStyle w:val="45"/>
                <w:rFonts w:hint="eastAsia" w:ascii="仿宋_GB2312" w:hAnsi="仿宋_GB2312" w:eastAsia="仿宋_GB2312" w:cs="仿宋_GB2312"/>
                <w:b/>
                <w:bCs/>
                <w:color w:val="auto"/>
                <w:sz w:val="21"/>
                <w:szCs w:val="21"/>
                <w:highlight w:val="none"/>
                <w:lang w:val="en-US" w:eastAsia="zh-CN" w:bidi="ar"/>
              </w:rPr>
              <w:t>权重</w:t>
            </w:r>
          </w:p>
        </w:tc>
        <w:tc>
          <w:tcPr>
            <w:tcW w:w="594"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bCs/>
                <w:color w:val="auto"/>
                <w:sz w:val="21"/>
                <w:szCs w:val="21"/>
                <w:highlight w:val="none"/>
                <w:lang w:val="en-US" w:eastAsia="zh-CN" w:bidi="ar"/>
              </w:rPr>
            </w:pPr>
            <w:r>
              <w:rPr>
                <w:rStyle w:val="45"/>
                <w:rFonts w:hint="eastAsia" w:ascii="仿宋_GB2312" w:hAnsi="仿宋_GB2312" w:eastAsia="仿宋_GB2312" w:cs="仿宋_GB2312"/>
                <w:b/>
                <w:bCs/>
                <w:color w:val="auto"/>
                <w:sz w:val="21"/>
                <w:szCs w:val="21"/>
                <w:highlight w:val="none"/>
                <w:lang w:val="en-US" w:eastAsia="zh-CN" w:bidi="ar"/>
              </w:rPr>
              <w:t>营业收入</w:t>
            </w:r>
          </w:p>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bidi="ar"/>
              </w:rPr>
              <w:t>(万元)</w:t>
            </w:r>
          </w:p>
        </w:tc>
        <w:tc>
          <w:tcPr>
            <w:tcW w:w="629"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5"/>
                <w:rFonts w:hint="eastAsia" w:ascii="仿宋_GB2312" w:hAnsi="仿宋_GB2312" w:eastAsia="仿宋_GB2312" w:cs="仿宋_GB2312"/>
                <w:b/>
                <w:bCs/>
                <w:color w:val="auto"/>
                <w:sz w:val="21"/>
                <w:szCs w:val="21"/>
                <w:highlight w:val="none"/>
                <w:lang w:val="en-US" w:eastAsia="zh-CN" w:bidi="ar"/>
              </w:rPr>
              <w:t>利润总额(万元)</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bCs/>
                <w:color w:val="auto"/>
                <w:sz w:val="21"/>
                <w:szCs w:val="21"/>
                <w:highlight w:val="none"/>
                <w:lang w:val="en-US" w:eastAsia="zh-CN" w:bidi="ar"/>
              </w:rPr>
            </w:pPr>
            <w:r>
              <w:rPr>
                <w:rStyle w:val="45"/>
                <w:rFonts w:hint="eastAsia" w:ascii="仿宋_GB2312" w:hAnsi="仿宋_GB2312" w:eastAsia="仿宋_GB2312" w:cs="仿宋_GB2312"/>
                <w:b/>
                <w:bCs/>
                <w:color w:val="auto"/>
                <w:sz w:val="21"/>
                <w:szCs w:val="21"/>
                <w:highlight w:val="none"/>
                <w:lang w:val="en-US" w:eastAsia="zh-CN" w:bidi="ar"/>
              </w:rPr>
              <w:t>在绵产值/营收(万元)</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bCs/>
                <w:color w:val="auto"/>
                <w:sz w:val="21"/>
                <w:szCs w:val="21"/>
                <w:highlight w:val="none"/>
                <w:lang w:val="en-US" w:eastAsia="zh-CN" w:bidi="ar"/>
              </w:rPr>
            </w:pPr>
            <w:r>
              <w:rPr>
                <w:rStyle w:val="45"/>
                <w:rFonts w:hint="eastAsia" w:ascii="仿宋_GB2312" w:hAnsi="仿宋_GB2312" w:eastAsia="仿宋_GB2312" w:cs="仿宋_GB2312"/>
                <w:b/>
                <w:bCs/>
                <w:color w:val="auto"/>
                <w:sz w:val="21"/>
                <w:szCs w:val="21"/>
                <w:highlight w:val="none"/>
                <w:lang w:val="en-US" w:eastAsia="zh-CN" w:bidi="ar"/>
              </w:rPr>
              <w:t>人工成本</w:t>
            </w:r>
          </w:p>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5"/>
                <w:rFonts w:hint="eastAsia" w:ascii="仿宋_GB2312" w:hAnsi="仿宋_GB2312" w:eastAsia="仿宋_GB2312" w:cs="仿宋_GB2312"/>
                <w:b/>
                <w:bCs/>
                <w:color w:val="auto"/>
                <w:sz w:val="21"/>
                <w:szCs w:val="21"/>
                <w:highlight w:val="none"/>
                <w:lang w:val="en-US" w:eastAsia="zh-CN" w:bidi="ar"/>
              </w:rPr>
              <w:t>利润率</w:t>
            </w:r>
          </w:p>
        </w:tc>
        <w:tc>
          <w:tcPr>
            <w:tcW w:w="611"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bCs/>
                <w:color w:val="auto"/>
                <w:sz w:val="21"/>
                <w:szCs w:val="21"/>
                <w:highlight w:val="none"/>
                <w:lang w:val="en-US" w:eastAsia="zh-CN" w:bidi="ar"/>
              </w:rPr>
            </w:pPr>
            <w:r>
              <w:rPr>
                <w:rStyle w:val="45"/>
                <w:rFonts w:hint="eastAsia" w:ascii="仿宋_GB2312" w:hAnsi="仿宋_GB2312" w:eastAsia="仿宋_GB2312" w:cs="仿宋_GB2312"/>
                <w:b/>
                <w:bCs/>
                <w:color w:val="auto"/>
                <w:sz w:val="21"/>
                <w:szCs w:val="21"/>
                <w:highlight w:val="none"/>
                <w:lang w:val="en-US" w:eastAsia="zh-CN" w:bidi="ar"/>
              </w:rPr>
              <w:t>人均利润</w:t>
            </w:r>
          </w:p>
        </w:tc>
        <w:tc>
          <w:tcPr>
            <w:tcW w:w="617"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5"/>
                <w:rFonts w:hint="eastAsia" w:ascii="仿宋_GB2312" w:hAnsi="仿宋_GB2312" w:eastAsia="仿宋_GB2312" w:cs="仿宋_GB2312"/>
                <w:b/>
                <w:bCs/>
                <w:color w:val="auto"/>
                <w:sz w:val="21"/>
                <w:szCs w:val="21"/>
                <w:highlight w:val="none"/>
                <w:lang w:val="en-US" w:eastAsia="zh-CN" w:bidi="ar"/>
              </w:rPr>
              <w:t>期间费用率</w:t>
            </w:r>
          </w:p>
        </w:tc>
        <w:tc>
          <w:tcPr>
            <w:tcW w:w="65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Cs/>
                <w:color w:val="auto"/>
                <w:sz w:val="21"/>
                <w:szCs w:val="21"/>
                <w:highlight w:val="none"/>
                <w:vertAlign w:val="baseline"/>
                <w:lang w:val="en-US" w:eastAsia="zh-CN"/>
              </w:rPr>
            </w:pPr>
            <w:r>
              <w:rPr>
                <w:rStyle w:val="45"/>
                <w:b/>
                <w:color w:val="auto"/>
                <w:sz w:val="21"/>
                <w:szCs w:val="21"/>
                <w:lang w:bidi="ar"/>
              </w:rPr>
              <w:t>两金周转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1" w:hRule="atLeast"/>
        </w:trPr>
        <w:tc>
          <w:tcPr>
            <w:tcW w:w="380" w:type="pct"/>
            <w:vMerge w:val="continue"/>
            <w:tcBorders>
              <w:top w:val="single" w:color="000000" w:sz="4" w:space="0"/>
              <w:left w:val="single" w:color="000000" w:sz="4" w:space="0"/>
              <w:bottom w:val="single" w:color="auto" w:sz="4" w:space="0"/>
              <w:right w:val="single" w:color="000000" w:sz="4" w:space="0"/>
            </w:tcBorders>
            <w:noWrap/>
            <w:vAlign w:val="center"/>
          </w:tcPr>
          <w:p>
            <w:pPr>
              <w:keepNext w:val="0"/>
              <w:keepLines w:val="0"/>
              <w:pageBreakBefore w:val="0"/>
              <w:kinsoku/>
              <w:wordWrap/>
              <w:overflowPunct/>
              <w:topLinePunct w:val="0"/>
              <w:autoSpaceDE/>
              <w:autoSpaceDN/>
              <w:bidi w:val="0"/>
              <w:spacing w:line="240" w:lineRule="exact"/>
              <w:jc w:val="center"/>
              <w:rPr>
                <w:rFonts w:hint="eastAsia" w:ascii="仿宋_GB2312" w:hAnsi="仿宋_GB2312" w:eastAsia="仿宋_GB2312" w:cs="仿宋_GB2312"/>
                <w:b/>
                <w:bCs/>
                <w:i w:val="0"/>
                <w:iCs w:val="0"/>
                <w:color w:val="auto"/>
                <w:sz w:val="21"/>
                <w:szCs w:val="21"/>
                <w:highlight w:val="none"/>
                <w:u w:val="none"/>
              </w:rPr>
            </w:pPr>
          </w:p>
        </w:tc>
        <w:tc>
          <w:tcPr>
            <w:tcW w:w="319" w:type="pct"/>
            <w:vMerge w:val="continue"/>
            <w:tcBorders>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kern w:val="0"/>
                <w:sz w:val="21"/>
                <w:szCs w:val="21"/>
                <w:highlight w:val="none"/>
                <w:u w:val="none"/>
                <w:lang w:val="en-US" w:eastAsia="zh-CN" w:bidi="ar"/>
              </w:rPr>
            </w:pPr>
          </w:p>
        </w:tc>
        <w:tc>
          <w:tcPr>
            <w:tcW w:w="2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bidi="ar"/>
              </w:rPr>
              <w:t>目标</w:t>
            </w:r>
          </w:p>
        </w:tc>
        <w:tc>
          <w:tcPr>
            <w:tcW w:w="3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5"/>
                <w:rFonts w:hint="eastAsia" w:ascii="仿宋_GB2312" w:hAnsi="仿宋_GB2312" w:eastAsia="仿宋_GB2312" w:cs="仿宋_GB2312"/>
                <w:b/>
                <w:bCs/>
                <w:color w:val="auto"/>
                <w:sz w:val="21"/>
                <w:szCs w:val="21"/>
                <w:highlight w:val="none"/>
                <w:lang w:val="en-US" w:eastAsia="zh-CN" w:bidi="ar"/>
              </w:rPr>
              <w:t>权重</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5"/>
                <w:rFonts w:hint="eastAsia" w:ascii="仿宋_GB2312" w:hAnsi="仿宋_GB2312" w:eastAsia="仿宋_GB2312" w:cs="仿宋_GB2312"/>
                <w:b/>
                <w:bCs/>
                <w:color w:val="auto"/>
                <w:sz w:val="21"/>
                <w:szCs w:val="21"/>
                <w:highlight w:val="none"/>
                <w:lang w:val="en-US" w:eastAsia="zh-CN" w:bidi="ar"/>
              </w:rPr>
              <w:t>目标</w:t>
            </w:r>
          </w:p>
        </w:tc>
        <w:tc>
          <w:tcPr>
            <w:tcW w:w="2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5"/>
                <w:rFonts w:hint="eastAsia" w:ascii="仿宋_GB2312" w:hAnsi="仿宋_GB2312" w:eastAsia="仿宋_GB2312" w:cs="仿宋_GB2312"/>
                <w:b/>
                <w:bCs/>
                <w:color w:val="auto"/>
                <w:sz w:val="21"/>
                <w:szCs w:val="21"/>
                <w:highlight w:val="none"/>
                <w:lang w:val="en-US" w:eastAsia="zh-CN" w:bidi="ar"/>
              </w:rPr>
              <w:t>权重</w:t>
            </w:r>
          </w:p>
        </w:tc>
        <w:tc>
          <w:tcPr>
            <w:tcW w:w="29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bCs/>
                <w:color w:val="auto"/>
                <w:sz w:val="21"/>
                <w:szCs w:val="21"/>
                <w:highlight w:val="none"/>
                <w:lang w:val="en-US" w:eastAsia="zh-CN" w:bidi="ar-SA"/>
              </w:rPr>
            </w:pPr>
            <w:r>
              <w:rPr>
                <w:rStyle w:val="45"/>
                <w:rFonts w:hint="eastAsia" w:ascii="仿宋_GB2312" w:hAnsi="仿宋_GB2312" w:eastAsia="仿宋_GB2312" w:cs="仿宋_GB2312"/>
                <w:b/>
                <w:bCs/>
                <w:color w:val="auto"/>
                <w:sz w:val="21"/>
                <w:szCs w:val="21"/>
                <w:highlight w:val="none"/>
                <w:lang w:val="en-US" w:eastAsia="zh-CN" w:bidi="ar"/>
              </w:rPr>
              <w:t>目标</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bCs/>
                <w:color w:val="auto"/>
                <w:sz w:val="21"/>
                <w:szCs w:val="21"/>
                <w:highlight w:val="none"/>
                <w:lang w:val="en-US" w:eastAsia="zh-CN" w:bidi="ar-SA"/>
              </w:rPr>
            </w:pPr>
            <w:r>
              <w:rPr>
                <w:rStyle w:val="45"/>
                <w:rFonts w:hint="eastAsia" w:ascii="仿宋_GB2312" w:hAnsi="仿宋_GB2312" w:eastAsia="仿宋_GB2312" w:cs="仿宋_GB2312"/>
                <w:b/>
                <w:bCs/>
                <w:color w:val="auto"/>
                <w:sz w:val="21"/>
                <w:szCs w:val="21"/>
                <w:highlight w:val="none"/>
                <w:lang w:val="en-US" w:eastAsia="zh-CN" w:bidi="ar"/>
              </w:rPr>
              <w:t>权重</w:t>
            </w:r>
          </w:p>
        </w:tc>
        <w:tc>
          <w:tcPr>
            <w:tcW w:w="3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5"/>
                <w:rFonts w:hint="eastAsia" w:ascii="仿宋_GB2312" w:hAnsi="仿宋_GB2312" w:eastAsia="仿宋_GB2312" w:cs="仿宋_GB2312"/>
                <w:b/>
                <w:bCs/>
                <w:color w:val="auto"/>
                <w:sz w:val="21"/>
                <w:szCs w:val="21"/>
                <w:highlight w:val="none"/>
                <w:lang w:val="en-US" w:eastAsia="zh-CN" w:bidi="ar"/>
              </w:rPr>
              <w:t>目标</w:t>
            </w:r>
          </w:p>
        </w:tc>
        <w:tc>
          <w:tcPr>
            <w:tcW w:w="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5"/>
                <w:rFonts w:hint="eastAsia" w:ascii="仿宋_GB2312" w:hAnsi="仿宋_GB2312" w:eastAsia="仿宋_GB2312" w:cs="仿宋_GB2312"/>
                <w:b/>
                <w:bCs/>
                <w:color w:val="auto"/>
                <w:sz w:val="21"/>
                <w:szCs w:val="21"/>
                <w:highlight w:val="none"/>
                <w:lang w:val="en-US" w:eastAsia="zh-CN" w:bidi="ar"/>
              </w:rPr>
              <w:t>权重</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bCs/>
                <w:color w:val="auto"/>
                <w:sz w:val="21"/>
                <w:szCs w:val="21"/>
                <w:highlight w:val="none"/>
                <w:lang w:val="en-US" w:eastAsia="zh-CN" w:bidi="ar"/>
              </w:rPr>
            </w:pPr>
            <w:r>
              <w:rPr>
                <w:rStyle w:val="45"/>
                <w:rFonts w:hint="eastAsia" w:ascii="仿宋_GB2312" w:hAnsi="仿宋_GB2312" w:eastAsia="仿宋_GB2312" w:cs="仿宋_GB2312"/>
                <w:b/>
                <w:bCs/>
                <w:color w:val="auto"/>
                <w:sz w:val="21"/>
                <w:szCs w:val="21"/>
                <w:highlight w:val="none"/>
                <w:lang w:val="en-US" w:eastAsia="zh-CN" w:bidi="ar"/>
              </w:rPr>
              <w:t>目标</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bCs/>
                <w:color w:val="auto"/>
                <w:sz w:val="21"/>
                <w:szCs w:val="21"/>
                <w:highlight w:val="none"/>
                <w:lang w:val="en-US" w:eastAsia="zh-CN" w:bidi="ar"/>
              </w:rPr>
            </w:pPr>
            <w:r>
              <w:rPr>
                <w:rStyle w:val="45"/>
                <w:rFonts w:hint="eastAsia" w:ascii="仿宋_GB2312" w:hAnsi="仿宋_GB2312" w:eastAsia="仿宋_GB2312" w:cs="仿宋_GB2312"/>
                <w:b/>
                <w:bCs/>
                <w:color w:val="auto"/>
                <w:sz w:val="21"/>
                <w:szCs w:val="21"/>
                <w:highlight w:val="none"/>
                <w:lang w:val="en-US" w:eastAsia="zh-CN" w:bidi="ar"/>
              </w:rPr>
              <w:t>权重</w:t>
            </w:r>
          </w:p>
        </w:tc>
        <w:tc>
          <w:tcPr>
            <w:tcW w:w="2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5"/>
                <w:rFonts w:hint="eastAsia" w:ascii="仿宋_GB2312" w:hAnsi="仿宋_GB2312" w:eastAsia="仿宋_GB2312" w:cs="仿宋_GB2312"/>
                <w:b/>
                <w:bCs/>
                <w:color w:val="auto"/>
                <w:sz w:val="21"/>
                <w:szCs w:val="21"/>
                <w:highlight w:val="none"/>
                <w:lang w:val="en-US" w:eastAsia="zh-CN" w:bidi="ar"/>
              </w:rPr>
              <w:t>目标</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5"/>
                <w:rFonts w:hint="eastAsia" w:ascii="仿宋_GB2312" w:hAnsi="仿宋_GB2312" w:eastAsia="仿宋_GB2312" w:cs="仿宋_GB2312"/>
                <w:b/>
                <w:bCs/>
                <w:color w:val="auto"/>
                <w:sz w:val="21"/>
                <w:szCs w:val="21"/>
                <w:highlight w:val="none"/>
                <w:lang w:val="en-US" w:eastAsia="zh-CN" w:bidi="ar"/>
              </w:rPr>
              <w:t>权重</w:t>
            </w:r>
          </w:p>
        </w:tc>
        <w:tc>
          <w:tcPr>
            <w:tcW w:w="34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bidi="ar"/>
              </w:rPr>
              <w:t>目标</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bCs/>
                <w:color w:val="auto"/>
                <w:sz w:val="21"/>
                <w:szCs w:val="21"/>
                <w:highlight w:val="none"/>
                <w:lang w:val="en-US" w:eastAsia="zh-CN" w:bidi="ar"/>
              </w:rPr>
            </w:pPr>
            <w:r>
              <w:rPr>
                <w:rStyle w:val="45"/>
                <w:rFonts w:hint="eastAsia" w:ascii="仿宋_GB2312" w:hAnsi="仿宋_GB2312" w:eastAsia="仿宋_GB2312" w:cs="仿宋_GB2312"/>
                <w:b/>
                <w:bCs/>
                <w:color w:val="auto"/>
                <w:sz w:val="21"/>
                <w:szCs w:val="21"/>
                <w:highlight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380" w:type="pct"/>
            <w:tcBorders>
              <w:top w:val="single" w:color="auto" w:sz="4" w:space="0"/>
              <w:left w:val="single" w:color="000000" w:sz="4" w:space="0"/>
              <w:bottom w:val="single" w:color="000000" w:sz="4" w:space="0"/>
              <w:right w:val="single" w:color="000000" w:sz="4" w:space="0"/>
            </w:tcBorders>
            <w:noWrap/>
            <w:vAlign w:val="center"/>
          </w:tcPr>
          <w:p>
            <w:pPr>
              <w:pStyle w:val="46"/>
              <w:keepNext w:val="0"/>
              <w:keepLines w:val="0"/>
              <w:pageBreakBefore w:val="0"/>
              <w:widowControl w:val="0"/>
              <w:kinsoku/>
              <w:wordWrap/>
              <w:overflowPunct/>
              <w:topLinePunct w:val="0"/>
              <w:autoSpaceDE/>
              <w:autoSpaceDN/>
              <w:bidi w:val="0"/>
              <w:adjustRightInd/>
              <w:snapToGrid/>
              <w:spacing w:line="240" w:lineRule="exact"/>
              <w:ind w:left="0" w:leftChars="0"/>
              <w:jc w:val="center"/>
              <w:textAlignment w:val="auto"/>
              <w:rPr>
                <w:rFonts w:hint="eastAsia" w:ascii="仿宋_GB2312" w:hAnsi="仿宋_GB2312" w:eastAsia="仿宋_GB2312" w:cs="仿宋_GB2312"/>
                <w:b/>
                <w:bCs/>
                <w:i w:val="0"/>
                <w:iCs w:val="0"/>
                <w:color w:val="auto"/>
                <w:sz w:val="20"/>
                <w:szCs w:val="20"/>
                <w:highlight w:val="none"/>
                <w:u w:val="none"/>
                <w:lang w:val="en-US" w:eastAsia="zh-CN"/>
              </w:rPr>
            </w:pPr>
            <w:r>
              <w:rPr>
                <w:rFonts w:hint="eastAsia" w:ascii="仿宋_GB2312" w:hAnsi="仿宋_GB2312" w:eastAsia="仿宋_GB2312" w:cs="仿宋_GB2312"/>
                <w:b/>
                <w:bCs/>
                <w:i w:val="0"/>
                <w:iCs w:val="0"/>
                <w:color w:val="auto"/>
                <w:sz w:val="20"/>
                <w:szCs w:val="20"/>
                <w:highlight w:val="none"/>
                <w:u w:val="none"/>
                <w:lang w:val="en-US" w:eastAsia="zh-CN"/>
              </w:rPr>
              <w:t>九洲</w:t>
            </w:r>
          </w:p>
          <w:p>
            <w:pPr>
              <w:pStyle w:val="46"/>
              <w:keepNext w:val="0"/>
              <w:keepLines w:val="0"/>
              <w:pageBreakBefore w:val="0"/>
              <w:widowControl w:val="0"/>
              <w:kinsoku/>
              <w:wordWrap/>
              <w:overflowPunct/>
              <w:topLinePunct w:val="0"/>
              <w:autoSpaceDE/>
              <w:autoSpaceDN/>
              <w:bidi w:val="0"/>
              <w:adjustRightInd/>
              <w:snapToGrid/>
              <w:spacing w:line="240" w:lineRule="exact"/>
              <w:ind w:left="0" w:leftChars="0"/>
              <w:jc w:val="center"/>
              <w:textAlignment w:val="auto"/>
              <w:rPr>
                <w:rFonts w:hint="default" w:ascii="仿宋_GB2312" w:hAnsi="仿宋_GB2312" w:eastAsia="仿宋_GB2312" w:cs="仿宋_GB2312"/>
                <w:b/>
                <w:bCs/>
                <w:i w:val="0"/>
                <w:iCs w:val="0"/>
                <w:color w:val="auto"/>
                <w:sz w:val="20"/>
                <w:szCs w:val="20"/>
                <w:highlight w:val="none"/>
                <w:u w:val="none"/>
                <w:lang w:val="en-US" w:eastAsia="zh-CN"/>
              </w:rPr>
            </w:pPr>
            <w:r>
              <w:rPr>
                <w:rFonts w:hint="eastAsia" w:ascii="仿宋_GB2312" w:hAnsi="仿宋_GB2312" w:eastAsia="仿宋_GB2312" w:cs="仿宋_GB2312"/>
                <w:b/>
                <w:bCs/>
                <w:i w:val="0"/>
                <w:iCs w:val="0"/>
                <w:color w:val="auto"/>
                <w:sz w:val="20"/>
                <w:szCs w:val="20"/>
                <w:highlight w:val="none"/>
                <w:u w:val="none"/>
                <w:lang w:val="en-US" w:eastAsia="zh-CN"/>
              </w:rPr>
              <w:t>千城</w:t>
            </w:r>
          </w:p>
        </w:tc>
        <w:tc>
          <w:tcPr>
            <w:tcW w:w="319" w:type="pct"/>
            <w:tcBorders>
              <w:top w:val="single" w:color="auto" w:sz="4" w:space="0"/>
              <w:left w:val="single" w:color="000000" w:sz="4" w:space="0"/>
              <w:bottom w:val="single" w:color="auto" w:sz="4" w:space="0"/>
              <w:right w:val="single" w:color="000000" w:sz="4" w:space="0"/>
            </w:tcBorders>
            <w:noWrap w:val="0"/>
            <w:vAlign w:val="center"/>
          </w:tcPr>
          <w:p>
            <w:pPr>
              <w:pStyle w:val="46"/>
              <w:keepNext w:val="0"/>
              <w:keepLines w:val="0"/>
              <w:pageBreakBefore w:val="0"/>
              <w:widowControl w:val="0"/>
              <w:kinsoku/>
              <w:wordWrap/>
              <w:overflowPunct/>
              <w:topLinePunct w:val="0"/>
              <w:autoSpaceDE/>
              <w:autoSpaceDN/>
              <w:bidi w:val="0"/>
              <w:adjustRightInd/>
              <w:snapToGrid/>
              <w:spacing w:line="240" w:lineRule="exact"/>
              <w:ind w:left="0" w:leftChars="0"/>
              <w:jc w:val="center"/>
              <w:textAlignment w:val="auto"/>
              <w:rPr>
                <w:rFonts w:hint="default" w:ascii="仿宋_GB2312" w:hAnsi="仿宋_GB2312" w:eastAsia="仿宋_GB2312" w:cs="仿宋_GB2312"/>
                <w:b/>
                <w:bCs/>
                <w:i w:val="0"/>
                <w:iCs w:val="0"/>
                <w:color w:val="auto"/>
                <w:kern w:val="0"/>
                <w:sz w:val="21"/>
                <w:szCs w:val="21"/>
                <w:highlight w:val="none"/>
                <w:u w:val="none"/>
                <w:lang w:val="en-US" w:eastAsia="zh-CN" w:bidi="ar"/>
              </w:rPr>
            </w:pPr>
            <w:r>
              <w:rPr>
                <w:rStyle w:val="45"/>
                <w:rFonts w:hint="eastAsia" w:hAnsi="仿宋_GB2312"/>
                <w:b w:val="0"/>
                <w:bCs w:val="0"/>
                <w:color w:val="auto"/>
                <w:kern w:val="2"/>
                <w:sz w:val="21"/>
                <w:szCs w:val="21"/>
                <w:highlight w:val="none"/>
                <w:lang w:val="en-US" w:eastAsia="zh-CN" w:bidi="ar"/>
              </w:rPr>
              <w:t>100%</w:t>
            </w:r>
          </w:p>
        </w:tc>
        <w:tc>
          <w:tcPr>
            <w:tcW w:w="292" w:type="pct"/>
            <w:tcBorders>
              <w:top w:val="single" w:color="000000" w:sz="4" w:space="0"/>
              <w:left w:val="single" w:color="000000" w:sz="4" w:space="0"/>
              <w:bottom w:val="single" w:color="000000" w:sz="4" w:space="0"/>
              <w:right w:val="single" w:color="000000" w:sz="4" w:space="0"/>
            </w:tcBorders>
            <w:noWrap w:val="0"/>
            <w:vAlign w:val="center"/>
          </w:tcPr>
          <w:p>
            <w:pPr>
              <w:pStyle w:val="46"/>
              <w:keepNext w:val="0"/>
              <w:keepLines w:val="0"/>
              <w:pageBreakBefore w:val="0"/>
              <w:widowControl w:val="0"/>
              <w:kinsoku/>
              <w:wordWrap/>
              <w:overflowPunct/>
              <w:topLinePunct w:val="0"/>
              <w:autoSpaceDE/>
              <w:autoSpaceDN/>
              <w:bidi w:val="0"/>
              <w:adjustRightInd/>
              <w:snapToGrid/>
              <w:spacing w:line="240" w:lineRule="exact"/>
              <w:ind w:left="0" w:leftChars="0"/>
              <w:jc w:val="center"/>
              <w:textAlignment w:val="auto"/>
              <w:rPr>
                <w:rFonts w:hint="eastAsia" w:ascii="仿宋_GB2312" w:hAnsi="仿宋_GB2312" w:eastAsia="仿宋_GB2312" w:cs="仿宋_GB2312"/>
                <w:b/>
                <w:bCs/>
                <w:i w:val="0"/>
                <w:iCs w:val="0"/>
                <w:color w:val="auto"/>
                <w:kern w:val="0"/>
                <w:sz w:val="21"/>
                <w:szCs w:val="21"/>
                <w:highlight w:val="none"/>
                <w:u w:val="none"/>
                <w:lang w:val="en-US" w:eastAsia="zh-CN" w:bidi="ar"/>
              </w:rPr>
            </w:pPr>
            <w:r>
              <w:rPr>
                <w:rFonts w:hint="eastAsia" w:ascii="仿宋_GB2312" w:hAnsi="仿宋_GB2312" w:eastAsia="仿宋_GB2312" w:cs="仿宋_GB2312"/>
                <w:spacing w:val="-2"/>
                <w:sz w:val="21"/>
                <w:szCs w:val="21"/>
              </w:rPr>
              <w:t>220000</w:t>
            </w:r>
          </w:p>
        </w:tc>
        <w:tc>
          <w:tcPr>
            <w:tcW w:w="301" w:type="pct"/>
            <w:tcBorders>
              <w:top w:val="single" w:color="000000" w:sz="4" w:space="0"/>
              <w:left w:val="single" w:color="000000" w:sz="4" w:space="0"/>
              <w:bottom w:val="single" w:color="000000" w:sz="4" w:space="0"/>
              <w:right w:val="single" w:color="000000" w:sz="4" w:space="0"/>
            </w:tcBorders>
            <w:noWrap w:val="0"/>
            <w:vAlign w:val="center"/>
          </w:tcPr>
          <w:p>
            <w:pPr>
              <w:pStyle w:val="46"/>
              <w:keepNext w:val="0"/>
              <w:keepLines w:val="0"/>
              <w:pageBreakBefore w:val="0"/>
              <w:widowControl w:val="0"/>
              <w:kinsoku/>
              <w:wordWrap/>
              <w:overflowPunct/>
              <w:topLinePunct w:val="0"/>
              <w:autoSpaceDE/>
              <w:autoSpaceDN/>
              <w:bidi w:val="0"/>
              <w:adjustRightInd/>
              <w:snapToGrid/>
              <w:spacing w:line="240" w:lineRule="exact"/>
              <w:ind w:left="0" w:leftChars="0"/>
              <w:jc w:val="center"/>
              <w:textAlignment w:val="auto"/>
              <w:rPr>
                <w:rStyle w:val="45"/>
                <w:rFonts w:hint="default" w:ascii="仿宋_GB2312" w:hAnsi="仿宋_GB2312" w:eastAsia="仿宋_GB2312" w:cs="仿宋_GB2312"/>
                <w:b/>
                <w:bCs/>
                <w:color w:val="auto"/>
                <w:sz w:val="21"/>
                <w:szCs w:val="21"/>
                <w:highlight w:val="none"/>
                <w:lang w:val="en-US" w:eastAsia="zh-CN" w:bidi="ar"/>
              </w:rPr>
            </w:pPr>
            <w:r>
              <w:rPr>
                <w:rStyle w:val="45"/>
                <w:rFonts w:hint="eastAsia" w:hAnsi="仿宋_GB2312"/>
                <w:b w:val="0"/>
                <w:bCs w:val="0"/>
                <w:color w:val="auto"/>
                <w:kern w:val="2"/>
                <w:sz w:val="21"/>
                <w:szCs w:val="21"/>
                <w:highlight w:val="none"/>
                <w:lang w:val="en-US" w:eastAsia="zh-CN" w:bidi="ar"/>
              </w:rPr>
              <w:t>20%</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pPr>
              <w:pStyle w:val="46"/>
              <w:keepNext w:val="0"/>
              <w:keepLines w:val="0"/>
              <w:pageBreakBefore w:val="0"/>
              <w:widowControl w:val="0"/>
              <w:kinsoku/>
              <w:wordWrap/>
              <w:overflowPunct/>
              <w:topLinePunct w:val="0"/>
              <w:autoSpaceDE/>
              <w:autoSpaceDN/>
              <w:bidi w:val="0"/>
              <w:adjustRightInd/>
              <w:snapToGrid/>
              <w:spacing w:line="240" w:lineRule="exact"/>
              <w:ind w:left="0" w:leftChars="0"/>
              <w:jc w:val="center"/>
              <w:textAlignment w:val="auto"/>
              <w:rPr>
                <w:rStyle w:val="45"/>
                <w:rFonts w:hint="eastAsia" w:ascii="仿宋_GB2312" w:hAnsi="仿宋_GB2312" w:eastAsia="仿宋_GB2312" w:cs="仿宋_GB2312"/>
                <w:b/>
                <w:bCs/>
                <w:color w:val="auto"/>
                <w:sz w:val="21"/>
                <w:szCs w:val="21"/>
                <w:highlight w:val="none"/>
                <w:lang w:val="en-US" w:eastAsia="zh-CN" w:bidi="ar"/>
              </w:rPr>
            </w:pPr>
            <w:r>
              <w:rPr>
                <w:rFonts w:hint="eastAsia" w:ascii="仿宋_GB2312" w:hAnsi="仿宋_GB2312" w:eastAsia="仿宋_GB2312" w:cs="仿宋_GB2312"/>
                <w:spacing w:val="-4"/>
                <w:sz w:val="21"/>
                <w:szCs w:val="21"/>
              </w:rPr>
              <w:t>7000</w:t>
            </w:r>
          </w:p>
        </w:tc>
        <w:tc>
          <w:tcPr>
            <w:tcW w:w="299" w:type="pct"/>
            <w:tcBorders>
              <w:top w:val="single" w:color="000000" w:sz="4" w:space="0"/>
              <w:left w:val="single" w:color="000000" w:sz="4" w:space="0"/>
              <w:bottom w:val="single" w:color="000000" w:sz="4" w:space="0"/>
              <w:right w:val="single" w:color="000000" w:sz="4" w:space="0"/>
            </w:tcBorders>
            <w:noWrap w:val="0"/>
            <w:vAlign w:val="center"/>
          </w:tcPr>
          <w:p>
            <w:pPr>
              <w:pStyle w:val="46"/>
              <w:keepNext w:val="0"/>
              <w:keepLines w:val="0"/>
              <w:pageBreakBefore w:val="0"/>
              <w:widowControl w:val="0"/>
              <w:kinsoku/>
              <w:wordWrap/>
              <w:overflowPunct/>
              <w:topLinePunct w:val="0"/>
              <w:autoSpaceDE/>
              <w:autoSpaceDN/>
              <w:bidi w:val="0"/>
              <w:adjustRightInd/>
              <w:snapToGrid/>
              <w:spacing w:line="240" w:lineRule="exact"/>
              <w:ind w:left="0" w:leftChars="0"/>
              <w:jc w:val="center"/>
              <w:textAlignment w:val="auto"/>
              <w:rPr>
                <w:rStyle w:val="45"/>
                <w:rFonts w:hint="default" w:ascii="仿宋_GB2312" w:hAnsi="仿宋_GB2312" w:eastAsia="仿宋_GB2312" w:cs="仿宋_GB2312"/>
                <w:b/>
                <w:bCs/>
                <w:color w:val="auto"/>
                <w:sz w:val="21"/>
                <w:szCs w:val="21"/>
                <w:highlight w:val="none"/>
                <w:lang w:val="en-US" w:eastAsia="zh-CN" w:bidi="ar"/>
              </w:rPr>
            </w:pPr>
            <w:r>
              <w:rPr>
                <w:rStyle w:val="45"/>
                <w:rFonts w:hint="eastAsia" w:hAnsi="仿宋_GB2312"/>
                <w:b w:val="0"/>
                <w:bCs w:val="0"/>
                <w:color w:val="auto"/>
                <w:kern w:val="2"/>
                <w:sz w:val="21"/>
                <w:szCs w:val="21"/>
                <w:highlight w:val="none"/>
                <w:lang w:val="en-US" w:eastAsia="zh-CN" w:bidi="ar"/>
              </w:rPr>
              <w:t>50%</w:t>
            </w:r>
          </w:p>
        </w:tc>
        <w:tc>
          <w:tcPr>
            <w:tcW w:w="29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spacing w:val="-2"/>
                <w:kern w:val="2"/>
                <w:sz w:val="21"/>
                <w:szCs w:val="21"/>
                <w:lang w:val="en-US" w:eastAsia="zh-CN" w:bidi="ar-SA"/>
              </w:rPr>
            </w:pPr>
            <w:r>
              <w:rPr>
                <w:rFonts w:hint="eastAsia" w:ascii="仿宋_GB2312" w:hAnsi="仿宋_GB2312" w:eastAsia="仿宋_GB2312" w:cs="仿宋_GB2312"/>
                <w:spacing w:val="-2"/>
                <w:kern w:val="2"/>
                <w:sz w:val="21"/>
                <w:szCs w:val="21"/>
                <w:lang w:val="en-US" w:eastAsia="zh-CN" w:bidi="ar-SA"/>
              </w:rPr>
              <w:t>135</w:t>
            </w:r>
          </w:p>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default" w:ascii="仿宋_GB2312" w:hAnsi="仿宋_GB2312" w:eastAsia="仿宋_GB2312" w:cs="仿宋_GB2312"/>
                <w:b w:val="0"/>
                <w:bCs w:val="0"/>
                <w:color w:val="auto"/>
                <w:sz w:val="21"/>
                <w:szCs w:val="21"/>
                <w:highlight w:val="none"/>
                <w:lang w:val="en-US" w:eastAsia="zh-CN" w:bidi="ar"/>
              </w:rPr>
            </w:pPr>
            <w:r>
              <w:rPr>
                <w:rFonts w:hint="eastAsia" w:ascii="仿宋_GB2312" w:hAnsi="仿宋_GB2312" w:eastAsia="仿宋_GB2312" w:cs="仿宋_GB2312"/>
                <w:spacing w:val="-2"/>
                <w:kern w:val="2"/>
                <w:sz w:val="21"/>
                <w:szCs w:val="21"/>
                <w:lang w:val="en-US" w:eastAsia="zh-CN" w:bidi="ar-SA"/>
              </w:rPr>
              <w:t>98</w:t>
            </w:r>
            <w:r>
              <w:rPr>
                <w:rStyle w:val="45"/>
                <w:rFonts w:hint="eastAsia" w:ascii="仿宋_GB2312" w:hAnsi="仿宋_GB2312" w:eastAsia="仿宋_GB2312" w:cs="仿宋_GB2312"/>
                <w:b w:val="0"/>
                <w:bCs w:val="0"/>
                <w:color w:val="auto"/>
                <w:sz w:val="21"/>
                <w:szCs w:val="21"/>
                <w:highlight w:val="none"/>
                <w:lang w:val="en-US" w:eastAsia="zh-CN" w:bidi="ar"/>
              </w:rPr>
              <w:t>3</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default" w:ascii="仿宋_GB2312" w:hAnsi="仿宋_GB2312" w:eastAsia="仿宋_GB2312" w:cs="仿宋_GB2312"/>
                <w:b w:val="0"/>
                <w:bCs w:val="0"/>
                <w:color w:val="auto"/>
                <w:sz w:val="21"/>
                <w:szCs w:val="21"/>
                <w:highlight w:val="none"/>
                <w:lang w:val="en-US" w:eastAsia="zh-CN" w:bidi="ar"/>
              </w:rPr>
            </w:pPr>
            <w:r>
              <w:rPr>
                <w:rStyle w:val="45"/>
                <w:rFonts w:hint="eastAsia" w:ascii="仿宋_GB2312" w:hAnsi="仿宋_GB2312" w:eastAsia="仿宋_GB2312" w:cs="仿宋_GB2312"/>
                <w:b w:val="0"/>
                <w:bCs w:val="0"/>
                <w:color w:val="auto"/>
                <w:sz w:val="21"/>
                <w:szCs w:val="21"/>
                <w:highlight w:val="none"/>
                <w:lang w:val="en-US" w:eastAsia="zh-CN" w:bidi="ar"/>
              </w:rPr>
              <w:t>5%</w:t>
            </w:r>
          </w:p>
        </w:tc>
        <w:tc>
          <w:tcPr>
            <w:tcW w:w="3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val="0"/>
                <w:bCs w:val="0"/>
                <w:color w:val="auto"/>
                <w:sz w:val="21"/>
                <w:szCs w:val="21"/>
                <w:highlight w:val="none"/>
                <w:lang w:val="en-US" w:eastAsia="zh-CN" w:bidi="ar"/>
              </w:rPr>
            </w:pPr>
            <w:r>
              <w:rPr>
                <w:rFonts w:hint="eastAsia" w:ascii="仿宋_GB2312" w:hAnsi="仿宋_GB2312" w:eastAsia="仿宋_GB2312" w:cs="仿宋_GB2312"/>
                <w:spacing w:val="-5"/>
                <w:sz w:val="21"/>
                <w:szCs w:val="21"/>
              </w:rPr>
              <w:t>143.9%</w:t>
            </w:r>
          </w:p>
        </w:tc>
        <w:tc>
          <w:tcPr>
            <w:tcW w:w="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default" w:ascii="仿宋_GB2312" w:hAnsi="仿宋_GB2312" w:eastAsia="仿宋_GB2312" w:cs="仿宋_GB2312"/>
                <w:b w:val="0"/>
                <w:bCs w:val="0"/>
                <w:color w:val="auto"/>
                <w:sz w:val="21"/>
                <w:szCs w:val="21"/>
                <w:highlight w:val="none"/>
                <w:lang w:val="en-US" w:eastAsia="zh-CN" w:bidi="ar"/>
              </w:rPr>
            </w:pPr>
            <w:r>
              <w:rPr>
                <w:rStyle w:val="45"/>
                <w:rFonts w:hint="eastAsia" w:ascii="仿宋_GB2312" w:hAnsi="仿宋_GB2312" w:eastAsia="仿宋_GB2312" w:cs="仿宋_GB2312"/>
                <w:b w:val="0"/>
                <w:bCs w:val="0"/>
                <w:color w:val="auto"/>
                <w:sz w:val="21"/>
                <w:szCs w:val="21"/>
                <w:highlight w:val="none"/>
                <w:lang w:val="en-US" w:eastAsia="zh-CN" w:bidi="ar"/>
              </w:rPr>
              <w:t>5%</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val="0"/>
                <w:bCs w:val="0"/>
                <w:color w:val="auto"/>
                <w:sz w:val="21"/>
                <w:szCs w:val="21"/>
                <w:highlight w:val="none"/>
                <w:lang w:val="en-US" w:eastAsia="zh-CN" w:bidi="ar"/>
              </w:rPr>
            </w:pPr>
            <w:r>
              <w:rPr>
                <w:rFonts w:hint="eastAsia" w:ascii="仿宋_GB2312" w:hAnsi="仿宋_GB2312" w:eastAsia="仿宋_GB2312" w:cs="仿宋_GB2312"/>
                <w:spacing w:val="-3"/>
                <w:sz w:val="21"/>
                <w:szCs w:val="21"/>
              </w:rPr>
              <w:t>28.6</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default" w:ascii="仿宋_GB2312" w:hAnsi="仿宋_GB2312" w:eastAsia="仿宋_GB2312" w:cs="仿宋_GB2312"/>
                <w:b w:val="0"/>
                <w:bCs w:val="0"/>
                <w:color w:val="auto"/>
                <w:sz w:val="21"/>
                <w:szCs w:val="21"/>
                <w:highlight w:val="none"/>
                <w:lang w:val="en-US" w:eastAsia="zh-CN" w:bidi="ar"/>
              </w:rPr>
            </w:pPr>
            <w:r>
              <w:rPr>
                <w:rStyle w:val="45"/>
                <w:rFonts w:hint="eastAsia" w:ascii="仿宋_GB2312" w:hAnsi="仿宋_GB2312" w:eastAsia="仿宋_GB2312" w:cs="仿宋_GB2312"/>
                <w:b w:val="0"/>
                <w:bCs w:val="0"/>
                <w:color w:val="auto"/>
                <w:sz w:val="21"/>
                <w:szCs w:val="21"/>
                <w:highlight w:val="none"/>
                <w:lang w:val="en-US" w:eastAsia="zh-CN" w:bidi="ar"/>
              </w:rPr>
              <w:t>10%</w:t>
            </w:r>
          </w:p>
        </w:tc>
        <w:tc>
          <w:tcPr>
            <w:tcW w:w="2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AutoHyphens/>
              <w:kinsoku/>
              <w:wordWrap/>
              <w:overflowPunct/>
              <w:topLinePunct w:val="0"/>
              <w:autoSpaceDE/>
              <w:autoSpaceDN/>
              <w:bidi w:val="0"/>
              <w:adjustRightInd w:val="0"/>
              <w:snapToGrid w:val="0"/>
              <w:spacing w:line="240" w:lineRule="exact"/>
              <w:jc w:val="center"/>
              <w:textAlignment w:val="auto"/>
              <w:rPr>
                <w:rFonts w:hint="eastAsia" w:ascii="仿宋_GB2312" w:hAnsi="仿宋_GB2312" w:eastAsia="仿宋_GB2312" w:cs="仿宋_GB2312"/>
                <w:b w:val="0"/>
                <w:bCs w:val="0"/>
                <w:kern w:val="2"/>
                <w:sz w:val="21"/>
                <w:szCs w:val="21"/>
                <w:highlight w:val="none"/>
                <w:vertAlign w:val="baseline"/>
                <w:lang w:val="en-US" w:eastAsia="zh-CN" w:bidi="ar-SA"/>
              </w:rPr>
            </w:pPr>
            <w:r>
              <w:rPr>
                <w:rFonts w:hint="eastAsia" w:ascii="仿宋_GB2312" w:hAnsi="仿宋_GB2312" w:eastAsia="仿宋_GB2312" w:cs="仿宋_GB2312"/>
                <w:spacing w:val="1"/>
                <w:sz w:val="21"/>
                <w:szCs w:val="21"/>
              </w:rPr>
              <w:t>9.65%</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default" w:ascii="仿宋_GB2312" w:hAnsi="仿宋_GB2312" w:eastAsia="仿宋_GB2312" w:cs="仿宋_GB2312"/>
                <w:b w:val="0"/>
                <w:bCs w:val="0"/>
                <w:color w:val="auto"/>
                <w:sz w:val="21"/>
                <w:szCs w:val="21"/>
                <w:highlight w:val="none"/>
                <w:lang w:val="en-US" w:eastAsia="zh-CN" w:bidi="ar"/>
              </w:rPr>
            </w:pPr>
            <w:r>
              <w:rPr>
                <w:rStyle w:val="45"/>
                <w:rFonts w:hint="eastAsia" w:ascii="仿宋_GB2312" w:hAnsi="仿宋_GB2312" w:eastAsia="仿宋_GB2312" w:cs="仿宋_GB2312"/>
                <w:b w:val="0"/>
                <w:bCs w:val="0"/>
                <w:color w:val="auto"/>
                <w:sz w:val="21"/>
                <w:szCs w:val="21"/>
                <w:highlight w:val="none"/>
                <w:lang w:val="en-US" w:eastAsia="zh-CN" w:bidi="ar"/>
              </w:rPr>
              <w:t>5%</w:t>
            </w:r>
          </w:p>
        </w:tc>
        <w:tc>
          <w:tcPr>
            <w:tcW w:w="34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val="0"/>
                <w:bCs w:val="0"/>
                <w:i w:val="0"/>
                <w:iCs w:val="0"/>
                <w:color w:val="auto"/>
                <w:kern w:val="0"/>
                <w:sz w:val="21"/>
                <w:szCs w:val="21"/>
                <w:highlight w:val="none"/>
                <w:u w:val="none"/>
                <w:lang w:val="en-US" w:eastAsia="zh-CN" w:bidi="ar"/>
              </w:rPr>
            </w:pPr>
            <w:r>
              <w:rPr>
                <w:rFonts w:hint="eastAsia" w:ascii="仿宋_GB2312" w:hAnsi="仿宋_GB2312" w:eastAsia="仿宋_GB2312" w:cs="仿宋_GB2312"/>
                <w:sz w:val="21"/>
                <w:szCs w:val="21"/>
              </w:rPr>
              <w:t>两金管控较上年有大幅提升</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default" w:ascii="仿宋_GB2312" w:hAnsi="仿宋_GB2312" w:eastAsia="仿宋_GB2312" w:cs="仿宋_GB2312"/>
                <w:b w:val="0"/>
                <w:bCs w:val="0"/>
                <w:color w:val="auto"/>
                <w:sz w:val="21"/>
                <w:szCs w:val="21"/>
                <w:highlight w:val="none"/>
                <w:lang w:val="en-US" w:eastAsia="zh-CN" w:bidi="ar"/>
              </w:rPr>
            </w:pPr>
            <w:r>
              <w:rPr>
                <w:rStyle w:val="45"/>
                <w:rFonts w:hint="eastAsia" w:ascii="仿宋_GB2312" w:hAnsi="仿宋_GB2312" w:eastAsia="仿宋_GB2312" w:cs="仿宋_GB2312"/>
                <w:b w:val="0"/>
                <w:bCs w:val="0"/>
                <w:color w:val="auto"/>
                <w:sz w:val="21"/>
                <w:szCs w:val="21"/>
                <w:highlight w:val="none"/>
                <w:lang w:val="en-US" w:eastAsia="zh-CN" w:bidi="ar"/>
              </w:rPr>
              <w:t>5%</w:t>
            </w:r>
          </w:p>
        </w:tc>
      </w:tr>
    </w:tbl>
    <w:p>
      <w:pPr>
        <w:widowControl/>
        <w:spacing w:line="56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备注：人工成本利润率不低于“较上年人工成本利润率优化2%”。（以上指标根据快报数测算，待薪酬分配专项审计报告出具后进行调整）</w:t>
      </w:r>
    </w:p>
    <w:p>
      <w:pPr>
        <w:widowControl/>
        <w:spacing w:line="56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期间费用率目标值9.65%(剔除较上年增加的财务费用);收</w:t>
      </w:r>
    </w:p>
    <w:p>
      <w:pPr>
        <w:widowControl/>
        <w:spacing w:line="560" w:lineRule="exac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入完成率未达100%,费用率11.8%和费用预算额2.84亿元的孰低额。</w:t>
      </w:r>
    </w:p>
    <w:p>
      <w:pPr>
        <w:widowControl/>
        <w:spacing w:line="560" w:lineRule="exact"/>
        <w:ind w:firstLine="640" w:firstLineChars="200"/>
        <w:rPr>
          <w:rFonts w:hint="eastAsia" w:ascii="仿宋_GB2312" w:eastAsia="仿宋_GB2312"/>
          <w:sz w:val="32"/>
          <w:szCs w:val="32"/>
          <w:highlight w:val="none"/>
          <w:lang w:val="en-US" w:eastAsia="zh-CN"/>
        </w:rPr>
      </w:pPr>
      <w:r>
        <w:rPr>
          <w:rFonts w:hint="default" w:ascii="仿宋_GB2312" w:eastAsia="仿宋_GB2312"/>
          <w:sz w:val="32"/>
          <w:szCs w:val="32"/>
          <w:highlight w:val="none"/>
          <w:lang w:val="en-US" w:eastAsia="zh-CN"/>
        </w:rPr>
        <w:t>在绵营收135983</w:t>
      </w:r>
      <w:r>
        <w:rPr>
          <w:rFonts w:hint="eastAsia" w:ascii="仿宋_GB2312" w:eastAsia="仿宋_GB2312"/>
          <w:sz w:val="32"/>
          <w:szCs w:val="32"/>
          <w:highlight w:val="none"/>
          <w:lang w:val="en-US" w:eastAsia="zh-CN"/>
        </w:rPr>
        <w:t>万元</w:t>
      </w:r>
      <w:r>
        <w:rPr>
          <w:rFonts w:hint="default" w:ascii="仿宋_GB2312" w:eastAsia="仿宋_GB2312"/>
          <w:sz w:val="32"/>
          <w:szCs w:val="32"/>
          <w:highlight w:val="none"/>
          <w:lang w:val="en-US" w:eastAsia="zh-CN"/>
        </w:rPr>
        <w:t>（未考虑内部交易抵销）</w:t>
      </w:r>
      <w:r>
        <w:rPr>
          <w:rFonts w:hint="eastAsia" w:ascii="仿宋_GB2312" w:eastAsia="仿宋_GB2312"/>
          <w:sz w:val="32"/>
          <w:szCs w:val="32"/>
          <w:highlight w:val="none"/>
          <w:lang w:val="en-US" w:eastAsia="zh-CN"/>
        </w:rPr>
        <w:t>。</w:t>
      </w:r>
    </w:p>
    <w:p>
      <w:pPr>
        <w:widowControl/>
        <w:spacing w:line="560" w:lineRule="exact"/>
        <w:ind w:firstLine="643" w:firstLineChars="200"/>
        <w:rPr>
          <w:rFonts w:hint="default"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（二）任务绩效</w:t>
      </w:r>
    </w:p>
    <w:p>
      <w:pPr>
        <w:widowControl/>
        <w:spacing w:line="56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任务绩效指标为定性的重点任务指标，主要包括经营发展、科技创新、数字化转型、党建工作、投融资、专项工作等。每项得分不超过120分。</w:t>
      </w:r>
    </w:p>
    <w:tbl>
      <w:tblPr>
        <w:tblStyle w:val="47"/>
        <w:tblW w:w="503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83"/>
        <w:gridCol w:w="1317"/>
        <w:gridCol w:w="5879"/>
        <w:gridCol w:w="1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3" w:hRule="atLeast"/>
          <w:tblHeader/>
        </w:trPr>
        <w:tc>
          <w:tcPr>
            <w:tcW w:w="327"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pacing w:val="3"/>
                <w:sz w:val="24"/>
                <w:szCs w:val="24"/>
                <w:highlight w:val="none"/>
              </w:rPr>
            </w:pPr>
            <w:r>
              <w:rPr>
                <w:rFonts w:hint="eastAsia" w:ascii="仿宋_GB2312" w:hAnsi="仿宋_GB2312" w:eastAsia="仿宋_GB2312" w:cs="仿宋_GB2312"/>
                <w:b/>
                <w:bCs/>
                <w:spacing w:val="3"/>
                <w:sz w:val="24"/>
                <w:szCs w:val="24"/>
                <w:highlight w:val="none"/>
              </w:rPr>
              <w:t>序号</w:t>
            </w:r>
          </w:p>
        </w:tc>
        <w:tc>
          <w:tcPr>
            <w:tcW w:w="738"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pacing w:val="3"/>
                <w:sz w:val="24"/>
                <w:szCs w:val="24"/>
                <w:highlight w:val="none"/>
              </w:rPr>
            </w:pPr>
            <w:r>
              <w:rPr>
                <w:rFonts w:hint="eastAsia" w:ascii="仿宋_GB2312" w:hAnsi="仿宋_GB2312" w:eastAsia="仿宋_GB2312" w:cs="仿宋_GB2312"/>
                <w:b/>
                <w:bCs/>
                <w:spacing w:val="3"/>
                <w:sz w:val="24"/>
                <w:szCs w:val="24"/>
                <w:highlight w:val="none"/>
              </w:rPr>
              <w:t>指标名称</w:t>
            </w:r>
          </w:p>
        </w:tc>
        <w:tc>
          <w:tcPr>
            <w:tcW w:w="3293"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pacing w:val="3"/>
                <w:sz w:val="24"/>
                <w:szCs w:val="24"/>
                <w:highlight w:val="none"/>
              </w:rPr>
            </w:pPr>
            <w:r>
              <w:rPr>
                <w:rFonts w:hint="eastAsia" w:ascii="仿宋_GB2312" w:hAnsi="仿宋_GB2312" w:eastAsia="仿宋_GB2312" w:cs="仿宋_GB2312"/>
                <w:b/>
                <w:bCs/>
                <w:spacing w:val="3"/>
                <w:sz w:val="24"/>
                <w:szCs w:val="24"/>
                <w:highlight w:val="none"/>
              </w:rPr>
              <w:t>202</w:t>
            </w:r>
            <w:r>
              <w:rPr>
                <w:rFonts w:hint="eastAsia" w:ascii="仿宋_GB2312" w:hAnsi="仿宋_GB2312" w:eastAsia="仿宋_GB2312" w:cs="仿宋_GB2312"/>
                <w:b/>
                <w:bCs/>
                <w:spacing w:val="3"/>
                <w:sz w:val="24"/>
                <w:szCs w:val="24"/>
                <w:highlight w:val="none"/>
                <w:lang w:val="en-US" w:eastAsia="zh-CN"/>
              </w:rPr>
              <w:t>4</w:t>
            </w:r>
            <w:r>
              <w:rPr>
                <w:rFonts w:hint="eastAsia" w:ascii="仿宋_GB2312" w:hAnsi="仿宋_GB2312" w:eastAsia="仿宋_GB2312" w:cs="仿宋_GB2312"/>
                <w:b/>
                <w:bCs/>
                <w:spacing w:val="3"/>
                <w:sz w:val="24"/>
                <w:szCs w:val="24"/>
                <w:highlight w:val="none"/>
              </w:rPr>
              <w:t>年度目标</w:t>
            </w:r>
          </w:p>
        </w:tc>
        <w:tc>
          <w:tcPr>
            <w:tcW w:w="640"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pacing w:val="-3"/>
                <w:sz w:val="24"/>
                <w:szCs w:val="24"/>
                <w:highlight w:val="none"/>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1" w:hRule="atLeast"/>
        </w:trPr>
        <w:tc>
          <w:tcPr>
            <w:tcW w:w="327"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spacing w:val="3"/>
                <w:sz w:val="24"/>
                <w:szCs w:val="24"/>
                <w:highlight w:val="none"/>
              </w:rPr>
            </w:pPr>
            <w:r>
              <w:rPr>
                <w:rFonts w:hint="eastAsia" w:ascii="仿宋_GB2312" w:hAnsi="仿宋_GB2312" w:eastAsia="仿宋_GB2312" w:cs="仿宋_GB2312"/>
                <w:spacing w:val="3"/>
                <w:sz w:val="24"/>
                <w:szCs w:val="24"/>
                <w:highlight w:val="none"/>
              </w:rPr>
              <w:t>1</w:t>
            </w:r>
          </w:p>
        </w:tc>
        <w:tc>
          <w:tcPr>
            <w:tcW w:w="738"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经营发展</w:t>
            </w:r>
          </w:p>
        </w:tc>
        <w:tc>
          <w:tcPr>
            <w:tcW w:w="3293"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jc w:val="left"/>
              <w:textAlignment w:val="auto"/>
              <w:rPr>
                <w:rFonts w:hint="eastAsia" w:ascii="仿宋_GB2312" w:hAnsi="仿宋_GB2312" w:eastAsia="仿宋_GB2312" w:cs="仿宋_GB2312"/>
                <w:spacing w:val="3"/>
                <w:sz w:val="24"/>
                <w:szCs w:val="24"/>
                <w:highlight w:val="none"/>
                <w:lang w:eastAsia="zh-CN"/>
              </w:rPr>
            </w:pPr>
            <w:r>
              <w:rPr>
                <w:rFonts w:hint="eastAsia" w:ascii="仿宋_GB2312" w:hAnsi="仿宋_GB2312" w:eastAsia="仿宋_GB2312" w:cs="仿宋_GB2312"/>
                <w:spacing w:val="3"/>
                <w:sz w:val="24"/>
                <w:szCs w:val="24"/>
                <w:highlight w:val="none"/>
                <w:lang w:eastAsia="zh-CN"/>
              </w:rPr>
              <w:t>详见《经营发展重点工作台账》。</w:t>
            </w:r>
          </w:p>
        </w:tc>
        <w:tc>
          <w:tcPr>
            <w:tcW w:w="640" w:type="pct"/>
            <w:noWrap w:val="0"/>
            <w:vAlign w:val="center"/>
          </w:tcPr>
          <w:p>
            <w:pPr>
              <w:keepNext w:val="0"/>
              <w:keepLines w:val="0"/>
              <w:widowControl/>
              <w:suppressLineNumbers w:val="0"/>
              <w:jc w:val="center"/>
              <w:textAlignment w:val="center"/>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1" w:hRule="atLeast"/>
        </w:trPr>
        <w:tc>
          <w:tcPr>
            <w:tcW w:w="327"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2</w:t>
            </w:r>
          </w:p>
        </w:tc>
        <w:tc>
          <w:tcPr>
            <w:tcW w:w="738"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spacing w:val="3"/>
                <w:sz w:val="24"/>
                <w:szCs w:val="24"/>
                <w:highlight w:val="none"/>
              </w:rPr>
            </w:pPr>
            <w:r>
              <w:rPr>
                <w:rFonts w:hint="eastAsia" w:ascii="仿宋_GB2312" w:hAnsi="仿宋_GB2312" w:eastAsia="仿宋_GB2312" w:cs="仿宋_GB2312"/>
                <w:spacing w:val="3"/>
                <w:sz w:val="24"/>
                <w:szCs w:val="24"/>
                <w:highlight w:val="none"/>
                <w:lang w:val="en-US" w:eastAsia="zh-CN"/>
              </w:rPr>
              <w:t>数字化转型</w:t>
            </w:r>
          </w:p>
        </w:tc>
        <w:tc>
          <w:tcPr>
            <w:tcW w:w="3293" w:type="pct"/>
            <w:noWrap w:val="0"/>
            <w:vAlign w:val="center"/>
          </w:tcPr>
          <w:p>
            <w:pPr>
              <w:pStyle w:val="46"/>
              <w:keepNext w:val="0"/>
              <w:keepLines w:val="0"/>
              <w:pageBreakBefore w:val="0"/>
              <w:widowControl w:val="0"/>
              <w:numPr>
                <w:ilvl w:val="0"/>
                <w:numId w:val="1"/>
              </w:numPr>
              <w:kinsoku/>
              <w:wordWrap/>
              <w:overflowPunct/>
              <w:topLinePunct w:val="0"/>
              <w:autoSpaceDE/>
              <w:autoSpaceDN/>
              <w:bidi w:val="0"/>
              <w:adjustRightInd/>
              <w:snapToGrid/>
              <w:spacing w:line="300" w:lineRule="exact"/>
              <w:ind w:left="0"/>
              <w:jc w:val="left"/>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eastAsia="zh-CN"/>
              </w:rPr>
              <w:t>成立以业务牵头的相关数字化转型工作组，落实集团数字化工作部署，配合完成财务、商旅、集采、人资等垂直管控 线条的数字化转型落地；</w:t>
            </w:r>
          </w:p>
          <w:p>
            <w:pPr>
              <w:pStyle w:val="46"/>
              <w:keepNext w:val="0"/>
              <w:keepLines w:val="0"/>
              <w:pageBreakBefore w:val="0"/>
              <w:widowControl w:val="0"/>
              <w:numPr>
                <w:ilvl w:val="0"/>
                <w:numId w:val="1"/>
              </w:numPr>
              <w:kinsoku/>
              <w:wordWrap/>
              <w:overflowPunct/>
              <w:topLinePunct w:val="0"/>
              <w:autoSpaceDE/>
              <w:autoSpaceDN/>
              <w:bidi w:val="0"/>
              <w:adjustRightInd/>
              <w:snapToGrid/>
              <w:spacing w:line="300" w:lineRule="exact"/>
              <w:ind w:left="0"/>
              <w:jc w:val="left"/>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eastAsia="zh-CN"/>
              </w:rPr>
              <w:t>主要业务流程上线率达到80%;</w:t>
            </w:r>
          </w:p>
          <w:p>
            <w:pPr>
              <w:pStyle w:val="46"/>
              <w:keepNext w:val="0"/>
              <w:keepLines w:val="0"/>
              <w:pageBreakBefore w:val="0"/>
              <w:widowControl w:val="0"/>
              <w:numPr>
                <w:ilvl w:val="0"/>
                <w:numId w:val="1"/>
              </w:numPr>
              <w:kinsoku/>
              <w:wordWrap/>
              <w:overflowPunct/>
              <w:topLinePunct w:val="0"/>
              <w:autoSpaceDE/>
              <w:autoSpaceDN/>
              <w:bidi w:val="0"/>
              <w:adjustRightInd/>
              <w:snapToGrid/>
              <w:spacing w:line="300" w:lineRule="exact"/>
              <w:ind w:left="0"/>
              <w:jc w:val="left"/>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eastAsia="zh-CN"/>
              </w:rPr>
              <w:t>完成经营性资产管理系统、档案管理系统建设；</w:t>
            </w:r>
          </w:p>
          <w:p>
            <w:pPr>
              <w:pStyle w:val="46"/>
              <w:keepNext w:val="0"/>
              <w:keepLines w:val="0"/>
              <w:pageBreakBefore w:val="0"/>
              <w:widowControl w:val="0"/>
              <w:numPr>
                <w:ilvl w:val="0"/>
                <w:numId w:val="1"/>
              </w:numPr>
              <w:kinsoku/>
              <w:wordWrap/>
              <w:overflowPunct/>
              <w:topLinePunct w:val="0"/>
              <w:autoSpaceDE/>
              <w:autoSpaceDN/>
              <w:bidi w:val="0"/>
              <w:adjustRightInd/>
              <w:snapToGrid/>
              <w:spacing w:line="300" w:lineRule="exact"/>
              <w:ind w:left="0"/>
              <w:jc w:val="left"/>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建立</w:t>
            </w:r>
            <w:r>
              <w:rPr>
                <w:rFonts w:hint="eastAsia" w:ascii="仿宋_GB2312" w:hAnsi="仿宋_GB2312" w:eastAsia="仿宋_GB2312" w:cs="仿宋_GB2312"/>
                <w:spacing w:val="3"/>
                <w:sz w:val="24"/>
                <w:szCs w:val="24"/>
                <w:highlight w:val="none"/>
                <w:lang w:eastAsia="zh-CN"/>
              </w:rPr>
              <w:t>《广联达数字新成本平台》指标库。</w:t>
            </w:r>
          </w:p>
        </w:tc>
        <w:tc>
          <w:tcPr>
            <w:tcW w:w="640" w:type="pct"/>
            <w:noWrap w:val="0"/>
            <w:vAlign w:val="center"/>
          </w:tcPr>
          <w:p>
            <w:pPr>
              <w:keepNext w:val="0"/>
              <w:keepLines w:val="0"/>
              <w:widowControl/>
              <w:suppressLineNumbers w:val="0"/>
              <w:jc w:val="center"/>
              <w:textAlignment w:val="center"/>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327"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3</w:t>
            </w:r>
          </w:p>
        </w:tc>
        <w:tc>
          <w:tcPr>
            <w:tcW w:w="1317" w:type="dxa"/>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仿宋_GB2312" w:hAnsi="仿宋_GB2312" w:eastAsia="仿宋_GB2312" w:cs="仿宋_GB2312"/>
                <w:spacing w:val="3"/>
                <w:sz w:val="24"/>
                <w:szCs w:val="24"/>
                <w:highlight w:val="none"/>
              </w:rPr>
            </w:pPr>
            <w:r>
              <w:rPr>
                <w:rFonts w:hint="eastAsia" w:ascii="仿宋_GB2312" w:hAnsi="仿宋_GB2312" w:eastAsia="仿宋_GB2312" w:cs="仿宋_GB2312"/>
                <w:spacing w:val="3"/>
                <w:sz w:val="24"/>
                <w:szCs w:val="24"/>
                <w:highlight w:val="none"/>
                <w:lang w:val="en-US" w:eastAsia="zh-CN"/>
              </w:rPr>
              <w:t>投融资</w:t>
            </w:r>
          </w:p>
        </w:tc>
        <w:tc>
          <w:tcPr>
            <w:tcW w:w="5879" w:type="dxa"/>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leftChars="0"/>
              <w:jc w:val="left"/>
              <w:textAlignment w:val="auto"/>
              <w:rPr>
                <w:rFonts w:hint="eastAsia" w:ascii="仿宋_GB2312" w:hAnsi="仿宋_GB2312" w:eastAsia="仿宋_GB2312" w:cs="仿宋_GB2312"/>
                <w:spacing w:val="3"/>
                <w:sz w:val="24"/>
                <w:szCs w:val="24"/>
                <w:highlight w:val="none"/>
              </w:rPr>
            </w:pPr>
            <w:r>
              <w:rPr>
                <w:rFonts w:hint="eastAsia" w:ascii="仿宋_GB2312" w:hAnsi="仿宋_GB2312" w:eastAsia="仿宋_GB2312" w:cs="仿宋_GB2312"/>
                <w:spacing w:val="3"/>
                <w:sz w:val="24"/>
                <w:szCs w:val="24"/>
                <w:highlight w:val="none"/>
                <w:lang w:val="en-US" w:eastAsia="zh-CN"/>
              </w:rPr>
              <w:t>上报集团不低于2亿元可落地融资方案。</w:t>
            </w:r>
          </w:p>
        </w:tc>
        <w:tc>
          <w:tcPr>
            <w:tcW w:w="1143" w:type="dxa"/>
            <w:noWrap w:val="0"/>
            <w:vAlign w:val="center"/>
          </w:tcPr>
          <w:p>
            <w:pPr>
              <w:keepNext w:val="0"/>
              <w:keepLines w:val="0"/>
              <w:widowControl/>
              <w:suppressLineNumbers w:val="0"/>
              <w:jc w:val="center"/>
              <w:textAlignment w:val="center"/>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3" w:hRule="atLeast"/>
        </w:trPr>
        <w:tc>
          <w:tcPr>
            <w:tcW w:w="327"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4</w:t>
            </w:r>
          </w:p>
        </w:tc>
        <w:tc>
          <w:tcPr>
            <w:tcW w:w="738"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仿宋_GB2312" w:hAnsi="仿宋_GB2312" w:eastAsia="仿宋_GB2312" w:cs="仿宋_GB2312"/>
                <w:spacing w:val="3"/>
                <w:sz w:val="24"/>
                <w:szCs w:val="24"/>
                <w:highlight w:val="none"/>
              </w:rPr>
            </w:pPr>
            <w:r>
              <w:rPr>
                <w:rFonts w:hint="eastAsia" w:ascii="仿宋_GB2312" w:hAnsi="仿宋_GB2312" w:eastAsia="仿宋_GB2312" w:cs="仿宋_GB2312"/>
                <w:spacing w:val="3"/>
                <w:sz w:val="24"/>
                <w:szCs w:val="24"/>
                <w:highlight w:val="none"/>
                <w:lang w:val="en-US" w:eastAsia="zh-CN"/>
              </w:rPr>
              <w:t>党建</w:t>
            </w:r>
          </w:p>
        </w:tc>
        <w:tc>
          <w:tcPr>
            <w:tcW w:w="3293"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leftChars="0"/>
              <w:jc w:val="left"/>
              <w:textAlignment w:val="auto"/>
              <w:rPr>
                <w:rFonts w:hint="eastAsia" w:ascii="仿宋_GB2312" w:hAnsi="仿宋_GB2312" w:eastAsia="仿宋_GB2312" w:cs="仿宋_GB2312"/>
                <w:spacing w:val="3"/>
                <w:sz w:val="24"/>
                <w:szCs w:val="24"/>
                <w:highlight w:val="none"/>
              </w:rPr>
            </w:pPr>
            <w:r>
              <w:rPr>
                <w:rFonts w:hint="eastAsia" w:ascii="仿宋_GB2312" w:hAnsi="仿宋_GB2312" w:eastAsia="仿宋_GB2312" w:cs="仿宋_GB2312"/>
                <w:spacing w:val="3"/>
                <w:sz w:val="24"/>
                <w:szCs w:val="24"/>
                <w:highlight w:val="none"/>
                <w:lang w:eastAsia="zh-CN"/>
              </w:rPr>
              <w:t>按专项办法进行考核评价。</w:t>
            </w:r>
          </w:p>
        </w:tc>
        <w:tc>
          <w:tcPr>
            <w:tcW w:w="640" w:type="pct"/>
            <w:noWrap w:val="0"/>
            <w:vAlign w:val="center"/>
          </w:tcPr>
          <w:p>
            <w:pPr>
              <w:keepNext w:val="0"/>
              <w:keepLines w:val="0"/>
              <w:widowControl/>
              <w:suppressLineNumbers w:val="0"/>
              <w:jc w:val="center"/>
              <w:textAlignment w:val="center"/>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10%</w:t>
            </w:r>
          </w:p>
        </w:tc>
      </w:tr>
    </w:tbl>
    <w:p>
      <w:pPr>
        <w:widowControl/>
        <w:spacing w:line="560" w:lineRule="exact"/>
        <w:ind w:firstLine="321" w:firstLineChars="100"/>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（三）协同绩效指标</w:t>
      </w:r>
    </w:p>
    <w:p>
      <w:pPr>
        <w:widowControl/>
        <w:spacing w:line="560" w:lineRule="exact"/>
        <w:ind w:firstLine="643" w:firstLineChars="200"/>
        <w:rPr>
          <w:rFonts w:hint="default"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1．协同</w:t>
      </w:r>
      <w:r>
        <w:rPr>
          <w:rFonts w:hint="default" w:ascii="仿宋_GB2312" w:eastAsia="仿宋_GB2312"/>
          <w:b/>
          <w:bCs/>
          <w:sz w:val="32"/>
          <w:szCs w:val="32"/>
          <w:highlight w:val="none"/>
          <w:lang w:val="en-US" w:eastAsia="zh-CN"/>
        </w:rPr>
        <w:t>绩效考评</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由公司主要领导、分管领导、主要业务关联单位负责人等从业务上下游协作配合效果和工作具体成效等方面进行综合评价打分。具体评分规则如下：</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Ⅰ档(150分)：协作效果好，工作成效远超预期。</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Ⅱ档(120分)：协作效果较好，工作成效符合预期。</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Ⅲ档(100分)：协作效果和工作成效基本符合预期。</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Ⅳ档(80分)：协作效果不佳，工作成效与预期有一定差距。</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Ⅴ档(60分)：协作效果较差，工作成效与预期有较大差距。</w:t>
      </w:r>
    </w:p>
    <w:p>
      <w:pPr>
        <w:widowControl/>
        <w:spacing w:line="560" w:lineRule="exact"/>
        <w:ind w:firstLine="643" w:firstLineChars="200"/>
        <w:rPr>
          <w:rFonts w:hint="default"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2．协同</w:t>
      </w:r>
      <w:r>
        <w:rPr>
          <w:rFonts w:hint="default" w:ascii="仿宋_GB2312" w:eastAsia="仿宋_GB2312"/>
          <w:b/>
          <w:bCs/>
          <w:sz w:val="32"/>
          <w:szCs w:val="32"/>
          <w:highlight w:val="none"/>
          <w:lang w:val="en-US" w:eastAsia="zh-CN"/>
        </w:rPr>
        <w:t>绩效得分</w:t>
      </w:r>
    </w:p>
    <w:p>
      <w:pPr>
        <w:widowControl/>
        <w:spacing w:line="560" w:lineRule="exact"/>
        <w:ind w:firstLine="640" w:firstLineChars="200"/>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w:t>
      </w:r>
      <w:r>
        <w:rPr>
          <w:rFonts w:hint="default" w:ascii="仿宋_GB2312" w:eastAsia="仿宋_GB2312"/>
          <w:sz w:val="32"/>
          <w:szCs w:val="32"/>
          <w:highlight w:val="none"/>
          <w:lang w:val="en-US" w:eastAsia="zh-CN"/>
        </w:rPr>
        <w:t>各单位第一负责人</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年度周边绩效得分=集团公司主要领导评分×30%+分管领导评分×40%+业务关联单位第一负责人评分×30%</w:t>
      </w:r>
    </w:p>
    <w:p>
      <w:pPr>
        <w:widowControl/>
        <w:spacing w:line="560" w:lineRule="exact"/>
        <w:ind w:firstLine="640" w:firstLineChars="200"/>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w:t>
      </w:r>
      <w:r>
        <w:rPr>
          <w:rFonts w:hint="default" w:ascii="仿宋_GB2312" w:eastAsia="仿宋_GB2312"/>
          <w:sz w:val="32"/>
          <w:szCs w:val="32"/>
          <w:highlight w:val="none"/>
          <w:lang w:val="en-US" w:eastAsia="zh-CN"/>
        </w:rPr>
        <w:t>各单位其他纳入九洲集团公司职数管理的中层管理人员</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年度周边绩效得分=分管领导评分×30%+单位第一负责人评分×40%+业务关联单位负责人评分×30%</w:t>
      </w:r>
    </w:p>
    <w:p>
      <w:pPr>
        <w:widowControl/>
        <w:spacing w:line="560" w:lineRule="exact"/>
        <w:ind w:firstLine="643" w:firstLineChars="200"/>
        <w:rPr>
          <w:rFonts w:hint="default"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（四）红线指标</w:t>
      </w:r>
    </w:p>
    <w:p>
      <w:pPr>
        <w:widowControl/>
        <w:spacing w:line="56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红线指标为不能突破的红线条款，主要包括党风廉政建设、安全、保密和践行企业文化等。采取扣分制，原则上红线指标总扣分不超过10分，因为党风廉政建设、安全、保密等造成一票否决或重大责任事故的，全部或部分扣减年度绩效得分。</w:t>
      </w: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lang w:eastAsia="zh-CN"/>
        </w:rPr>
        <w:t>三、考核兑现</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Times New Roman"/>
          <w:b/>
          <w:bCs w:val="0"/>
          <w:sz w:val="32"/>
          <w:szCs w:val="32"/>
          <w:highlight w:val="none"/>
          <w:lang w:eastAsia="zh-CN"/>
        </w:rPr>
      </w:pPr>
      <w:r>
        <w:rPr>
          <w:rFonts w:hint="eastAsia" w:ascii="仿宋_GB2312" w:hAnsi="宋体" w:eastAsia="仿宋_GB2312" w:cs="Times New Roman"/>
          <w:b/>
          <w:bCs w:val="0"/>
          <w:sz w:val="32"/>
          <w:szCs w:val="32"/>
          <w:highlight w:val="none"/>
          <w:lang w:eastAsia="zh-CN"/>
        </w:rPr>
        <w:t>考核得分=组织绩效得分×</w:t>
      </w:r>
      <w:r>
        <w:rPr>
          <w:rFonts w:hint="eastAsia" w:ascii="仿宋_GB2312" w:hAnsi="宋体" w:eastAsia="仿宋_GB2312" w:cs="Times New Roman"/>
          <w:b/>
          <w:bCs w:val="0"/>
          <w:sz w:val="32"/>
          <w:szCs w:val="32"/>
          <w:highlight w:val="none"/>
          <w:lang w:val="en-US" w:eastAsia="zh-CN"/>
        </w:rPr>
        <w:t>3</w:t>
      </w:r>
      <w:r>
        <w:rPr>
          <w:rFonts w:hint="eastAsia" w:ascii="仿宋_GB2312" w:hAnsi="宋体" w:eastAsia="仿宋_GB2312" w:cs="Times New Roman"/>
          <w:b/>
          <w:bCs w:val="0"/>
          <w:sz w:val="32"/>
          <w:szCs w:val="32"/>
          <w:highlight w:val="none"/>
          <w:lang w:eastAsia="zh-CN"/>
        </w:rPr>
        <w:t>0%+任务绩效得分×</w:t>
      </w:r>
      <w:r>
        <w:rPr>
          <w:rFonts w:hint="eastAsia" w:ascii="仿宋_GB2312" w:hAnsi="宋体" w:eastAsia="仿宋_GB2312" w:cs="Times New Roman"/>
          <w:b/>
          <w:bCs w:val="0"/>
          <w:sz w:val="32"/>
          <w:szCs w:val="32"/>
          <w:highlight w:val="none"/>
          <w:lang w:val="en-US" w:eastAsia="zh-CN"/>
        </w:rPr>
        <w:t>5</w:t>
      </w:r>
      <w:r>
        <w:rPr>
          <w:rFonts w:hint="eastAsia" w:ascii="仿宋_GB2312" w:hAnsi="宋体" w:eastAsia="仿宋_GB2312" w:cs="Times New Roman"/>
          <w:b/>
          <w:bCs w:val="0"/>
          <w:sz w:val="32"/>
          <w:szCs w:val="32"/>
          <w:highlight w:val="none"/>
          <w:lang w:eastAsia="zh-CN"/>
        </w:rPr>
        <w:t>0%+</w:t>
      </w:r>
      <w:r>
        <w:rPr>
          <w:rFonts w:hint="eastAsia" w:ascii="仿宋_GB2312" w:hAnsi="宋体" w:eastAsia="仿宋_GB2312" w:cs="Times New Roman"/>
          <w:b/>
          <w:bCs w:val="0"/>
          <w:sz w:val="32"/>
          <w:szCs w:val="32"/>
          <w:highlight w:val="none"/>
          <w:lang w:val="en-US" w:eastAsia="zh-CN"/>
        </w:rPr>
        <w:t>协同</w:t>
      </w:r>
      <w:r>
        <w:rPr>
          <w:rFonts w:hint="eastAsia" w:ascii="仿宋_GB2312" w:hAnsi="宋体" w:eastAsia="仿宋_GB2312" w:cs="Times New Roman"/>
          <w:b/>
          <w:bCs w:val="0"/>
          <w:sz w:val="32"/>
          <w:szCs w:val="32"/>
          <w:highlight w:val="none"/>
          <w:lang w:eastAsia="zh-CN"/>
        </w:rPr>
        <w:t>绩效得分×20%-红线指标扣分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Times New Roman"/>
          <w:b/>
          <w:bCs w:val="0"/>
          <w:sz w:val="32"/>
          <w:szCs w:val="32"/>
          <w:highlight w:val="none"/>
          <w:lang w:val="en-US" w:eastAsia="zh-CN"/>
        </w:rPr>
      </w:pPr>
      <w:r>
        <w:rPr>
          <w:rFonts w:hint="eastAsia" w:ascii="仿宋_GB2312" w:hAnsi="宋体" w:eastAsia="仿宋_GB2312" w:cs="Times New Roman"/>
          <w:b/>
          <w:bCs w:val="0"/>
          <w:sz w:val="32"/>
          <w:szCs w:val="32"/>
          <w:highlight w:val="none"/>
          <w:lang w:val="en-US" w:eastAsia="zh-CN"/>
        </w:rPr>
        <w:t>年薪=基本年薪+绩效年薪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b w:val="0"/>
          <w:bCs/>
          <w:sz w:val="32"/>
          <w:szCs w:val="32"/>
          <w:highlight w:val="none"/>
          <w:lang w:eastAsia="zh-CN"/>
        </w:rPr>
      </w:pPr>
      <w:r>
        <w:rPr>
          <w:rFonts w:hint="eastAsia" w:ascii="仿宋_GB2312" w:hAnsi="宋体" w:eastAsia="仿宋_GB2312" w:cs="Times New Roman"/>
          <w:b w:val="0"/>
          <w:bCs/>
          <w:sz w:val="32"/>
          <w:szCs w:val="32"/>
          <w:highlight w:val="none"/>
          <w:lang w:eastAsia="zh-CN"/>
        </w:rPr>
        <w:t>基本年薪占年薪标准的</w:t>
      </w:r>
      <w:r>
        <w:rPr>
          <w:rFonts w:hint="eastAsia" w:ascii="仿宋_GB2312" w:hAnsi="宋体" w:eastAsia="仿宋_GB2312" w:cs="Times New Roman"/>
          <w:b w:val="0"/>
          <w:bCs/>
          <w:sz w:val="32"/>
          <w:szCs w:val="32"/>
          <w:highlight w:val="none"/>
          <w:lang w:val="en-US" w:eastAsia="zh-CN"/>
        </w:rPr>
        <w:t>4</w:t>
      </w:r>
      <w:r>
        <w:rPr>
          <w:rFonts w:hint="eastAsia" w:ascii="仿宋_GB2312" w:hAnsi="宋体" w:eastAsia="仿宋_GB2312" w:cs="Times New Roman"/>
          <w:b w:val="0"/>
          <w:bCs/>
          <w:sz w:val="32"/>
          <w:szCs w:val="32"/>
          <w:highlight w:val="none"/>
          <w:lang w:eastAsia="zh-CN"/>
        </w:rPr>
        <w:t>0%，绩效年薪占年薪标准的</w:t>
      </w:r>
      <w:r>
        <w:rPr>
          <w:rFonts w:hint="eastAsia" w:ascii="仿宋_GB2312" w:hAnsi="宋体" w:eastAsia="仿宋_GB2312" w:cs="Times New Roman"/>
          <w:b w:val="0"/>
          <w:bCs/>
          <w:sz w:val="32"/>
          <w:szCs w:val="32"/>
          <w:highlight w:val="none"/>
          <w:lang w:val="en-US" w:eastAsia="zh-CN"/>
        </w:rPr>
        <w:t>6</w:t>
      </w:r>
      <w:r>
        <w:rPr>
          <w:rFonts w:hint="eastAsia" w:ascii="仿宋_GB2312" w:hAnsi="宋体" w:eastAsia="仿宋_GB2312" w:cs="Times New Roman"/>
          <w:b w:val="0"/>
          <w:bCs/>
          <w:sz w:val="32"/>
          <w:szCs w:val="32"/>
          <w:highlight w:val="none"/>
          <w:lang w:eastAsia="zh-CN"/>
        </w:rPr>
        <w:t>0%。年薪兑现与乙方年度经营业绩考核得分挂钩，具体挂钩方式如下：</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Times New Roman"/>
          <w:b/>
          <w:bCs w:val="0"/>
          <w:sz w:val="32"/>
          <w:szCs w:val="32"/>
          <w:highlight w:val="none"/>
          <w:lang w:val="en-US" w:eastAsia="zh-CN"/>
        </w:rPr>
      </w:pPr>
      <w:r>
        <w:rPr>
          <w:rFonts w:hint="eastAsia" w:ascii="仿宋_GB2312" w:hAnsi="宋体" w:eastAsia="仿宋_GB2312" w:cs="Times New Roman"/>
          <w:b/>
          <w:bCs w:val="0"/>
          <w:sz w:val="32"/>
          <w:szCs w:val="32"/>
          <w:highlight w:val="none"/>
          <w:lang w:val="en-US" w:eastAsia="zh-CN"/>
        </w:rPr>
        <w:t>绩效年薪=绩效年薪标准×考核得分/100。绩效年薪不超过绩效年薪标准的2倍。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b w:val="0"/>
          <w:bCs/>
          <w:sz w:val="32"/>
          <w:szCs w:val="32"/>
          <w:highlight w:val="none"/>
          <w:lang w:eastAsia="zh-CN"/>
        </w:rPr>
      </w:pPr>
      <w:r>
        <w:rPr>
          <w:rFonts w:hint="eastAsia" w:ascii="仿宋_GB2312" w:hAnsi="宋体" w:eastAsia="仿宋_GB2312" w:cs="Times New Roman"/>
          <w:b w:val="0"/>
          <w:bCs/>
          <w:sz w:val="32"/>
          <w:szCs w:val="32"/>
          <w:highlight w:val="none"/>
          <w:lang w:eastAsia="zh-CN"/>
        </w:rPr>
        <w:t>乙方年薪实行预发制，年终根据考核结果结算年薪，并结合已预发年薪兑现剩余部分。</w:t>
      </w:r>
    </w:p>
    <w:p>
      <w:pPr>
        <w:widowControl/>
        <w:spacing w:line="560" w:lineRule="exact"/>
        <w:ind w:firstLine="640" w:firstLineChars="200"/>
        <w:rPr>
          <w:rFonts w:hint="eastAsia" w:ascii="仿宋_GB2312" w:hAnsi="宋体" w:eastAsia="仿宋_GB2312" w:cs="Times New Roman"/>
          <w:b w:val="0"/>
          <w:bCs/>
          <w:sz w:val="32"/>
          <w:szCs w:val="32"/>
          <w:highlight w:val="none"/>
          <w:lang w:eastAsia="zh-CN"/>
        </w:rPr>
      </w:pPr>
      <w:r>
        <w:rPr>
          <w:rFonts w:hint="eastAsia" w:ascii="仿宋_GB2312" w:eastAsia="仿宋_GB2312"/>
          <w:sz w:val="32"/>
          <w:szCs w:val="32"/>
          <w:highlight w:val="none"/>
          <w:lang w:val="en-US" w:eastAsia="zh-CN"/>
        </w:rPr>
        <w:t>超额利润奖励按照专项考核管理办法进行。</w:t>
      </w: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eastAsia="zh-CN"/>
        </w:rPr>
        <w:t>四、</w:t>
      </w:r>
      <w:r>
        <w:rPr>
          <w:rFonts w:hint="eastAsia" w:ascii="黑体" w:hAnsi="黑体" w:eastAsia="黑体" w:cs="黑体"/>
          <w:b w:val="0"/>
          <w:bCs/>
          <w:sz w:val="32"/>
          <w:szCs w:val="32"/>
          <w:highlight w:val="none"/>
        </w:rPr>
        <w:t>其他</w:t>
      </w:r>
    </w:p>
    <w:p>
      <w:pPr>
        <w:keepNext w:val="0"/>
        <w:keepLines w:val="0"/>
        <w:pageBreakBefore w:val="0"/>
        <w:kinsoku/>
        <w:wordWrap/>
        <w:overflowPunct/>
        <w:topLinePunct w:val="0"/>
        <w:autoSpaceDE/>
        <w:autoSpaceDN/>
        <w:bidi w:val="0"/>
        <w:spacing w:line="560" w:lineRule="exact"/>
        <w:ind w:firstLine="640" w:firstLineChars="200"/>
        <w:rPr>
          <w:rFonts w:ascii="仿宋_GB2312" w:hAnsi="宋体" w:eastAsia="仿宋_GB2312"/>
          <w:b w:val="0"/>
          <w:bCs/>
          <w:sz w:val="32"/>
          <w:szCs w:val="32"/>
          <w:highlight w:val="none"/>
        </w:rPr>
      </w:pPr>
      <w:r>
        <w:rPr>
          <w:rFonts w:hint="eastAsia" w:ascii="仿宋_GB2312" w:hAnsi="宋体" w:eastAsia="仿宋_GB2312"/>
          <w:b w:val="0"/>
          <w:bCs/>
          <w:sz w:val="32"/>
          <w:szCs w:val="32"/>
          <w:highlight w:val="none"/>
        </w:rPr>
        <w:t>1</w:t>
      </w:r>
      <w:r>
        <w:rPr>
          <w:rFonts w:hint="eastAsia" w:ascii="仿宋_GB2312" w:hAnsi="宋体" w:eastAsia="仿宋_GB2312"/>
          <w:b w:val="0"/>
          <w:bCs/>
          <w:sz w:val="32"/>
          <w:szCs w:val="32"/>
          <w:highlight w:val="none"/>
          <w:lang w:eastAsia="zh-CN"/>
        </w:rPr>
        <w:t>．</w:t>
      </w:r>
      <w:r>
        <w:rPr>
          <w:rFonts w:hint="eastAsia" w:ascii="仿宋_GB2312" w:hAnsi="宋体" w:eastAsia="仿宋_GB2312"/>
          <w:b w:val="0"/>
          <w:bCs/>
          <w:sz w:val="32"/>
          <w:szCs w:val="32"/>
          <w:highlight w:val="none"/>
        </w:rPr>
        <w:t>本协议其他未尽事宜由双方另行协商。</w:t>
      </w:r>
    </w:p>
    <w:p>
      <w:pPr>
        <w:keepNext w:val="0"/>
        <w:keepLines w:val="0"/>
        <w:pageBreakBefore w:val="0"/>
        <w:kinsoku/>
        <w:wordWrap/>
        <w:overflowPunct/>
        <w:topLinePunct w:val="0"/>
        <w:autoSpaceDE/>
        <w:autoSpaceDN/>
        <w:bidi w:val="0"/>
        <w:spacing w:line="560" w:lineRule="exact"/>
        <w:ind w:firstLine="640" w:firstLineChars="200"/>
        <w:rPr>
          <w:rFonts w:ascii="仿宋_GB2312" w:eastAsia="仿宋_GB2312"/>
          <w:b w:val="0"/>
          <w:bCs/>
          <w:sz w:val="32"/>
          <w:szCs w:val="32"/>
          <w:highlight w:val="none"/>
        </w:rPr>
      </w:pPr>
      <w:r>
        <w:rPr>
          <w:rFonts w:hint="eastAsia" w:ascii="仿宋_GB2312" w:hAnsi="宋体" w:eastAsia="仿宋_GB2312"/>
          <w:b w:val="0"/>
          <w:bCs/>
          <w:sz w:val="32"/>
          <w:szCs w:val="32"/>
          <w:highlight w:val="none"/>
        </w:rPr>
        <w:t>2</w:t>
      </w:r>
      <w:r>
        <w:rPr>
          <w:rFonts w:hint="eastAsia" w:ascii="仿宋_GB2312" w:hAnsi="宋体" w:eastAsia="仿宋_GB2312"/>
          <w:b w:val="0"/>
          <w:bCs/>
          <w:sz w:val="32"/>
          <w:szCs w:val="32"/>
          <w:highlight w:val="none"/>
          <w:lang w:eastAsia="zh-CN"/>
        </w:rPr>
        <w:t>．</w:t>
      </w:r>
      <w:r>
        <w:rPr>
          <w:rFonts w:hint="eastAsia" w:ascii="仿宋_GB2312" w:hAnsi="宋体" w:eastAsia="仿宋_GB2312"/>
          <w:b w:val="0"/>
          <w:bCs/>
          <w:sz w:val="32"/>
          <w:szCs w:val="32"/>
          <w:highlight w:val="none"/>
        </w:rPr>
        <w:t>本协议一式三份，甲方、乙方、干部管理部门各执一份，自甲、乙双方签字（盖章）之日起生效。</w:t>
      </w: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rPr>
      </w:pP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rPr>
      </w:pP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val="en-US" w:eastAsia="zh-CN"/>
        </w:rPr>
      </w:pP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eastAsia="zh-CN"/>
        </w:rPr>
      </w:pPr>
      <w:r>
        <w:rPr>
          <w:rFonts w:hint="eastAsia" w:ascii="仿宋_GB2312" w:hAnsi="宋体" w:eastAsia="仿宋_GB2312"/>
          <w:b w:val="0"/>
          <w:bCs/>
          <w:sz w:val="32"/>
          <w:szCs w:val="32"/>
          <w:highlight w:val="none"/>
          <w:lang w:val="en-US" w:eastAsia="zh-CN"/>
        </w:rPr>
        <w:t>附件：</w:t>
      </w:r>
      <w:r>
        <w:rPr>
          <w:rFonts w:hint="eastAsia" w:ascii="仿宋_GB2312" w:hAnsi="宋体" w:eastAsia="仿宋_GB2312"/>
          <w:b w:val="0"/>
          <w:bCs/>
          <w:sz w:val="32"/>
          <w:szCs w:val="32"/>
          <w:highlight w:val="none"/>
        </w:rPr>
        <w:t>1</w:t>
      </w:r>
      <w:r>
        <w:rPr>
          <w:rFonts w:hint="eastAsia" w:ascii="仿宋_GB2312" w:hAnsi="宋体" w:eastAsia="仿宋_GB2312"/>
          <w:b w:val="0"/>
          <w:bCs/>
          <w:sz w:val="32"/>
          <w:szCs w:val="32"/>
          <w:highlight w:val="none"/>
          <w:lang w:eastAsia="zh-CN"/>
        </w:rPr>
        <w:t>．经营发展重点工作台账</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eastAsia="zh-CN"/>
        </w:rPr>
      </w:pP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val="en-US" w:eastAsia="zh-CN"/>
        </w:rPr>
      </w:pP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rPr>
      </w:pP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rPr>
        <w:t>甲方（盖章）：</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乙方（签字）：</w:t>
      </w:r>
    </w:p>
    <w:p>
      <w:pPr>
        <w:keepNext w:val="0"/>
        <w:keepLines w:val="0"/>
        <w:pageBreakBefore w:val="0"/>
        <w:kinsoku/>
        <w:wordWrap/>
        <w:overflowPunct/>
        <w:topLinePunct w:val="0"/>
        <w:autoSpaceDE/>
        <w:autoSpaceDN/>
        <w:bidi w:val="0"/>
        <w:adjustRightInd w:val="0"/>
        <w:snapToGrid w:val="0"/>
        <w:spacing w:line="560" w:lineRule="exact"/>
        <w:rPr>
          <w:rFonts w:ascii="黑体" w:hAnsi="黑体" w:eastAsia="黑体" w:cs="黑体"/>
          <w:b w:val="0"/>
          <w:bCs/>
          <w:sz w:val="32"/>
          <w:szCs w:val="32"/>
          <w:highlight w:val="none"/>
        </w:rPr>
      </w:pP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rPr>
        <w:t>法定代表人（签字）：</w:t>
      </w:r>
    </w:p>
    <w:p>
      <w:pPr>
        <w:pStyle w:val="48"/>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both"/>
        <w:textAlignment w:val="baseline"/>
        <w:rPr>
          <w:rFonts w:ascii="黑体" w:hAnsi="黑体" w:eastAsia="黑体" w:cs="黑体"/>
          <w:b w:val="0"/>
          <w:bCs/>
          <w:sz w:val="32"/>
          <w:szCs w:val="32"/>
          <w:highlight w:val="none"/>
        </w:rPr>
      </w:pPr>
    </w:p>
    <w:p>
      <w:pPr>
        <w:pStyle w:val="48"/>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both"/>
        <w:textAlignment w:val="baseline"/>
        <w:rPr>
          <w:rFonts w:hint="eastAsia" w:ascii="黑体" w:hAnsi="黑体" w:eastAsia="黑体" w:cs="黑体"/>
          <w:b w:val="0"/>
          <w:bCs/>
          <w:sz w:val="32"/>
          <w:szCs w:val="32"/>
          <w:highlight w:val="none"/>
          <w:lang w:eastAsia="zh-CN"/>
        </w:rPr>
        <w:sectPr>
          <w:footerReference r:id="rId3" w:type="default"/>
          <w:pgSz w:w="11906" w:h="16838"/>
          <w:pgMar w:top="2098" w:right="1474" w:bottom="1984" w:left="1587"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黑体" w:hAnsi="黑体" w:eastAsia="黑体" w:cs="黑体"/>
          <w:b w:val="0"/>
          <w:bCs/>
          <w:sz w:val="32"/>
          <w:szCs w:val="32"/>
          <w:highlight w:val="none"/>
        </w:rPr>
        <w:t>签订日期：</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年</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月</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lang w:eastAsia="zh-CN"/>
        </w:rPr>
        <w:t>日</w:t>
      </w:r>
    </w:p>
    <w:p>
      <w:pPr>
        <w:pStyle w:val="48"/>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both"/>
        <w:textAlignment w:val="baseline"/>
        <w:rPr>
          <w:rFonts w:hint="eastAsia" w:ascii="黑体" w:hAnsi="黑体" w:eastAsia="黑体" w:cs="黑体"/>
          <w:b w:val="0"/>
          <w:bCs/>
          <w:sz w:val="28"/>
          <w:szCs w:val="28"/>
          <w:highlight w:val="none"/>
          <w:lang w:val="en-US" w:eastAsia="zh-CN"/>
        </w:rPr>
      </w:pPr>
      <w:r>
        <w:rPr>
          <w:rFonts w:hint="eastAsia" w:ascii="黑体" w:hAnsi="黑体" w:eastAsia="黑体" w:cs="黑体"/>
          <w:b w:val="0"/>
          <w:bCs/>
          <w:sz w:val="28"/>
          <w:szCs w:val="28"/>
          <w:highlight w:val="none"/>
          <w:lang w:eastAsia="zh-CN"/>
        </w:rPr>
        <w:t>附件</w:t>
      </w:r>
      <w:r>
        <w:rPr>
          <w:rFonts w:hint="eastAsia" w:ascii="黑体" w:hAnsi="黑体" w:eastAsia="黑体" w:cs="黑体"/>
          <w:b w:val="0"/>
          <w:bCs/>
          <w:sz w:val="28"/>
          <w:szCs w:val="28"/>
          <w:highlight w:val="none"/>
          <w:lang w:val="en-US" w:eastAsia="zh-CN"/>
        </w:rPr>
        <w:t>1</w:t>
      </w:r>
    </w:p>
    <w:p>
      <w:pPr>
        <w:pStyle w:val="48"/>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center"/>
        <w:textAlignment w:val="baseline"/>
        <w:rPr>
          <w:rFonts w:hint="eastAsia" w:ascii="方正小标宋简体" w:hAnsi="方正小标宋简体" w:eastAsia="方正小标宋简体" w:cs="方正小标宋简体"/>
          <w:b w:val="0"/>
          <w:bCs/>
          <w:sz w:val="44"/>
          <w:szCs w:val="44"/>
          <w:highlight w:val="none"/>
          <w:lang w:val="en-US" w:eastAsia="zh-CN"/>
        </w:rPr>
      </w:pPr>
      <w:r>
        <w:rPr>
          <w:rFonts w:hint="eastAsia" w:ascii="方正小标宋简体" w:hAnsi="方正小标宋简体" w:eastAsia="方正小标宋简体" w:cs="方正小标宋简体"/>
          <w:b w:val="0"/>
          <w:bCs/>
          <w:sz w:val="44"/>
          <w:szCs w:val="44"/>
          <w:highlight w:val="none"/>
          <w:lang w:val="en-US" w:eastAsia="zh-CN"/>
        </w:rPr>
        <w:t>经营发展重点工作台账</w:t>
      </w: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80"/>
        <w:gridCol w:w="1259"/>
        <w:gridCol w:w="9060"/>
        <w:gridCol w:w="1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公司名称</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工作事项</w:t>
            </w:r>
          </w:p>
        </w:tc>
        <w:tc>
          <w:tcPr>
            <w:tcW w:w="90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输出成果/工作目标</w:t>
            </w:r>
          </w:p>
        </w:tc>
        <w:tc>
          <w:tcPr>
            <w:tcW w:w="13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指标权重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5" w:hRule="atLeast"/>
        </w:trPr>
        <w:tc>
          <w:tcPr>
            <w:tcW w:w="1180" w:type="dxa"/>
            <w:vMerge w:val="restart"/>
            <w:tcBorders>
              <w:top w:val="single" w:color="000000" w:sz="4" w:space="0"/>
              <w:left w:val="single" w:color="000000" w:sz="4" w:space="0"/>
              <w:right w:val="single" w:color="000000" w:sz="4" w:space="0"/>
            </w:tcBorders>
            <w:noWrap w:val="0"/>
            <w:vAlign w:val="center"/>
          </w:tcPr>
          <w:p>
            <w:pPr>
              <w:ind w:left="0" w:leftChars="0" w:firstLine="0" w:firstLineChars="0"/>
              <w:jc w:val="center"/>
              <w:rPr>
                <w:rFonts w:hint="eastAsia" w:ascii="仿宋" w:hAnsi="仿宋" w:eastAsia="仿宋" w:cs="仿宋"/>
                <w:b/>
                <w:bCs/>
                <w:sz w:val="30"/>
                <w:szCs w:val="30"/>
                <w:highlight w:val="none"/>
              </w:rPr>
            </w:pPr>
            <w:r>
              <w:rPr>
                <w:rStyle w:val="49"/>
                <w:rFonts w:hint="eastAsia" w:ascii="Arial" w:hAnsi="Arial" w:eastAsia="仿宋_GB2312" w:cs="Arial"/>
                <w:b/>
                <w:bCs/>
                <w:color w:val="000000" w:themeColor="text1"/>
                <w:lang w:bidi="ar"/>
                <w14:textFill>
                  <w14:solidFill>
                    <w14:schemeClr w14:val="tx1"/>
                  </w14:solidFill>
                </w14:textFill>
              </w:rPr>
              <w:t>九洲千城置业有限责任公司</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highlight w:val="none"/>
                <w:u w:val="none"/>
              </w:rPr>
            </w:pPr>
          </w:p>
        </w:tc>
        <w:tc>
          <w:tcPr>
            <w:tcW w:w="1259"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eastAsia="仿宋_GB2312" w:cs="Arial"/>
                <w:b/>
                <w:bCs/>
                <w:color w:val="000000" w:themeColor="text1"/>
                <w:kern w:val="0"/>
                <w:sz w:val="24"/>
                <w:szCs w:val="24"/>
                <w:lang w:eastAsia="zh-CN" w:bidi="ar"/>
                <w14:textFill>
                  <w14:solidFill>
                    <w14:schemeClr w14:val="tx1"/>
                  </w14:solidFill>
                </w14:textFill>
              </w:rPr>
            </w:pPr>
            <w:r>
              <w:rPr>
                <w:rFonts w:hint="eastAsia" w:ascii="Arial" w:hAnsi="Arial" w:eastAsia="仿宋_GB2312" w:cs="Arial"/>
                <w:b/>
                <w:bCs/>
                <w:color w:val="000000" w:themeColor="text1"/>
                <w:kern w:val="0"/>
                <w:sz w:val="24"/>
                <w:szCs w:val="24"/>
                <w:lang w:eastAsia="zh-CN" w:bidi="ar"/>
                <w14:textFill>
                  <w14:solidFill>
                    <w14:schemeClr w14:val="tx1"/>
                  </w14:solidFill>
                </w14:textFill>
              </w:rPr>
              <w:t>制度建设</w:t>
            </w:r>
          </w:p>
        </w:tc>
        <w:tc>
          <w:tcPr>
            <w:tcW w:w="9060"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Style w:val="49"/>
                <w:rFonts w:hint="default" w:ascii="Arial" w:hAnsi="Arial" w:eastAsia="仿宋_GB2312" w:cs="Arial"/>
                <w:b/>
                <w:bCs/>
                <w:color w:val="000000" w:themeColor="text1"/>
                <w:lang w:bidi="ar"/>
                <w14:textFill>
                  <w14:solidFill>
                    <w14:schemeClr w14:val="tx1"/>
                  </w14:solidFill>
                </w14:textFill>
              </w:rPr>
            </w:pPr>
            <w:r>
              <w:rPr>
                <w:rStyle w:val="49"/>
                <w:rFonts w:hint="eastAsia" w:ascii="Arial" w:hAnsi="Arial" w:eastAsia="仿宋_GB2312" w:cs="Arial"/>
                <w:b/>
                <w:bCs/>
                <w:color w:val="000000" w:themeColor="text1"/>
                <w:lang w:eastAsia="zh-CN" w:bidi="ar"/>
                <w14:textFill>
                  <w14:solidFill>
                    <w14:schemeClr w14:val="tx1"/>
                  </w14:solidFill>
                </w14:textFill>
              </w:rPr>
              <w:t>一、</w:t>
            </w:r>
            <w:r>
              <w:rPr>
                <w:rStyle w:val="49"/>
                <w:rFonts w:hint="default" w:ascii="Arial" w:hAnsi="Arial" w:eastAsia="仿宋_GB2312" w:cs="Arial"/>
                <w:b/>
                <w:bCs/>
                <w:color w:val="000000" w:themeColor="text1"/>
                <w:lang w:bidi="ar"/>
                <w14:textFill>
                  <w14:solidFill>
                    <w14:schemeClr w14:val="tx1"/>
                  </w14:solidFill>
                </w14:textFill>
              </w:rPr>
              <w:t>完成制度及权责优化调整</w:t>
            </w:r>
          </w:p>
          <w:p>
            <w:pPr>
              <w:widowControl/>
              <w:jc w:val="left"/>
              <w:textAlignment w:val="center"/>
              <w:rPr>
                <w:rStyle w:val="50"/>
                <w:rFonts w:eastAsia="仿宋_GB2312"/>
                <w:color w:val="000000" w:themeColor="text1"/>
                <w:lang w:bidi="ar"/>
                <w14:textFill>
                  <w14:solidFill>
                    <w14:schemeClr w14:val="tx1"/>
                  </w14:solidFill>
                </w14:textFill>
              </w:rPr>
            </w:pPr>
            <w:r>
              <w:rPr>
                <w:rStyle w:val="50"/>
                <w:rFonts w:hint="eastAsia" w:eastAsia="仿宋_GB2312"/>
                <w:color w:val="000000" w:themeColor="text1"/>
                <w:lang w:bidi="ar"/>
                <w14:textFill>
                  <w14:solidFill>
                    <w14:schemeClr w14:val="tx1"/>
                  </w14:solidFill>
                </w14:textFill>
              </w:rPr>
              <w:t>完成</w:t>
            </w:r>
            <w:r>
              <w:rPr>
                <w:rStyle w:val="49"/>
                <w:rFonts w:hint="default" w:ascii="Arial" w:hAnsi="Arial" w:eastAsia="仿宋_GB2312" w:cs="Arial"/>
                <w:color w:val="000000" w:themeColor="text1"/>
                <w:lang w:bidi="ar"/>
                <w14:textFill>
                  <w14:solidFill>
                    <w14:schemeClr w14:val="tx1"/>
                  </w14:solidFill>
                </w14:textFill>
              </w:rPr>
              <w:t>董事会</w:t>
            </w:r>
            <w:r>
              <w:rPr>
                <w:rStyle w:val="50"/>
                <w:rFonts w:eastAsia="仿宋_GB2312"/>
                <w:color w:val="000000" w:themeColor="text1"/>
                <w:lang w:bidi="ar"/>
                <w14:textFill>
                  <w14:solidFill>
                    <w14:schemeClr w14:val="tx1"/>
                  </w14:solidFill>
                </w14:textFill>
              </w:rPr>
              <w:t>/</w:t>
            </w:r>
            <w:r>
              <w:rPr>
                <w:rStyle w:val="49"/>
                <w:rFonts w:hint="default" w:ascii="Arial" w:hAnsi="Arial" w:eastAsia="仿宋_GB2312" w:cs="Arial"/>
                <w:color w:val="000000" w:themeColor="text1"/>
                <w:lang w:bidi="ar"/>
                <w14:textFill>
                  <w14:solidFill>
                    <w14:schemeClr w14:val="tx1"/>
                  </w14:solidFill>
                </w14:textFill>
              </w:rPr>
              <w:t>支委会</w:t>
            </w:r>
            <w:r>
              <w:rPr>
                <w:rStyle w:val="50"/>
                <w:rFonts w:eastAsia="仿宋_GB2312"/>
                <w:color w:val="000000" w:themeColor="text1"/>
                <w:lang w:bidi="ar"/>
                <w14:textFill>
                  <w14:solidFill>
                    <w14:schemeClr w14:val="tx1"/>
                  </w14:solidFill>
                </w14:textFill>
              </w:rPr>
              <w:t>/</w:t>
            </w:r>
            <w:r>
              <w:rPr>
                <w:rStyle w:val="49"/>
                <w:rFonts w:hint="default" w:ascii="Arial" w:hAnsi="Arial" w:eastAsia="仿宋_GB2312" w:cs="Arial"/>
                <w:color w:val="000000" w:themeColor="text1"/>
                <w:lang w:bidi="ar"/>
                <w14:textFill>
                  <w14:solidFill>
                    <w14:schemeClr w14:val="tx1"/>
                  </w14:solidFill>
                </w14:textFill>
              </w:rPr>
              <w:t>经营决策会议事规则优化，并正式发布公司新版权责手册（</w:t>
            </w:r>
            <w:r>
              <w:rPr>
                <w:rStyle w:val="50"/>
                <w:rFonts w:hint="eastAsia" w:ascii="仿宋_GB2312" w:hAnsi="仿宋_GB2312" w:eastAsia="仿宋_GB2312" w:cs="仿宋_GB2312"/>
                <w:b w:val="0"/>
                <w:bCs w:val="0"/>
                <w:color w:val="000000" w:themeColor="text1"/>
                <w:lang w:bidi="ar"/>
                <w14:textFill>
                  <w14:solidFill>
                    <w14:schemeClr w14:val="tx1"/>
                  </w14:solidFill>
                </w14:textFill>
              </w:rPr>
              <w:t>2024</w:t>
            </w:r>
            <w:r>
              <w:rPr>
                <w:rStyle w:val="49"/>
                <w:rFonts w:hint="eastAsia" w:ascii="仿宋_GB2312" w:hAnsi="仿宋_GB2312" w:eastAsia="仿宋_GB2312" w:cs="仿宋_GB2312"/>
                <w:color w:val="000000" w:themeColor="text1"/>
                <w:lang w:bidi="ar"/>
                <w14:textFill>
                  <w14:solidFill>
                    <w14:schemeClr w14:val="tx1"/>
                  </w14:solidFill>
                </w14:textFill>
              </w:rPr>
              <w:t>版）；</w:t>
            </w:r>
          </w:p>
        </w:tc>
        <w:tc>
          <w:tcPr>
            <w:tcW w:w="13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5" w:hRule="atLeast"/>
        </w:trPr>
        <w:tc>
          <w:tcPr>
            <w:tcW w:w="1180" w:type="dxa"/>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highlight w:val="none"/>
                <w:u w:val="none"/>
              </w:rPr>
            </w:pPr>
          </w:p>
        </w:tc>
        <w:tc>
          <w:tcPr>
            <w:tcW w:w="1259" w:type="dxa"/>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highlight w:val="none"/>
                <w:u w:val="none"/>
              </w:rPr>
            </w:pPr>
            <w:r>
              <w:rPr>
                <w:rFonts w:ascii="Arial" w:hAnsi="Arial" w:eastAsia="仿宋_GB2312" w:cs="Arial"/>
                <w:b/>
                <w:bCs/>
                <w:color w:val="000000" w:themeColor="text1"/>
                <w:kern w:val="0"/>
                <w:sz w:val="24"/>
                <w:szCs w:val="24"/>
                <w:lang w:bidi="ar"/>
                <w14:textFill>
                  <w14:solidFill>
                    <w14:schemeClr w14:val="tx1"/>
                  </w14:solidFill>
                </w14:textFill>
              </w:rPr>
              <w:t>能力建设</w:t>
            </w:r>
          </w:p>
        </w:tc>
        <w:tc>
          <w:tcPr>
            <w:tcW w:w="9060" w:type="dxa"/>
            <w:tcBorders>
              <w:top w:val="single" w:color="000000" w:sz="4" w:space="0"/>
              <w:left w:val="single" w:color="000000" w:sz="4" w:space="0"/>
              <w:bottom w:val="single" w:color="000000" w:sz="4" w:space="0"/>
              <w:right w:val="single" w:color="000000" w:sz="4" w:space="0"/>
            </w:tcBorders>
            <w:noWrap w:val="0"/>
            <w:vAlign w:val="center"/>
          </w:tcPr>
          <w:p>
            <w:pPr>
              <w:pStyle w:val="20"/>
              <w:numPr>
                <w:ilvl w:val="0"/>
                <w:numId w:val="0"/>
              </w:numPr>
              <w:rPr>
                <w:rStyle w:val="49"/>
                <w:rFonts w:hint="default" w:ascii="Arial" w:hAnsi="Arial" w:eastAsia="仿宋_GB2312" w:cs="Arial"/>
                <w:b/>
                <w:bCs/>
                <w:color w:val="000000" w:themeColor="text1"/>
                <w:lang w:bidi="ar"/>
                <w14:textFill>
                  <w14:solidFill>
                    <w14:schemeClr w14:val="tx1"/>
                  </w14:solidFill>
                </w14:textFill>
              </w:rPr>
            </w:pPr>
            <w:r>
              <w:rPr>
                <w:rFonts w:hint="eastAsia" w:ascii="Arial" w:hAnsi="Arial" w:eastAsia="仿宋_GB2312" w:cs="Arial"/>
                <w:b/>
                <w:bCs/>
                <w:color w:val="000000" w:themeColor="text1"/>
                <w:kern w:val="0"/>
                <w:sz w:val="24"/>
                <w:szCs w:val="24"/>
                <w:lang w:eastAsia="zh-CN" w:bidi="ar"/>
                <w14:textFill>
                  <w14:solidFill>
                    <w14:schemeClr w14:val="tx1"/>
                  </w14:solidFill>
                </w14:textFill>
              </w:rPr>
              <w:t>一、</w:t>
            </w:r>
            <w:r>
              <w:rPr>
                <w:rFonts w:ascii="Arial" w:hAnsi="Arial" w:eastAsia="仿宋_GB2312" w:cs="Arial"/>
                <w:b/>
                <w:bCs/>
                <w:color w:val="000000" w:themeColor="text1"/>
                <w:kern w:val="0"/>
                <w:sz w:val="24"/>
                <w:szCs w:val="24"/>
                <w:lang w:bidi="ar"/>
                <w14:textFill>
                  <w14:solidFill>
                    <w14:schemeClr w14:val="tx1"/>
                  </w14:solidFill>
                </w14:textFill>
              </w:rPr>
              <w:t>提升财务管理能力</w:t>
            </w:r>
          </w:p>
          <w:p>
            <w:pPr>
              <w:widowControl/>
              <w:jc w:val="left"/>
              <w:textAlignment w:val="center"/>
              <w:rPr>
                <w:rStyle w:val="49"/>
                <w:rFonts w:hint="eastAsia" w:ascii="仿宋_GB2312" w:hAnsi="仿宋_GB2312" w:eastAsia="仿宋_GB2312" w:cs="仿宋_GB2312"/>
                <w:color w:val="000000" w:themeColor="text1"/>
                <w:lang w:bidi="ar"/>
                <w14:textFill>
                  <w14:solidFill>
                    <w14:schemeClr w14:val="tx1"/>
                  </w14:solidFill>
                </w14:textFill>
              </w:rPr>
            </w:pPr>
            <w:r>
              <w:rPr>
                <w:rStyle w:val="50"/>
                <w:rFonts w:hint="eastAsia" w:ascii="仿宋_GB2312" w:hAnsi="仿宋_GB2312" w:eastAsia="仿宋_GB2312" w:cs="仿宋_GB2312"/>
                <w:color w:val="000000" w:themeColor="text1"/>
                <w:lang w:bidi="ar"/>
                <w14:textFill>
                  <w14:solidFill>
                    <w14:schemeClr w14:val="tx1"/>
                  </w14:solidFill>
                </w14:textFill>
              </w:rPr>
              <w:t>1</w:t>
            </w:r>
            <w:r>
              <w:rPr>
                <w:rStyle w:val="49"/>
                <w:rFonts w:hint="eastAsia" w:ascii="仿宋_GB2312" w:hAnsi="仿宋_GB2312" w:eastAsia="仿宋_GB2312" w:cs="仿宋_GB2312"/>
                <w:color w:val="000000" w:themeColor="text1"/>
                <w:lang w:bidi="ar"/>
                <w14:textFill>
                  <w14:solidFill>
                    <w14:schemeClr w14:val="tx1"/>
                  </w14:solidFill>
                </w14:textFill>
              </w:rPr>
              <w:t>、强化现金流指标考核，采取工程抵款房、加大销售去化和回款力度等方式，确保全年收支平衡。</w:t>
            </w:r>
          </w:p>
          <w:p>
            <w:pPr>
              <w:widowControl/>
              <w:jc w:val="left"/>
              <w:textAlignment w:val="center"/>
              <w:rPr>
                <w:rStyle w:val="49"/>
                <w:rFonts w:hint="eastAsia" w:ascii="仿宋_GB2312" w:hAnsi="仿宋_GB2312" w:eastAsia="仿宋_GB2312" w:cs="仿宋_GB2312"/>
                <w:color w:val="000000" w:themeColor="text1"/>
                <w:lang w:bidi="ar"/>
                <w14:textFill>
                  <w14:solidFill>
                    <w14:schemeClr w14:val="tx1"/>
                  </w14:solidFill>
                </w14:textFill>
              </w:rPr>
            </w:pPr>
            <w:r>
              <w:rPr>
                <w:rStyle w:val="50"/>
                <w:rFonts w:hint="eastAsia" w:ascii="仿宋_GB2312" w:hAnsi="仿宋_GB2312" w:eastAsia="仿宋_GB2312" w:cs="仿宋_GB2312"/>
                <w:color w:val="000000" w:themeColor="text1"/>
                <w:lang w:bidi="ar"/>
                <w14:textFill>
                  <w14:solidFill>
                    <w14:schemeClr w14:val="tx1"/>
                  </w14:solidFill>
                </w14:textFill>
              </w:rPr>
              <w:t>2</w:t>
            </w:r>
            <w:r>
              <w:rPr>
                <w:rStyle w:val="49"/>
                <w:rFonts w:hint="eastAsia" w:ascii="仿宋_GB2312" w:hAnsi="仿宋_GB2312" w:eastAsia="仿宋_GB2312" w:cs="仿宋_GB2312"/>
                <w:color w:val="000000" w:themeColor="text1"/>
                <w:lang w:bidi="ar"/>
                <w14:textFill>
                  <w14:solidFill>
                    <w14:schemeClr w14:val="tx1"/>
                  </w14:solidFill>
                </w14:textFill>
              </w:rPr>
              <w:t>、争取留抵退税；做好新开项目税务筹划。</w:t>
            </w:r>
          </w:p>
          <w:p>
            <w:pPr>
              <w:widowControl/>
              <w:jc w:val="left"/>
              <w:textAlignment w:val="center"/>
              <w:rPr>
                <w:rStyle w:val="49"/>
                <w:rFonts w:hint="eastAsia" w:ascii="仿宋_GB2312" w:hAnsi="仿宋_GB2312" w:eastAsia="仿宋_GB2312" w:cs="仿宋_GB2312"/>
                <w:color w:val="000000" w:themeColor="text1"/>
                <w:lang w:bidi="ar"/>
                <w14:textFill>
                  <w14:solidFill>
                    <w14:schemeClr w14:val="tx1"/>
                  </w14:solidFill>
                </w14:textFill>
              </w:rPr>
            </w:pPr>
            <w:r>
              <w:rPr>
                <w:rStyle w:val="50"/>
                <w:rFonts w:hint="eastAsia" w:ascii="仿宋_GB2312" w:hAnsi="仿宋_GB2312" w:eastAsia="仿宋_GB2312" w:cs="仿宋_GB2312"/>
                <w:color w:val="000000" w:themeColor="text1"/>
                <w:lang w:bidi="ar"/>
                <w14:textFill>
                  <w14:solidFill>
                    <w14:schemeClr w14:val="tx1"/>
                  </w14:solidFill>
                </w14:textFill>
              </w:rPr>
              <w:t>3</w:t>
            </w:r>
            <w:r>
              <w:rPr>
                <w:rStyle w:val="49"/>
                <w:rFonts w:hint="eastAsia" w:ascii="仿宋_GB2312" w:hAnsi="仿宋_GB2312" w:eastAsia="仿宋_GB2312" w:cs="仿宋_GB2312"/>
                <w:color w:val="000000" w:themeColor="text1"/>
                <w:lang w:bidi="ar"/>
                <w14:textFill>
                  <w14:solidFill>
                    <w14:schemeClr w14:val="tx1"/>
                  </w14:solidFill>
                </w14:textFill>
              </w:rPr>
              <w:t>、全面禁止工程款超进度节点支付。</w:t>
            </w:r>
          </w:p>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4"/>
                <w:szCs w:val="24"/>
                <w:highlight w:val="none"/>
                <w:u w:val="none"/>
                <w:lang w:val="en-US" w:eastAsia="zh-CN" w:bidi="ar-SA"/>
              </w:rPr>
            </w:pPr>
            <w:r>
              <w:rPr>
                <w:rStyle w:val="50"/>
                <w:rFonts w:hint="eastAsia" w:ascii="仿宋_GB2312" w:hAnsi="仿宋_GB2312" w:eastAsia="仿宋_GB2312" w:cs="仿宋_GB2312"/>
                <w:color w:val="000000" w:themeColor="text1"/>
                <w:lang w:bidi="ar"/>
                <w14:textFill>
                  <w14:solidFill>
                    <w14:schemeClr w14:val="tx1"/>
                  </w14:solidFill>
                </w14:textFill>
              </w:rPr>
              <w:t>4</w:t>
            </w:r>
            <w:r>
              <w:rPr>
                <w:rStyle w:val="49"/>
                <w:rFonts w:hint="eastAsia" w:ascii="仿宋_GB2312" w:hAnsi="仿宋_GB2312" w:eastAsia="仿宋_GB2312" w:cs="仿宋_GB2312"/>
                <w:color w:val="000000" w:themeColor="text1"/>
                <w:lang w:bidi="ar"/>
                <w14:textFill>
                  <w14:solidFill>
                    <w14:schemeClr w14:val="tx1"/>
                  </w14:solidFill>
                </w14:textFill>
              </w:rPr>
              <w:t>、推进项目收尾工作：</w:t>
            </w:r>
            <w:r>
              <w:rPr>
                <w:rStyle w:val="49"/>
                <w:rFonts w:hint="eastAsia" w:ascii="仿宋_GB2312" w:hAnsi="仿宋_GB2312" w:eastAsia="仿宋_GB2312" w:cs="仿宋_GB2312"/>
                <w:color w:val="000000" w:themeColor="text1"/>
                <w:lang w:val="en-US" w:eastAsia="zh-CN" w:bidi="ar"/>
                <w14:textFill>
                  <w14:solidFill>
                    <w14:schemeClr w14:val="tx1"/>
                  </w14:solidFill>
                </w14:textFill>
              </w:rPr>
              <w:t>完成</w:t>
            </w:r>
            <w:r>
              <w:rPr>
                <w:rStyle w:val="49"/>
                <w:rFonts w:hint="eastAsia" w:ascii="仿宋_GB2312" w:hAnsi="仿宋_GB2312" w:eastAsia="仿宋_GB2312" w:cs="仿宋_GB2312"/>
                <w:color w:val="000000" w:themeColor="text1"/>
                <w:lang w:bidi="ar"/>
                <w14:textFill>
                  <w14:solidFill>
                    <w14:schemeClr w14:val="tx1"/>
                  </w14:solidFill>
                </w14:textFill>
              </w:rPr>
              <w:t>汉地尚街项目</w:t>
            </w:r>
            <w:r>
              <w:rPr>
                <w:rStyle w:val="50"/>
                <w:rFonts w:hint="eastAsia" w:ascii="仿宋_GB2312" w:hAnsi="仿宋_GB2312" w:eastAsia="仿宋_GB2312" w:cs="仿宋_GB2312"/>
                <w:color w:val="000000" w:themeColor="text1"/>
                <w:lang w:val="en-US" w:eastAsia="zh-CN" w:bidi="ar"/>
                <w14:textFill>
                  <w14:solidFill>
                    <w14:schemeClr w14:val="tx1"/>
                  </w14:solidFill>
                </w14:textFill>
              </w:rPr>
              <w:t>审计评估工作及清算方案</w:t>
            </w:r>
            <w:r>
              <w:rPr>
                <w:rStyle w:val="49"/>
                <w:rFonts w:hint="eastAsia" w:ascii="仿宋_GB2312" w:hAnsi="仿宋_GB2312" w:eastAsia="仿宋_GB2312" w:cs="仿宋_GB2312"/>
                <w:color w:val="000000" w:themeColor="text1"/>
                <w:lang w:eastAsia="zh-CN" w:bidi="ar"/>
                <w14:textFill>
                  <w14:solidFill>
                    <w14:schemeClr w14:val="tx1"/>
                  </w14:solidFill>
                </w14:textFill>
              </w:rPr>
              <w:t>；</w:t>
            </w:r>
            <w:r>
              <w:rPr>
                <w:rStyle w:val="50"/>
                <w:rFonts w:hint="eastAsia" w:ascii="仿宋_GB2312" w:hAnsi="仿宋_GB2312" w:eastAsia="仿宋_GB2312" w:cs="仿宋_GB2312"/>
                <w:color w:val="000000" w:themeColor="text1"/>
                <w:lang w:bidi="ar"/>
                <w14:textFill>
                  <w14:solidFill>
                    <w14:schemeClr w14:val="tx1"/>
                  </w14:solidFill>
                </w14:textFill>
              </w:rPr>
              <w:t>6</w:t>
            </w:r>
            <w:r>
              <w:rPr>
                <w:rStyle w:val="49"/>
                <w:rFonts w:hint="eastAsia" w:ascii="仿宋_GB2312" w:hAnsi="仿宋_GB2312" w:eastAsia="仿宋_GB2312" w:cs="仿宋_GB2312"/>
                <w:color w:val="000000" w:themeColor="text1"/>
                <w:lang w:bidi="ar"/>
                <w14:textFill>
                  <w14:solidFill>
                    <w14:schemeClr w14:val="tx1"/>
                  </w14:solidFill>
                </w14:textFill>
              </w:rPr>
              <w:t>月底前启动</w:t>
            </w:r>
            <w:r>
              <w:rPr>
                <w:rStyle w:val="49"/>
                <w:rFonts w:hint="eastAsia" w:ascii="仿宋_GB2312" w:hAnsi="仿宋_GB2312" w:eastAsia="仿宋_GB2312" w:cs="仿宋_GB2312"/>
                <w:color w:val="000000" w:themeColor="text1"/>
                <w:lang w:val="en-US" w:eastAsia="zh-CN" w:bidi="ar"/>
                <w14:textFill>
                  <w14:solidFill>
                    <w14:schemeClr w14:val="tx1"/>
                  </w14:solidFill>
                </w14:textFill>
              </w:rPr>
              <w:t>云栖湖项目</w:t>
            </w:r>
            <w:r>
              <w:rPr>
                <w:rStyle w:val="49"/>
                <w:rFonts w:hint="eastAsia" w:ascii="仿宋_GB2312" w:hAnsi="仿宋_GB2312" w:eastAsia="仿宋_GB2312" w:cs="仿宋_GB2312"/>
                <w:color w:val="000000" w:themeColor="text1"/>
                <w:lang w:bidi="ar"/>
                <w14:textFill>
                  <w14:solidFill>
                    <w14:schemeClr w14:val="tx1"/>
                  </w14:solidFill>
                </w14:textFill>
              </w:rPr>
              <w:t>土增税清算</w:t>
            </w:r>
            <w:r>
              <w:rPr>
                <w:rStyle w:val="49"/>
                <w:rFonts w:hint="eastAsia" w:ascii="仿宋_GB2312" w:hAnsi="仿宋_GB2312" w:eastAsia="仿宋_GB2312" w:cs="仿宋_GB2312"/>
                <w:color w:val="000000" w:themeColor="text1"/>
                <w:lang w:val="en-US" w:eastAsia="zh-CN" w:bidi="ar"/>
                <w14:textFill>
                  <w14:solidFill>
                    <w14:schemeClr w14:val="tx1"/>
                  </w14:solidFill>
                </w14:textFill>
              </w:rPr>
              <w:t>工作及完成16号二期土增税清算工作</w:t>
            </w:r>
            <w:r>
              <w:rPr>
                <w:rStyle w:val="49"/>
                <w:rFonts w:hint="eastAsia" w:ascii="仿宋_GB2312" w:hAnsi="仿宋_GB2312" w:eastAsia="仿宋_GB2312" w:cs="仿宋_GB2312"/>
                <w:color w:val="000000" w:themeColor="text1"/>
                <w:lang w:bidi="ar"/>
                <w14:textFill>
                  <w14:solidFill>
                    <w14:schemeClr w14:val="tx1"/>
                  </w14:solidFill>
                </w14:textFill>
              </w:rPr>
              <w:t>；跟进前期管理输出项目的费用结算及保证金退还。</w:t>
            </w:r>
          </w:p>
        </w:tc>
        <w:tc>
          <w:tcPr>
            <w:tcW w:w="13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5" w:hRule="atLeast"/>
        </w:trPr>
        <w:tc>
          <w:tcPr>
            <w:tcW w:w="1180" w:type="dxa"/>
            <w:vMerge w:val="continue"/>
            <w:tcBorders>
              <w:left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4"/>
                <w:szCs w:val="24"/>
                <w:highlight w:val="none"/>
                <w:u w:val="none"/>
              </w:rPr>
            </w:pPr>
          </w:p>
        </w:tc>
        <w:tc>
          <w:tcPr>
            <w:tcW w:w="1259" w:type="dxa"/>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p>
        </w:tc>
        <w:tc>
          <w:tcPr>
            <w:tcW w:w="9060" w:type="dxa"/>
            <w:tcBorders>
              <w:top w:val="single" w:color="000000" w:sz="4" w:space="0"/>
              <w:left w:val="single" w:color="000000" w:sz="4" w:space="0"/>
              <w:bottom w:val="single" w:color="000000" w:sz="4" w:space="0"/>
              <w:right w:val="single" w:color="000000" w:sz="4" w:space="0"/>
            </w:tcBorders>
            <w:noWrap w:val="0"/>
            <w:vAlign w:val="center"/>
          </w:tcPr>
          <w:p>
            <w:pPr>
              <w:pStyle w:val="20"/>
              <w:numPr>
                <w:ilvl w:val="0"/>
                <w:numId w:val="0"/>
              </w:numPr>
              <w:ind w:leftChars="0"/>
              <w:rPr>
                <w:rFonts w:ascii="Arial" w:hAnsi="Arial" w:eastAsia="仿宋_GB2312" w:cs="Arial"/>
                <w:b/>
                <w:bCs/>
                <w:color w:val="000000" w:themeColor="text1"/>
                <w:kern w:val="0"/>
                <w:sz w:val="24"/>
                <w:szCs w:val="24"/>
                <w:lang w:bidi="ar"/>
                <w14:textFill>
                  <w14:solidFill>
                    <w14:schemeClr w14:val="tx1"/>
                  </w14:solidFill>
                </w14:textFill>
              </w:rPr>
            </w:pPr>
            <w:r>
              <w:rPr>
                <w:rFonts w:hint="eastAsia" w:ascii="Arial" w:hAnsi="Arial" w:eastAsia="仿宋_GB2312" w:cs="Arial"/>
                <w:b/>
                <w:bCs/>
                <w:color w:val="000000" w:themeColor="text1"/>
                <w:kern w:val="0"/>
                <w:sz w:val="24"/>
                <w:szCs w:val="24"/>
                <w:lang w:eastAsia="zh-CN" w:bidi="ar"/>
                <w14:textFill>
                  <w14:solidFill>
                    <w14:schemeClr w14:val="tx1"/>
                  </w14:solidFill>
                </w14:textFill>
              </w:rPr>
              <w:t>二、</w:t>
            </w:r>
            <w:r>
              <w:rPr>
                <w:rFonts w:ascii="Arial" w:hAnsi="Arial" w:eastAsia="仿宋_GB2312" w:cs="Arial"/>
                <w:b/>
                <w:bCs/>
                <w:color w:val="000000" w:themeColor="text1"/>
                <w:kern w:val="0"/>
                <w:sz w:val="24"/>
                <w:szCs w:val="24"/>
                <w:lang w:bidi="ar"/>
                <w14:textFill>
                  <w14:solidFill>
                    <w14:schemeClr w14:val="tx1"/>
                  </w14:solidFill>
                </w14:textFill>
              </w:rPr>
              <w:t>提升招商运营能力</w:t>
            </w:r>
          </w:p>
          <w:p>
            <w:pPr>
              <w:widowControl/>
              <w:jc w:val="left"/>
              <w:textAlignment w:val="center"/>
              <w:rPr>
                <w:rStyle w:val="49"/>
                <w:rFonts w:hint="eastAsia" w:ascii="仿宋_GB2312" w:hAnsi="仿宋_GB2312" w:eastAsia="仿宋_GB2312" w:cs="仿宋_GB2312"/>
                <w:color w:val="000000" w:themeColor="text1"/>
                <w:lang w:bidi="ar"/>
                <w14:textFill>
                  <w14:solidFill>
                    <w14:schemeClr w14:val="tx1"/>
                  </w14:solidFill>
                </w14:textFill>
              </w:rPr>
            </w:pPr>
            <w:r>
              <w:rPr>
                <w:rStyle w:val="50"/>
                <w:rFonts w:hint="eastAsia" w:ascii="仿宋_GB2312" w:hAnsi="仿宋_GB2312" w:eastAsia="仿宋_GB2312" w:cs="仿宋_GB2312"/>
                <w:color w:val="000000" w:themeColor="text1"/>
                <w:lang w:bidi="ar"/>
                <w14:textFill>
                  <w14:solidFill>
                    <w14:schemeClr w14:val="tx1"/>
                  </w14:solidFill>
                </w14:textFill>
              </w:rPr>
              <w:t>1</w:t>
            </w:r>
            <w:r>
              <w:rPr>
                <w:rStyle w:val="49"/>
                <w:rFonts w:hint="eastAsia" w:ascii="仿宋_GB2312" w:hAnsi="仿宋_GB2312" w:eastAsia="仿宋_GB2312" w:cs="仿宋_GB2312"/>
                <w:color w:val="000000" w:themeColor="text1"/>
                <w:lang w:bidi="ar"/>
                <w14:textFill>
                  <w14:solidFill>
                    <w14:schemeClr w14:val="tx1"/>
                  </w14:solidFill>
                </w14:textFill>
              </w:rPr>
              <w:t>、力争汉地尚街招商率不低于7</w:t>
            </w:r>
            <w:r>
              <w:rPr>
                <w:rStyle w:val="49"/>
                <w:rFonts w:hint="eastAsia" w:ascii="仿宋_GB2312" w:hAnsi="仿宋_GB2312" w:eastAsia="仿宋_GB2312" w:cs="仿宋_GB2312"/>
                <w:color w:val="000000" w:themeColor="text1"/>
                <w:lang w:val="en-US" w:eastAsia="zh-CN" w:bidi="ar"/>
                <w14:textFill>
                  <w14:solidFill>
                    <w14:schemeClr w14:val="tx1"/>
                  </w14:solidFill>
                </w14:textFill>
              </w:rPr>
              <w:t>7</w:t>
            </w:r>
            <w:r>
              <w:rPr>
                <w:rStyle w:val="49"/>
                <w:rFonts w:hint="eastAsia" w:ascii="仿宋_GB2312" w:hAnsi="仿宋_GB2312" w:eastAsia="仿宋_GB2312" w:cs="仿宋_GB2312"/>
                <w:color w:val="000000" w:themeColor="text1"/>
                <w:lang w:bidi="ar"/>
                <w14:textFill>
                  <w14:solidFill>
                    <w14:schemeClr w14:val="tx1"/>
                  </w14:solidFill>
                </w14:textFill>
              </w:rPr>
              <w:t>%。</w:t>
            </w:r>
          </w:p>
          <w:p>
            <w:pPr>
              <w:widowControl/>
              <w:jc w:val="left"/>
              <w:textAlignment w:val="center"/>
              <w:rPr>
                <w:rFonts w:hint="eastAsia" w:ascii="仿宋_GB2312" w:hAnsi="仿宋_GB2312" w:eastAsia="仿宋_GB2312" w:cs="仿宋_GB2312"/>
                <w:i w:val="0"/>
                <w:iCs w:val="0"/>
                <w:color w:val="000000"/>
                <w:sz w:val="24"/>
                <w:szCs w:val="24"/>
                <w:highlight w:val="none"/>
                <w:u w:val="none"/>
              </w:rPr>
            </w:pPr>
            <w:r>
              <w:rPr>
                <w:rStyle w:val="50"/>
                <w:rFonts w:hint="eastAsia" w:ascii="仿宋_GB2312" w:hAnsi="仿宋_GB2312" w:eastAsia="仿宋_GB2312" w:cs="仿宋_GB2312"/>
                <w:color w:val="000000" w:themeColor="text1"/>
                <w:lang w:bidi="ar"/>
                <w14:textFill>
                  <w14:solidFill>
                    <w14:schemeClr w14:val="tx1"/>
                  </w14:solidFill>
                </w14:textFill>
              </w:rPr>
              <w:t>2</w:t>
            </w:r>
            <w:r>
              <w:rPr>
                <w:rStyle w:val="49"/>
                <w:rFonts w:hint="eastAsia" w:ascii="仿宋_GB2312" w:hAnsi="仿宋_GB2312" w:eastAsia="仿宋_GB2312" w:cs="仿宋_GB2312"/>
                <w:color w:val="000000" w:themeColor="text1"/>
                <w:lang w:bidi="ar"/>
                <w14:textFill>
                  <w14:solidFill>
                    <w14:schemeClr w14:val="tx1"/>
                  </w14:solidFill>
                </w14:textFill>
              </w:rPr>
              <w:t>、完成汉地尚街项目职院东门开门引流。</w:t>
            </w:r>
          </w:p>
        </w:tc>
        <w:tc>
          <w:tcPr>
            <w:tcW w:w="13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5" w:hRule="atLeast"/>
        </w:trPr>
        <w:tc>
          <w:tcPr>
            <w:tcW w:w="1180" w:type="dxa"/>
            <w:vMerge w:val="continue"/>
            <w:tcBorders>
              <w:left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4"/>
                <w:szCs w:val="24"/>
                <w:highlight w:val="none"/>
                <w:u w:val="none"/>
              </w:rPr>
            </w:pPr>
          </w:p>
        </w:tc>
        <w:tc>
          <w:tcPr>
            <w:tcW w:w="1259" w:type="dxa"/>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p>
        </w:tc>
        <w:tc>
          <w:tcPr>
            <w:tcW w:w="9060" w:type="dxa"/>
            <w:tcBorders>
              <w:top w:val="single" w:color="000000" w:sz="4" w:space="0"/>
              <w:left w:val="single" w:color="000000" w:sz="4" w:space="0"/>
              <w:bottom w:val="single" w:color="000000" w:sz="4" w:space="0"/>
              <w:right w:val="single" w:color="000000" w:sz="4" w:space="0"/>
            </w:tcBorders>
            <w:noWrap w:val="0"/>
            <w:vAlign w:val="center"/>
          </w:tcPr>
          <w:p>
            <w:pPr>
              <w:pStyle w:val="20"/>
              <w:numPr>
                <w:ilvl w:val="0"/>
                <w:numId w:val="0"/>
              </w:numPr>
              <w:ind w:leftChars="0"/>
              <w:rPr>
                <w:rFonts w:ascii="Arial" w:hAnsi="Arial" w:eastAsia="仿宋_GB2312" w:cs="Arial"/>
                <w:b/>
                <w:bCs/>
                <w:color w:val="000000" w:themeColor="text1"/>
                <w:kern w:val="0"/>
                <w:sz w:val="24"/>
                <w:szCs w:val="24"/>
                <w:lang w:bidi="ar"/>
                <w14:textFill>
                  <w14:solidFill>
                    <w14:schemeClr w14:val="tx1"/>
                  </w14:solidFill>
                </w14:textFill>
              </w:rPr>
            </w:pPr>
            <w:r>
              <w:rPr>
                <w:rFonts w:hint="eastAsia" w:ascii="Arial" w:hAnsi="Arial" w:eastAsia="仿宋_GB2312" w:cs="Arial"/>
                <w:b/>
                <w:bCs/>
                <w:color w:val="000000" w:themeColor="text1"/>
                <w:kern w:val="0"/>
                <w:sz w:val="24"/>
                <w:szCs w:val="24"/>
                <w:lang w:eastAsia="zh-CN" w:bidi="ar"/>
                <w14:textFill>
                  <w14:solidFill>
                    <w14:schemeClr w14:val="tx1"/>
                  </w14:solidFill>
                </w14:textFill>
              </w:rPr>
              <w:t>三、</w:t>
            </w:r>
            <w:r>
              <w:rPr>
                <w:rFonts w:ascii="Arial" w:hAnsi="Arial" w:eastAsia="仿宋_GB2312" w:cs="Arial"/>
                <w:b/>
                <w:bCs/>
                <w:color w:val="000000" w:themeColor="text1"/>
                <w:kern w:val="0"/>
                <w:sz w:val="24"/>
                <w:szCs w:val="24"/>
                <w:lang w:bidi="ar"/>
                <w14:textFill>
                  <w14:solidFill>
                    <w14:schemeClr w14:val="tx1"/>
                  </w14:solidFill>
                </w14:textFill>
              </w:rPr>
              <w:t>代管公司管理</w:t>
            </w:r>
          </w:p>
          <w:p>
            <w:pPr>
              <w:widowControl/>
              <w:jc w:val="left"/>
              <w:textAlignment w:val="center"/>
              <w:rPr>
                <w:rStyle w:val="49"/>
                <w:rFonts w:hint="eastAsia" w:ascii="仿宋_GB2312" w:hAnsi="仿宋_GB2312" w:eastAsia="仿宋_GB2312" w:cs="仿宋_GB2312"/>
                <w:color w:val="000000" w:themeColor="text1"/>
                <w:lang w:bidi="ar"/>
                <w14:textFill>
                  <w14:solidFill>
                    <w14:schemeClr w14:val="tx1"/>
                  </w14:solidFill>
                </w14:textFill>
              </w:rPr>
            </w:pPr>
            <w:r>
              <w:rPr>
                <w:rStyle w:val="50"/>
                <w:rFonts w:hint="eastAsia" w:ascii="仿宋_GB2312" w:hAnsi="仿宋_GB2312" w:eastAsia="仿宋_GB2312" w:cs="仿宋_GB2312"/>
                <w:color w:val="000000" w:themeColor="text1"/>
                <w:lang w:bidi="ar"/>
                <w14:textFill>
                  <w14:solidFill>
                    <w14:schemeClr w14:val="tx1"/>
                  </w14:solidFill>
                </w14:textFill>
              </w:rPr>
              <w:t>1</w:t>
            </w:r>
            <w:r>
              <w:rPr>
                <w:rStyle w:val="49"/>
                <w:rFonts w:hint="eastAsia" w:ascii="仿宋_GB2312" w:hAnsi="仿宋_GB2312" w:eastAsia="仿宋_GB2312" w:cs="仿宋_GB2312"/>
                <w:color w:val="000000" w:themeColor="text1"/>
                <w:lang w:bidi="ar"/>
                <w14:textFill>
                  <w14:solidFill>
                    <w14:schemeClr w14:val="tx1"/>
                  </w14:solidFill>
                </w14:textFill>
              </w:rPr>
              <w:t>、</w:t>
            </w:r>
            <w:r>
              <w:rPr>
                <w:rStyle w:val="49"/>
                <w:rFonts w:hint="eastAsia" w:ascii="仿宋_GB2312" w:hAnsi="仿宋_GB2312" w:eastAsia="仿宋_GB2312" w:cs="仿宋_GB2312"/>
                <w:color w:val="000000" w:themeColor="text1"/>
                <w:lang w:val="en-US" w:eastAsia="zh-CN" w:bidi="ar"/>
                <w14:textFill>
                  <w14:solidFill>
                    <w14:schemeClr w14:val="tx1"/>
                  </w14:solidFill>
                </w14:textFill>
              </w:rPr>
              <w:t>推进</w:t>
            </w:r>
            <w:r>
              <w:rPr>
                <w:rStyle w:val="49"/>
                <w:rFonts w:hint="eastAsia" w:ascii="仿宋_GB2312" w:hAnsi="仿宋_GB2312" w:eastAsia="仿宋_GB2312" w:cs="仿宋_GB2312"/>
                <w:color w:val="000000" w:themeColor="text1"/>
                <w:lang w:bidi="ar"/>
                <w14:textFill>
                  <w14:solidFill>
                    <w14:schemeClr w14:val="tx1"/>
                  </w14:solidFill>
                </w14:textFill>
              </w:rPr>
              <w:t>博纬公司</w:t>
            </w:r>
            <w:r>
              <w:rPr>
                <w:rStyle w:val="50"/>
                <w:rFonts w:hint="eastAsia" w:ascii="仿宋_GB2312" w:hAnsi="仿宋_GB2312" w:eastAsia="仿宋_GB2312" w:cs="仿宋_GB2312"/>
                <w:color w:val="000000" w:themeColor="text1"/>
                <w:lang w:bidi="ar"/>
                <w14:textFill>
                  <w14:solidFill>
                    <w14:schemeClr w14:val="tx1"/>
                  </w14:solidFill>
                </w14:textFill>
              </w:rPr>
              <w:t>101</w:t>
            </w:r>
            <w:r>
              <w:rPr>
                <w:rStyle w:val="49"/>
                <w:rFonts w:hint="eastAsia" w:ascii="仿宋_GB2312" w:hAnsi="仿宋_GB2312" w:eastAsia="仿宋_GB2312" w:cs="仿宋_GB2312"/>
                <w:color w:val="000000" w:themeColor="text1"/>
                <w:lang w:bidi="ar"/>
                <w14:textFill>
                  <w14:solidFill>
                    <w14:schemeClr w14:val="tx1"/>
                  </w14:solidFill>
                </w14:textFill>
              </w:rPr>
              <w:t>厂房租赁工作。</w:t>
            </w:r>
          </w:p>
          <w:p>
            <w:pPr>
              <w:pStyle w:val="20"/>
              <w:numPr>
                <w:ilvl w:val="0"/>
                <w:numId w:val="0"/>
              </w:numPr>
              <w:ind w:leftChars="0"/>
              <w:rPr>
                <w:rFonts w:hint="eastAsia" w:ascii="仿宋_GB2312" w:hAnsi="仿宋_GB2312" w:eastAsia="仿宋_GB2312" w:cs="仿宋_GB2312"/>
                <w:i w:val="0"/>
                <w:iCs w:val="0"/>
                <w:color w:val="000000"/>
                <w:sz w:val="24"/>
                <w:szCs w:val="24"/>
                <w:highlight w:val="none"/>
                <w:u w:val="none"/>
              </w:rPr>
            </w:pPr>
            <w:r>
              <w:rPr>
                <w:rStyle w:val="49"/>
                <w:rFonts w:hint="eastAsia" w:ascii="仿宋_GB2312" w:hAnsi="仿宋_GB2312" w:eastAsia="仿宋_GB2312" w:cs="仿宋_GB2312"/>
                <w:color w:val="000000" w:themeColor="text1"/>
                <w:lang w:val="en-US" w:eastAsia="zh-CN" w:bidi="ar"/>
                <w14:textFill>
                  <w14:solidFill>
                    <w14:schemeClr w14:val="tx1"/>
                  </w14:solidFill>
                </w14:textFill>
              </w:rPr>
              <w:t>2</w:t>
            </w:r>
            <w:r>
              <w:rPr>
                <w:rStyle w:val="49"/>
                <w:rFonts w:hint="eastAsia" w:ascii="仿宋_GB2312" w:hAnsi="仿宋_GB2312" w:eastAsia="仿宋_GB2312" w:cs="仿宋_GB2312"/>
                <w:color w:val="000000" w:themeColor="text1"/>
                <w:lang w:bidi="ar"/>
                <w14:textFill>
                  <w14:solidFill>
                    <w14:schemeClr w14:val="tx1"/>
                  </w14:solidFill>
                </w14:textFill>
              </w:rPr>
              <w:t>、跟进路南工业园片区控规调整，争取早日具备开发条件。</w:t>
            </w:r>
          </w:p>
        </w:tc>
        <w:tc>
          <w:tcPr>
            <w:tcW w:w="13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6" w:hRule="atLeast"/>
        </w:trPr>
        <w:tc>
          <w:tcPr>
            <w:tcW w:w="1180" w:type="dxa"/>
            <w:vMerge w:val="continue"/>
            <w:tcBorders>
              <w:left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4"/>
                <w:szCs w:val="24"/>
                <w:highlight w:val="none"/>
                <w:u w:val="none"/>
              </w:rPr>
            </w:pPr>
          </w:p>
        </w:tc>
        <w:tc>
          <w:tcPr>
            <w:tcW w:w="1259" w:type="dxa"/>
            <w:vMerge w:val="continue"/>
            <w:tcBorders>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p>
        </w:tc>
        <w:tc>
          <w:tcPr>
            <w:tcW w:w="9060" w:type="dxa"/>
            <w:tcBorders>
              <w:top w:val="single" w:color="000000" w:sz="4" w:space="0"/>
              <w:left w:val="single" w:color="000000" w:sz="4" w:space="0"/>
              <w:bottom w:val="single" w:color="000000" w:sz="4" w:space="0"/>
              <w:right w:val="single" w:color="000000" w:sz="4" w:space="0"/>
            </w:tcBorders>
            <w:noWrap w:val="0"/>
            <w:vAlign w:val="center"/>
          </w:tcPr>
          <w:p>
            <w:pPr>
              <w:pStyle w:val="20"/>
              <w:numPr>
                <w:ilvl w:val="0"/>
                <w:numId w:val="0"/>
              </w:numPr>
              <w:ind w:leftChars="0"/>
              <w:rPr>
                <w:rFonts w:ascii="Arial" w:hAnsi="Arial" w:eastAsia="仿宋_GB2312" w:cs="Arial"/>
                <w:b/>
                <w:bCs/>
                <w:color w:val="000000" w:themeColor="text1"/>
                <w:kern w:val="0"/>
                <w:sz w:val="24"/>
                <w:szCs w:val="24"/>
                <w:lang w:bidi="ar"/>
                <w14:textFill>
                  <w14:solidFill>
                    <w14:schemeClr w14:val="tx1"/>
                  </w14:solidFill>
                </w14:textFill>
              </w:rPr>
            </w:pPr>
            <w:r>
              <w:rPr>
                <w:rFonts w:hint="eastAsia" w:ascii="Arial" w:hAnsi="Arial" w:eastAsia="仿宋_GB2312" w:cs="Arial"/>
                <w:b/>
                <w:bCs/>
                <w:color w:val="000000" w:themeColor="text1"/>
                <w:kern w:val="0"/>
                <w:sz w:val="24"/>
                <w:szCs w:val="24"/>
                <w:lang w:eastAsia="zh-CN" w:bidi="ar"/>
                <w14:textFill>
                  <w14:solidFill>
                    <w14:schemeClr w14:val="tx1"/>
                  </w14:solidFill>
                </w14:textFill>
              </w:rPr>
              <w:t>四、</w:t>
            </w:r>
            <w:r>
              <w:rPr>
                <w:rFonts w:ascii="Arial" w:hAnsi="Arial" w:eastAsia="仿宋_GB2312" w:cs="Arial"/>
                <w:b/>
                <w:bCs/>
                <w:color w:val="000000" w:themeColor="text1"/>
                <w:kern w:val="0"/>
                <w:sz w:val="24"/>
                <w:szCs w:val="24"/>
                <w:lang w:bidi="ar"/>
                <w14:textFill>
                  <w14:solidFill>
                    <w14:schemeClr w14:val="tx1"/>
                  </w14:solidFill>
                </w14:textFill>
              </w:rPr>
              <w:t>提升采购管理能力</w:t>
            </w:r>
          </w:p>
          <w:p>
            <w:pPr>
              <w:pStyle w:val="20"/>
              <w:numPr>
                <w:ilvl w:val="0"/>
                <w:numId w:val="0"/>
              </w:numPr>
              <w:ind w:leftChars="0"/>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t>1、建立供应商考察与评估体系，并不定期对重点供应商进行综合评估。</w:t>
            </w:r>
          </w:p>
          <w:p>
            <w:pPr>
              <w:pStyle w:val="20"/>
              <w:numPr>
                <w:ilvl w:val="0"/>
                <w:numId w:val="0"/>
              </w:numPr>
              <w:ind w:left="0" w:leftChars="0" w:firstLine="0" w:firstLineChars="0"/>
              <w:rPr>
                <w:rFonts w:hint="eastAsia" w:ascii="Arial" w:hAnsi="Arial" w:eastAsia="仿宋_GB2312" w:cs="Arial"/>
                <w:color w:val="000000" w:themeColor="text1"/>
                <w:kern w:val="0"/>
                <w:sz w:val="24"/>
                <w:szCs w:val="24"/>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t>2、完成各专业招采标准工期及标准化招采文件编制，并完成招采制度优化。</w:t>
            </w:r>
          </w:p>
        </w:tc>
        <w:tc>
          <w:tcPr>
            <w:tcW w:w="13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highlight w:val="none"/>
                <w:u w:val="none"/>
                <w:lang w:val="en-US" w:eastAsia="zh-CN" w:bidi="ar-SA"/>
              </w:rPr>
            </w:pPr>
            <w:r>
              <w:rPr>
                <w:rFonts w:hint="eastAsia" w:ascii="仿宋_GB2312" w:hAnsi="仿宋_GB2312" w:eastAsia="仿宋_GB2312" w:cs="仿宋_GB2312"/>
                <w:i w:val="0"/>
                <w:iCs w:val="0"/>
                <w:color w:val="000000"/>
                <w:sz w:val="24"/>
                <w:szCs w:val="24"/>
                <w:highlight w:val="none"/>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5" w:hRule="atLeast"/>
        </w:trPr>
        <w:tc>
          <w:tcPr>
            <w:tcW w:w="1180" w:type="dxa"/>
            <w:vMerge w:val="continue"/>
            <w:tcBorders>
              <w:left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4"/>
                <w:szCs w:val="24"/>
                <w:highlight w:val="none"/>
                <w:u w:val="none"/>
              </w:rPr>
            </w:pPr>
          </w:p>
        </w:tc>
        <w:tc>
          <w:tcPr>
            <w:tcW w:w="1259" w:type="dxa"/>
            <w:tcBorders>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p>
        </w:tc>
        <w:tc>
          <w:tcPr>
            <w:tcW w:w="9060" w:type="dxa"/>
            <w:tcBorders>
              <w:top w:val="single" w:color="000000" w:sz="4" w:space="0"/>
              <w:left w:val="single" w:color="000000" w:sz="4" w:space="0"/>
              <w:bottom w:val="single" w:color="000000" w:sz="4" w:space="0"/>
              <w:right w:val="single" w:color="000000" w:sz="4" w:space="0"/>
            </w:tcBorders>
            <w:noWrap w:val="0"/>
            <w:vAlign w:val="center"/>
          </w:tcPr>
          <w:p>
            <w:pPr>
              <w:pStyle w:val="20"/>
              <w:numPr>
                <w:ilvl w:val="0"/>
                <w:numId w:val="0"/>
              </w:numPr>
              <w:ind w:leftChars="0"/>
              <w:rPr>
                <w:rFonts w:ascii="Arial" w:hAnsi="Arial" w:eastAsia="仿宋_GB2312" w:cs="Arial"/>
                <w:b/>
                <w:bCs/>
                <w:color w:val="000000" w:themeColor="text1"/>
                <w:kern w:val="0"/>
                <w:sz w:val="24"/>
                <w:szCs w:val="24"/>
                <w:lang w:bidi="ar"/>
                <w14:textFill>
                  <w14:solidFill>
                    <w14:schemeClr w14:val="tx1"/>
                  </w14:solidFill>
                </w14:textFill>
              </w:rPr>
            </w:pPr>
            <w:r>
              <w:rPr>
                <w:rFonts w:hint="eastAsia" w:ascii="Arial" w:hAnsi="Arial" w:eastAsia="仿宋_GB2312" w:cs="Arial"/>
                <w:b/>
                <w:bCs/>
                <w:color w:val="000000" w:themeColor="text1"/>
                <w:kern w:val="0"/>
                <w:sz w:val="24"/>
                <w:szCs w:val="24"/>
                <w:lang w:eastAsia="zh-CN" w:bidi="ar"/>
                <w14:textFill>
                  <w14:solidFill>
                    <w14:schemeClr w14:val="tx1"/>
                  </w14:solidFill>
                </w14:textFill>
              </w:rPr>
              <w:t>五、</w:t>
            </w:r>
            <w:r>
              <w:rPr>
                <w:rFonts w:hint="eastAsia" w:ascii="Arial" w:hAnsi="Arial" w:eastAsia="仿宋_GB2312" w:cs="Arial"/>
                <w:b/>
                <w:bCs/>
                <w:color w:val="000000" w:themeColor="text1"/>
                <w:kern w:val="0"/>
                <w:sz w:val="24"/>
                <w:szCs w:val="24"/>
                <w:lang w:bidi="ar"/>
                <w14:textFill>
                  <w14:solidFill>
                    <w14:schemeClr w14:val="tx1"/>
                  </w14:solidFill>
                </w14:textFill>
              </w:rPr>
              <w:t>降本增效，</w:t>
            </w:r>
            <w:r>
              <w:rPr>
                <w:rFonts w:ascii="Arial" w:hAnsi="Arial" w:eastAsia="仿宋_GB2312" w:cs="Arial"/>
                <w:b/>
                <w:bCs/>
                <w:color w:val="000000" w:themeColor="text1"/>
                <w:kern w:val="0"/>
                <w:sz w:val="24"/>
                <w:szCs w:val="24"/>
                <w:lang w:bidi="ar"/>
                <w14:textFill>
                  <w14:solidFill>
                    <w14:schemeClr w14:val="tx1"/>
                  </w14:solidFill>
                </w14:textFill>
              </w:rPr>
              <w:t>推进费用有效管控</w:t>
            </w:r>
          </w:p>
          <w:p>
            <w:pPr>
              <w:widowControl/>
              <w:jc w:val="left"/>
              <w:textAlignment w:val="center"/>
              <w:rPr>
                <w:rStyle w:val="49"/>
                <w:rFonts w:hint="eastAsia" w:ascii="仿宋_GB2312" w:hAnsi="仿宋_GB2312" w:eastAsia="仿宋_GB2312" w:cs="仿宋_GB2312"/>
                <w:color w:val="000000" w:themeColor="text1"/>
                <w:lang w:bidi="ar"/>
                <w14:textFill>
                  <w14:solidFill>
                    <w14:schemeClr w14:val="tx1"/>
                  </w14:solidFill>
                </w14:textFill>
              </w:rPr>
            </w:pPr>
            <w:r>
              <w:rPr>
                <w:rStyle w:val="50"/>
                <w:rFonts w:hint="eastAsia" w:ascii="仿宋_GB2312" w:hAnsi="仿宋_GB2312" w:eastAsia="仿宋_GB2312" w:cs="仿宋_GB2312"/>
                <w:color w:val="000000" w:themeColor="text1"/>
                <w:lang w:bidi="ar"/>
                <w14:textFill>
                  <w14:solidFill>
                    <w14:schemeClr w14:val="tx1"/>
                  </w14:solidFill>
                </w14:textFill>
              </w:rPr>
              <w:t>1、</w:t>
            </w:r>
            <w:r>
              <w:rPr>
                <w:rStyle w:val="49"/>
                <w:rFonts w:hint="eastAsia" w:ascii="仿宋_GB2312" w:hAnsi="仿宋_GB2312" w:eastAsia="仿宋_GB2312" w:cs="仿宋_GB2312"/>
                <w:color w:val="000000" w:themeColor="text1"/>
                <w:lang w:bidi="ar"/>
                <w14:textFill>
                  <w14:solidFill>
                    <w14:schemeClr w14:val="tx1"/>
                  </w14:solidFill>
                </w14:textFill>
              </w:rPr>
              <w:t>期间费用率力争控制在9.65%（剔除较上年增加的财务费用）。</w:t>
            </w:r>
            <w:r>
              <w:rPr>
                <w:rStyle w:val="50"/>
                <w:rFonts w:hint="eastAsia" w:ascii="仿宋_GB2312" w:hAnsi="仿宋_GB2312" w:eastAsia="仿宋_GB2312" w:cs="仿宋_GB2312"/>
                <w:color w:val="000000" w:themeColor="text1"/>
                <w:lang w:bidi="ar"/>
                <w14:textFill>
                  <w14:solidFill>
                    <w14:schemeClr w14:val="tx1"/>
                  </w14:solidFill>
                </w14:textFill>
              </w:rPr>
              <w:t>2024</w:t>
            </w:r>
            <w:r>
              <w:rPr>
                <w:rStyle w:val="49"/>
                <w:rFonts w:hint="eastAsia" w:ascii="仿宋_GB2312" w:hAnsi="仿宋_GB2312" w:eastAsia="仿宋_GB2312" w:cs="仿宋_GB2312"/>
                <w:color w:val="000000" w:themeColor="text1"/>
                <w:lang w:bidi="ar"/>
                <w14:textFill>
                  <w14:solidFill>
                    <w14:schemeClr w14:val="tx1"/>
                  </w14:solidFill>
                </w14:textFill>
              </w:rPr>
              <w:t>年公司整体业招费同比下降</w:t>
            </w:r>
            <w:r>
              <w:rPr>
                <w:rStyle w:val="50"/>
                <w:rFonts w:hint="eastAsia" w:ascii="仿宋_GB2312" w:hAnsi="仿宋_GB2312" w:eastAsia="仿宋_GB2312" w:cs="仿宋_GB2312"/>
                <w:color w:val="000000" w:themeColor="text1"/>
                <w:lang w:bidi="ar"/>
                <w14:textFill>
                  <w14:solidFill>
                    <w14:schemeClr w14:val="tx1"/>
                  </w14:solidFill>
                </w14:textFill>
              </w:rPr>
              <w:t>40%</w:t>
            </w:r>
            <w:r>
              <w:rPr>
                <w:rStyle w:val="49"/>
                <w:rFonts w:hint="eastAsia" w:ascii="仿宋_GB2312" w:hAnsi="仿宋_GB2312" w:eastAsia="仿宋_GB2312" w:cs="仿宋_GB2312"/>
                <w:color w:val="000000" w:themeColor="text1"/>
                <w:lang w:bidi="ar"/>
                <w14:textFill>
                  <w14:solidFill>
                    <w14:schemeClr w14:val="tx1"/>
                  </w14:solidFill>
                </w14:textFill>
              </w:rPr>
              <w:t>。</w:t>
            </w:r>
          </w:p>
          <w:p>
            <w:pPr>
              <w:pStyle w:val="20"/>
              <w:numPr>
                <w:ilvl w:val="0"/>
                <w:numId w:val="0"/>
              </w:numPr>
              <w:ind w:leftChars="0"/>
              <w:rPr>
                <w:rFonts w:hint="eastAsia" w:ascii="Arial" w:hAnsi="Arial" w:eastAsia="仿宋_GB2312" w:cs="Arial"/>
                <w:color w:val="000000" w:themeColor="text1"/>
                <w:kern w:val="0"/>
                <w:sz w:val="24"/>
                <w:szCs w:val="24"/>
                <w:lang w:eastAsia="zh-CN" w:bidi="ar"/>
                <w14:textFill>
                  <w14:solidFill>
                    <w14:schemeClr w14:val="tx1"/>
                  </w14:solidFill>
                </w14:textFill>
              </w:rPr>
            </w:pPr>
            <w:r>
              <w:rPr>
                <w:rStyle w:val="49"/>
                <w:rFonts w:hint="eastAsia" w:ascii="仿宋_GB2312" w:hAnsi="仿宋_GB2312" w:eastAsia="仿宋_GB2312" w:cs="仿宋_GB2312"/>
                <w:color w:val="000000" w:themeColor="text1"/>
                <w:lang w:bidi="ar"/>
                <w14:textFill>
                  <w14:solidFill>
                    <w14:schemeClr w14:val="tx1"/>
                  </w14:solidFill>
                </w14:textFill>
              </w:rPr>
              <w:t>2、力争人均利润不低于28.6万元/人，人工成本利润率不低于143.9%。</w:t>
            </w:r>
          </w:p>
        </w:tc>
        <w:tc>
          <w:tcPr>
            <w:tcW w:w="13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180" w:type="dxa"/>
            <w:vMerge w:val="continue"/>
            <w:tcBorders>
              <w:left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4"/>
                <w:szCs w:val="24"/>
                <w:highlight w:val="none"/>
                <w:u w:val="none"/>
              </w:rPr>
            </w:pPr>
          </w:p>
        </w:tc>
        <w:tc>
          <w:tcPr>
            <w:tcW w:w="125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sz w:val="24"/>
                <w:szCs w:val="24"/>
                <w:highlight w:val="none"/>
                <w:u w:val="none"/>
              </w:rPr>
              <w:t>质量安全</w:t>
            </w:r>
          </w:p>
        </w:tc>
        <w:tc>
          <w:tcPr>
            <w:tcW w:w="9060"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numPr>
                <w:ilvl w:val="0"/>
                <w:numId w:val="0"/>
              </w:numPr>
              <w:suppressLineNumbers w:val="0"/>
              <w:jc w:val="left"/>
              <w:textAlignment w:val="center"/>
              <w:rPr>
                <w:rFonts w:ascii="Arial" w:hAnsi="Arial" w:eastAsia="仿宋_GB2312" w:cs="Arial"/>
                <w:b/>
                <w:bCs/>
                <w:color w:val="000000" w:themeColor="text1"/>
                <w:kern w:val="0"/>
                <w:sz w:val="24"/>
                <w:szCs w:val="24"/>
                <w:lang w:bidi="ar"/>
                <w14:textFill>
                  <w14:solidFill>
                    <w14:schemeClr w14:val="tx1"/>
                  </w14:solidFill>
                </w14:textFill>
              </w:rPr>
            </w:pPr>
            <w:r>
              <w:rPr>
                <w:rFonts w:hint="eastAsia" w:ascii="Arial" w:hAnsi="Arial" w:eastAsia="仿宋_GB2312" w:cs="Arial"/>
                <w:b/>
                <w:bCs/>
                <w:color w:val="000000" w:themeColor="text1"/>
                <w:kern w:val="0"/>
                <w:sz w:val="24"/>
                <w:szCs w:val="24"/>
                <w:lang w:eastAsia="zh-CN" w:bidi="ar"/>
                <w14:textFill>
                  <w14:solidFill>
                    <w14:schemeClr w14:val="tx1"/>
                  </w14:solidFill>
                </w14:textFill>
              </w:rPr>
              <w:t>一、</w:t>
            </w:r>
            <w:r>
              <w:rPr>
                <w:rFonts w:ascii="Arial" w:hAnsi="Arial" w:eastAsia="仿宋_GB2312" w:cs="Arial"/>
                <w:b/>
                <w:bCs/>
                <w:color w:val="000000" w:themeColor="text1"/>
                <w:kern w:val="0"/>
                <w:sz w:val="24"/>
                <w:szCs w:val="24"/>
                <w:lang w:bidi="ar"/>
                <w14:textFill>
                  <w14:solidFill>
                    <w14:schemeClr w14:val="tx1"/>
                  </w14:solidFill>
                </w14:textFill>
              </w:rPr>
              <w:t>聚焦千城产品力打造，实现完美交付</w:t>
            </w:r>
          </w:p>
          <w:p>
            <w:pPr>
              <w:pStyle w:val="20"/>
              <w:numPr>
                <w:ilvl w:val="0"/>
                <w:numId w:val="0"/>
              </w:numPr>
              <w:rPr>
                <w:rStyle w:val="49"/>
                <w:rFonts w:hint="eastAsia" w:ascii="Arial" w:hAnsi="Arial" w:eastAsia="仿宋_GB2312" w:cs="Arial"/>
                <w:color w:val="000000" w:themeColor="text1"/>
                <w:lang w:bidi="ar"/>
                <w14:textFill>
                  <w14:solidFill>
                    <w14:schemeClr w14:val="tx1"/>
                  </w14:solidFill>
                </w14:textFill>
              </w:rPr>
            </w:pPr>
            <w:r>
              <w:rPr>
                <w:rStyle w:val="49"/>
                <w:rFonts w:hint="default" w:ascii="Arial" w:hAnsi="Arial" w:eastAsia="仿宋_GB2312" w:cs="Arial"/>
                <w:color w:val="000000" w:themeColor="text1"/>
                <w:lang w:bidi="ar"/>
                <w14:textFill>
                  <w14:solidFill>
                    <w14:schemeClr w14:val="tx1"/>
                  </w14:solidFill>
                </w14:textFill>
              </w:rPr>
              <w:t>推动览山晓项目（一期）集中交付</w:t>
            </w:r>
            <w:r>
              <w:rPr>
                <w:rStyle w:val="49"/>
                <w:rFonts w:hint="eastAsia" w:ascii="Arial" w:hAnsi="Arial" w:eastAsia="仿宋_GB2312" w:cs="Arial"/>
                <w:color w:val="000000" w:themeColor="text1"/>
                <w:lang w:eastAsia="zh-CN" w:bidi="ar"/>
                <w14:textFill>
                  <w14:solidFill>
                    <w14:schemeClr w14:val="tx1"/>
                  </w14:solidFill>
                </w14:textFill>
              </w:rPr>
              <w:t>，</w:t>
            </w:r>
            <w:r>
              <w:rPr>
                <w:rStyle w:val="49"/>
                <w:rFonts w:hint="default" w:ascii="Arial" w:hAnsi="Arial" w:eastAsia="仿宋_GB2312" w:cs="Arial"/>
                <w:color w:val="000000" w:themeColor="text1"/>
                <w:lang w:bidi="ar"/>
                <w14:textFill>
                  <w14:solidFill>
                    <w14:schemeClr w14:val="tx1"/>
                  </w14:solidFill>
                </w14:textFill>
              </w:rPr>
              <w:t>确保项目一次性交付成功率</w:t>
            </w:r>
            <w:r>
              <w:rPr>
                <w:rStyle w:val="49"/>
                <w:rFonts w:hint="eastAsia" w:ascii="仿宋_GB2312" w:hAnsi="仿宋_GB2312" w:eastAsia="仿宋_GB2312" w:cs="仿宋_GB2312"/>
                <w:color w:val="000000" w:themeColor="text1"/>
                <w:lang w:bidi="ar"/>
                <w14:textFill>
                  <w14:solidFill>
                    <w14:schemeClr w14:val="tx1"/>
                  </w14:solidFill>
                </w14:textFill>
              </w:rPr>
              <w:t>达</w:t>
            </w:r>
            <w:r>
              <w:rPr>
                <w:rStyle w:val="50"/>
                <w:rFonts w:hint="eastAsia" w:ascii="仿宋_GB2312" w:hAnsi="仿宋_GB2312" w:eastAsia="仿宋_GB2312" w:cs="仿宋_GB2312"/>
                <w:color w:val="000000" w:themeColor="text1"/>
                <w:lang w:bidi="ar"/>
                <w14:textFill>
                  <w14:solidFill>
                    <w14:schemeClr w14:val="tx1"/>
                  </w14:solidFill>
                </w14:textFill>
              </w:rPr>
              <w:t>95%</w:t>
            </w:r>
            <w:r>
              <w:rPr>
                <w:rStyle w:val="49"/>
                <w:rFonts w:hint="default" w:ascii="Arial" w:hAnsi="Arial" w:eastAsia="仿宋_GB2312" w:cs="Arial"/>
                <w:color w:val="000000" w:themeColor="text1"/>
                <w:lang w:bidi="ar"/>
                <w14:textFill>
                  <w14:solidFill>
                    <w14:schemeClr w14:val="tx1"/>
                  </w14:solidFill>
                </w14:textFill>
              </w:rPr>
              <w:t>以上。</w:t>
            </w:r>
          </w:p>
        </w:tc>
        <w:tc>
          <w:tcPr>
            <w:tcW w:w="13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1180" w:type="dxa"/>
            <w:vMerge w:val="continue"/>
            <w:tcBorders>
              <w:left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4"/>
                <w:szCs w:val="24"/>
                <w:highlight w:val="none"/>
                <w:u w:val="none"/>
              </w:rPr>
            </w:pPr>
          </w:p>
        </w:tc>
        <w:tc>
          <w:tcPr>
            <w:tcW w:w="1259"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Arial" w:hAnsi="Arial" w:eastAsia="仿宋_GB2312" w:cs="Arial"/>
                <w:b/>
                <w:bCs/>
                <w:color w:val="000000" w:themeColor="text1"/>
                <w:kern w:val="0"/>
                <w:sz w:val="24"/>
                <w:szCs w:val="24"/>
                <w:lang w:bidi="ar"/>
                <w14:textFill>
                  <w14:solidFill>
                    <w14:schemeClr w14:val="tx1"/>
                  </w14:solidFill>
                </w14:textFill>
              </w:rPr>
              <w:t>存量盘活</w:t>
            </w:r>
          </w:p>
        </w:tc>
        <w:tc>
          <w:tcPr>
            <w:tcW w:w="9060" w:type="dxa"/>
            <w:tcBorders>
              <w:top w:val="single" w:color="000000" w:sz="4" w:space="0"/>
              <w:left w:val="single" w:color="000000" w:sz="4" w:space="0"/>
              <w:bottom w:val="single" w:color="auto" w:sz="4" w:space="0"/>
              <w:right w:val="single" w:color="000000" w:sz="4" w:space="0"/>
            </w:tcBorders>
            <w:noWrap w:val="0"/>
            <w:vAlign w:val="center"/>
          </w:tcPr>
          <w:p>
            <w:pPr>
              <w:pStyle w:val="20"/>
              <w:numPr>
                <w:ilvl w:val="0"/>
                <w:numId w:val="0"/>
              </w:numPr>
              <w:ind w:leftChars="0"/>
              <w:rPr>
                <w:rFonts w:ascii="Arial" w:hAnsi="Arial" w:eastAsia="仿宋_GB2312" w:cs="Arial"/>
                <w:b/>
                <w:bCs/>
                <w:color w:val="000000" w:themeColor="text1"/>
                <w:kern w:val="0"/>
                <w:sz w:val="24"/>
                <w:szCs w:val="24"/>
                <w:lang w:bidi="ar"/>
                <w14:textFill>
                  <w14:solidFill>
                    <w14:schemeClr w14:val="tx1"/>
                  </w14:solidFill>
                </w14:textFill>
              </w:rPr>
            </w:pPr>
            <w:r>
              <w:rPr>
                <w:rFonts w:hint="eastAsia" w:ascii="Arial" w:hAnsi="Arial" w:eastAsia="仿宋_GB2312" w:cs="Arial"/>
                <w:b/>
                <w:bCs/>
                <w:color w:val="000000" w:themeColor="text1"/>
                <w:kern w:val="0"/>
                <w:sz w:val="24"/>
                <w:szCs w:val="24"/>
                <w:lang w:eastAsia="zh-CN" w:bidi="ar"/>
                <w14:textFill>
                  <w14:solidFill>
                    <w14:schemeClr w14:val="tx1"/>
                  </w14:solidFill>
                </w14:textFill>
              </w:rPr>
              <w:t>一、</w:t>
            </w:r>
            <w:r>
              <w:rPr>
                <w:rFonts w:ascii="Arial" w:hAnsi="Arial" w:eastAsia="仿宋_GB2312" w:cs="Arial"/>
                <w:b/>
                <w:bCs/>
                <w:color w:val="000000" w:themeColor="text1"/>
                <w:kern w:val="0"/>
                <w:sz w:val="24"/>
                <w:szCs w:val="24"/>
                <w:lang w:bidi="ar"/>
                <w14:textFill>
                  <w14:solidFill>
                    <w14:schemeClr w14:val="tx1"/>
                  </w14:solidFill>
                </w14:textFill>
              </w:rPr>
              <w:t>推进存量土地盘活</w:t>
            </w:r>
          </w:p>
          <w:p>
            <w:pPr>
              <w:widowControl/>
              <w:jc w:val="left"/>
              <w:textAlignment w:val="center"/>
              <w:rPr>
                <w:rFonts w:hint="default" w:ascii="Arial" w:hAnsi="Arial" w:eastAsia="仿宋_GB2312" w:cs="Arial"/>
                <w:color w:val="000000" w:themeColor="text1"/>
                <w:kern w:val="0"/>
                <w:sz w:val="24"/>
                <w:szCs w:val="24"/>
                <w:lang w:bidi="ar"/>
                <w14:textFill>
                  <w14:solidFill>
                    <w14:schemeClr w14:val="tx1"/>
                  </w14:solidFill>
                </w14:textFill>
              </w:rPr>
            </w:pPr>
            <w:r>
              <w:rPr>
                <w:rStyle w:val="49"/>
                <w:rFonts w:hint="default" w:ascii="Arial" w:hAnsi="Arial" w:eastAsia="仿宋_GB2312" w:cs="Arial"/>
                <w:color w:val="000000" w:themeColor="text1"/>
                <w:lang w:bidi="ar"/>
                <w14:textFill>
                  <w14:solidFill>
                    <w14:schemeClr w14:val="tx1"/>
                  </w14:solidFill>
                </w14:textFill>
              </w:rPr>
              <w:t>览山小院</w:t>
            </w:r>
            <w:r>
              <w:rPr>
                <w:rStyle w:val="49"/>
                <w:rFonts w:hint="eastAsia" w:ascii="Arial" w:hAnsi="Arial" w:eastAsia="仿宋_GB2312" w:cs="Arial"/>
                <w:color w:val="000000" w:themeColor="text1"/>
                <w:lang w:eastAsia="zh-CN" w:bidi="ar"/>
                <w14:textFill>
                  <w14:solidFill>
                    <w14:schemeClr w14:val="tx1"/>
                  </w14:solidFill>
                </w14:textFill>
              </w:rPr>
              <w:t>、</w:t>
            </w:r>
            <w:r>
              <w:rPr>
                <w:rStyle w:val="49"/>
                <w:rFonts w:hint="default" w:ascii="Arial" w:hAnsi="Arial" w:eastAsia="仿宋_GB2312" w:cs="Arial"/>
                <w:color w:val="000000" w:themeColor="text1"/>
                <w:lang w:bidi="ar"/>
                <w14:textFill>
                  <w14:solidFill>
                    <w14:schemeClr w14:val="tx1"/>
                  </w14:solidFill>
                </w14:textFill>
              </w:rPr>
              <w:t>览山晓二期实现项目首开。</w:t>
            </w:r>
          </w:p>
        </w:tc>
        <w:tc>
          <w:tcPr>
            <w:tcW w:w="13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1180" w:type="dxa"/>
            <w:vMerge w:val="continue"/>
            <w:tcBorders>
              <w:left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4"/>
                <w:szCs w:val="24"/>
                <w:highlight w:val="none"/>
                <w:u w:val="none"/>
              </w:rPr>
            </w:pPr>
          </w:p>
        </w:tc>
        <w:tc>
          <w:tcPr>
            <w:tcW w:w="1259" w:type="dxa"/>
            <w:vMerge w:val="restart"/>
            <w:tcBorders>
              <w:top w:val="single" w:color="auto"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ascii="Arial" w:hAnsi="Arial" w:eastAsia="仿宋_GB2312" w:cs="Arial"/>
                <w:b/>
                <w:bCs/>
                <w:color w:val="000000" w:themeColor="text1"/>
                <w:kern w:val="0"/>
                <w:sz w:val="24"/>
                <w:szCs w:val="24"/>
                <w:lang w:bidi="ar"/>
                <w14:textFill>
                  <w14:solidFill>
                    <w14:schemeClr w14:val="tx1"/>
                  </w14:solidFill>
                </w14:textFill>
              </w:rPr>
              <w:t>人力</w:t>
            </w:r>
            <w:r>
              <w:rPr>
                <w:rFonts w:hint="eastAsia" w:ascii="Arial" w:hAnsi="Arial" w:eastAsia="仿宋_GB2312" w:cs="Arial"/>
                <w:b/>
                <w:bCs/>
                <w:color w:val="000000" w:themeColor="text1"/>
                <w:kern w:val="0"/>
                <w:sz w:val="24"/>
                <w:szCs w:val="24"/>
                <w:lang w:eastAsia="zh-CN" w:bidi="ar"/>
                <w14:textFill>
                  <w14:solidFill>
                    <w14:schemeClr w14:val="tx1"/>
                  </w14:solidFill>
                </w14:textFill>
              </w:rPr>
              <w:t>资源</w:t>
            </w:r>
          </w:p>
        </w:tc>
        <w:tc>
          <w:tcPr>
            <w:tcW w:w="9060" w:type="dxa"/>
            <w:tcBorders>
              <w:top w:val="single" w:color="auto" w:sz="4" w:space="0"/>
              <w:left w:val="single" w:color="auto" w:sz="4" w:space="0"/>
              <w:bottom w:val="single" w:color="auto" w:sz="4" w:space="0"/>
              <w:right w:val="single" w:color="auto" w:sz="4" w:space="0"/>
            </w:tcBorders>
            <w:noWrap w:val="0"/>
            <w:vAlign w:val="center"/>
          </w:tcPr>
          <w:p>
            <w:pPr>
              <w:pStyle w:val="20"/>
              <w:numPr>
                <w:ilvl w:val="0"/>
                <w:numId w:val="0"/>
              </w:numPr>
              <w:ind w:leftChars="0"/>
              <w:rPr>
                <w:rFonts w:hint="eastAsia" w:ascii="Arial" w:hAnsi="Arial" w:eastAsia="仿宋_GB2312" w:cs="Arial"/>
                <w:b/>
                <w:bCs/>
                <w:color w:val="000000" w:themeColor="text1"/>
                <w:kern w:val="0"/>
                <w:sz w:val="24"/>
                <w:szCs w:val="24"/>
                <w:lang w:eastAsia="zh-CN" w:bidi="ar"/>
                <w14:textFill>
                  <w14:solidFill>
                    <w14:schemeClr w14:val="tx1"/>
                  </w14:solidFill>
                </w14:textFill>
              </w:rPr>
            </w:pPr>
            <w:r>
              <w:rPr>
                <w:rFonts w:hint="eastAsia" w:ascii="Arial" w:hAnsi="Arial" w:eastAsia="仿宋_GB2312" w:cs="Arial"/>
                <w:b/>
                <w:bCs/>
                <w:color w:val="000000" w:themeColor="text1"/>
                <w:kern w:val="0"/>
                <w:sz w:val="24"/>
                <w:szCs w:val="24"/>
                <w:lang w:eastAsia="zh-CN" w:bidi="ar"/>
                <w14:textFill>
                  <w14:solidFill>
                    <w14:schemeClr w14:val="tx1"/>
                  </w14:solidFill>
                </w14:textFill>
              </w:rPr>
              <w:t>一、优化人力资源配置、强化人才队伍建设</w:t>
            </w:r>
          </w:p>
          <w:p>
            <w:pPr>
              <w:pStyle w:val="20"/>
              <w:numPr>
                <w:ilvl w:val="0"/>
                <w:numId w:val="0"/>
              </w:numPr>
              <w:ind w:leftChars="0"/>
              <w:rPr>
                <w:rFonts w:hint="eastAsia" w:ascii="仿宋_GB2312" w:hAnsi="仿宋_GB2312" w:eastAsia="仿宋_GB2312" w:cs="仿宋_GB2312"/>
                <w:b w:val="0"/>
                <w:bCs w:val="0"/>
                <w:color w:val="000000" w:themeColor="text1"/>
                <w:kern w:val="0"/>
                <w:sz w:val="24"/>
                <w:szCs w:val="24"/>
                <w:lang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0"/>
                <w:sz w:val="24"/>
                <w:szCs w:val="24"/>
                <w:lang w:val="en-US" w:eastAsia="zh-CN" w:bidi="ar"/>
                <w14:textFill>
                  <w14:solidFill>
                    <w14:schemeClr w14:val="tx1"/>
                  </w14:solidFill>
                </w14:textFill>
              </w:rPr>
              <w:t>1</w:t>
            </w:r>
            <w:r>
              <w:rPr>
                <w:rFonts w:hint="eastAsia" w:ascii="仿宋_GB2312" w:hAnsi="仿宋_GB2312" w:eastAsia="仿宋_GB2312" w:cs="仿宋_GB2312"/>
                <w:b w:val="0"/>
                <w:bCs w:val="0"/>
                <w:color w:val="000000" w:themeColor="text1"/>
                <w:kern w:val="0"/>
                <w:sz w:val="24"/>
                <w:szCs w:val="24"/>
                <w:lang w:eastAsia="zh-CN" w:bidi="ar"/>
                <w14:textFill>
                  <w14:solidFill>
                    <w14:schemeClr w14:val="tx1"/>
                  </w14:solidFill>
                </w14:textFill>
              </w:rPr>
              <w:t>、完成架构调整，精简机构数量，推行大部门制管理，原则上不超过</w:t>
            </w:r>
            <w:r>
              <w:rPr>
                <w:rFonts w:hint="eastAsia" w:ascii="仿宋_GB2312" w:hAnsi="仿宋_GB2312" w:eastAsia="仿宋_GB2312" w:cs="仿宋_GB2312"/>
                <w:b w:val="0"/>
                <w:bCs w:val="0"/>
                <w:color w:val="000000" w:themeColor="text1"/>
                <w:kern w:val="0"/>
                <w:sz w:val="24"/>
                <w:szCs w:val="24"/>
                <w:lang w:val="en-US" w:eastAsia="zh-CN" w:bidi="ar"/>
                <w14:textFill>
                  <w14:solidFill>
                    <w14:schemeClr w14:val="tx1"/>
                  </w14:solidFill>
                </w14:textFill>
              </w:rPr>
              <w:t>9</w:t>
            </w:r>
            <w:r>
              <w:rPr>
                <w:rFonts w:hint="eastAsia" w:ascii="仿宋_GB2312" w:hAnsi="仿宋_GB2312" w:eastAsia="仿宋_GB2312" w:cs="仿宋_GB2312"/>
                <w:b w:val="0"/>
                <w:bCs w:val="0"/>
                <w:color w:val="000000" w:themeColor="text1"/>
                <w:kern w:val="0"/>
                <w:sz w:val="24"/>
                <w:szCs w:val="24"/>
                <w:lang w:eastAsia="zh-CN" w:bidi="ar"/>
                <w14:textFill>
                  <w14:solidFill>
                    <w14:schemeClr w14:val="tx1"/>
                  </w14:solidFill>
                </w14:textFill>
              </w:rPr>
              <w:t>个。</w:t>
            </w:r>
          </w:p>
          <w:p>
            <w:pPr>
              <w:pStyle w:val="20"/>
              <w:numPr>
                <w:ilvl w:val="0"/>
                <w:numId w:val="0"/>
              </w:numPr>
              <w:ind w:leftChars="0"/>
              <w:rPr>
                <w:rFonts w:hint="eastAsia" w:ascii="仿宋_GB2312" w:hAnsi="仿宋_GB2312" w:eastAsia="仿宋_GB2312" w:cs="仿宋_GB2312"/>
                <w:b w:val="0"/>
                <w:bCs w:val="0"/>
                <w:color w:val="000000" w:themeColor="text1"/>
                <w:kern w:val="0"/>
                <w:sz w:val="24"/>
                <w:szCs w:val="24"/>
                <w:lang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0"/>
                <w:sz w:val="24"/>
                <w:szCs w:val="24"/>
                <w:lang w:val="en-US" w:eastAsia="zh-CN" w:bidi="ar"/>
                <w14:textFill>
                  <w14:solidFill>
                    <w14:schemeClr w14:val="tx1"/>
                  </w14:solidFill>
                </w14:textFill>
              </w:rPr>
              <w:t>2</w:t>
            </w:r>
            <w:r>
              <w:rPr>
                <w:rFonts w:hint="eastAsia" w:ascii="仿宋_GB2312" w:hAnsi="仿宋_GB2312" w:eastAsia="仿宋_GB2312" w:cs="仿宋_GB2312"/>
                <w:b w:val="0"/>
                <w:bCs w:val="0"/>
                <w:color w:val="000000" w:themeColor="text1"/>
                <w:kern w:val="0"/>
                <w:sz w:val="24"/>
                <w:szCs w:val="24"/>
                <w:lang w:eastAsia="zh-CN" w:bidi="ar"/>
                <w14:textFill>
                  <w14:solidFill>
                    <w14:schemeClr w14:val="tx1"/>
                  </w14:solidFill>
                </w14:textFill>
              </w:rPr>
              <w:t>、完成员工胜任力评估，建立人才培养池，全年持续推进人员分流及再学习。</w:t>
            </w:r>
          </w:p>
          <w:p>
            <w:pPr>
              <w:pStyle w:val="20"/>
              <w:numPr>
                <w:ilvl w:val="0"/>
                <w:numId w:val="0"/>
              </w:numPr>
              <w:ind w:leftChars="0"/>
              <w:rPr>
                <w:rFonts w:hint="eastAsia" w:ascii="仿宋_GB2312" w:hAnsi="仿宋_GB2312" w:eastAsia="仿宋_GB2312" w:cs="仿宋_GB2312"/>
                <w:b w:val="0"/>
                <w:bCs w:val="0"/>
                <w:color w:val="000000" w:themeColor="text1"/>
                <w:kern w:val="0"/>
                <w:sz w:val="24"/>
                <w:szCs w:val="24"/>
                <w:lang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0"/>
                <w:sz w:val="24"/>
                <w:szCs w:val="24"/>
                <w:lang w:val="en-US" w:eastAsia="zh-CN" w:bidi="ar"/>
                <w14:textFill>
                  <w14:solidFill>
                    <w14:schemeClr w14:val="tx1"/>
                  </w14:solidFill>
                </w14:textFill>
              </w:rPr>
              <w:t>3</w:t>
            </w:r>
            <w:r>
              <w:rPr>
                <w:rFonts w:hint="eastAsia" w:ascii="仿宋_GB2312" w:hAnsi="仿宋_GB2312" w:eastAsia="仿宋_GB2312" w:cs="仿宋_GB2312"/>
                <w:b w:val="0"/>
                <w:bCs w:val="0"/>
                <w:color w:val="000000" w:themeColor="text1"/>
                <w:kern w:val="0"/>
                <w:sz w:val="24"/>
                <w:szCs w:val="24"/>
                <w:lang w:eastAsia="zh-CN" w:bidi="ar"/>
                <w14:textFill>
                  <w14:solidFill>
                    <w14:schemeClr w14:val="tx1"/>
                  </w14:solidFill>
                </w14:textFill>
              </w:rPr>
              <w:t>、全年推进公司辅助序列员工灵活用工模式，控制人工成本。梳理人岗匹配，清理人岗不相适；推行竞聘上岗机制，探索符合市场经济要求的用工体制和有效的人员退出机制。</w:t>
            </w:r>
          </w:p>
          <w:p>
            <w:pPr>
              <w:pStyle w:val="20"/>
              <w:numPr>
                <w:ilvl w:val="0"/>
                <w:numId w:val="0"/>
              </w:numPr>
              <w:ind w:leftChars="0"/>
              <w:rPr>
                <w:rStyle w:val="50"/>
                <w:rFonts w:eastAsia="仿宋_GB2312"/>
                <w:color w:val="000000" w:themeColor="text1"/>
                <w:lang w:bidi="ar"/>
                <w14:textFill>
                  <w14:solidFill>
                    <w14:schemeClr w14:val="tx1"/>
                  </w14:solidFill>
                </w14:textFill>
              </w:rPr>
            </w:pPr>
            <w:r>
              <w:rPr>
                <w:rFonts w:hint="eastAsia" w:ascii="仿宋_GB2312" w:hAnsi="仿宋_GB2312" w:eastAsia="仿宋_GB2312" w:cs="仿宋_GB2312"/>
                <w:b w:val="0"/>
                <w:bCs w:val="0"/>
                <w:color w:val="000000" w:themeColor="text1"/>
                <w:kern w:val="0"/>
                <w:sz w:val="24"/>
                <w:szCs w:val="24"/>
                <w:lang w:val="en-US" w:eastAsia="zh-CN" w:bidi="ar"/>
                <w14:textFill>
                  <w14:solidFill>
                    <w14:schemeClr w14:val="tx1"/>
                  </w14:solidFill>
                </w14:textFill>
              </w:rPr>
              <w:t>4</w:t>
            </w:r>
            <w:r>
              <w:rPr>
                <w:rFonts w:hint="eastAsia" w:ascii="仿宋_GB2312" w:hAnsi="仿宋_GB2312" w:eastAsia="仿宋_GB2312" w:cs="仿宋_GB2312"/>
                <w:b w:val="0"/>
                <w:bCs w:val="0"/>
                <w:color w:val="000000" w:themeColor="text1"/>
                <w:kern w:val="0"/>
                <w:sz w:val="24"/>
                <w:szCs w:val="24"/>
                <w:lang w:eastAsia="zh-CN" w:bidi="ar"/>
                <w14:textFill>
                  <w14:solidFill>
                    <w14:schemeClr w14:val="tx1"/>
                  </w14:solidFill>
                </w14:textFill>
              </w:rPr>
              <w:t>、各职能中心重新梳理组织管理手册，按业务量精简人员，并分流充实到客服管理中心和辅助岗位，为下一步经纪类业务的开展做准备。</w:t>
            </w:r>
            <w:r>
              <w:rPr>
                <w:rFonts w:hint="eastAsia" w:ascii="Arial" w:hAnsi="Arial" w:eastAsia="仿宋_GB2312" w:cs="Arial"/>
                <w:b w:val="0"/>
                <w:bCs w:val="0"/>
                <w:color w:val="000000" w:themeColor="text1"/>
                <w:kern w:val="0"/>
                <w:sz w:val="24"/>
                <w:szCs w:val="24"/>
                <w:lang w:eastAsia="zh-CN" w:bidi="ar"/>
                <w14:textFill>
                  <w14:solidFill>
                    <w14:schemeClr w14:val="tx1"/>
                  </w14:solidFill>
                </w14:textFill>
              </w:rPr>
              <w:tab/>
            </w:r>
          </w:p>
        </w:tc>
        <w:tc>
          <w:tcPr>
            <w:tcW w:w="138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 w:hRule="atLeast"/>
        </w:trPr>
        <w:tc>
          <w:tcPr>
            <w:tcW w:w="1180" w:type="dxa"/>
            <w:vMerge w:val="continue"/>
            <w:tcBorders>
              <w:left w:val="single" w:color="000000" w:sz="4" w:space="0"/>
              <w:bottom w:val="single" w:color="auto"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4"/>
                <w:szCs w:val="24"/>
                <w:highlight w:val="none"/>
                <w:u w:val="none"/>
              </w:rPr>
            </w:pPr>
          </w:p>
        </w:tc>
        <w:tc>
          <w:tcPr>
            <w:tcW w:w="1259" w:type="dxa"/>
            <w:vMerge w:val="continue"/>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Arial" w:hAnsi="Arial" w:eastAsia="仿宋_GB2312" w:cs="Arial"/>
                <w:b/>
                <w:bCs/>
                <w:color w:val="000000" w:themeColor="text1"/>
                <w:kern w:val="0"/>
                <w:sz w:val="24"/>
                <w:szCs w:val="24"/>
                <w:lang w:bidi="ar"/>
                <w14:textFill>
                  <w14:solidFill>
                    <w14:schemeClr w14:val="tx1"/>
                  </w14:solidFill>
                </w14:textFill>
              </w:rPr>
            </w:pPr>
          </w:p>
        </w:tc>
        <w:tc>
          <w:tcPr>
            <w:tcW w:w="9060" w:type="dxa"/>
            <w:tcBorders>
              <w:top w:val="single" w:color="auto" w:sz="4" w:space="0"/>
              <w:left w:val="single" w:color="auto" w:sz="4" w:space="0"/>
              <w:bottom w:val="single" w:color="auto" w:sz="4" w:space="0"/>
              <w:right w:val="single" w:color="auto" w:sz="4" w:space="0"/>
            </w:tcBorders>
            <w:noWrap w:val="0"/>
            <w:vAlign w:val="center"/>
          </w:tcPr>
          <w:p>
            <w:pPr>
              <w:pStyle w:val="20"/>
              <w:numPr>
                <w:ilvl w:val="0"/>
                <w:numId w:val="0"/>
              </w:numPr>
              <w:ind w:leftChars="0"/>
              <w:rPr>
                <w:rFonts w:hint="eastAsia" w:ascii="Arial" w:hAnsi="Arial" w:eastAsia="仿宋_GB2312" w:cs="Arial"/>
                <w:b/>
                <w:bCs/>
                <w:color w:val="000000" w:themeColor="text1"/>
                <w:kern w:val="0"/>
                <w:sz w:val="24"/>
                <w:szCs w:val="24"/>
                <w:lang w:eastAsia="zh-CN" w:bidi="ar"/>
                <w14:textFill>
                  <w14:solidFill>
                    <w14:schemeClr w14:val="tx1"/>
                  </w14:solidFill>
                </w14:textFill>
              </w:rPr>
            </w:pPr>
            <w:r>
              <w:rPr>
                <w:rFonts w:hint="eastAsia" w:ascii="Arial" w:hAnsi="Arial" w:eastAsia="仿宋_GB2312" w:cs="Arial"/>
                <w:b/>
                <w:bCs/>
                <w:color w:val="000000" w:themeColor="text1"/>
                <w:kern w:val="0"/>
                <w:sz w:val="24"/>
                <w:szCs w:val="24"/>
                <w:lang w:eastAsia="zh-CN" w:bidi="ar"/>
                <w14:textFill>
                  <w14:solidFill>
                    <w14:schemeClr w14:val="tx1"/>
                  </w14:solidFill>
                </w14:textFill>
              </w:rPr>
              <w:t>二、完善薪酬职级及考核奖惩机制</w:t>
            </w:r>
          </w:p>
          <w:p>
            <w:pPr>
              <w:pStyle w:val="20"/>
              <w:numPr>
                <w:ilvl w:val="0"/>
                <w:numId w:val="0"/>
              </w:numPr>
              <w:ind w:leftChars="0"/>
              <w:rPr>
                <w:rFonts w:hint="eastAsia" w:ascii="仿宋_GB2312" w:hAnsi="仿宋_GB2312" w:eastAsia="仿宋_GB2312" w:cs="仿宋_GB2312"/>
                <w:b w:val="0"/>
                <w:bCs w:val="0"/>
                <w:color w:val="000000" w:themeColor="text1"/>
                <w:kern w:val="0"/>
                <w:sz w:val="24"/>
                <w:szCs w:val="24"/>
                <w:lang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0"/>
                <w:sz w:val="24"/>
                <w:szCs w:val="24"/>
                <w:lang w:eastAsia="zh-CN" w:bidi="ar"/>
                <w14:textFill>
                  <w14:solidFill>
                    <w14:schemeClr w14:val="tx1"/>
                  </w14:solidFill>
                </w14:textFill>
              </w:rPr>
              <w:t>1、完成薪酬绩效运行效果评估，提出优化建议；</w:t>
            </w:r>
          </w:p>
          <w:p>
            <w:pPr>
              <w:pStyle w:val="20"/>
              <w:numPr>
                <w:ilvl w:val="0"/>
                <w:numId w:val="0"/>
              </w:numPr>
              <w:ind w:leftChars="0"/>
              <w:rPr>
                <w:rFonts w:ascii="Arial" w:hAnsi="Arial" w:eastAsia="仿宋_GB2312" w:cs="Arial"/>
                <w:color w:val="000000" w:themeColor="text1"/>
                <w:kern w:val="0"/>
                <w:sz w:val="24"/>
                <w:szCs w:val="24"/>
                <w:lang w:bidi="ar"/>
                <w14:textFill>
                  <w14:solidFill>
                    <w14:schemeClr w14:val="tx1"/>
                  </w14:solidFill>
                </w14:textFill>
              </w:rPr>
            </w:pPr>
            <w:r>
              <w:rPr>
                <w:rFonts w:hint="eastAsia" w:ascii="仿宋_GB2312" w:hAnsi="仿宋_GB2312" w:eastAsia="仿宋_GB2312" w:cs="仿宋_GB2312"/>
                <w:b w:val="0"/>
                <w:bCs w:val="0"/>
                <w:color w:val="000000" w:themeColor="text1"/>
                <w:kern w:val="0"/>
                <w:sz w:val="24"/>
                <w:szCs w:val="24"/>
                <w:lang w:eastAsia="zh-CN" w:bidi="ar"/>
                <w14:textFill>
                  <w14:solidFill>
                    <w14:schemeClr w14:val="tx1"/>
                  </w14:solidFill>
                </w14:textFill>
              </w:rPr>
              <w:t>2、重新梳理和调整职务职级，优化薪酬、绩效和激励制度。完成公司委派管理人员考核管理机制。</w:t>
            </w:r>
            <w:r>
              <w:rPr>
                <w:rFonts w:hint="eastAsia" w:ascii="Arial" w:hAnsi="Arial" w:eastAsia="仿宋_GB2312" w:cs="Arial"/>
                <w:b w:val="0"/>
                <w:bCs w:val="0"/>
                <w:color w:val="000000" w:themeColor="text1"/>
                <w:kern w:val="0"/>
                <w:sz w:val="24"/>
                <w:szCs w:val="24"/>
                <w:lang w:eastAsia="zh-CN" w:bidi="ar"/>
                <w14:textFill>
                  <w14:solidFill>
                    <w14:schemeClr w14:val="tx1"/>
                  </w14:solidFill>
                </w14:textFill>
              </w:rPr>
              <w:tab/>
            </w:r>
          </w:p>
        </w:tc>
        <w:tc>
          <w:tcPr>
            <w:tcW w:w="138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10%</w:t>
            </w:r>
          </w:p>
        </w:tc>
      </w:tr>
    </w:tbl>
    <w:p>
      <w:pPr>
        <w:rPr>
          <w:rFonts w:hint="default" w:ascii="仿宋_GB2312" w:hAnsi="宋体" w:eastAsia="仿宋_GB2312" w:cs="宋体"/>
          <w:color w:val="000000"/>
          <w:kern w:val="0"/>
          <w:sz w:val="32"/>
          <w:szCs w:val="32"/>
          <w:lang w:val="en-US" w:eastAsia="zh-CN"/>
        </w:rPr>
      </w:pPr>
    </w:p>
    <w:sectPr>
      <w:headerReference r:id="rId4" w:type="default"/>
      <w:footerReference r:id="rId5" w:type="default"/>
      <w:pgSz w:w="16838" w:h="11906" w:orient="landscape"/>
      <w:pgMar w:top="1588" w:right="2098" w:bottom="1474" w:left="1985"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665A694-CE60-49E7-8461-CAABC9668C66}"/>
  </w:font>
  <w:font w:name="黑体">
    <w:panose1 w:val="02010600030101010101"/>
    <w:charset w:val="86"/>
    <w:family w:val="auto"/>
    <w:pitch w:val="default"/>
    <w:sig w:usb0="800002BF" w:usb1="38CF7CFA" w:usb2="00000016" w:usb3="00000000" w:csb0="00040001" w:csb1="00000000"/>
    <w:embedRegular r:id="rId2" w:fontKey="{0792FB97-CD51-4795-B747-1FB15E37023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3" w:fontKey="{9C85E72F-5E25-4DAE-9E1D-7A1A37C5D580}"/>
  </w:font>
  <w:font w:name="方正小标宋简体">
    <w:panose1 w:val="02000000000000000000"/>
    <w:charset w:val="86"/>
    <w:family w:val="script"/>
    <w:pitch w:val="default"/>
    <w:sig w:usb0="00000001" w:usb1="080E0000" w:usb2="00000000" w:usb3="00000000" w:csb0="00040000" w:csb1="00000000"/>
    <w:embedRegular r:id="rId4" w:fontKey="{40631BBB-B4A1-48CB-8BF3-8D9C4F1DAE4F}"/>
  </w:font>
  <w:font w:name="楷体_GB2312">
    <w:panose1 w:val="02010609030101010101"/>
    <w:charset w:val="86"/>
    <w:family w:val="modern"/>
    <w:pitch w:val="default"/>
    <w:sig w:usb0="00000001" w:usb1="080E0000" w:usb2="00000000" w:usb3="00000000" w:csb0="00040000" w:csb1="00000000"/>
    <w:embedRegular r:id="rId5" w:fontKey="{6EE44A29-F20E-4EC1-83D5-925F3E8A06F1}"/>
  </w:font>
  <w:font w:name="仿宋">
    <w:panose1 w:val="02010609060101010101"/>
    <w:charset w:val="86"/>
    <w:family w:val="modern"/>
    <w:pitch w:val="default"/>
    <w:sig w:usb0="800002BF" w:usb1="38CF7CFA" w:usb2="00000016" w:usb3="00000000" w:csb0="00040001" w:csb1="00000000"/>
    <w:embedRegular r:id="rId6" w:fontKey="{FCC6BA60-C58D-47D4-82CA-3F495DE0EAF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黑体" w:hAnsi="黑体" w:eastAsia="黑体"/>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89535" cy="230505"/>
              <wp:effectExtent l="0" t="0" r="0" b="0"/>
              <wp:wrapNone/>
              <wp:docPr id="2" name="文本框 2"/>
              <wp:cNvGraphicFramePr/>
              <a:graphic xmlns:a="http://schemas.openxmlformats.org/drawingml/2006/main">
                <a:graphicData uri="http://schemas.microsoft.com/office/word/2010/wordprocessingShape">
                  <wps:wsp>
                    <wps:cNvSpPr txBox="1"/>
                    <wps:spPr>
                      <a:xfrm>
                        <a:off x="0" y="0"/>
                        <a:ext cx="89535" cy="230505"/>
                      </a:xfrm>
                      <a:prstGeom prst="rect">
                        <a:avLst/>
                      </a:prstGeom>
                      <a:noFill/>
                      <a:ln>
                        <a:noFill/>
                      </a:ln>
                    </wps:spPr>
                    <wps:txbx>
                      <w:txbxContent>
                        <w:p>
                          <w:pPr>
                            <w:pStyle w:val="13"/>
                            <w:jc w:val="center"/>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8.15pt;width:7.05pt;mso-position-horizontal:outside;mso-position-horizontal-relative:margin;mso-wrap-style:none;z-index:251659264;mso-width-relative:page;mso-height-relative:page;" filled="f" stroked="f" coordsize="21600,21600" o:gfxdata="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Hbql7DRAAAAAwEAAA8AAAAAAAAAAQAgAAAAIgAAAGRycy9kb3du&#10;cmV2LnhtbFBLAQIUABQAAAAIAIdO4kCjqq5CzQEAAJYDAAAOAAAAAAAAAAEAIAAAACABAABkcnMv&#10;ZTJvRG9jLnhtbFBLBQYAAAAABgAGAFkBAABfBQAAAAA=&#10;">
              <v:fill on="f" focussize="0,0"/>
              <v:stroke on="f"/>
              <v:imagedata o:title=""/>
              <o:lock v:ext="edit" aspectratio="f"/>
              <v:textbox inset="0mm,0mm,0mm,0mm" style="mso-fit-shape-to-text:t;">
                <w:txbxContent>
                  <w:p>
                    <w:pPr>
                      <w:pStyle w:val="13"/>
                      <w:jc w:val="center"/>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89940" cy="23685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789940" cy="236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8.65pt;width:62.2pt;mso-position-horizontal:outside;mso-position-horizontal-relative:margin;z-index:251659264;mso-width-relative:page;mso-height-relative:page;" filled="f" stroked="f" coordsize="21600,21600" o:gfxdata="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dTTrC1QAAAAQBAAAPAAAAAAAAAAEAIAAAACIAAABkcnMvZG93bnJl&#10;di54bWxQSwECFAAUAAAACACHTuJAVcQ22jkCAABjBAAADgAAAAAAAAABACAAAAAkAQAAZHJzL2Uy&#10;b0RvYy54bWxQSwUGAAAAAAYABgBZAQAAzwUAAAAA&#10;">
              <v:fill on="f" focussize="0,0"/>
              <v:stroke on="f" weight="0.5pt"/>
              <v:imagedata o:title=""/>
              <o:lock v:ext="edit" aspectratio="f"/>
              <v:textbox inset="0mm,0mm,0mm,0mm">
                <w:txbxContent>
                  <w:p>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6E17D2"/>
    <w:multiLevelType w:val="singleLevel"/>
    <w:tmpl w:val="EF6E17D2"/>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hjYTc5ZWFhNjE3YWY4ZTJjMmUwNmM4MmQ4MGQwMDQifQ=="/>
  </w:docVars>
  <w:rsids>
    <w:rsidRoot w:val="00D26C17"/>
    <w:rsid w:val="00004294"/>
    <w:rsid w:val="00077BB8"/>
    <w:rsid w:val="003815EF"/>
    <w:rsid w:val="003D138F"/>
    <w:rsid w:val="00411E7D"/>
    <w:rsid w:val="00522E5A"/>
    <w:rsid w:val="00666A9B"/>
    <w:rsid w:val="007B2113"/>
    <w:rsid w:val="00933E5B"/>
    <w:rsid w:val="009731F3"/>
    <w:rsid w:val="00996404"/>
    <w:rsid w:val="00D1064C"/>
    <w:rsid w:val="00D26C17"/>
    <w:rsid w:val="00D51E8B"/>
    <w:rsid w:val="00D77774"/>
    <w:rsid w:val="00DE63A2"/>
    <w:rsid w:val="00EE3721"/>
    <w:rsid w:val="00F069A3"/>
    <w:rsid w:val="00FF7664"/>
    <w:rsid w:val="017B11E4"/>
    <w:rsid w:val="01AF5332"/>
    <w:rsid w:val="01C3381D"/>
    <w:rsid w:val="022369EF"/>
    <w:rsid w:val="02355837"/>
    <w:rsid w:val="02671768"/>
    <w:rsid w:val="027125E7"/>
    <w:rsid w:val="02A209F3"/>
    <w:rsid w:val="02D908B8"/>
    <w:rsid w:val="02F2197A"/>
    <w:rsid w:val="03675EC4"/>
    <w:rsid w:val="03827295"/>
    <w:rsid w:val="03AD4DDD"/>
    <w:rsid w:val="03B7227C"/>
    <w:rsid w:val="044955CA"/>
    <w:rsid w:val="04556E98"/>
    <w:rsid w:val="048F2C7D"/>
    <w:rsid w:val="04EC7024"/>
    <w:rsid w:val="053242B0"/>
    <w:rsid w:val="05485881"/>
    <w:rsid w:val="05665D07"/>
    <w:rsid w:val="05A52CD4"/>
    <w:rsid w:val="06577AD4"/>
    <w:rsid w:val="06873BEE"/>
    <w:rsid w:val="068E3768"/>
    <w:rsid w:val="06E17D3B"/>
    <w:rsid w:val="079046C9"/>
    <w:rsid w:val="07983414"/>
    <w:rsid w:val="07D7219C"/>
    <w:rsid w:val="07EC0B14"/>
    <w:rsid w:val="08094D85"/>
    <w:rsid w:val="082A3964"/>
    <w:rsid w:val="08D613F6"/>
    <w:rsid w:val="090A6581"/>
    <w:rsid w:val="09165225"/>
    <w:rsid w:val="09313F0E"/>
    <w:rsid w:val="098146E6"/>
    <w:rsid w:val="0A4B1FCC"/>
    <w:rsid w:val="0A6D7B38"/>
    <w:rsid w:val="0A6F525B"/>
    <w:rsid w:val="0AA456F3"/>
    <w:rsid w:val="0AC51722"/>
    <w:rsid w:val="0AF4446C"/>
    <w:rsid w:val="0AFA761E"/>
    <w:rsid w:val="0B1B3B13"/>
    <w:rsid w:val="0B4A1806"/>
    <w:rsid w:val="0B552AA6"/>
    <w:rsid w:val="0BB04180"/>
    <w:rsid w:val="0BB12589"/>
    <w:rsid w:val="0C246C3B"/>
    <w:rsid w:val="0C50326D"/>
    <w:rsid w:val="0CA43CE5"/>
    <w:rsid w:val="0CA727E3"/>
    <w:rsid w:val="0CDE6ACB"/>
    <w:rsid w:val="0D004C71"/>
    <w:rsid w:val="0D0E73B0"/>
    <w:rsid w:val="0D847672"/>
    <w:rsid w:val="0DB16C21"/>
    <w:rsid w:val="0DBE2B84"/>
    <w:rsid w:val="0DCD726B"/>
    <w:rsid w:val="0DD34156"/>
    <w:rsid w:val="0E2854AC"/>
    <w:rsid w:val="0E67321C"/>
    <w:rsid w:val="0F3B0205"/>
    <w:rsid w:val="0F4F16B2"/>
    <w:rsid w:val="0FE12B5A"/>
    <w:rsid w:val="10086339"/>
    <w:rsid w:val="103435D2"/>
    <w:rsid w:val="108F6A5A"/>
    <w:rsid w:val="10AC13BA"/>
    <w:rsid w:val="116752E1"/>
    <w:rsid w:val="11771B12"/>
    <w:rsid w:val="11987B90"/>
    <w:rsid w:val="119F6E8B"/>
    <w:rsid w:val="11B47634"/>
    <w:rsid w:val="11E20E0C"/>
    <w:rsid w:val="125E66E4"/>
    <w:rsid w:val="12733E70"/>
    <w:rsid w:val="12BE3627"/>
    <w:rsid w:val="12CE0C99"/>
    <w:rsid w:val="13143749"/>
    <w:rsid w:val="13217712"/>
    <w:rsid w:val="13685340"/>
    <w:rsid w:val="13786942"/>
    <w:rsid w:val="13913519"/>
    <w:rsid w:val="13A97E33"/>
    <w:rsid w:val="13CE5AEB"/>
    <w:rsid w:val="13DD7DC5"/>
    <w:rsid w:val="14773A8D"/>
    <w:rsid w:val="14777F31"/>
    <w:rsid w:val="14D64ED9"/>
    <w:rsid w:val="15141343"/>
    <w:rsid w:val="151508C6"/>
    <w:rsid w:val="15162D86"/>
    <w:rsid w:val="157408EC"/>
    <w:rsid w:val="15785D0F"/>
    <w:rsid w:val="15791A87"/>
    <w:rsid w:val="15824E09"/>
    <w:rsid w:val="159665DE"/>
    <w:rsid w:val="15B036FB"/>
    <w:rsid w:val="15C50828"/>
    <w:rsid w:val="15DD7F7C"/>
    <w:rsid w:val="15EB21E3"/>
    <w:rsid w:val="15FF261B"/>
    <w:rsid w:val="161D68B6"/>
    <w:rsid w:val="1653052A"/>
    <w:rsid w:val="16AD68BA"/>
    <w:rsid w:val="16B76879"/>
    <w:rsid w:val="16B965DF"/>
    <w:rsid w:val="16BF516A"/>
    <w:rsid w:val="16E7210F"/>
    <w:rsid w:val="17667442"/>
    <w:rsid w:val="178B5F49"/>
    <w:rsid w:val="1843750D"/>
    <w:rsid w:val="18730A0F"/>
    <w:rsid w:val="19307018"/>
    <w:rsid w:val="194F441F"/>
    <w:rsid w:val="19AC41D9"/>
    <w:rsid w:val="19EA6AAF"/>
    <w:rsid w:val="1A321DA9"/>
    <w:rsid w:val="1A473E72"/>
    <w:rsid w:val="1A4E703E"/>
    <w:rsid w:val="1AD11A1D"/>
    <w:rsid w:val="1ADC6C39"/>
    <w:rsid w:val="1AFC6A9A"/>
    <w:rsid w:val="1B1526BF"/>
    <w:rsid w:val="1B1535E6"/>
    <w:rsid w:val="1B2E59C9"/>
    <w:rsid w:val="1B6B1E72"/>
    <w:rsid w:val="1B79089D"/>
    <w:rsid w:val="1BF04544"/>
    <w:rsid w:val="1C155AA2"/>
    <w:rsid w:val="1C740F63"/>
    <w:rsid w:val="1C7B0660"/>
    <w:rsid w:val="1CB05A7F"/>
    <w:rsid w:val="1D1F566C"/>
    <w:rsid w:val="1D526E45"/>
    <w:rsid w:val="1D770C9F"/>
    <w:rsid w:val="1D781367"/>
    <w:rsid w:val="1D934F03"/>
    <w:rsid w:val="1DC422B8"/>
    <w:rsid w:val="1DDC1D26"/>
    <w:rsid w:val="1DF63C75"/>
    <w:rsid w:val="1E30234F"/>
    <w:rsid w:val="1E675979"/>
    <w:rsid w:val="1E8C601F"/>
    <w:rsid w:val="1EB353CC"/>
    <w:rsid w:val="1EC975DB"/>
    <w:rsid w:val="1EE10644"/>
    <w:rsid w:val="1EE952F6"/>
    <w:rsid w:val="1F4D7724"/>
    <w:rsid w:val="1F6D61B8"/>
    <w:rsid w:val="20144886"/>
    <w:rsid w:val="208A4797"/>
    <w:rsid w:val="20F76FFF"/>
    <w:rsid w:val="21176FBB"/>
    <w:rsid w:val="21736403"/>
    <w:rsid w:val="218B39C0"/>
    <w:rsid w:val="21DE15EF"/>
    <w:rsid w:val="220F79FB"/>
    <w:rsid w:val="223631D9"/>
    <w:rsid w:val="22600256"/>
    <w:rsid w:val="23005595"/>
    <w:rsid w:val="23136EEB"/>
    <w:rsid w:val="233C3E4E"/>
    <w:rsid w:val="23E57486"/>
    <w:rsid w:val="24106586"/>
    <w:rsid w:val="241E3F33"/>
    <w:rsid w:val="2425014F"/>
    <w:rsid w:val="24CB23C4"/>
    <w:rsid w:val="250456E8"/>
    <w:rsid w:val="2535072C"/>
    <w:rsid w:val="25847323"/>
    <w:rsid w:val="258B55EA"/>
    <w:rsid w:val="25983863"/>
    <w:rsid w:val="25AA0769"/>
    <w:rsid w:val="25DD571A"/>
    <w:rsid w:val="263C57B2"/>
    <w:rsid w:val="265513EA"/>
    <w:rsid w:val="26FF4758"/>
    <w:rsid w:val="270811D6"/>
    <w:rsid w:val="2727030E"/>
    <w:rsid w:val="27A97FAA"/>
    <w:rsid w:val="27DE07E0"/>
    <w:rsid w:val="27E126B6"/>
    <w:rsid w:val="27F21951"/>
    <w:rsid w:val="28243AD4"/>
    <w:rsid w:val="282D3E1D"/>
    <w:rsid w:val="283858CD"/>
    <w:rsid w:val="28821D21"/>
    <w:rsid w:val="29341AF5"/>
    <w:rsid w:val="293C78E0"/>
    <w:rsid w:val="29A30A29"/>
    <w:rsid w:val="29A92DEF"/>
    <w:rsid w:val="2A4B5348"/>
    <w:rsid w:val="2A924D25"/>
    <w:rsid w:val="2AB90504"/>
    <w:rsid w:val="2AC7692A"/>
    <w:rsid w:val="2B040F10"/>
    <w:rsid w:val="2B762C31"/>
    <w:rsid w:val="2B784A89"/>
    <w:rsid w:val="2BB553E6"/>
    <w:rsid w:val="2BD001FB"/>
    <w:rsid w:val="2BF23635"/>
    <w:rsid w:val="2C8965FC"/>
    <w:rsid w:val="2C9C1E8B"/>
    <w:rsid w:val="2CB91C59"/>
    <w:rsid w:val="2D067C4C"/>
    <w:rsid w:val="2DA757CD"/>
    <w:rsid w:val="2E2E2FB7"/>
    <w:rsid w:val="2E5D564A"/>
    <w:rsid w:val="2E905A1F"/>
    <w:rsid w:val="2E9A2FA9"/>
    <w:rsid w:val="2EAE7D0D"/>
    <w:rsid w:val="2EB3170E"/>
    <w:rsid w:val="2EC21951"/>
    <w:rsid w:val="2EFC4E63"/>
    <w:rsid w:val="2F155F25"/>
    <w:rsid w:val="2F536A54"/>
    <w:rsid w:val="2F770234"/>
    <w:rsid w:val="2F8F5CD7"/>
    <w:rsid w:val="2FE57F31"/>
    <w:rsid w:val="30104B22"/>
    <w:rsid w:val="301D0797"/>
    <w:rsid w:val="30713C53"/>
    <w:rsid w:val="30797323"/>
    <w:rsid w:val="309520F7"/>
    <w:rsid w:val="309F1F4A"/>
    <w:rsid w:val="30CC6AB7"/>
    <w:rsid w:val="312D57A8"/>
    <w:rsid w:val="31CB6D6E"/>
    <w:rsid w:val="31D9592F"/>
    <w:rsid w:val="320504D2"/>
    <w:rsid w:val="329459AD"/>
    <w:rsid w:val="329E4165"/>
    <w:rsid w:val="32C00582"/>
    <w:rsid w:val="335C6818"/>
    <w:rsid w:val="33C26591"/>
    <w:rsid w:val="33FB52BF"/>
    <w:rsid w:val="346F0006"/>
    <w:rsid w:val="34F565DC"/>
    <w:rsid w:val="35B415EC"/>
    <w:rsid w:val="35C83CF1"/>
    <w:rsid w:val="35E328D9"/>
    <w:rsid w:val="36000EF9"/>
    <w:rsid w:val="365C3DBB"/>
    <w:rsid w:val="367571F9"/>
    <w:rsid w:val="369235A5"/>
    <w:rsid w:val="36E56B24"/>
    <w:rsid w:val="36FD5C1C"/>
    <w:rsid w:val="37193A7A"/>
    <w:rsid w:val="37225683"/>
    <w:rsid w:val="37472E3B"/>
    <w:rsid w:val="37645C9B"/>
    <w:rsid w:val="37796E87"/>
    <w:rsid w:val="378325C5"/>
    <w:rsid w:val="37FA03AE"/>
    <w:rsid w:val="380A6843"/>
    <w:rsid w:val="38370F4F"/>
    <w:rsid w:val="387C536A"/>
    <w:rsid w:val="388C3574"/>
    <w:rsid w:val="38957D3E"/>
    <w:rsid w:val="38A62B0D"/>
    <w:rsid w:val="38B86F56"/>
    <w:rsid w:val="3922196A"/>
    <w:rsid w:val="394F6C6F"/>
    <w:rsid w:val="39763A64"/>
    <w:rsid w:val="3A63048C"/>
    <w:rsid w:val="3AC71D0D"/>
    <w:rsid w:val="3B8406BA"/>
    <w:rsid w:val="3B963A4D"/>
    <w:rsid w:val="3B9F48B6"/>
    <w:rsid w:val="3BB645EB"/>
    <w:rsid w:val="3C2D0D52"/>
    <w:rsid w:val="3C9B3F0D"/>
    <w:rsid w:val="3CD4717D"/>
    <w:rsid w:val="3D121CF5"/>
    <w:rsid w:val="3D404AB5"/>
    <w:rsid w:val="3D897F97"/>
    <w:rsid w:val="3D8F1598"/>
    <w:rsid w:val="3E2B12C1"/>
    <w:rsid w:val="3E4505B4"/>
    <w:rsid w:val="3E5C147A"/>
    <w:rsid w:val="3E7E2A01"/>
    <w:rsid w:val="3E7F0194"/>
    <w:rsid w:val="3E9C57AC"/>
    <w:rsid w:val="3EBF7C5B"/>
    <w:rsid w:val="3EC6070F"/>
    <w:rsid w:val="3ED51742"/>
    <w:rsid w:val="3F0F0BE2"/>
    <w:rsid w:val="3F5F64EF"/>
    <w:rsid w:val="3F744EE9"/>
    <w:rsid w:val="3F7B6278"/>
    <w:rsid w:val="3F8A0269"/>
    <w:rsid w:val="3FA30A38"/>
    <w:rsid w:val="3FCB250F"/>
    <w:rsid w:val="3FCB2D5B"/>
    <w:rsid w:val="3FD15E98"/>
    <w:rsid w:val="40006363"/>
    <w:rsid w:val="409E3FCC"/>
    <w:rsid w:val="40D55514"/>
    <w:rsid w:val="40ED3BA3"/>
    <w:rsid w:val="412F51E3"/>
    <w:rsid w:val="41B17D2F"/>
    <w:rsid w:val="424E1A22"/>
    <w:rsid w:val="42611755"/>
    <w:rsid w:val="429531AD"/>
    <w:rsid w:val="42D8613A"/>
    <w:rsid w:val="42D9753D"/>
    <w:rsid w:val="42FA7159"/>
    <w:rsid w:val="435D3C91"/>
    <w:rsid w:val="43AF3320"/>
    <w:rsid w:val="43F92FEC"/>
    <w:rsid w:val="441B1E39"/>
    <w:rsid w:val="44501A81"/>
    <w:rsid w:val="44600F13"/>
    <w:rsid w:val="446B68BB"/>
    <w:rsid w:val="447517CB"/>
    <w:rsid w:val="4484172B"/>
    <w:rsid w:val="44A41DCD"/>
    <w:rsid w:val="44FF34A7"/>
    <w:rsid w:val="45442C68"/>
    <w:rsid w:val="457A48DC"/>
    <w:rsid w:val="45DE1D77"/>
    <w:rsid w:val="45FB5626"/>
    <w:rsid w:val="460F7548"/>
    <w:rsid w:val="462A2F7C"/>
    <w:rsid w:val="4654337F"/>
    <w:rsid w:val="4694464B"/>
    <w:rsid w:val="47617B01"/>
    <w:rsid w:val="477A0BC3"/>
    <w:rsid w:val="478B1109"/>
    <w:rsid w:val="47A04ACD"/>
    <w:rsid w:val="47D81FA9"/>
    <w:rsid w:val="486B440C"/>
    <w:rsid w:val="494E5D41"/>
    <w:rsid w:val="49583186"/>
    <w:rsid w:val="49937C6C"/>
    <w:rsid w:val="49A03796"/>
    <w:rsid w:val="49A53CC1"/>
    <w:rsid w:val="49BF7253"/>
    <w:rsid w:val="49C83E68"/>
    <w:rsid w:val="49F3676E"/>
    <w:rsid w:val="4A3E237C"/>
    <w:rsid w:val="4AF85673"/>
    <w:rsid w:val="4B6B71A0"/>
    <w:rsid w:val="4B982BB3"/>
    <w:rsid w:val="4BF7108D"/>
    <w:rsid w:val="4BFC429C"/>
    <w:rsid w:val="4C9B5863"/>
    <w:rsid w:val="4CC50B32"/>
    <w:rsid w:val="4CE0771A"/>
    <w:rsid w:val="4D096C71"/>
    <w:rsid w:val="4DA44BEC"/>
    <w:rsid w:val="4DAE1633"/>
    <w:rsid w:val="4DB82445"/>
    <w:rsid w:val="4DEB45C9"/>
    <w:rsid w:val="4E30647F"/>
    <w:rsid w:val="4E577EB0"/>
    <w:rsid w:val="4EFF13E5"/>
    <w:rsid w:val="4F8C0F92"/>
    <w:rsid w:val="4FA67F1E"/>
    <w:rsid w:val="4FBA7B2E"/>
    <w:rsid w:val="4FCD544B"/>
    <w:rsid w:val="4FF77255"/>
    <w:rsid w:val="50376EC1"/>
    <w:rsid w:val="50442E41"/>
    <w:rsid w:val="50EF1724"/>
    <w:rsid w:val="511104C5"/>
    <w:rsid w:val="51772403"/>
    <w:rsid w:val="5245097E"/>
    <w:rsid w:val="52575455"/>
    <w:rsid w:val="526F57C8"/>
    <w:rsid w:val="527B604B"/>
    <w:rsid w:val="53603363"/>
    <w:rsid w:val="538E6122"/>
    <w:rsid w:val="542A7DD9"/>
    <w:rsid w:val="543E18F6"/>
    <w:rsid w:val="54C811C0"/>
    <w:rsid w:val="54DE6C35"/>
    <w:rsid w:val="551E4A4E"/>
    <w:rsid w:val="55724DC3"/>
    <w:rsid w:val="55760C1C"/>
    <w:rsid w:val="55B335CC"/>
    <w:rsid w:val="55DB13C7"/>
    <w:rsid w:val="564662EE"/>
    <w:rsid w:val="565D20C7"/>
    <w:rsid w:val="57284198"/>
    <w:rsid w:val="57D22CC7"/>
    <w:rsid w:val="58003366"/>
    <w:rsid w:val="58C47EF0"/>
    <w:rsid w:val="58C90767"/>
    <w:rsid w:val="59032FB6"/>
    <w:rsid w:val="594D4389"/>
    <w:rsid w:val="597933D0"/>
    <w:rsid w:val="598946F7"/>
    <w:rsid w:val="59AF0BA0"/>
    <w:rsid w:val="59BC506B"/>
    <w:rsid w:val="5A4F276C"/>
    <w:rsid w:val="5A7871E4"/>
    <w:rsid w:val="5AE76A55"/>
    <w:rsid w:val="5AF63C2C"/>
    <w:rsid w:val="5B637E94"/>
    <w:rsid w:val="5B860B91"/>
    <w:rsid w:val="5B8928AC"/>
    <w:rsid w:val="5C2238AB"/>
    <w:rsid w:val="5C300B46"/>
    <w:rsid w:val="5C91170D"/>
    <w:rsid w:val="5CC44887"/>
    <w:rsid w:val="5E0707E8"/>
    <w:rsid w:val="5E343D6A"/>
    <w:rsid w:val="5E516DC3"/>
    <w:rsid w:val="5E836CBA"/>
    <w:rsid w:val="5EB93F9B"/>
    <w:rsid w:val="5ED131DB"/>
    <w:rsid w:val="5EEA61D6"/>
    <w:rsid w:val="5F2B2A77"/>
    <w:rsid w:val="5F6E1D2C"/>
    <w:rsid w:val="5FA82319"/>
    <w:rsid w:val="5FB05505"/>
    <w:rsid w:val="5FB76230"/>
    <w:rsid w:val="5FDC6B40"/>
    <w:rsid w:val="5FF437B1"/>
    <w:rsid w:val="60673F83"/>
    <w:rsid w:val="60A76AF7"/>
    <w:rsid w:val="60B10AFA"/>
    <w:rsid w:val="60FD670A"/>
    <w:rsid w:val="61265BEC"/>
    <w:rsid w:val="61483335"/>
    <w:rsid w:val="61CE3B8D"/>
    <w:rsid w:val="61D75138"/>
    <w:rsid w:val="624C78D4"/>
    <w:rsid w:val="62785DEC"/>
    <w:rsid w:val="62CD2097"/>
    <w:rsid w:val="62E3123D"/>
    <w:rsid w:val="64570A13"/>
    <w:rsid w:val="64810435"/>
    <w:rsid w:val="64FE29DC"/>
    <w:rsid w:val="65021D19"/>
    <w:rsid w:val="655D5954"/>
    <w:rsid w:val="65E55147"/>
    <w:rsid w:val="66372649"/>
    <w:rsid w:val="67222BCE"/>
    <w:rsid w:val="682B7F8C"/>
    <w:rsid w:val="68404A74"/>
    <w:rsid w:val="685A261F"/>
    <w:rsid w:val="68AF64C7"/>
    <w:rsid w:val="68B0082B"/>
    <w:rsid w:val="68C72CFE"/>
    <w:rsid w:val="68F840FA"/>
    <w:rsid w:val="6A2124C5"/>
    <w:rsid w:val="6AE54422"/>
    <w:rsid w:val="6B2D5C39"/>
    <w:rsid w:val="6BA92830"/>
    <w:rsid w:val="6BD154E6"/>
    <w:rsid w:val="6C0E5BFA"/>
    <w:rsid w:val="6CDA3D2E"/>
    <w:rsid w:val="6D257FA0"/>
    <w:rsid w:val="6D400F45"/>
    <w:rsid w:val="6DC42A14"/>
    <w:rsid w:val="6DCE3893"/>
    <w:rsid w:val="6DD55F01"/>
    <w:rsid w:val="6F245233"/>
    <w:rsid w:val="6F854425"/>
    <w:rsid w:val="6F8D6E36"/>
    <w:rsid w:val="6FA14932"/>
    <w:rsid w:val="6FC974CE"/>
    <w:rsid w:val="6FE401BA"/>
    <w:rsid w:val="6FF10FE9"/>
    <w:rsid w:val="701778DC"/>
    <w:rsid w:val="70661C93"/>
    <w:rsid w:val="70A87041"/>
    <w:rsid w:val="70AE3508"/>
    <w:rsid w:val="71353C29"/>
    <w:rsid w:val="7189187F"/>
    <w:rsid w:val="71C172BE"/>
    <w:rsid w:val="71E075D7"/>
    <w:rsid w:val="71FA1A60"/>
    <w:rsid w:val="726B5B54"/>
    <w:rsid w:val="729F75AC"/>
    <w:rsid w:val="731F06ED"/>
    <w:rsid w:val="733C4DFB"/>
    <w:rsid w:val="73566279"/>
    <w:rsid w:val="73B66440"/>
    <w:rsid w:val="742A559B"/>
    <w:rsid w:val="746A1C1D"/>
    <w:rsid w:val="746C1710"/>
    <w:rsid w:val="74817FA7"/>
    <w:rsid w:val="74C829A2"/>
    <w:rsid w:val="75FB0F9D"/>
    <w:rsid w:val="76366479"/>
    <w:rsid w:val="76742AFE"/>
    <w:rsid w:val="76870A83"/>
    <w:rsid w:val="76A038F3"/>
    <w:rsid w:val="76B455F0"/>
    <w:rsid w:val="770B16B4"/>
    <w:rsid w:val="7715608F"/>
    <w:rsid w:val="786A065C"/>
    <w:rsid w:val="788A29CD"/>
    <w:rsid w:val="788E2CEB"/>
    <w:rsid w:val="78E35D19"/>
    <w:rsid w:val="790A599B"/>
    <w:rsid w:val="791800B8"/>
    <w:rsid w:val="79256331"/>
    <w:rsid w:val="792A55F5"/>
    <w:rsid w:val="793D367B"/>
    <w:rsid w:val="794C1B10"/>
    <w:rsid w:val="79553FFB"/>
    <w:rsid w:val="79AD6A52"/>
    <w:rsid w:val="79CB3751"/>
    <w:rsid w:val="79F006ED"/>
    <w:rsid w:val="7A2B7977"/>
    <w:rsid w:val="7A6A4943"/>
    <w:rsid w:val="7AC041A5"/>
    <w:rsid w:val="7AD54393"/>
    <w:rsid w:val="7AE2272C"/>
    <w:rsid w:val="7B2C2BB5"/>
    <w:rsid w:val="7BEB3862"/>
    <w:rsid w:val="7C376AA7"/>
    <w:rsid w:val="7C42333B"/>
    <w:rsid w:val="7C4466BB"/>
    <w:rsid w:val="7C9C679D"/>
    <w:rsid w:val="7CB73744"/>
    <w:rsid w:val="7CD23C96"/>
    <w:rsid w:val="7D140B97"/>
    <w:rsid w:val="7D731D61"/>
    <w:rsid w:val="7D87580C"/>
    <w:rsid w:val="7D965AF2"/>
    <w:rsid w:val="7D980636"/>
    <w:rsid w:val="7DF2480A"/>
    <w:rsid w:val="7E400DFB"/>
    <w:rsid w:val="7E437985"/>
    <w:rsid w:val="7E691D39"/>
    <w:rsid w:val="7E8F6E89"/>
    <w:rsid w:val="7EC62364"/>
    <w:rsid w:val="7EDE145C"/>
    <w:rsid w:val="7EEF1432"/>
    <w:rsid w:val="7F303C81"/>
    <w:rsid w:val="7FAF5848"/>
    <w:rsid w:val="7FCE2A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5"/>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6"/>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7"/>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8"/>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9"/>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30"/>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1"/>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2"/>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3">
    <w:name w:val="Default Paragraph Font"/>
    <w:semiHidden/>
    <w:unhideWhenUsed/>
    <w:qFormat/>
    <w:uiPriority w:val="1"/>
  </w:style>
  <w:style w:type="table" w:default="1" w:styleId="21">
    <w:name w:val="Normal Table"/>
    <w:autoRedefine/>
    <w:semiHidden/>
    <w:unhideWhenUsed/>
    <w:qFormat/>
    <w:uiPriority w:val="99"/>
    <w:tblPr>
      <w:tblCellMar>
        <w:top w:w="0" w:type="dxa"/>
        <w:left w:w="108" w:type="dxa"/>
        <w:bottom w:w="0" w:type="dxa"/>
        <w:right w:w="108" w:type="dxa"/>
      </w:tblCellMar>
    </w:tblPr>
  </w:style>
  <w:style w:type="paragraph" w:styleId="11">
    <w:name w:val="Body Text"/>
    <w:basedOn w:val="1"/>
    <w:next w:val="1"/>
    <w:autoRedefine/>
    <w:semiHidden/>
    <w:unhideWhenUsed/>
    <w:qFormat/>
    <w:uiPriority w:val="99"/>
    <w:pPr>
      <w:spacing w:after="120"/>
    </w:pPr>
  </w:style>
  <w:style w:type="paragraph" w:styleId="12">
    <w:name w:val="Plain Text"/>
    <w:basedOn w:val="1"/>
    <w:autoRedefine/>
    <w:qFormat/>
    <w:uiPriority w:val="0"/>
    <w:rPr>
      <w:rFonts w:ascii="宋体" w:hAnsi="Courier New" w:cs="Courier New"/>
      <w:szCs w:val="21"/>
    </w:rPr>
  </w:style>
  <w:style w:type="paragraph" w:styleId="13">
    <w:name w:val="footer"/>
    <w:basedOn w:val="1"/>
    <w:link w:val="43"/>
    <w:autoRedefine/>
    <w:unhideWhenUsed/>
    <w:qFormat/>
    <w:uiPriority w:val="99"/>
    <w:pPr>
      <w:tabs>
        <w:tab w:val="center" w:pos="4153"/>
        <w:tab w:val="right" w:pos="8306"/>
      </w:tabs>
      <w:snapToGrid w:val="0"/>
      <w:jc w:val="left"/>
    </w:pPr>
    <w:rPr>
      <w:sz w:val="18"/>
      <w:szCs w:val="18"/>
    </w:rPr>
  </w:style>
  <w:style w:type="paragraph" w:styleId="14">
    <w:name w:val="header"/>
    <w:basedOn w:val="1"/>
    <w:link w:val="42"/>
    <w:unhideWhenUsed/>
    <w:qFormat/>
    <w:uiPriority w:val="99"/>
    <w:pPr>
      <w:tabs>
        <w:tab w:val="center" w:pos="4153"/>
        <w:tab w:val="right" w:pos="8306"/>
      </w:tabs>
      <w:snapToGrid w:val="0"/>
      <w:jc w:val="center"/>
    </w:pPr>
    <w:rPr>
      <w:sz w:val="18"/>
      <w:szCs w:val="18"/>
    </w:rPr>
  </w:style>
  <w:style w:type="paragraph" w:styleId="15">
    <w:name w:val="toc 1"/>
    <w:basedOn w:val="1"/>
    <w:next w:val="1"/>
    <w:semiHidden/>
    <w:qFormat/>
    <w:uiPriority w:val="0"/>
    <w:rPr>
      <w:rFonts w:ascii="Calibri" w:hAnsi="Calibri"/>
    </w:rPr>
  </w:style>
  <w:style w:type="paragraph" w:styleId="16">
    <w:name w:val="Subtitle"/>
    <w:basedOn w:val="1"/>
    <w:next w:val="1"/>
    <w:link w:val="34"/>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Body Text 2"/>
    <w:basedOn w:val="1"/>
    <w:autoRedefine/>
    <w:qFormat/>
    <w:uiPriority w:val="0"/>
    <w:pPr>
      <w:widowControl w:val="0"/>
      <w:kinsoku/>
      <w:autoSpaceDE/>
      <w:autoSpaceDN/>
      <w:spacing w:line="600" w:lineRule="exact"/>
      <w:ind w:left="1280" w:hanging="1280" w:hangingChars="400"/>
      <w:textAlignment w:val="auto"/>
    </w:pPr>
  </w:style>
  <w:style w:type="paragraph" w:styleId="18">
    <w:name w:val="Normal (Web)"/>
    <w:basedOn w:val="1"/>
    <w:autoRedefine/>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3"/>
    <w:autoRedefine/>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20">
    <w:name w:val="Body Text First Indent"/>
    <w:basedOn w:val="11"/>
    <w:qFormat/>
    <w:uiPriority w:val="0"/>
    <w:pPr>
      <w:spacing w:after="0"/>
      <w:ind w:firstLine="420" w:firstLineChars="100"/>
    </w:pPr>
    <w:rPr>
      <w:rFonts w:cs="Times New Roman"/>
    </w:rPr>
  </w:style>
  <w:style w:type="table" w:styleId="22">
    <w:name w:val="Table Grid"/>
    <w:basedOn w:val="21"/>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4">
    <w:name w:val="标题 1 字符"/>
    <w:basedOn w:val="23"/>
    <w:link w:val="2"/>
    <w:autoRedefine/>
    <w:qFormat/>
    <w:uiPriority w:val="9"/>
    <w:rPr>
      <w:rFonts w:asciiTheme="majorHAnsi" w:hAnsiTheme="majorHAnsi" w:eastAsiaTheme="majorEastAsia" w:cstheme="majorBidi"/>
      <w:color w:val="104862" w:themeColor="accent1" w:themeShade="BF"/>
      <w:sz w:val="48"/>
      <w:szCs w:val="48"/>
    </w:rPr>
  </w:style>
  <w:style w:type="character" w:customStyle="1" w:styleId="25">
    <w:name w:val="标题 2 字符"/>
    <w:basedOn w:val="23"/>
    <w:link w:val="3"/>
    <w:autoRedefine/>
    <w:qFormat/>
    <w:uiPriority w:val="9"/>
    <w:rPr>
      <w:rFonts w:asciiTheme="majorHAnsi" w:hAnsiTheme="majorHAnsi" w:eastAsiaTheme="majorEastAsia" w:cstheme="majorBidi"/>
      <w:color w:val="104862" w:themeColor="accent1" w:themeShade="BF"/>
      <w:sz w:val="40"/>
      <w:szCs w:val="40"/>
    </w:rPr>
  </w:style>
  <w:style w:type="character" w:customStyle="1" w:styleId="26">
    <w:name w:val="标题 3 字符"/>
    <w:basedOn w:val="23"/>
    <w:link w:val="4"/>
    <w:autoRedefine/>
    <w:qFormat/>
    <w:uiPriority w:val="9"/>
    <w:rPr>
      <w:rFonts w:asciiTheme="majorHAnsi" w:hAnsiTheme="majorHAnsi" w:eastAsiaTheme="majorEastAsia" w:cstheme="majorBidi"/>
      <w:color w:val="104862" w:themeColor="accent1" w:themeShade="BF"/>
      <w:sz w:val="32"/>
      <w:szCs w:val="32"/>
    </w:rPr>
  </w:style>
  <w:style w:type="character" w:customStyle="1" w:styleId="27">
    <w:name w:val="标题 4 字符"/>
    <w:basedOn w:val="23"/>
    <w:link w:val="5"/>
    <w:autoRedefine/>
    <w:semiHidden/>
    <w:qFormat/>
    <w:uiPriority w:val="9"/>
    <w:rPr>
      <w:rFonts w:cstheme="majorBidi"/>
      <w:color w:val="104862" w:themeColor="accent1" w:themeShade="BF"/>
      <w:sz w:val="28"/>
      <w:szCs w:val="28"/>
    </w:rPr>
  </w:style>
  <w:style w:type="character" w:customStyle="1" w:styleId="28">
    <w:name w:val="标题 5 字符"/>
    <w:basedOn w:val="23"/>
    <w:link w:val="6"/>
    <w:autoRedefine/>
    <w:semiHidden/>
    <w:qFormat/>
    <w:uiPriority w:val="9"/>
    <w:rPr>
      <w:rFonts w:cstheme="majorBidi"/>
      <w:color w:val="104862" w:themeColor="accent1" w:themeShade="BF"/>
      <w:sz w:val="24"/>
      <w:szCs w:val="24"/>
    </w:rPr>
  </w:style>
  <w:style w:type="character" w:customStyle="1" w:styleId="29">
    <w:name w:val="标题 6 字符"/>
    <w:basedOn w:val="23"/>
    <w:link w:val="7"/>
    <w:autoRedefine/>
    <w:semiHidden/>
    <w:qFormat/>
    <w:uiPriority w:val="9"/>
    <w:rPr>
      <w:rFonts w:cstheme="majorBidi"/>
      <w:b/>
      <w:bCs/>
      <w:color w:val="104862" w:themeColor="accent1" w:themeShade="BF"/>
    </w:rPr>
  </w:style>
  <w:style w:type="character" w:customStyle="1" w:styleId="30">
    <w:name w:val="标题 7 字符"/>
    <w:basedOn w:val="23"/>
    <w:link w:val="8"/>
    <w:autoRedefine/>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1">
    <w:name w:val="标题 8 字符"/>
    <w:basedOn w:val="23"/>
    <w:link w:val="9"/>
    <w:autoRedefine/>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2">
    <w:name w:val="标题 9 字符"/>
    <w:basedOn w:val="23"/>
    <w:link w:val="10"/>
    <w:autoRedefine/>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3">
    <w:name w:val="标题 字符"/>
    <w:basedOn w:val="23"/>
    <w:link w:val="19"/>
    <w:autoRedefine/>
    <w:qFormat/>
    <w:uiPriority w:val="10"/>
    <w:rPr>
      <w:rFonts w:asciiTheme="majorHAnsi" w:hAnsiTheme="majorHAnsi" w:eastAsiaTheme="majorEastAsia" w:cstheme="majorBidi"/>
      <w:spacing w:val="-10"/>
      <w:kern w:val="28"/>
      <w:sz w:val="56"/>
      <w:szCs w:val="56"/>
    </w:rPr>
  </w:style>
  <w:style w:type="character" w:customStyle="1" w:styleId="34">
    <w:name w:val="副标题 字符"/>
    <w:basedOn w:val="23"/>
    <w:link w:val="16"/>
    <w:autoRedefine/>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5">
    <w:name w:val="Quote"/>
    <w:basedOn w:val="1"/>
    <w:next w:val="1"/>
    <w:link w:val="36"/>
    <w:autoRedefine/>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6">
    <w:name w:val="引用 字符"/>
    <w:basedOn w:val="23"/>
    <w:link w:val="35"/>
    <w:autoRedefine/>
    <w:qFormat/>
    <w:uiPriority w:val="29"/>
    <w:rPr>
      <w:i/>
      <w:iCs/>
      <w:color w:val="404040" w:themeColor="text1" w:themeTint="BF"/>
      <w14:textFill>
        <w14:solidFill>
          <w14:schemeClr w14:val="tx1">
            <w14:lumMod w14:val="75000"/>
            <w14:lumOff w14:val="25000"/>
          </w14:schemeClr>
        </w14:solidFill>
      </w14:textFill>
    </w:rPr>
  </w:style>
  <w:style w:type="paragraph" w:styleId="37">
    <w:name w:val="List Paragraph"/>
    <w:basedOn w:val="1"/>
    <w:autoRedefine/>
    <w:qFormat/>
    <w:uiPriority w:val="34"/>
    <w:pPr>
      <w:ind w:left="720"/>
      <w:contextualSpacing/>
    </w:pPr>
  </w:style>
  <w:style w:type="character" w:customStyle="1" w:styleId="38">
    <w:name w:val="Intense Emphasis"/>
    <w:basedOn w:val="23"/>
    <w:autoRedefine/>
    <w:qFormat/>
    <w:uiPriority w:val="21"/>
    <w:rPr>
      <w:i/>
      <w:iCs/>
      <w:color w:val="104862" w:themeColor="accent1" w:themeShade="BF"/>
    </w:rPr>
  </w:style>
  <w:style w:type="paragraph" w:styleId="39">
    <w:name w:val="Intense Quote"/>
    <w:basedOn w:val="1"/>
    <w:next w:val="1"/>
    <w:link w:val="40"/>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0">
    <w:name w:val="明显引用 字符"/>
    <w:basedOn w:val="23"/>
    <w:link w:val="39"/>
    <w:autoRedefine/>
    <w:qFormat/>
    <w:uiPriority w:val="30"/>
    <w:rPr>
      <w:i/>
      <w:iCs/>
      <w:color w:val="104862" w:themeColor="accent1" w:themeShade="BF"/>
    </w:rPr>
  </w:style>
  <w:style w:type="character" w:customStyle="1" w:styleId="41">
    <w:name w:val="Intense Reference"/>
    <w:basedOn w:val="23"/>
    <w:autoRedefine/>
    <w:qFormat/>
    <w:uiPriority w:val="32"/>
    <w:rPr>
      <w:b/>
      <w:bCs/>
      <w:smallCaps/>
      <w:color w:val="104862" w:themeColor="accent1" w:themeShade="BF"/>
      <w:spacing w:val="5"/>
    </w:rPr>
  </w:style>
  <w:style w:type="character" w:customStyle="1" w:styleId="42">
    <w:name w:val="页眉 字符"/>
    <w:basedOn w:val="23"/>
    <w:link w:val="14"/>
    <w:autoRedefine/>
    <w:qFormat/>
    <w:uiPriority w:val="99"/>
    <w:rPr>
      <w:sz w:val="18"/>
      <w:szCs w:val="18"/>
    </w:rPr>
  </w:style>
  <w:style w:type="character" w:customStyle="1" w:styleId="43">
    <w:name w:val="页脚 字符"/>
    <w:basedOn w:val="23"/>
    <w:link w:val="13"/>
    <w:qFormat/>
    <w:uiPriority w:val="99"/>
    <w:rPr>
      <w:sz w:val="18"/>
      <w:szCs w:val="18"/>
    </w:rPr>
  </w:style>
  <w:style w:type="paragraph" w:customStyle="1" w:styleId="44">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45">
    <w:name w:val="font11"/>
    <w:basedOn w:val="23"/>
    <w:autoRedefine/>
    <w:qFormat/>
    <w:uiPriority w:val="0"/>
    <w:rPr>
      <w:rFonts w:hint="eastAsia" w:ascii="仿宋_GB2312" w:eastAsia="仿宋_GB2312" w:cs="仿宋_GB2312"/>
      <w:color w:val="000000"/>
      <w:sz w:val="22"/>
      <w:szCs w:val="22"/>
      <w:u w:val="none"/>
    </w:rPr>
  </w:style>
  <w:style w:type="paragraph" w:customStyle="1" w:styleId="46">
    <w:name w:val="Table Text"/>
    <w:basedOn w:val="1"/>
    <w:autoRedefine/>
    <w:semiHidden/>
    <w:qFormat/>
    <w:uiPriority w:val="0"/>
    <w:rPr>
      <w:rFonts w:ascii="宋体" w:hAnsi="宋体" w:eastAsia="宋体" w:cs="宋体"/>
      <w:sz w:val="24"/>
      <w:szCs w:val="24"/>
      <w:lang w:val="en-US" w:eastAsia="en-US" w:bidi="ar-SA"/>
    </w:rPr>
  </w:style>
  <w:style w:type="table" w:customStyle="1" w:styleId="47">
    <w:name w:val="Table Normal"/>
    <w:autoRedefine/>
    <w:unhideWhenUsed/>
    <w:qFormat/>
    <w:uiPriority w:val="0"/>
    <w:tblPr>
      <w:tblCellMar>
        <w:top w:w="0" w:type="dxa"/>
        <w:left w:w="0" w:type="dxa"/>
        <w:bottom w:w="0" w:type="dxa"/>
        <w:right w:w="0" w:type="dxa"/>
      </w:tblCellMar>
    </w:tblPr>
  </w:style>
  <w:style w:type="paragraph" w:customStyle="1" w:styleId="48">
    <w:name w:val="普通(网站)1"/>
    <w:basedOn w:val="1"/>
    <w:autoRedefine/>
    <w:qFormat/>
    <w:uiPriority w:val="0"/>
    <w:pPr>
      <w:widowControl/>
      <w:spacing w:beforeAutospacing="1" w:afterAutospacing="1"/>
      <w:jc w:val="left"/>
    </w:pPr>
    <w:rPr>
      <w:rFonts w:ascii="宋体" w:hAnsi="宋体" w:eastAsia="宋体" w:cs="宋体"/>
      <w:kern w:val="0"/>
      <w:sz w:val="24"/>
      <w:szCs w:val="24"/>
    </w:rPr>
  </w:style>
  <w:style w:type="character" w:customStyle="1" w:styleId="49">
    <w:name w:val="font41"/>
    <w:basedOn w:val="23"/>
    <w:autoRedefine/>
    <w:qFormat/>
    <w:uiPriority w:val="0"/>
    <w:rPr>
      <w:rFonts w:hint="eastAsia" w:ascii="宋体" w:hAnsi="宋体" w:eastAsia="宋体" w:cs="宋体"/>
      <w:color w:val="000000"/>
      <w:sz w:val="24"/>
      <w:szCs w:val="24"/>
      <w:u w:val="none"/>
    </w:rPr>
  </w:style>
  <w:style w:type="character" w:customStyle="1" w:styleId="50">
    <w:name w:val="font61"/>
    <w:basedOn w:val="23"/>
    <w:autoRedefine/>
    <w:qFormat/>
    <w:uiPriority w:val="0"/>
    <w:rPr>
      <w:rFonts w:hint="default"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2587</Words>
  <Characters>2785</Characters>
  <Lines>25</Lines>
  <Paragraphs>7</Paragraphs>
  <TotalTime>0</TotalTime>
  <ScaleCrop>false</ScaleCrop>
  <LinksUpToDate>false</LinksUpToDate>
  <CharactersWithSpaces>2818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2024-01-21T12:35:00Z</dcterms:created>
  <dc:creator>a15280976656@outlook.com</dc:creator>
  <cp:lastModifiedBy>wang</cp:lastModifiedBy>
  <cp:lastPrinted>2024-06-07T07:44:00Z</cp:lastPrinted>
  <dcterms:modified xsi:type="dcterms:W3CDTF">2024-06-11T07:18:13Z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94CF98BADB484982AD7942432F264B38</vt:lpwstr>
  </property>
</Properties>
</file>