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outlineLvl w:val="9"/>
        <w:rPr>
          <w:rFonts w:hint="eastAsia" w:ascii="方正小标宋简体" w:hAnsi="黑体" w:eastAsia="方正小标宋简体" w:cs="宋体"/>
          <w:b w:val="0"/>
          <w:bCs w:val="0"/>
          <w:color w:val="000000"/>
          <w:kern w:val="0"/>
          <w:sz w:val="44"/>
          <w:szCs w:val="44"/>
        </w:rPr>
      </w:pPr>
    </w:p>
    <w:p>
      <w:pPr>
        <w:adjustRightInd w:val="0"/>
        <w:snapToGrid w:val="0"/>
        <w:spacing w:line="560" w:lineRule="exact"/>
        <w:jc w:val="center"/>
        <w:outlineLvl w:val="0"/>
        <w:rPr>
          <w:rFonts w:ascii="方正小标宋简体" w:eastAsia="方正小标宋简体"/>
          <w:sz w:val="44"/>
          <w:szCs w:val="44"/>
        </w:rPr>
      </w:pPr>
      <w:bookmarkStart w:id="0" w:name="heading_0"/>
      <w:r>
        <w:rPr>
          <w:rFonts w:hint="eastAsia" w:ascii="方正小标宋简体" w:hAnsi="Arial" w:eastAsia="方正小标宋简体" w:cs="Arial"/>
          <w:b/>
          <w:sz w:val="44"/>
          <w:szCs w:val="44"/>
        </w:rPr>
        <w:t>关于开展贸易业务风险专项检查的通知</w:t>
      </w:r>
      <w:bookmarkEnd w:id="0"/>
    </w:p>
    <w:p>
      <w:pPr>
        <w:adjustRightInd w:val="0"/>
        <w:snapToGrid w:val="0"/>
        <w:spacing w:line="560" w:lineRule="exact"/>
        <w:ind w:firstLine="640" w:firstLineChars="200"/>
        <w:jc w:val="right"/>
        <w:rPr>
          <w:rFonts w:ascii="仿宋_GB2312" w:eastAsia="仿宋_GB2312"/>
          <w:sz w:val="32"/>
          <w:szCs w:val="32"/>
        </w:rPr>
      </w:pPr>
      <w:r>
        <w:rPr>
          <w:rFonts w:hint="eastAsia" w:ascii="仿宋_GB2312" w:eastAsia="仿宋_GB2312"/>
          <w:sz w:val="32"/>
          <w:szCs w:val="32"/>
        </w:rPr>
        <w:t>JZFSB-通知-2024-04</w:t>
      </w:r>
    </w:p>
    <w:p>
      <w:pPr>
        <w:adjustRightInd w:val="0"/>
        <w:snapToGrid w:val="0"/>
        <w:spacing w:line="560" w:lineRule="exact"/>
        <w:rPr>
          <w:rFonts w:ascii="仿宋_GB2312" w:eastAsia="仿宋_GB2312"/>
          <w:sz w:val="32"/>
          <w:szCs w:val="32"/>
        </w:rPr>
      </w:pPr>
      <w:r>
        <w:rPr>
          <w:rFonts w:hint="eastAsia" w:ascii="仿宋_GB2312" w:hAnsi="Arial" w:eastAsia="仿宋_GB2312" w:cs="Arial"/>
          <w:sz w:val="32"/>
          <w:szCs w:val="32"/>
        </w:rPr>
        <w:t>各产业公司:</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根据《绵阳市国资委关于组织开展市属监管企业贸易业务风险专项检查的通知》要求，为全面掌握和有效防控全集团贸易业务风险，促进公司稳健经营，确保国有资产安全，公司决定在全集团范围内组织开展贸易业务风险专项检查。现将有关要求通知如下：</w:t>
      </w:r>
    </w:p>
    <w:p>
      <w:pPr>
        <w:adjustRightInd w:val="0"/>
        <w:snapToGrid w:val="0"/>
        <w:spacing w:line="560" w:lineRule="exact"/>
        <w:ind w:firstLine="641" w:firstLineChars="200"/>
        <w:outlineLvl w:val="1"/>
        <w:rPr>
          <w:rFonts w:ascii="黑体" w:hAnsi="黑体" w:eastAsia="黑体"/>
          <w:sz w:val="32"/>
          <w:szCs w:val="32"/>
        </w:rPr>
      </w:pPr>
      <w:bookmarkStart w:id="1" w:name="heading_1"/>
      <w:r>
        <w:rPr>
          <w:rFonts w:hint="eastAsia" w:ascii="黑体" w:hAnsi="黑体" w:eastAsia="黑体" w:cs="Arial"/>
          <w:b/>
          <w:sz w:val="32"/>
          <w:szCs w:val="32"/>
        </w:rPr>
        <w:t>一、工作目标</w:t>
      </w:r>
      <w:bookmarkEnd w:id="1"/>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以《国务院国资委关于规范中央企业贸易管理严禁各类虚假贸易的通知》（国资发财评规〔2023〕74号，见附件1）为指导，聚焦贸易业务“十不准”，对</w:t>
      </w:r>
      <w:r>
        <w:rPr>
          <w:rFonts w:hint="eastAsia" w:ascii="仿宋_GB2312" w:hAnsi="Arial" w:eastAsia="仿宋_GB2312" w:cs="Arial"/>
          <w:b/>
          <w:sz w:val="32"/>
          <w:szCs w:val="32"/>
        </w:rPr>
        <w:t>纳入集团合并报表范围内</w:t>
      </w:r>
      <w:r>
        <w:rPr>
          <w:rFonts w:hint="eastAsia" w:ascii="仿宋_GB2312" w:hAnsi="Arial" w:eastAsia="仿宋_GB2312" w:cs="Arial"/>
          <w:sz w:val="32"/>
          <w:szCs w:val="32"/>
        </w:rPr>
        <w:t>的所有公司开展一次彻底的全部贸易业务摸排检查，全面掌握全集团开展贸易业务的覆盖领域、经营规模、经济效益、内控管理等情况，深入揭示企业贸易业务运营管理存在的主要不足和风险隐患，提出对策建议，推动公司规范加强贸易业务管理，完善风险防范应对机制，及时避免和化解国有资产损失风险。</w:t>
      </w:r>
    </w:p>
    <w:p>
      <w:pPr>
        <w:adjustRightInd w:val="0"/>
        <w:snapToGrid w:val="0"/>
        <w:spacing w:line="560" w:lineRule="exact"/>
        <w:ind w:firstLine="641" w:firstLineChars="200"/>
        <w:outlineLvl w:val="1"/>
        <w:rPr>
          <w:rFonts w:ascii="黑体" w:hAnsi="黑体" w:eastAsia="黑体" w:cs="Arial"/>
          <w:b/>
          <w:sz w:val="32"/>
          <w:szCs w:val="32"/>
        </w:rPr>
      </w:pPr>
      <w:bookmarkStart w:id="2" w:name="heading_2"/>
      <w:r>
        <w:rPr>
          <w:rFonts w:hint="eastAsia" w:ascii="黑体" w:hAnsi="黑体" w:eastAsia="黑体" w:cs="Arial"/>
          <w:b/>
          <w:sz w:val="32"/>
          <w:szCs w:val="32"/>
        </w:rPr>
        <w:t>二、组织机构</w:t>
      </w:r>
      <w:bookmarkEnd w:id="2"/>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为确保此次专项检查工作取得实效，公司成立专项检查工作领导小组。</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组    长：杨保平</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副 组 长：孙  仲 杨  昆 袁  红 肖娓娓</w:t>
      </w:r>
    </w:p>
    <w:p>
      <w:pPr>
        <w:adjustRightInd w:val="0"/>
        <w:snapToGrid w:val="0"/>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组员单位：法务审计部 战略发展部 财务管理部 纪委办公室</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领导小组下设专项检查组，法务审计部牵头，由战略发展部、财务管理部、纪委办公室相关人员组成。</w:t>
      </w:r>
    </w:p>
    <w:p>
      <w:pPr>
        <w:adjustRightInd w:val="0"/>
        <w:snapToGrid w:val="0"/>
        <w:spacing w:line="560" w:lineRule="exact"/>
        <w:ind w:firstLine="641" w:firstLineChars="200"/>
        <w:outlineLvl w:val="1"/>
        <w:rPr>
          <w:rFonts w:ascii="黑体" w:hAnsi="黑体" w:eastAsia="黑体" w:cs="Arial"/>
          <w:b/>
          <w:sz w:val="32"/>
          <w:szCs w:val="32"/>
        </w:rPr>
      </w:pPr>
      <w:bookmarkStart w:id="3" w:name="heading_3"/>
      <w:r>
        <w:rPr>
          <w:rFonts w:hint="eastAsia" w:ascii="黑体" w:hAnsi="黑体" w:eastAsia="黑体" w:cs="Arial"/>
          <w:b/>
          <w:sz w:val="32"/>
          <w:szCs w:val="32"/>
        </w:rPr>
        <w:t>三、检查对象和范围</w:t>
      </w:r>
      <w:bookmarkEnd w:id="3"/>
    </w:p>
    <w:p>
      <w:pPr>
        <w:adjustRightInd w:val="0"/>
        <w:snapToGrid w:val="0"/>
        <w:spacing w:line="560" w:lineRule="exact"/>
        <w:ind w:firstLine="641" w:firstLineChars="200"/>
        <w:rPr>
          <w:rFonts w:ascii="仿宋_GB2312" w:hAnsi="Arial" w:eastAsia="仿宋_GB2312" w:cs="Arial"/>
          <w:sz w:val="32"/>
          <w:szCs w:val="32"/>
        </w:rPr>
      </w:pPr>
      <w:r>
        <w:rPr>
          <w:rFonts w:hint="eastAsia" w:ascii="楷体_GB2312" w:hAnsi="Arial" w:eastAsia="楷体_GB2312" w:cs="Arial"/>
          <w:b/>
          <w:sz w:val="32"/>
          <w:szCs w:val="32"/>
        </w:rPr>
        <w:t>（一）检查对象。</w:t>
      </w:r>
      <w:r>
        <w:rPr>
          <w:rFonts w:hint="eastAsia" w:ascii="仿宋_GB2312" w:hAnsi="Arial" w:eastAsia="仿宋_GB2312" w:cs="Arial"/>
          <w:sz w:val="32"/>
          <w:szCs w:val="32"/>
        </w:rPr>
        <w:t>集团直管产业公司（包括其下属各级次公司及代管公司，下同）。报送主体及报送范围详见附件2。</w:t>
      </w:r>
    </w:p>
    <w:p>
      <w:pPr>
        <w:adjustRightInd w:val="0"/>
        <w:snapToGrid w:val="0"/>
        <w:spacing w:line="560" w:lineRule="exact"/>
        <w:ind w:firstLine="641" w:firstLineChars="200"/>
        <w:rPr>
          <w:rFonts w:ascii="仿宋_GB2312" w:eastAsia="仿宋_GB2312"/>
          <w:sz w:val="32"/>
          <w:szCs w:val="32"/>
        </w:rPr>
      </w:pPr>
      <w:r>
        <w:rPr>
          <w:rFonts w:hint="eastAsia" w:ascii="仿宋_GB2312" w:hAnsi="Arial" w:eastAsia="仿宋_GB2312" w:cs="Arial"/>
          <w:b/>
          <w:bCs/>
          <w:sz w:val="32"/>
          <w:szCs w:val="32"/>
        </w:rPr>
        <w:t>（二）检查范围。</w:t>
      </w:r>
      <w:r>
        <w:rPr>
          <w:rFonts w:hint="eastAsia" w:ascii="仿宋_GB2312" w:hAnsi="Arial" w:eastAsia="仿宋_GB2312" w:cs="Arial"/>
          <w:sz w:val="32"/>
          <w:szCs w:val="32"/>
        </w:rPr>
        <w:t>重点检查各产业公司2021年至2023年开展贸易业务相关情况。根据检查情况，必要时追溯到以前年度或延伸检查。</w:t>
      </w:r>
    </w:p>
    <w:p>
      <w:pPr>
        <w:adjustRightInd w:val="0"/>
        <w:snapToGrid w:val="0"/>
        <w:spacing w:line="560" w:lineRule="exact"/>
        <w:ind w:firstLine="641" w:firstLineChars="200"/>
        <w:outlineLvl w:val="1"/>
        <w:rPr>
          <w:rFonts w:ascii="黑体" w:hAnsi="黑体" w:eastAsia="黑体" w:cs="Arial"/>
          <w:b/>
          <w:sz w:val="32"/>
          <w:szCs w:val="32"/>
        </w:rPr>
      </w:pPr>
      <w:bookmarkStart w:id="4" w:name="heading_4"/>
      <w:r>
        <w:rPr>
          <w:rFonts w:hint="eastAsia" w:ascii="黑体" w:hAnsi="黑体" w:eastAsia="黑体" w:cs="Arial"/>
          <w:b/>
          <w:sz w:val="32"/>
          <w:szCs w:val="32"/>
        </w:rPr>
        <w:t>四、检查内容和重点</w:t>
      </w:r>
      <w:bookmarkEnd w:id="4"/>
    </w:p>
    <w:p>
      <w:pPr>
        <w:adjustRightInd w:val="0"/>
        <w:snapToGrid w:val="0"/>
        <w:spacing w:line="560" w:lineRule="exact"/>
        <w:ind w:firstLine="641" w:firstLineChars="200"/>
        <w:rPr>
          <w:rFonts w:ascii="仿宋_GB2312" w:hAnsi="Arial" w:eastAsia="仿宋_GB2312" w:cs="Arial"/>
          <w:sz w:val="32"/>
          <w:szCs w:val="32"/>
        </w:rPr>
      </w:pPr>
      <w:r>
        <w:rPr>
          <w:rFonts w:hint="eastAsia" w:ascii="楷体_GB2312" w:hAnsi="Arial" w:eastAsia="楷体_GB2312" w:cs="Arial"/>
          <w:b/>
          <w:sz w:val="32"/>
          <w:szCs w:val="32"/>
        </w:rPr>
        <w:t>（一）贸易业务基本情况。</w:t>
      </w:r>
      <w:r>
        <w:rPr>
          <w:rFonts w:hint="eastAsia" w:ascii="仿宋_GB2312" w:hAnsi="Arial" w:eastAsia="仿宋_GB2312" w:cs="Arial"/>
          <w:sz w:val="32"/>
          <w:szCs w:val="32"/>
        </w:rPr>
        <w:t>主要包括：1.公司开展贸易业务行为情况、涉足行业领域、营业收入、利润贡献、应收账款、应付账款、毛利率等情况；2.贸易业务模式情况，包括上下游交易对象、交易过程、资金流、结算模式、货物流转情况、仓储情况等。</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本次检查内容所称的</w:t>
      </w:r>
      <w:r>
        <w:rPr>
          <w:rFonts w:hint="eastAsia" w:ascii="仿宋_GB2312" w:hAnsi="Arial" w:eastAsia="仿宋_GB2312" w:cs="Arial"/>
          <w:b/>
          <w:bCs/>
          <w:sz w:val="32"/>
          <w:szCs w:val="32"/>
        </w:rPr>
        <w:t>贸易业务</w:t>
      </w:r>
      <w:r>
        <w:rPr>
          <w:rFonts w:hint="eastAsia" w:ascii="仿宋_GB2312" w:hAnsi="Arial" w:eastAsia="仿宋_GB2312" w:cs="Arial"/>
          <w:sz w:val="32"/>
          <w:szCs w:val="32"/>
        </w:rPr>
        <w:t>主要包括纯贸易行为、企业经销行为等，其中：</w:t>
      </w:r>
      <w:r>
        <w:rPr>
          <w:rFonts w:hint="eastAsia" w:ascii="仿宋_GB2312" w:hAnsi="Arial" w:eastAsia="仿宋_GB2312" w:cs="Arial"/>
          <w:b/>
          <w:sz w:val="32"/>
          <w:szCs w:val="32"/>
        </w:rPr>
        <w:t>纯贸易行为</w:t>
      </w:r>
      <w:r>
        <w:rPr>
          <w:rFonts w:hint="eastAsia" w:ascii="仿宋_GB2312" w:hAnsi="Arial" w:eastAsia="仿宋_GB2312" w:cs="Arial"/>
          <w:sz w:val="32"/>
          <w:szCs w:val="32"/>
        </w:rPr>
        <w:t>是指直接从事商品购销活动的贸易行为如批发贸易和零售贸易；</w:t>
      </w:r>
      <w:r>
        <w:rPr>
          <w:rFonts w:hint="eastAsia" w:ascii="仿宋_GB2312" w:hAnsi="Arial" w:eastAsia="仿宋_GB2312" w:cs="Arial"/>
          <w:b/>
          <w:sz w:val="32"/>
          <w:szCs w:val="32"/>
        </w:rPr>
        <w:t>企业经销行为</w:t>
      </w:r>
      <w:r>
        <w:rPr>
          <w:rFonts w:hint="eastAsia" w:ascii="仿宋_GB2312" w:hAnsi="Arial" w:eastAsia="仿宋_GB2312" w:cs="Arial"/>
          <w:sz w:val="32"/>
          <w:szCs w:val="32"/>
        </w:rPr>
        <w:t>是指开展的与生产经营活动紧密相关的商品和服务等购销贸易活动，如生产制造企业开展与原材料相关的贸易购销业务、平台投资性公司开展与投资等相关的贸易业务等。</w:t>
      </w:r>
    </w:p>
    <w:p>
      <w:pPr>
        <w:adjustRightInd w:val="0"/>
        <w:snapToGrid w:val="0"/>
        <w:spacing w:line="560" w:lineRule="exact"/>
        <w:ind w:firstLine="641" w:firstLineChars="200"/>
        <w:rPr>
          <w:rFonts w:ascii="仿宋_GB2312" w:eastAsia="仿宋_GB2312"/>
          <w:sz w:val="32"/>
          <w:szCs w:val="32"/>
        </w:rPr>
      </w:pPr>
      <w:r>
        <w:rPr>
          <w:rFonts w:hint="eastAsia" w:ascii="楷体_GB2312" w:hAnsi="Arial" w:eastAsia="楷体_GB2312" w:cs="Arial"/>
          <w:b/>
          <w:sz w:val="32"/>
          <w:szCs w:val="32"/>
        </w:rPr>
        <w:t>（二）贸易业务内控管理情况。</w:t>
      </w:r>
      <w:r>
        <w:rPr>
          <w:rFonts w:hint="eastAsia" w:ascii="仿宋_GB2312" w:hAnsi="Arial" w:eastAsia="仿宋_GB2312" w:cs="Arial"/>
          <w:sz w:val="32"/>
          <w:szCs w:val="32"/>
        </w:rPr>
        <w:t>主要包括：公司是否建立覆盖贸易业务前期论证、立项决策、谈判签约、合同履行全过程的风险防范机制；是否发挥公司法律事务机构对贸易业务合法合规性的评价作用；公司是否对贸易业务内控有效性进行审计或监督，将贸易业务纳入企业内部审计或其他监督工作重点；是否存在贸易业务法律诉讼案件等。</w:t>
      </w:r>
    </w:p>
    <w:p>
      <w:pPr>
        <w:adjustRightInd w:val="0"/>
        <w:snapToGrid w:val="0"/>
        <w:spacing w:line="560" w:lineRule="exact"/>
        <w:ind w:firstLine="641" w:firstLineChars="200"/>
        <w:rPr>
          <w:rFonts w:ascii="仿宋_GB2312" w:eastAsia="仿宋_GB2312"/>
          <w:sz w:val="32"/>
          <w:szCs w:val="32"/>
        </w:rPr>
      </w:pPr>
      <w:r>
        <w:rPr>
          <w:rFonts w:hint="eastAsia" w:ascii="楷体_GB2312" w:hAnsi="Arial" w:eastAsia="楷体_GB2312" w:cs="Arial"/>
          <w:b/>
          <w:sz w:val="32"/>
          <w:szCs w:val="32"/>
        </w:rPr>
        <w:t>（三）企业贸易业务存在“十不准”情况。</w:t>
      </w:r>
      <w:r>
        <w:rPr>
          <w:rFonts w:hint="eastAsia" w:ascii="仿宋_GB2312" w:hAnsi="Arial" w:eastAsia="仿宋_GB2312" w:cs="Arial"/>
          <w:sz w:val="32"/>
          <w:szCs w:val="32"/>
        </w:rPr>
        <w:t>主要包括：是否开展背离主业的贸易业务；是否参与特定利益关系企业间开展的无商业目的的贸易业务；是否在贸易业务中人为增加不必要的交易环节；是否开展任何形式的融资性贸易；是否开展对交易标的没有控制权的空转、走单等贸易业务；是否开展无商业实质的循环贸易；是否开展有悖于交易常识的异常贸易业务；是否开展风险较高的非标仓单交易；是否违反会计准则规定确认代理贸易收入；是否在内控机制缺乏的情况下开展贸易业务等。</w:t>
      </w:r>
    </w:p>
    <w:p>
      <w:pPr>
        <w:adjustRightInd w:val="0"/>
        <w:snapToGrid w:val="0"/>
        <w:spacing w:line="560" w:lineRule="exact"/>
        <w:ind w:firstLine="641" w:firstLineChars="200"/>
        <w:rPr>
          <w:rFonts w:ascii="仿宋_GB2312" w:eastAsia="仿宋_GB2312"/>
          <w:sz w:val="32"/>
          <w:szCs w:val="32"/>
        </w:rPr>
      </w:pPr>
      <w:r>
        <w:rPr>
          <w:rFonts w:hint="eastAsia" w:ascii="楷体_GB2312" w:hAnsi="Arial" w:eastAsia="楷体_GB2312" w:cs="Arial"/>
          <w:b/>
          <w:sz w:val="32"/>
          <w:szCs w:val="32"/>
        </w:rPr>
        <w:t>（四）各类监督机构查出问题整改情况。</w:t>
      </w:r>
      <w:r>
        <w:rPr>
          <w:rFonts w:hint="eastAsia" w:ascii="仿宋_GB2312" w:hAnsi="Arial" w:eastAsia="仿宋_GB2312" w:cs="Arial"/>
          <w:sz w:val="32"/>
          <w:szCs w:val="32"/>
        </w:rPr>
        <w:t>主要包括：巡视、巡察、审计、纪检监察、出资人监督、企业内审监督等各类监督机构查出贸易业务存在问题短板和风险隐患的整改情况。</w:t>
      </w:r>
    </w:p>
    <w:p>
      <w:pPr>
        <w:adjustRightInd w:val="0"/>
        <w:snapToGrid w:val="0"/>
        <w:spacing w:line="560" w:lineRule="exact"/>
        <w:ind w:firstLine="641" w:firstLineChars="200"/>
        <w:outlineLvl w:val="1"/>
        <w:rPr>
          <w:rFonts w:ascii="黑体" w:hAnsi="黑体" w:eastAsia="黑体" w:cs="Arial"/>
          <w:b/>
          <w:sz w:val="32"/>
          <w:szCs w:val="32"/>
        </w:rPr>
      </w:pPr>
      <w:bookmarkStart w:id="5" w:name="heading_5"/>
      <w:r>
        <w:rPr>
          <w:rFonts w:hint="eastAsia" w:ascii="黑体" w:hAnsi="黑体" w:eastAsia="黑体" w:cs="Arial"/>
          <w:b/>
          <w:sz w:val="32"/>
          <w:szCs w:val="32"/>
        </w:rPr>
        <w:t>五、检查工作安排</w:t>
      </w:r>
      <w:bookmarkEnd w:id="5"/>
    </w:p>
    <w:p>
      <w:pPr>
        <w:adjustRightInd w:val="0"/>
        <w:snapToGrid w:val="0"/>
        <w:spacing w:line="560" w:lineRule="exact"/>
        <w:ind w:firstLine="641" w:firstLineChars="200"/>
        <w:outlineLvl w:val="1"/>
        <w:rPr>
          <w:rFonts w:ascii="楷体_GB2312" w:hAnsi="Arial" w:eastAsia="楷体_GB2312" w:cs="Arial"/>
          <w:b/>
          <w:sz w:val="32"/>
          <w:szCs w:val="32"/>
        </w:rPr>
      </w:pPr>
      <w:r>
        <w:rPr>
          <w:rFonts w:hint="eastAsia" w:ascii="楷体_GB2312" w:hAnsi="Arial" w:eastAsia="楷体_GB2312" w:cs="Arial"/>
          <w:b/>
          <w:sz w:val="32"/>
          <w:szCs w:val="32"/>
        </w:rPr>
        <w:t>（一）检查方式</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本次专项检查采取产业公司自查、集团专项检查、国资委抽查等方式开展。</w:t>
      </w:r>
    </w:p>
    <w:p>
      <w:pPr>
        <w:adjustRightInd w:val="0"/>
        <w:snapToGrid w:val="0"/>
        <w:spacing w:line="560" w:lineRule="exact"/>
        <w:ind w:firstLine="641" w:firstLineChars="200"/>
        <w:outlineLvl w:val="1"/>
        <w:rPr>
          <w:rFonts w:ascii="楷体_GB2312" w:hAnsi="Arial" w:eastAsia="楷体_GB2312" w:cs="Arial"/>
          <w:b/>
          <w:sz w:val="32"/>
          <w:szCs w:val="32"/>
        </w:rPr>
      </w:pPr>
      <w:r>
        <w:rPr>
          <w:rFonts w:hint="eastAsia" w:ascii="楷体_GB2312" w:hAnsi="Arial" w:eastAsia="楷体_GB2312" w:cs="Arial"/>
          <w:b/>
          <w:sz w:val="32"/>
          <w:szCs w:val="32"/>
        </w:rPr>
        <w:t xml:space="preserve">（二）时间安排 </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此次专项检查从2024年3月下旬开始，至2024年12月下旬结束，总体上分五个阶段实施：</w:t>
      </w:r>
    </w:p>
    <w:p>
      <w:pPr>
        <w:adjustRightInd w:val="0"/>
        <w:snapToGrid w:val="0"/>
        <w:spacing w:line="560" w:lineRule="exact"/>
        <w:ind w:firstLine="641" w:firstLineChars="200"/>
        <w:outlineLvl w:val="9"/>
        <w:rPr>
          <w:rFonts w:ascii="仿宋_GB2312" w:eastAsia="仿宋_GB2312"/>
          <w:sz w:val="32"/>
          <w:szCs w:val="32"/>
        </w:rPr>
      </w:pPr>
      <w:r>
        <w:rPr>
          <w:rFonts w:hint="eastAsia" w:ascii="仿宋_GB2312" w:hAnsi="Arial" w:eastAsia="仿宋_GB2312" w:cs="Arial"/>
          <w:b/>
          <w:sz w:val="32"/>
          <w:szCs w:val="32"/>
        </w:rPr>
        <w:t>第一阶段：产业公司自检自查阶段</w:t>
      </w:r>
      <w:r>
        <w:rPr>
          <w:rFonts w:hint="eastAsia" w:ascii="仿宋_GB2312" w:hAnsi="Arial" w:eastAsia="仿宋_GB2312" w:cs="Arial"/>
          <w:b w:val="0"/>
          <w:bCs/>
          <w:sz w:val="32"/>
          <w:szCs w:val="32"/>
        </w:rPr>
        <w:t>（</w:t>
      </w:r>
      <w:r>
        <w:rPr>
          <w:rFonts w:hint="eastAsia" w:ascii="仿宋_GB2312" w:hAnsi="Arial" w:eastAsia="仿宋_GB2312" w:cs="Arial"/>
          <w:sz w:val="32"/>
          <w:szCs w:val="32"/>
        </w:rPr>
        <w:t>2024年3月28日-2024年4月15日）</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各产业公司围绕上述检查内容和重点，对2021年至2023年开展的所有贸易业务进行全面梳理，据实填写贸易业务基本情况台账（见附件3），如实出具自检自查报告（见附件4），于2024年4月15日前将</w:t>
      </w:r>
      <w:r>
        <w:rPr>
          <w:rFonts w:hint="eastAsia" w:ascii="仿宋_GB2312" w:hAnsi="Arial" w:eastAsia="仿宋_GB2312" w:cs="Arial"/>
          <w:b/>
          <w:bCs/>
          <w:sz w:val="32"/>
          <w:szCs w:val="32"/>
        </w:rPr>
        <w:t>自检自查报告、贸易业务台账电子档、贸易业务相关内控制度</w:t>
      </w:r>
      <w:r>
        <w:rPr>
          <w:rFonts w:hint="eastAsia" w:ascii="仿宋_GB2312" w:hAnsi="Arial" w:eastAsia="仿宋_GB2312" w:cs="Arial"/>
          <w:sz w:val="32"/>
          <w:szCs w:val="32"/>
        </w:rPr>
        <w:t>等打包加密，经产业公司经营负责人审核后通过集团一体化平台报送法务审计部，同时做好相关支撑材料的资料准备工作，以便后续检查工作的开展。</w:t>
      </w:r>
    </w:p>
    <w:p>
      <w:pPr>
        <w:adjustRightInd w:val="0"/>
        <w:snapToGrid w:val="0"/>
        <w:spacing w:line="560" w:lineRule="exact"/>
        <w:ind w:firstLine="641" w:firstLineChars="200"/>
        <w:rPr>
          <w:rFonts w:ascii="仿宋_GB2312" w:eastAsia="仿宋_GB2312"/>
          <w:sz w:val="32"/>
          <w:szCs w:val="32"/>
        </w:rPr>
      </w:pPr>
      <w:r>
        <w:rPr>
          <w:rFonts w:hint="eastAsia" w:ascii="仿宋_GB2312" w:hAnsi="Arial" w:eastAsia="仿宋_GB2312" w:cs="Arial"/>
          <w:b/>
          <w:sz w:val="32"/>
          <w:szCs w:val="32"/>
        </w:rPr>
        <w:t>第二阶段：集团检查阶段</w:t>
      </w:r>
      <w:r>
        <w:rPr>
          <w:rFonts w:hint="eastAsia" w:ascii="仿宋_GB2312" w:hAnsi="Arial" w:eastAsia="仿宋_GB2312" w:cs="Arial"/>
          <w:sz w:val="32"/>
          <w:szCs w:val="32"/>
        </w:rPr>
        <w:t>（2024年4月16日-2024年5月25日）</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集团专项检查组对各产业公司开展贸易业务进行专项检查。</w:t>
      </w:r>
    </w:p>
    <w:p>
      <w:pPr>
        <w:adjustRightInd w:val="0"/>
        <w:snapToGrid w:val="0"/>
        <w:spacing w:line="560" w:lineRule="exact"/>
        <w:ind w:firstLine="641" w:firstLineChars="200"/>
        <w:rPr>
          <w:rFonts w:ascii="仿宋_GB2312" w:eastAsia="仿宋_GB2312"/>
          <w:sz w:val="32"/>
          <w:szCs w:val="32"/>
        </w:rPr>
      </w:pPr>
      <w:r>
        <w:rPr>
          <w:rFonts w:hint="eastAsia" w:ascii="仿宋_GB2312" w:hAnsi="Arial" w:eastAsia="仿宋_GB2312" w:cs="Arial"/>
          <w:b/>
          <w:sz w:val="32"/>
          <w:szCs w:val="32"/>
        </w:rPr>
        <w:t>第三阶段：审计报告阶段</w:t>
      </w:r>
      <w:r>
        <w:rPr>
          <w:rFonts w:hint="eastAsia" w:ascii="仿宋_GB2312" w:hAnsi="Arial" w:eastAsia="仿宋_GB2312" w:cs="Arial"/>
          <w:sz w:val="32"/>
          <w:szCs w:val="32"/>
        </w:rPr>
        <w:t>（2024年5月26日-2024年6月20日）</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集团专项检查组于6月5日前形成审计报告；经公司审批后，于6月20日前将审计报告报市国资委。</w:t>
      </w:r>
    </w:p>
    <w:p>
      <w:pPr>
        <w:adjustRightInd w:val="0"/>
        <w:snapToGrid w:val="0"/>
        <w:spacing w:line="560" w:lineRule="exact"/>
        <w:ind w:firstLine="641" w:firstLineChars="200"/>
        <w:rPr>
          <w:rFonts w:ascii="仿宋_GB2312" w:eastAsia="仿宋_GB2312"/>
          <w:sz w:val="32"/>
          <w:szCs w:val="32"/>
        </w:rPr>
      </w:pPr>
      <w:r>
        <w:rPr>
          <w:rFonts w:hint="eastAsia" w:ascii="仿宋_GB2312" w:hAnsi="Arial" w:eastAsia="仿宋_GB2312" w:cs="Arial"/>
          <w:b/>
          <w:sz w:val="32"/>
          <w:szCs w:val="32"/>
        </w:rPr>
        <w:t>第四阶段：国资委抽查审计阶段</w:t>
      </w:r>
      <w:r>
        <w:rPr>
          <w:rFonts w:hint="eastAsia" w:ascii="仿宋_GB2312" w:hAnsi="Arial" w:eastAsia="仿宋_GB2312" w:cs="Arial"/>
          <w:sz w:val="32"/>
          <w:szCs w:val="32"/>
        </w:rPr>
        <w:t>（2024年6月21日-2024年8月31日）</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市国资委委托第三方中介机构对公司开展贸易业务审计检查相关情况进行抽查审计，重点抽查内审检查阶段对发现问题“零报告”的企业、“零风险”的贸易业务以及规模大、效益差、风险高的贸易业务。</w:t>
      </w:r>
    </w:p>
    <w:p>
      <w:pPr>
        <w:adjustRightInd w:val="0"/>
        <w:snapToGrid w:val="0"/>
        <w:spacing w:line="560" w:lineRule="exact"/>
        <w:ind w:firstLine="641" w:firstLineChars="200"/>
        <w:rPr>
          <w:rFonts w:ascii="仿宋_GB2312" w:eastAsia="仿宋_GB2312"/>
          <w:sz w:val="32"/>
          <w:szCs w:val="32"/>
        </w:rPr>
      </w:pPr>
      <w:r>
        <w:rPr>
          <w:rFonts w:hint="eastAsia" w:ascii="仿宋_GB2312" w:hAnsi="Arial" w:eastAsia="仿宋_GB2312" w:cs="Arial"/>
          <w:b/>
          <w:sz w:val="32"/>
          <w:szCs w:val="32"/>
        </w:rPr>
        <w:t>第五阶段：总结整改阶段</w:t>
      </w:r>
      <w:r>
        <w:rPr>
          <w:rFonts w:hint="eastAsia" w:ascii="仿宋_GB2312" w:hAnsi="Arial" w:eastAsia="仿宋_GB2312" w:cs="Arial"/>
          <w:sz w:val="32"/>
          <w:szCs w:val="32"/>
        </w:rPr>
        <w:t>（2024年9月1日-2024年12月31日）</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集团检查工作组整理汇总各产业公司自检自查、集团检查、市国资委抽查发现的问题，结合市国资委的管控及整改要求，督促指导各产业公司务实开展整改。</w:t>
      </w:r>
    </w:p>
    <w:p>
      <w:pPr>
        <w:adjustRightInd w:val="0"/>
        <w:snapToGrid w:val="0"/>
        <w:spacing w:line="560" w:lineRule="exact"/>
        <w:ind w:firstLine="641" w:firstLineChars="200"/>
        <w:outlineLvl w:val="1"/>
        <w:rPr>
          <w:rFonts w:ascii="黑体" w:hAnsi="黑体" w:eastAsia="黑体" w:cs="Arial"/>
          <w:b/>
          <w:sz w:val="32"/>
          <w:szCs w:val="32"/>
        </w:rPr>
      </w:pPr>
      <w:bookmarkStart w:id="6" w:name="heading_6"/>
      <w:r>
        <w:rPr>
          <w:rFonts w:hint="eastAsia" w:ascii="黑体" w:hAnsi="黑体" w:eastAsia="黑体" w:cs="Arial"/>
          <w:b/>
          <w:sz w:val="32"/>
          <w:szCs w:val="32"/>
        </w:rPr>
        <w:t>六、工作要求</w:t>
      </w:r>
      <w:bookmarkEnd w:id="6"/>
    </w:p>
    <w:p>
      <w:pPr>
        <w:adjustRightInd w:val="0"/>
        <w:snapToGrid w:val="0"/>
        <w:spacing w:line="560" w:lineRule="exact"/>
        <w:ind w:firstLine="641" w:firstLineChars="200"/>
        <w:rPr>
          <w:rFonts w:ascii="仿宋_GB2312" w:eastAsia="仿宋_GB2312"/>
          <w:sz w:val="32"/>
          <w:szCs w:val="32"/>
        </w:rPr>
      </w:pPr>
      <w:r>
        <w:rPr>
          <w:rFonts w:hint="eastAsia" w:ascii="楷体_GB2312" w:hAnsi="Arial" w:eastAsia="楷体_GB2312" w:cs="Arial"/>
          <w:b/>
          <w:sz w:val="32"/>
          <w:szCs w:val="32"/>
        </w:rPr>
        <w:t>（一）高度重视，精心组织。</w:t>
      </w:r>
      <w:r>
        <w:rPr>
          <w:rFonts w:hint="eastAsia" w:ascii="仿宋_GB2312" w:hAnsi="Arial" w:eastAsia="仿宋_GB2312" w:cs="Arial"/>
          <w:sz w:val="32"/>
          <w:szCs w:val="32"/>
        </w:rPr>
        <w:t>总部相关职能部门及各产业公司要高度重视，充分认识本次贸易业务风险专项检查的重要意义，把此次专项检查作为规范加强企业贸易业务、提高企业抵御风险能力的契机。在自检自查过程中，做到细致严谨、不走过场、不留死角。同时，要对市国资委委托的第三方中介机构、集团专项检查组开展的检查工作充分配合、提供便利。</w:t>
      </w:r>
    </w:p>
    <w:p>
      <w:pPr>
        <w:adjustRightInd w:val="0"/>
        <w:snapToGrid w:val="0"/>
        <w:spacing w:line="560" w:lineRule="exact"/>
        <w:ind w:firstLine="641" w:firstLineChars="200"/>
        <w:rPr>
          <w:rFonts w:ascii="仿宋_GB2312" w:eastAsia="仿宋_GB2312"/>
          <w:sz w:val="32"/>
          <w:szCs w:val="32"/>
        </w:rPr>
      </w:pPr>
      <w:r>
        <w:rPr>
          <w:rFonts w:hint="eastAsia" w:ascii="楷体_GB2312" w:hAnsi="Arial" w:eastAsia="楷体_GB2312" w:cs="Arial"/>
          <w:b/>
          <w:sz w:val="32"/>
          <w:szCs w:val="32"/>
        </w:rPr>
        <w:t>（二）压实责任，严格考核。</w:t>
      </w:r>
      <w:r>
        <w:rPr>
          <w:rFonts w:hint="eastAsia" w:ascii="仿宋_GB2312" w:hAnsi="Arial" w:eastAsia="仿宋_GB2312" w:cs="Arial"/>
          <w:sz w:val="32"/>
          <w:szCs w:val="32"/>
        </w:rPr>
        <w:t>各产业公司第一负责人为本次专项检查自检自查工作的第一责任人，应认真组织、如实报送。对市国资委抽查审计和集团专项检查发现的产业公司错报、漏报、谎报情形，集团公司将严肃处理，并纳入干部任期考核以及产业公司经营班子2024年度经营业绩考核。</w:t>
      </w:r>
    </w:p>
    <w:p>
      <w:pPr>
        <w:adjustRightInd w:val="0"/>
        <w:snapToGrid w:val="0"/>
        <w:spacing w:line="560" w:lineRule="exact"/>
        <w:ind w:firstLine="641" w:firstLineChars="200"/>
        <w:rPr>
          <w:rFonts w:ascii="仿宋_GB2312" w:eastAsia="仿宋_GB2312"/>
          <w:sz w:val="32"/>
          <w:szCs w:val="32"/>
        </w:rPr>
      </w:pPr>
      <w:r>
        <w:rPr>
          <w:rFonts w:hint="eastAsia" w:ascii="楷体_GB2312" w:hAnsi="Arial" w:eastAsia="楷体_GB2312" w:cs="Arial"/>
          <w:b/>
          <w:sz w:val="32"/>
          <w:szCs w:val="32"/>
        </w:rPr>
        <w:t>（三）强化整改，闭环管理。</w:t>
      </w:r>
      <w:r>
        <w:rPr>
          <w:rFonts w:hint="eastAsia" w:ascii="仿宋_GB2312" w:hAnsi="Arial" w:eastAsia="仿宋_GB2312" w:cs="Arial"/>
          <w:sz w:val="32"/>
          <w:szCs w:val="32"/>
        </w:rPr>
        <w:t>对于自检自查、集团专项检查、市国资委抽审发现的问题短板和风险隐患，各公司要深入分析问题性质和成因，坚持立行立改，及时采取措施、堵住漏洞，按时按要求完成整改。</w:t>
      </w:r>
    </w:p>
    <w:p>
      <w:pPr>
        <w:adjustRightInd w:val="0"/>
        <w:snapToGrid w:val="0"/>
        <w:spacing w:line="560" w:lineRule="exact"/>
        <w:ind w:firstLine="640" w:firstLineChars="200"/>
        <w:jc w:val="left"/>
        <w:rPr>
          <w:rFonts w:ascii="仿宋_GB2312" w:eastAsia="仿宋_GB2312"/>
          <w:sz w:val="32"/>
          <w:szCs w:val="32"/>
        </w:rPr>
      </w:pPr>
      <w:r>
        <w:rPr>
          <w:rFonts w:hint="eastAsia" w:ascii="仿宋_GB2312" w:hAnsi="Arial" w:eastAsia="仿宋_GB2312" w:cs="Arial"/>
          <w:sz w:val="32"/>
          <w:szCs w:val="32"/>
        </w:rPr>
        <w:t>联系人：法务审计部 罗莉娟 13890152141</w:t>
      </w:r>
    </w:p>
    <w:p>
      <w:pPr>
        <w:adjustRightInd w:val="0"/>
        <w:snapToGrid w:val="0"/>
        <w:spacing w:line="560" w:lineRule="exact"/>
        <w:ind w:firstLine="640" w:firstLineChars="200"/>
        <w:jc w:val="left"/>
        <w:rPr>
          <w:rFonts w:ascii="仿宋_GB2312" w:eastAsia="仿宋_GB2312"/>
          <w:sz w:val="32"/>
          <w:szCs w:val="32"/>
        </w:rPr>
      </w:pPr>
    </w:p>
    <w:p>
      <w:pPr>
        <w:adjustRightInd w:val="0"/>
        <w:snapToGrid w:val="0"/>
        <w:spacing w:line="560" w:lineRule="exact"/>
        <w:ind w:firstLine="640" w:firstLineChars="200"/>
        <w:jc w:val="left"/>
        <w:rPr>
          <w:rFonts w:ascii="仿宋_GB2312" w:eastAsia="仿宋_GB2312"/>
          <w:sz w:val="32"/>
          <w:szCs w:val="32"/>
        </w:rPr>
      </w:pPr>
      <w:r>
        <w:rPr>
          <w:rFonts w:hint="eastAsia" w:ascii="仿宋_GB2312" w:hAnsi="Arial" w:eastAsia="仿宋_GB2312" w:cs="Arial"/>
          <w:sz w:val="32"/>
          <w:szCs w:val="32"/>
        </w:rPr>
        <w:t>附件：1.《国务院国资委关于规范中央企业贸易管理严禁各类虚假贸易的通知》</w:t>
      </w:r>
    </w:p>
    <w:p>
      <w:pPr>
        <w:adjustRightInd w:val="0"/>
        <w:snapToGrid w:val="0"/>
        <w:spacing w:line="560" w:lineRule="exact"/>
        <w:ind w:firstLine="640" w:firstLineChars="200"/>
        <w:jc w:val="left"/>
        <w:rPr>
          <w:rFonts w:ascii="仿宋_GB2312" w:eastAsia="仿宋_GB2312"/>
          <w:sz w:val="32"/>
          <w:szCs w:val="32"/>
        </w:rPr>
      </w:pPr>
      <w:r>
        <w:rPr>
          <w:rFonts w:hint="eastAsia" w:ascii="仿宋_GB2312" w:hAnsi="Arial" w:eastAsia="仿宋_GB2312" w:cs="Arial"/>
          <w:sz w:val="32"/>
          <w:szCs w:val="32"/>
        </w:rPr>
        <w:t xml:space="preserve">      2. 贸易业务专项检查报送主体及报送范围</w:t>
      </w:r>
    </w:p>
    <w:p>
      <w:pPr>
        <w:adjustRightInd w:val="0"/>
        <w:snapToGrid w:val="0"/>
        <w:spacing w:line="560" w:lineRule="exact"/>
        <w:ind w:firstLine="640" w:firstLineChars="200"/>
        <w:jc w:val="left"/>
        <w:rPr>
          <w:rFonts w:ascii="仿宋_GB2312" w:hAnsi="Arial" w:eastAsia="仿宋_GB2312" w:cs="Arial"/>
          <w:sz w:val="32"/>
          <w:szCs w:val="32"/>
        </w:rPr>
      </w:pPr>
      <w:r>
        <w:rPr>
          <w:rFonts w:hint="eastAsia" w:ascii="仿宋_GB2312" w:hAnsi="Arial" w:eastAsia="仿宋_GB2312" w:cs="Arial"/>
          <w:sz w:val="32"/>
          <w:szCs w:val="32"/>
        </w:rPr>
        <w:t xml:space="preserve">      3.</w:t>
      </w:r>
      <w:r>
        <w:rPr>
          <w:rFonts w:ascii="仿宋_GB2312" w:hAnsi="Arial" w:eastAsia="仿宋_GB2312" w:cs="Arial"/>
          <w:sz w:val="32"/>
          <w:szCs w:val="32"/>
        </w:rPr>
        <w:t xml:space="preserve"> </w:t>
      </w:r>
      <w:r>
        <w:rPr>
          <w:rFonts w:hint="eastAsia" w:ascii="仿宋_GB2312" w:hAnsi="Arial" w:eastAsia="仿宋_GB2312" w:cs="Arial"/>
          <w:sz w:val="32"/>
          <w:szCs w:val="32"/>
        </w:rPr>
        <w:t>XX公司贸易业务基本情况台账</w:t>
      </w:r>
    </w:p>
    <w:p>
      <w:pPr>
        <w:adjustRightInd w:val="0"/>
        <w:snapToGrid w:val="0"/>
        <w:spacing w:line="560" w:lineRule="exact"/>
        <w:ind w:firstLine="640" w:firstLineChars="200"/>
        <w:jc w:val="left"/>
        <w:rPr>
          <w:rFonts w:ascii="仿宋_GB2312" w:hAnsi="Arial" w:eastAsia="仿宋_GB2312" w:cs="Arial"/>
          <w:sz w:val="32"/>
          <w:szCs w:val="32"/>
        </w:rPr>
      </w:pPr>
      <w:r>
        <w:rPr>
          <w:rFonts w:hint="eastAsia" w:ascii="仿宋_GB2312" w:hAnsi="Arial" w:eastAsia="仿宋_GB2312" w:cs="Arial"/>
          <w:sz w:val="32"/>
          <w:szCs w:val="32"/>
        </w:rPr>
        <w:t xml:space="preserve">      4.</w:t>
      </w:r>
      <w:r>
        <w:rPr>
          <w:rFonts w:ascii="仿宋_GB2312" w:hAnsi="Arial" w:eastAsia="仿宋_GB2312" w:cs="Arial"/>
          <w:sz w:val="32"/>
          <w:szCs w:val="32"/>
        </w:rPr>
        <w:t xml:space="preserve"> </w:t>
      </w:r>
      <w:r>
        <w:rPr>
          <w:rFonts w:hint="eastAsia" w:ascii="仿宋_GB2312" w:hAnsi="Arial" w:eastAsia="仿宋_GB2312" w:cs="Arial"/>
          <w:sz w:val="32"/>
          <w:szCs w:val="32"/>
        </w:rPr>
        <w:t>XX公司贸易业务自检自查报告</w:t>
      </w:r>
    </w:p>
    <w:p>
      <w:pPr>
        <w:adjustRightInd w:val="0"/>
        <w:snapToGrid w:val="0"/>
        <w:spacing w:line="560" w:lineRule="exact"/>
        <w:ind w:firstLine="640" w:firstLineChars="200"/>
        <w:jc w:val="left"/>
        <w:rPr>
          <w:rFonts w:ascii="仿宋_GB2312" w:eastAsia="仿宋_GB2312"/>
          <w:sz w:val="32"/>
          <w:szCs w:val="32"/>
        </w:rPr>
      </w:pPr>
      <w:r>
        <w:rPr>
          <w:rFonts w:hint="eastAsia" w:ascii="仿宋_GB2312" w:hAnsi="Arial" w:eastAsia="仿宋_GB2312" w:cs="Arial"/>
          <w:sz w:val="32"/>
          <w:szCs w:val="32"/>
        </w:rPr>
        <w:t xml:space="preserve">     </w:t>
      </w:r>
    </w:p>
    <w:p>
      <w:pPr>
        <w:adjustRightInd w:val="0"/>
        <w:snapToGrid w:val="0"/>
        <w:spacing w:line="560" w:lineRule="exact"/>
        <w:ind w:firstLine="640" w:firstLineChars="200"/>
        <w:jc w:val="left"/>
        <w:rPr>
          <w:rFonts w:ascii="仿宋_GB2312" w:eastAsia="仿宋_GB2312"/>
          <w:sz w:val="32"/>
          <w:szCs w:val="32"/>
        </w:rPr>
      </w:pPr>
    </w:p>
    <w:p>
      <w:pPr>
        <w:adjustRightInd w:val="0"/>
        <w:snapToGrid w:val="0"/>
        <w:spacing w:line="560" w:lineRule="exact"/>
        <w:ind w:firstLine="640" w:firstLineChars="200"/>
        <w:jc w:val="left"/>
        <w:rPr>
          <w:rFonts w:ascii="仿宋_GB2312" w:eastAsia="仿宋_GB2312"/>
          <w:sz w:val="32"/>
          <w:szCs w:val="32"/>
        </w:rPr>
      </w:pPr>
      <w:r>
        <w:rPr>
          <w:rFonts w:hint="eastAsia" w:ascii="仿宋_GB2312" w:hAnsi="Arial" w:eastAsia="仿宋_GB2312" w:cs="Arial"/>
          <w:sz w:val="32"/>
          <w:szCs w:val="32"/>
        </w:rPr>
        <w:t xml:space="preserve">                    四川九洲投资控股集团有限公司</w:t>
      </w:r>
    </w:p>
    <w:p>
      <w:pPr>
        <w:adjustRightInd w:val="0"/>
        <w:snapToGrid w:val="0"/>
        <w:spacing w:line="560" w:lineRule="exact"/>
        <w:ind w:firstLine="640" w:firstLineChars="200"/>
        <w:jc w:val="left"/>
        <w:rPr>
          <w:rFonts w:ascii="仿宋_GB2312" w:eastAsia="仿宋_GB2312"/>
          <w:sz w:val="32"/>
          <w:szCs w:val="32"/>
        </w:rPr>
      </w:pPr>
      <w:r>
        <w:rPr>
          <w:rFonts w:hint="eastAsia" w:ascii="仿宋_GB2312" w:hAnsi="Arial" w:eastAsia="仿宋_GB2312" w:cs="Arial"/>
          <w:sz w:val="32"/>
          <w:szCs w:val="32"/>
        </w:rPr>
        <w:t xml:space="preserve">                            2024年3月2</w:t>
      </w:r>
      <w:r>
        <w:rPr>
          <w:rFonts w:hint="eastAsia" w:ascii="仿宋_GB2312" w:hAnsi="Arial" w:eastAsia="仿宋_GB2312" w:cs="Arial"/>
          <w:sz w:val="32"/>
          <w:szCs w:val="32"/>
          <w:lang w:val="en-US" w:eastAsia="zh-CN"/>
        </w:rPr>
        <w:t>8</w:t>
      </w:r>
      <w:r>
        <w:rPr>
          <w:rFonts w:hint="eastAsia" w:ascii="仿宋_GB2312" w:hAnsi="Arial" w:eastAsia="仿宋_GB2312" w:cs="Arial"/>
          <w:sz w:val="32"/>
          <w:szCs w:val="32"/>
        </w:rPr>
        <w:t>日</w:t>
      </w:r>
    </w:p>
    <w:p>
      <w:pPr>
        <w:adjustRightInd w:val="0"/>
        <w:snapToGrid w:val="0"/>
        <w:spacing w:line="560" w:lineRule="exact"/>
        <w:ind w:firstLine="640" w:firstLineChars="200"/>
        <w:jc w:val="left"/>
        <w:rPr>
          <w:rFonts w:ascii="仿宋_GB2312" w:eastAsia="仿宋_GB2312"/>
          <w:sz w:val="32"/>
          <w:szCs w:val="32"/>
        </w:rPr>
      </w:pPr>
    </w:p>
    <w:p>
      <w:pPr>
        <w:adjustRightInd w:val="0"/>
        <w:snapToGrid w:val="0"/>
        <w:spacing w:line="560" w:lineRule="exact"/>
        <w:ind w:firstLine="640" w:firstLineChars="200"/>
        <w:jc w:val="left"/>
        <w:rPr>
          <w:rFonts w:ascii="仿宋_GB2312" w:eastAsia="仿宋_GB2312"/>
          <w:sz w:val="32"/>
          <w:szCs w:val="32"/>
        </w:rPr>
      </w:pPr>
    </w:p>
    <w:p>
      <w:pPr>
        <w:adjustRightInd w:val="0"/>
        <w:snapToGrid w:val="0"/>
        <w:spacing w:line="560" w:lineRule="exact"/>
        <w:ind w:firstLine="641" w:firstLineChars="200"/>
        <w:jc w:val="left"/>
        <w:outlineLvl w:val="9"/>
        <w:rPr>
          <w:rFonts w:ascii="仿宋_GB2312" w:hAnsi="Arial" w:eastAsia="仿宋_GB2312" w:cs="Arial"/>
          <w:b/>
          <w:sz w:val="32"/>
          <w:szCs w:val="32"/>
        </w:rPr>
        <w:sectPr>
          <w:headerReference r:id="rId3" w:type="default"/>
          <w:footerReference r:id="rId4" w:type="default"/>
          <w:pgSz w:w="11905" w:h="16840"/>
          <w:pgMar w:top="2098" w:right="1474" w:bottom="1985" w:left="1588" w:header="720" w:footer="720" w:gutter="0"/>
          <w:pgNumType w:fmt="decimal"/>
          <w:cols w:space="720" w:num="1"/>
        </w:sectPr>
      </w:pPr>
      <w:bookmarkStart w:id="7" w:name="heading_7"/>
    </w:p>
    <w:p>
      <w:pPr>
        <w:adjustRightInd w:val="0"/>
        <w:snapToGrid w:val="0"/>
        <w:spacing w:line="560" w:lineRule="exact"/>
        <w:jc w:val="left"/>
        <w:outlineLvl w:val="0"/>
        <w:rPr>
          <w:rFonts w:ascii="仿宋_GB2312" w:eastAsia="仿宋_GB2312"/>
          <w:sz w:val="32"/>
          <w:szCs w:val="32"/>
        </w:rPr>
      </w:pPr>
      <w:r>
        <w:rPr>
          <w:rFonts w:hint="eastAsia" w:ascii="仿宋_GB2312" w:hAnsi="Arial" w:eastAsia="仿宋_GB2312" w:cs="Arial"/>
          <w:b/>
          <w:sz w:val="32"/>
          <w:szCs w:val="32"/>
        </w:rPr>
        <w:t>附件1</w:t>
      </w:r>
      <w:bookmarkEnd w:id="7"/>
    </w:p>
    <w:p>
      <w:pPr>
        <w:adjustRightInd w:val="0"/>
        <w:snapToGrid w:val="0"/>
        <w:spacing w:line="560" w:lineRule="exact"/>
        <w:ind w:firstLine="640" w:firstLineChars="200"/>
        <w:jc w:val="left"/>
        <w:rPr>
          <w:rFonts w:ascii="仿宋_GB2312" w:eastAsia="仿宋_GB2312"/>
          <w:sz w:val="32"/>
          <w:szCs w:val="32"/>
        </w:rPr>
      </w:pPr>
    </w:p>
    <w:p>
      <w:pPr>
        <w:adjustRightInd w:val="0"/>
        <w:snapToGrid w:val="0"/>
        <w:spacing w:line="560" w:lineRule="exact"/>
        <w:ind w:firstLine="880" w:firstLineChars="200"/>
        <w:jc w:val="center"/>
        <w:outlineLvl w:val="1"/>
        <w:rPr>
          <w:rFonts w:ascii="方正小标宋简体" w:eastAsia="方正小标宋简体"/>
          <w:bCs/>
          <w:sz w:val="44"/>
          <w:szCs w:val="44"/>
        </w:rPr>
      </w:pPr>
      <w:bookmarkStart w:id="8" w:name="heading_8"/>
      <w:r>
        <w:rPr>
          <w:rFonts w:hint="eastAsia" w:ascii="方正小标宋简体" w:hAnsi="Arial" w:eastAsia="方正小标宋简体" w:cs="Arial"/>
          <w:bCs/>
          <w:sz w:val="44"/>
          <w:szCs w:val="44"/>
        </w:rPr>
        <w:t>国务院国资委关于规范中央企业贸易管理严禁各类虚假贸易的通知</w:t>
      </w:r>
      <w:bookmarkEnd w:id="8"/>
    </w:p>
    <w:p>
      <w:pPr>
        <w:adjustRightInd w:val="0"/>
        <w:snapToGrid w:val="0"/>
        <w:spacing w:line="560" w:lineRule="exact"/>
        <w:ind w:firstLine="641" w:firstLineChars="200"/>
        <w:jc w:val="center"/>
        <w:rPr>
          <w:rFonts w:ascii="仿宋_GB2312" w:eastAsia="仿宋_GB2312"/>
          <w:sz w:val="32"/>
          <w:szCs w:val="32"/>
        </w:rPr>
      </w:pPr>
      <w:r>
        <w:rPr>
          <w:rFonts w:hint="eastAsia" w:ascii="仿宋_GB2312" w:hAnsi="Arial" w:eastAsia="仿宋_GB2312" w:cs="Arial"/>
          <w:b/>
          <w:sz w:val="32"/>
          <w:szCs w:val="32"/>
        </w:rPr>
        <w:t>（国资发财评规〔2023〕74号）</w:t>
      </w:r>
    </w:p>
    <w:p>
      <w:pPr>
        <w:adjustRightInd w:val="0"/>
        <w:snapToGrid w:val="0"/>
        <w:spacing w:line="560" w:lineRule="exact"/>
        <w:ind w:firstLine="640" w:firstLineChars="200"/>
        <w:jc w:val="left"/>
        <w:rPr>
          <w:rFonts w:ascii="仿宋_GB2312" w:eastAsia="仿宋_GB2312"/>
          <w:sz w:val="32"/>
          <w:szCs w:val="32"/>
        </w:rPr>
      </w:pPr>
    </w:p>
    <w:p>
      <w:pPr>
        <w:adjustRightInd w:val="0"/>
        <w:snapToGrid w:val="0"/>
        <w:spacing w:line="560" w:lineRule="exact"/>
        <w:jc w:val="left"/>
        <w:rPr>
          <w:rFonts w:ascii="仿宋_GB2312" w:eastAsia="仿宋_GB2312"/>
          <w:sz w:val="32"/>
          <w:szCs w:val="32"/>
        </w:rPr>
      </w:pPr>
      <w:r>
        <w:rPr>
          <w:rFonts w:hint="eastAsia" w:ascii="仿宋_GB2312" w:hAnsi="Arial" w:eastAsia="仿宋_GB2312" w:cs="Arial"/>
          <w:sz w:val="32"/>
          <w:szCs w:val="32"/>
        </w:rPr>
        <w:t>各中央企业：</w:t>
      </w:r>
    </w:p>
    <w:p>
      <w:pPr>
        <w:adjustRightInd w:val="0"/>
        <w:snapToGrid w:val="0"/>
        <w:spacing w:line="560" w:lineRule="exact"/>
        <w:ind w:firstLine="640" w:firstLineChars="200"/>
        <w:jc w:val="left"/>
        <w:rPr>
          <w:rFonts w:ascii="仿宋_GB2312" w:eastAsia="仿宋_GB2312"/>
          <w:sz w:val="32"/>
          <w:szCs w:val="32"/>
        </w:rPr>
      </w:pPr>
      <w:r>
        <w:rPr>
          <w:rFonts w:hint="eastAsia" w:ascii="仿宋_GB2312" w:hAnsi="Arial" w:eastAsia="仿宋_GB2312" w:cs="Arial"/>
          <w:sz w:val="32"/>
          <w:szCs w:val="32"/>
        </w:rPr>
        <w:t>贸易作为经济活动重要组成部分，在国民经济发展中发挥着重要作用，但虚假贸易背离商业实质，干扰了正常的经济秩序和金融市场。为贯彻落实习近平总书记重要批示精神和中央审计委员会工作部署,2022年8月以来,国务院国资委全面开展中央企业虚假贸易专项整治行动,取得积极成效。但仍有部分企业对虚假贸易问题重视不足、识别不准、追责不严，个别企业无视三令五申长期违规开展虚假贸易,造成国有资产重大损失。为进一步规范贸易业务管理，坚决根治虚假贸易顽疾,现将有关事项通知如下:</w:t>
      </w:r>
    </w:p>
    <w:p>
      <w:pPr>
        <w:adjustRightInd w:val="0"/>
        <w:snapToGrid w:val="0"/>
        <w:spacing w:line="560" w:lineRule="exact"/>
        <w:ind w:firstLine="641" w:firstLineChars="200"/>
        <w:jc w:val="left"/>
        <w:rPr>
          <w:rFonts w:ascii="仿宋_GB2312" w:eastAsia="仿宋_GB2312"/>
          <w:sz w:val="32"/>
          <w:szCs w:val="32"/>
        </w:rPr>
      </w:pPr>
      <w:r>
        <w:rPr>
          <w:rFonts w:hint="eastAsia" w:ascii="仿宋_GB2312" w:hAnsi="Arial" w:eastAsia="仿宋_GB2312" w:cs="Arial"/>
          <w:b/>
          <w:bCs/>
          <w:sz w:val="32"/>
          <w:szCs w:val="32"/>
        </w:rPr>
        <w:t>一、不准开展背离主业的贸易业务。</w:t>
      </w:r>
      <w:r>
        <w:rPr>
          <w:rFonts w:hint="eastAsia" w:ascii="仿宋_GB2312" w:hAnsi="Arial" w:eastAsia="仿宋_GB2312" w:cs="Arial"/>
          <w:sz w:val="32"/>
          <w:szCs w:val="32"/>
        </w:rPr>
        <w:t>本通知规范的贸易业务指为赚取购销差价从事的“两头在外”(原始采购端、最终销售端均在中央企业集团外)的商品买卖活动，不包括围绕生产开展的采购、销售以及子企业之间的内部贸易业务。国务院国资委核定集团主业范围不包括贸易的中央企业应由集团董事会审批后围绕服务主业开展贸易业务,原则上不得开展与主业无关的贸易业务,关系国家能源、资源、粮食、国防、产业链供应链安全以及推动战略性新兴产业发展的特定贸易业务经集团董事会批准后可保留。主业范围包括贸易的中央企业应规范开展贸易业务,不得单纯为做大规模开展贸易业务。</w:t>
      </w:r>
    </w:p>
    <w:p>
      <w:pPr>
        <w:adjustRightInd w:val="0"/>
        <w:snapToGrid w:val="0"/>
        <w:spacing w:line="560" w:lineRule="exact"/>
        <w:ind w:firstLine="641" w:firstLineChars="200"/>
        <w:jc w:val="left"/>
        <w:rPr>
          <w:rFonts w:ascii="仿宋_GB2312" w:eastAsia="仿宋_GB2312"/>
          <w:sz w:val="32"/>
          <w:szCs w:val="32"/>
        </w:rPr>
      </w:pPr>
      <w:r>
        <w:rPr>
          <w:rFonts w:hint="eastAsia" w:ascii="仿宋_GB2312" w:hAnsi="Arial" w:eastAsia="仿宋_GB2312" w:cs="Arial"/>
          <w:b/>
          <w:bCs/>
          <w:sz w:val="32"/>
          <w:szCs w:val="32"/>
        </w:rPr>
        <w:t>二、不准参与特定利益关系企业间开展的无商业目的的贸易业务。</w:t>
      </w:r>
      <w:r>
        <w:rPr>
          <w:rFonts w:hint="eastAsia" w:ascii="仿宋_GB2312" w:hAnsi="Arial" w:eastAsia="仿宋_GB2312" w:cs="Arial"/>
          <w:sz w:val="32"/>
          <w:szCs w:val="32"/>
        </w:rPr>
        <w:t>存在特定利益关系的企业主要包括以下情形:上下游为同一企业;上下游为母子公司或由相同的实际控制人控制;上下游企业交叉持股;上下游企业主要负责人、董事、监事、高级管理人员相同;上下游企业注册地址、实际办公地址、业务联系人或联系电话相同;上下游企业一方为另一方贸易合同履约提供担保;上下游企业存在长期业务关系，一方为另一方的重要供应商或特约经销商其他根据实质重于形式原则认定存在特定利益关系的情形等。如开展的贸易业务具有上述特征,要严格核实是否具有商业实质，对无商业实质的贸易业务要坚决禁止，确有特殊理由的要报集团审批。</w:t>
      </w:r>
    </w:p>
    <w:p>
      <w:pPr>
        <w:adjustRightInd w:val="0"/>
        <w:snapToGrid w:val="0"/>
        <w:spacing w:line="560" w:lineRule="exact"/>
        <w:ind w:firstLine="641" w:firstLineChars="200"/>
        <w:jc w:val="left"/>
        <w:rPr>
          <w:rFonts w:ascii="仿宋_GB2312" w:eastAsia="仿宋_GB2312"/>
          <w:sz w:val="32"/>
          <w:szCs w:val="32"/>
        </w:rPr>
      </w:pPr>
      <w:r>
        <w:rPr>
          <w:rFonts w:hint="eastAsia" w:ascii="仿宋_GB2312" w:hAnsi="Arial" w:eastAsia="仿宋_GB2312" w:cs="Arial"/>
          <w:b/>
          <w:bCs/>
          <w:sz w:val="32"/>
          <w:szCs w:val="32"/>
        </w:rPr>
        <w:t>三、不准在贸易业务中人为增加不必要的交易环节。</w:t>
      </w:r>
      <w:r>
        <w:rPr>
          <w:rFonts w:hint="eastAsia" w:ascii="仿宋_GB2312" w:hAnsi="Arial" w:eastAsia="仿宋_GB2312" w:cs="Arial"/>
          <w:sz w:val="32"/>
          <w:szCs w:val="32"/>
        </w:rPr>
        <w:t>不得以完成考核目标、维持信用评级、获取外部融资、实现资金套利等为目的,在贸易业务中人为增加不必要的交易环节,如在上下游企业均为集团子企业的情况下人为引入外部企业参与集团内部贸易业务,或通过伪造上下游交易对手信息以及运输、仓储、收发货等单据虚构贸易业务交易背景，为外部企业提供赚取通道费或资金占用费的便利。</w:t>
      </w:r>
    </w:p>
    <w:p>
      <w:pPr>
        <w:adjustRightInd w:val="0"/>
        <w:snapToGrid w:val="0"/>
        <w:spacing w:line="560" w:lineRule="exact"/>
        <w:ind w:firstLine="641" w:firstLineChars="200"/>
        <w:jc w:val="left"/>
        <w:rPr>
          <w:rFonts w:ascii="仿宋_GB2312" w:eastAsia="仿宋_GB2312"/>
          <w:sz w:val="32"/>
          <w:szCs w:val="32"/>
        </w:rPr>
      </w:pPr>
      <w:r>
        <w:rPr>
          <w:rFonts w:hint="eastAsia" w:ascii="仿宋_GB2312" w:hAnsi="Arial" w:eastAsia="仿宋_GB2312" w:cs="Arial"/>
          <w:b/>
          <w:bCs/>
          <w:sz w:val="32"/>
          <w:szCs w:val="32"/>
        </w:rPr>
        <w:t>四、不准开展任何形式的融资性贸易。</w:t>
      </w:r>
      <w:r>
        <w:rPr>
          <w:rFonts w:hint="eastAsia" w:ascii="仿宋_GB2312" w:hAnsi="Arial" w:eastAsia="仿宋_GB2312" w:cs="Arial"/>
          <w:sz w:val="32"/>
          <w:szCs w:val="32"/>
        </w:rPr>
        <w:t>融资性贸易合同条款通常存在垫资、融资、借款本金、借款利息等借款合同常见表述，本质是无商业实质、以贸易业务为名对外提供资金,或通过结算票据、办理保理、增信支持等变相提供资金，为上下游企业提供融资便利，充当融资通道,极易滋生腐败。融资性贸易资金方缺乏对货权的实际掌控,缺少对货物市场波动的关注,存在巨大资金风险，必须严格禁止。</w:t>
      </w:r>
    </w:p>
    <w:p>
      <w:pPr>
        <w:adjustRightInd w:val="0"/>
        <w:snapToGrid w:val="0"/>
        <w:spacing w:line="560" w:lineRule="exact"/>
        <w:ind w:firstLine="641" w:firstLineChars="200"/>
        <w:jc w:val="left"/>
        <w:rPr>
          <w:rFonts w:ascii="仿宋_GB2312" w:hAnsi="Arial" w:eastAsia="仿宋_GB2312" w:cs="Arial"/>
          <w:b/>
          <w:bCs/>
          <w:sz w:val="32"/>
          <w:szCs w:val="32"/>
        </w:rPr>
      </w:pPr>
      <w:r>
        <w:rPr>
          <w:rFonts w:hint="eastAsia" w:ascii="仿宋_GB2312" w:hAnsi="Arial" w:eastAsia="仿宋_GB2312" w:cs="Arial"/>
          <w:b/>
          <w:bCs/>
          <w:sz w:val="32"/>
          <w:szCs w:val="32"/>
        </w:rPr>
        <w:t>五、不准开展对交易标的没有控制权的空转、走单等贸易业务。</w:t>
      </w:r>
      <w:r>
        <w:rPr>
          <w:rFonts w:hint="eastAsia" w:ascii="仿宋_GB2312" w:hAnsi="Arial" w:eastAsia="仿宋_GB2312" w:cs="Arial"/>
          <w:sz w:val="32"/>
          <w:szCs w:val="32"/>
        </w:rPr>
        <w:t>空转、走单等贸易的典型特征是缺少对交易标的(含担保物，下同)的控制权，主要有以下情形：交易标的控制权在整个交易过程中都未发生变更;交易前交易标的已由上游交易对手全部直接转移给下游交易对手占有;交易中中央企业对交易标的无实质控制，下游交易对手无需通过中央企业即可从上游交易对手直接获取交易标的;交易完成后交易标的仍然被上游交易对手或与其存在特定关系的企业占有并控制。</w:t>
      </w:r>
    </w:p>
    <w:p>
      <w:pPr>
        <w:adjustRightInd w:val="0"/>
        <w:snapToGrid w:val="0"/>
        <w:spacing w:line="560" w:lineRule="exact"/>
        <w:ind w:firstLine="641" w:firstLineChars="200"/>
        <w:jc w:val="left"/>
        <w:rPr>
          <w:rFonts w:ascii="仿宋_GB2312" w:eastAsia="仿宋_GB2312"/>
          <w:sz w:val="32"/>
          <w:szCs w:val="32"/>
        </w:rPr>
      </w:pPr>
      <w:r>
        <w:rPr>
          <w:rFonts w:hint="eastAsia" w:ascii="仿宋_GB2312" w:hAnsi="Arial" w:eastAsia="仿宋_GB2312" w:cs="Arial"/>
          <w:b/>
          <w:bCs/>
          <w:sz w:val="32"/>
          <w:szCs w:val="32"/>
        </w:rPr>
        <w:t>六、不准开展无商业实质的循环贸易。</w:t>
      </w:r>
      <w:r>
        <w:rPr>
          <w:rFonts w:hint="eastAsia" w:ascii="仿宋_GB2312" w:hAnsi="Arial" w:eastAsia="仿宋_GB2312" w:cs="Arial"/>
          <w:sz w:val="32"/>
          <w:szCs w:val="32"/>
        </w:rPr>
        <w:t>循环贸易是通过相同企业或关联企业之间签订内容相同的多份买卖合同,形成一个闭合的货物流转回路。无商业实质的循环贸易虽具有真实货物支撑，但货物仅在固定的若干家企业内部循环,达到做大规模的目的,相应货物流转并未创造价值。在流转过程中为达到体现利润的目的,每一次流转都可能确认业务毛利,虽然有账面利润但实际形成了潜亏，完全脱离了商业实质,必须严格禁止。</w:t>
      </w:r>
    </w:p>
    <w:p>
      <w:pPr>
        <w:adjustRightInd w:val="0"/>
        <w:snapToGrid w:val="0"/>
        <w:spacing w:line="560" w:lineRule="exact"/>
        <w:ind w:firstLine="641" w:firstLineChars="200"/>
        <w:jc w:val="left"/>
        <w:rPr>
          <w:rFonts w:ascii="仿宋_GB2312" w:eastAsia="仿宋_GB2312"/>
          <w:sz w:val="32"/>
          <w:szCs w:val="32"/>
        </w:rPr>
      </w:pPr>
      <w:r>
        <w:rPr>
          <w:rFonts w:hint="eastAsia" w:ascii="仿宋_GB2312" w:hAnsi="Arial" w:eastAsia="仿宋_GB2312" w:cs="Arial"/>
          <w:b/>
          <w:bCs/>
          <w:sz w:val="32"/>
          <w:szCs w:val="32"/>
        </w:rPr>
        <w:t>七、不准开展有悖于交易常识的异常贸易业务。</w:t>
      </w:r>
      <w:r>
        <w:rPr>
          <w:rFonts w:hint="eastAsia" w:ascii="仿宋_GB2312" w:hAnsi="Arial" w:eastAsia="仿宋_GB2312" w:cs="Arial"/>
          <w:sz w:val="32"/>
          <w:szCs w:val="32"/>
        </w:rPr>
        <w:t>不得开展货物流、票据流和资金流“三流”不齐备的贸易业务。不得开展无法有效判断交易标的真实性的贸易业务，如不参与货物收、发环节，无法提供运输、仓储等物流环节单据、验收或贸易环节中其他的外部单据，仅能提供与上下游企业之间自制的发货单或收货单；不关注货物存储状态,长期不进行实地盘点、对账,仅以存储场地提供的库存证明作为货物存在依据。如开展上下游合同条款高度一致、签订日期相同或相近且差价率明显低于市场平均水平的异常贸易业务,要严格核实商业实质,对无商业实质的贸易业务要坚决禁止，确有特殊理由的要报集团审批。</w:t>
      </w:r>
    </w:p>
    <w:p>
      <w:pPr>
        <w:adjustRightInd w:val="0"/>
        <w:snapToGrid w:val="0"/>
        <w:spacing w:line="560" w:lineRule="exact"/>
        <w:ind w:firstLine="641" w:firstLineChars="200"/>
        <w:jc w:val="left"/>
        <w:rPr>
          <w:rFonts w:ascii="仿宋_GB2312" w:eastAsia="仿宋_GB2312"/>
          <w:sz w:val="32"/>
          <w:szCs w:val="32"/>
        </w:rPr>
      </w:pPr>
      <w:r>
        <w:rPr>
          <w:rFonts w:hint="eastAsia" w:ascii="仿宋_GB2312" w:hAnsi="Arial" w:eastAsia="仿宋_GB2312" w:cs="Arial"/>
          <w:b/>
          <w:bCs/>
          <w:sz w:val="32"/>
          <w:szCs w:val="32"/>
        </w:rPr>
        <w:t>八、不准开展风险较高的非标仓单交易。</w:t>
      </w:r>
      <w:r>
        <w:rPr>
          <w:rFonts w:hint="eastAsia" w:ascii="仿宋_GB2312" w:hAnsi="Arial" w:eastAsia="仿宋_GB2312" w:cs="Arial"/>
          <w:sz w:val="32"/>
          <w:szCs w:val="32"/>
        </w:rPr>
        <w:t>仓单具备金融产品的属性，分为标准仓单和非标仓单。标准仓单交易要参照金融衍生品业务进行管理,强化业务审批和准入审查，严格控制规模，严控恶意炒作和投机行为。非标仓单交易虽“三流”齐备,但企业实际上并不能真正掌握货权,存在较高风险,中央企业原则上不得开展非标仓单交易,确有特殊理由的要报集团审批。</w:t>
      </w:r>
    </w:p>
    <w:p>
      <w:pPr>
        <w:adjustRightInd w:val="0"/>
        <w:snapToGrid w:val="0"/>
        <w:spacing w:line="560" w:lineRule="exact"/>
        <w:ind w:firstLine="641" w:firstLineChars="200"/>
        <w:jc w:val="left"/>
        <w:rPr>
          <w:rFonts w:ascii="仿宋_GB2312" w:eastAsia="仿宋_GB2312"/>
          <w:sz w:val="32"/>
          <w:szCs w:val="32"/>
        </w:rPr>
      </w:pPr>
      <w:r>
        <w:rPr>
          <w:rFonts w:hint="eastAsia" w:ascii="仿宋_GB2312" w:hAnsi="Arial" w:eastAsia="仿宋_GB2312" w:cs="Arial"/>
          <w:b/>
          <w:bCs/>
          <w:sz w:val="32"/>
          <w:szCs w:val="32"/>
        </w:rPr>
        <w:t>九、不准违反会计准则规定确认代理贸易收入。</w:t>
      </w:r>
      <w:r>
        <w:rPr>
          <w:rFonts w:hint="eastAsia" w:ascii="仿宋_GB2312" w:hAnsi="Arial" w:eastAsia="仿宋_GB2312" w:cs="Arial"/>
          <w:sz w:val="32"/>
          <w:szCs w:val="32"/>
        </w:rPr>
        <w:t>部分中央企业对《企业会计准则第14号一收入》(财会〔2017〕22号)第三十四条关于代理交易的收入确认把握不到位,全额确认代理贸易业务收入,不符合会计准则规定。中央企业应当综合考虑与代理贸易业务相关的风险转移、价格确定等事实和情况，以及委托加工业务中原材料核算情况,按照谨慎原则以净额法确认代理贸易或委托加工业务收入,防止虚假做大规模。</w:t>
      </w:r>
    </w:p>
    <w:p>
      <w:pPr>
        <w:adjustRightInd w:val="0"/>
        <w:snapToGrid w:val="0"/>
        <w:spacing w:line="560" w:lineRule="exact"/>
        <w:ind w:firstLine="641" w:firstLineChars="200"/>
        <w:jc w:val="left"/>
        <w:rPr>
          <w:rFonts w:ascii="仿宋_GB2312" w:eastAsia="仿宋_GB2312"/>
          <w:sz w:val="32"/>
          <w:szCs w:val="32"/>
        </w:rPr>
      </w:pPr>
      <w:r>
        <w:rPr>
          <w:rFonts w:hint="eastAsia" w:ascii="仿宋_GB2312" w:hAnsi="Arial" w:eastAsia="仿宋_GB2312" w:cs="Arial"/>
          <w:b/>
          <w:bCs/>
          <w:sz w:val="32"/>
          <w:szCs w:val="32"/>
        </w:rPr>
        <w:t>十、不准在内控机制缺乏的情况下开展贸易业务。</w:t>
      </w:r>
      <w:r>
        <w:rPr>
          <w:rFonts w:hint="eastAsia" w:ascii="仿宋_GB2312" w:hAnsi="Arial" w:eastAsia="仿宋_GB2312" w:cs="Arial"/>
          <w:sz w:val="32"/>
          <w:szCs w:val="32"/>
        </w:rPr>
        <w:t>开展贸易业务的中央企业必须建立完善的贸易业务内控体系，明确集团分管贸易业务的负责人和部门，严格控制贸易子企业数量，对相同或相似的贸易业务进行优化整合。贸易业务范围及贸易子企业名单需由集团审批。中央企业不得对子企业考核收入类规模指标(战略性新兴产业除外)。开展贸易业务的子企业要制定贸易业务内控实施细则,设立贸易内控专门岗位，严格业务审批程序,优化固定内部控制流程，明确关键环节内部管控措施,压实内控工作责任。未在本通知禁止范围内但确无商业实质的其他贸易情形也按虚假贸易业务进行管控。具有本通知禁止的有关情形但确有真实商业实质的贸易业务,要严格审核商业实质并报集团审批后开展国际贸易业务的商业实质遵循国际惯例判定。要在司库等信息系统中开发应用贸易业务风险管理功能模块，用信息技术手段防控各类虚假贸易业务。</w:t>
      </w:r>
    </w:p>
    <w:p>
      <w:pPr>
        <w:adjustRightInd w:val="0"/>
        <w:snapToGrid w:val="0"/>
        <w:spacing w:line="560" w:lineRule="exact"/>
        <w:ind w:firstLine="640" w:firstLineChars="200"/>
        <w:jc w:val="left"/>
        <w:rPr>
          <w:rFonts w:ascii="仿宋_GB2312" w:eastAsia="仿宋_GB2312"/>
          <w:sz w:val="32"/>
          <w:szCs w:val="32"/>
        </w:rPr>
      </w:pPr>
      <w:r>
        <w:rPr>
          <w:rFonts w:hint="eastAsia" w:ascii="仿宋_GB2312" w:hAnsi="Arial" w:eastAsia="仿宋_GB2312" w:cs="Arial"/>
          <w:sz w:val="32"/>
          <w:szCs w:val="32"/>
        </w:rPr>
        <w:t>各中央企业要落实全面从严治党要求,切实提高政治站位，坚决根治虚假贸易业务各类问题。自本通知印发之日起，各中央企业要严格按照上述要求梳理集团全部贸易业务,规范贸易管理，完善内控制度，坚决清理退出各种类型的虚假贸易。国务院国资委将进一步加大对虚假贸易业务的追责问责力度。</w:t>
      </w:r>
    </w:p>
    <w:p>
      <w:pPr>
        <w:adjustRightInd w:val="0"/>
        <w:snapToGrid w:val="0"/>
        <w:spacing w:line="560" w:lineRule="exact"/>
        <w:ind w:firstLine="640" w:firstLineChars="200"/>
        <w:jc w:val="left"/>
        <w:rPr>
          <w:rFonts w:ascii="仿宋_GB2312" w:eastAsia="仿宋_GB2312"/>
          <w:sz w:val="32"/>
          <w:szCs w:val="32"/>
        </w:rPr>
      </w:pPr>
      <w:r>
        <w:rPr>
          <w:rFonts w:hint="eastAsia" w:ascii="仿宋_GB2312" w:hAnsi="Arial" w:eastAsia="仿宋_GB2312" w:cs="Arial"/>
          <w:sz w:val="32"/>
          <w:szCs w:val="32"/>
        </w:rPr>
        <w:t>对于本通知印发以后仍开展虚假贸易业务的企业，一经发现对直接责任人就地免职，严肃追究责任，同时追究企业主要负责人、分管负责人和上一级企业负责人以及参与造假的相关人员的责任;对于集团管控不力、所属多户子企业连续开展虚假贸易业务的，将对中央企业主要负责人和分管负责人严肃追责问责，并给予企业业绩考核及相关考核扣分或降级处理;涉嫌违纪或职务违法犯罪的，移送有关纪检监察机关(机构)处置。</w:t>
      </w:r>
    </w:p>
    <w:p>
      <w:pPr>
        <w:adjustRightInd w:val="0"/>
        <w:snapToGrid w:val="0"/>
        <w:spacing w:line="560" w:lineRule="exact"/>
        <w:ind w:firstLine="640" w:firstLineChars="200"/>
        <w:jc w:val="left"/>
        <w:rPr>
          <w:rFonts w:ascii="仿宋_GB2312" w:eastAsia="仿宋_GB2312"/>
          <w:sz w:val="32"/>
          <w:szCs w:val="32"/>
        </w:rPr>
        <w:sectPr>
          <w:pgSz w:w="11905" w:h="16840"/>
          <w:pgMar w:top="1440" w:right="1800" w:bottom="1440" w:left="1800" w:header="720" w:footer="720" w:gutter="0"/>
          <w:pgNumType w:fmt="decimal"/>
          <w:cols w:space="720" w:num="1"/>
        </w:sectPr>
      </w:pPr>
    </w:p>
    <w:p>
      <w:pPr>
        <w:adjustRightInd w:val="0"/>
        <w:snapToGrid w:val="0"/>
        <w:spacing w:line="560" w:lineRule="exact"/>
        <w:jc w:val="left"/>
        <w:outlineLvl w:val="0"/>
        <w:rPr>
          <w:rFonts w:hint="eastAsia" w:ascii="仿宋_GB2312" w:hAnsi="Arial" w:eastAsia="仿宋_GB2312" w:cs="Arial"/>
          <w:b/>
          <w:sz w:val="32"/>
          <w:szCs w:val="32"/>
        </w:rPr>
      </w:pPr>
      <w:r>
        <w:rPr>
          <w:rFonts w:hint="eastAsia" w:ascii="仿宋_GB2312" w:hAnsi="Arial" w:eastAsia="仿宋_GB2312" w:cs="Arial"/>
          <w:b/>
          <w:sz w:val="32"/>
          <w:szCs w:val="32"/>
        </w:rPr>
        <w:t>附件2</w:t>
      </w:r>
    </w:p>
    <w:p>
      <w:pPr>
        <w:pStyle w:val="2"/>
        <w:jc w:val="center"/>
        <w:outlineLvl w:val="1"/>
      </w:pPr>
      <w:r>
        <w:rPr>
          <w:rFonts w:hint="eastAsia" w:ascii="方正小标宋简体" w:hAnsi="Arial" w:eastAsia="方正小标宋简体" w:cs="Arial"/>
          <w:bCs/>
          <w:sz w:val="44"/>
          <w:szCs w:val="44"/>
        </w:rPr>
        <w:t>贸易业务专项检查报送主体及报送范围</w:t>
      </w:r>
    </w:p>
    <w:tbl>
      <w:tblPr>
        <w:tblStyle w:val="20"/>
        <w:tblW w:w="9184" w:type="dxa"/>
        <w:tblInd w:w="-294" w:type="dxa"/>
        <w:tblLayout w:type="fixed"/>
        <w:tblCellMar>
          <w:top w:w="0" w:type="dxa"/>
          <w:left w:w="108" w:type="dxa"/>
          <w:bottom w:w="0" w:type="dxa"/>
          <w:right w:w="108" w:type="dxa"/>
        </w:tblCellMar>
      </w:tblPr>
      <w:tblGrid>
        <w:gridCol w:w="726"/>
        <w:gridCol w:w="4125"/>
        <w:gridCol w:w="4333"/>
      </w:tblGrid>
      <w:tr>
        <w:tblPrEx>
          <w:tblCellMar>
            <w:top w:w="0" w:type="dxa"/>
            <w:left w:w="108" w:type="dxa"/>
            <w:bottom w:w="0" w:type="dxa"/>
            <w:right w:w="108" w:type="dxa"/>
          </w:tblCellMar>
        </w:tblPrEx>
        <w:trPr>
          <w:trHeight w:val="416" w:hRule="atLeast"/>
        </w:trPr>
        <w:tc>
          <w:tcPr>
            <w:tcW w:w="72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kern w:val="0"/>
                <w:sz w:val="24"/>
                <w:szCs w:val="24"/>
                <w14:ligatures w14:val="none"/>
              </w:rPr>
            </w:pPr>
            <w:r>
              <w:rPr>
                <w:rFonts w:hint="eastAsia" w:ascii="仿宋_GB2312" w:hAnsi="宋体" w:eastAsia="仿宋_GB2312" w:cs="宋体"/>
                <w:b/>
                <w:bCs/>
                <w:kern w:val="0"/>
                <w:sz w:val="24"/>
                <w:szCs w:val="24"/>
                <w14:ligatures w14:val="none"/>
              </w:rPr>
              <w:t>序号</w:t>
            </w:r>
          </w:p>
        </w:tc>
        <w:tc>
          <w:tcPr>
            <w:tcW w:w="412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kern w:val="0"/>
                <w:sz w:val="24"/>
                <w:szCs w:val="24"/>
                <w14:ligatures w14:val="none"/>
              </w:rPr>
            </w:pPr>
            <w:r>
              <w:rPr>
                <w:rFonts w:hint="eastAsia" w:ascii="仿宋_GB2312" w:hAnsi="宋体" w:eastAsia="仿宋_GB2312" w:cs="宋体"/>
                <w:b/>
                <w:bCs/>
                <w:kern w:val="0"/>
                <w:sz w:val="24"/>
                <w:szCs w:val="24"/>
                <w14:ligatures w14:val="none"/>
              </w:rPr>
              <w:t>填报主体</w:t>
            </w:r>
          </w:p>
        </w:tc>
        <w:tc>
          <w:tcPr>
            <w:tcW w:w="433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kern w:val="0"/>
                <w:sz w:val="24"/>
                <w:szCs w:val="24"/>
                <w14:ligatures w14:val="none"/>
              </w:rPr>
            </w:pPr>
            <w:r>
              <w:rPr>
                <w:rFonts w:hint="eastAsia" w:ascii="仿宋_GB2312" w:hAnsi="宋体" w:eastAsia="仿宋_GB2312" w:cs="宋体"/>
                <w:b/>
                <w:bCs/>
                <w:kern w:val="0"/>
                <w:sz w:val="24"/>
                <w:szCs w:val="24"/>
                <w14:ligatures w14:val="none"/>
              </w:rPr>
              <w:t>报送范围</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1</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四川九洲电器集团有限责任公司</w:t>
            </w:r>
          </w:p>
        </w:tc>
        <w:tc>
          <w:tcPr>
            <w:tcW w:w="4333"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四川九洲电器集团有限责任公司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四川九强通信科技有限公司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四川九洲运输有限公司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上海志良电子科技有限公司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四川长九光电科技有限责任公司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成都微精电机股份公司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成都微精电机股份公司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成都精密电机有限公司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w:t>
            </w:r>
          </w:p>
        </w:tc>
        <w:tc>
          <w:tcPr>
            <w:tcW w:w="4125"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四川九洲防控科技有限责任公司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四川九洲防控科技有限责任公司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9</w:t>
            </w:r>
          </w:p>
        </w:tc>
        <w:tc>
          <w:tcPr>
            <w:tcW w:w="4125"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四川九洲空管科技有限责任公司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四川九洲空管科技有限责任公司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10</w:t>
            </w:r>
          </w:p>
        </w:tc>
        <w:tc>
          <w:tcPr>
            <w:tcW w:w="4125" w:type="dxa"/>
            <w:vMerge w:val="restart"/>
            <w:tcBorders>
              <w:top w:val="nil"/>
              <w:left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四川九州电子科技股份有限公司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四川九州电子科技股份有限公司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_GB2312" w:hAnsi="宋体" w:eastAsia="仿宋_GB2312" w:cs="宋体"/>
                <w:kern w:val="0"/>
                <w:sz w:val="24"/>
                <w:szCs w:val="24"/>
                <w:lang w:val="en-US" w:eastAsia="zh-CN" w:bidi="ar-SA"/>
                <w14:ligatures w14:val="none"/>
              </w:rPr>
            </w:pPr>
            <w:r>
              <w:rPr>
                <w:rFonts w:hint="eastAsia" w:ascii="仿宋_GB2312" w:hAnsi="宋体" w:eastAsia="仿宋_GB2312" w:cs="宋体"/>
                <w:kern w:val="0"/>
                <w:sz w:val="24"/>
                <w:szCs w:val="24"/>
                <w14:ligatures w14:val="none"/>
              </w:rPr>
              <w:t>11</w:t>
            </w:r>
          </w:p>
        </w:tc>
        <w:tc>
          <w:tcPr>
            <w:tcW w:w="4125" w:type="dxa"/>
            <w:vMerge w:val="continue"/>
            <w:tcBorders>
              <w:left w:val="single" w:color="auto" w:sz="4" w:space="0"/>
              <w:right w:val="single" w:color="auto" w:sz="4" w:space="0"/>
            </w:tcBorders>
            <w:shd w:val="clear" w:color="auto" w:fill="auto"/>
            <w:vAlign w:val="center"/>
          </w:tcPr>
          <w:p>
            <w:pPr>
              <w:widowControl/>
              <w:jc w:val="left"/>
              <w:rPr>
                <w:rFonts w:hint="eastAsia"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深圳市九洲电器有限公司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lang w:val="en-US" w:eastAsia="zh-CN" w:bidi="ar-SA"/>
                <w14:ligatures w14:val="none"/>
              </w:rPr>
            </w:pPr>
            <w:r>
              <w:rPr>
                <w:rFonts w:hint="eastAsia" w:ascii="仿宋_GB2312" w:hAnsi="宋体" w:eastAsia="仿宋_GB2312" w:cs="宋体"/>
                <w:kern w:val="0"/>
                <w:sz w:val="24"/>
                <w:szCs w:val="24"/>
                <w14:ligatures w14:val="none"/>
              </w:rPr>
              <w:t>12</w:t>
            </w:r>
          </w:p>
        </w:tc>
        <w:tc>
          <w:tcPr>
            <w:tcW w:w="4125" w:type="dxa"/>
            <w:vMerge w:val="continue"/>
            <w:tcBorders>
              <w:left w:val="single" w:color="auto"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深圳智英电子有限公司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仿宋_GB2312" w:hAnsi="宋体" w:eastAsia="仿宋_GB2312" w:cs="宋体"/>
                <w:kern w:val="0"/>
                <w:sz w:val="24"/>
                <w:szCs w:val="24"/>
                <w:lang w:val="en-US" w:eastAsia="zh-CN"/>
                <w14:ligatures w14:val="none"/>
              </w:rPr>
            </w:pPr>
            <w:r>
              <w:rPr>
                <w:rFonts w:hint="eastAsia" w:ascii="仿宋_GB2312" w:hAnsi="宋体" w:eastAsia="仿宋_GB2312" w:cs="宋体"/>
                <w:kern w:val="0"/>
                <w:sz w:val="24"/>
                <w:szCs w:val="24"/>
                <w:lang w:val="en-US" w:eastAsia="zh-CN"/>
                <w14:ligatures w14:val="none"/>
              </w:rPr>
              <w:t>13</w:t>
            </w:r>
          </w:p>
        </w:tc>
        <w:tc>
          <w:tcPr>
            <w:tcW w:w="4125" w:type="dxa"/>
            <w:vMerge w:val="continue"/>
            <w:tcBorders>
              <w:left w:val="single" w:color="auto"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九洲（香港）多媒体有限公司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14</w:t>
            </w:r>
          </w:p>
        </w:tc>
        <w:tc>
          <w:tcPr>
            <w:tcW w:w="4125"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深圳市福瑞祥电器有限公司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15</w:t>
            </w:r>
          </w:p>
        </w:tc>
        <w:tc>
          <w:tcPr>
            <w:tcW w:w="4125"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成都九洲迪飞科技有限责任公司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成都九洲迪飞科技有限责任公司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16</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四川湖山电器股份有限公司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四川湖山电器股份有限公司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17</w:t>
            </w:r>
          </w:p>
        </w:tc>
        <w:tc>
          <w:tcPr>
            <w:tcW w:w="4125" w:type="dxa"/>
            <w:vMerge w:val="continue"/>
            <w:tcBorders>
              <w:left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深圳市九洲光电科技有限公司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18</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北京金备技术有限公司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19</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四川九洲光电科技股份有限公司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四川九洲光电科技股份有限公司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20</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四川九洲半导体照明工程有限公司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21</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九洲格瑞普（香港）有限公司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22</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四川九州光电子技术有限公司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四川九州光电子技术有限公司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23</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四川九华光子通信技术有限公司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24</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深圳九州光电子技术有限公司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25</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武汉九州芯技术有限公司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26</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四川科瑞软件有限责任公司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四川科瑞软件有限责任公司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27</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北京九洲科瑞科技有限公司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28</w:t>
            </w:r>
          </w:p>
        </w:tc>
        <w:tc>
          <w:tcPr>
            <w:tcW w:w="4125"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四川九洲软件有限公司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四川九洲软件有限公司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29</w:t>
            </w:r>
          </w:p>
        </w:tc>
        <w:tc>
          <w:tcPr>
            <w:tcW w:w="4125"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成都九洲电子信息系统股份有限公司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成都九洲电子信息系统股份有限公司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30</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四川九洲视讯科技有限责任公司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四川九洲视讯科技有限责任公司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31</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绵阳市智慧城市产业发展有限责任公司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32</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四川九洲北斗导航与位置服务有限公司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四川九洲北斗导航与位置服务有限公司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33</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四川九洲北斗应用科技有限公司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34</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成都卫通信息技术有限公司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35</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成都九洲北斗新时空科技有限公司</w:t>
            </w:r>
          </w:p>
        </w:tc>
      </w:tr>
      <w:tr>
        <w:tblPrEx>
          <w:tblCellMar>
            <w:top w:w="0" w:type="dxa"/>
            <w:left w:w="108" w:type="dxa"/>
            <w:bottom w:w="0" w:type="dxa"/>
            <w:right w:w="108" w:type="dxa"/>
          </w:tblCellMar>
        </w:tblPrEx>
        <w:trPr>
          <w:trHeight w:val="443"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36</w:t>
            </w:r>
          </w:p>
        </w:tc>
        <w:tc>
          <w:tcPr>
            <w:tcW w:w="4125"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重庆九洲星熠导航设备有限公司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重庆九洲星熠导航设备有限公司</w:t>
            </w:r>
          </w:p>
        </w:tc>
      </w:tr>
      <w:tr>
        <w:tblPrEx>
          <w:tblCellMar>
            <w:top w:w="0" w:type="dxa"/>
            <w:left w:w="108" w:type="dxa"/>
            <w:bottom w:w="0" w:type="dxa"/>
            <w:right w:w="108" w:type="dxa"/>
          </w:tblCellMar>
        </w:tblPrEx>
        <w:trPr>
          <w:trHeight w:val="665"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b/>
                <w:bCs/>
                <w:kern w:val="0"/>
                <w:sz w:val="24"/>
                <w:szCs w:val="24"/>
                <w14:ligatures w14:val="none"/>
              </w:rPr>
              <w:t>序号</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b/>
                <w:bCs/>
                <w:kern w:val="0"/>
                <w:sz w:val="24"/>
                <w:szCs w:val="24"/>
                <w14:ligatures w14:val="none"/>
              </w:rPr>
              <w:t>填报主体</w:t>
            </w:r>
          </w:p>
        </w:tc>
        <w:tc>
          <w:tcPr>
            <w:tcW w:w="43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b/>
                <w:bCs/>
                <w:kern w:val="0"/>
                <w:sz w:val="24"/>
                <w:szCs w:val="24"/>
                <w14:ligatures w14:val="none"/>
              </w:rPr>
              <w:t>报送范围</w:t>
            </w:r>
          </w:p>
        </w:tc>
      </w:tr>
      <w:tr>
        <w:tblPrEx>
          <w:tblCellMar>
            <w:top w:w="0" w:type="dxa"/>
            <w:left w:w="108" w:type="dxa"/>
            <w:bottom w:w="0" w:type="dxa"/>
            <w:right w:w="108" w:type="dxa"/>
          </w:tblCellMar>
        </w:tblPrEx>
        <w:trPr>
          <w:trHeight w:val="443"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37</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重庆九洲隆瓴科技有限公司</w:t>
            </w:r>
          </w:p>
        </w:tc>
        <w:tc>
          <w:tcPr>
            <w:tcW w:w="43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重庆九洲隆瓴科技有限公司</w:t>
            </w:r>
          </w:p>
        </w:tc>
      </w:tr>
      <w:tr>
        <w:tblPrEx>
          <w:tblCellMar>
            <w:top w:w="0" w:type="dxa"/>
            <w:left w:w="108" w:type="dxa"/>
            <w:bottom w:w="0" w:type="dxa"/>
            <w:right w:w="108" w:type="dxa"/>
          </w:tblCellMar>
        </w:tblPrEx>
        <w:trPr>
          <w:trHeight w:val="315"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38</w:t>
            </w:r>
          </w:p>
        </w:tc>
        <w:tc>
          <w:tcPr>
            <w:tcW w:w="412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四川中油九洲北斗科技能源有限公司</w:t>
            </w:r>
          </w:p>
        </w:tc>
        <w:tc>
          <w:tcPr>
            <w:tcW w:w="4333"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四川中油九洲北斗科技能源有限公司</w:t>
            </w:r>
          </w:p>
        </w:tc>
      </w:tr>
      <w:tr>
        <w:tblPrEx>
          <w:tblCellMar>
            <w:top w:w="0" w:type="dxa"/>
            <w:left w:w="108" w:type="dxa"/>
            <w:bottom w:w="0" w:type="dxa"/>
            <w:right w:w="108" w:type="dxa"/>
          </w:tblCellMar>
        </w:tblPrEx>
        <w:trPr>
          <w:trHeight w:val="315"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39</w:t>
            </w:r>
          </w:p>
        </w:tc>
        <w:tc>
          <w:tcPr>
            <w:tcW w:w="4125"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绵阳云捷科技有限公司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40</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四川九洲聚力科技发展有限公司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四川九洲聚力科技发展有限公司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41</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中运宝（安徽）物联网科技有限公司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42</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绵阳聚鑫泰商贸有限公司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43</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广东依顿电子科技股份有限公司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广东依顿电子科技股份有限公司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44</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皆耀管理有限公司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45</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依顿（香港）电子科技有限公司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46</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依顿创新科技有限公司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47</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依顿（中山）多层线路板有限公司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48</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依顿（中山）电子科技有限公司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49</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四川九洲线缆有限责任公司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四川九洲线缆有限责任公司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50</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四川九洲顺达高分子材料科技有限公司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51</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深圳市九洲蓉胜科技有限公司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52</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上海九鑫金属材料有限公司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53</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四川安和精密电子电器股份有限公司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四川安和精密电子电器股份有限公司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54</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四川宜安电子有限公司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55</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昆山聚云精密自动化设备有限公司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56</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苏州安敏硕电子科技有限公司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57</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贵州维博瑞科技有限公司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58</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渭南维博瑞电子科技有限公司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59</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汉中米和为电子有限公司</w:t>
            </w:r>
          </w:p>
        </w:tc>
      </w:tr>
      <w:tr>
        <w:tblPrEx>
          <w:tblCellMar>
            <w:top w:w="0" w:type="dxa"/>
            <w:left w:w="108" w:type="dxa"/>
            <w:bottom w:w="0" w:type="dxa"/>
            <w:right w:w="108" w:type="dxa"/>
          </w:tblCellMar>
        </w:tblPrEx>
        <w:trPr>
          <w:trHeight w:val="353"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60</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九洲千城置业有限责任公司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九洲千城置业有限责任公司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61</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库尔勒九洲千城置业有限责任公司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62</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新疆九洲千城物业服务有限公司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63</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绵阳畅达实业有限公司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64</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湖北九洲汉地置业有限责任公司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65</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四川九洲汉地养老服务有限责任公司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66</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西昌千城置业有限公司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67</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绵阳畅美嘉实业有限公司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68</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绵阳畅茂房地产开发有限公司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69</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四川九洲千城商业管理有限公司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70</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绵阳嘉来海通房地产开发有限责任公司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71</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绵阳崇文置业有限公司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72</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绵阳市畅泰实业有限公司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73</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绵阳高新区鸿瑞实业有限公司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74</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绵阳市博纬实业股份有限公司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75</w:t>
            </w:r>
          </w:p>
        </w:tc>
        <w:tc>
          <w:tcPr>
            <w:tcW w:w="4125"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四川九洲数码科技有限公司</w:t>
            </w:r>
          </w:p>
        </w:tc>
      </w:tr>
      <w:tr>
        <w:tblPrEx>
          <w:tblCellMar>
            <w:top w:w="0" w:type="dxa"/>
            <w:left w:w="108" w:type="dxa"/>
            <w:bottom w:w="0" w:type="dxa"/>
            <w:right w:w="108" w:type="dxa"/>
          </w:tblCellMar>
        </w:tblPrEx>
        <w:trPr>
          <w:trHeight w:val="537"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b/>
                <w:bCs/>
                <w:kern w:val="0"/>
                <w:sz w:val="24"/>
                <w:szCs w:val="24"/>
                <w14:ligatures w14:val="none"/>
              </w:rPr>
              <w:t>序号</w:t>
            </w:r>
          </w:p>
        </w:tc>
        <w:tc>
          <w:tcPr>
            <w:tcW w:w="412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b/>
                <w:bCs/>
                <w:kern w:val="0"/>
                <w:sz w:val="24"/>
                <w:szCs w:val="24"/>
                <w14:ligatures w14:val="none"/>
              </w:rPr>
              <w:t>填报主体</w:t>
            </w:r>
          </w:p>
        </w:tc>
        <w:tc>
          <w:tcPr>
            <w:tcW w:w="43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b/>
                <w:bCs/>
                <w:kern w:val="0"/>
                <w:sz w:val="24"/>
                <w:szCs w:val="24"/>
                <w14:ligatures w14:val="none"/>
              </w:rPr>
              <w:t>报送范围</w:t>
            </w:r>
          </w:p>
        </w:tc>
      </w:tr>
      <w:tr>
        <w:tblPrEx>
          <w:tblCellMar>
            <w:top w:w="0" w:type="dxa"/>
            <w:left w:w="108" w:type="dxa"/>
            <w:bottom w:w="0" w:type="dxa"/>
            <w:right w:w="108" w:type="dxa"/>
          </w:tblCellMar>
        </w:tblPrEx>
        <w:trPr>
          <w:trHeight w:val="315"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76</w:t>
            </w:r>
          </w:p>
        </w:tc>
        <w:tc>
          <w:tcPr>
            <w:tcW w:w="412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四川九洲建筑工程有限责任公司</w:t>
            </w:r>
          </w:p>
        </w:tc>
        <w:tc>
          <w:tcPr>
            <w:tcW w:w="4333"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四川九洲建筑工程有限责任公司</w:t>
            </w:r>
          </w:p>
        </w:tc>
      </w:tr>
      <w:tr>
        <w:tblPrEx>
          <w:tblCellMar>
            <w:top w:w="0" w:type="dxa"/>
            <w:left w:w="108" w:type="dxa"/>
            <w:bottom w:w="0" w:type="dxa"/>
            <w:right w:w="108" w:type="dxa"/>
          </w:tblCellMar>
        </w:tblPrEx>
        <w:trPr>
          <w:trHeight w:val="51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77</w:t>
            </w:r>
          </w:p>
        </w:tc>
        <w:tc>
          <w:tcPr>
            <w:tcW w:w="41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四川九洲汉地绿色建材有限责任公司</w:t>
            </w:r>
          </w:p>
        </w:tc>
      </w:tr>
      <w:tr>
        <w:tblPrEx>
          <w:tblCellMar>
            <w:top w:w="0" w:type="dxa"/>
            <w:left w:w="108" w:type="dxa"/>
            <w:bottom w:w="0" w:type="dxa"/>
            <w:right w:w="108" w:type="dxa"/>
          </w:tblCellMar>
        </w:tblPrEx>
        <w:trPr>
          <w:trHeight w:val="315"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78</w:t>
            </w:r>
          </w:p>
        </w:tc>
        <w:tc>
          <w:tcPr>
            <w:tcW w:w="4125"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四川九洲环保科技有限责任公司</w:t>
            </w:r>
          </w:p>
        </w:tc>
        <w:tc>
          <w:tcPr>
            <w:tcW w:w="4333"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四川九洲环保科技有限责任公司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79</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深圳市九洲投资发展有限公司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深圳市九洲投资发展有限公司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80</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九洲集团（香港）控股有限公司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81</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久和新科技（深圳）有限公司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82</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四川九洲创新科技有限公司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83</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深圳市九洲智和科技有限公司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84</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嘉兴富盈电子有限公司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85</w:t>
            </w:r>
          </w:p>
        </w:tc>
        <w:tc>
          <w:tcPr>
            <w:tcW w:w="4125"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深圳市九洲光电子有限公司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86</w:t>
            </w:r>
          </w:p>
        </w:tc>
        <w:tc>
          <w:tcPr>
            <w:tcW w:w="412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四川九洲教育投资管理有限公司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四川九洲教育投资管理有限公司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87</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绵阳科技城中科人才服务有限公司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88</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绵阳智慧城教育管理有限公司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89</w:t>
            </w:r>
          </w:p>
        </w:tc>
        <w:tc>
          <w:tcPr>
            <w:tcW w:w="4125"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kern w:val="0"/>
                <w:sz w:val="24"/>
                <w:szCs w:val="24"/>
                <w14:ligatures w14:val="none"/>
              </w:rPr>
            </w:pP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四川九洲技师学院</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90</w:t>
            </w:r>
          </w:p>
        </w:tc>
        <w:tc>
          <w:tcPr>
            <w:tcW w:w="4125"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四川九洲后勤服务有限责任公司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四川九洲后勤服务有限责任公司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91</w:t>
            </w:r>
          </w:p>
        </w:tc>
        <w:tc>
          <w:tcPr>
            <w:tcW w:w="4125" w:type="dxa"/>
            <w:tcBorders>
              <w:top w:val="nil"/>
              <w:left w:val="nil"/>
              <w:bottom w:val="nil"/>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四川九洲创业投资有限责任公司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四川九洲创业投资有限责任公司</w:t>
            </w:r>
          </w:p>
        </w:tc>
      </w:tr>
      <w:tr>
        <w:tblPrEx>
          <w:tblCellMar>
            <w:top w:w="0" w:type="dxa"/>
            <w:left w:w="108" w:type="dxa"/>
            <w:bottom w:w="0" w:type="dxa"/>
            <w:right w:w="108" w:type="dxa"/>
          </w:tblCellMar>
        </w:tblPrEx>
        <w:trPr>
          <w:trHeight w:val="315"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92</w:t>
            </w:r>
          </w:p>
        </w:tc>
        <w:tc>
          <w:tcPr>
            <w:tcW w:w="412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四川九洲保险代理有限公司</w:t>
            </w:r>
          </w:p>
        </w:tc>
        <w:tc>
          <w:tcPr>
            <w:tcW w:w="4333" w:type="dxa"/>
            <w:tcBorders>
              <w:top w:val="nil"/>
              <w:left w:val="nil"/>
              <w:bottom w:val="single" w:color="auto" w:sz="4" w:space="0"/>
              <w:right w:val="single" w:color="auto" w:sz="4" w:space="0"/>
            </w:tcBorders>
            <w:shd w:val="clear" w:color="auto" w:fill="auto"/>
            <w:noWrap/>
            <w:vAlign w:val="center"/>
          </w:tcPr>
          <w:p>
            <w:pPr>
              <w:widowControl/>
              <w:jc w:val="left"/>
              <w:rPr>
                <w:rFonts w:ascii="仿宋_GB2312" w:hAnsi="宋体" w:eastAsia="仿宋_GB2312" w:cs="宋体"/>
                <w:kern w:val="0"/>
                <w:sz w:val="24"/>
                <w:szCs w:val="24"/>
                <w14:ligatures w14:val="none"/>
              </w:rPr>
            </w:pPr>
            <w:r>
              <w:rPr>
                <w:rFonts w:hint="eastAsia" w:ascii="仿宋_GB2312" w:hAnsi="宋体" w:eastAsia="仿宋_GB2312" w:cs="宋体"/>
                <w:kern w:val="0"/>
                <w:sz w:val="24"/>
                <w:szCs w:val="24"/>
                <w14:ligatures w14:val="none"/>
              </w:rPr>
              <w:t>四川九洲保险代理有限公司</w:t>
            </w:r>
          </w:p>
        </w:tc>
      </w:tr>
    </w:tbl>
    <w:p>
      <w:pPr>
        <w:adjustRightInd w:val="0"/>
        <w:snapToGrid w:val="0"/>
        <w:spacing w:line="560" w:lineRule="exact"/>
        <w:jc w:val="left"/>
        <w:rPr>
          <w:rFonts w:ascii="仿宋_GB2312" w:eastAsia="仿宋_GB2312"/>
          <w:sz w:val="32"/>
          <w:szCs w:val="32"/>
        </w:rPr>
      </w:pPr>
      <w:r>
        <w:rPr>
          <w:rFonts w:hint="eastAsia" w:ascii="仿宋_GB2312" w:eastAsia="仿宋_GB2312"/>
          <w:sz w:val="32"/>
          <w:szCs w:val="32"/>
        </w:rPr>
        <w:t>备注：如有遗漏，请相关报送主体及时反馈法务审计部。</w:t>
      </w:r>
    </w:p>
    <w:p>
      <w:pPr>
        <w:adjustRightInd w:val="0"/>
        <w:snapToGrid w:val="0"/>
        <w:spacing w:line="560" w:lineRule="exact"/>
        <w:jc w:val="left"/>
        <w:outlineLvl w:val="9"/>
        <w:rPr>
          <w:rFonts w:ascii="仿宋_GB2312" w:hAnsi="Arial" w:eastAsia="仿宋_GB2312" w:cs="Arial"/>
          <w:b/>
          <w:sz w:val="32"/>
          <w:szCs w:val="32"/>
        </w:rPr>
        <w:sectPr>
          <w:pgSz w:w="11905" w:h="16840"/>
          <w:pgMar w:top="1440" w:right="1800" w:bottom="1440" w:left="1800" w:header="720" w:footer="720" w:gutter="0"/>
          <w:pgNumType w:fmt="decimal"/>
          <w:cols w:space="720" w:num="1"/>
          <w:docGrid w:linePitch="286" w:charSpace="0"/>
        </w:sectPr>
      </w:pPr>
      <w:bookmarkStart w:id="9" w:name="heading_9"/>
    </w:p>
    <w:p>
      <w:pPr>
        <w:adjustRightInd w:val="0"/>
        <w:snapToGrid w:val="0"/>
        <w:spacing w:line="560" w:lineRule="exact"/>
        <w:jc w:val="left"/>
        <w:outlineLvl w:val="0"/>
        <w:rPr>
          <w:rFonts w:ascii="仿宋_GB2312" w:eastAsia="仿宋_GB2312"/>
          <w:sz w:val="32"/>
          <w:szCs w:val="32"/>
        </w:rPr>
      </w:pPr>
      <w:r>
        <w:rPr>
          <w:rFonts w:hint="eastAsia" w:ascii="仿宋_GB2312" w:hAnsi="Arial" w:eastAsia="仿宋_GB2312" w:cs="Arial"/>
          <w:b/>
          <w:sz w:val="32"/>
          <w:szCs w:val="32"/>
        </w:rPr>
        <w:t>附件</w:t>
      </w:r>
      <w:bookmarkEnd w:id="9"/>
      <w:r>
        <w:rPr>
          <w:rFonts w:hint="eastAsia" w:ascii="仿宋_GB2312" w:hAnsi="Arial" w:eastAsia="仿宋_GB2312" w:cs="Arial"/>
          <w:b/>
          <w:sz w:val="32"/>
          <w:szCs w:val="32"/>
        </w:rPr>
        <w:t>3</w:t>
      </w:r>
    </w:p>
    <w:p>
      <w:pPr>
        <w:adjustRightInd w:val="0"/>
        <w:snapToGrid w:val="0"/>
        <w:spacing w:line="560" w:lineRule="exact"/>
        <w:ind w:firstLine="880" w:firstLineChars="200"/>
        <w:jc w:val="center"/>
        <w:outlineLvl w:val="1"/>
        <w:rPr>
          <w:rFonts w:ascii="方正小标宋简体" w:hAnsi="Arial" w:eastAsia="方正小标宋简体" w:cs="Arial"/>
          <w:bCs/>
          <w:sz w:val="44"/>
          <w:szCs w:val="44"/>
        </w:rPr>
      </w:pPr>
      <w:bookmarkStart w:id="10" w:name="heading_10"/>
      <w:r>
        <w:rPr>
          <w:rFonts w:hint="eastAsia" w:ascii="方正小标宋简体" w:hAnsi="Arial" w:eastAsia="方正小标宋简体" w:cs="Arial"/>
          <w:bCs/>
          <w:sz w:val="44"/>
          <w:szCs w:val="44"/>
        </w:rPr>
        <w:t>XX公司贸易业务基本情况台账</w:t>
      </w:r>
      <w:bookmarkEnd w:id="10"/>
    </w:p>
    <w:tbl>
      <w:tblPr>
        <w:tblStyle w:val="20"/>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932"/>
        <w:gridCol w:w="430"/>
        <w:gridCol w:w="137"/>
        <w:gridCol w:w="709"/>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gridAfter w:val="2"/>
          <w:wAfter w:w="846" w:type="dxa"/>
        </w:trPr>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bottom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086" w:type="dxa"/>
            <w:gridSpan w:val="8"/>
            <w:tcBorders>
              <w:bottom w:val="single" w:color="auto" w:sz="4" w:space="0"/>
            </w:tcBorders>
            <w:tcMar>
              <w:top w:w="60" w:type="dxa"/>
              <w:left w:w="120" w:type="dxa"/>
              <w:bottom w:w="30" w:type="dxa"/>
              <w:right w:w="120" w:type="dxa"/>
            </w:tcMar>
          </w:tcPr>
          <w:p>
            <w:pPr>
              <w:adjustRightInd w:val="0"/>
              <w:snapToGrid w:val="0"/>
              <w:spacing w:line="300" w:lineRule="exact"/>
              <w:jc w:val="right"/>
              <w:rPr>
                <w:rFonts w:ascii="仿宋_GB2312" w:eastAsia="仿宋_GB2312"/>
                <w:sz w:val="28"/>
                <w:szCs w:val="28"/>
              </w:rPr>
            </w:pPr>
            <w:r>
              <w:rPr>
                <w:rFonts w:hint="eastAsia" w:ascii="仿宋_GB2312" w:hAnsi="Arial" w:eastAsia="仿宋_GB2312" w:cs="Arial"/>
                <w:sz w:val="28"/>
                <w:szCs w:val="28"/>
              </w:rPr>
              <w:t>金额单位：万元</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序号</w:t>
            </w:r>
          </w:p>
        </w:tc>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公司名称</w:t>
            </w:r>
          </w:p>
        </w:tc>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产权级次</w:t>
            </w:r>
          </w:p>
          <w:p>
            <w:pPr>
              <w:adjustRightInd w:val="0"/>
              <w:snapToGrid w:val="0"/>
              <w:spacing w:line="300" w:lineRule="exact"/>
              <w:jc w:val="left"/>
              <w:rPr>
                <w:rFonts w:ascii="仿宋_GB2312" w:eastAsia="仿宋_GB2312"/>
                <w:sz w:val="28"/>
                <w:szCs w:val="28"/>
              </w:rPr>
            </w:pPr>
          </w:p>
        </w:tc>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r>
              <w:rPr>
                <w:rFonts w:hint="eastAsia" w:ascii="仿宋_GB2312" w:hAnsi="Arial" w:eastAsia="仿宋_GB2312" w:cs="Arial"/>
                <w:b/>
                <w:sz w:val="28"/>
                <w:szCs w:val="28"/>
              </w:rPr>
              <w:t>业务名称</w:t>
            </w:r>
          </w:p>
        </w:tc>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r>
              <w:rPr>
                <w:rFonts w:hint="eastAsia" w:ascii="仿宋_GB2312" w:hAnsi="Arial" w:eastAsia="仿宋_GB2312" w:cs="Arial"/>
                <w:b/>
                <w:sz w:val="28"/>
                <w:szCs w:val="28"/>
              </w:rPr>
              <w:t>纯贸易行为/企业经销行为</w:t>
            </w:r>
          </w:p>
          <w:p>
            <w:pPr>
              <w:adjustRightInd w:val="0"/>
              <w:snapToGrid w:val="0"/>
              <w:spacing w:line="300" w:lineRule="exact"/>
              <w:jc w:val="left"/>
              <w:rPr>
                <w:rFonts w:ascii="仿宋_GB2312" w:eastAsia="仿宋_GB2312"/>
                <w:sz w:val="28"/>
                <w:szCs w:val="28"/>
              </w:rPr>
            </w:pPr>
          </w:p>
        </w:tc>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贸易行业</w:t>
            </w:r>
          </w:p>
        </w:tc>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业务开展背景</w:t>
            </w:r>
          </w:p>
        </w:tc>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业务模式</w:t>
            </w:r>
          </w:p>
          <w:p>
            <w:pPr>
              <w:adjustRightInd w:val="0"/>
              <w:snapToGrid w:val="0"/>
              <w:spacing w:line="300" w:lineRule="exact"/>
              <w:jc w:val="left"/>
              <w:rPr>
                <w:rFonts w:ascii="仿宋_GB2312" w:eastAsia="仿宋_GB2312"/>
                <w:sz w:val="28"/>
                <w:szCs w:val="28"/>
              </w:rPr>
            </w:pPr>
          </w:p>
        </w:tc>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结算方式（购、销环节分别列示）</w:t>
            </w:r>
          </w:p>
          <w:p>
            <w:pPr>
              <w:adjustRightInd w:val="0"/>
              <w:snapToGrid w:val="0"/>
              <w:spacing w:line="300" w:lineRule="exact"/>
              <w:jc w:val="left"/>
              <w:rPr>
                <w:rFonts w:ascii="仿宋_GB2312" w:eastAsia="仿宋_GB2312"/>
                <w:sz w:val="28"/>
                <w:szCs w:val="28"/>
              </w:rPr>
            </w:pPr>
          </w:p>
        </w:tc>
        <w:tc>
          <w:tcPr>
            <w:tcW w:w="454" w:type="dxa"/>
            <w:vMerge w:val="restart"/>
            <w:tcBorders>
              <w:top w:val="single" w:color="auto" w:sz="4" w:space="0"/>
              <w:left w:val="single" w:color="auto" w:sz="4" w:space="0"/>
              <w:right w:val="single" w:color="auto" w:sz="4" w:space="0"/>
            </w:tcBorders>
          </w:tcPr>
          <w:p>
            <w:pPr>
              <w:adjustRightInd w:val="0"/>
              <w:snapToGrid w:val="0"/>
              <w:spacing w:line="300" w:lineRule="exact"/>
              <w:jc w:val="center"/>
              <w:rPr>
                <w:rFonts w:ascii="仿宋_GB2312" w:hAnsi="Arial" w:eastAsia="仿宋_GB2312" w:cs="Arial"/>
                <w:b/>
                <w:sz w:val="28"/>
                <w:szCs w:val="28"/>
              </w:rPr>
            </w:pPr>
            <w:r>
              <w:rPr>
                <w:rFonts w:hint="eastAsia" w:ascii="仿宋_GB2312" w:hAnsi="Arial" w:eastAsia="仿宋_GB2312" w:cs="Arial"/>
                <w:b/>
                <w:sz w:val="28"/>
                <w:szCs w:val="28"/>
              </w:rPr>
              <w:t>货物流转方式</w:t>
            </w:r>
          </w:p>
        </w:tc>
        <w:tc>
          <w:tcPr>
            <w:tcW w:w="454"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此类业务是否存续开展</w:t>
            </w:r>
          </w:p>
          <w:p>
            <w:pPr>
              <w:adjustRightInd w:val="0"/>
              <w:snapToGrid w:val="0"/>
              <w:spacing w:line="300" w:lineRule="exact"/>
              <w:jc w:val="left"/>
              <w:rPr>
                <w:rFonts w:ascii="仿宋_GB2312" w:eastAsia="仿宋_GB2312"/>
                <w:sz w:val="28"/>
                <w:szCs w:val="28"/>
              </w:rPr>
            </w:pPr>
          </w:p>
          <w:p>
            <w:pPr>
              <w:adjustRightInd w:val="0"/>
              <w:snapToGrid w:val="0"/>
              <w:spacing w:line="300" w:lineRule="exact"/>
              <w:jc w:val="left"/>
              <w:rPr>
                <w:rFonts w:ascii="仿宋_GB2312" w:eastAsia="仿宋_GB2312"/>
                <w:sz w:val="28"/>
                <w:szCs w:val="28"/>
              </w:rPr>
            </w:pPr>
          </w:p>
        </w:tc>
        <w:tc>
          <w:tcPr>
            <w:tcW w:w="2270" w:type="dxa"/>
            <w:gridSpan w:val="5"/>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2021年度</w:t>
            </w:r>
          </w:p>
        </w:tc>
        <w:tc>
          <w:tcPr>
            <w:tcW w:w="2270" w:type="dxa"/>
            <w:gridSpan w:val="5"/>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2022年度</w:t>
            </w:r>
          </w:p>
        </w:tc>
        <w:tc>
          <w:tcPr>
            <w:tcW w:w="2270" w:type="dxa"/>
            <w:gridSpan w:val="5"/>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2023年度</w:t>
            </w:r>
          </w:p>
        </w:tc>
        <w:tc>
          <w:tcPr>
            <w:tcW w:w="932"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r>
              <w:rPr>
                <w:rFonts w:hint="eastAsia" w:ascii="仿宋_GB2312" w:hAnsi="Arial" w:eastAsia="仿宋_GB2312" w:cs="Arial"/>
                <w:b/>
                <w:sz w:val="28"/>
                <w:szCs w:val="28"/>
              </w:rPr>
              <w:t>是否发生贸易业务法律诉讼案件</w:t>
            </w:r>
          </w:p>
        </w:tc>
        <w:tc>
          <w:tcPr>
            <w:tcW w:w="567" w:type="dxa"/>
            <w:gridSpan w:val="2"/>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r>
              <w:rPr>
                <w:rFonts w:hint="eastAsia" w:ascii="仿宋_GB2312" w:hAnsi="Arial" w:eastAsia="仿宋_GB2312" w:cs="Arial"/>
                <w:b/>
                <w:sz w:val="28"/>
                <w:szCs w:val="28"/>
              </w:rPr>
              <w:t>是否属于贸易“十不准”</w:t>
            </w:r>
          </w:p>
        </w:tc>
        <w:tc>
          <w:tcPr>
            <w:tcW w:w="709"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r>
              <w:rPr>
                <w:rFonts w:hint="eastAsia" w:ascii="仿宋_GB2312" w:hAnsi="Arial" w:eastAsia="仿宋_GB2312" w:cs="Arial"/>
                <w:b/>
                <w:sz w:val="28"/>
                <w:szCs w:val="28"/>
              </w:rPr>
              <w:t>属于贸易“十不准”哪种情形</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vMerge w:val="continue"/>
            <w:tcBorders>
              <w:left w:val="single" w:color="auto" w:sz="4" w:space="0"/>
              <w:bottom w:val="single" w:color="auto" w:sz="4" w:space="0"/>
              <w:right w:val="single" w:color="auto" w:sz="4" w:space="0"/>
            </w:tcBorders>
          </w:tcPr>
          <w:p>
            <w:pPr>
              <w:adjustRightInd w:val="0"/>
              <w:snapToGrid w:val="0"/>
              <w:spacing w:line="300" w:lineRule="exact"/>
              <w:jc w:val="left"/>
              <w:rPr>
                <w:rFonts w:ascii="仿宋_GB2312" w:eastAsia="仿宋_GB2312"/>
                <w:sz w:val="28"/>
                <w:szCs w:val="28"/>
              </w:rPr>
            </w:pPr>
          </w:p>
        </w:tc>
        <w:tc>
          <w:tcPr>
            <w:tcW w:w="454"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营业收入</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营业成本</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应收账款</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应付账款</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毛利率</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营业收入</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营业成本</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应收账款</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应付账款</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毛利率</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营业收入</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营业成本</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应收账款</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应付账款</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b/>
                <w:sz w:val="28"/>
                <w:szCs w:val="28"/>
              </w:rPr>
              <w:t>毛利率</w:t>
            </w:r>
          </w:p>
        </w:tc>
        <w:tc>
          <w:tcPr>
            <w:tcW w:w="932"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567" w:type="dxa"/>
            <w:gridSpan w:val="2"/>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709"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sz w:val="28"/>
                <w:szCs w:val="28"/>
              </w:rPr>
              <w:t>1</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93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567"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70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sz w:val="28"/>
                <w:szCs w:val="28"/>
              </w:rPr>
              <w:t>2</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93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567"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70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center"/>
              <w:rPr>
                <w:rFonts w:ascii="仿宋_GB2312" w:eastAsia="仿宋_GB2312"/>
                <w:sz w:val="28"/>
                <w:szCs w:val="28"/>
              </w:rPr>
            </w:pPr>
            <w:r>
              <w:rPr>
                <w:rFonts w:hint="eastAsia" w:ascii="仿宋_GB2312" w:hAnsi="Arial" w:eastAsia="仿宋_GB2312" w:cs="Arial"/>
                <w:sz w:val="28"/>
                <w:szCs w:val="28"/>
              </w:rPr>
              <w:t>…</w:t>
            </w: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45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93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567"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c>
          <w:tcPr>
            <w:tcW w:w="70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adjustRightInd w:val="0"/>
              <w:snapToGrid w:val="0"/>
              <w:spacing w:line="300" w:lineRule="exact"/>
              <w:jc w:val="left"/>
              <w:rPr>
                <w:rFonts w:ascii="仿宋_GB2312" w:eastAsia="仿宋_GB2312"/>
                <w:sz w:val="28"/>
                <w:szCs w:val="28"/>
              </w:rPr>
            </w:pPr>
          </w:p>
        </w:tc>
      </w:tr>
    </w:tbl>
    <w:p>
      <w:pPr>
        <w:adjustRightInd w:val="0"/>
        <w:snapToGrid w:val="0"/>
        <w:spacing w:line="560" w:lineRule="exact"/>
        <w:ind w:firstLine="640" w:firstLineChars="200"/>
        <w:jc w:val="left"/>
        <w:rPr>
          <w:rFonts w:ascii="仿宋_GB2312" w:eastAsia="仿宋_GB2312"/>
          <w:sz w:val="32"/>
          <w:szCs w:val="32"/>
        </w:rPr>
      </w:pPr>
    </w:p>
    <w:p>
      <w:pPr>
        <w:adjustRightInd w:val="0"/>
        <w:snapToGrid w:val="0"/>
        <w:spacing w:line="560" w:lineRule="exact"/>
        <w:jc w:val="left"/>
        <w:outlineLvl w:val="9"/>
        <w:rPr>
          <w:rFonts w:ascii="仿宋_GB2312" w:hAnsi="Arial" w:eastAsia="仿宋_GB2312" w:cs="Arial"/>
          <w:b/>
          <w:sz w:val="32"/>
          <w:szCs w:val="32"/>
        </w:rPr>
        <w:sectPr>
          <w:pgSz w:w="16840" w:h="11905" w:orient="landscape"/>
          <w:pgMar w:top="1800" w:right="1440" w:bottom="1800" w:left="1440" w:header="720" w:footer="720" w:gutter="0"/>
          <w:pgNumType w:fmt="decimal"/>
          <w:cols w:space="720" w:num="1"/>
          <w:docGrid w:linePitch="286" w:charSpace="0"/>
        </w:sectPr>
      </w:pPr>
    </w:p>
    <w:p>
      <w:pPr>
        <w:widowControl/>
        <w:jc w:val="left"/>
        <w:rPr>
          <w:kern w:val="0"/>
          <w:sz w:val="20"/>
          <w:szCs w:val="20"/>
          <w14:ligatures w14:val="none"/>
        </w:rPr>
      </w:pPr>
    </w:p>
    <w:p>
      <w:pPr>
        <w:adjustRightInd w:val="0"/>
        <w:snapToGrid w:val="0"/>
        <w:spacing w:line="560" w:lineRule="exact"/>
        <w:jc w:val="left"/>
        <w:outlineLvl w:val="0"/>
        <w:rPr>
          <w:rFonts w:ascii="仿宋_GB2312" w:eastAsia="仿宋_GB2312"/>
          <w:sz w:val="32"/>
          <w:szCs w:val="32"/>
        </w:rPr>
      </w:pPr>
      <w:bookmarkStart w:id="11" w:name="heading_11"/>
      <w:r>
        <w:rPr>
          <w:rFonts w:hint="eastAsia" w:ascii="仿宋_GB2312" w:hAnsi="Arial" w:eastAsia="仿宋_GB2312" w:cs="Arial"/>
          <w:b/>
          <w:sz w:val="32"/>
          <w:szCs w:val="32"/>
        </w:rPr>
        <w:t>附件</w:t>
      </w:r>
      <w:bookmarkEnd w:id="11"/>
      <w:r>
        <w:rPr>
          <w:rFonts w:hint="eastAsia" w:ascii="仿宋_GB2312" w:hAnsi="Arial" w:eastAsia="仿宋_GB2312" w:cs="Arial"/>
          <w:b/>
          <w:sz w:val="32"/>
          <w:szCs w:val="32"/>
        </w:rPr>
        <w:t>4</w:t>
      </w:r>
    </w:p>
    <w:p>
      <w:pPr>
        <w:adjustRightInd w:val="0"/>
        <w:snapToGrid w:val="0"/>
        <w:spacing w:line="560" w:lineRule="exact"/>
        <w:ind w:firstLine="640" w:firstLineChars="200"/>
        <w:jc w:val="left"/>
        <w:rPr>
          <w:rFonts w:ascii="仿宋_GB2312" w:eastAsia="仿宋_GB2312"/>
          <w:sz w:val="32"/>
          <w:szCs w:val="32"/>
        </w:rPr>
      </w:pPr>
    </w:p>
    <w:p>
      <w:pPr>
        <w:adjustRightInd w:val="0"/>
        <w:snapToGrid w:val="0"/>
        <w:spacing w:line="560" w:lineRule="exact"/>
        <w:jc w:val="center"/>
        <w:outlineLvl w:val="1"/>
        <w:rPr>
          <w:rFonts w:ascii="方正小标宋简体" w:hAnsi="Arial" w:eastAsia="方正小标宋简体" w:cs="Arial"/>
          <w:bCs/>
          <w:sz w:val="44"/>
          <w:szCs w:val="44"/>
        </w:rPr>
      </w:pPr>
      <w:bookmarkStart w:id="12" w:name="heading_12"/>
      <w:r>
        <w:rPr>
          <w:rFonts w:hint="eastAsia" w:ascii="方正小标宋简体" w:hAnsi="Arial" w:eastAsia="方正小标宋简体" w:cs="Arial"/>
          <w:bCs/>
          <w:sz w:val="44"/>
          <w:szCs w:val="44"/>
        </w:rPr>
        <w:t>XX公司贸易业务自检自查报告</w:t>
      </w:r>
      <w:bookmarkEnd w:id="12"/>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shd w:val="clear" w:color="auto" w:fill="FFE928"/>
        </w:rPr>
        <w:t>（说明：1.各产业公司的自检自查报告内容应包含本级及下属公司、代管公司，具体报送范围详见附件4；2.下属公司及代管公司的自检自查报告作为附件一并报送</w:t>
      </w:r>
      <w:r>
        <w:rPr>
          <w:rFonts w:hint="eastAsia" w:ascii="仿宋_GB2312" w:hAnsi="Arial" w:eastAsia="仿宋_GB2312" w:cs="Arial"/>
          <w:sz w:val="32"/>
          <w:szCs w:val="32"/>
          <w:shd w:val="clear" w:color="auto" w:fill="FFE928"/>
          <w:lang w:eastAsia="zh-CN"/>
        </w:rPr>
        <w:t>；</w:t>
      </w:r>
      <w:r>
        <w:rPr>
          <w:rFonts w:hint="eastAsia" w:ascii="仿宋_GB2312" w:hAnsi="Arial" w:eastAsia="仿宋_GB2312" w:cs="Arial"/>
          <w:sz w:val="32"/>
          <w:szCs w:val="32"/>
          <w:shd w:val="clear" w:color="auto" w:fill="FFE928"/>
          <w:lang w:val="en-US" w:eastAsia="zh-CN"/>
        </w:rPr>
        <w:t>3.如无贸易业务，请在自检自查报告中注明。</w:t>
      </w:r>
      <w:r>
        <w:rPr>
          <w:rFonts w:hint="eastAsia" w:ascii="仿宋_GB2312" w:hAnsi="Arial" w:eastAsia="仿宋_GB2312" w:cs="Arial"/>
          <w:sz w:val="32"/>
          <w:szCs w:val="32"/>
          <w:shd w:val="clear" w:color="auto" w:fill="FFE928"/>
        </w:rPr>
        <w:t>）</w:t>
      </w:r>
    </w:p>
    <w:p>
      <w:pPr>
        <w:adjustRightInd w:val="0"/>
        <w:snapToGrid w:val="0"/>
        <w:spacing w:line="560" w:lineRule="exact"/>
        <w:ind w:firstLine="641" w:firstLineChars="200"/>
        <w:outlineLvl w:val="1"/>
        <w:rPr>
          <w:rFonts w:ascii="黑体" w:hAnsi="黑体" w:eastAsia="黑体"/>
          <w:sz w:val="32"/>
          <w:szCs w:val="32"/>
        </w:rPr>
      </w:pPr>
      <w:bookmarkStart w:id="13" w:name="heading_13"/>
      <w:r>
        <w:rPr>
          <w:rFonts w:hint="eastAsia" w:ascii="黑体" w:hAnsi="黑体" w:eastAsia="黑体" w:cs="Arial"/>
          <w:b/>
          <w:sz w:val="32"/>
          <w:szCs w:val="32"/>
        </w:rPr>
        <w:t>一、贸易业务相关情况</w:t>
      </w:r>
      <w:bookmarkEnd w:id="13"/>
    </w:p>
    <w:p>
      <w:pPr>
        <w:adjustRightInd w:val="0"/>
        <w:snapToGrid w:val="0"/>
        <w:spacing w:line="560" w:lineRule="exact"/>
        <w:ind w:firstLine="641" w:firstLineChars="200"/>
        <w:outlineLvl w:val="1"/>
        <w:rPr>
          <w:rFonts w:ascii="楷体_GB2312" w:eastAsia="楷体_GB2312"/>
          <w:b/>
          <w:sz w:val="32"/>
          <w:szCs w:val="32"/>
        </w:rPr>
      </w:pPr>
      <w:r>
        <w:rPr>
          <w:rFonts w:hint="eastAsia" w:ascii="楷体_GB2312" w:hAnsi="Arial" w:eastAsia="楷体_GB2312" w:cs="Arial"/>
          <w:b/>
          <w:sz w:val="32"/>
          <w:szCs w:val="32"/>
        </w:rPr>
        <w:t>（一）公司贸易业务基本情况</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包括但不限于：公司开展贸易业务行为情况、涉足行业领域、营业收入、利润贡献、应收账款、应付账款、毛利率等情况。</w:t>
      </w:r>
    </w:p>
    <w:p>
      <w:pPr>
        <w:adjustRightInd w:val="0"/>
        <w:snapToGrid w:val="0"/>
        <w:spacing w:line="560" w:lineRule="exact"/>
        <w:ind w:firstLine="641" w:firstLineChars="200"/>
        <w:outlineLvl w:val="1"/>
        <w:rPr>
          <w:rFonts w:ascii="楷体_GB2312" w:hAnsi="Arial" w:eastAsia="楷体_GB2312" w:cs="Arial"/>
          <w:b/>
          <w:sz w:val="32"/>
          <w:szCs w:val="32"/>
        </w:rPr>
      </w:pPr>
      <w:r>
        <w:rPr>
          <w:rFonts w:hint="eastAsia" w:ascii="楷体_GB2312" w:hAnsi="Arial" w:eastAsia="楷体_GB2312" w:cs="Arial"/>
          <w:b/>
          <w:sz w:val="32"/>
          <w:szCs w:val="32"/>
        </w:rPr>
        <w:t>（二）公司贸易业务内控管理情况</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包括但不限于：公司建立覆盖贸易业务前期论证、立项决策、谈判签约、合同履行全过程的风险防范机制情况；发挥企业法律事务机构对贸易业务合法合规性的评价作用情况；发挥企业内审机构对贸易业务内控有效性的审计监督作用，将贸易业务纳入企业内部审计监督重点情况；发生贸易业务法律诉讼案件情况等。</w:t>
      </w:r>
    </w:p>
    <w:p>
      <w:pPr>
        <w:adjustRightInd w:val="0"/>
        <w:snapToGrid w:val="0"/>
        <w:spacing w:line="560" w:lineRule="exact"/>
        <w:ind w:firstLine="641" w:firstLineChars="200"/>
        <w:outlineLvl w:val="1"/>
        <w:rPr>
          <w:rFonts w:ascii="楷体_GB2312" w:hAnsi="Arial" w:eastAsia="楷体_GB2312" w:cs="Arial"/>
          <w:b/>
          <w:sz w:val="32"/>
          <w:szCs w:val="32"/>
        </w:rPr>
      </w:pPr>
      <w:r>
        <w:rPr>
          <w:rFonts w:hint="eastAsia" w:ascii="楷体_GB2312" w:hAnsi="Arial" w:eastAsia="楷体_GB2312" w:cs="Arial"/>
          <w:b/>
          <w:sz w:val="32"/>
          <w:szCs w:val="32"/>
        </w:rPr>
        <w:t>（三）公司贸易业务存在“十不准”情况</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包括但不限于：公司是否开展背离主业的贸易业务；是否参与特定利益关系企业间开展的无商业目的的贸易业务；是否在贸易业务中人为增加不必要的交易环节；是否开展任何形式的融资性贸易；是否开展对交易标的没有控制权的空转、走单等贸易业务；是否开展无商业实质的循环贸易；是否开展有悖于交易常识的异常贸易业务；是否开展风险较高的非标仓单交易；是否违反会计准则规定确认代理贸易收入；是否在内控机制缺乏的情况下开展贸易业务等。</w:t>
      </w:r>
    </w:p>
    <w:p>
      <w:pPr>
        <w:adjustRightInd w:val="0"/>
        <w:snapToGrid w:val="0"/>
        <w:spacing w:line="560" w:lineRule="exact"/>
        <w:ind w:firstLine="641" w:firstLineChars="200"/>
        <w:outlineLvl w:val="1"/>
        <w:rPr>
          <w:rFonts w:ascii="仿宋_GB2312" w:eastAsia="仿宋_GB2312"/>
          <w:sz w:val="32"/>
          <w:szCs w:val="32"/>
        </w:rPr>
      </w:pPr>
      <w:r>
        <w:rPr>
          <w:rFonts w:hint="eastAsia" w:ascii="楷体_GB2312" w:hAnsi="Arial" w:eastAsia="楷体_GB2312" w:cs="Arial"/>
          <w:b/>
          <w:sz w:val="32"/>
          <w:szCs w:val="32"/>
        </w:rPr>
        <w:t>（四）各类监督机构查出问题整改情况</w:t>
      </w:r>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巡视、巡察、审计、纪检监察、出资人监督、企业内审监督等各类监督机构查出企业贸易业务存在问题短板和风险隐患情况，以及目前的整改情况。</w:t>
      </w:r>
    </w:p>
    <w:p>
      <w:pPr>
        <w:adjustRightInd w:val="0"/>
        <w:snapToGrid w:val="0"/>
        <w:spacing w:line="560" w:lineRule="exact"/>
        <w:ind w:firstLine="641" w:firstLineChars="200"/>
        <w:outlineLvl w:val="1"/>
        <w:rPr>
          <w:rFonts w:ascii="黑体" w:hAnsi="黑体" w:eastAsia="黑体" w:cs="Arial"/>
          <w:b/>
          <w:sz w:val="32"/>
          <w:szCs w:val="32"/>
        </w:rPr>
      </w:pPr>
      <w:bookmarkStart w:id="14" w:name="heading_14"/>
      <w:r>
        <w:rPr>
          <w:rFonts w:hint="eastAsia" w:ascii="黑体" w:hAnsi="黑体" w:eastAsia="黑体" w:cs="Arial"/>
          <w:b/>
          <w:sz w:val="32"/>
          <w:szCs w:val="32"/>
        </w:rPr>
        <w:t>二、贸易业务存在的主要问题和风险隐患</w:t>
      </w:r>
      <w:bookmarkEnd w:id="14"/>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根据自检自查中发现的主要问题和风险隐患进行分类罗列，简要阐述事实情况。包括但不限于：风险防控机制、客户资信管理、收款付款管理、商品库存管理、货物流转管理、采购销售合同管理、法律风险防控、逾期债权防控等方面。</w:t>
      </w:r>
    </w:p>
    <w:p>
      <w:pPr>
        <w:adjustRightInd w:val="0"/>
        <w:snapToGrid w:val="0"/>
        <w:spacing w:line="560" w:lineRule="exact"/>
        <w:ind w:firstLine="641" w:firstLineChars="200"/>
        <w:outlineLvl w:val="1"/>
        <w:rPr>
          <w:rFonts w:ascii="黑体" w:hAnsi="黑体" w:eastAsia="黑体" w:cs="Arial"/>
          <w:b/>
          <w:sz w:val="32"/>
          <w:szCs w:val="32"/>
        </w:rPr>
      </w:pPr>
      <w:bookmarkStart w:id="15" w:name="heading_15"/>
      <w:r>
        <w:rPr>
          <w:rFonts w:hint="eastAsia" w:ascii="黑体" w:hAnsi="黑体" w:eastAsia="黑体" w:cs="Arial"/>
          <w:b/>
          <w:sz w:val="32"/>
          <w:szCs w:val="32"/>
        </w:rPr>
        <w:t>三、整改措施</w:t>
      </w:r>
      <w:bookmarkEnd w:id="15"/>
    </w:p>
    <w:p>
      <w:pPr>
        <w:adjustRightInd w:val="0"/>
        <w:snapToGrid w:val="0"/>
        <w:spacing w:line="560" w:lineRule="exact"/>
        <w:ind w:firstLine="640" w:firstLineChars="200"/>
        <w:rPr>
          <w:rFonts w:ascii="仿宋_GB2312" w:eastAsia="仿宋_GB2312"/>
          <w:sz w:val="32"/>
          <w:szCs w:val="32"/>
        </w:rPr>
      </w:pPr>
      <w:r>
        <w:rPr>
          <w:rFonts w:hint="eastAsia" w:ascii="仿宋_GB2312" w:hAnsi="Arial" w:eastAsia="仿宋_GB2312" w:cs="Arial"/>
          <w:sz w:val="32"/>
          <w:szCs w:val="32"/>
        </w:rPr>
        <w:t>对上述自检自查发现的主要问题和风险隐患逐一提出整改措施。</w:t>
      </w:r>
    </w:p>
    <w:p>
      <w:pPr>
        <w:rPr>
          <w:rFonts w:hint="default"/>
          <w:lang w:val="en-US" w:eastAsia="zh-CN"/>
        </w:rPr>
      </w:pPr>
    </w:p>
    <w:sectPr>
      <w:headerReference r:id="rId5" w:type="default"/>
      <w:footerReference r:id="rId6"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方正小标宋简体">
    <w:altName w:val="汉仪书宋二KW"/>
    <w:panose1 w:val="03000509000000000000"/>
    <w:charset w:val="86"/>
    <w:family w:val="script"/>
    <w:pitch w:val="default"/>
    <w:sig w:usb0="00000000" w:usb1="00000000" w:usb2="00000000"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楷体_GB2312">
    <w:altName w:val="汉仪楷体KW"/>
    <w:panose1 w:val="02010609030101010101"/>
    <w:charset w:val="86"/>
    <w:family w:val="modern"/>
    <w:pitch w:val="default"/>
    <w:sig w:usb0="00000000" w:usb1="00000000" w:usb2="00000000" w:usb3="00000000" w:csb0="00040000" w:csb1="00000000"/>
  </w:font>
  <w:font w:name="QisiAaBanSong">
    <w:altName w:val="汉仪中黑KW"/>
    <w:panose1 w:val="00020600040101010101"/>
    <w:charset w:val="86"/>
    <w:family w:val="auto"/>
    <w:pitch w:val="default"/>
    <w:sig w:usb0="00000000" w:usb1="00000000" w:usb2="00000016" w:usb3="00000000" w:csb0="0004009F" w:csb1="DFD70000"/>
  </w:font>
  <w:font w:name="华文新魏">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bookmarkStart w:id="16" w:name="_GoBack"/>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HU06wgkBAAAEAQAADwAAAAAAAAABACAAAAAiAAAAZHJzL2Rvd25yZXYueG1s&#10;UEsBAhQAFAAAAAgAh07iQFXENto5AgAAYwQAAA4AAAAAAAAAAQAgAAAAWAEAAGRycy9lMm9Eb2Mu&#10;eG1sUEsFBgAAAAAGAAYAWQEAAAMGAAAAAA==&#10;">
              <v:fill on="f" focussize="0,0"/>
              <v:stroke on="f" weight="0.5pt"/>
              <v:imagedata o:title=""/>
              <o:lock v:ext="edit" aspectratio="f"/>
              <v:textbox inset="0mm,0mm,0mm,0mm">
                <w:txbxContent>
                  <w:p>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bookmarkEnd w:id="16"/>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300" w:lineRule="exact"/>
      <w:ind w:firstLine="801"/>
      <w:jc w:val="right"/>
      <w:rPr>
        <w:rFonts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pPr>
    <w:r>
      <w:rPr>
        <w:rFonts w:ascii="华文新魏" w:hAnsi="Times New Roman" w:eastAsia="华文新魏" w:cs="Times New Roman"/>
        <w:b/>
        <w:color w:val="FF0000"/>
        <w:spacing w:val="-20"/>
        <w:kern w:val="0"/>
        <w:sz w:val="44"/>
        <w:szCs w:val="44"/>
      </w:rPr>
      <w:tab/>
    </w:r>
    <w:r>
      <w:rPr>
        <w:rFonts w:hint="eastAsia"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t xml:space="preserve">客户第一  奋斗为本 </w:t>
    </w:r>
  </w:p>
  <w:p>
    <w:pPr>
      <w:pStyle w:val="15"/>
      <w:spacing w:line="300" w:lineRule="exact"/>
      <w:ind w:firstLine="336"/>
      <w:jc w:val="right"/>
      <w:rPr>
        <w:rFonts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pPr>
    <w:r>
      <w:rPr>
        <w:rFonts w:hint="eastAsia"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drawing>
        <wp:anchor distT="0" distB="0" distL="114300" distR="114300" simplePos="0" relativeHeight="251660288" behindDoc="1" locked="0" layoutInCell="1" allowOverlap="1">
          <wp:simplePos x="0" y="0"/>
          <wp:positionH relativeFrom="column">
            <wp:posOffset>-29210</wp:posOffset>
          </wp:positionH>
          <wp:positionV relativeFrom="paragraph">
            <wp:posOffset>43815</wp:posOffset>
          </wp:positionV>
          <wp:extent cx="1913890" cy="241935"/>
          <wp:effectExtent l="0" t="0" r="10160" b="5715"/>
          <wp:wrapTight wrapText="bothSides">
            <wp:wrapPolygon>
              <wp:start x="0" y="0"/>
              <wp:lineTo x="0" y="21600"/>
              <wp:lineTo x="21600" y="21600"/>
              <wp:lineTo x="21600" y="0"/>
              <wp:lineTo x="0" y="0"/>
            </wp:wrapPolygon>
          </wp:wrapTight>
          <wp:docPr id="11"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t>整体至上  团结协作</w:t>
    </w:r>
  </w:p>
  <w:p>
    <w:pPr>
      <w:pStyle w:val="15"/>
      <w:spacing w:line="300" w:lineRule="exact"/>
      <w:ind w:firstLine="336"/>
      <w:jc w:val="right"/>
      <w:rPr>
        <w:rFonts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pPr>
    <w:r>
      <w:rPr>
        <w:rFonts w:hint="eastAsia"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t>自我革新  开放包容</w:t>
    </w:r>
  </w:p>
  <w:p>
    <w:pPr>
      <w:pStyle w:val="15"/>
      <w:jc w:val="left"/>
    </w:pPr>
    <w:r>
      <w:rPr>
        <w:rFonts w:hint="eastAsia" w:ascii="QisiAaBanSong" w:hAnsi="QisiAaBanSong" w:eastAsia="QisiAaBanSong" w:cs="QisiAaBanSong"/>
        <w:b w:val="0"/>
        <w:bCs/>
        <w:color w:val="0E2841"/>
        <w:spacing w:val="-23"/>
        <w:kern w:val="0"/>
        <w:sz w:val="21"/>
        <w:szCs w:val="21"/>
        <w:u w:val="single"/>
        <w:vertAlign w:val="superscript"/>
        <w:lang w:val="en-US" w:eastAsia="zh-CN" w:bidi="ar-SA"/>
        <w14:textFill>
          <w14:solidFill>
            <w14:srgbClr w14:val="0E2841">
              <w14:lumMod w14:val="75000"/>
              <w14:lumOff w14:val="25000"/>
            </w14:srgbClr>
          </w14:solidFill>
        </w14:textFill>
      </w:rPr>
      <w:t xml:space="preserve">                                                                                                                                                                                                                                                                                                                                                                                                                                                                                                                                     </w:t>
    </w:r>
    <w:r>
      <w:rPr>
        <w:rFonts w:hint="eastAsia" w:ascii="QisiAaBanSong" w:hAnsi="QisiAaBanSong" w:eastAsia="QisiAaBanSong" w:cs="QisiAaBanSong"/>
        <w:bCs/>
        <w:color w:val="215F9A" w:themeColor="text2" w:themeTint="BF"/>
        <w:spacing w:val="-23"/>
        <w:kern w:val="0"/>
        <w:sz w:val="21"/>
        <w:szCs w:val="21"/>
        <w:u w:val="none"/>
        <w:vertAlign w:val="superscript"/>
        <w:lang w:val="en-US" w:eastAsia="zh-CN"/>
        <w14:textFill>
          <w14:solidFill>
            <w14:schemeClr w14:val="tx2">
              <w14:lumMod w14:val="75000"/>
              <w14:lumOff w14:val="25000"/>
            </w14:schemeClr>
          </w14:solidFill>
        </w14:textFill>
      </w:rPr>
      <w:t xml:space="preserve"> </w:t>
    </w:r>
    <w:r>
      <w:rPr>
        <w:rFonts w:hint="eastAsia" w:ascii="QisiAaBanSong" w:hAnsi="QisiAaBanSong" w:eastAsia="QisiAaBanSong" w:cs="QisiAaBanSong"/>
        <w:bCs/>
        <w:color w:val="215F9A" w:themeColor="text2" w:themeTint="BF"/>
        <w:spacing w:val="-23"/>
        <w:kern w:val="0"/>
        <w:sz w:val="21"/>
        <w:szCs w:val="21"/>
        <w:u w:val="none"/>
        <w:vertAlign w:val="superscript"/>
        <w14:textFill>
          <w14:solidFill>
            <w14:schemeClr w14:val="tx2">
              <w14:lumMod w14:val="75000"/>
              <w14:lumOff w14:val="25000"/>
            </w14:schemeClr>
          </w14:solidFill>
        </w14:textFill>
      </w:rPr>
      <w:t xml:space="preserve">                                                                                          </w:t>
    </w:r>
    <w:r>
      <w:rPr>
        <w:rFonts w:hint="eastAsia" w:ascii="QisiAaBanSong" w:hAnsi="QisiAaBanSong" w:eastAsia="QisiAaBanSong" w:cs="QisiAaBanSong"/>
        <w:bCs/>
        <w:color w:val="215F9A" w:themeColor="text2" w:themeTint="BF"/>
        <w:spacing w:val="-23"/>
        <w:kern w:val="0"/>
        <w:sz w:val="21"/>
        <w:szCs w:val="21"/>
        <w:u w:val="single"/>
        <w:vertAlign w:val="superscript"/>
        <w14:textFill>
          <w14:solidFill>
            <w14:schemeClr w14:val="tx2">
              <w14:lumMod w14:val="75000"/>
              <w14:lumOff w14:val="25000"/>
            </w14:schemeClr>
          </w14:solidFill>
        </w14:textFil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300" w:lineRule="exact"/>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客户第一  奋斗为本</w:t>
    </w:r>
  </w:p>
  <w:p>
    <w:pPr>
      <w:pStyle w:val="15"/>
      <w:spacing w:line="300" w:lineRule="exact"/>
      <w:jc w:val="cente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华文新魏" w:hAnsi="Times New Roman" w:eastAsia="华文新魏" w:cs="Times New Roman"/>
        <w:b/>
        <w:color w:val="FF0000"/>
        <w:spacing w:val="-20"/>
        <w:kern w:val="0"/>
        <w:sz w:val="44"/>
        <w:szCs w:val="44"/>
        <w:lang w:val="en-US" w:eastAsia="zh-CN" w:bidi="ar-SA"/>
      </w:rPr>
      <w:drawing>
        <wp:anchor distT="0" distB="0" distL="114300" distR="114300" simplePos="0" relativeHeight="251662336"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6441"/>
              <wp:lineTo x="215" y="19729"/>
              <wp:lineTo x="2365" y="19729"/>
              <wp:lineTo x="21285" y="18085"/>
              <wp:lineTo x="21285" y="4932"/>
              <wp:lineTo x="2365" y="0"/>
              <wp:lineTo x="215" y="0"/>
            </wp:wrapPolygon>
          </wp:wrapTight>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 xml:space="preserve">                                                                                                                整体至上  团结协作</w:t>
    </w:r>
  </w:p>
  <w:p>
    <w:pPr>
      <w:pStyle w:val="15"/>
      <w:spacing w:line="300" w:lineRule="exact"/>
      <w:ind w:firstLine="7310" w:firstLineChars="4300"/>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自我革新  开放包容</w:t>
    </w:r>
  </w:p>
  <w:p>
    <w:pPr>
      <w:pStyle w:val="15"/>
      <w:jc w:val="both"/>
    </w:pPr>
    <w:r>
      <w:rPr>
        <w:rFonts w:hint="eastAsia" w:ascii="QisiAaBanSong" w:hAnsi="QisiAaBanSong" w:eastAsia="QisiAaBanSong" w:cs="QisiAaBanSong"/>
        <w:b w:val="0"/>
        <w:bCs/>
        <w:color w:val="215F9A"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MzFlMGE3ODExN2VlZDQ0NjRmZmY4MzA3MGNmZDcifQ=="/>
    <w:docVar w:name="KSO_WPS_MARK_KEY" w:val="79e4ea20-5c0f-499b-a43d-27e3ad69cb87"/>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75011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703CB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854425"/>
    <w:rsid w:val="6F8D6E36"/>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11603"/>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CFC9983"/>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 w:val="FFE51B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widowControl w:val="0"/>
      <w:kinsoku/>
      <w:autoSpaceDE/>
      <w:autoSpaceDN/>
      <w:spacing w:line="600" w:lineRule="exact"/>
      <w:ind w:left="1280" w:hanging="1280" w:hangingChars="400"/>
      <w:textAlignment w:val="auto"/>
    </w:pPr>
  </w:style>
  <w:style w:type="paragraph" w:styleId="12">
    <w:name w:val="Body Text"/>
    <w:basedOn w:val="1"/>
    <w:next w:val="1"/>
    <w:semiHidden/>
    <w:unhideWhenUsed/>
    <w:qFormat/>
    <w:uiPriority w:val="99"/>
    <w:pPr>
      <w:spacing w:after="120"/>
    </w:pPr>
  </w:style>
  <w:style w:type="paragraph" w:styleId="13">
    <w:name w:val="Plain Text"/>
    <w:basedOn w:val="1"/>
    <w:qFormat/>
    <w:uiPriority w:val="0"/>
    <w:rPr>
      <w:rFonts w:ascii="宋体" w:hAnsi="Courier New" w:cs="Courier New"/>
      <w:szCs w:val="21"/>
    </w:rPr>
  </w:style>
  <w:style w:type="paragraph" w:styleId="14">
    <w:name w:val="footer"/>
    <w:basedOn w:val="1"/>
    <w:next w:val="1"/>
    <w:link w:val="42"/>
    <w:unhideWhenUsed/>
    <w:qFormat/>
    <w:uiPriority w:val="99"/>
    <w:pPr>
      <w:tabs>
        <w:tab w:val="center" w:pos="4153"/>
        <w:tab w:val="right" w:pos="8306"/>
      </w:tabs>
      <w:snapToGrid w:val="0"/>
      <w:jc w:val="left"/>
    </w:pPr>
    <w:rPr>
      <w:sz w:val="18"/>
      <w:szCs w:val="18"/>
    </w:rPr>
  </w:style>
  <w:style w:type="paragraph" w:styleId="15">
    <w:name w:val="header"/>
    <w:basedOn w:val="1"/>
    <w:link w:val="41"/>
    <w:unhideWhenUsed/>
    <w:qFormat/>
    <w:uiPriority w:val="99"/>
    <w:pPr>
      <w:tabs>
        <w:tab w:val="center" w:pos="4153"/>
        <w:tab w:val="right" w:pos="8306"/>
      </w:tabs>
      <w:snapToGrid w:val="0"/>
      <w:jc w:val="center"/>
    </w:pPr>
    <w:rPr>
      <w:sz w:val="18"/>
      <w:szCs w:val="18"/>
    </w:rPr>
  </w:style>
  <w:style w:type="paragraph" w:styleId="16">
    <w:name w:val="toc 1"/>
    <w:basedOn w:val="1"/>
    <w:next w:val="1"/>
    <w:semiHidden/>
    <w:qFormat/>
    <w:uiPriority w:val="0"/>
    <w:rPr>
      <w:rFonts w:ascii="Calibri" w:hAnsi="Calibri"/>
    </w:rPr>
  </w:style>
  <w:style w:type="paragraph" w:styleId="17">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3"/>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4"/>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5"/>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6"/>
    <w:semiHidden/>
    <w:qFormat/>
    <w:uiPriority w:val="9"/>
    <w:rPr>
      <w:rFonts w:cstheme="majorBidi"/>
      <w:color w:val="104862" w:themeColor="accent1" w:themeShade="BF"/>
      <w:sz w:val="28"/>
      <w:szCs w:val="28"/>
    </w:rPr>
  </w:style>
  <w:style w:type="character" w:customStyle="1" w:styleId="27">
    <w:name w:val="标题 5 字符"/>
    <w:basedOn w:val="22"/>
    <w:link w:val="7"/>
    <w:semiHidden/>
    <w:qFormat/>
    <w:uiPriority w:val="9"/>
    <w:rPr>
      <w:rFonts w:cstheme="majorBidi"/>
      <w:color w:val="104862" w:themeColor="accent1" w:themeShade="BF"/>
      <w:sz w:val="24"/>
      <w:szCs w:val="24"/>
    </w:rPr>
  </w:style>
  <w:style w:type="character" w:customStyle="1" w:styleId="28">
    <w:name w:val="标题 6 字符"/>
    <w:basedOn w:val="22"/>
    <w:link w:val="8"/>
    <w:semiHidden/>
    <w:qFormat/>
    <w:uiPriority w:val="9"/>
    <w:rPr>
      <w:rFonts w:cstheme="majorBidi"/>
      <w:b/>
      <w:bCs/>
      <w:color w:val="104862" w:themeColor="accent1" w:themeShade="BF"/>
    </w:rPr>
  </w:style>
  <w:style w:type="character" w:customStyle="1" w:styleId="29">
    <w:name w:val="标题 7 字符"/>
    <w:basedOn w:val="22"/>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22"/>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qFormat/>
    <w:uiPriority w:val="30"/>
    <w:rPr>
      <w:i/>
      <w:iCs/>
      <w:color w:val="104862" w:themeColor="accent1" w:themeShade="BF"/>
    </w:rPr>
  </w:style>
  <w:style w:type="character" w:customStyle="1" w:styleId="40">
    <w:name w:val="Intense Reference"/>
    <w:basedOn w:val="22"/>
    <w:qFormat/>
    <w:uiPriority w:val="32"/>
    <w:rPr>
      <w:b/>
      <w:bCs/>
      <w:smallCaps/>
      <w:color w:val="104862" w:themeColor="accent1" w:themeShade="BF"/>
      <w:spacing w:val="5"/>
    </w:rPr>
  </w:style>
  <w:style w:type="character" w:customStyle="1" w:styleId="41">
    <w:name w:val="页眉 字符"/>
    <w:basedOn w:val="22"/>
    <w:link w:val="15"/>
    <w:qFormat/>
    <w:uiPriority w:val="99"/>
    <w:rPr>
      <w:sz w:val="18"/>
      <w:szCs w:val="18"/>
    </w:rPr>
  </w:style>
  <w:style w:type="character" w:customStyle="1" w:styleId="42">
    <w:name w:val="页脚 字符"/>
    <w:basedOn w:val="22"/>
    <w:link w:val="14"/>
    <w:qFormat/>
    <w:uiPriority w:val="99"/>
    <w:rPr>
      <w:sz w:val="18"/>
      <w:szCs w:val="18"/>
    </w:rPr>
  </w:style>
  <w:style w:type="paragraph" w:customStyle="1" w:styleId="4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8084</Words>
  <Characters>8304</Characters>
  <Lines>25</Lines>
  <Paragraphs>7</Paragraphs>
  <TotalTime>21</TotalTime>
  <ScaleCrop>false</ScaleCrop>
  <LinksUpToDate>false</LinksUpToDate>
  <CharactersWithSpaces>8399</CharactersWithSpaces>
  <Application>WPS Office WWO_wpscloud_20240131180316-eb96cfa502</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2024-01-22T04:35:00Z</dcterms:created>
  <dc:creator>a15280976656@outlook.com</dc:creator>
  <cp:lastModifiedBy>辉辉</cp:lastModifiedBy>
  <cp:lastPrinted>2024-02-02T00:47:00Z</cp:lastPrinted>
  <dcterms:modified xsi:type="dcterms:W3CDTF">2024-03-28T18:07:03Z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86E0938C9E524EC6968FCB15C9E36C5C</vt:lpwstr>
  </property>
</Properties>
</file>