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_GB2312" w:eastAsia="仿宋_GB2312"/>
          <w:b/>
          <w:sz w:val="32"/>
          <w:szCs w:val="32"/>
        </w:rPr>
      </w:pPr>
    </w:p>
    <w:p>
      <w:pPr>
        <w:rPr>
          <w:rFonts w:ascii="仿宋_GB2312" w:eastAsia="仿宋_GB2312"/>
          <w:b/>
          <w:sz w:val="32"/>
          <w:szCs w:val="32"/>
        </w:rPr>
      </w:pPr>
    </w:p>
    <w:p>
      <w:pPr>
        <w:jc w:val="distribute"/>
        <w:rPr>
          <w:rFonts w:ascii="方正小标宋简体" w:eastAsia="方正小标宋简体"/>
          <w:color w:val="FF0000"/>
          <w:spacing w:val="-2"/>
          <w:w w:val="50"/>
          <w:sz w:val="32"/>
          <w:szCs w:val="32"/>
        </w:rPr>
      </w:pPr>
      <w:r>
        <w:rPr>
          <w:rFonts w:hint="eastAsia" w:ascii="方正小标宋简体" w:eastAsia="方正小标宋简体"/>
          <w:color w:val="FF0000"/>
          <w:spacing w:val="-2"/>
          <w:w w:val="50"/>
          <w:sz w:val="136"/>
          <w:szCs w:val="136"/>
        </w:rPr>
        <w:t>成都微精电机股份公司文件</w:t>
      </w:r>
    </w:p>
    <w:p>
      <w:pPr>
        <w:jc w:val="center"/>
        <w:rPr>
          <w:rFonts w:hint="default" w:ascii="仿宋_GB2312" w:eastAsia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>公司综管〔2024〕35号</w:t>
      </w:r>
    </w:p>
    <w:p>
      <w:pPr>
        <w:jc w:val="both"/>
        <w:rPr>
          <w:rFonts w:ascii="仿宋_GB2312" w:eastAsia="仿宋_GB2312" w:hAnsiTheme="majorEastAsia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-12065</wp:posOffset>
                </wp:positionH>
                <wp:positionV relativeFrom="paragraph">
                  <wp:posOffset>207645</wp:posOffset>
                </wp:positionV>
                <wp:extent cx="5607050" cy="29210"/>
                <wp:effectExtent l="0" t="19050" r="12700" b="27940"/>
                <wp:wrapNone/>
                <wp:docPr id="6" name="Lin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607170" cy="28946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7" o:spid="_x0000_s1026" o:spt="20" style="position:absolute;left:0pt;flip:y;margin-left:-0.95pt;margin-top:16.35pt;height:2.3pt;width:441.5pt;z-index:251660288;mso-width-relative:page;mso-height-relative:page;" filled="f" stroked="t" coordsize="21600,21600" o:gfxdata="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DxsU4V2AAAAAgBAAAPAAAAAAAAAAEA&#10;IAAAACIAAABkcnMvZG93bnJldi54bWxQSwECFAAUAAAACACHTuJAA5ThVNYBAACuAwAADgAAAAAA&#10;AAABACAAAAAnAQAAZHJzL2Uyb0RvYy54bWxQSwUGAAAAAAYABgBZAQAAbwUAAAAA&#10;">
                <v:fill on="f" focussize="0,0"/>
                <v:stroke weight="3pt" color="#FF0000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8"/>
          <w:lang w:val="en-US" w:eastAsia="zh-CN"/>
        </w:rPr>
        <w:t>关于印发《成都微精电机股份公司部门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8"/>
          <w:lang w:val="en-US" w:eastAsia="zh-CN"/>
        </w:rPr>
        <w:t>工作职责》的通知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各单位：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为了进一步优化公司管理，理顺各单位业务分工，明晰各单位职责，公司研究制定了《成都微精电机股份公司部门工作职责》，现予以下发执行。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各单位要认真组织学习，切实履行各自职责，加强各单位协作配合，确保公司各项工作正常、有序和高效的开展。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此通知。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附件：成都微精电机股份公司部门工作职责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成都微精电机股份公司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  2024年6月6日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ind w:firstLine="4320" w:firstLineChars="1350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ind w:firstLine="4320" w:firstLineChars="1350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ind w:firstLine="4320" w:firstLineChars="1350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ind w:firstLine="4320" w:firstLineChars="1350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ind w:firstLine="4320" w:firstLineChars="1350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ind w:firstLine="4320" w:firstLineChars="1350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ind w:firstLine="4320" w:firstLineChars="1350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ind w:firstLine="4320" w:firstLineChars="1350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ind w:firstLine="4320" w:firstLineChars="1350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ind w:firstLine="4320" w:firstLineChars="1350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ind w:firstLine="4320" w:firstLineChars="1350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ind w:firstLine="4320" w:firstLineChars="1350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tabs>
          <w:tab w:val="right" w:pos="10466"/>
        </w:tabs>
        <w:rPr>
          <w:rFonts w:ascii="仿宋_GB2312" w:eastAsia="仿宋_GB2312" w:hAnsiTheme="minorHAnsi" w:cstheme="minorBidi"/>
          <w:spacing w:val="17"/>
          <w:sz w:val="32"/>
          <w:szCs w:val="32"/>
        </w:rPr>
      </w:pPr>
    </w:p>
    <w:p>
      <w:pPr>
        <w:tabs>
          <w:tab w:val="right" w:pos="10466"/>
        </w:tabs>
        <w:rPr>
          <w:rFonts w:ascii="仿宋_GB2312" w:eastAsia="仿宋_GB2312" w:hAnsiTheme="minorHAnsi" w:cstheme="minorBidi"/>
          <w:spacing w:val="17"/>
          <w:sz w:val="32"/>
          <w:szCs w:val="32"/>
        </w:rPr>
      </w:pPr>
    </w:p>
    <w:tbl>
      <w:tblPr>
        <w:tblStyle w:val="4"/>
        <w:tblW w:w="0" w:type="auto"/>
        <w:tblInd w:w="122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39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1" w:type="dxa"/>
          </w:tcPr>
          <w:p>
            <w:pPr>
              <w:wordWrap w:val="0"/>
              <w:spacing w:line="500" w:lineRule="exact"/>
              <w:ind w:right="-53" w:rightChars="-25" w:firstLine="194" w:firstLineChars="55"/>
              <w:rPr>
                <w:rFonts w:ascii="仿宋_GB2312" w:eastAsia="仿宋_GB2312" w:hAnsiTheme="minorHAnsi" w:cstheme="minorBidi"/>
                <w:spacing w:val="17"/>
                <w:sz w:val="32"/>
                <w:szCs w:val="32"/>
              </w:rPr>
            </w:pPr>
            <w:r>
              <w:rPr>
                <w:rFonts w:hint="eastAsia" w:ascii="仿宋_GB2312" w:eastAsia="仿宋_GB2312" w:hAnsiTheme="minorHAnsi" w:cstheme="minorBidi"/>
                <w:spacing w:val="17"/>
                <w:sz w:val="32"/>
                <w:szCs w:val="32"/>
                <w:lang w:val="en-US" w:eastAsia="zh-CN"/>
              </w:rPr>
              <w:t xml:space="preserve">综合管理部       </w:t>
            </w:r>
            <w:r>
              <w:rPr>
                <w:rFonts w:hint="eastAsia" w:ascii="仿宋_GB2312" w:eastAsia="仿宋_GB2312" w:hAnsiTheme="minorHAnsi" w:cstheme="minorBidi"/>
                <w:spacing w:val="17"/>
                <w:sz w:val="32"/>
                <w:szCs w:val="32"/>
              </w:rPr>
              <w:t xml:space="preserve">        </w:t>
            </w:r>
            <w:r>
              <w:rPr>
                <w:rFonts w:ascii="仿宋_GB2312" w:eastAsia="仿宋_GB2312" w:hAnsiTheme="minorHAnsi" w:cstheme="minorBidi"/>
                <w:spacing w:val="17"/>
                <w:sz w:val="32"/>
                <w:szCs w:val="32"/>
              </w:rPr>
              <w:t xml:space="preserve"> </w:t>
            </w:r>
            <w:r>
              <w:rPr>
                <w:rFonts w:hint="eastAsia" w:ascii="仿宋_GB2312" w:eastAsia="仿宋_GB2312" w:hAnsiTheme="minorHAnsi" w:cstheme="minorBidi"/>
                <w:spacing w:val="17"/>
                <w:sz w:val="32"/>
                <w:szCs w:val="32"/>
              </w:rPr>
              <w:t xml:space="preserve">  202</w:t>
            </w:r>
            <w:r>
              <w:rPr>
                <w:rFonts w:hint="eastAsia" w:ascii="仿宋_GB2312" w:eastAsia="仿宋_GB2312" w:hAnsiTheme="minorHAnsi" w:cstheme="minorBidi"/>
                <w:spacing w:val="17"/>
                <w:sz w:val="32"/>
                <w:szCs w:val="32"/>
                <w:lang w:val="en-US" w:eastAsia="zh-CN"/>
              </w:rPr>
              <w:t>4</w:t>
            </w:r>
            <w:r>
              <w:rPr>
                <w:rFonts w:hint="eastAsia" w:ascii="仿宋_GB2312" w:eastAsia="仿宋_GB2312" w:hAnsiTheme="minorHAnsi" w:cstheme="minorBidi"/>
                <w:spacing w:val="17"/>
                <w:sz w:val="32"/>
                <w:szCs w:val="32"/>
              </w:rPr>
              <w:t>年</w:t>
            </w:r>
            <w:r>
              <w:rPr>
                <w:rFonts w:hint="eastAsia" w:ascii="仿宋_GB2312" w:eastAsia="仿宋_GB2312" w:hAnsiTheme="minorHAnsi" w:cstheme="minorBidi"/>
                <w:spacing w:val="17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仿宋_GB2312" w:eastAsia="仿宋_GB2312" w:hAnsiTheme="minorHAnsi" w:cstheme="minorBidi"/>
                <w:spacing w:val="17"/>
                <w:sz w:val="32"/>
                <w:szCs w:val="32"/>
              </w:rPr>
              <w:t>月</w:t>
            </w:r>
            <w:r>
              <w:rPr>
                <w:rFonts w:hint="eastAsia" w:ascii="仿宋_GB2312" w:eastAsia="仿宋_GB2312" w:hAnsiTheme="minorHAnsi" w:cstheme="minorBidi"/>
                <w:spacing w:val="17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仿宋_GB2312" w:eastAsia="仿宋_GB2312" w:hAnsiTheme="minorHAnsi" w:cstheme="minorBidi"/>
                <w:spacing w:val="17"/>
                <w:sz w:val="32"/>
                <w:szCs w:val="32"/>
              </w:rPr>
              <w:t>日印发</w:t>
            </w:r>
          </w:p>
        </w:tc>
      </w:tr>
    </w:tbl>
    <w:p>
      <w:pPr>
        <w:spacing w:line="500" w:lineRule="exact"/>
        <w:ind w:right="210" w:rightChars="100"/>
        <w:jc w:val="center"/>
        <w:rPr>
          <w:rFonts w:hint="eastAsia" w:ascii="仿宋_GB2312" w:eastAsia="仿宋_GB2312" w:hAnsiTheme="minorHAnsi" w:cstheme="minorBidi"/>
          <w:spacing w:val="17"/>
          <w:sz w:val="32"/>
          <w:szCs w:val="32"/>
        </w:rPr>
        <w:sectPr>
          <w:pgSz w:w="11906" w:h="16838"/>
          <w:pgMar w:top="2098" w:right="1474" w:bottom="1984" w:left="1587" w:header="851" w:footer="992" w:gutter="0"/>
          <w:pgNumType w:fmt="numberInDash"/>
          <w:cols w:space="425" w:num="1"/>
          <w:docGrid w:type="lines" w:linePitch="312" w:charSpace="0"/>
        </w:sectPr>
      </w:pPr>
      <w:r>
        <w:rPr>
          <w:rFonts w:hint="eastAsia" w:ascii="仿宋_GB2312" w:eastAsia="仿宋_GB2312" w:hAnsiTheme="minorHAnsi" w:cstheme="minorBidi"/>
          <w:spacing w:val="17"/>
          <w:sz w:val="32"/>
          <w:szCs w:val="32"/>
        </w:rPr>
        <w:t xml:space="preserve">                              </w:t>
      </w:r>
      <w:r>
        <w:rPr>
          <w:rFonts w:hint="eastAsia" w:ascii="仿宋_GB2312" w:eastAsia="仿宋_GB2312" w:hAnsiTheme="minorHAnsi" w:cstheme="minorBidi"/>
          <w:spacing w:val="17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eastAsia="仿宋_GB2312" w:hAnsiTheme="minorHAnsi" w:cstheme="minorBidi"/>
          <w:spacing w:val="17"/>
          <w:sz w:val="32"/>
          <w:szCs w:val="32"/>
        </w:rPr>
        <w:t xml:space="preserve">  （共印</w:t>
      </w:r>
      <w:r>
        <w:rPr>
          <w:rFonts w:hint="eastAsia" w:ascii="仿宋_GB2312" w:eastAsia="仿宋_GB2312" w:hAnsiTheme="minorHAnsi" w:cstheme="minorBidi"/>
          <w:spacing w:val="17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 w:hAnsiTheme="minorHAnsi" w:cstheme="minorBidi"/>
          <w:spacing w:val="17"/>
          <w:sz w:val="32"/>
          <w:szCs w:val="32"/>
        </w:rPr>
        <w:t>份）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left"/>
        <w:textAlignment w:val="auto"/>
        <w:rPr>
          <w:rFonts w:hint="eastAsia" w:ascii="仿宋_GB2312" w:hAnsi="黑体" w:eastAsia="仿宋_GB2312"/>
          <w:b w:val="0"/>
          <w:bCs/>
          <w:sz w:val="32"/>
          <w:szCs w:val="32"/>
        </w:rPr>
      </w:pPr>
      <w:bookmarkStart w:id="0" w:name="_Toc485824976"/>
      <w:bookmarkStart w:id="1" w:name="_Hlk482088041"/>
      <w:bookmarkStart w:id="2" w:name="_Toc499044897"/>
      <w:bookmarkStart w:id="3" w:name="_Hlk498091337"/>
      <w:r>
        <w:rPr>
          <w:rFonts w:hint="eastAsia" w:ascii="仿宋_GB2312" w:hAnsi="黑体" w:eastAsia="仿宋_GB2312"/>
          <w:b w:val="0"/>
          <w:bCs/>
          <w:sz w:val="32"/>
          <w:szCs w:val="32"/>
        </w:rPr>
        <w:t>附件</w:t>
      </w:r>
      <w:bookmarkStart w:id="4" w:name="_GoBack"/>
      <w:bookmarkEnd w:id="4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成都微精电机股份公司部门工作职责</w:t>
      </w:r>
      <w:bookmarkEnd w:id="0"/>
      <w:bookmarkEnd w:id="1"/>
      <w:bookmarkEnd w:id="2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center"/>
        <w:textAlignment w:val="auto"/>
        <w:rPr>
          <w:rFonts w:hint="eastAsia" w:ascii="黑体" w:hAnsi="黑体" w:eastAsia="黑体"/>
          <w:sz w:val="36"/>
          <w:szCs w:val="36"/>
        </w:rPr>
      </w:pPr>
    </w:p>
    <w:bookmarkEnd w:id="3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一、部门通用职责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部门通用职责主要包括部门及人才队伍建设、制度建设、计划管理、知识管理、日常管理、协同配合、归口管理等。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" w:hAnsi="仿宋" w:eastAsia="仿宋"/>
          <w:b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二、部门职责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" w:hAnsi="仿宋" w:eastAsia="仿宋"/>
          <w:b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/>
          <w:sz w:val="32"/>
          <w:szCs w:val="32"/>
        </w:rPr>
        <w:t>1.综合管理部</w:t>
      </w:r>
      <w:r>
        <w:rPr>
          <w:rFonts w:hint="eastAsia" w:ascii="楷体_GB2312" w:hAnsi="楷体_GB2312" w:eastAsia="楷体_GB2312" w:cs="楷体_GB2312"/>
          <w:b w:val="0"/>
          <w:bCs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 w:val="0"/>
          <w:bCs/>
          <w:sz w:val="32"/>
          <w:szCs w:val="32"/>
        </w:rPr>
        <w:t>党委办、保密办</w:t>
      </w:r>
      <w:r>
        <w:rPr>
          <w:rFonts w:hint="eastAsia" w:ascii="楷体_GB2312" w:hAnsi="楷体_GB2312" w:eastAsia="楷体_GB2312" w:cs="楷体_GB2312"/>
          <w:b w:val="0"/>
          <w:bCs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（1）党委日常工作，党组织建设、中层管理人员任职管理、政治审查、宣传思想工作、企业文化建设、精神文明建设等工作。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纪委日常工作，党风廉政建设、纪律监督、警示教育等工作。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）行政、文秘、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会务、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外事、档案管理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重点工作督办等工作。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）战略规划、经营计划、制度与流程、组织机构及绩效、改革创新、政策争取等工作。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）人力资源规划、招聘与配置、员工发展管理、薪酬福利管理、绩效管理、员工关系管理及人才队伍建设等工作。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）科技管理、项目管理、标准化、创新管理、品牌建设管理、信息化规划与实施、资质管理、知识产权管理等工作。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）法务管理、审计、合同管理等工作。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）国家安全人民防线管理、保密管理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及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归口管理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工作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等工作。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负责库房、下料管理等工作。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）“三会”管理等工作。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b w:val="0"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/>
          <w:sz w:val="32"/>
          <w:szCs w:val="32"/>
        </w:rPr>
        <w:t>2.财务部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（1）公司预算（含资金预算）编制、调整、监控反馈等工作，指导各部门的预算编制工作，编制决算报告等工作。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（2）资金管理、银行融资管理、非银行类融资管理、税务管理和筹划等工作。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（3）资产日常管理、盘点、减值、核销等工作。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（4）日常业务会计核算、报表编制、年终决算，财务数据统计、分类、汇总、分析、报告等工作。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（5）集团公司、有关上级主管部门经济运行报告、报表上报等工作。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（6）投融资产业相关政策收集、研究、分析、论证，负责制定资本运营计划，开展投融资管理等工作。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（7）公司及所出资公司的产权管理，包括但不限于合并、分立、解散、破产及存量股权运营等工作。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（8）公司土地、房产投资项目的论证和组织实施，公司土地、房产处置等工作。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（9）成本管控与优化、“两金”管控、降本增效等工作。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（10）产品审价相关工作。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b w:val="0"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/>
          <w:sz w:val="32"/>
          <w:szCs w:val="32"/>
        </w:rPr>
        <w:t>3.市场营销部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（1）公司产品市场分析与预测，竞争对手分析与监控，产品应用领域开拓等工作。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（2）客户信用管理与销售策略制定等工作。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（3）军品市场开拓、合同签订、客户开拓与维护、渠道建设、售后等工作。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（4）公司应收账款清收，</w:t>
      </w:r>
      <w:r>
        <w:rPr>
          <w:rFonts w:hint="eastAsia" w:ascii="仿宋_GB2312" w:hAnsi="仿宋_GB2312" w:eastAsia="仿宋_GB2312" w:cs="仿宋_GB2312"/>
          <w:sz w:val="32"/>
          <w:szCs w:val="32"/>
        </w:rPr>
        <w:t>及时回笼资金，保障资金链安全，避免呆死账发生等工作。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（5）客户分类与大客户维护等工作。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b w:val="0"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/>
          <w:sz w:val="32"/>
          <w:szCs w:val="32"/>
        </w:rPr>
        <w:t>4.企业技术中心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企业技术中心下设电机研发部（研发一部）与电控研发部（研发二部）。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公司科研发展战略的拟定、策划和落实等工作。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公司新技术开发，科技创新成果孵化和转化等工作。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公司电机、驱动器等研制、工艺管理与指导等工作。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产品BOM、工艺文件图纸管理等工作。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技术交流与技术平台管理等工作。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产品原材料统型与设计降本等工作。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协同市场营销部做好市场开拓等工作。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b w:val="0"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/>
          <w:sz w:val="32"/>
          <w:szCs w:val="32"/>
        </w:rPr>
        <w:t>5.新业务事业部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（1）公司民品电机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研发、生产和市场拓展等工作。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）推动民品电机及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其它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新领域产品的生产制造模式革新等工作。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推动公司惯导业务研发、市场、生产运营等工作。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）公司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其它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新领域产品的研发、生产和市场开拓工作等工作。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" w:hAnsi="仿宋" w:eastAsia="仿宋"/>
          <w:b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/>
          <w:sz w:val="32"/>
          <w:szCs w:val="32"/>
        </w:rPr>
        <w:t>6.质量管理部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（1）公司质量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管理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规章制度制订、质量管理体系认证、产品质量认证，接受二方、三方质量审查、质量资质管理等工作。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（2）组织编制认证产品质量保证计划，按规定向认证机构报告，履行认证机构规定的质量监督职责等工作。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（3）组织质量工作和分析会议，定期或不定期开展产品质量审核，对质量问题和体系缺陷及时组织纠正和预防措施；对退货返修产品及时进行质量分析，制定纠正措施并跟踪检查和考核等工作。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（4）原材料进厂检验、生产过程各阶段检验（试验）、产品出厂试验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检验等工作。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（5）公司计量标准系统和计量认证体系，负责产品开发、生产、检验和试验计量设备及仪器仪表的校准、周期检定、报表等工作。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（6）组织和监督不合格品的检测、隔离、评审和归零评审等工作。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（7）公司的质量控制指标分解、记录、评价和考核等工作。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（8）产品报废管理等工作。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" w:hAnsi="仿宋" w:eastAsia="仿宋"/>
          <w:b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/>
          <w:sz w:val="32"/>
          <w:szCs w:val="32"/>
        </w:rPr>
        <w:t>7.物资供应部（安全环保部）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（1）公司生产用原材料、半成品、元器件、辅料、油料和化工品等采购工作。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（2）公司生产经营过程中的对外协作管理工作。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（3）公司设备设施、仪器仪表的采购等工作。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（4）公司动力及能源、运行维护、设备维修、后勤管理（含员工宿舍）等工作。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（5）公司安全保卫、治安综合管理工作、消防管理、易燃、易爆、危化品的安全防范等工作。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（6）公司房产设施运行、维护等管理工作。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（7）公司安全生产体系建立、运行、检查、监督、指导、考核和安全生产标准化资质的管理工作。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（8）公司环境保护各项工作，促进公司的环保工作合规达标。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“6S”管理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工作的组织、实施。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）食堂管理、车辆管理及员工宿舍管理等工作。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）报废物资处置工作。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" w:hAnsi="仿宋" w:eastAsia="仿宋"/>
          <w:b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/>
          <w:sz w:val="32"/>
          <w:szCs w:val="32"/>
        </w:rPr>
        <w:t>8.产品制造事业部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（1）拟制生产计划，按照工艺要求完成产品制造工作。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（2）生产工艺革新及产品质量、合格率提升工作。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（3）生产现场“6S”管理及提升工作。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（5）落实公司员工职业卫生管理要求等日常工作。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（6）产品生产过程中的安全生产管理等工作。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生产设备的日常维护。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三、各部门同时按公司保密制度，履行业务领域内的保密管理及归口管理工作。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right="210" w:rightChars="100"/>
        <w:jc w:val="center"/>
        <w:textAlignment w:val="auto"/>
        <w:rPr>
          <w:rFonts w:hint="default" w:ascii="仿宋_GB2312" w:eastAsia="仿宋_GB2312" w:hAnsiTheme="minorHAnsi" w:cstheme="minorBidi"/>
          <w:spacing w:val="17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1E39B99-56F6-4616-AE74-981B4F47205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522AAD78-C926-471F-B720-5E0FAA12C909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41C52FD5-B778-4C0A-9EEC-AA0D283C513D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4" w:fontKey="{BC2BB634-582D-4C4E-B7E6-AB696829161A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F1470672-BDF4-4C8E-9F3F-E7FDEF86D7C3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6" w:fontKey="{F5A629EF-AD41-443D-A9BC-4BB1E74EF50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3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3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C5FFD1C"/>
    <w:multiLevelType w:val="singleLevel"/>
    <w:tmpl w:val="7C5FFD1C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I2M2VjYmQzM2RmZTQxNjA5MDM3MjMwMmZjNTI2YTIifQ=="/>
  </w:docVars>
  <w:rsids>
    <w:rsidRoot w:val="00000000"/>
    <w:rsid w:val="062B72A2"/>
    <w:rsid w:val="0A9A3E1E"/>
    <w:rsid w:val="20954DA5"/>
    <w:rsid w:val="2FF104FD"/>
    <w:rsid w:val="306D4D53"/>
    <w:rsid w:val="39C70342"/>
    <w:rsid w:val="4CA9635E"/>
    <w:rsid w:val="52610C67"/>
    <w:rsid w:val="5B2A2E02"/>
    <w:rsid w:val="5D6925B1"/>
    <w:rsid w:val="615269E1"/>
    <w:rsid w:val="6C9A7020"/>
    <w:rsid w:val="75DE49BC"/>
    <w:rsid w:val="7A54524B"/>
    <w:rsid w:val="7E787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11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2024-06-03T03:23:00Z</dcterms:created>
  <dc:creator>Lenovo</dc:creator>
  <cp:lastModifiedBy>Lenovo</cp:lastModifiedBy>
  <cp:lastPrinted>2024-06-06T02:14:00Z</cp:lastPrinted>
  <dcterms:modified xsi:type="dcterms:W3CDTF">2024-06-06T07:08:48Z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2647FE30BBE0440BAF1863F82DAF7235_13</vt:lpwstr>
  </property>
</Properties>
</file>