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eastAsia="宋体" w:cs="宋体"/>
          <w:b/>
          <w:bCs/>
          <w:sz w:val="84"/>
        </w:rPr>
      </w:pPr>
      <w:r>
        <w:rPr>
          <w:rFonts w:eastAsia="宋体" w:cs="Times New Roman"/>
        </w:rP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pPr>
        <w:tabs>
          <w:tab w:val="left" w:pos="7513"/>
        </w:tabs>
        <w:spacing w:after="90"/>
        <w:rPr>
          <w:rFonts w:hint="eastAsia" w:ascii="黑体" w:hAnsi="宋体" w:eastAsia="黑体" w:cs="宋体"/>
          <w:bCs/>
          <w:color w:val="auto"/>
          <w:sz w:val="28"/>
        </w:rPr>
      </w:pPr>
    </w:p>
    <w:p>
      <w:pPr>
        <w:spacing w:after="0"/>
        <w:rPr>
          <w:b/>
          <w:color w:val="auto"/>
        </w:rPr>
      </w:pPr>
    </w:p>
    <w:p>
      <w:pPr>
        <w:spacing w:after="134"/>
        <w:jc w:val="center"/>
        <w:rPr>
          <w:rFonts w:ascii="Arial" w:hAnsi="Arial" w:eastAsia="方正小标宋简体" w:cs="Arial"/>
          <w:color w:val="auto"/>
          <w:sz w:val="48"/>
          <w:szCs w:val="48"/>
        </w:rPr>
      </w:pPr>
      <w:r>
        <w:rPr>
          <w:rFonts w:hint="eastAsia" w:ascii="Arial" w:hAnsi="Arial" w:eastAsia="方正小标宋简体" w:cs="Arial"/>
          <w:color w:val="auto"/>
          <w:sz w:val="48"/>
          <w:szCs w:val="48"/>
        </w:rPr>
        <w:t>四川九洲空管科技有限责任公司</w:t>
      </w:r>
    </w:p>
    <w:p>
      <w:pPr>
        <w:widowControl w:val="0"/>
        <w:spacing w:before="11" w:after="120" w:line="276" w:lineRule="auto"/>
        <w:jc w:val="center"/>
        <w:rPr>
          <w:rFonts w:ascii="Arial" w:hAnsi="Arial" w:eastAsia="方正小标宋简体" w:cs="Arial"/>
          <w:color w:val="auto"/>
        </w:rPr>
      </w:pPr>
      <w:r>
        <w:rPr>
          <w:rFonts w:hint="eastAsia" w:ascii="Arial" w:hAnsi="Arial" w:eastAsia="方正小标宋简体" w:cs="Arial"/>
          <w:color w:val="auto"/>
          <w:sz w:val="48"/>
          <w:szCs w:val="48"/>
        </w:rPr>
        <w:t>智能仓储建设项目</w:t>
      </w:r>
    </w:p>
    <w:p>
      <w:pPr>
        <w:widowControl w:val="0"/>
        <w:tabs>
          <w:tab w:val="left" w:pos="3149"/>
        </w:tabs>
        <w:spacing w:before="71" w:line="276" w:lineRule="auto"/>
        <w:ind w:right="299"/>
        <w:jc w:val="center"/>
        <w:rPr>
          <w:rFonts w:ascii="Arial" w:hAnsi="Arial" w:eastAsia="方正小标宋简体" w:cs="Arial"/>
          <w:color w:val="auto"/>
          <w:sz w:val="28"/>
          <w:szCs w:val="28"/>
        </w:rPr>
      </w:pPr>
      <w:r>
        <w:rPr>
          <w:rFonts w:hint="eastAsia" w:ascii="Arial" w:hAnsi="Arial" w:eastAsia="方正小标宋简体" w:cs="Arial"/>
          <w:color w:val="auto"/>
          <w:sz w:val="28"/>
          <w:szCs w:val="28"/>
        </w:rPr>
        <w:t>（招标</w:t>
      </w:r>
      <w:r>
        <w:rPr>
          <w:rFonts w:hint="eastAsia" w:ascii="Arial" w:hAnsi="Arial" w:eastAsia="方正小标宋简体" w:cs="Arial"/>
          <w:color w:val="auto"/>
          <w:spacing w:val="-3"/>
          <w:sz w:val="28"/>
          <w:szCs w:val="28"/>
        </w:rPr>
        <w:t>编</w:t>
      </w:r>
      <w:r>
        <w:rPr>
          <w:rFonts w:hint="eastAsia" w:ascii="Arial" w:hAnsi="Arial" w:eastAsia="方正小标宋简体" w:cs="Arial"/>
          <w:color w:val="auto"/>
          <w:sz w:val="28"/>
          <w:szCs w:val="28"/>
        </w:rPr>
        <w:t>号：</w:t>
      </w:r>
      <w:r>
        <w:rPr>
          <w:rFonts w:ascii="Arial" w:hAnsi="Arial" w:eastAsia="方正小标宋简体" w:cs="Arial"/>
          <w:color w:val="auto"/>
          <w:sz w:val="28"/>
          <w:szCs w:val="28"/>
        </w:rPr>
        <w:t>5492-2562H12SC011</w:t>
      </w:r>
      <w:r>
        <w:rPr>
          <w:rFonts w:hint="eastAsia" w:ascii="Arial" w:hAnsi="Arial" w:eastAsia="方正小标宋简体" w:cs="Arial"/>
          <w:color w:val="auto"/>
          <w:sz w:val="28"/>
          <w:szCs w:val="28"/>
        </w:rPr>
        <w:t>/01）</w:t>
      </w:r>
    </w:p>
    <w:p>
      <w:pPr>
        <w:widowControl w:val="0"/>
        <w:spacing w:after="120" w:line="276" w:lineRule="auto"/>
        <w:jc w:val="both"/>
        <w:rPr>
          <w:rFonts w:eastAsia="宋体"/>
          <w:color w:val="auto"/>
          <w:sz w:val="20"/>
        </w:rPr>
      </w:pPr>
    </w:p>
    <w:p>
      <w:pPr>
        <w:widowControl w:val="0"/>
        <w:spacing w:after="120" w:line="276" w:lineRule="auto"/>
        <w:jc w:val="both"/>
        <w:rPr>
          <w:rFonts w:eastAsia="宋体"/>
          <w:color w:val="auto"/>
          <w:sz w:val="20"/>
        </w:rPr>
      </w:pPr>
    </w:p>
    <w:p>
      <w:pPr>
        <w:widowControl w:val="0"/>
        <w:spacing w:before="168" w:line="276" w:lineRule="auto"/>
        <w:ind w:right="299"/>
        <w:jc w:val="center"/>
        <w:rPr>
          <w:rFonts w:ascii="方正小标宋简体" w:eastAsia="方正小标宋简体"/>
          <w:color w:val="auto"/>
          <w:w w:val="90"/>
          <w:sz w:val="84"/>
          <w:szCs w:val="84"/>
        </w:rPr>
      </w:pPr>
      <w:r>
        <w:rPr>
          <w:rFonts w:hint="eastAsia" w:ascii="方正小标宋简体" w:eastAsia="方正小标宋简体"/>
          <w:color w:val="auto"/>
          <w:w w:val="90"/>
          <w:sz w:val="84"/>
          <w:szCs w:val="84"/>
        </w:rPr>
        <w:t>招 标 文 件</w:t>
      </w:r>
    </w:p>
    <w:p>
      <w:pPr>
        <w:widowControl w:val="0"/>
        <w:spacing w:before="8" w:after="120" w:line="276" w:lineRule="auto"/>
        <w:jc w:val="both"/>
        <w:rPr>
          <w:rFonts w:eastAsia="宋体"/>
          <w:color w:val="auto"/>
          <w:sz w:val="41"/>
        </w:rPr>
      </w:pPr>
    </w:p>
    <w:p>
      <w:pPr>
        <w:widowControl w:val="0"/>
        <w:spacing w:before="8" w:after="120" w:line="276" w:lineRule="auto"/>
        <w:jc w:val="both"/>
        <w:rPr>
          <w:rFonts w:eastAsia="宋体"/>
          <w:color w:val="auto"/>
          <w:sz w:val="41"/>
        </w:rPr>
      </w:pPr>
    </w:p>
    <w:p>
      <w:pPr>
        <w:spacing w:after="0" w:line="265" w:lineRule="auto"/>
        <w:ind w:left="10" w:right="51" w:hanging="10"/>
        <w:jc w:val="center"/>
        <w:rPr>
          <w:rFonts w:hint="eastAsia" w:ascii="黑体" w:hAnsi="黑体" w:eastAsia="黑体" w:cs="黑体"/>
          <w:bCs/>
          <w:color w:val="auto"/>
          <w:sz w:val="28"/>
          <w:u w:val="single"/>
        </w:rPr>
      </w:pPr>
      <w:r>
        <w:rPr>
          <w:rFonts w:ascii="黑体" w:hAnsi="黑体" w:eastAsia="黑体" w:cs="黑体"/>
          <w:bCs/>
          <w:color w:val="auto"/>
          <w:sz w:val="28"/>
        </w:rPr>
        <w:t>招标人：</w:t>
      </w:r>
      <w:r>
        <w:rPr>
          <w:rFonts w:hint="eastAsia" w:ascii="黑体" w:hAnsi="黑体" w:eastAsia="黑体" w:cs="黑体"/>
          <w:bCs/>
          <w:color w:val="auto"/>
          <w:sz w:val="28"/>
          <w:u w:val="single"/>
        </w:rPr>
        <w:t>四川九洲空管科技有限责任公司</w:t>
      </w:r>
    </w:p>
    <w:p>
      <w:pPr>
        <w:spacing w:after="0" w:line="265" w:lineRule="auto"/>
        <w:ind w:left="10" w:right="51" w:hanging="10"/>
        <w:rPr>
          <w:rFonts w:hint="eastAsia" w:ascii="黑体" w:hAnsi="黑体" w:eastAsia="黑体" w:cs="黑体"/>
          <w:bCs/>
          <w:color w:val="auto"/>
          <w:sz w:val="28"/>
          <w:u w:val="single"/>
        </w:rPr>
      </w:pPr>
    </w:p>
    <w:p>
      <w:pPr>
        <w:spacing w:after="0" w:line="265" w:lineRule="auto"/>
        <w:ind w:left="10" w:right="51" w:hanging="10"/>
        <w:jc w:val="center"/>
        <w:rPr>
          <w:rFonts w:eastAsia="黑体"/>
          <w:bCs/>
          <w:color w:val="auto"/>
        </w:rPr>
      </w:pPr>
      <w:r>
        <w:rPr>
          <w:rFonts w:ascii="黑体" w:hAnsi="黑体" w:eastAsia="黑体" w:cs="黑体"/>
          <w:bCs/>
          <w:color w:val="auto"/>
          <w:sz w:val="28"/>
        </w:rPr>
        <w:t>招标</w:t>
      </w:r>
      <w:r>
        <w:rPr>
          <w:rFonts w:hint="eastAsia" w:ascii="黑体" w:hAnsi="黑体" w:eastAsia="黑体" w:cs="黑体"/>
          <w:bCs/>
          <w:color w:val="auto"/>
          <w:sz w:val="28"/>
        </w:rPr>
        <w:t>代理机构：</w:t>
      </w:r>
      <w:r>
        <w:rPr>
          <w:rFonts w:hint="eastAsia" w:ascii="黑体" w:hAnsi="黑体" w:eastAsia="黑体" w:cs="黑体"/>
          <w:bCs/>
          <w:color w:val="auto"/>
          <w:sz w:val="28"/>
          <w:u w:val="single"/>
        </w:rPr>
        <w:t>中航咨询（北京）有限公司</w:t>
      </w:r>
    </w:p>
    <w:p>
      <w:pPr>
        <w:spacing w:after="42"/>
        <w:ind w:left="17"/>
        <w:jc w:val="center"/>
        <w:rPr>
          <w:bCs/>
          <w:color w:val="auto"/>
        </w:rPr>
      </w:pPr>
    </w:p>
    <w:p>
      <w:pPr>
        <w:spacing w:after="0" w:line="265" w:lineRule="auto"/>
        <w:ind w:left="10" w:right="55" w:hanging="10"/>
        <w:jc w:val="center"/>
        <w:rPr>
          <w:rFonts w:hint="eastAsia" w:ascii="黑体" w:hAnsi="黑体" w:eastAsia="黑体" w:cs="黑体"/>
          <w:bCs/>
          <w:color w:val="auto"/>
          <w:sz w:val="28"/>
        </w:rPr>
      </w:pPr>
      <w:r>
        <w:rPr>
          <w:rFonts w:cs="Times New Roman" w:asciiTheme="minorEastAsia" w:hAnsiTheme="minorEastAsia" w:eastAsiaTheme="minorEastAsia"/>
          <w:bCs/>
          <w:color w:val="auto"/>
          <w:sz w:val="28"/>
          <w:szCs w:val="28"/>
          <w:u w:val="single" w:color="000000"/>
        </w:rPr>
        <w:t>20</w:t>
      </w:r>
      <w:r>
        <w:rPr>
          <w:rFonts w:hint="eastAsia" w:cs="Times New Roman" w:asciiTheme="minorEastAsia" w:hAnsiTheme="minorEastAsia" w:eastAsiaTheme="minorEastAsia"/>
          <w:bCs/>
          <w:color w:val="auto"/>
          <w:sz w:val="28"/>
          <w:szCs w:val="28"/>
          <w:u w:val="single" w:color="000000"/>
        </w:rPr>
        <w:t>25</w:t>
      </w:r>
      <w:r>
        <w:rPr>
          <w:rFonts w:ascii="黑体" w:hAnsi="黑体" w:eastAsia="黑体" w:cs="黑体"/>
          <w:bCs/>
          <w:color w:val="auto"/>
          <w:sz w:val="28"/>
        </w:rPr>
        <w:t>年</w:t>
      </w:r>
      <w:r>
        <w:rPr>
          <w:rFonts w:hint="eastAsia" w:cs="Times New Roman" w:asciiTheme="minorEastAsia" w:hAnsiTheme="minorEastAsia" w:eastAsiaTheme="minorEastAsia"/>
          <w:bCs/>
          <w:color w:val="auto"/>
          <w:sz w:val="28"/>
          <w:szCs w:val="28"/>
          <w:u w:val="single" w:color="000000"/>
          <w:lang w:val="en-US" w:eastAsia="zh-CN"/>
        </w:rPr>
        <w:t>10</w:t>
      </w:r>
      <w:r>
        <w:rPr>
          <w:rFonts w:hint="eastAsia" w:cs="Times New Roman" w:asciiTheme="minorEastAsia" w:hAnsiTheme="minorEastAsia" w:eastAsiaTheme="minorEastAsia"/>
          <w:bCs/>
          <w:color w:val="auto"/>
          <w:sz w:val="28"/>
          <w:szCs w:val="28"/>
        </w:rPr>
        <w:t>月</w:t>
      </w:r>
    </w:p>
    <w:p>
      <w:pPr>
        <w:spacing w:after="0" w:line="240" w:lineRule="auto"/>
        <w:rPr>
          <w:rFonts w:hint="eastAsia" w:ascii="黑体" w:hAnsi="黑体" w:eastAsia="黑体" w:cs="黑体"/>
          <w:b/>
          <w:color w:val="auto"/>
          <w:sz w:val="28"/>
        </w:rPr>
      </w:pPr>
      <w:r>
        <w:rPr>
          <w:rFonts w:ascii="黑体" w:hAnsi="黑体" w:eastAsia="黑体" w:cs="黑体"/>
          <w:b/>
          <w:color w:val="auto"/>
          <w:sz w:val="28"/>
        </w:rPr>
        <w:br w:type="page"/>
      </w:r>
    </w:p>
    <w:p>
      <w:pPr>
        <w:spacing w:after="0" w:line="265" w:lineRule="auto"/>
        <w:ind w:left="10" w:right="55" w:hanging="10"/>
        <w:jc w:val="center"/>
        <w:rPr>
          <w:bCs/>
          <w:color w:val="auto"/>
        </w:rPr>
      </w:pPr>
    </w:p>
    <w:p>
      <w:pPr>
        <w:spacing w:after="0"/>
        <w:ind w:left="17"/>
        <w:jc w:val="center"/>
        <w:rPr>
          <w:rFonts w:hint="eastAsia" w:ascii="黑体" w:hAnsi="黑体" w:eastAsia="黑体" w:cs="黑体"/>
          <w:bCs/>
          <w:color w:val="auto"/>
          <w:sz w:val="40"/>
          <w:szCs w:val="32"/>
        </w:rPr>
      </w:pPr>
      <w:r>
        <w:rPr>
          <w:rFonts w:ascii="黑体" w:hAnsi="黑体" w:eastAsia="黑体" w:cs="Times New Roman"/>
          <w:bCs/>
          <w:color w:val="auto"/>
          <w:sz w:val="28"/>
          <w:szCs w:val="32"/>
        </w:rPr>
        <w:tab/>
      </w:r>
      <w:r>
        <w:rPr>
          <w:rFonts w:ascii="黑体" w:hAnsi="黑体" w:eastAsia="黑体" w:cs="黑体"/>
          <w:bCs/>
          <w:color w:val="auto"/>
          <w:sz w:val="40"/>
          <w:szCs w:val="32"/>
        </w:rPr>
        <w:t>目</w:t>
      </w:r>
      <w:r>
        <w:rPr>
          <w:rFonts w:hint="eastAsia" w:ascii="黑体" w:hAnsi="黑体" w:eastAsia="黑体" w:cs="黑体"/>
          <w:bCs/>
          <w:color w:val="auto"/>
          <w:sz w:val="40"/>
          <w:szCs w:val="32"/>
        </w:rPr>
        <w:t xml:space="preserve"> </w:t>
      </w:r>
      <w:r>
        <w:rPr>
          <w:rFonts w:ascii="黑体" w:hAnsi="黑体" w:eastAsia="黑体" w:cs="黑体"/>
          <w:bCs/>
          <w:color w:val="auto"/>
          <w:sz w:val="40"/>
          <w:szCs w:val="32"/>
        </w:rPr>
        <w:t>录</w:t>
      </w:r>
    </w:p>
    <w:p>
      <w:pPr>
        <w:spacing w:after="0"/>
        <w:ind w:left="17"/>
        <w:jc w:val="center"/>
        <w:rPr>
          <w:rFonts w:hint="eastAsia" w:ascii="黑体" w:hAnsi="黑体" w:eastAsia="黑体" w:cs="黑体"/>
          <w:bCs/>
          <w:color w:val="auto"/>
          <w:sz w:val="40"/>
          <w:szCs w:val="32"/>
        </w:rPr>
      </w:pPr>
    </w:p>
    <w:p>
      <w:pPr>
        <w:spacing w:after="0"/>
        <w:ind w:left="17"/>
        <w:jc w:val="center"/>
        <w:rPr>
          <w:rFonts w:hint="eastAsia" w:ascii="宋体" w:hAnsi="宋体" w:eastAsia="宋体"/>
          <w:bCs/>
          <w:color w:val="auto"/>
        </w:rPr>
      </w:pPr>
    </w:p>
    <w:sdt>
      <w:sdtPr>
        <w:rPr>
          <w:rFonts w:ascii="宋体" w:hAnsi="宋体" w:eastAsia="宋体"/>
          <w:bCs/>
          <w:color w:val="auto"/>
          <w:sz w:val="22"/>
        </w:rPr>
        <w:id w:val="-1"/>
        <w:docPartObj>
          <w:docPartGallery w:val="Table of Contents"/>
          <w:docPartUnique/>
        </w:docPartObj>
      </w:sdtPr>
      <w:sdtEndPr>
        <w:rPr>
          <w:rFonts w:asciiTheme="minorEastAsia" w:hAnsiTheme="minorEastAsia" w:eastAsiaTheme="minorEastAsia"/>
          <w:b/>
          <w:bCs/>
          <w:color w:val="auto"/>
          <w:sz w:val="22"/>
        </w:rPr>
      </w:sdtEndPr>
      <w:sdtContent>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rPr>
              <w:rFonts w:ascii="宋体" w:hAnsi="宋体" w:eastAsia="宋体"/>
              <w:bCs/>
              <w:color w:val="auto"/>
            </w:rPr>
            <w:fldChar w:fldCharType="begin"/>
          </w:r>
          <w:r>
            <w:rPr>
              <w:rFonts w:ascii="宋体" w:hAnsi="宋体" w:eastAsia="宋体"/>
              <w:bCs/>
              <w:color w:val="auto"/>
            </w:rPr>
            <w:instrText xml:space="preserve"> TOC \o "1-3" \h \z \u </w:instrText>
          </w:r>
          <w:r>
            <w:rPr>
              <w:rFonts w:ascii="宋体" w:hAnsi="宋体" w:eastAsia="宋体"/>
              <w:bCs/>
              <w:color w:val="auto"/>
            </w:rPr>
            <w:fldChar w:fldCharType="separate"/>
          </w:r>
          <w:r>
            <w:fldChar w:fldCharType="begin"/>
          </w:r>
          <w:r>
            <w:instrText xml:space="preserve"> HYPERLINK \l "_Toc195390807" </w:instrText>
          </w:r>
          <w:r>
            <w:fldChar w:fldCharType="separate"/>
          </w:r>
          <w:r>
            <w:fldChar w:fldCharType="end"/>
          </w:r>
          <w:r>
            <w:fldChar w:fldCharType="begin"/>
          </w:r>
          <w:r>
            <w:instrText xml:space="preserve"> HYPERLINK \l "_Toc195390808" </w:instrText>
          </w:r>
          <w:r>
            <w:fldChar w:fldCharType="separate"/>
          </w:r>
          <w:r>
            <w:rPr>
              <w:rStyle w:val="35"/>
              <w:rFonts w:hint="eastAsia" w:ascii="宋体" w:hAnsi="宋体" w:eastAsia="宋体" w:cs="宋体"/>
              <w:bCs/>
              <w:sz w:val="30"/>
              <w:szCs w:val="30"/>
            </w:rPr>
            <w:t>第一章 招标公告</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_Toc195390808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7</w:t>
          </w:r>
          <w:r>
            <w:rPr>
              <w:rFonts w:hint="eastAsia" w:ascii="宋体" w:hAnsi="宋体" w:eastAsia="宋体"/>
              <w:sz w:val="30"/>
              <w:szCs w:val="30"/>
            </w:rPr>
            <w:fldChar w:fldCharType="end"/>
          </w:r>
          <w:r>
            <w:rPr>
              <w:rFonts w:hint="eastAsia" w:ascii="宋体" w:hAnsi="宋体" w:eastAsia="宋体"/>
              <w:sz w:val="30"/>
              <w:szCs w:val="30"/>
            </w:rPr>
            <w:fldChar w:fldCharType="end"/>
          </w:r>
        </w:p>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"_Toc195390809" </w:instrText>
          </w:r>
          <w:r>
            <w:fldChar w:fldCharType="separate"/>
          </w:r>
          <w:r>
            <w:rPr>
              <w:rStyle w:val="35"/>
              <w:rFonts w:hint="eastAsia" w:ascii="宋体" w:hAnsi="宋体" w:eastAsia="宋体" w:cs="宋体"/>
              <w:bCs/>
              <w:sz w:val="30"/>
              <w:szCs w:val="30"/>
            </w:rPr>
            <w:t>第二章 投标人须知</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_Toc195390809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11</w:t>
          </w:r>
          <w:r>
            <w:rPr>
              <w:rFonts w:hint="eastAsia" w:ascii="宋体" w:hAnsi="宋体" w:eastAsia="宋体"/>
              <w:sz w:val="30"/>
              <w:szCs w:val="30"/>
            </w:rPr>
            <w:fldChar w:fldCharType="end"/>
          </w:r>
          <w:r>
            <w:rPr>
              <w:rFonts w:hint="eastAsia" w:ascii="宋体" w:hAnsi="宋体" w:eastAsia="宋体"/>
              <w:sz w:val="30"/>
              <w:szCs w:val="30"/>
            </w:rPr>
            <w:fldChar w:fldCharType="end"/>
          </w:r>
        </w:p>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"_Toc195390864" </w:instrText>
          </w:r>
          <w:r>
            <w:fldChar w:fldCharType="separate"/>
          </w:r>
          <w:r>
            <w:rPr>
              <w:rStyle w:val="35"/>
              <w:rFonts w:hint="eastAsia" w:ascii="宋体" w:hAnsi="宋体" w:eastAsia="宋体" w:cs="宋体"/>
              <w:bCs/>
              <w:sz w:val="30"/>
              <w:szCs w:val="30"/>
            </w:rPr>
            <w:t>第三章 评标办法（综合评估法）</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_Toc195390864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31</w:t>
          </w:r>
          <w:r>
            <w:rPr>
              <w:rFonts w:hint="eastAsia" w:ascii="宋体" w:hAnsi="宋体" w:eastAsia="宋体"/>
              <w:sz w:val="30"/>
              <w:szCs w:val="30"/>
            </w:rPr>
            <w:fldChar w:fldCharType="end"/>
          </w:r>
          <w:r>
            <w:rPr>
              <w:rFonts w:hint="eastAsia" w:ascii="宋体" w:hAnsi="宋体" w:eastAsia="宋体"/>
              <w:sz w:val="30"/>
              <w:szCs w:val="30"/>
            </w:rPr>
            <w:fldChar w:fldCharType="end"/>
          </w:r>
        </w:p>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"_Toc195390875" </w:instrText>
          </w:r>
          <w:r>
            <w:fldChar w:fldCharType="separate"/>
          </w:r>
          <w:r>
            <w:rPr>
              <w:rStyle w:val="35"/>
              <w:rFonts w:hint="eastAsia" w:ascii="宋体" w:hAnsi="宋体" w:eastAsia="宋体" w:cs="宋体"/>
              <w:bCs/>
              <w:sz w:val="30"/>
              <w:szCs w:val="30"/>
            </w:rPr>
            <w:t>第四章 合同条款及格式</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_Toc195390875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37</w:t>
          </w:r>
          <w:r>
            <w:rPr>
              <w:rFonts w:hint="eastAsia" w:ascii="宋体" w:hAnsi="宋体" w:eastAsia="宋体"/>
              <w:sz w:val="30"/>
              <w:szCs w:val="30"/>
            </w:rPr>
            <w:fldChar w:fldCharType="end"/>
          </w:r>
          <w:r>
            <w:rPr>
              <w:rFonts w:hint="eastAsia" w:ascii="宋体" w:hAnsi="宋体" w:eastAsia="宋体"/>
              <w:sz w:val="30"/>
              <w:szCs w:val="30"/>
            </w:rPr>
            <w:fldChar w:fldCharType="end"/>
          </w:r>
        </w:p>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"_Toc195390919" </w:instrText>
          </w:r>
          <w:r>
            <w:fldChar w:fldCharType="separate"/>
          </w:r>
          <w:r>
            <w:rPr>
              <w:rStyle w:val="35"/>
              <w:rFonts w:hint="eastAsia" w:ascii="宋体" w:hAnsi="宋体" w:eastAsia="宋体" w:cs="宋体"/>
              <w:bCs/>
              <w:sz w:val="30"/>
              <w:szCs w:val="30"/>
            </w:rPr>
            <w:t>第五章 供货要求</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_Toc195390919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60</w:t>
          </w:r>
          <w:r>
            <w:rPr>
              <w:rFonts w:hint="eastAsia" w:ascii="宋体" w:hAnsi="宋体" w:eastAsia="宋体"/>
              <w:sz w:val="30"/>
              <w:szCs w:val="30"/>
            </w:rPr>
            <w:fldChar w:fldCharType="end"/>
          </w:r>
          <w:r>
            <w:rPr>
              <w:rFonts w:hint="eastAsia" w:ascii="宋体" w:hAnsi="宋体" w:eastAsia="宋体"/>
              <w:sz w:val="30"/>
              <w:szCs w:val="30"/>
            </w:rPr>
            <w:fldChar w:fldCharType="end"/>
          </w:r>
        </w:p>
        <w:p>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"_Toc195390920" </w:instrText>
          </w:r>
          <w:r>
            <w:fldChar w:fldCharType="separate"/>
          </w:r>
          <w:r>
            <w:rPr>
              <w:rStyle w:val="35"/>
              <w:rFonts w:hint="eastAsia" w:ascii="宋体" w:hAnsi="宋体" w:eastAsia="宋体" w:cs="宋体"/>
              <w:bCs/>
              <w:sz w:val="30"/>
              <w:szCs w:val="30"/>
            </w:rPr>
            <w:t>第六章 投标文件格式</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_Toc195390920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69</w:t>
          </w:r>
          <w:r>
            <w:rPr>
              <w:rFonts w:hint="eastAsia" w:ascii="宋体" w:hAnsi="宋体" w:eastAsia="宋体"/>
              <w:sz w:val="30"/>
              <w:szCs w:val="30"/>
            </w:rPr>
            <w:fldChar w:fldCharType="end"/>
          </w:r>
          <w:r>
            <w:rPr>
              <w:rFonts w:hint="eastAsia" w:ascii="宋体" w:hAnsi="宋体" w:eastAsia="宋体"/>
              <w:sz w:val="30"/>
              <w:szCs w:val="30"/>
            </w:rPr>
            <w:fldChar w:fldCharType="end"/>
          </w:r>
        </w:p>
        <w:p>
          <w:pPr>
            <w:rPr>
              <w:rFonts w:hint="eastAsia" w:asciiTheme="minorEastAsia" w:hAnsiTheme="minorEastAsia" w:eastAsiaTheme="minorEastAsia"/>
              <w:b/>
              <w:color w:val="auto"/>
            </w:rPr>
          </w:pPr>
          <w:r>
            <w:rPr>
              <w:rFonts w:ascii="宋体" w:hAnsi="宋体" w:eastAsia="宋体"/>
              <w:bCs/>
              <w:color w:val="auto"/>
            </w:rPr>
            <w:fldChar w:fldCharType="end"/>
          </w:r>
        </w:p>
      </w:sdtContent>
    </w:sdt>
    <w:p>
      <w:pPr>
        <w:rPr>
          <w:rFonts w:hint="eastAsia" w:asciiTheme="minorEastAsia" w:hAnsiTheme="minorEastAsia" w:eastAsiaTheme="minorEastAsia"/>
          <w:b/>
          <w:color w:val="auto"/>
        </w:rPr>
        <w:sectPr>
          <w:footerReference r:id="rId5" w:type="default"/>
          <w:pgSz w:w="12240" w:h="15840"/>
          <w:pgMar w:top="1475" w:right="1745" w:bottom="1491" w:left="1800" w:header="720" w:footer="720" w:gutter="0"/>
          <w:pgNumType w:start="1"/>
          <w:cols w:space="720" w:num="1"/>
        </w:sectPr>
      </w:pPr>
    </w:p>
    <w:p>
      <w:pPr>
        <w:pStyle w:val="2"/>
        <w:spacing w:after="224"/>
        <w:ind w:left="3653" w:right="0"/>
        <w:jc w:val="left"/>
        <w:rPr>
          <w:rFonts w:hint="eastAsia"/>
          <w:b/>
          <w:color w:val="auto"/>
        </w:rPr>
      </w:pPr>
      <w:bookmarkStart w:id="0" w:name="_Toc195390807"/>
      <w:r>
        <w:rPr>
          <w:rFonts w:ascii="宋体" w:hAnsi="宋体" w:eastAsia="宋体" w:cs="宋体"/>
          <w:b/>
          <w:color w:val="auto"/>
          <w:sz w:val="44"/>
        </w:rPr>
        <w:t>第一卷</w:t>
      </w:r>
      <w:bookmarkEnd w:id="0"/>
      <w:r>
        <w:rPr>
          <w:b/>
          <w:color w:val="auto"/>
        </w:rPr>
        <w:br w:type="page"/>
      </w:r>
    </w:p>
    <w:p>
      <w:pPr>
        <w:pStyle w:val="2"/>
        <w:spacing w:after="224"/>
        <w:ind w:left="2782" w:right="0" w:firstLine="0"/>
        <w:jc w:val="left"/>
        <w:rPr>
          <w:rFonts w:hint="eastAsia" w:ascii="宋体" w:hAnsi="宋体" w:eastAsia="宋体" w:cs="宋体"/>
          <w:bCs/>
          <w:color w:val="auto"/>
          <w:sz w:val="44"/>
        </w:rPr>
      </w:pPr>
      <w:bookmarkStart w:id="1" w:name="_Toc195390808"/>
      <w:bookmarkStart w:id="2" w:name="_Toc57365203"/>
      <w:r>
        <w:rPr>
          <w:rFonts w:hint="eastAsia" w:ascii="宋体" w:hAnsi="宋体" w:eastAsia="宋体" w:cs="宋体"/>
          <w:bCs/>
          <w:color w:val="auto"/>
          <w:sz w:val="44"/>
        </w:rPr>
        <w:t xml:space="preserve">第一章 </w:t>
      </w:r>
      <w:r>
        <w:rPr>
          <w:rFonts w:ascii="宋体" w:hAnsi="宋体" w:eastAsia="宋体" w:cs="宋体"/>
          <w:bCs/>
          <w:color w:val="auto"/>
          <w:sz w:val="44"/>
        </w:rPr>
        <w:t>招标公告</w:t>
      </w:r>
      <w:bookmarkEnd w:id="1"/>
      <w:bookmarkEnd w:id="2"/>
    </w:p>
    <w:p>
      <w:pPr>
        <w:shd w:val="clear" w:color="auto" w:fill="FFFFFF"/>
        <w:spacing w:after="150"/>
        <w:textAlignment w:val="top"/>
        <w:rPr>
          <w:rFonts w:hint="eastAsia" w:ascii="仿宋" w:hAnsi="仿宋" w:eastAsia="仿宋" w:cs="Arial"/>
          <w:b/>
          <w:color w:val="auto"/>
          <w:kern w:val="0"/>
          <w:szCs w:val="21"/>
        </w:rPr>
      </w:pPr>
      <w:bookmarkStart w:id="3" w:name="OLE_LINK3"/>
      <w:r>
        <w:rPr>
          <w:rFonts w:ascii="仿宋" w:hAnsi="仿宋" w:eastAsia="仿宋" w:cs="Arial"/>
          <w:b/>
          <w:color w:val="auto"/>
          <w:kern w:val="0"/>
          <w:sz w:val="29"/>
          <w:szCs w:val="29"/>
        </w:rPr>
        <w:t>1.</w:t>
      </w:r>
      <w:bookmarkStart w:id="4" w:name="OLE_LINK6"/>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招标条件</w:t>
      </w:r>
    </w:p>
    <w:p>
      <w:pPr>
        <w:spacing w:after="0" w:line="360" w:lineRule="auto"/>
        <w:ind w:left="110" w:leftChars="50" w:firstLine="360" w:firstLineChars="15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w:t>
      </w:r>
      <w:r>
        <w:rPr>
          <w:rFonts w:hint="eastAsia" w:cs="黑体" w:asciiTheme="minorEastAsia" w:hAnsiTheme="minorEastAsia" w:eastAsiaTheme="minorEastAsia"/>
          <w:bCs/>
          <w:color w:val="auto"/>
          <w:sz w:val="24"/>
          <w:szCs w:val="24"/>
          <w:u w:val="single"/>
        </w:rPr>
        <w:t xml:space="preserve"> 智能仓储建设项目 </w:t>
      </w:r>
      <w:r>
        <w:rPr>
          <w:rFonts w:hint="eastAsia" w:cs="黑体" w:asciiTheme="minorEastAsia" w:hAnsiTheme="minorEastAsia" w:eastAsiaTheme="minorEastAsia"/>
          <w:bCs/>
          <w:color w:val="auto"/>
          <w:sz w:val="24"/>
          <w:szCs w:val="24"/>
        </w:rPr>
        <w:t>招标人为</w:t>
      </w:r>
      <w:r>
        <w:rPr>
          <w:rFonts w:hint="eastAsia" w:cs="黑体" w:asciiTheme="minorEastAsia" w:hAnsiTheme="minorEastAsia" w:eastAsiaTheme="minorEastAsia"/>
          <w:bCs/>
          <w:color w:val="auto"/>
          <w:sz w:val="24"/>
          <w:szCs w:val="24"/>
          <w:u w:val="single"/>
        </w:rPr>
        <w:t xml:space="preserve"> 四川九洲空管科技有限责任公司 </w:t>
      </w:r>
      <w:r>
        <w:rPr>
          <w:rFonts w:hint="eastAsia" w:cs="黑体" w:asciiTheme="minorEastAsia" w:hAnsiTheme="minorEastAsia" w:eastAsiaTheme="minorEastAsia"/>
          <w:bCs/>
          <w:color w:val="auto"/>
          <w:sz w:val="24"/>
          <w:szCs w:val="24"/>
        </w:rPr>
        <w:t>，招标项目资金已落实</w:t>
      </w:r>
      <w:r>
        <w:rPr>
          <w:rFonts w:cs="黑体" w:asciiTheme="minorEastAsia" w:hAnsiTheme="minorEastAsia" w:eastAsiaTheme="minorEastAsia"/>
          <w:bCs/>
          <w:color w:val="auto"/>
          <w:sz w:val="24"/>
          <w:szCs w:val="24"/>
        </w:rPr>
        <w:t>。该项目已具备招标</w:t>
      </w:r>
      <w:r>
        <w:rPr>
          <w:rFonts w:hint="eastAsia" w:cs="黑体" w:asciiTheme="minorEastAsia" w:hAnsiTheme="minorEastAsia" w:eastAsiaTheme="minorEastAsia"/>
          <w:bCs/>
          <w:color w:val="auto"/>
          <w:sz w:val="24"/>
          <w:szCs w:val="24"/>
        </w:rPr>
        <w:t>条件，现对</w:t>
      </w:r>
      <w:r>
        <w:rPr>
          <w:rFonts w:hint="eastAsia" w:cs="黑体" w:asciiTheme="minorEastAsia" w:hAnsiTheme="minorEastAsia" w:eastAsiaTheme="minorEastAsia"/>
          <w:bCs/>
          <w:color w:val="auto"/>
          <w:sz w:val="24"/>
          <w:szCs w:val="24"/>
          <w:u w:val="single"/>
        </w:rPr>
        <w:t xml:space="preserve">  智能仓储建设项目 </w:t>
      </w:r>
      <w:r>
        <w:rPr>
          <w:rFonts w:hint="eastAsia" w:cs="黑体" w:asciiTheme="minorEastAsia" w:hAnsiTheme="minorEastAsia" w:eastAsiaTheme="minorEastAsia"/>
          <w:bCs/>
          <w:color w:val="auto"/>
          <w:sz w:val="24"/>
          <w:szCs w:val="24"/>
        </w:rPr>
        <w:t>项目进行国内公开招标。</w:t>
      </w:r>
    </w:p>
    <w:p>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2.</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项目概况与招标范围</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招标编号：</w:t>
      </w:r>
      <w:r>
        <w:rPr>
          <w:rFonts w:cs="黑体" w:asciiTheme="minorEastAsia" w:hAnsiTheme="minorEastAsia" w:eastAsiaTheme="minorEastAsia"/>
          <w:bCs/>
          <w:color w:val="auto"/>
          <w:sz w:val="24"/>
          <w:szCs w:val="24"/>
        </w:rPr>
        <w:t>5492-2562H12SC011/01</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项目名称：</w:t>
      </w:r>
      <w:r>
        <w:rPr>
          <w:rFonts w:hint="eastAsia" w:cs="黑体" w:asciiTheme="minorEastAsia" w:hAnsiTheme="minorEastAsia" w:eastAsiaTheme="minorEastAsia"/>
          <w:bCs/>
          <w:color w:val="auto"/>
          <w:sz w:val="24"/>
          <w:szCs w:val="24"/>
          <w:u w:val="single"/>
        </w:rPr>
        <w:t>智能仓储建设项目</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项目概况与招标范围：</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智能仓储建设项目  1套</w:t>
      </w:r>
    </w:p>
    <w:p>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3.</w:t>
      </w:r>
      <w:r>
        <w:rPr>
          <w:rFonts w:hint="eastAsia" w:ascii="宋体" w:hAnsi="宋体" w:eastAsia="宋体" w:cs="宋体"/>
          <w:b/>
          <w:color w:val="auto"/>
          <w:kern w:val="0"/>
          <w:sz w:val="29"/>
          <w:szCs w:val="29"/>
        </w:rPr>
        <w:t> </w:t>
      </w:r>
      <w:bookmarkStart w:id="5" w:name="_Hlk209945247"/>
      <w:r>
        <w:rPr>
          <w:rFonts w:hint="eastAsia" w:ascii="仿宋" w:hAnsi="仿宋" w:eastAsia="仿宋" w:cs="Arial"/>
          <w:b/>
          <w:color w:val="auto"/>
          <w:kern w:val="0"/>
          <w:sz w:val="29"/>
          <w:szCs w:val="29"/>
        </w:rPr>
        <w:t>投标人</w:t>
      </w:r>
      <w:r>
        <w:rPr>
          <w:rFonts w:ascii="仿宋" w:hAnsi="仿宋" w:eastAsia="仿宋" w:cs="Arial"/>
          <w:b/>
          <w:color w:val="auto"/>
          <w:kern w:val="0"/>
          <w:sz w:val="29"/>
          <w:szCs w:val="29"/>
        </w:rPr>
        <w:t>资格要求</w:t>
      </w:r>
      <w:bookmarkEnd w:id="5"/>
    </w:p>
    <w:p>
      <w:pPr>
        <w:shd w:val="clear" w:color="auto" w:fill="FFFFFF"/>
        <w:spacing w:after="0" w:line="400" w:lineRule="exact"/>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auto"/>
          <w:sz w:val="24"/>
          <w:szCs w:val="24"/>
        </w:rPr>
        <w:t>3.1</w:t>
      </w:r>
      <w:r>
        <w:rPr>
          <w:rFonts w:hint="eastAsia" w:cs="黑体" w:asciiTheme="minorEastAsia" w:hAnsiTheme="minorEastAsia" w:eastAsiaTheme="minorEastAsia"/>
          <w:bCs/>
          <w:color w:val="auto"/>
          <w:sz w:val="24"/>
          <w:szCs w:val="24"/>
        </w:rPr>
        <w:t> </w:t>
      </w:r>
      <w:bookmarkStart w:id="6" w:name="_Hlk194439641"/>
      <w:r>
        <w:rPr>
          <w:rFonts w:hint="eastAsia" w:cs="黑体" w:asciiTheme="minorEastAsia" w:hAnsiTheme="minorEastAsia" w:eastAsiaTheme="minorEastAsia"/>
          <w:bCs/>
          <w:color w:val="000000" w:themeColor="text1"/>
          <w:sz w:val="24"/>
          <w:szCs w:val="24"/>
          <w14:textFill>
            <w14:solidFill>
              <w14:schemeClr w14:val="tx1"/>
            </w14:solidFill>
          </w14:textFill>
        </w:rPr>
        <w:t>投标人资格要求：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（1）投标人应为独立的法人机构，投标人为企业的，应提供营业执照复印件复印件，投标人为事业单位的，提供事业单位法人证书复印件。</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w:t>
      </w:r>
      <w:r>
        <w:rPr>
          <w:rFonts w:cs="黑体" w:asciiTheme="minorEastAsia" w:hAnsiTheme="minorEastAsia" w:eastAsiaTheme="minorEastAsia"/>
          <w:bCs/>
          <w:color w:val="000000" w:themeColor="text1"/>
          <w:sz w:val="24"/>
          <w:szCs w:val="24"/>
          <w14:textFill>
            <w14:solidFill>
              <w14:schemeClr w14:val="tx1"/>
            </w14:solidFill>
          </w14:textFill>
        </w:rPr>
        <w:t>本项目只允许制造商/集成商投标，不接受代理商投标，提供制造商/集成商说明函（格式自拟）。</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（3）具有履行合同所必需的设备和专业技术能力</w:t>
      </w:r>
      <w:r>
        <w:rPr>
          <w:rFonts w:cs="黑体" w:asciiTheme="minorEastAsia" w:hAnsiTheme="minorEastAsia" w:eastAsiaTheme="minorEastAsia"/>
          <w:bCs/>
          <w:color w:val="000000" w:themeColor="text1"/>
          <w:sz w:val="24"/>
          <w:szCs w:val="24"/>
          <w14:textFill>
            <w14:solidFill>
              <w14:schemeClr w14:val="tx1"/>
            </w14:solidFill>
          </w14:textFill>
        </w:rPr>
        <w:t>（格式自拟）</w:t>
      </w:r>
      <w:r>
        <w:rPr>
          <w:rFonts w:hint="eastAsia" w:cs="黑体" w:asciiTheme="minorEastAsia" w:hAnsiTheme="minorEastAsia" w:eastAsiaTheme="minorEastAsia"/>
          <w:bCs/>
          <w:color w:val="000000" w:themeColor="text1"/>
          <w:sz w:val="24"/>
          <w:szCs w:val="24"/>
          <w14:textFill>
            <w14:solidFill>
              <w14:schemeClr w14:val="tx1"/>
            </w14:solidFill>
          </w14:textFill>
        </w:rPr>
        <w:t>。</w:t>
      </w:r>
    </w:p>
    <w:p>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2投标人财务要求：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须提供近三年2022年度-2024年度经会计师事务所或审计机构审计的财务报表、提供复印件并盖鲜章（包括财务报告正文、资产负债表、现金流量表、利润表和会计附注）。（如2024年度经会计师事务所或审计机构审计的财务报表未审计完成，可提供2021年度-2023年度）</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投标人如为事业单位，需提供事业单位证书，及2022年度-2024年度的财务报表。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投标人成立时间不足3年的，提供成立以来的财务状况表（包括资产负债表、现金流量表、利润表）。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（2）具有依法缴纳税收和社会保障资金的良好记录。</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投标人提供近一年内不少于3个月的缴纳税收的银行电子回单（票据）或税务部门出具的纳税证明或者纳税申报资料（复印件加盖投标人公章）；</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投标人提供近一年内连续不少于</w:t>
      </w: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个月的缴纳社保的银行电子回单（票据）或社保部门出具的社保缴纳证明材料（复印件加盖投标人公章）。</w:t>
      </w:r>
    </w:p>
    <w:p>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3业绩要求：</w:t>
      </w:r>
    </w:p>
    <w:p>
      <w:pPr>
        <w:shd w:val="clear" w:color="auto" w:fill="FFFFFF"/>
        <w:spacing w:after="150"/>
        <w:ind w:firstLine="480" w:firstLineChars="200"/>
        <w:jc w:val="both"/>
        <w:textAlignment w:val="top"/>
        <w:rPr>
          <w:rFonts w:hint="eastAsia" w:ascii="宋体" w:hAnsi="宋体" w:eastAsia="宋体" w:cs="Times New Roman"/>
          <w:sz w:val="24"/>
          <w:szCs w:val="24"/>
        </w:rPr>
      </w:pPr>
      <w:r>
        <w:rPr>
          <w:rFonts w:hint="eastAsia" w:ascii="宋体" w:hAnsi="宋体" w:eastAsia="宋体" w:cs="Times New Roman"/>
          <w:sz w:val="24"/>
          <w:szCs w:val="24"/>
        </w:rPr>
        <w:t>投标人须具有</w:t>
      </w:r>
      <w:r>
        <w:rPr>
          <w:rFonts w:ascii="宋体" w:hAnsi="宋体" w:eastAsia="宋体" w:cs="Times New Roman"/>
          <w:sz w:val="24"/>
          <w:szCs w:val="24"/>
        </w:rPr>
        <w:t>2022</w:t>
      </w:r>
      <w:r>
        <w:rPr>
          <w:rFonts w:hint="eastAsia" w:ascii="宋体" w:hAnsi="宋体" w:eastAsia="宋体" w:cs="Times New Roman"/>
          <w:sz w:val="24"/>
          <w:szCs w:val="24"/>
        </w:rPr>
        <w:t>年</w:t>
      </w:r>
      <w:r>
        <w:rPr>
          <w:rFonts w:ascii="宋体" w:hAnsi="宋体" w:eastAsia="宋体" w:cs="Times New Roman"/>
          <w:sz w:val="24"/>
          <w:szCs w:val="24"/>
        </w:rPr>
        <w:t>1</w:t>
      </w:r>
      <w:r>
        <w:rPr>
          <w:rFonts w:hint="eastAsia" w:ascii="宋体" w:hAnsi="宋体" w:eastAsia="宋体" w:cs="Times New Roman"/>
          <w:sz w:val="24"/>
          <w:szCs w:val="24"/>
        </w:rPr>
        <w:t>月</w:t>
      </w:r>
      <w:r>
        <w:rPr>
          <w:rFonts w:ascii="宋体" w:hAnsi="宋体" w:eastAsia="宋体" w:cs="Times New Roman"/>
          <w:sz w:val="24"/>
          <w:szCs w:val="24"/>
        </w:rPr>
        <w:t>1</w:t>
      </w:r>
      <w:r>
        <w:rPr>
          <w:rFonts w:hint="eastAsia" w:ascii="宋体" w:hAnsi="宋体" w:eastAsia="宋体" w:cs="Times New Roman"/>
          <w:sz w:val="24"/>
          <w:szCs w:val="24"/>
        </w:rPr>
        <w:t>日至招标公告发布之日</w:t>
      </w:r>
      <w:r>
        <w:rPr>
          <w:rFonts w:hint="eastAsia" w:cs="仿宋_GB2312"/>
          <w:sz w:val="24"/>
          <w:szCs w:val="24"/>
          <w:lang w:bidi="ar"/>
        </w:rPr>
        <w:t>具有类似项目（智能仓储系统（WMS）、自动化立体仓库等）业绩</w:t>
      </w:r>
      <w:r>
        <w:rPr>
          <w:rFonts w:hint="eastAsia" w:ascii="宋体" w:hAnsi="宋体" w:eastAsia="宋体" w:cs="Times New Roman"/>
          <w:sz w:val="24"/>
          <w:szCs w:val="24"/>
        </w:rPr>
        <w:t>至少</w:t>
      </w:r>
      <w:r>
        <w:rPr>
          <w:rFonts w:hint="eastAsia" w:ascii="宋体" w:hAnsi="宋体" w:eastAsia="宋体" w:cs="Times New Roman"/>
          <w:b/>
          <w:bCs/>
          <w:sz w:val="24"/>
          <w:szCs w:val="24"/>
        </w:rPr>
        <w:t>各</w:t>
      </w:r>
      <w:r>
        <w:rPr>
          <w:rFonts w:ascii="宋体" w:hAnsi="宋体" w:eastAsia="宋体" w:cs="Times New Roman"/>
          <w:b/>
          <w:bCs/>
          <w:sz w:val="24"/>
          <w:szCs w:val="24"/>
        </w:rPr>
        <w:t>1</w:t>
      </w:r>
      <w:r>
        <w:rPr>
          <w:rFonts w:hint="eastAsia" w:ascii="宋体" w:hAnsi="宋体" w:eastAsia="宋体" w:cs="Times New Roman"/>
          <w:b/>
          <w:bCs/>
          <w:sz w:val="24"/>
          <w:szCs w:val="24"/>
        </w:rPr>
        <w:t>项</w:t>
      </w:r>
      <w:r>
        <w:rPr>
          <w:rFonts w:hint="eastAsia" w:ascii="宋体" w:hAnsi="宋体" w:eastAsia="宋体" w:cs="Times New Roman"/>
          <w:sz w:val="24"/>
          <w:szCs w:val="24"/>
        </w:rPr>
        <w:t>，提供合同协议书作为证明材料，以合同签订时间为准，合同须体现签订时间、合同内容和双方盖章页，否则将按无效证明材料处理。</w:t>
      </w:r>
    </w:p>
    <w:p>
      <w:pPr>
        <w:shd w:val="clear" w:color="auto" w:fill="FFFFFF"/>
        <w:spacing w:after="150"/>
        <w:ind w:firstLine="480" w:firstLineChars="200"/>
        <w:jc w:val="both"/>
        <w:textAlignment w:val="top"/>
        <w:rPr>
          <w:rFonts w:hint="eastAsia" w:ascii="宋体" w:hAnsi="宋体" w:eastAsia="宋体" w:cs="Times New Roman"/>
          <w:sz w:val="24"/>
          <w:szCs w:val="24"/>
        </w:rPr>
      </w:pPr>
      <w:r>
        <w:rPr>
          <w:rFonts w:hint="eastAsia" w:ascii="宋体" w:hAnsi="宋体" w:eastAsia="宋体" w:cs="Times New Roman"/>
          <w:sz w:val="24"/>
          <w:szCs w:val="24"/>
        </w:rPr>
        <w:t>以联合体形式参与本项目投标的：须按</w:t>
      </w:r>
      <w:r>
        <w:rPr>
          <w:rFonts w:hint="eastAsia" w:cs="黑体" w:asciiTheme="minorEastAsia" w:hAnsiTheme="minorEastAsia" w:eastAsiaTheme="minorEastAsia"/>
          <w:bCs/>
          <w:color w:val="000000" w:themeColor="text1"/>
          <w:sz w:val="24"/>
          <w:szCs w:val="24"/>
          <w14:textFill>
            <w14:solidFill>
              <w14:schemeClr w14:val="tx1"/>
            </w14:solidFill>
          </w14:textFill>
        </w:rPr>
        <w:t>联合体协议书分工内容提供相对应的业绩证明材料。</w:t>
      </w:r>
    </w:p>
    <w:p>
      <w:pPr>
        <w:shd w:val="clear" w:color="auto" w:fill="FFFFFF"/>
        <w:spacing w:after="150"/>
        <w:ind w:firstLine="480" w:firstLineChars="200"/>
        <w:jc w:val="both"/>
        <w:textAlignment w:val="top"/>
        <w:rPr>
          <w:rFonts w:hint="eastAsia" w:ascii="宋体" w:hAnsi="宋体" w:eastAsia="宋体" w:cs="黑体"/>
          <w:bCs/>
          <w:color w:val="000000" w:themeColor="text1"/>
          <w:sz w:val="24"/>
          <w:szCs w:val="24"/>
          <w:shd w:val="clear" w:color="auto" w:fill="FFFFFF"/>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hint="eastAsia" w:ascii="宋体" w:hAnsi="宋体" w:eastAsia="宋体" w:cs="黑体"/>
          <w:bCs/>
          <w:color w:val="000000" w:themeColor="text1"/>
          <w:sz w:val="24"/>
          <w:szCs w:val="24"/>
          <w:shd w:val="clear" w:color="auto" w:fill="FFFFFF"/>
          <w:lang w:bidi="ar"/>
          <w14:textFill>
            <w14:solidFill>
              <w14:schemeClr w14:val="tx1"/>
            </w14:solidFill>
          </w14:textFill>
        </w:rPr>
        <w:t>信誉要求：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1）投标人未列入“信用中国”（通过信用中国</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信息公示</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失信被执行人查询跳转至中国执行信息公开网，网址</w:t>
      </w:r>
      <w:r>
        <w:rPr>
          <w:rFonts w:cs="黑体" w:asciiTheme="minorEastAsia" w:hAnsiTheme="minorEastAsia" w:eastAsiaTheme="minorEastAsia"/>
          <w:bCs/>
          <w:color w:val="000000" w:themeColor="text1"/>
          <w:sz w:val="24"/>
          <w:szCs w:val="24"/>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14:textFill>
            <w14:solidFill>
              <w14:schemeClr w14:val="tx1"/>
            </w14:solidFill>
          </w14:textFill>
        </w:rPr>
        <w:t>）的“失信被执行人”，提供查询截图。公开信息未提供则以评标现场查询结果为准。</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w:t>
      </w:r>
      <w:r>
        <w:rPr>
          <w:rFonts w:cs="黑体" w:asciiTheme="minorEastAsia" w:hAnsiTheme="minorEastAsia" w:eastAsiaTheme="minorEastAsia"/>
          <w:bCs/>
          <w:color w:val="000000" w:themeColor="text1"/>
          <w:sz w:val="24"/>
          <w:szCs w:val="24"/>
          <w14:textFill>
            <w14:solidFill>
              <w14:schemeClr w14:val="tx1"/>
            </w14:solidFill>
          </w14:textFill>
        </w:rPr>
        <w:t>)</w:t>
      </w:r>
      <w:r>
        <w:rPr>
          <w:rFonts w:cs="黑体" w:asciiTheme="minorEastAsia" w:hAnsiTheme="minorEastAsia" w:eastAsiaTheme="minorEastAsia"/>
          <w:bCs/>
          <w:color w:val="000000" w:themeColor="text1"/>
          <w:sz w:val="24"/>
          <w:szCs w:val="24"/>
          <w14:textFill>
            <w14:solidFill>
              <w14:schemeClr w14:val="tx1"/>
            </w14:solidFill>
          </w14:textFill>
        </w:rPr>
        <w:tab/>
      </w:r>
      <w:r>
        <w:rPr>
          <w:rFonts w:hint="eastAsia" w:cs="黑体" w:asciiTheme="minorEastAsia" w:hAnsiTheme="minorEastAsia" w:eastAsiaTheme="minorEastAsia"/>
          <w:bCs/>
          <w:color w:val="000000" w:themeColor="text1"/>
          <w:sz w:val="24"/>
          <w:szCs w:val="24"/>
          <w14:textFill>
            <w14:solidFill>
              <w14:schemeClr w14:val="tx1"/>
            </w14:solidFill>
          </w14:textFill>
        </w:rPr>
        <w:t>参加招标活动前三年内，在经营活动中没有重大违法记录（格式自拟）。</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5本次招标接受联合体投标，联合体参与投标的成员各方均应符合投标人资格要求，联合体成员（含联合体牵头人）家数不得超过2家。联合体各方须签订联合体协议书，明确联合体牵头人和各方的工作和义务，联合体各方不得再以自己名义单独或参加其他联合体在同一项目的招标活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6其他要求：投标人不得存在相关法律法规规定的不得存在的情形</w:t>
      </w:r>
      <w:r>
        <w:rPr>
          <w:rFonts w:cs="黑体" w:asciiTheme="minorEastAsia" w:hAnsiTheme="minorEastAsia" w:eastAsiaTheme="minorEastAsia"/>
          <w:bCs/>
          <w:color w:val="000000" w:themeColor="text1"/>
          <w:sz w:val="24"/>
          <w:szCs w:val="24"/>
          <w14:textFill>
            <w14:solidFill>
              <w14:schemeClr w14:val="tx1"/>
            </w14:solidFill>
          </w14:textFill>
        </w:rPr>
        <w:t>。</w:t>
      </w:r>
      <w:bookmarkEnd w:id="6"/>
    </w:p>
    <w:p>
      <w:pPr>
        <w:shd w:val="clear" w:color="auto" w:fill="FFFFFF"/>
        <w:spacing w:after="150"/>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4.</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招标文件的获取</w:t>
      </w:r>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4.1</w:t>
      </w:r>
      <w:r>
        <w:rPr>
          <w:rFonts w:hint="eastAsia" w:cs="黑体" w:asciiTheme="minorEastAsia" w:hAnsiTheme="minorEastAsia" w:eastAsiaTheme="minorEastAsia"/>
          <w:bCs/>
          <w:color w:val="auto"/>
          <w:sz w:val="24"/>
          <w:szCs w:val="24"/>
        </w:rPr>
        <w:t>获取</w:t>
      </w:r>
      <w:r>
        <w:rPr>
          <w:rFonts w:cs="黑体" w:asciiTheme="minorEastAsia" w:hAnsiTheme="minorEastAsia" w:eastAsiaTheme="minorEastAsia"/>
          <w:bCs/>
          <w:color w:val="auto"/>
          <w:sz w:val="24"/>
          <w:szCs w:val="24"/>
        </w:rPr>
        <w:t>时间</w:t>
      </w:r>
      <w:r>
        <w:rPr>
          <w:rFonts w:hint="eastAsia" w:cs="黑体" w:asciiTheme="minorEastAsia" w:hAnsiTheme="minorEastAsia" w:eastAsiaTheme="minorEastAsia"/>
          <w:bCs/>
          <w:color w:val="auto"/>
          <w:sz w:val="24"/>
          <w:szCs w:val="24"/>
        </w:rPr>
        <w:t>：</w:t>
      </w:r>
      <w:bookmarkStart w:id="197" w:name="_GoBack"/>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rPr>
        <w:t>5</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rPr>
        <w:t>10月</w:t>
      </w:r>
      <w:r>
        <w:rPr>
          <w:rFonts w:hint="eastAsia" w:cs="黑体" w:asciiTheme="minorEastAsia" w:hAnsiTheme="minorEastAsia" w:eastAsiaTheme="minorEastAsia"/>
          <w:bCs/>
          <w:color w:val="auto"/>
          <w:sz w:val="24"/>
          <w:szCs w:val="24"/>
          <w:highlight w:val="none"/>
          <w:lang w:val="en-US" w:eastAsia="zh-CN"/>
        </w:rPr>
        <w:t>09</w:t>
      </w:r>
      <w:r>
        <w:rPr>
          <w:rFonts w:cs="黑体" w:asciiTheme="minorEastAsia" w:hAnsiTheme="minorEastAsia" w:eastAsiaTheme="minorEastAsia"/>
          <w:bCs/>
          <w:color w:val="auto"/>
          <w:sz w:val="24"/>
          <w:szCs w:val="24"/>
          <w:highlight w:val="none"/>
        </w:rPr>
        <w:t>日</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9</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0至202</w:t>
      </w:r>
      <w:r>
        <w:rPr>
          <w:rFonts w:hint="eastAsia" w:cs="黑体" w:asciiTheme="minorEastAsia" w:hAnsiTheme="minorEastAsia" w:eastAsiaTheme="minorEastAsia"/>
          <w:bCs/>
          <w:color w:val="auto"/>
          <w:sz w:val="24"/>
          <w:szCs w:val="24"/>
          <w:highlight w:val="none"/>
        </w:rPr>
        <w:t>5</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rPr>
        <w:t>10月</w:t>
      </w:r>
      <w:r>
        <w:rPr>
          <w:rFonts w:hint="eastAsia" w:cs="黑体" w:asciiTheme="minorEastAsia" w:hAnsiTheme="minorEastAsia" w:eastAsiaTheme="minorEastAsia"/>
          <w:bCs/>
          <w:color w:val="auto"/>
          <w:sz w:val="24"/>
          <w:szCs w:val="24"/>
          <w:highlight w:val="none"/>
          <w:lang w:val="en-US" w:eastAsia="zh-CN"/>
        </w:rPr>
        <w:t>14</w:t>
      </w:r>
      <w:r>
        <w:rPr>
          <w:rFonts w:cs="黑体" w:asciiTheme="minorEastAsia" w:hAnsiTheme="minorEastAsia" w:eastAsiaTheme="minorEastAsia"/>
          <w:bCs/>
          <w:color w:val="auto"/>
          <w:sz w:val="24"/>
          <w:szCs w:val="24"/>
          <w:highlight w:val="none"/>
        </w:rPr>
        <w:t>日</w:t>
      </w:r>
      <w:r>
        <w:rPr>
          <w:rFonts w:hint="eastAsia" w:cs="黑体" w:asciiTheme="minorEastAsia" w:hAnsiTheme="minorEastAsia" w:eastAsiaTheme="minorEastAsia"/>
          <w:bCs/>
          <w:color w:val="auto"/>
          <w:sz w:val="24"/>
          <w:szCs w:val="24"/>
          <w:highlight w:val="none"/>
        </w:rPr>
        <w:t>1</w:t>
      </w:r>
      <w:bookmarkEnd w:id="197"/>
      <w:r>
        <w:rPr>
          <w:rFonts w:cs="黑体" w:asciiTheme="minorEastAsia" w:hAnsiTheme="minorEastAsia" w:eastAsiaTheme="minorEastAsia"/>
          <w:bCs/>
          <w:color w:val="auto"/>
          <w:sz w:val="24"/>
          <w:szCs w:val="24"/>
        </w:rPr>
        <w:t>6</w:t>
      </w:r>
      <w:r>
        <w:rPr>
          <w:rFonts w:hint="eastAsia" w:cs="黑体" w:asciiTheme="minorEastAsia" w:hAnsiTheme="minorEastAsia" w:eastAsiaTheme="minorEastAsia"/>
          <w:bCs/>
          <w:color w:val="auto"/>
          <w:sz w:val="24"/>
          <w:szCs w:val="24"/>
        </w:rPr>
        <w:t>:30。</w:t>
      </w:r>
    </w:p>
    <w:p>
      <w:pPr>
        <w:adjustRightInd w:val="0"/>
        <w:snapToGrid w:val="0"/>
        <w:spacing w:after="0" w:line="360" w:lineRule="auto"/>
        <w:ind w:firstLine="480" w:firstLineChars="200"/>
        <w:jc w:val="both"/>
        <w:rPr>
          <w:rFonts w:hint="eastAsia" w:asciiTheme="majorEastAsia" w:hAnsiTheme="majorEastAsia" w:eastAsiaTheme="majorEastAsia"/>
          <w:sz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cs="黑体" w:asciiTheme="minorEastAsia" w:hAnsiTheme="minorEastAsia" w:eastAsiaTheme="minorEastAsia"/>
          <w:bCs/>
          <w:color w:val="000000" w:themeColor="text1"/>
          <w:sz w:val="24"/>
          <w:szCs w:val="24"/>
          <w14:textFill>
            <w14:solidFill>
              <w14:schemeClr w14:val="tx1"/>
            </w14:solidFill>
          </w14:textFill>
        </w:rPr>
        <w:t>.2</w:t>
      </w:r>
      <w:r>
        <w:rPr>
          <w:rFonts w:hint="eastAsia" w:cs="黑体" w:asciiTheme="minorEastAsia" w:hAnsiTheme="minorEastAsia" w:eastAsiaTheme="minorEastAsia"/>
          <w:bCs/>
          <w:color w:val="000000" w:themeColor="text1"/>
          <w:sz w:val="24"/>
          <w:szCs w:val="24"/>
          <w14:textFill>
            <w14:solidFill>
              <w14:schemeClr w14:val="tx1"/>
            </w14:solidFill>
          </w14:textFill>
        </w:rPr>
        <w:t>获取方法：请登录中航咨询电子招投标平台（</w:t>
      </w:r>
      <w:r>
        <w:rPr>
          <w:rFonts w:cs="黑体" w:asciiTheme="minorEastAsia" w:hAnsiTheme="minorEastAsia" w:eastAsiaTheme="minorEastAsia"/>
          <w:bCs/>
          <w:color w:val="000000" w:themeColor="text1"/>
          <w:sz w:val="24"/>
          <w:szCs w:val="24"/>
          <w14:textFill>
            <w14:solidFill>
              <w14:schemeClr w14:val="tx1"/>
            </w14:solidFill>
          </w14:textFill>
        </w:rPr>
        <w:t>http://zb.avicc.cn:99/portal/index</w:t>
      </w:r>
      <w:r>
        <w:rPr>
          <w:rFonts w:hint="eastAsia" w:cs="黑体" w:asciiTheme="minorEastAsia" w:hAnsiTheme="minorEastAsia" w:eastAsiaTheme="minorEastAsia"/>
          <w:bCs/>
          <w:color w:val="000000" w:themeColor="text1"/>
          <w:sz w:val="24"/>
          <w:szCs w:val="24"/>
          <w14:textFill>
            <w14:solidFill>
              <w14:schemeClr w14:val="tx1"/>
            </w14:solidFill>
          </w14:textFill>
        </w:rPr>
        <w:t>）进行免费注册，并通过网上支付方式支付平台使用费。支付成功后，可下载电子版招标文件。如遇网站平台操作问题，请拨打平台技术支持联系电话：</w:t>
      </w:r>
      <w:r>
        <w:rPr>
          <w:rFonts w:cs="黑体" w:asciiTheme="minorEastAsia" w:hAnsiTheme="minorEastAsia" w:eastAsiaTheme="minorEastAsia"/>
          <w:bCs/>
          <w:color w:val="000000" w:themeColor="text1"/>
          <w:sz w:val="24"/>
          <w:szCs w:val="24"/>
          <w14:textFill>
            <w14:solidFill>
              <w14:schemeClr w14:val="tx1"/>
            </w14:solidFill>
          </w14:textFill>
        </w:rPr>
        <w:t>13810841970</w:t>
      </w:r>
      <w:r>
        <w:rPr>
          <w:rFonts w:hint="eastAsia" w:cs="黑体" w:asciiTheme="minorEastAsia" w:hAnsiTheme="minorEastAsia" w:eastAsiaTheme="minorEastAsia"/>
          <w:bCs/>
          <w:color w:val="000000" w:themeColor="text1"/>
          <w:sz w:val="24"/>
          <w:szCs w:val="24"/>
          <w14:textFill>
            <w14:solidFill>
              <w14:schemeClr w14:val="tx1"/>
            </w14:solidFill>
          </w14:textFill>
        </w:rPr>
        <w:t>。未在招标代理机构登记、支付平台使用费并下载招标文件的潜在投标人，不得参与本项目投标。</w:t>
      </w:r>
    </w:p>
    <w:p>
      <w:pPr>
        <w:shd w:val="clear" w:color="auto" w:fill="FFFFFF"/>
        <w:spacing w:after="150"/>
        <w:jc w:val="both"/>
        <w:textAlignment w:val="top"/>
        <w:rPr>
          <w:rFonts w:hint="eastAsia" w:ascii="仿宋" w:hAnsi="仿宋" w:eastAsia="仿宋" w:cs="Arial"/>
          <w:b/>
          <w:color w:val="auto"/>
          <w:kern w:val="0"/>
          <w:sz w:val="29"/>
          <w:szCs w:val="29"/>
        </w:rPr>
      </w:pPr>
      <w:bookmarkStart w:id="7" w:name="_bookmark6"/>
      <w:bookmarkEnd w:id="7"/>
      <w:bookmarkStart w:id="8" w:name="_Toc58934097"/>
      <w:bookmarkStart w:id="9" w:name="_Toc122984750"/>
      <w:bookmarkStart w:id="10" w:name="_Toc41504019"/>
      <w:bookmarkStart w:id="11" w:name="_Toc57365204"/>
      <w:bookmarkStart w:id="12" w:name="_Toc39734375"/>
      <w:r>
        <w:rPr>
          <w:rFonts w:hint="eastAsia" w:ascii="仿宋" w:hAnsi="仿宋" w:eastAsia="仿宋" w:cs="Arial"/>
          <w:b/>
          <w:color w:val="auto"/>
          <w:kern w:val="0"/>
          <w:sz w:val="29"/>
          <w:szCs w:val="29"/>
        </w:rPr>
        <w:t>5</w:t>
      </w:r>
      <w:r>
        <w:rPr>
          <w:rFonts w:ascii="仿宋" w:hAnsi="仿宋" w:eastAsia="仿宋" w:cs="Arial"/>
          <w:b/>
          <w:color w:val="auto"/>
          <w:kern w:val="0"/>
          <w:sz w:val="29"/>
          <w:szCs w:val="29"/>
        </w:rPr>
        <w:t xml:space="preserve">. </w:t>
      </w:r>
      <w:r>
        <w:rPr>
          <w:rFonts w:hint="eastAsia" w:ascii="仿宋" w:hAnsi="仿宋" w:eastAsia="仿宋" w:cs="Arial"/>
          <w:b/>
          <w:color w:val="auto"/>
          <w:kern w:val="0"/>
          <w:sz w:val="29"/>
          <w:szCs w:val="29"/>
        </w:rPr>
        <w:t>投标文件的递交</w:t>
      </w:r>
      <w:bookmarkEnd w:id="8"/>
      <w:bookmarkEnd w:id="9"/>
      <w:bookmarkEnd w:id="10"/>
      <w:bookmarkEnd w:id="11"/>
      <w:bookmarkEnd w:id="12"/>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5.1递交截止时间：</w:t>
      </w:r>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rPr>
        <w:t>5年10月</w:t>
      </w:r>
      <w:r>
        <w:rPr>
          <w:rFonts w:hint="eastAsia" w:cs="黑体" w:asciiTheme="minorEastAsia" w:hAnsiTheme="minorEastAsia" w:eastAsiaTheme="minorEastAsia"/>
          <w:bCs/>
          <w:color w:val="auto"/>
          <w:sz w:val="24"/>
          <w:szCs w:val="24"/>
          <w:highlight w:val="none"/>
          <w:lang w:val="en-US" w:eastAsia="zh-CN"/>
        </w:rPr>
        <w:t>24</w:t>
      </w:r>
      <w:r>
        <w:rPr>
          <w:rFonts w:hint="eastAsia" w:cs="黑体" w:asciiTheme="minorEastAsia" w:hAnsiTheme="minorEastAsia" w:eastAsiaTheme="minorEastAsia"/>
          <w:bCs/>
          <w:color w:val="auto"/>
          <w:sz w:val="24"/>
          <w:szCs w:val="24"/>
          <w:highlight w:val="none"/>
        </w:rPr>
        <w:t xml:space="preserve">日 </w:t>
      </w:r>
      <w:r>
        <w:rPr>
          <w:rFonts w:cs="黑体" w:asciiTheme="minorEastAsia" w:hAnsiTheme="minorEastAsia" w:eastAsiaTheme="minorEastAsia"/>
          <w:bCs/>
          <w:color w:val="auto"/>
          <w:sz w:val="24"/>
          <w:szCs w:val="24"/>
          <w:highlight w:val="none"/>
        </w:rPr>
        <w:t xml:space="preserve"> </w:t>
      </w:r>
      <w:r>
        <w:rPr>
          <w:rFonts w:cs="黑体" w:asciiTheme="minorEastAsia" w:hAnsiTheme="minorEastAsia" w:eastAsiaTheme="minorEastAsia"/>
          <w:bCs/>
          <w:color w:val="auto"/>
          <w:sz w:val="24"/>
          <w:szCs w:val="24"/>
        </w:rPr>
        <w:t>09</w:t>
      </w:r>
      <w:r>
        <w:rPr>
          <w:rFonts w:hint="eastAsia" w:cs="黑体" w:asciiTheme="minorEastAsia" w:hAnsiTheme="minorEastAsia" w:eastAsiaTheme="minorEastAsia"/>
          <w:bCs/>
          <w:color w:val="auto"/>
          <w:sz w:val="24"/>
          <w:szCs w:val="24"/>
        </w:rPr>
        <w:t>:0</w:t>
      </w:r>
      <w:r>
        <w:rPr>
          <w:rFonts w:cs="黑体" w:asciiTheme="minorEastAsia" w:hAnsiTheme="minorEastAsia" w:eastAsiaTheme="minorEastAsia"/>
          <w:bCs/>
          <w:color w:val="auto"/>
          <w:sz w:val="24"/>
          <w:szCs w:val="24"/>
        </w:rPr>
        <w:t>0</w:t>
      </w:r>
      <w:r>
        <w:rPr>
          <w:rFonts w:hint="eastAsia" w:cs="黑体" w:asciiTheme="minorEastAsia" w:hAnsiTheme="minorEastAsia" w:eastAsiaTheme="minorEastAsia"/>
          <w:bCs/>
          <w:color w:val="auto"/>
          <w:sz w:val="24"/>
          <w:szCs w:val="24"/>
        </w:rPr>
        <w:t>（北京时间）</w:t>
      </w:r>
    </w:p>
    <w:p>
      <w:pPr>
        <w:adjustRightInd w:val="0"/>
        <w:snapToGrid w:val="0"/>
        <w:spacing w:after="0" w:line="360" w:lineRule="auto"/>
        <w:ind w:firstLine="480" w:firstLineChars="200"/>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5.2递交方式：</w:t>
      </w:r>
      <w:r>
        <w:rPr>
          <w:rFonts w:hint="eastAsia" w:cs="黑体" w:asciiTheme="minorEastAsia" w:hAnsiTheme="minorEastAsia" w:eastAsiaTheme="minorEastAsia"/>
          <w:bCs/>
          <w:color w:val="auto"/>
          <w:sz w:val="24"/>
          <w:szCs w:val="24"/>
        </w:rPr>
        <w:t>投标人应在投标截止时间前</w:t>
      </w:r>
      <w:r>
        <w:rPr>
          <w:rFonts w:cs="黑体" w:asciiTheme="minorEastAsia" w:hAnsiTheme="minorEastAsia" w:eastAsiaTheme="minorEastAsia"/>
          <w:bCs/>
          <w:color w:val="auto"/>
          <w:sz w:val="24"/>
          <w:szCs w:val="24"/>
        </w:rPr>
        <w:t>将密封好的纸质版投标文件递交至</w:t>
      </w:r>
      <w:r>
        <w:rPr>
          <w:rFonts w:hint="eastAsia" w:cs="黑体" w:asciiTheme="minorEastAsia" w:hAnsiTheme="minorEastAsia" w:eastAsiaTheme="minorEastAsia"/>
          <w:bCs/>
          <w:color w:val="auto"/>
          <w:sz w:val="24"/>
          <w:szCs w:val="24"/>
        </w:rPr>
        <w:t>：</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p>
    <w:p>
      <w:pPr>
        <w:shd w:val="clear" w:color="auto" w:fill="FFFFFF"/>
        <w:spacing w:after="150"/>
        <w:jc w:val="both"/>
        <w:textAlignment w:val="top"/>
        <w:rPr>
          <w:rFonts w:hint="eastAsia" w:ascii="仿宋" w:hAnsi="仿宋" w:eastAsia="仿宋" w:cs="Arial"/>
          <w:b/>
          <w:color w:val="auto"/>
          <w:kern w:val="0"/>
          <w:sz w:val="29"/>
          <w:szCs w:val="29"/>
        </w:rPr>
      </w:pPr>
      <w:bookmarkStart w:id="13" w:name="_Toc58934098"/>
      <w:bookmarkStart w:id="14" w:name="_Toc57365205"/>
      <w:bookmarkStart w:id="15" w:name="_Toc122984751"/>
      <w:r>
        <w:rPr>
          <w:rFonts w:hint="eastAsia" w:ascii="仿宋" w:hAnsi="仿宋" w:eastAsia="仿宋" w:cs="Arial"/>
          <w:b/>
          <w:color w:val="auto"/>
          <w:kern w:val="0"/>
          <w:sz w:val="29"/>
          <w:szCs w:val="29"/>
        </w:rPr>
        <w:t>6</w:t>
      </w:r>
      <w:r>
        <w:rPr>
          <w:rFonts w:ascii="仿宋" w:hAnsi="仿宋" w:eastAsia="仿宋" w:cs="Arial"/>
          <w:b/>
          <w:color w:val="auto"/>
          <w:kern w:val="0"/>
          <w:sz w:val="29"/>
          <w:szCs w:val="29"/>
        </w:rPr>
        <w:t>. 开标时间</w:t>
      </w:r>
      <w:bookmarkEnd w:id="13"/>
      <w:bookmarkEnd w:id="14"/>
      <w:bookmarkEnd w:id="15"/>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6.</w:t>
      </w:r>
      <w:r>
        <w:rPr>
          <w:rFonts w:cs="黑体" w:asciiTheme="minorEastAsia" w:hAnsiTheme="minorEastAsia" w:eastAsiaTheme="minorEastAsia"/>
          <w:bCs/>
          <w:color w:val="auto"/>
          <w:sz w:val="24"/>
          <w:szCs w:val="24"/>
        </w:rPr>
        <w:t>1开标时</w:t>
      </w:r>
      <w:r>
        <w:rPr>
          <w:rFonts w:cs="黑体" w:asciiTheme="minorEastAsia" w:hAnsiTheme="minorEastAsia" w:eastAsiaTheme="minorEastAsia"/>
          <w:bCs/>
          <w:color w:val="auto"/>
          <w:sz w:val="24"/>
          <w:szCs w:val="24"/>
          <w:highlight w:val="none"/>
        </w:rPr>
        <w:t>间：202</w:t>
      </w:r>
      <w:r>
        <w:rPr>
          <w:rFonts w:hint="eastAsia" w:cs="黑体" w:asciiTheme="minorEastAsia" w:hAnsiTheme="minorEastAsia" w:eastAsiaTheme="minorEastAsia"/>
          <w:bCs/>
          <w:color w:val="auto"/>
          <w:sz w:val="24"/>
          <w:szCs w:val="24"/>
          <w:highlight w:val="none"/>
        </w:rPr>
        <w:t>5年10月</w:t>
      </w:r>
      <w:r>
        <w:rPr>
          <w:rFonts w:hint="eastAsia" w:cs="黑体" w:asciiTheme="minorEastAsia" w:hAnsiTheme="minorEastAsia" w:eastAsiaTheme="minorEastAsia"/>
          <w:bCs/>
          <w:color w:val="auto"/>
          <w:sz w:val="24"/>
          <w:szCs w:val="24"/>
          <w:highlight w:val="none"/>
          <w:lang w:val="en-US" w:eastAsia="zh-CN"/>
        </w:rPr>
        <w:t>24</w:t>
      </w:r>
      <w:r>
        <w:rPr>
          <w:rFonts w:hint="eastAsia" w:cs="黑体" w:asciiTheme="minorEastAsia" w:hAnsiTheme="minorEastAsia" w:eastAsiaTheme="minorEastAsia"/>
          <w:bCs/>
          <w:color w:val="auto"/>
          <w:sz w:val="24"/>
          <w:szCs w:val="24"/>
          <w:highlight w:val="none"/>
        </w:rPr>
        <w:t>日 09:0</w:t>
      </w:r>
      <w:r>
        <w:rPr>
          <w:rFonts w:cs="黑体" w:asciiTheme="minorEastAsia" w:hAnsiTheme="minorEastAsia" w:eastAsiaTheme="minorEastAsia"/>
          <w:bCs/>
          <w:color w:val="auto"/>
          <w:sz w:val="24"/>
          <w:szCs w:val="24"/>
          <w:highlight w:val="none"/>
        </w:rPr>
        <w:t>0</w:t>
      </w:r>
      <w:r>
        <w:rPr>
          <w:rFonts w:hint="eastAsia" w:cs="黑体" w:asciiTheme="minorEastAsia" w:hAnsiTheme="minorEastAsia" w:eastAsiaTheme="minorEastAsia"/>
          <w:bCs/>
          <w:color w:val="auto"/>
          <w:sz w:val="24"/>
          <w:szCs w:val="24"/>
        </w:rPr>
        <w:t>（北京时间）</w:t>
      </w:r>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6.2开标地点：</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r>
        <w:rPr>
          <w:rFonts w:hint="eastAsia" w:cs="黑体" w:asciiTheme="minorEastAsia" w:hAnsiTheme="minorEastAsia" w:eastAsiaTheme="minorEastAsia"/>
          <w:bCs/>
          <w:color w:val="auto"/>
          <w:sz w:val="24"/>
          <w:szCs w:val="24"/>
        </w:rPr>
        <w:t>。</w:t>
      </w:r>
    </w:p>
    <w:p>
      <w:pPr>
        <w:shd w:val="clear" w:color="auto" w:fill="FFFFFF"/>
        <w:spacing w:after="150"/>
        <w:jc w:val="both"/>
        <w:textAlignment w:val="top"/>
        <w:rPr>
          <w:rFonts w:hint="eastAsia" w:ascii="仿宋" w:hAnsi="仿宋" w:eastAsia="仿宋" w:cs="Arial"/>
          <w:b/>
          <w:color w:val="auto"/>
          <w:kern w:val="0"/>
          <w:sz w:val="29"/>
          <w:szCs w:val="29"/>
        </w:rPr>
      </w:pPr>
      <w:bookmarkStart w:id="16" w:name="_bookmark7"/>
      <w:bookmarkEnd w:id="16"/>
      <w:bookmarkStart w:id="17" w:name="_Toc39734376"/>
      <w:bookmarkStart w:id="18" w:name="_Toc41504020"/>
      <w:bookmarkStart w:id="19" w:name="_Toc122984752"/>
      <w:bookmarkStart w:id="20" w:name="_Toc57365206"/>
      <w:bookmarkStart w:id="21" w:name="_Toc58934099"/>
      <w:r>
        <w:rPr>
          <w:rFonts w:ascii="仿宋" w:hAnsi="仿宋" w:eastAsia="仿宋" w:cs="Arial"/>
          <w:b/>
          <w:color w:val="auto"/>
          <w:kern w:val="0"/>
          <w:sz w:val="29"/>
          <w:szCs w:val="29"/>
        </w:rPr>
        <w:t xml:space="preserve">7. </w:t>
      </w:r>
      <w:bookmarkEnd w:id="17"/>
      <w:bookmarkEnd w:id="18"/>
      <w:r>
        <w:rPr>
          <w:rFonts w:hint="eastAsia" w:ascii="仿宋" w:hAnsi="仿宋" w:eastAsia="仿宋" w:cs="Arial"/>
          <w:b/>
          <w:color w:val="auto"/>
          <w:kern w:val="0"/>
          <w:sz w:val="29"/>
          <w:szCs w:val="29"/>
        </w:rPr>
        <w:t>其他</w:t>
      </w:r>
      <w:bookmarkEnd w:id="19"/>
      <w:bookmarkEnd w:id="20"/>
      <w:bookmarkEnd w:id="21"/>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本次招标公告同时在</w:t>
      </w:r>
      <w:bookmarkStart w:id="22" w:name="_Hlk502323537"/>
      <w:bookmarkEnd w:id="22"/>
      <w:r>
        <w:rPr>
          <w:rFonts w:hint="eastAsia" w:cs="黑体" w:asciiTheme="minorEastAsia" w:hAnsiTheme="minorEastAsia" w:eastAsiaTheme="minorEastAsia"/>
          <w:bCs/>
          <w:color w:val="auto"/>
          <w:sz w:val="24"/>
          <w:szCs w:val="24"/>
          <w:u w:val="single"/>
        </w:rPr>
        <w:t>四川九洲投资控股集团有限公司官网（https://www.jezetek.cc/）</w:t>
      </w:r>
      <w:r>
        <w:rPr>
          <w:rFonts w:cs="黑体" w:asciiTheme="minorEastAsia" w:hAnsiTheme="minorEastAsia" w:eastAsiaTheme="minorEastAsia"/>
          <w:bCs/>
          <w:color w:val="auto"/>
          <w:sz w:val="24"/>
          <w:szCs w:val="24"/>
        </w:rPr>
        <w:t>和</w:t>
      </w:r>
      <w:r>
        <w:rPr>
          <w:rFonts w:hint="eastAsia" w:cs="黑体" w:asciiTheme="minorEastAsia" w:hAnsiTheme="minorEastAsia" w:eastAsiaTheme="minorEastAsia"/>
          <w:bCs/>
          <w:color w:val="auto"/>
          <w:sz w:val="24"/>
          <w:szCs w:val="24"/>
          <w:u w:val="single"/>
        </w:rPr>
        <w:t>中国招标投标公共服务平台（http://www.cebpuservice.com）</w:t>
      </w:r>
      <w:r>
        <w:rPr>
          <w:rFonts w:cs="黑体" w:asciiTheme="minorEastAsia" w:hAnsiTheme="minorEastAsia" w:eastAsiaTheme="minorEastAsia"/>
          <w:bCs/>
          <w:color w:val="auto"/>
          <w:sz w:val="24"/>
          <w:szCs w:val="24"/>
        </w:rPr>
        <w:t>上发布。</w:t>
      </w:r>
    </w:p>
    <w:p>
      <w:pPr>
        <w:shd w:val="clear" w:color="auto" w:fill="FFFFFF"/>
        <w:spacing w:after="150"/>
        <w:jc w:val="both"/>
        <w:textAlignment w:val="top"/>
        <w:rPr>
          <w:rFonts w:hint="eastAsia" w:ascii="仿宋" w:hAnsi="仿宋" w:eastAsia="仿宋" w:cs="Arial"/>
          <w:b/>
          <w:color w:val="auto"/>
          <w:kern w:val="0"/>
          <w:sz w:val="29"/>
          <w:szCs w:val="29"/>
        </w:rPr>
      </w:pPr>
      <w:bookmarkStart w:id="23" w:name="_Toc58934100"/>
      <w:bookmarkStart w:id="24" w:name="_Toc57365207"/>
      <w:bookmarkStart w:id="25" w:name="_Toc122984753"/>
      <w:r>
        <w:rPr>
          <w:rFonts w:hint="eastAsia" w:ascii="仿宋" w:hAnsi="仿宋" w:eastAsia="仿宋" w:cs="Arial"/>
          <w:b/>
          <w:color w:val="auto"/>
          <w:kern w:val="0"/>
          <w:sz w:val="29"/>
          <w:szCs w:val="29"/>
        </w:rPr>
        <w:t>8. 监督部门</w:t>
      </w:r>
      <w:bookmarkEnd w:id="23"/>
      <w:bookmarkEnd w:id="24"/>
      <w:bookmarkEnd w:id="25"/>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本招标项目的监督部门</w:t>
      </w:r>
      <w:r>
        <w:rPr>
          <w:rFonts w:hint="eastAsia" w:cs="黑体" w:asciiTheme="minorEastAsia" w:hAnsiTheme="minorEastAsia" w:eastAsiaTheme="minorEastAsia"/>
          <w:bCs/>
          <w:color w:val="auto"/>
          <w:sz w:val="24"/>
          <w:szCs w:val="24"/>
          <w:u w:val="single"/>
        </w:rPr>
        <w:t>四川九洲空管科技有限责任公司</w:t>
      </w:r>
      <w:r>
        <w:rPr>
          <w:rFonts w:hint="eastAsia" w:cs="黑体" w:asciiTheme="minorEastAsia" w:hAnsiTheme="minorEastAsia" w:eastAsiaTheme="minorEastAsia"/>
          <w:bCs/>
          <w:color w:val="auto"/>
          <w:sz w:val="24"/>
          <w:szCs w:val="24"/>
        </w:rPr>
        <w:t>。</w:t>
      </w:r>
    </w:p>
    <w:p>
      <w:pPr>
        <w:shd w:val="clear" w:color="auto" w:fill="FFFFFF"/>
        <w:spacing w:after="150"/>
        <w:jc w:val="both"/>
        <w:textAlignment w:val="top"/>
        <w:rPr>
          <w:rFonts w:hint="eastAsia" w:ascii="仿宋" w:hAnsi="仿宋" w:eastAsia="仿宋" w:cs="Arial"/>
          <w:b/>
          <w:color w:val="auto"/>
          <w:kern w:val="0"/>
          <w:sz w:val="29"/>
          <w:szCs w:val="29"/>
        </w:rPr>
      </w:pPr>
      <w:bookmarkStart w:id="26" w:name="_Toc57365208"/>
      <w:bookmarkStart w:id="27" w:name="_Toc41504021"/>
      <w:bookmarkStart w:id="28" w:name="_Toc122984754"/>
      <w:bookmarkStart w:id="29" w:name="_Toc39734377"/>
      <w:bookmarkStart w:id="30" w:name="_Toc58934101"/>
      <w:r>
        <w:rPr>
          <w:rFonts w:ascii="仿宋" w:hAnsi="仿宋" w:eastAsia="仿宋" w:cs="Arial"/>
          <w:b/>
          <w:color w:val="auto"/>
          <w:kern w:val="0"/>
          <w:sz w:val="29"/>
          <w:szCs w:val="29"/>
        </w:rPr>
        <w:t>9</w:t>
      </w:r>
      <w:r>
        <w:rPr>
          <w:rFonts w:hint="eastAsia" w:ascii="仿宋" w:hAnsi="仿宋" w:eastAsia="仿宋" w:cs="Arial"/>
          <w:b/>
          <w:color w:val="auto"/>
          <w:kern w:val="0"/>
          <w:sz w:val="29"/>
          <w:szCs w:val="29"/>
        </w:rPr>
        <w:t>.</w:t>
      </w:r>
      <w:r>
        <w:rPr>
          <w:rFonts w:ascii="仿宋" w:hAnsi="仿宋" w:eastAsia="仿宋" w:cs="Arial"/>
          <w:b/>
          <w:color w:val="auto"/>
          <w:kern w:val="0"/>
          <w:sz w:val="29"/>
          <w:szCs w:val="29"/>
        </w:rPr>
        <w:t xml:space="preserve"> 联系方式</w:t>
      </w:r>
      <w:bookmarkEnd w:id="26"/>
      <w:bookmarkEnd w:id="27"/>
      <w:bookmarkEnd w:id="28"/>
      <w:bookmarkEnd w:id="29"/>
      <w:bookmarkEnd w:id="30"/>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招标人：</w:t>
      </w:r>
      <w:r>
        <w:rPr>
          <w:rFonts w:hint="eastAsia" w:ascii="宋体" w:eastAsia="宋体" w:cs="宋体"/>
          <w:kern w:val="0"/>
          <w:sz w:val="24"/>
          <w:szCs w:val="24"/>
        </w:rPr>
        <w:t>四川九洲空管科技有限责任公司</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w:t>
      </w:r>
      <w:r>
        <w:rPr>
          <w:rFonts w:hint="eastAsia" w:ascii="宋体" w:eastAsia="宋体" w:cs="宋体"/>
          <w:kern w:val="0"/>
          <w:sz w:val="24"/>
          <w:szCs w:val="24"/>
        </w:rPr>
        <w:t>四川省绵阳市科创园区九华路6号</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廖女士（商务）/王女士（技术）</w:t>
      </w:r>
    </w:p>
    <w:p>
      <w:pPr>
        <w:widowControl w:val="0"/>
        <w:adjustRightInd w:val="0"/>
        <w:snapToGrid w:val="0"/>
        <w:spacing w:after="0" w:line="360" w:lineRule="auto"/>
        <w:ind w:left="484" w:leftChars="220"/>
        <w:jc w:val="both"/>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0816-2469314</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地址：北京市朝阳区来广营诚盈中心5号楼1206</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邮编：</w:t>
      </w:r>
      <w:r>
        <w:rPr>
          <w:rFonts w:cs="黑体" w:asciiTheme="minorEastAsia" w:hAnsiTheme="minorEastAsia" w:eastAsiaTheme="minorEastAsia"/>
          <w:bCs/>
          <w:color w:val="000000" w:themeColor="text1"/>
          <w:sz w:val="24"/>
          <w:szCs w:val="24"/>
          <w14:textFill>
            <w14:solidFill>
              <w14:schemeClr w14:val="tx1"/>
            </w14:solidFill>
          </w14:textFill>
        </w:rPr>
        <w:t xml:space="preserve"> 100</w:t>
      </w:r>
      <w:r>
        <w:rPr>
          <w:rFonts w:hint="eastAsia" w:cs="黑体" w:asciiTheme="minorEastAsia" w:hAnsiTheme="minorEastAsia" w:eastAsiaTheme="minorEastAsia"/>
          <w:bCs/>
          <w:color w:val="000000" w:themeColor="text1"/>
          <w:sz w:val="24"/>
          <w:szCs w:val="24"/>
          <w14:textFill>
            <w14:solidFill>
              <w14:schemeClr w14:val="tx1"/>
            </w14:solidFill>
          </w14:textFill>
        </w:rPr>
        <w:t>012</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18981116743/13681594783</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电子邮件：</w:t>
      </w:r>
      <w:r>
        <w:rPr>
          <w:rFonts w:ascii="宋体" w:eastAsia="宋体" w:cs="宋体"/>
          <w:kern w:val="0"/>
          <w:sz w:val="24"/>
          <w:szCs w:val="24"/>
        </w:rPr>
        <w:t>wenyx010@avic.com</w:t>
      </w:r>
    </w:p>
    <w:bookmarkEnd w:id="3"/>
    <w:bookmarkEnd w:id="4"/>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异议渠道及方式</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址：北京市朝阳区来广营西路</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号院</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号楼</w:t>
      </w:r>
      <w:r>
        <w:rPr>
          <w:rFonts w:cs="黑体" w:asciiTheme="minorEastAsia" w:hAnsiTheme="minorEastAsia" w:eastAsiaTheme="minorEastAsia"/>
          <w:bCs/>
          <w:color w:val="000000" w:themeColor="text1"/>
          <w:sz w:val="24"/>
          <w:szCs w:val="24"/>
          <w14:textFill>
            <w14:solidFill>
              <w14:schemeClr w14:val="tx1"/>
            </w14:solidFill>
          </w14:textFill>
        </w:rPr>
        <w:t>12</w:t>
      </w:r>
      <w:r>
        <w:rPr>
          <w:rFonts w:hint="eastAsia" w:cs="黑体" w:asciiTheme="minorEastAsia" w:hAnsiTheme="minorEastAsia" w:eastAsiaTheme="minorEastAsia"/>
          <w:bCs/>
          <w:color w:val="000000" w:themeColor="text1"/>
          <w:sz w:val="24"/>
          <w:szCs w:val="24"/>
          <w14:textFill>
            <w14:solidFill>
              <w14:schemeClr w14:val="tx1"/>
            </w14:solidFill>
          </w14:textFill>
        </w:rPr>
        <w:t>层</w:t>
      </w:r>
      <w:r>
        <w:rPr>
          <w:rFonts w:cs="黑体" w:asciiTheme="minorEastAsia" w:hAnsiTheme="minorEastAsia" w:eastAsiaTheme="minorEastAsia"/>
          <w:bCs/>
          <w:color w:val="000000" w:themeColor="text1"/>
          <w:sz w:val="24"/>
          <w:szCs w:val="24"/>
          <w14:textFill>
            <w14:solidFill>
              <w14:schemeClr w14:val="tx1"/>
            </w14:solidFill>
          </w14:textFill>
        </w:rPr>
        <w:t>1206</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pPr>
        <w:ind w:firstLine="480" w:firstLineChars="200"/>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话：</w:t>
      </w:r>
      <w:r>
        <w:rPr>
          <w:rFonts w:hint="eastAsia" w:ascii="宋体" w:eastAsia="宋体" w:cs="宋体"/>
          <w:kern w:val="0"/>
          <w:sz w:val="24"/>
          <w:szCs w:val="24"/>
        </w:rPr>
        <w:t>18981116743/13681594783</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箱：</w:t>
      </w:r>
      <w:r>
        <w:rPr>
          <w:rFonts w:ascii="宋体" w:eastAsia="宋体" w:cs="宋体"/>
          <w:kern w:val="0"/>
          <w:sz w:val="24"/>
          <w:szCs w:val="24"/>
        </w:rPr>
        <w:t>wenyx010@avic.com</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方式：书面形式递交至招标代理机构。</w:t>
      </w:r>
    </w:p>
    <w:p>
      <w:pPr>
        <w:spacing w:after="0" w:line="240" w:lineRule="auto"/>
        <w:rPr>
          <w:rFonts w:hint="eastAsia" w:ascii="宋体" w:hAnsi="宋体" w:eastAsia="宋体" w:cs="宋体"/>
          <w:bCs/>
          <w:color w:val="auto"/>
          <w:sz w:val="44"/>
        </w:rPr>
      </w:pPr>
      <w:bookmarkStart w:id="31" w:name="_Toc195390809"/>
      <w:r>
        <w:rPr>
          <w:rFonts w:hint="eastAsia" w:ascii="宋体" w:hAnsi="宋体" w:eastAsia="宋体" w:cs="宋体"/>
          <w:bCs/>
          <w:color w:val="auto"/>
          <w:sz w:val="44"/>
        </w:rPr>
        <w:br w:type="page"/>
      </w:r>
    </w:p>
    <w:p>
      <w:pPr>
        <w:pStyle w:val="2"/>
        <w:spacing w:after="850" w:line="345" w:lineRule="auto"/>
        <w:ind w:right="3258"/>
        <w:jc w:val="right"/>
        <w:rPr>
          <w:rFonts w:hint="eastAsia"/>
          <w:bCs/>
          <w:color w:val="auto"/>
        </w:rPr>
      </w:pPr>
      <w:r>
        <w:rPr>
          <w:rFonts w:ascii="宋体" w:hAnsi="宋体" w:eastAsia="宋体" w:cs="宋体"/>
          <w:bCs/>
          <w:color w:val="auto"/>
          <w:sz w:val="44"/>
        </w:rPr>
        <w:t>第二章</w:t>
      </w:r>
      <w:r>
        <w:rPr>
          <w:rFonts w:hint="eastAsia" w:ascii="宋体" w:hAnsi="宋体" w:eastAsia="宋体" w:cs="宋体"/>
          <w:bCs/>
          <w:color w:val="auto"/>
          <w:sz w:val="44"/>
        </w:rPr>
        <w:t xml:space="preserve"> </w:t>
      </w:r>
      <w:r>
        <w:rPr>
          <w:rFonts w:ascii="宋体" w:hAnsi="宋体" w:eastAsia="宋体" w:cs="宋体"/>
          <w:bCs/>
          <w:color w:val="auto"/>
          <w:sz w:val="44"/>
        </w:rPr>
        <w:t>投标人须知</w:t>
      </w:r>
      <w:bookmarkEnd w:id="31"/>
    </w:p>
    <w:p>
      <w:pPr>
        <w:pStyle w:val="3"/>
        <w:spacing w:after="153"/>
        <w:ind w:left="-5" w:right="0"/>
        <w:rPr>
          <w:rFonts w:ascii="Times New Roman" w:hAnsi="Times New Roman" w:cs="Times New Roman" w:eastAsiaTheme="minorEastAsia"/>
          <w:bCs/>
          <w:color w:val="auto"/>
        </w:rPr>
      </w:pPr>
      <w:bookmarkStart w:id="32" w:name="_Toc195390810"/>
      <w:r>
        <w:rPr>
          <w:bCs/>
          <w:color w:val="auto"/>
        </w:rPr>
        <w:t>投标人须知前附表</w:t>
      </w:r>
      <w:bookmarkEnd w:id="32"/>
    </w:p>
    <w:tbl>
      <w:tblPr>
        <w:tblStyle w:val="31"/>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676"/>
        <w:gridCol w:w="5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10" w:type="pct"/>
            <w:vAlign w:val="center"/>
          </w:tcPr>
          <w:p>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条款号</w:t>
            </w:r>
          </w:p>
        </w:tc>
        <w:tc>
          <w:tcPr>
            <w:tcW w:w="1373" w:type="pct"/>
            <w:vAlign w:val="center"/>
          </w:tcPr>
          <w:p>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条款名称</w:t>
            </w:r>
          </w:p>
        </w:tc>
        <w:tc>
          <w:tcPr>
            <w:tcW w:w="2917" w:type="pct"/>
            <w:vAlign w:val="center"/>
          </w:tcPr>
          <w:p>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710"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1.1.2</w:t>
            </w:r>
          </w:p>
        </w:tc>
        <w:tc>
          <w:tcPr>
            <w:tcW w:w="1373"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招标人</w:t>
            </w:r>
          </w:p>
        </w:tc>
        <w:tc>
          <w:tcPr>
            <w:tcW w:w="2917" w:type="pct"/>
            <w:vAlign w:val="center"/>
          </w:tcPr>
          <w:p>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名</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称：四川九洲空管科技有限责任公司</w:t>
            </w:r>
          </w:p>
          <w:p>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地</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址：四川省绵阳市科创园区九华路</w:t>
            </w:r>
            <w:r>
              <w:rPr>
                <w:rFonts w:cs="宋体" w:asciiTheme="minorEastAsia" w:hAnsiTheme="minorEastAsia" w:eastAsiaTheme="minorEastAsia"/>
                <w:bCs/>
                <w:color w:val="auto"/>
                <w:sz w:val="24"/>
                <w:szCs w:val="24"/>
              </w:rPr>
              <w:t>6</w:t>
            </w:r>
            <w:r>
              <w:rPr>
                <w:rFonts w:hint="eastAsia" w:cs="宋体" w:asciiTheme="minorEastAsia" w:hAnsiTheme="minorEastAsia" w:eastAsiaTheme="minorEastAsia"/>
                <w:bCs/>
                <w:color w:val="auto"/>
                <w:sz w:val="24"/>
                <w:szCs w:val="24"/>
              </w:rPr>
              <w:t>号</w:t>
            </w:r>
          </w:p>
          <w:p>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联系人：</w:t>
            </w:r>
            <w:r>
              <w:rPr>
                <w:rFonts w:hint="eastAsia" w:ascii="宋体" w:eastAsia="宋体" w:cs="宋体"/>
                <w:kern w:val="0"/>
                <w:sz w:val="24"/>
                <w:szCs w:val="24"/>
              </w:rPr>
              <w:t>廖女士（商务）/王女士（技术）</w:t>
            </w:r>
          </w:p>
          <w:p>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联系方式：</w:t>
            </w:r>
            <w:r>
              <w:rPr>
                <w:rFonts w:hint="eastAsia" w:ascii="宋体" w:eastAsia="宋体" w:cs="宋体"/>
                <w:kern w:val="0"/>
                <w:sz w:val="24"/>
                <w:szCs w:val="24"/>
              </w:rPr>
              <w:t>0816-2469314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710"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1.1.3</w:t>
            </w:r>
          </w:p>
        </w:tc>
        <w:tc>
          <w:tcPr>
            <w:tcW w:w="1373"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招标代理机构</w:t>
            </w:r>
          </w:p>
        </w:tc>
        <w:tc>
          <w:tcPr>
            <w:tcW w:w="2917" w:type="pct"/>
            <w:vAlign w:val="center"/>
          </w:tcPr>
          <w:p>
            <w:pPr>
              <w:spacing w:after="0" w:line="360" w:lineRule="auto"/>
              <w:ind w:right="6"/>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名称：中航咨询（北京）有限公司</w:t>
            </w:r>
          </w:p>
          <w:p>
            <w:pPr>
              <w:spacing w:after="0" w:line="360" w:lineRule="auto"/>
              <w:ind w:right="3"/>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地址：北京市朝阳区来广营诚盈中心5号楼1206</w:t>
            </w:r>
          </w:p>
          <w:p>
            <w:pPr>
              <w:autoSpaceDE w:val="0"/>
              <w:autoSpaceDN w:val="0"/>
              <w:adjustRightInd w:val="0"/>
              <w:snapToGrid w:val="0"/>
              <w:spacing w:after="0" w:line="360" w:lineRule="auto"/>
              <w:rPr>
                <w:rFonts w:ascii="宋体" w:eastAsia="宋体" w:cs="宋体"/>
                <w:kern w:val="0"/>
                <w:sz w:val="24"/>
                <w:szCs w:val="24"/>
              </w:rPr>
            </w:pPr>
            <w:r>
              <w:rPr>
                <w:rFonts w:hint="eastAsia" w:ascii="宋体" w:eastAsia="宋体" w:cs="宋体"/>
                <w:kern w:val="0"/>
                <w:sz w:val="24"/>
                <w:szCs w:val="24"/>
              </w:rPr>
              <w:t xml:space="preserve">联系人：文女士/陈先生 </w:t>
            </w:r>
          </w:p>
          <w:p>
            <w:pPr>
              <w:autoSpaceDE w:val="0"/>
              <w:autoSpaceDN w:val="0"/>
              <w:adjustRightInd w:val="0"/>
              <w:snapToGrid w:val="0"/>
              <w:spacing w:after="0" w:line="360" w:lineRule="auto"/>
              <w:rPr>
                <w:rFonts w:ascii="宋体" w:eastAsia="宋体" w:cs="宋体"/>
                <w:kern w:val="0"/>
                <w:sz w:val="24"/>
                <w:szCs w:val="24"/>
              </w:rPr>
            </w:pPr>
            <w:r>
              <w:rPr>
                <w:rFonts w:hint="eastAsia" w:ascii="宋体" w:eastAsia="宋体" w:cs="宋体"/>
                <w:kern w:val="0"/>
                <w:sz w:val="24"/>
                <w:szCs w:val="24"/>
              </w:rPr>
              <w:t>联系方式：18981116743/13681594783</w:t>
            </w:r>
          </w:p>
          <w:p>
            <w:pPr>
              <w:spacing w:after="0" w:line="360" w:lineRule="auto"/>
              <w:jc w:val="both"/>
              <w:rPr>
                <w:rFonts w:hint="eastAsia" w:cs="宋体" w:asciiTheme="minorEastAsia" w:hAnsiTheme="minorEastAsia" w:eastAsiaTheme="minorEastAsia"/>
                <w:bCs/>
                <w:color w:val="auto"/>
                <w:sz w:val="24"/>
                <w:szCs w:val="24"/>
              </w:rPr>
            </w:pPr>
            <w:r>
              <w:rPr>
                <w:rFonts w:hint="eastAsia" w:ascii="宋体" w:eastAsia="宋体" w:cs="宋体"/>
                <w:kern w:val="0"/>
                <w:sz w:val="24"/>
                <w:szCs w:val="24"/>
              </w:rPr>
              <w:t>邮  箱：wenyx010@avic.com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招标项目名称</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智能仓储建设项目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1.1.5</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工程项目名称</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1.2.1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资金来源</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1.2.2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资金落实情况</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招标范围</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智能仓储建设项目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交货期</w:t>
            </w:r>
          </w:p>
        </w:tc>
        <w:tc>
          <w:tcPr>
            <w:tcW w:w="2917" w:type="pct"/>
            <w:vAlign w:val="center"/>
          </w:tcPr>
          <w:p>
            <w:pPr>
              <w:tabs>
                <w:tab w:val="left" w:pos="525"/>
                <w:tab w:val="left" w:pos="735"/>
                <w:tab w:val="left" w:pos="945"/>
              </w:tabs>
              <w:spacing w:after="0" w:line="360" w:lineRule="auto"/>
              <w:jc w:val="both"/>
              <w:rPr>
                <w:rFonts w:hint="eastAsia" w:cs="宋体" w:asciiTheme="minorEastAsia" w:hAnsiTheme="minorEastAsia" w:eastAsiaTheme="minorEastAsia"/>
                <w:bCs/>
                <w:color w:val="auto"/>
                <w:sz w:val="24"/>
                <w:szCs w:val="24"/>
                <w:highlight w:val="yellow"/>
              </w:rPr>
            </w:pPr>
            <w:r>
              <w:rPr>
                <w:rFonts w:hint="eastAsia" w:asciiTheme="minorEastAsia" w:hAnsiTheme="minorEastAsia" w:eastAsiaTheme="minorEastAsia"/>
                <w:bCs/>
                <w:color w:val="auto"/>
                <w:sz w:val="24"/>
                <w:szCs w:val="24"/>
              </w:rPr>
              <w:t>详见第五章“供货要求”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交货地点</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ascii="宋体" w:eastAsia="宋体" w:cs="宋体"/>
                <w:kern w:val="0"/>
                <w:sz w:val="24"/>
                <w:szCs w:val="24"/>
              </w:rPr>
              <w:t>四川九洲空管科技有限责任公司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技术性能指标</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详见第五章“供货要求”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投标人资质条件、能力、信誉</w:t>
            </w:r>
          </w:p>
        </w:tc>
        <w:tc>
          <w:tcPr>
            <w:tcW w:w="2917" w:type="pct"/>
            <w:vAlign w:val="center"/>
          </w:tcPr>
          <w:p>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详见招标文件第一章</w:t>
            </w:r>
            <w:r>
              <w:rPr>
                <w:rFonts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招标公告</w:t>
            </w:r>
            <w:r>
              <w:rPr>
                <w:rFonts w:asciiTheme="minorEastAsia" w:hAnsiTheme="minorEastAsia" w:eastAsiaTheme="minorEastAsia"/>
                <w:bCs/>
                <w:color w:val="auto"/>
                <w:sz w:val="24"/>
                <w:szCs w:val="24"/>
              </w:rPr>
              <w:t>”</w:t>
            </w:r>
            <w:r>
              <w:rPr>
                <w:rFonts w:hint="eastAsia" w:asciiTheme="minorEastAsia" w:hAnsiTheme="minorEastAsia" w:eastAsiaTheme="minorEastAsia"/>
                <w:bCs/>
                <w:color w:val="auto"/>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是否接受联合体投标</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投标人不得存在的其他情形</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投标预备会</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不召开</w:t>
            </w:r>
          </w:p>
          <w:p>
            <w:pPr>
              <w:spacing w:after="0" w:line="360" w:lineRule="auto"/>
              <w:ind w:left="840" w:right="1047" w:hanging="840"/>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□召开，召开时间：</w:t>
            </w:r>
          </w:p>
          <w:p>
            <w:pPr>
              <w:spacing w:after="0" w:line="360" w:lineRule="auto"/>
              <w:ind w:firstLine="960" w:firstLineChars="400"/>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投标人在投标预备会前提出问题</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时间： </w:t>
            </w:r>
            <w:r>
              <w:rPr>
                <w:rFonts w:hint="eastAsia" w:cs="宋体" w:asciiTheme="minorEastAsia" w:hAnsiTheme="minorEastAsia" w:eastAsiaTheme="minorEastAsia"/>
                <w:bCs/>
                <w:color w:val="auto"/>
                <w:sz w:val="24"/>
                <w:szCs w:val="24"/>
              </w:rPr>
              <w:t>/</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形式： </w:t>
            </w: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招标文件澄清发出的形式</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实质性要求和条件</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包括但不限于招标文件中标注“*”的条款。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其他可以被接受的技术支持资料</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）制造商公开发布的印刷资料</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2</w:t>
            </w:r>
            <w:r>
              <w:rPr>
                <w:rFonts w:hint="eastAsia" w:cs="宋体" w:asciiTheme="minorEastAsia" w:hAnsiTheme="minorEastAsia" w:eastAsiaTheme="minorEastAsia"/>
                <w:bCs/>
                <w:color w:val="auto"/>
                <w:sz w:val="24"/>
                <w:szCs w:val="24"/>
              </w:rPr>
              <w:t>）检测机构出具的检测报告</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3</w:t>
            </w:r>
            <w:r>
              <w:rPr>
                <w:rFonts w:hint="eastAsia" w:cs="宋体" w:asciiTheme="minorEastAsia" w:hAnsiTheme="minorEastAsia" w:eastAsiaTheme="minorEastAsia"/>
                <w:bCs/>
                <w:color w:val="auto"/>
                <w:sz w:val="24"/>
                <w:szCs w:val="24"/>
              </w:rPr>
              <w:t>）互联网网站网页截图打印件</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4</w:t>
            </w:r>
            <w:r>
              <w:rPr>
                <w:rFonts w:hint="eastAsia" w:cs="宋体" w:asciiTheme="minorEastAsia" w:hAnsiTheme="minorEastAsia" w:eastAsiaTheme="minorEastAsia"/>
                <w:bCs/>
                <w:color w:val="auto"/>
                <w:sz w:val="24"/>
                <w:szCs w:val="24"/>
              </w:rPr>
              <w:t>）用户证明或技术方案或试验验证</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5</w:t>
            </w:r>
            <w:r>
              <w:rPr>
                <w:rFonts w:hint="eastAsia" w:cs="宋体" w:asciiTheme="minorEastAsia" w:hAnsiTheme="minorEastAsia" w:eastAsiaTheme="minorEastAsia"/>
                <w:bCs/>
                <w:color w:val="auto"/>
                <w:sz w:val="24"/>
                <w:szCs w:val="24"/>
              </w:rPr>
              <w:t>）其他被评标委员会认可的证明材料</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以上证明资料至少提供任意一项。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偏差</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□不允许</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允许，偏差范围：</w:t>
            </w:r>
            <w:r>
              <w:rPr>
                <w:rFonts w:hint="eastAsia" w:cs="宋体" w:asciiTheme="minorEastAsia" w:hAnsiTheme="minorEastAsia" w:eastAsiaTheme="minorEastAsia"/>
                <w:bCs/>
                <w:color w:val="auto"/>
                <w:sz w:val="24"/>
                <w:szCs w:val="24"/>
              </w:rPr>
              <w:t>招标文件中除实质性要求和条件（招标文件标注“</w:t>
            </w:r>
            <w:r>
              <w:rPr>
                <w:rFonts w:cs="宋体"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或“★”号的条款，以及说明否决投标的条款）以外的其他各项条款。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构成招标文件的其他资料</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投标人要求澄清招标文件</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w:t>
            </w:r>
            <w:r>
              <w:rPr>
                <w:rFonts w:hint="eastAsia" w:cs="宋体" w:asciiTheme="minorEastAsia" w:hAnsiTheme="minorEastAsia" w:eastAsiaTheme="minorEastAsia"/>
                <w:bCs/>
                <w:color w:val="auto"/>
                <w:sz w:val="24"/>
                <w:szCs w:val="24"/>
              </w:rPr>
              <w:t>投标截止时间4日前提出</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cs="宋体" w:asciiTheme="minorEastAsia" w:hAnsiTheme="minorEastAsia" w:eastAsiaTheme="minorEastAsia"/>
                <w:bCs/>
                <w:color w:val="auto"/>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招标文件澄清发出的形式</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投标人确认收到招标文件澄清</w:t>
            </w:r>
          </w:p>
        </w:tc>
        <w:tc>
          <w:tcPr>
            <w:tcW w:w="2917" w:type="pct"/>
            <w:vAlign w:val="center"/>
          </w:tcPr>
          <w:p>
            <w:pPr>
              <w:pStyle w:val="8"/>
              <w:spacing w:after="0" w:line="360" w:lineRule="auto"/>
              <w:jc w:val="both"/>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时间：招标文件澄清发出</w:t>
            </w:r>
            <w:r>
              <w:rPr>
                <w:rFonts w:hint="eastAsia" w:cs="宋体" w:asciiTheme="minorEastAsia" w:hAnsiTheme="minorEastAsia" w:eastAsiaTheme="minorEastAsia"/>
                <w:bCs/>
                <w:color w:val="auto"/>
                <w:sz w:val="24"/>
                <w:szCs w:val="24"/>
              </w:rPr>
              <w:t>后的1个工作日内</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asciiTheme="minorEastAsia" w:hAnsiTheme="minorEastAsia" w:eastAsiaTheme="minorEastAsia"/>
                <w:bCs/>
                <w:color w:val="auto"/>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2.3.1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招标文件修改发出的形式</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2.3.2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投标人确认收到招标文件修改</w:t>
            </w:r>
          </w:p>
        </w:tc>
        <w:tc>
          <w:tcPr>
            <w:tcW w:w="2917" w:type="pct"/>
            <w:vAlign w:val="center"/>
          </w:tcPr>
          <w:p>
            <w:pPr>
              <w:pStyle w:val="8"/>
              <w:spacing w:after="0" w:line="360" w:lineRule="auto"/>
              <w:jc w:val="both"/>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时间：招标文件澄清发出</w:t>
            </w:r>
            <w:r>
              <w:rPr>
                <w:rFonts w:hint="eastAsia" w:cs="宋体" w:asciiTheme="minorEastAsia" w:hAnsiTheme="minorEastAsia" w:eastAsiaTheme="minorEastAsia"/>
                <w:bCs/>
                <w:color w:val="auto"/>
                <w:sz w:val="24"/>
                <w:szCs w:val="24"/>
              </w:rPr>
              <w:t>后的1个工作日内</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asciiTheme="minorEastAsia" w:hAnsiTheme="minorEastAsia" w:eastAsiaTheme="minorEastAsia"/>
                <w:bCs/>
                <w:color w:val="auto"/>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3.1.1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构成投标文件的其他资料</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增值税税金的计算方法</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最高投标限价</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□无</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有，最高投标限价：</w:t>
            </w:r>
            <w:r>
              <w:rPr>
                <w:rFonts w:hint="eastAsia" w:cs="宋体" w:asciiTheme="minorEastAsia" w:hAnsiTheme="minorEastAsia" w:eastAsiaTheme="minorEastAsia"/>
                <w:bCs/>
                <w:color w:val="auto"/>
                <w:sz w:val="24"/>
                <w:szCs w:val="24"/>
              </w:rPr>
              <w:t>人民币1130万元。</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其中：①智能仓储建设（智能仓库管理系统）最高投标限价：人民币60万元</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 xml:space="preserve">      ②智能仓储建设（自动化立体仓库）最高投标限价：人民币1070万元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3.2.5</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投标报价的其他要求</w:t>
            </w:r>
          </w:p>
        </w:tc>
        <w:tc>
          <w:tcPr>
            <w:tcW w:w="2917" w:type="pct"/>
            <w:vAlign w:val="center"/>
          </w:tcPr>
          <w:p>
            <w:pPr>
              <w:pStyle w:val="37"/>
              <w:widowControl w:val="0"/>
              <w:numPr>
                <w:ilvl w:val="0"/>
                <w:numId w:val="1"/>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（1）本项目报价方式为：</w:t>
            </w:r>
            <w:r>
              <w:rPr>
                <w:rFonts w:hint="eastAsia" w:ascii="宋体" w:hAnsi="宋体" w:eastAsia="宋体"/>
                <w:b/>
                <w:bCs/>
                <w:sz w:val="24"/>
                <w:szCs w:val="24"/>
                <w:u w:val="single"/>
              </w:rPr>
              <w:t>总价</w:t>
            </w:r>
            <w:r>
              <w:rPr>
                <w:rFonts w:hint="eastAsia" w:ascii="宋体" w:hAnsi="宋体" w:eastAsia="宋体"/>
                <w:sz w:val="24"/>
                <w:szCs w:val="24"/>
              </w:rPr>
              <w:t>；</w:t>
            </w:r>
          </w:p>
          <w:p>
            <w:pPr>
              <w:pStyle w:val="37"/>
              <w:widowControl w:val="0"/>
              <w:numPr>
                <w:ilvl w:val="0"/>
                <w:numId w:val="1"/>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（2）投标报价应包括但不限于全套产品、产品所应包含税费、运费、安装调试费、培训费、资料费、售后服务及技术保障费等招标文件规定的投标人（卖方）应履行义务的全部费用；</w:t>
            </w:r>
          </w:p>
          <w:p>
            <w:pPr>
              <w:pStyle w:val="37"/>
              <w:widowControl w:val="0"/>
              <w:numPr>
                <w:ilvl w:val="0"/>
                <w:numId w:val="1"/>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（3）本项目招标不接受具有附加条件的报价，如出现以下类似情况（包括但不限于以下几种情况）则该投标将被否决：</w:t>
            </w:r>
          </w:p>
          <w:p>
            <w:pPr>
              <w:pStyle w:val="37"/>
              <w:snapToGrid w:val="0"/>
              <w:spacing w:after="0" w:line="360" w:lineRule="auto"/>
              <w:ind w:firstLine="0" w:firstLineChars="0"/>
              <w:rPr>
                <w:rFonts w:hint="eastAsia" w:ascii="宋体" w:hAnsi="宋体" w:eastAsia="宋体"/>
                <w:sz w:val="24"/>
                <w:szCs w:val="24"/>
              </w:rPr>
            </w:pPr>
            <w:r>
              <w:rPr>
                <w:rFonts w:hint="eastAsia" w:ascii="宋体" w:hAnsi="宋体" w:eastAsia="宋体"/>
                <w:sz w:val="24"/>
                <w:szCs w:val="24"/>
              </w:rPr>
              <w:t>①“我方（投标人）若中标，将在投标报价基础上降价……金额”；</w:t>
            </w:r>
          </w:p>
          <w:p>
            <w:pPr>
              <w:pStyle w:val="37"/>
              <w:snapToGrid w:val="0"/>
              <w:spacing w:after="0" w:line="360" w:lineRule="auto"/>
              <w:ind w:firstLine="0" w:firstLineChars="0"/>
              <w:rPr>
                <w:rFonts w:hint="eastAsia" w:ascii="宋体" w:hAnsi="宋体" w:eastAsia="宋体"/>
                <w:sz w:val="24"/>
                <w:szCs w:val="24"/>
              </w:rPr>
            </w:pPr>
            <w:r>
              <w:rPr>
                <w:rFonts w:hint="eastAsia" w:ascii="宋体" w:hAnsi="宋体" w:eastAsia="宋体"/>
                <w:sz w:val="24"/>
                <w:szCs w:val="24"/>
              </w:rPr>
              <w:t>②“我方（投标人）若中标某两个包件，将在此两个包件投标报价基础上降价……金额”；</w:t>
            </w:r>
          </w:p>
          <w:p>
            <w:pPr>
              <w:spacing w:after="0" w:line="360" w:lineRule="auto"/>
              <w:rPr>
                <w:rFonts w:hint="eastAsia" w:ascii="仿宋" w:hAnsi="仿宋" w:eastAsia="仿宋"/>
                <w:sz w:val="24"/>
                <w:szCs w:val="24"/>
              </w:rPr>
            </w:pPr>
            <w:r>
              <w:rPr>
                <w:rFonts w:hint="eastAsia" w:ascii="宋体" w:hAnsi="宋体" w:eastAsia="宋体"/>
                <w:sz w:val="24"/>
                <w:szCs w:val="24"/>
              </w:rPr>
              <w:t>③“我方（投标人）若中标，招标人若选择我方投标中的某方案，则该方案价格将优惠……金额”。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3.3.1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投标有效期</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自投标文件递交截止之日起120个日历日。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3.4.1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投标保证金</w:t>
            </w:r>
          </w:p>
        </w:tc>
        <w:tc>
          <w:tcPr>
            <w:tcW w:w="2917" w:type="pct"/>
            <w:vAlign w:val="center"/>
          </w:tcPr>
          <w:p>
            <w:pPr>
              <w:spacing w:after="0" w:line="360" w:lineRule="auto"/>
              <w:jc w:val="both"/>
              <w:rPr>
                <w:rFonts w:ascii="宋体" w:eastAsia="宋体" w:cs="宋体"/>
                <w:bCs/>
                <w:color w:val="auto"/>
                <w:sz w:val="24"/>
                <w:szCs w:val="24"/>
              </w:rPr>
            </w:pPr>
            <w:r>
              <w:rPr>
                <w:rFonts w:hint="eastAsia" w:ascii="宋体" w:eastAsia="宋体" w:cs="宋体"/>
                <w:bCs/>
                <w:color w:val="auto"/>
                <w:sz w:val="24"/>
                <w:szCs w:val="24"/>
              </w:rPr>
              <w:t>是否要求投标人递交投标保证金：</w:t>
            </w:r>
          </w:p>
          <w:p>
            <w:pPr>
              <w:spacing w:after="0" w:line="360" w:lineRule="auto"/>
              <w:jc w:val="both"/>
              <w:rPr>
                <w:rFonts w:ascii="宋体" w:eastAsia="宋体" w:cs="宋体"/>
                <w:bCs/>
                <w:color w:val="auto"/>
                <w:sz w:val="24"/>
                <w:szCs w:val="24"/>
              </w:rPr>
            </w:pPr>
            <w:r>
              <w:rPr>
                <w:rFonts w:ascii="宋体" w:eastAsia="宋体" w:cs="宋体"/>
                <w:bCs/>
                <w:color w:val="auto"/>
                <w:sz w:val="24"/>
                <w:szCs w:val="24"/>
              </w:rPr>
              <w:sym w:font="Wingdings 2" w:char="F052"/>
            </w:r>
            <w:r>
              <w:rPr>
                <w:rFonts w:hint="eastAsia" w:ascii="宋体" w:eastAsia="宋体" w:cs="宋体"/>
                <w:bCs/>
                <w:color w:val="auto"/>
                <w:sz w:val="24"/>
                <w:szCs w:val="24"/>
              </w:rPr>
              <w:t>要求，</w:t>
            </w:r>
          </w:p>
          <w:p>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投标保证金的形式：银行转账或银行保函</w:t>
            </w:r>
          </w:p>
          <w:p>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投标保证金的金额：</w:t>
            </w:r>
            <w:r>
              <w:rPr>
                <w:rFonts w:hint="eastAsia" w:ascii="宋体" w:hAnsi="宋体" w:eastAsia="宋体" w:cs="宋体"/>
                <w:b/>
                <w:color w:val="auto"/>
                <w:sz w:val="24"/>
                <w:szCs w:val="24"/>
              </w:rPr>
              <w:t>人民币16万元；</w:t>
            </w:r>
          </w:p>
          <w:p>
            <w:pPr>
              <w:spacing w:after="0" w:line="360" w:lineRule="auto"/>
              <w:ind w:firstLine="480" w:firstLineChars="200"/>
              <w:jc w:val="both"/>
              <w:rPr>
                <w:rFonts w:hint="eastAsia" w:ascii="宋体" w:hAnsi="宋体" w:eastAsia="宋体" w:cs="宋体"/>
                <w:bCs/>
                <w:color w:val="auto"/>
                <w:sz w:val="24"/>
                <w:szCs w:val="24"/>
                <w:highlight w:val="yellow"/>
              </w:rPr>
            </w:pPr>
            <w:r>
              <w:rPr>
                <w:rFonts w:hint="eastAsia" w:ascii="宋体" w:hAnsi="宋体" w:eastAsia="宋体" w:cs="宋体"/>
                <w:bCs/>
                <w:color w:val="auto"/>
                <w:sz w:val="24"/>
                <w:szCs w:val="24"/>
              </w:rPr>
              <w:t>投标人须以单位名义，在投标截止时间前从投标人的基本账户转账至招标代理机构投标保证金收款账户，招标代理机构不接受投标人以外的其他单位或个人代交的投标保证金，否则投标将被否决。</w:t>
            </w:r>
          </w:p>
          <w:p>
            <w:pPr>
              <w:spacing w:after="0" w:line="360" w:lineRule="auto"/>
              <w:jc w:val="both"/>
              <w:rPr>
                <w:rFonts w:hint="eastAsia" w:ascii="宋体" w:hAnsi="宋体" w:eastAsia="宋体" w:cs="宋体"/>
                <w:bCs/>
                <w:color w:val="auto"/>
                <w:sz w:val="24"/>
                <w:szCs w:val="24"/>
                <w:highlight w:val="yellow"/>
              </w:rPr>
            </w:pPr>
            <w:r>
              <w:rPr>
                <w:rFonts w:ascii="宋体" w:hAnsi="宋体" w:eastAsia="宋体" w:cs="宋体"/>
                <w:bCs/>
                <w:color w:val="auto"/>
                <w:sz w:val="24"/>
                <w:szCs w:val="24"/>
              </w:rPr>
              <w:t>1.</w:t>
            </w:r>
            <w:r>
              <w:rPr>
                <w:rFonts w:ascii="宋体" w:hAnsi="宋体" w:eastAsia="宋体" w:cs="宋体"/>
                <w:bCs/>
                <w:color w:val="auto"/>
                <w:sz w:val="24"/>
                <w:szCs w:val="24"/>
              </w:rPr>
              <w:tab/>
            </w:r>
            <w:r>
              <w:rPr>
                <w:rFonts w:hint="eastAsia" w:ascii="宋体" w:hAnsi="宋体" w:eastAsia="宋体" w:cs="宋体"/>
                <w:bCs/>
                <w:color w:val="auto"/>
                <w:sz w:val="24"/>
                <w:szCs w:val="24"/>
              </w:rPr>
              <w:t>缴纳投标保证金账户信息：</w:t>
            </w:r>
          </w:p>
          <w:p>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开户银行：招商银行北京自贸试验区商务中心区支行</w:t>
            </w:r>
          </w:p>
          <w:p>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账户名称：中航咨询（北京）有限公司</w:t>
            </w:r>
            <w:r>
              <w:rPr>
                <w:rFonts w:ascii="宋体" w:hAnsi="宋体" w:eastAsia="宋体" w:cs="宋体"/>
                <w:bCs/>
                <w:color w:val="auto"/>
                <w:sz w:val="24"/>
                <w:szCs w:val="24"/>
              </w:rPr>
              <w:t xml:space="preserve">   </w:t>
            </w:r>
          </w:p>
          <w:p>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账户：</w:t>
            </w:r>
            <w:r>
              <w:rPr>
                <w:rFonts w:ascii="宋体" w:hAnsi="宋体" w:eastAsia="宋体" w:cs="宋体"/>
                <w:bCs/>
                <w:color w:val="auto"/>
                <w:sz w:val="24"/>
                <w:szCs w:val="24"/>
              </w:rPr>
              <w:t>110906074410002</w:t>
            </w:r>
          </w:p>
          <w:p>
            <w:pPr>
              <w:spacing w:after="0" w:line="360" w:lineRule="auto"/>
              <w:jc w:val="both"/>
              <w:rPr>
                <w:rFonts w:hint="eastAsia" w:ascii="仿宋" w:hAnsi="仿宋" w:eastAsia="仿宋"/>
                <w:b/>
                <w:sz w:val="24"/>
                <w:szCs w:val="24"/>
              </w:rPr>
            </w:pPr>
            <w:r>
              <w:rPr>
                <w:rFonts w:hint="eastAsia" w:ascii="仿宋" w:hAnsi="仿宋" w:eastAsia="仿宋"/>
                <w:b/>
                <w:sz w:val="24"/>
                <w:szCs w:val="24"/>
              </w:rPr>
              <w:t>2.*投标人须在投标文件中提供中国人民银行或其分支机构出具的银行基本账户开户许可证；或具有企业基本存款账户开户行名称、账号和编号的说明文件；或相关银行出具的能够证明其银行基本账号的有效说明文件，否则投标将被否决。</w:t>
            </w:r>
          </w:p>
          <w:p>
            <w:pPr>
              <w:spacing w:after="0" w:line="360" w:lineRule="auto"/>
              <w:jc w:val="both"/>
              <w:rPr>
                <w:rFonts w:ascii="宋体" w:eastAsia="宋体" w:cs="宋体"/>
                <w:bCs/>
                <w:color w:val="auto"/>
                <w:sz w:val="24"/>
                <w:szCs w:val="24"/>
              </w:rPr>
            </w:pPr>
            <w:r>
              <w:rPr>
                <w:rFonts w:ascii="宋体" w:eastAsia="宋体" w:cs="宋体"/>
                <w:bCs/>
                <w:color w:val="auto"/>
                <w:sz w:val="24"/>
                <w:szCs w:val="24"/>
              </w:rPr>
              <w:t>3.</w:t>
            </w:r>
            <w:r>
              <w:rPr>
                <w:rFonts w:ascii="宋体" w:eastAsia="宋体" w:cs="宋体"/>
                <w:bCs/>
                <w:color w:val="auto"/>
                <w:sz w:val="24"/>
                <w:szCs w:val="24"/>
              </w:rPr>
              <w:tab/>
            </w:r>
            <w:r>
              <w:rPr>
                <w:rFonts w:hint="eastAsia" w:ascii="宋体" w:eastAsia="宋体" w:cs="宋体"/>
                <w:bCs/>
                <w:color w:val="auto"/>
                <w:sz w:val="24"/>
                <w:szCs w:val="24"/>
              </w:rPr>
              <w:t>投标人递交投标保证金而产生的所有费用（包括但不限于银行电报费及通知费）均由投标人自行承担。</w:t>
            </w:r>
          </w:p>
          <w:p>
            <w:pPr>
              <w:spacing w:after="0" w:line="360" w:lineRule="auto"/>
              <w:jc w:val="both"/>
              <w:rPr>
                <w:rFonts w:ascii="宋体" w:eastAsia="宋体" w:cs="宋体"/>
                <w:bCs/>
                <w:color w:val="auto"/>
                <w:sz w:val="24"/>
                <w:szCs w:val="24"/>
              </w:rPr>
            </w:pPr>
            <w:r>
              <w:rPr>
                <w:rFonts w:ascii="宋体" w:eastAsia="宋体" w:cs="宋体"/>
                <w:bCs/>
                <w:color w:val="auto"/>
                <w:sz w:val="24"/>
                <w:szCs w:val="24"/>
              </w:rPr>
              <w:t>4.</w:t>
            </w:r>
            <w:r>
              <w:rPr>
                <w:rFonts w:ascii="宋体" w:eastAsia="宋体" w:cs="宋体"/>
                <w:bCs/>
                <w:color w:val="auto"/>
                <w:sz w:val="24"/>
                <w:szCs w:val="24"/>
              </w:rPr>
              <w:tab/>
            </w:r>
            <w:r>
              <w:rPr>
                <w:rFonts w:hint="eastAsia" w:ascii="宋体" w:eastAsia="宋体" w:cs="宋体"/>
                <w:bCs/>
                <w:color w:val="auto"/>
                <w:sz w:val="24"/>
                <w:szCs w:val="24"/>
              </w:rPr>
              <w:t>银行保函：①投标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④投标人应当提供有效的银行保函验真方式，若未提供则评标委员会有权通过银行官方渠道进行查询核验。⑤银行保函应当为银行直接向投标人开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3.4.4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其他可以不予退还投标保证金的情形</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3.5</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资格审查资料的特殊要求</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A3"/>
            </w:r>
            <w:r>
              <w:rPr>
                <w:rFonts w:cs="宋体" w:asciiTheme="minorEastAsia" w:hAnsiTheme="minorEastAsia" w:eastAsiaTheme="minorEastAsia"/>
                <w:bCs/>
                <w:color w:val="auto"/>
                <w:sz w:val="24"/>
                <w:szCs w:val="24"/>
              </w:rPr>
              <w:t>无</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有，具体要求：</w:t>
            </w:r>
          </w:p>
          <w:p>
            <w:pPr>
              <w:spacing w:after="0" w:line="360" w:lineRule="auto"/>
              <w:jc w:val="both"/>
              <w:rPr>
                <w:rFonts w:ascii="Times New Roman" w:hAnsi="Times New Roman" w:cs="Times New Roman" w:eastAsiaTheme="minorEastAsia"/>
                <w:bCs/>
                <w:color w:val="auto"/>
                <w:sz w:val="24"/>
                <w:szCs w:val="24"/>
              </w:rPr>
            </w:pPr>
            <w:r>
              <w:rPr>
                <w:rFonts w:hint="eastAsia" w:ascii="Times New Roman" w:hAnsi="Times New Roman" w:cs="Times New Roman" w:eastAsiaTheme="minorEastAsia"/>
                <w:bCs/>
                <w:color w:val="auto"/>
                <w:sz w:val="24"/>
                <w:szCs w:val="24"/>
              </w:rPr>
              <w:t>其他资格审查资料要求详见 本附表1.4.1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3.6.1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是否允许递交备选投标方案</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3.7.3A（2）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投标文件副本份数及其他要求</w:t>
            </w:r>
          </w:p>
        </w:tc>
        <w:tc>
          <w:tcPr>
            <w:tcW w:w="2917" w:type="pct"/>
            <w:vAlign w:val="center"/>
          </w:tcPr>
          <w:p>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投标文件副本份数：六份</w:t>
            </w:r>
          </w:p>
          <w:p>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是否要求提交电子版文件：1份（形式为投标文件正本扫描件pdf与word版本的u盘）</w:t>
            </w:r>
          </w:p>
          <w:p>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其他要求：</w:t>
            </w:r>
            <w:r>
              <w:rPr>
                <w:rFonts w:hint="eastAsia"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3.7.3A（3）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投标文件是否需分册装订</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3.7.3（B）</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投标文件所附证书证件要求</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3.7.3（B）</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投标文件签字或盖章要求</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投标人应按招标文件要求在相应位置签章：</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投标文件格式要求“盖章”处应加盖投标人公章；要求“签字”处应由投标人的法定代表人（单位负责人）或其授权的代理人签字或加盖签名章。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4.1.1（B）</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投标文件加密要求</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4.1.2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封套上应载明的信息</w:t>
            </w:r>
          </w:p>
        </w:tc>
        <w:tc>
          <w:tcPr>
            <w:tcW w:w="2917" w:type="pct"/>
            <w:vAlign w:val="center"/>
          </w:tcPr>
          <w:p>
            <w:pPr>
              <w:spacing w:after="0" w:line="360" w:lineRule="auto"/>
              <w:ind w:right="156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w:t>
            </w:r>
            <w:r>
              <w:rPr>
                <w:rFonts w:cs="宋体" w:asciiTheme="minorEastAsia" w:hAnsiTheme="minorEastAsia" w:eastAsiaTheme="minorEastAsia"/>
                <w:bCs/>
                <w:color w:val="auto"/>
                <w:sz w:val="24"/>
                <w:szCs w:val="24"/>
              </w:rPr>
              <w:t>人名称：</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（项目名称）招标项目投标文件</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招标项目编号：</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在</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年</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月</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日时前不得开启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投标截止时间</w:t>
            </w:r>
          </w:p>
        </w:tc>
        <w:tc>
          <w:tcPr>
            <w:tcW w:w="2917"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202</w:t>
            </w:r>
            <w:r>
              <w:rPr>
                <w:rFonts w:hint="eastAsia" w:cs="宋体" w:asciiTheme="minorEastAsia" w:hAnsiTheme="minorEastAsia" w:eastAsiaTheme="minorEastAsia"/>
                <w:bCs/>
                <w:color w:val="auto"/>
                <w:sz w:val="24"/>
                <w:szCs w:val="24"/>
              </w:rPr>
              <w:t xml:space="preserve">5年X月XX日 </w:t>
            </w:r>
            <w:r>
              <w:rPr>
                <w:rFonts w:cs="宋体" w:asciiTheme="minorEastAsia" w:hAnsiTheme="minorEastAsia" w:eastAsiaTheme="minorEastAsia"/>
                <w:bCs/>
                <w:color w:val="auto"/>
                <w:sz w:val="24"/>
                <w:szCs w:val="24"/>
              </w:rPr>
              <w:t>09</w:t>
            </w:r>
            <w:r>
              <w:rPr>
                <w:rFonts w:hint="eastAsia" w:cs="宋体" w:asciiTheme="minorEastAsia" w:hAnsiTheme="minorEastAsia" w:eastAsiaTheme="minorEastAsia"/>
                <w:bCs/>
                <w:color w:val="auto"/>
                <w:sz w:val="24"/>
                <w:szCs w:val="24"/>
              </w:rPr>
              <w:t>:0</w:t>
            </w:r>
            <w:r>
              <w:rPr>
                <w:rFonts w:cs="宋体" w:asciiTheme="minorEastAsia" w:hAnsiTheme="minorEastAsia" w:eastAsiaTheme="minorEastAsia"/>
                <w:bCs/>
                <w:color w:val="auto"/>
                <w:sz w:val="24"/>
                <w:szCs w:val="24"/>
              </w:rPr>
              <w:t>0</w:t>
            </w:r>
            <w:r>
              <w:rPr>
                <w:rFonts w:hint="eastAsia" w:cs="宋体" w:asciiTheme="minorEastAsia" w:hAnsiTheme="minorEastAsia" w:eastAsiaTheme="minorEastAsia"/>
                <w:bCs/>
                <w:color w:val="auto"/>
                <w:sz w:val="24"/>
                <w:szCs w:val="24"/>
              </w:rPr>
              <w:t>时（北京时间）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4.2.2（A）</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递交投标文件地点</w:t>
            </w:r>
          </w:p>
        </w:tc>
        <w:tc>
          <w:tcPr>
            <w:tcW w:w="2917" w:type="pct"/>
            <w:vAlign w:val="center"/>
          </w:tcPr>
          <w:p>
            <w:pPr>
              <w:spacing w:after="0" w:line="360" w:lineRule="auto"/>
              <w:ind w:right="-107"/>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四川省绵阳市绵阳科技城创新中心二期</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号楼会议室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4.2.3</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投标文件是否退还</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5.1（A）</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开标时间和地点</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开标时间：同投标截止时间</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开标地点：</w:t>
            </w:r>
            <w:r>
              <w:rPr>
                <w:rFonts w:hint="eastAsia" w:cs="宋体" w:asciiTheme="minorEastAsia" w:hAnsiTheme="minorEastAsia" w:eastAsiaTheme="minorEastAsia"/>
                <w:bCs/>
                <w:color w:val="auto"/>
                <w:sz w:val="24"/>
                <w:szCs w:val="24"/>
              </w:rPr>
              <w:t>同</w:t>
            </w:r>
            <w:r>
              <w:rPr>
                <w:rFonts w:cs="宋体" w:asciiTheme="minorEastAsia" w:hAnsiTheme="minorEastAsia" w:eastAsiaTheme="minorEastAsia"/>
                <w:bCs/>
                <w:color w:val="auto"/>
                <w:sz w:val="24"/>
                <w:szCs w:val="24"/>
              </w:rPr>
              <w:t>投标文件递交地点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10" w:type="pct"/>
            <w:vAlign w:val="center"/>
          </w:tcPr>
          <w:p>
            <w:pPr>
              <w:spacing w:after="0" w:line="360" w:lineRule="auto"/>
              <w:ind w:right="3"/>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5.2（4）（A）</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开标程序</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开标顺序： </w:t>
            </w:r>
            <w:r>
              <w:rPr>
                <w:rFonts w:hint="eastAsia" w:cs="宋体" w:asciiTheme="minorEastAsia" w:hAnsiTheme="minorEastAsia" w:eastAsiaTheme="minorEastAsia"/>
                <w:bCs/>
                <w:color w:val="auto"/>
                <w:sz w:val="24"/>
                <w:szCs w:val="24"/>
              </w:rPr>
              <w:t>随机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6.1.1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评标委员会的组建</w:t>
            </w:r>
          </w:p>
        </w:tc>
        <w:tc>
          <w:tcPr>
            <w:tcW w:w="2917" w:type="pct"/>
            <w:vAlign w:val="center"/>
          </w:tcPr>
          <w:p>
            <w:pPr>
              <w:spacing w:after="0" w:line="360" w:lineRule="auto"/>
              <w:jc w:val="both"/>
              <w:rPr>
                <w:rFonts w:hint="eastAsia" w:ascii="宋体" w:hAnsi="宋体" w:eastAsia="宋体" w:cs="宋体"/>
                <w:bCs/>
                <w:color w:val="auto"/>
                <w:sz w:val="24"/>
                <w:szCs w:val="24"/>
              </w:rPr>
            </w:pPr>
            <w:r>
              <w:rPr>
                <w:rFonts w:hint="eastAsia" w:ascii="宋体" w:hAnsi="宋体" w:eastAsia="宋体"/>
                <w:sz w:val="24"/>
                <w:szCs w:val="24"/>
              </w:rPr>
              <w:t>评标委员会由招标人的代表和有关技术、经济等方面的专家组成，成员人数为</w:t>
            </w:r>
            <w:r>
              <w:rPr>
                <w:rFonts w:hint="eastAsia" w:ascii="宋体" w:hAnsi="宋体" w:eastAsia="宋体"/>
                <w:b/>
                <w:bCs/>
                <w:sz w:val="24"/>
                <w:szCs w:val="24"/>
                <w:u w:val="single"/>
              </w:rPr>
              <w:t>五人以上</w:t>
            </w:r>
            <w:r>
              <w:rPr>
                <w:rFonts w:hint="eastAsia" w:ascii="宋体" w:hAnsi="宋体" w:eastAsia="宋体"/>
                <w:sz w:val="24"/>
                <w:szCs w:val="24"/>
              </w:rPr>
              <w:t>单数。技术、经济等方面专家的确定方式为：依照相关法律法规进行确定。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6.3.2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评标委员会推荐中标候选人的人数</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1-3名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中标候选人公示媒介及期限</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公示媒介：</w:t>
            </w:r>
            <w:r>
              <w:rPr>
                <w:rFonts w:asciiTheme="minorEastAsia" w:hAnsiTheme="minorEastAsia" w:eastAsiaTheme="minorEastAsia"/>
                <w:bCs/>
                <w:color w:val="auto"/>
                <w:sz w:val="24"/>
                <w:szCs w:val="24"/>
              </w:rPr>
              <w:t>中国招标</w:t>
            </w:r>
            <w:r>
              <w:rPr>
                <w:rFonts w:hint="eastAsia" w:asciiTheme="minorEastAsia" w:hAnsiTheme="minorEastAsia" w:eastAsiaTheme="minorEastAsia"/>
                <w:bCs/>
                <w:color w:val="auto"/>
                <w:sz w:val="24"/>
                <w:szCs w:val="24"/>
              </w:rPr>
              <w:t>投标</w:t>
            </w:r>
            <w:r>
              <w:rPr>
                <w:rFonts w:asciiTheme="minorEastAsia" w:hAnsiTheme="minorEastAsia" w:eastAsiaTheme="minorEastAsia"/>
                <w:bCs/>
                <w:color w:val="auto"/>
                <w:sz w:val="24"/>
                <w:szCs w:val="24"/>
              </w:rPr>
              <w:t>公共服务平台</w:t>
            </w:r>
            <w:r>
              <w:rPr>
                <w:rFonts w:hint="eastAsia" w:asciiTheme="minorEastAsia" w:hAnsiTheme="minorEastAsia" w:eastAsiaTheme="minorEastAsia"/>
                <w:bCs/>
                <w:color w:val="auto"/>
                <w:sz w:val="24"/>
                <w:szCs w:val="24"/>
              </w:rPr>
              <w:t>和四川九洲投资控股集团有限公司官网</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公示期限： 不少于</w:t>
            </w:r>
            <w:r>
              <w:rPr>
                <w:rFonts w:cs="Times New Roman" w:asciiTheme="minorEastAsia" w:hAnsiTheme="minorEastAsia" w:eastAsiaTheme="minorEastAsia"/>
                <w:bCs/>
                <w:color w:val="auto"/>
                <w:sz w:val="24"/>
                <w:szCs w:val="24"/>
              </w:rPr>
              <w:t xml:space="preserve">3 </w:t>
            </w:r>
            <w:r>
              <w:rPr>
                <w:rFonts w:cs="宋体" w:asciiTheme="minorEastAsia" w:hAnsiTheme="minorEastAsia" w:eastAsiaTheme="minorEastAsia"/>
                <w:bCs/>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7.4</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是否授权评标委员会确定中标人</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7.6.1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履约保证金</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是否要求中标人提交履约保证金：</w:t>
            </w:r>
          </w:p>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要求，履约保证金的形式：</w:t>
            </w:r>
            <w:r>
              <w:rPr>
                <w:rFonts w:hint="eastAsia" w:ascii="宋体" w:eastAsia="宋体" w:cs="宋体"/>
                <w:kern w:val="0"/>
                <w:sz w:val="24"/>
                <w:szCs w:val="24"/>
                <w:lang w:bidi="ar"/>
              </w:rPr>
              <w:t>银行电汇</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履约保证金的金额：</w:t>
            </w:r>
            <w:r>
              <w:rPr>
                <w:rFonts w:hint="eastAsia" w:cs="宋体" w:asciiTheme="minorEastAsia" w:hAnsiTheme="minorEastAsia" w:eastAsiaTheme="minorEastAsia"/>
                <w:bCs/>
                <w:color w:val="auto"/>
                <w:sz w:val="24"/>
                <w:szCs w:val="24"/>
              </w:rPr>
              <w:t>中标人按照合同金额的</w:t>
            </w:r>
            <w:r>
              <w:rPr>
                <w:rFonts w:cs="宋体" w:asciiTheme="minorEastAsia" w:hAnsiTheme="minorEastAsia" w:eastAsiaTheme="minorEastAsia"/>
                <w:bCs/>
                <w:color w:val="auto"/>
                <w:sz w:val="24"/>
                <w:szCs w:val="24"/>
              </w:rPr>
              <w:t>5%</w:t>
            </w:r>
            <w:r>
              <w:rPr>
                <w:rFonts w:hint="eastAsia" w:cs="宋体" w:asciiTheme="minorEastAsia" w:hAnsiTheme="minorEastAsia" w:eastAsiaTheme="minorEastAsia"/>
                <w:bCs/>
                <w:color w:val="auto"/>
                <w:sz w:val="24"/>
                <w:szCs w:val="24"/>
              </w:rPr>
              <w:t>提交履约保证金</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（详见第四章合同主要条款）</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9</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是否采用电子招标投标</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否</w:t>
            </w:r>
          </w:p>
          <w:p>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10" w:type="pct"/>
            <w:vAlign w:val="center"/>
          </w:tcPr>
          <w:p>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10</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需要补充的其他内容</w:t>
            </w:r>
          </w:p>
        </w:tc>
        <w:tc>
          <w:tcPr>
            <w:tcW w:w="2917" w:type="pct"/>
            <w:vAlign w:val="center"/>
          </w:tcPr>
          <w:p>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Times New Roman" w:asciiTheme="minorEastAsia" w:hAnsiTheme="minorEastAsia" w:eastAsiaTheme="minorEastAsia"/>
                <w:bCs/>
                <w:color w:val="auto"/>
                <w:sz w:val="24"/>
                <w:szCs w:val="24"/>
              </w:rPr>
            </w:pPr>
            <w:r>
              <w:rPr>
                <w:rFonts w:hint="eastAsia" w:cs="Times New Roman" w:asciiTheme="minorEastAsia" w:hAnsiTheme="minorEastAsia" w:eastAsiaTheme="minorEastAsia"/>
                <w:bCs/>
                <w:color w:val="auto"/>
                <w:sz w:val="24"/>
                <w:szCs w:val="24"/>
              </w:rPr>
              <w:t>10.1</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中标服务费</w:t>
            </w:r>
          </w:p>
        </w:tc>
        <w:tc>
          <w:tcPr>
            <w:tcW w:w="2917" w:type="pct"/>
            <w:vAlign w:val="center"/>
          </w:tcPr>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中标方须向招标代理公司按如下标准和规定交纳中标服务费</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）以中标总金额作为收费的计算基数。</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2</w:t>
            </w:r>
            <w:r>
              <w:rPr>
                <w:rFonts w:hint="eastAsia" w:cs="宋体" w:asciiTheme="minorEastAsia" w:hAnsiTheme="minorEastAsia" w:eastAsiaTheme="minorEastAsia"/>
                <w:bCs/>
                <w:color w:val="auto"/>
                <w:sz w:val="24"/>
                <w:szCs w:val="24"/>
              </w:rPr>
              <w:t>）中标服务费按计价格</w:t>
            </w:r>
            <w:r>
              <w:rPr>
                <w:rFonts w:cs="宋体" w:asciiTheme="minorEastAsia" w:hAnsiTheme="minorEastAsia" w:eastAsiaTheme="minorEastAsia"/>
                <w:bCs/>
                <w:color w:val="auto"/>
                <w:sz w:val="24"/>
                <w:szCs w:val="24"/>
              </w:rPr>
              <w:t>[2002]1980</w:t>
            </w:r>
            <w:r>
              <w:rPr>
                <w:rFonts w:hint="eastAsia" w:cs="宋体" w:asciiTheme="minorEastAsia" w:hAnsiTheme="minorEastAsia" w:eastAsiaTheme="minorEastAsia"/>
                <w:bCs/>
                <w:color w:val="auto"/>
                <w:sz w:val="24"/>
                <w:szCs w:val="24"/>
              </w:rPr>
              <w:t>号标准费率下浮28</w:t>
            </w:r>
            <w:r>
              <w:rPr>
                <w:rFonts w:cs="宋体"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收取。</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（3）中标服务费以人民币支付。</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（4）</w:t>
            </w:r>
            <w:r>
              <w:rPr>
                <w:rFonts w:cs="宋体" w:asciiTheme="minorEastAsia" w:hAnsiTheme="minorEastAsia" w:eastAsiaTheme="minorEastAsia"/>
                <w:bCs/>
                <w:color w:val="auto"/>
                <w:sz w:val="24"/>
                <w:szCs w:val="24"/>
              </w:rPr>
              <w:t>投标</w:t>
            </w:r>
            <w:r>
              <w:rPr>
                <w:rFonts w:hint="eastAsia" w:cs="宋体" w:asciiTheme="minorEastAsia" w:hAnsiTheme="minorEastAsia" w:eastAsiaTheme="minorEastAsia"/>
                <w:bCs/>
                <w:color w:val="auto"/>
                <w:sz w:val="24"/>
                <w:szCs w:val="24"/>
              </w:rPr>
              <w:t>文件中</w:t>
            </w:r>
            <w:r>
              <w:rPr>
                <w:rFonts w:cs="宋体" w:asciiTheme="minorEastAsia" w:hAnsiTheme="minorEastAsia" w:eastAsiaTheme="minorEastAsia"/>
                <w:bCs/>
                <w:color w:val="auto"/>
                <w:sz w:val="24"/>
                <w:szCs w:val="24"/>
              </w:rPr>
              <w:t>应向</w:t>
            </w:r>
            <w:r>
              <w:rPr>
                <w:rFonts w:hint="eastAsia" w:cs="宋体" w:asciiTheme="minorEastAsia" w:hAnsiTheme="minorEastAsia" w:eastAsiaTheme="minorEastAsia"/>
                <w:bCs/>
                <w:color w:val="auto"/>
                <w:sz w:val="24"/>
                <w:szCs w:val="24"/>
              </w:rPr>
              <w:t>提供</w:t>
            </w:r>
            <w:r>
              <w:rPr>
                <w:rFonts w:cs="宋体" w:asciiTheme="minorEastAsia" w:hAnsiTheme="minorEastAsia" w:eastAsiaTheme="minorEastAsia"/>
                <w:bCs/>
                <w:color w:val="auto"/>
                <w:sz w:val="24"/>
                <w:szCs w:val="24"/>
              </w:rPr>
              <w:t>“中标服务费承诺书” (见承诺书格式)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pPr>
              <w:spacing w:after="0" w:line="360" w:lineRule="auto"/>
              <w:ind w:right="3"/>
              <w:jc w:val="both"/>
              <w:rPr>
                <w:rFonts w:hint="eastAsia" w:cs="Times New Roman" w:asciiTheme="minorEastAsia" w:hAnsiTheme="minorEastAsia" w:eastAsiaTheme="minorEastAsia"/>
                <w:bCs/>
                <w:color w:val="auto"/>
                <w:sz w:val="24"/>
                <w:szCs w:val="24"/>
              </w:rPr>
            </w:pPr>
            <w:r>
              <w:rPr>
                <w:rFonts w:hint="eastAsia" w:cs="Times New Roman" w:asciiTheme="minorEastAsia" w:hAnsiTheme="minorEastAsia" w:eastAsiaTheme="minorEastAsia"/>
                <w:bCs/>
                <w:color w:val="auto"/>
                <w:sz w:val="24"/>
                <w:szCs w:val="24"/>
              </w:rPr>
              <w:t>10.2</w:t>
            </w:r>
          </w:p>
        </w:tc>
        <w:tc>
          <w:tcPr>
            <w:tcW w:w="1373" w:type="pct"/>
            <w:vAlign w:val="center"/>
          </w:tcPr>
          <w:p>
            <w:pPr>
              <w:spacing w:after="0" w:line="360" w:lineRule="auto"/>
              <w:ind w:right="7"/>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述标演示要求</w:t>
            </w:r>
          </w:p>
        </w:tc>
        <w:tc>
          <w:tcPr>
            <w:tcW w:w="2917" w:type="pct"/>
            <w:vAlign w:val="center"/>
          </w:tcPr>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（1）本项目要求投标人进行述标演示。</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（2）述标演示包括但不仅限于投标人应依据项目建设要求进行布局演示，讲解方案总体思路、设计亮点、实施方案等内容。</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（3）投标人述标顺序以抽签确定。由投标人授权代表在监标人（如有）和招标人开标代表的监督下进行抽签。</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（4）投标人参与述标演示人员最多不得超过4人（含）（参与现场述标演示的人员须为投标人拟派团队成员，其中一人必须为拟派为本项目的项目经理，并与“现场述标演示人员授权书”中的人员保持一致。）</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（5）每家述标演示时间不超过</w:t>
            </w:r>
            <w:r>
              <w:rPr>
                <w:rFonts w:hint="eastAsia" w:cs="宋体" w:asciiTheme="minorEastAsia" w:hAnsiTheme="minorEastAsia" w:eastAsiaTheme="minorEastAsia"/>
                <w:b/>
                <w:color w:val="auto"/>
                <w:sz w:val="24"/>
                <w:szCs w:val="24"/>
              </w:rPr>
              <w:t>30分钟</w:t>
            </w:r>
            <w:r>
              <w:rPr>
                <w:rFonts w:hint="eastAsia" w:cs="宋体" w:asciiTheme="minorEastAsia" w:hAnsiTheme="minorEastAsia" w:eastAsiaTheme="minorEastAsia"/>
                <w:bCs/>
                <w:color w:val="auto"/>
                <w:sz w:val="24"/>
                <w:szCs w:val="24"/>
              </w:rPr>
              <w:t>（其中包含播放</w:t>
            </w:r>
            <w:r>
              <w:rPr>
                <w:rFonts w:cs="宋体" w:asciiTheme="minorEastAsia" w:hAnsiTheme="minorEastAsia" w:eastAsiaTheme="minorEastAsia"/>
                <w:bCs/>
                <w:color w:val="auto"/>
                <w:sz w:val="24"/>
                <w:szCs w:val="24"/>
              </w:rPr>
              <w:t>PPT</w:t>
            </w:r>
            <w:r>
              <w:rPr>
                <w:rFonts w:hint="eastAsia" w:cs="宋体" w:asciiTheme="minorEastAsia" w:hAnsiTheme="minorEastAsia" w:eastAsiaTheme="minorEastAsia"/>
                <w:bCs/>
                <w:color w:val="auto"/>
                <w:sz w:val="24"/>
                <w:szCs w:val="24"/>
              </w:rPr>
              <w:t>或其它电子文件展示时间），请合理安排述标演示时间。</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（6）述标演示资格：初步评审合格的有效投标人具备述标演示资格。</w:t>
            </w:r>
          </w:p>
          <w:p>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7）述标演示所需设备由投标人自行准备。演示内容须放入电子文档（U盘），电子文档作为投标文件的一部分与纸质文件一同递交。在现场演示时以随投标文件递交的电子文档（U盘）中的内容为准，不得由投标人另行提供。</w:t>
            </w:r>
          </w:p>
        </w:tc>
      </w:tr>
    </w:tbl>
    <w:p>
      <w:pPr>
        <w:spacing w:after="0" w:line="240" w:lineRule="auto"/>
        <w:rPr>
          <w:bCs/>
          <w:color w:val="auto"/>
          <w:sz w:val="32"/>
          <w:szCs w:val="32"/>
        </w:rPr>
      </w:pPr>
      <w:r>
        <w:rPr>
          <w:rFonts w:ascii="Times New Roman" w:hAnsi="Times New Roman" w:eastAsia="Times New Roman" w:cs="Times New Roman"/>
          <w:b/>
          <w:color w:val="auto"/>
          <w:sz w:val="44"/>
        </w:rPr>
        <w:br w:type="page"/>
      </w:r>
      <w:r>
        <w:rPr>
          <w:rFonts w:ascii="Times New Roman" w:hAnsi="Times New Roman" w:eastAsia="Times New Roman" w:cs="Times New Roman"/>
          <w:bCs/>
          <w:color w:val="auto"/>
          <w:sz w:val="32"/>
          <w:szCs w:val="32"/>
        </w:rPr>
        <w:t xml:space="preserve">1. </w:t>
      </w:r>
      <w:r>
        <w:rPr>
          <w:rFonts w:ascii="黑体" w:hAnsi="黑体" w:eastAsia="黑体"/>
          <w:bCs/>
          <w:color w:val="auto"/>
          <w:sz w:val="32"/>
          <w:szCs w:val="32"/>
        </w:rPr>
        <w:t>总则</w:t>
      </w:r>
    </w:p>
    <w:p>
      <w:pPr>
        <w:pStyle w:val="4"/>
        <w:ind w:left="132" w:right="0"/>
        <w:rPr>
          <w:rFonts w:hint="eastAsia"/>
          <w:bCs/>
          <w:color w:val="auto"/>
        </w:rPr>
      </w:pPr>
      <w:bookmarkStart w:id="33" w:name="_Toc195390811"/>
      <w:r>
        <w:rPr>
          <w:rFonts w:ascii="Times New Roman" w:hAnsi="Times New Roman" w:eastAsia="Times New Roman" w:cs="Times New Roman"/>
          <w:bCs/>
          <w:color w:val="auto"/>
        </w:rPr>
        <w:t xml:space="preserve">1.1 </w:t>
      </w:r>
      <w:r>
        <w:rPr>
          <w:bCs/>
          <w:color w:val="auto"/>
        </w:rPr>
        <w:t>招标项目概况</w:t>
      </w:r>
      <w:bookmarkEnd w:id="33"/>
    </w:p>
    <w:p>
      <w:pPr>
        <w:spacing w:after="5" w:line="372" w:lineRule="auto"/>
        <w:ind w:left="-15" w:right="590" w:firstLine="420"/>
        <w:rPr>
          <w:bCs/>
          <w:color w:val="auto"/>
        </w:rPr>
      </w:pPr>
      <w:r>
        <w:rPr>
          <w:rFonts w:ascii="Times New Roman" w:hAnsi="Times New Roman" w:eastAsia="Times New Roman" w:cs="Times New Roman"/>
          <w:bCs/>
          <w:color w:val="auto"/>
          <w:sz w:val="21"/>
        </w:rPr>
        <w:t xml:space="preserve">1.1.1 </w:t>
      </w:r>
      <w:r>
        <w:rPr>
          <w:rFonts w:ascii="宋体" w:hAnsi="宋体" w:eastAsia="宋体" w:cs="宋体"/>
          <w:bCs/>
          <w:color w:val="auto"/>
          <w:sz w:val="21"/>
        </w:rPr>
        <w:t>根据《中华人民共和国招标投标法》、《中华人民共和国招标投标法实施条例》等有关法律、法规和规章的规定，本招标项目已具备招标条件，现对设备采购进行招标。</w:t>
      </w:r>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1.1.2 </w:t>
      </w:r>
      <w:r>
        <w:rPr>
          <w:rFonts w:ascii="宋体" w:hAnsi="宋体" w:eastAsia="宋体" w:cs="宋体"/>
          <w:bCs/>
          <w:color w:val="auto"/>
          <w:sz w:val="21"/>
        </w:rPr>
        <w:t>招标人：见投标人须知前附表。</w:t>
      </w:r>
    </w:p>
    <w:p>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1.1.3 </w:t>
      </w:r>
      <w:r>
        <w:rPr>
          <w:rFonts w:ascii="宋体" w:hAnsi="宋体" w:eastAsia="宋体" w:cs="宋体"/>
          <w:bCs/>
          <w:color w:val="auto"/>
          <w:sz w:val="21"/>
        </w:rPr>
        <w:t>招标代理机构：见投标人须知前附表。</w:t>
      </w:r>
    </w:p>
    <w:p>
      <w:pPr>
        <w:spacing w:after="125" w:line="265" w:lineRule="auto"/>
        <w:ind w:left="430" w:right="590" w:hanging="10"/>
        <w:rPr>
          <w:bCs/>
          <w:color w:val="auto"/>
        </w:rPr>
      </w:pPr>
      <w:r>
        <w:rPr>
          <w:rFonts w:ascii="Times New Roman" w:hAnsi="Times New Roman" w:eastAsia="Times New Roman" w:cs="Times New Roman"/>
          <w:bCs/>
          <w:color w:val="auto"/>
          <w:sz w:val="21"/>
        </w:rPr>
        <w:t xml:space="preserve">1.1.4 </w:t>
      </w:r>
      <w:r>
        <w:rPr>
          <w:rFonts w:ascii="宋体" w:hAnsi="宋体" w:eastAsia="宋体" w:cs="宋体"/>
          <w:bCs/>
          <w:color w:val="auto"/>
          <w:sz w:val="21"/>
        </w:rPr>
        <w:t>招标项目名称：见投标人须知前附表。</w:t>
      </w:r>
    </w:p>
    <w:p>
      <w:pPr>
        <w:spacing w:after="348" w:line="265" w:lineRule="auto"/>
        <w:ind w:left="430" w:right="590" w:hanging="10"/>
        <w:rPr>
          <w:bCs/>
          <w:color w:val="auto"/>
        </w:rPr>
      </w:pPr>
      <w:r>
        <w:rPr>
          <w:rFonts w:ascii="Times New Roman" w:hAnsi="Times New Roman" w:eastAsia="Times New Roman" w:cs="Times New Roman"/>
          <w:bCs/>
          <w:color w:val="auto"/>
          <w:sz w:val="21"/>
        </w:rPr>
        <w:t xml:space="preserve">1.1.5 </w:t>
      </w:r>
      <w:r>
        <w:rPr>
          <w:rFonts w:ascii="宋体" w:hAnsi="宋体" w:eastAsia="宋体" w:cs="宋体"/>
          <w:bCs/>
          <w:color w:val="auto"/>
          <w:sz w:val="21"/>
        </w:rPr>
        <w:t>工程项目名称：即招标项目所属的工程建设项目，见投标人须知前附表。</w:t>
      </w:r>
    </w:p>
    <w:p>
      <w:pPr>
        <w:pStyle w:val="4"/>
        <w:ind w:left="132" w:right="0"/>
        <w:rPr>
          <w:rFonts w:hint="eastAsia"/>
          <w:bCs/>
          <w:color w:val="auto"/>
        </w:rPr>
      </w:pPr>
      <w:bookmarkStart w:id="34" w:name="_Toc195390812"/>
      <w:r>
        <w:rPr>
          <w:rFonts w:ascii="Times New Roman" w:hAnsi="Times New Roman" w:eastAsia="Times New Roman" w:cs="Times New Roman"/>
          <w:bCs/>
          <w:color w:val="auto"/>
        </w:rPr>
        <w:t xml:space="preserve">1.2 </w:t>
      </w:r>
      <w:r>
        <w:rPr>
          <w:bCs/>
          <w:color w:val="auto"/>
        </w:rPr>
        <w:t>招标项目的资金来源和落实情况</w:t>
      </w:r>
      <w:bookmarkEnd w:id="34"/>
    </w:p>
    <w:p>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1.2.1 </w:t>
      </w:r>
      <w:r>
        <w:rPr>
          <w:rFonts w:ascii="宋体" w:hAnsi="宋体" w:eastAsia="宋体" w:cs="宋体"/>
          <w:bCs/>
          <w:color w:val="auto"/>
          <w:sz w:val="21"/>
        </w:rPr>
        <w:t>资金来源及比例：见投标人须知前附表。</w:t>
      </w:r>
    </w:p>
    <w:p>
      <w:pPr>
        <w:spacing w:after="342" w:line="265" w:lineRule="auto"/>
        <w:ind w:left="430" w:right="590" w:hanging="10"/>
        <w:rPr>
          <w:bCs/>
          <w:color w:val="auto"/>
        </w:rPr>
      </w:pPr>
      <w:r>
        <w:rPr>
          <w:rFonts w:ascii="Times New Roman" w:hAnsi="Times New Roman" w:eastAsia="Times New Roman" w:cs="Times New Roman"/>
          <w:bCs/>
          <w:color w:val="auto"/>
          <w:sz w:val="21"/>
        </w:rPr>
        <w:t xml:space="preserve">1.2.2 </w:t>
      </w:r>
      <w:r>
        <w:rPr>
          <w:rFonts w:ascii="宋体" w:hAnsi="宋体" w:eastAsia="宋体" w:cs="宋体"/>
          <w:bCs/>
          <w:color w:val="auto"/>
          <w:sz w:val="21"/>
        </w:rPr>
        <w:t>资金落实情况：见投标人须知前附表。</w:t>
      </w:r>
    </w:p>
    <w:p>
      <w:pPr>
        <w:pStyle w:val="4"/>
        <w:ind w:left="132" w:right="0"/>
        <w:rPr>
          <w:rFonts w:hint="eastAsia"/>
          <w:bCs/>
          <w:color w:val="auto"/>
        </w:rPr>
      </w:pPr>
      <w:bookmarkStart w:id="35" w:name="_Toc195390813"/>
      <w:r>
        <w:rPr>
          <w:rFonts w:ascii="Times New Roman" w:hAnsi="Times New Roman" w:eastAsia="Times New Roman" w:cs="Times New Roman"/>
          <w:bCs/>
          <w:color w:val="auto"/>
        </w:rPr>
        <w:t xml:space="preserve">1.3 </w:t>
      </w:r>
      <w:r>
        <w:rPr>
          <w:bCs/>
          <w:color w:val="auto"/>
        </w:rPr>
        <w:t>招标范围、交货期、交货地点和技术性能指标</w:t>
      </w:r>
      <w:bookmarkEnd w:id="35"/>
    </w:p>
    <w:p>
      <w:pPr>
        <w:spacing w:after="118" w:line="265" w:lineRule="auto"/>
        <w:ind w:left="430" w:right="590" w:hanging="10"/>
        <w:rPr>
          <w:bCs/>
          <w:color w:val="auto"/>
        </w:rPr>
      </w:pPr>
      <w:r>
        <w:rPr>
          <w:rFonts w:ascii="Times New Roman" w:hAnsi="Times New Roman" w:eastAsia="Times New Roman" w:cs="Times New Roman"/>
          <w:bCs/>
          <w:color w:val="auto"/>
          <w:sz w:val="21"/>
        </w:rPr>
        <w:t xml:space="preserve">1.3.1 </w:t>
      </w:r>
      <w:r>
        <w:rPr>
          <w:rFonts w:ascii="宋体" w:hAnsi="宋体" w:eastAsia="宋体" w:cs="宋体"/>
          <w:bCs/>
          <w:color w:val="auto"/>
          <w:sz w:val="21"/>
        </w:rPr>
        <w:t>招标范围：见投标人须知前附表。</w:t>
      </w:r>
    </w:p>
    <w:p>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1.3.2 </w:t>
      </w:r>
      <w:r>
        <w:rPr>
          <w:rFonts w:ascii="宋体" w:hAnsi="宋体" w:eastAsia="宋体" w:cs="宋体"/>
          <w:bCs/>
          <w:color w:val="auto"/>
          <w:sz w:val="21"/>
        </w:rPr>
        <w:t>交货期：见投标人须知前附表。</w:t>
      </w:r>
    </w:p>
    <w:p>
      <w:pPr>
        <w:spacing w:after="118" w:line="265" w:lineRule="auto"/>
        <w:ind w:left="430" w:right="590" w:hanging="10"/>
        <w:rPr>
          <w:bCs/>
          <w:color w:val="auto"/>
        </w:rPr>
      </w:pPr>
      <w:r>
        <w:rPr>
          <w:rFonts w:ascii="Times New Roman" w:hAnsi="Times New Roman" w:eastAsia="Times New Roman" w:cs="Times New Roman"/>
          <w:bCs/>
          <w:color w:val="auto"/>
          <w:sz w:val="21"/>
        </w:rPr>
        <w:t xml:space="preserve">1.3.3 </w:t>
      </w:r>
      <w:r>
        <w:rPr>
          <w:rFonts w:ascii="宋体" w:hAnsi="宋体" w:eastAsia="宋体" w:cs="宋体"/>
          <w:bCs/>
          <w:color w:val="auto"/>
          <w:sz w:val="21"/>
        </w:rPr>
        <w:t>交货地点：见投标人须知前附表。</w:t>
      </w:r>
    </w:p>
    <w:p>
      <w:pPr>
        <w:spacing w:after="341" w:line="265" w:lineRule="auto"/>
        <w:ind w:left="430" w:right="590" w:hanging="10"/>
        <w:rPr>
          <w:bCs/>
          <w:color w:val="auto"/>
        </w:rPr>
      </w:pPr>
      <w:r>
        <w:rPr>
          <w:rFonts w:ascii="Times New Roman" w:hAnsi="Times New Roman" w:eastAsia="Times New Roman" w:cs="Times New Roman"/>
          <w:bCs/>
          <w:color w:val="auto"/>
          <w:sz w:val="21"/>
        </w:rPr>
        <w:t xml:space="preserve">1.3.4 </w:t>
      </w:r>
      <w:r>
        <w:rPr>
          <w:rFonts w:ascii="宋体" w:hAnsi="宋体" w:eastAsia="宋体" w:cs="宋体"/>
          <w:bCs/>
          <w:color w:val="auto"/>
          <w:sz w:val="21"/>
        </w:rPr>
        <w:t>技术性能指标：见投标人须知前附表。</w:t>
      </w:r>
    </w:p>
    <w:p>
      <w:pPr>
        <w:pStyle w:val="4"/>
        <w:ind w:left="132" w:right="0"/>
        <w:rPr>
          <w:rFonts w:hint="eastAsia"/>
          <w:bCs/>
          <w:color w:val="auto"/>
        </w:rPr>
      </w:pPr>
      <w:bookmarkStart w:id="36" w:name="_Toc195390814"/>
      <w:r>
        <w:rPr>
          <w:rFonts w:ascii="Times New Roman" w:hAnsi="Times New Roman" w:eastAsia="Times New Roman" w:cs="Times New Roman"/>
          <w:bCs/>
          <w:color w:val="auto"/>
        </w:rPr>
        <w:t xml:space="preserve">1.4 </w:t>
      </w:r>
      <w:r>
        <w:rPr>
          <w:bCs/>
          <w:color w:val="auto"/>
        </w:rPr>
        <w:t>投标人资格要求</w:t>
      </w:r>
      <w:bookmarkEnd w:id="36"/>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1.4.1 </w:t>
      </w:r>
      <w:r>
        <w:rPr>
          <w:rFonts w:ascii="宋体" w:hAnsi="宋体" w:eastAsia="宋体" w:cs="宋体"/>
          <w:bCs/>
          <w:color w:val="auto"/>
          <w:sz w:val="21"/>
        </w:rPr>
        <w:t>投标人应具备承担本招标项目资质条件、能力和信誉：</w:t>
      </w:r>
    </w:p>
    <w:p>
      <w:pPr>
        <w:spacing w:after="5" w:line="369" w:lineRule="auto"/>
        <w:ind w:left="324" w:right="1623"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）资质要求：见投标人须知前附表；</w:t>
      </w:r>
    </w:p>
    <w:p>
      <w:pPr>
        <w:spacing w:after="5" w:line="369" w:lineRule="auto"/>
        <w:ind w:left="324" w:right="1623"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）财务要求：见投标人须知前附表；</w:t>
      </w:r>
    </w:p>
    <w:p>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3</w:t>
      </w:r>
      <w:r>
        <w:rPr>
          <w:rFonts w:ascii="宋体" w:hAnsi="宋体" w:eastAsia="宋体" w:cs="宋体"/>
          <w:bCs/>
          <w:color w:val="auto"/>
          <w:sz w:val="21"/>
        </w:rPr>
        <w:t>）业绩要求：见投标人须知前附表；</w:t>
      </w:r>
    </w:p>
    <w:p>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4</w:t>
      </w:r>
      <w:r>
        <w:rPr>
          <w:rFonts w:ascii="宋体" w:hAnsi="宋体" w:eastAsia="宋体" w:cs="宋体"/>
          <w:bCs/>
          <w:color w:val="auto"/>
          <w:sz w:val="21"/>
        </w:rPr>
        <w:t>）信誉要求：见投标人须知前附表；</w:t>
      </w:r>
    </w:p>
    <w:p>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5</w:t>
      </w:r>
      <w:r>
        <w:rPr>
          <w:rFonts w:ascii="宋体" w:hAnsi="宋体" w:eastAsia="宋体" w:cs="宋体"/>
          <w:bCs/>
          <w:color w:val="auto"/>
          <w:sz w:val="21"/>
        </w:rPr>
        <w:t>）其他要求：见投标人须知前附表。</w:t>
      </w:r>
    </w:p>
    <w:p>
      <w:pPr>
        <w:spacing w:after="5" w:line="354" w:lineRule="auto"/>
        <w:ind w:left="-15" w:right="590" w:firstLine="420"/>
        <w:rPr>
          <w:bCs/>
          <w:color w:val="auto"/>
        </w:rPr>
      </w:pPr>
      <w:r>
        <w:rPr>
          <w:rFonts w:ascii="宋体" w:hAnsi="宋体" w:eastAsia="宋体" w:cs="宋体"/>
          <w:bCs/>
          <w:color w:val="auto"/>
          <w:sz w:val="21"/>
        </w:rPr>
        <w:t>投标人为代理经销商的，对投标人的资质要求包含对制造商的资质要求，对投标人的业绩要求包含对投标设备的业绩要求。</w:t>
      </w:r>
    </w:p>
    <w:p>
      <w:pPr>
        <w:spacing w:after="5" w:line="265" w:lineRule="auto"/>
        <w:ind w:left="430" w:right="590" w:hanging="10"/>
        <w:rPr>
          <w:bCs/>
          <w:color w:val="auto"/>
        </w:rPr>
      </w:pPr>
      <w:r>
        <w:rPr>
          <w:rFonts w:ascii="宋体" w:hAnsi="宋体" w:eastAsia="宋体" w:cs="宋体"/>
          <w:bCs/>
          <w:color w:val="auto"/>
          <w:sz w:val="21"/>
        </w:rPr>
        <w:t xml:space="preserve">需要提交的相关证明材料见本章第 </w:t>
      </w:r>
      <w:r>
        <w:rPr>
          <w:rFonts w:ascii="Times New Roman" w:hAnsi="Times New Roman" w:eastAsia="Times New Roman" w:cs="Times New Roman"/>
          <w:bCs/>
          <w:color w:val="auto"/>
          <w:sz w:val="21"/>
        </w:rPr>
        <w:t xml:space="preserve">3.5 </w:t>
      </w:r>
      <w:r>
        <w:rPr>
          <w:rFonts w:ascii="宋体" w:hAnsi="宋体" w:eastAsia="宋体" w:cs="宋体"/>
          <w:bCs/>
          <w:color w:val="auto"/>
          <w:sz w:val="21"/>
        </w:rPr>
        <w:t>款的规定。</w:t>
      </w:r>
    </w:p>
    <w:p>
      <w:pPr>
        <w:spacing w:after="5" w:line="373" w:lineRule="auto"/>
        <w:ind w:left="-15" w:right="590" w:firstLine="420"/>
        <w:rPr>
          <w:bCs/>
          <w:color w:val="auto"/>
        </w:rPr>
      </w:pPr>
      <w:r>
        <w:rPr>
          <w:rFonts w:ascii="Times New Roman" w:hAnsi="Times New Roman" w:eastAsia="Times New Roman" w:cs="Times New Roman"/>
          <w:bCs/>
          <w:color w:val="auto"/>
          <w:sz w:val="21"/>
        </w:rPr>
        <w:t xml:space="preserve">1.4.2 </w:t>
      </w:r>
      <w:r>
        <w:rPr>
          <w:rFonts w:ascii="宋体" w:hAnsi="宋体" w:eastAsia="宋体" w:cs="宋体"/>
          <w:bCs/>
          <w:color w:val="auto"/>
          <w:sz w:val="21"/>
        </w:rPr>
        <w:t xml:space="preserve">投标人须知前附表规定接受联合体投标的，联合体除应符合本章第 </w:t>
      </w:r>
      <w:r>
        <w:rPr>
          <w:rFonts w:ascii="Times New Roman" w:hAnsi="Times New Roman" w:eastAsia="Times New Roman" w:cs="Times New Roman"/>
          <w:bCs/>
          <w:color w:val="auto"/>
          <w:sz w:val="21"/>
        </w:rPr>
        <w:t xml:space="preserve">1.4.1 </w:t>
      </w:r>
      <w:r>
        <w:rPr>
          <w:rFonts w:ascii="宋体" w:hAnsi="宋体" w:eastAsia="宋体" w:cs="宋体"/>
          <w:bCs/>
          <w:color w:val="auto"/>
          <w:sz w:val="21"/>
        </w:rPr>
        <w:t>项和投标人须知前附表的要求外，还应遵守以下规定：</w:t>
      </w:r>
    </w:p>
    <w:p>
      <w:pPr>
        <w:numPr>
          <w:ilvl w:val="0"/>
          <w:numId w:val="2"/>
        </w:numPr>
        <w:spacing w:after="118" w:line="265" w:lineRule="auto"/>
        <w:ind w:left="284" w:leftChars="129" w:right="590"/>
        <w:rPr>
          <w:bCs/>
          <w:color w:val="auto"/>
        </w:rPr>
      </w:pPr>
      <w:r>
        <w:rPr>
          <w:rFonts w:ascii="宋体" w:hAnsi="宋体" w:eastAsia="宋体" w:cs="宋体"/>
          <w:bCs/>
          <w:color w:val="auto"/>
          <w:sz w:val="21"/>
        </w:rPr>
        <w:t>联合体各方应按招标文件提供的格式签订联合体协议书，明确联合体牵头人和各方权利义务，并承诺就中标项目向招标人承担连带责任；</w:t>
      </w:r>
    </w:p>
    <w:p>
      <w:pPr>
        <w:numPr>
          <w:ilvl w:val="0"/>
          <w:numId w:val="2"/>
        </w:numPr>
        <w:spacing w:after="118" w:line="265" w:lineRule="auto"/>
        <w:ind w:left="284" w:leftChars="129" w:right="590"/>
        <w:rPr>
          <w:bCs/>
          <w:color w:val="auto"/>
        </w:rPr>
      </w:pPr>
      <w:r>
        <w:rPr>
          <w:rFonts w:ascii="宋体" w:hAnsi="宋体" w:eastAsia="宋体" w:cs="宋体"/>
          <w:bCs/>
          <w:color w:val="auto"/>
          <w:sz w:val="21"/>
        </w:rPr>
        <w:t>由同一专业的单位组成的联合体，按照资质等级较低的单位确定资质等级；</w:t>
      </w:r>
    </w:p>
    <w:p>
      <w:pPr>
        <w:numPr>
          <w:ilvl w:val="0"/>
          <w:numId w:val="2"/>
        </w:numPr>
        <w:spacing w:after="118" w:line="265" w:lineRule="auto"/>
        <w:ind w:left="284" w:leftChars="129" w:right="590"/>
        <w:rPr>
          <w:bCs/>
          <w:color w:val="auto"/>
        </w:rPr>
      </w:pPr>
      <w:r>
        <w:rPr>
          <w:rFonts w:ascii="宋体" w:hAnsi="宋体" w:eastAsia="宋体" w:cs="宋体"/>
          <w:bCs/>
          <w:color w:val="auto"/>
          <w:sz w:val="21"/>
        </w:rPr>
        <w:t>联合体各方不得再以自己名义单独或参加其他联合体在本招标项目中投标，否则各相关投标均无效。</w:t>
      </w:r>
    </w:p>
    <w:p>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1.4.3 </w:t>
      </w:r>
      <w:r>
        <w:rPr>
          <w:rFonts w:ascii="宋体" w:hAnsi="宋体" w:eastAsia="宋体" w:cs="宋体"/>
          <w:bCs/>
          <w:color w:val="auto"/>
          <w:sz w:val="21"/>
        </w:rPr>
        <w:t>投标人不得存在下列情形之一：</w:t>
      </w:r>
    </w:p>
    <w:p>
      <w:pPr>
        <w:numPr>
          <w:ilvl w:val="0"/>
          <w:numId w:val="3"/>
        </w:numPr>
        <w:spacing w:after="121" w:line="265" w:lineRule="auto"/>
        <w:ind w:right="590" w:hanging="526"/>
        <w:rPr>
          <w:bCs/>
          <w:color w:val="auto"/>
        </w:rPr>
      </w:pPr>
      <w:r>
        <w:rPr>
          <w:rFonts w:ascii="宋体" w:hAnsi="宋体" w:eastAsia="宋体" w:cs="宋体"/>
          <w:bCs/>
          <w:color w:val="auto"/>
          <w:sz w:val="21"/>
        </w:rPr>
        <w:t>与招标人存在利害关系且可能影响招标公正性；</w:t>
      </w:r>
    </w:p>
    <w:p>
      <w:pPr>
        <w:numPr>
          <w:ilvl w:val="0"/>
          <w:numId w:val="3"/>
        </w:numPr>
        <w:spacing w:after="5" w:line="369" w:lineRule="auto"/>
        <w:ind w:right="590" w:hanging="526"/>
        <w:rPr>
          <w:bCs/>
          <w:color w:val="auto"/>
        </w:rPr>
      </w:pPr>
      <w:r>
        <w:rPr>
          <w:rFonts w:ascii="宋体" w:hAnsi="宋体" w:eastAsia="宋体" w:cs="宋体"/>
          <w:bCs/>
          <w:color w:val="auto"/>
          <w:sz w:val="21"/>
        </w:rPr>
        <w:t>与本招标项目的其他投标人为同一个单位负责人；</w:t>
      </w:r>
    </w:p>
    <w:p>
      <w:pPr>
        <w:numPr>
          <w:ilvl w:val="0"/>
          <w:numId w:val="3"/>
        </w:numPr>
        <w:spacing w:after="5" w:line="369" w:lineRule="auto"/>
        <w:ind w:right="590" w:hanging="526"/>
        <w:rPr>
          <w:bCs/>
          <w:color w:val="auto"/>
        </w:rPr>
      </w:pPr>
      <w:r>
        <w:rPr>
          <w:rFonts w:ascii="宋体" w:hAnsi="宋体" w:eastAsia="宋体" w:cs="宋体"/>
          <w:bCs/>
          <w:color w:val="auto"/>
          <w:sz w:val="21"/>
        </w:rPr>
        <w:t>与本招标项目的其他投标人存在控股、管理关系；</w:t>
      </w:r>
    </w:p>
    <w:p>
      <w:pPr>
        <w:numPr>
          <w:ilvl w:val="0"/>
          <w:numId w:val="3"/>
        </w:numPr>
        <w:spacing w:after="5" w:line="369" w:lineRule="auto"/>
        <w:ind w:right="590" w:hanging="526"/>
        <w:rPr>
          <w:bCs/>
          <w:color w:val="auto"/>
        </w:rPr>
      </w:pPr>
      <w:r>
        <w:rPr>
          <w:rFonts w:ascii="宋体" w:hAnsi="宋体" w:eastAsia="宋体" w:cs="宋体"/>
          <w:bCs/>
          <w:color w:val="auto"/>
          <w:sz w:val="21"/>
        </w:rPr>
        <w:t>与本招标项目其他投标人代理同一个制造商同一品牌同一型号的设备投标；</w:t>
      </w:r>
    </w:p>
    <w:p>
      <w:pPr>
        <w:numPr>
          <w:ilvl w:val="0"/>
          <w:numId w:val="3"/>
        </w:numPr>
        <w:spacing w:after="5" w:line="369" w:lineRule="auto"/>
        <w:ind w:right="590" w:hanging="526"/>
        <w:rPr>
          <w:bCs/>
          <w:color w:val="auto"/>
        </w:rPr>
      </w:pPr>
      <w:r>
        <w:rPr>
          <w:rFonts w:ascii="宋体" w:hAnsi="宋体" w:eastAsia="宋体" w:cs="宋体"/>
          <w:bCs/>
          <w:color w:val="auto"/>
          <w:sz w:val="21"/>
        </w:rPr>
        <w:t>为本招标项目提供过设计、编制技术规范和其他文件的咨询服务；</w:t>
      </w:r>
    </w:p>
    <w:p>
      <w:pPr>
        <w:numPr>
          <w:ilvl w:val="0"/>
          <w:numId w:val="3"/>
        </w:numPr>
        <w:spacing w:after="5" w:line="369" w:lineRule="auto"/>
        <w:ind w:right="590" w:hanging="526"/>
        <w:rPr>
          <w:bCs/>
          <w:color w:val="auto"/>
        </w:rPr>
      </w:pPr>
      <w:r>
        <w:rPr>
          <w:rFonts w:ascii="宋体" w:hAnsi="宋体" w:eastAsia="宋体" w:cs="宋体"/>
          <w:bCs/>
          <w:color w:val="auto"/>
          <w:sz w:val="21"/>
        </w:rPr>
        <w:t>为本工程项目的相关监理人，或者与本工程项目的相关监理人存在隶属关系或者其他利害关系；</w:t>
      </w:r>
    </w:p>
    <w:p>
      <w:pPr>
        <w:numPr>
          <w:ilvl w:val="0"/>
          <w:numId w:val="3"/>
        </w:numPr>
        <w:spacing w:after="5" w:line="369" w:lineRule="auto"/>
        <w:ind w:right="590" w:hanging="526"/>
        <w:rPr>
          <w:bCs/>
          <w:color w:val="auto"/>
        </w:rPr>
      </w:pPr>
      <w:r>
        <w:rPr>
          <w:rFonts w:ascii="宋体" w:hAnsi="宋体" w:eastAsia="宋体" w:cs="宋体"/>
          <w:bCs/>
          <w:color w:val="auto"/>
          <w:sz w:val="21"/>
        </w:rPr>
        <w:t>为本招标项目的代建人；</w:t>
      </w:r>
    </w:p>
    <w:p>
      <w:pPr>
        <w:numPr>
          <w:ilvl w:val="0"/>
          <w:numId w:val="3"/>
        </w:numPr>
        <w:spacing w:after="5" w:line="369" w:lineRule="auto"/>
        <w:ind w:right="590" w:hanging="526"/>
        <w:rPr>
          <w:bCs/>
          <w:color w:val="auto"/>
        </w:rPr>
      </w:pPr>
      <w:r>
        <w:rPr>
          <w:rFonts w:ascii="宋体" w:hAnsi="宋体" w:eastAsia="宋体" w:cs="宋体"/>
          <w:bCs/>
          <w:color w:val="auto"/>
          <w:sz w:val="21"/>
        </w:rPr>
        <w:t>为本招标项目的招标代理机构；</w:t>
      </w:r>
    </w:p>
    <w:p>
      <w:pPr>
        <w:numPr>
          <w:ilvl w:val="0"/>
          <w:numId w:val="3"/>
        </w:numPr>
        <w:spacing w:after="5" w:line="369" w:lineRule="auto"/>
        <w:ind w:right="590" w:hanging="526"/>
        <w:rPr>
          <w:bCs/>
          <w:color w:val="auto"/>
        </w:rPr>
      </w:pPr>
      <w:r>
        <w:rPr>
          <w:rFonts w:ascii="宋体" w:hAnsi="宋体" w:eastAsia="宋体" w:cs="宋体"/>
          <w:bCs/>
          <w:color w:val="auto"/>
          <w:sz w:val="21"/>
        </w:rPr>
        <w:t>与本招标项目的监理人或代建人或招标代理机构同为一个法定代表人；</w:t>
      </w:r>
    </w:p>
    <w:p>
      <w:pPr>
        <w:numPr>
          <w:ilvl w:val="0"/>
          <w:numId w:val="3"/>
        </w:numPr>
        <w:spacing w:after="5" w:line="369" w:lineRule="auto"/>
        <w:ind w:right="590" w:hanging="526"/>
        <w:rPr>
          <w:bCs/>
          <w:color w:val="auto"/>
        </w:rPr>
      </w:pPr>
      <w:r>
        <w:rPr>
          <w:rFonts w:ascii="宋体" w:hAnsi="宋体" w:eastAsia="宋体" w:cs="宋体"/>
          <w:bCs/>
          <w:color w:val="auto"/>
          <w:sz w:val="21"/>
        </w:rPr>
        <w:t>与本招标项目的监理人或代建人或招标代理机构存在控股或参股关系；</w:t>
      </w:r>
    </w:p>
    <w:p>
      <w:pPr>
        <w:numPr>
          <w:ilvl w:val="0"/>
          <w:numId w:val="3"/>
        </w:numPr>
        <w:spacing w:after="5" w:line="369" w:lineRule="auto"/>
        <w:ind w:right="590" w:hanging="526"/>
        <w:rPr>
          <w:bCs/>
          <w:color w:val="auto"/>
        </w:rPr>
      </w:pPr>
      <w:r>
        <w:rPr>
          <w:rFonts w:ascii="宋体" w:hAnsi="宋体" w:eastAsia="宋体" w:cs="宋体"/>
          <w:bCs/>
          <w:color w:val="auto"/>
          <w:sz w:val="21"/>
        </w:rPr>
        <w:t>被依法暂停或者取消投标资格；</w:t>
      </w:r>
    </w:p>
    <w:p>
      <w:pPr>
        <w:numPr>
          <w:ilvl w:val="0"/>
          <w:numId w:val="3"/>
        </w:numPr>
        <w:spacing w:after="5" w:line="369" w:lineRule="auto"/>
        <w:ind w:right="590" w:hanging="526"/>
        <w:rPr>
          <w:bCs/>
          <w:color w:val="auto"/>
        </w:rPr>
      </w:pPr>
      <w:r>
        <w:rPr>
          <w:rFonts w:ascii="宋体" w:hAnsi="宋体" w:eastAsia="宋体" w:cs="宋体"/>
          <w:bCs/>
          <w:color w:val="auto"/>
          <w:sz w:val="21"/>
        </w:rPr>
        <w:t>被责令停产停业、暂扣或者吊销许可证、暂扣或者吊销执照；</w:t>
      </w:r>
    </w:p>
    <w:p>
      <w:pPr>
        <w:numPr>
          <w:ilvl w:val="0"/>
          <w:numId w:val="3"/>
        </w:numPr>
        <w:spacing w:after="5" w:line="369" w:lineRule="auto"/>
        <w:ind w:right="590" w:hanging="526"/>
        <w:rPr>
          <w:bCs/>
          <w:color w:val="auto"/>
        </w:rPr>
      </w:pPr>
      <w:r>
        <w:rPr>
          <w:rFonts w:ascii="宋体" w:hAnsi="宋体" w:eastAsia="宋体" w:cs="宋体"/>
          <w:bCs/>
          <w:color w:val="auto"/>
          <w:sz w:val="21"/>
        </w:rPr>
        <w:t>进入清算程序，或被宣告破产，或其他丧失履约能力的情形；</w:t>
      </w:r>
    </w:p>
    <w:p>
      <w:pPr>
        <w:numPr>
          <w:ilvl w:val="0"/>
          <w:numId w:val="3"/>
        </w:numPr>
        <w:spacing w:after="5" w:line="369" w:lineRule="auto"/>
        <w:ind w:right="590" w:hanging="526"/>
        <w:rPr>
          <w:bCs/>
          <w:color w:val="auto"/>
        </w:rPr>
      </w:pPr>
      <w:r>
        <w:rPr>
          <w:rFonts w:ascii="宋体" w:hAnsi="宋体" w:eastAsia="宋体" w:cs="宋体"/>
          <w:bCs/>
          <w:color w:val="auto"/>
          <w:sz w:val="21"/>
        </w:rPr>
        <w:t>在最近三年内发生重大产品质量问题（以相关行业主管部门的行政处罚决定或司法机关出具的有关法律文书为准）；</w:t>
      </w:r>
    </w:p>
    <w:p>
      <w:pPr>
        <w:numPr>
          <w:ilvl w:val="0"/>
          <w:numId w:val="3"/>
        </w:numPr>
        <w:spacing w:after="5" w:line="369" w:lineRule="auto"/>
        <w:ind w:right="590" w:hanging="526"/>
        <w:rPr>
          <w:bCs/>
          <w:color w:val="auto"/>
        </w:rPr>
      </w:pPr>
      <w:r>
        <w:rPr>
          <w:rFonts w:ascii="宋体" w:hAnsi="宋体" w:eastAsia="宋体" w:cs="宋体"/>
          <w:bCs/>
          <w:color w:val="auto"/>
          <w:sz w:val="21"/>
        </w:rPr>
        <w:t>被工商行政管理机关在全国企业信用信息公示系统中列入严重违法失信企业名单；</w:t>
      </w:r>
    </w:p>
    <w:p>
      <w:pPr>
        <w:numPr>
          <w:ilvl w:val="0"/>
          <w:numId w:val="3"/>
        </w:numPr>
        <w:spacing w:after="5" w:line="369" w:lineRule="auto"/>
        <w:ind w:right="590" w:hanging="526"/>
        <w:rPr>
          <w:bCs/>
          <w:color w:val="auto"/>
        </w:rPr>
      </w:pPr>
      <w:r>
        <w:rPr>
          <w:rFonts w:ascii="宋体" w:hAnsi="宋体" w:eastAsia="宋体" w:cs="宋体"/>
          <w:bCs/>
          <w:color w:val="auto"/>
          <w:sz w:val="21"/>
        </w:rPr>
        <w:t>被最高人民法院在</w:t>
      </w:r>
      <w:r>
        <w:rPr>
          <w:rFonts w:ascii="Times New Roman" w:hAnsi="Times New Roman" w:eastAsia="Times New Roman" w:cs="Times New Roman"/>
          <w:bCs/>
          <w:color w:val="auto"/>
          <w:sz w:val="21"/>
        </w:rPr>
        <w:t>“</w:t>
      </w:r>
      <w:r>
        <w:rPr>
          <w:rFonts w:ascii="宋体" w:hAnsi="宋体" w:eastAsia="宋体" w:cs="宋体"/>
          <w:bCs/>
          <w:color w:val="auto"/>
          <w:sz w:val="21"/>
        </w:rPr>
        <w:t>信用中国</w:t>
      </w:r>
      <w:r>
        <w:rPr>
          <w:rFonts w:ascii="Times New Roman" w:hAnsi="Times New Roman" w:eastAsia="Times New Roman" w:cs="Times New Roman"/>
          <w:bCs/>
          <w:color w:val="auto"/>
          <w:sz w:val="21"/>
        </w:rPr>
        <w:t>”</w:t>
      </w:r>
      <w:r>
        <w:rPr>
          <w:rFonts w:ascii="宋体" w:hAnsi="宋体" w:eastAsia="宋体" w:cs="宋体"/>
          <w:bCs/>
          <w:color w:val="auto"/>
          <w:sz w:val="21"/>
        </w:rPr>
        <w:t>网站（</w:t>
      </w:r>
      <w:r>
        <w:rPr>
          <w:rFonts w:ascii="Times New Roman" w:hAnsi="Times New Roman" w:eastAsia="Times New Roman" w:cs="Times New Roman"/>
          <w:bCs/>
          <w:color w:val="auto"/>
          <w:sz w:val="21"/>
        </w:rPr>
        <w:t>www.creditchina.gov.cn</w:t>
      </w:r>
      <w:r>
        <w:rPr>
          <w:rFonts w:ascii="宋体" w:hAnsi="宋体" w:eastAsia="宋体" w:cs="宋体"/>
          <w:bCs/>
          <w:color w:val="auto"/>
          <w:sz w:val="21"/>
        </w:rPr>
        <w:t>）或各级信用信息共享平台中列入失信被执行人名单；</w:t>
      </w:r>
    </w:p>
    <w:p>
      <w:pPr>
        <w:numPr>
          <w:ilvl w:val="0"/>
          <w:numId w:val="3"/>
        </w:numPr>
        <w:spacing w:after="5" w:line="369" w:lineRule="auto"/>
        <w:ind w:right="590" w:hanging="526"/>
        <w:rPr>
          <w:bCs/>
          <w:color w:val="auto"/>
        </w:rPr>
      </w:pPr>
      <w:r>
        <w:rPr>
          <w:rFonts w:ascii="宋体" w:hAnsi="宋体" w:eastAsia="宋体" w:cs="宋体"/>
          <w:bCs/>
          <w:color w:val="auto"/>
          <w:sz w:val="21"/>
        </w:rPr>
        <w:t>在近三年内投标人或其法定代表人、拟委任的项目负责人有行贿犯罪行为的（以检察机关职务犯罪预防部门出具的查询结果为准）；</w:t>
      </w:r>
    </w:p>
    <w:p>
      <w:pPr>
        <w:numPr>
          <w:ilvl w:val="0"/>
          <w:numId w:val="3"/>
        </w:numPr>
        <w:spacing w:after="5" w:line="369" w:lineRule="auto"/>
        <w:ind w:right="590" w:hanging="526"/>
        <w:rPr>
          <w:bCs/>
          <w:color w:val="auto"/>
        </w:rPr>
      </w:pPr>
      <w:r>
        <w:rPr>
          <w:rFonts w:ascii="宋体" w:hAnsi="宋体" w:eastAsia="宋体" w:cs="宋体"/>
          <w:bCs/>
          <w:color w:val="auto"/>
          <w:sz w:val="21"/>
        </w:rPr>
        <w:t>法律法规或投标人须知前附表规定的其他情形。</w:t>
      </w:r>
    </w:p>
    <w:p>
      <w:pPr>
        <w:pStyle w:val="4"/>
        <w:ind w:left="132" w:right="0"/>
        <w:rPr>
          <w:rFonts w:hint="eastAsia"/>
          <w:bCs/>
          <w:color w:val="auto"/>
        </w:rPr>
      </w:pPr>
      <w:bookmarkStart w:id="37" w:name="_Toc195390815"/>
      <w:r>
        <w:rPr>
          <w:rFonts w:ascii="Times New Roman" w:hAnsi="Times New Roman" w:eastAsia="Times New Roman" w:cs="Times New Roman"/>
          <w:bCs/>
          <w:color w:val="auto"/>
        </w:rPr>
        <w:t xml:space="preserve">1.5 </w:t>
      </w:r>
      <w:r>
        <w:rPr>
          <w:bCs/>
          <w:color w:val="auto"/>
        </w:rPr>
        <w:t>费用承担</w:t>
      </w:r>
      <w:bookmarkEnd w:id="37"/>
    </w:p>
    <w:p>
      <w:pPr>
        <w:spacing w:after="338" w:line="265" w:lineRule="auto"/>
        <w:ind w:left="430" w:right="590" w:hanging="10"/>
        <w:rPr>
          <w:bCs/>
          <w:color w:val="auto"/>
        </w:rPr>
      </w:pPr>
      <w:r>
        <w:rPr>
          <w:rFonts w:ascii="宋体" w:hAnsi="宋体" w:eastAsia="宋体" w:cs="宋体"/>
          <w:bCs/>
          <w:color w:val="auto"/>
          <w:sz w:val="21"/>
        </w:rPr>
        <w:t>投标人准备和参加投标活动发生的费用自理。</w:t>
      </w:r>
    </w:p>
    <w:p>
      <w:pPr>
        <w:pStyle w:val="4"/>
        <w:spacing w:after="287" w:line="259" w:lineRule="auto"/>
        <w:ind w:left="132" w:right="0"/>
        <w:rPr>
          <w:rFonts w:hint="eastAsia"/>
          <w:bCs/>
          <w:color w:val="auto"/>
        </w:rPr>
      </w:pPr>
      <w:bookmarkStart w:id="38" w:name="_Toc195390816"/>
      <w:r>
        <w:rPr>
          <w:rFonts w:ascii="Times New Roman" w:hAnsi="Times New Roman" w:eastAsia="Times New Roman" w:cs="Times New Roman"/>
          <w:bCs/>
          <w:color w:val="auto"/>
        </w:rPr>
        <w:t xml:space="preserve">1.6 </w:t>
      </w:r>
      <w:r>
        <w:rPr>
          <w:bCs/>
          <w:color w:val="auto"/>
        </w:rPr>
        <w:t>保密</w:t>
      </w:r>
      <w:bookmarkEnd w:id="38"/>
    </w:p>
    <w:p>
      <w:pPr>
        <w:spacing w:after="237" w:line="356" w:lineRule="auto"/>
        <w:ind w:left="-15" w:right="590" w:firstLine="420"/>
        <w:rPr>
          <w:bCs/>
          <w:color w:val="auto"/>
        </w:rPr>
      </w:pPr>
      <w:r>
        <w:rPr>
          <w:rFonts w:ascii="宋体" w:hAnsi="宋体" w:eastAsia="宋体" w:cs="宋体"/>
          <w:bCs/>
          <w:color w:val="auto"/>
          <w:sz w:val="21"/>
        </w:rPr>
        <w:t>参与招标投标活动的各方应对招标文件和投标文件中的商业和技术等秘密保密，否则应承担相应的法律责任。</w:t>
      </w:r>
    </w:p>
    <w:p>
      <w:pPr>
        <w:pStyle w:val="4"/>
        <w:ind w:left="132" w:right="0"/>
        <w:rPr>
          <w:rFonts w:hint="eastAsia"/>
          <w:bCs/>
          <w:color w:val="auto"/>
        </w:rPr>
      </w:pPr>
      <w:bookmarkStart w:id="39" w:name="_Toc195390817"/>
      <w:r>
        <w:rPr>
          <w:rFonts w:ascii="Times New Roman" w:hAnsi="Times New Roman" w:eastAsia="Times New Roman" w:cs="Times New Roman"/>
          <w:bCs/>
          <w:color w:val="auto"/>
        </w:rPr>
        <w:t xml:space="preserve">1.7 </w:t>
      </w:r>
      <w:r>
        <w:rPr>
          <w:bCs/>
          <w:color w:val="auto"/>
        </w:rPr>
        <w:t>语言文字</w:t>
      </w:r>
      <w:bookmarkEnd w:id="39"/>
    </w:p>
    <w:p>
      <w:pPr>
        <w:spacing w:after="339" w:line="265" w:lineRule="auto"/>
        <w:ind w:left="430" w:right="590" w:hanging="10"/>
        <w:rPr>
          <w:bCs/>
          <w:color w:val="auto"/>
        </w:rPr>
      </w:pPr>
      <w:r>
        <w:rPr>
          <w:rFonts w:ascii="宋体" w:hAnsi="宋体" w:eastAsia="宋体" w:cs="宋体"/>
          <w:bCs/>
          <w:color w:val="auto"/>
          <w:sz w:val="21"/>
        </w:rPr>
        <w:t>招标投标文件使用的语言文字为中文。专用术语使用外文的，应附有中文注释。</w:t>
      </w:r>
    </w:p>
    <w:p>
      <w:pPr>
        <w:pStyle w:val="4"/>
        <w:ind w:left="132" w:right="0"/>
        <w:rPr>
          <w:rFonts w:hint="eastAsia"/>
          <w:bCs/>
          <w:color w:val="auto"/>
        </w:rPr>
      </w:pPr>
      <w:bookmarkStart w:id="40" w:name="_Toc195390818"/>
      <w:r>
        <w:rPr>
          <w:rFonts w:ascii="Times New Roman" w:hAnsi="Times New Roman" w:eastAsia="Times New Roman" w:cs="Times New Roman"/>
          <w:bCs/>
          <w:color w:val="auto"/>
        </w:rPr>
        <w:t xml:space="preserve">1.8 </w:t>
      </w:r>
      <w:r>
        <w:rPr>
          <w:bCs/>
          <w:color w:val="auto"/>
        </w:rPr>
        <w:t>计量单位</w:t>
      </w:r>
      <w:bookmarkEnd w:id="40"/>
    </w:p>
    <w:p>
      <w:pPr>
        <w:spacing w:after="342" w:line="265" w:lineRule="auto"/>
        <w:ind w:left="430" w:right="590" w:hanging="10"/>
        <w:rPr>
          <w:bCs/>
          <w:color w:val="auto"/>
        </w:rPr>
      </w:pPr>
      <w:r>
        <w:rPr>
          <w:rFonts w:ascii="宋体" w:hAnsi="宋体" w:eastAsia="宋体" w:cs="宋体"/>
          <w:bCs/>
          <w:color w:val="auto"/>
          <w:sz w:val="21"/>
        </w:rPr>
        <w:t>所有计量均采用中华人民共和国法定计量单位。</w:t>
      </w:r>
    </w:p>
    <w:p>
      <w:pPr>
        <w:pStyle w:val="4"/>
        <w:ind w:left="132" w:right="0"/>
        <w:rPr>
          <w:rFonts w:hint="eastAsia"/>
          <w:bCs/>
          <w:color w:val="auto"/>
        </w:rPr>
      </w:pPr>
      <w:bookmarkStart w:id="41" w:name="_Toc195390819"/>
      <w:r>
        <w:rPr>
          <w:rFonts w:ascii="Times New Roman" w:hAnsi="Times New Roman" w:eastAsia="Times New Roman" w:cs="Times New Roman"/>
          <w:bCs/>
          <w:color w:val="auto"/>
        </w:rPr>
        <w:t xml:space="preserve">1.9 </w:t>
      </w:r>
      <w:r>
        <w:rPr>
          <w:bCs/>
          <w:color w:val="auto"/>
        </w:rPr>
        <w:t>投标预备会</w:t>
      </w:r>
      <w:bookmarkEnd w:id="41"/>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1.9.1 </w:t>
      </w:r>
      <w:r>
        <w:rPr>
          <w:rFonts w:ascii="宋体" w:hAnsi="宋体" w:eastAsia="宋体" w:cs="宋体"/>
          <w:bCs/>
          <w:color w:val="auto"/>
          <w:sz w:val="21"/>
        </w:rPr>
        <w:t>投标人须知前附表规定召开投标预备会的，招标人按投标人须知前附表规定的时间和地点召开投标预备会，澄清投标人提出的问题。</w:t>
      </w:r>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1.9.2 </w:t>
      </w:r>
      <w:r>
        <w:rPr>
          <w:rFonts w:ascii="宋体" w:hAnsi="宋体" w:eastAsia="宋体" w:cs="宋体"/>
          <w:bCs/>
          <w:color w:val="auto"/>
          <w:sz w:val="21"/>
        </w:rPr>
        <w:t>投标人应按投标人须知前附表规定的时间和形式将提出的问题送达招标人，以便招标人在会议期间澄清。</w:t>
      </w:r>
    </w:p>
    <w:p>
      <w:pPr>
        <w:spacing w:after="222" w:line="367" w:lineRule="auto"/>
        <w:ind w:left="-15" w:right="590" w:firstLine="420"/>
        <w:rPr>
          <w:bCs/>
          <w:color w:val="auto"/>
        </w:rPr>
      </w:pPr>
      <w:r>
        <w:rPr>
          <w:rFonts w:ascii="Times New Roman" w:hAnsi="Times New Roman" w:eastAsia="Times New Roman" w:cs="Times New Roman"/>
          <w:bCs/>
          <w:color w:val="auto"/>
          <w:sz w:val="21"/>
        </w:rPr>
        <w:t xml:space="preserve">1.9.3 </w:t>
      </w:r>
      <w:r>
        <w:rPr>
          <w:rFonts w:ascii="宋体" w:hAnsi="宋体" w:eastAsia="宋体" w:cs="宋体"/>
          <w:bCs/>
          <w:color w:val="auto"/>
          <w:sz w:val="21"/>
        </w:rPr>
        <w:t>投标预备会后，招标人将对投标人所提问题的澄清，以投标人须知前附表规定的形式通知所有购买招标文件的投标人。该澄清内容为招标文件的组成部分。</w:t>
      </w:r>
    </w:p>
    <w:p>
      <w:pPr>
        <w:pStyle w:val="4"/>
        <w:spacing w:after="285" w:line="259" w:lineRule="auto"/>
        <w:ind w:left="132" w:right="0"/>
        <w:rPr>
          <w:rFonts w:hint="eastAsia"/>
          <w:bCs/>
          <w:color w:val="auto"/>
        </w:rPr>
      </w:pPr>
      <w:bookmarkStart w:id="42" w:name="_Toc195390820"/>
      <w:r>
        <w:rPr>
          <w:rFonts w:ascii="Times New Roman" w:hAnsi="Times New Roman" w:eastAsia="Times New Roman" w:cs="Times New Roman"/>
          <w:bCs/>
          <w:color w:val="auto"/>
        </w:rPr>
        <w:t xml:space="preserve">1.10 </w:t>
      </w:r>
      <w:r>
        <w:rPr>
          <w:bCs/>
          <w:color w:val="auto"/>
        </w:rPr>
        <w:t>分包</w:t>
      </w:r>
      <w:bookmarkEnd w:id="42"/>
    </w:p>
    <w:p>
      <w:pPr>
        <w:spacing w:after="218" w:line="372" w:lineRule="auto"/>
        <w:ind w:left="-15" w:right="590" w:firstLine="420"/>
        <w:rPr>
          <w:bCs/>
          <w:color w:val="auto"/>
        </w:rPr>
      </w:pPr>
      <w:r>
        <w:rPr>
          <w:rFonts w:ascii="Times New Roman" w:hAnsi="Times New Roman" w:eastAsia="Times New Roman" w:cs="Times New Roman"/>
          <w:bCs/>
          <w:color w:val="auto"/>
          <w:sz w:val="21"/>
        </w:rPr>
        <w:t>1.10.</w:t>
      </w:r>
      <w:r>
        <w:rPr>
          <w:rFonts w:hint="eastAsia" w:ascii="Times New Roman" w:hAnsi="Times New Roman" w:cs="Times New Roman" w:eastAsiaTheme="minorEastAsia"/>
          <w:bCs/>
          <w:color w:val="auto"/>
          <w:sz w:val="21"/>
        </w:rPr>
        <w:t>1</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中标人不得向他人转让中标项目，接受分包的人不得再次分包。中标人应当就分包项目向招标人负责，接受分包的人就分包项目承担连带责任。</w:t>
      </w:r>
    </w:p>
    <w:p>
      <w:pPr>
        <w:pStyle w:val="4"/>
        <w:ind w:left="132" w:right="0"/>
        <w:rPr>
          <w:rFonts w:hint="eastAsia"/>
          <w:bCs/>
          <w:color w:val="auto"/>
        </w:rPr>
      </w:pPr>
      <w:bookmarkStart w:id="43" w:name="_Toc195390821"/>
      <w:r>
        <w:rPr>
          <w:rFonts w:ascii="Times New Roman" w:hAnsi="Times New Roman" w:eastAsia="Times New Roman" w:cs="Times New Roman"/>
          <w:bCs/>
          <w:color w:val="auto"/>
        </w:rPr>
        <w:t xml:space="preserve">1.11 </w:t>
      </w:r>
      <w:r>
        <w:rPr>
          <w:bCs/>
          <w:color w:val="auto"/>
        </w:rPr>
        <w:t>响应和偏差</w:t>
      </w:r>
      <w:bookmarkEnd w:id="43"/>
    </w:p>
    <w:p>
      <w:pPr>
        <w:spacing w:after="125" w:line="265" w:lineRule="auto"/>
        <w:ind w:left="10" w:right="591" w:firstLine="420" w:firstLineChars="200"/>
        <w:rPr>
          <w:bCs/>
          <w:color w:val="auto"/>
        </w:rPr>
      </w:pPr>
      <w:r>
        <w:rPr>
          <w:rFonts w:ascii="Times New Roman" w:hAnsi="Times New Roman" w:eastAsia="Times New Roman" w:cs="Times New Roman"/>
          <w:bCs/>
          <w:color w:val="auto"/>
          <w:sz w:val="21"/>
        </w:rPr>
        <w:t xml:space="preserve">1.11.1 </w:t>
      </w:r>
      <w:r>
        <w:rPr>
          <w:rFonts w:ascii="宋体" w:hAnsi="宋体" w:eastAsia="宋体" w:cs="宋体"/>
          <w:bCs/>
          <w:color w:val="auto"/>
          <w:sz w:val="21"/>
        </w:rPr>
        <w:t>投标文件应当对招标文件的实质性要求和条件作出满足性或更有利于招标人的响应，否则，投标人的投标将被否决。实质性要求和条件见投标人须知前附表。</w:t>
      </w:r>
    </w:p>
    <w:p>
      <w:pPr>
        <w:spacing w:after="5" w:line="367" w:lineRule="auto"/>
        <w:ind w:left="-15" w:right="590" w:firstLine="420" w:firstLineChars="200"/>
        <w:jc w:val="both"/>
        <w:rPr>
          <w:bCs/>
          <w:color w:val="auto"/>
        </w:rPr>
      </w:pPr>
      <w:r>
        <w:rPr>
          <w:rFonts w:ascii="Times New Roman" w:hAnsi="Times New Roman" w:eastAsia="Times New Roman" w:cs="Times New Roman"/>
          <w:bCs/>
          <w:color w:val="auto"/>
          <w:sz w:val="21"/>
        </w:rPr>
        <w:t xml:space="preserve">1.11.2 </w:t>
      </w:r>
      <w:r>
        <w:rPr>
          <w:rFonts w:ascii="宋体" w:hAnsi="宋体" w:eastAsia="宋体" w:cs="宋体"/>
          <w:bCs/>
          <w:color w:val="auto"/>
          <w:sz w:val="21"/>
        </w:rPr>
        <w:t>投标人应根据招标文件的要求提供投标设备技术性能指标的详细描述、技术支持资料及技术服务和质保期服务计划等内容以对招标文件作出响应。</w:t>
      </w:r>
    </w:p>
    <w:p>
      <w:pPr>
        <w:spacing w:after="5" w:line="358" w:lineRule="auto"/>
        <w:ind w:left="-15" w:right="590" w:firstLine="420" w:firstLineChars="200"/>
        <w:rPr>
          <w:bCs/>
          <w:color w:val="auto"/>
        </w:rPr>
      </w:pPr>
      <w:r>
        <w:rPr>
          <w:rFonts w:ascii="Times New Roman" w:hAnsi="Times New Roman" w:eastAsia="Times New Roman" w:cs="Times New Roman"/>
          <w:bCs/>
          <w:color w:val="auto"/>
          <w:sz w:val="21"/>
        </w:rPr>
        <w:t xml:space="preserve">1.11.3 </w:t>
      </w:r>
      <w:r>
        <w:rPr>
          <w:rFonts w:ascii="宋体" w:hAnsi="宋体" w:eastAsia="宋体" w:cs="宋体"/>
          <w:bCs/>
          <w:color w:val="auto"/>
          <w:sz w:val="21"/>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spacing w:after="5" w:line="369" w:lineRule="auto"/>
        <w:ind w:left="-15" w:right="590" w:firstLine="420" w:firstLineChars="200"/>
        <w:rPr>
          <w:bCs/>
          <w:color w:val="auto"/>
        </w:rPr>
      </w:pPr>
      <w:r>
        <w:rPr>
          <w:rFonts w:ascii="Times New Roman" w:hAnsi="Times New Roman" w:eastAsia="Times New Roman" w:cs="Times New Roman"/>
          <w:bCs/>
          <w:color w:val="auto"/>
          <w:sz w:val="21"/>
        </w:rPr>
        <w:t xml:space="preserve">1.11.4 </w:t>
      </w:r>
      <w:r>
        <w:rPr>
          <w:rFonts w:ascii="宋体" w:hAnsi="宋体" w:eastAsia="宋体" w:cs="宋体"/>
          <w:bCs/>
          <w:color w:val="auto"/>
          <w:sz w:val="21"/>
        </w:rPr>
        <w:t>投标人须知前附表规定了可以偏差的范围和最高偏差项数的，偏差应当符合投标人须知前附表规定的偏差范围和最高项数，超出偏差范围和最高偏差项数的投标将被否决。</w:t>
      </w:r>
    </w:p>
    <w:p>
      <w:pPr>
        <w:spacing w:after="264" w:line="369" w:lineRule="auto"/>
        <w:ind w:left="-15" w:right="590" w:firstLine="420" w:firstLineChars="200"/>
        <w:rPr>
          <w:bCs/>
          <w:color w:val="auto"/>
        </w:rPr>
      </w:pPr>
      <w:r>
        <w:rPr>
          <w:rFonts w:ascii="Times New Roman" w:hAnsi="Times New Roman" w:eastAsia="Times New Roman" w:cs="Times New Roman"/>
          <w:bCs/>
          <w:color w:val="auto"/>
          <w:sz w:val="21"/>
        </w:rPr>
        <w:t xml:space="preserve">1.11.5 </w:t>
      </w:r>
      <w:r>
        <w:rPr>
          <w:rFonts w:ascii="宋体" w:hAnsi="宋体" w:eastAsia="宋体" w:cs="宋体"/>
          <w:bCs/>
          <w:color w:val="auto"/>
          <w:sz w:val="21"/>
        </w:rPr>
        <w:t>投标文件对招标文件的全部偏差，均应在投标文件的商务和技术偏差表中列明，除列明的内容外，视为投标人响应招标文件的全部要求。</w:t>
      </w:r>
    </w:p>
    <w:p>
      <w:pPr>
        <w:pStyle w:val="3"/>
        <w:ind w:left="-5" w:right="0"/>
        <w:rPr>
          <w:rFonts w:hint="eastAsia"/>
          <w:bCs/>
          <w:color w:val="auto"/>
        </w:rPr>
      </w:pPr>
      <w:bookmarkStart w:id="44" w:name="_Toc195390822"/>
      <w:r>
        <w:rPr>
          <w:rFonts w:ascii="Times New Roman" w:hAnsi="Times New Roman" w:eastAsia="Times New Roman" w:cs="Times New Roman"/>
          <w:bCs/>
          <w:color w:val="auto"/>
        </w:rPr>
        <w:t xml:space="preserve">2. </w:t>
      </w:r>
      <w:r>
        <w:rPr>
          <w:bCs/>
          <w:color w:val="auto"/>
        </w:rPr>
        <w:t>招标文件</w:t>
      </w:r>
      <w:bookmarkEnd w:id="44"/>
    </w:p>
    <w:p>
      <w:pPr>
        <w:pStyle w:val="4"/>
        <w:ind w:left="132" w:right="0"/>
        <w:rPr>
          <w:rFonts w:hint="eastAsia"/>
          <w:bCs/>
          <w:color w:val="auto"/>
        </w:rPr>
      </w:pPr>
      <w:bookmarkStart w:id="45" w:name="_Toc195390823"/>
      <w:r>
        <w:rPr>
          <w:rFonts w:ascii="Times New Roman" w:hAnsi="Times New Roman" w:eastAsia="Times New Roman" w:cs="Times New Roman"/>
          <w:bCs/>
          <w:color w:val="auto"/>
        </w:rPr>
        <w:t xml:space="preserve">2.1 </w:t>
      </w:r>
      <w:r>
        <w:rPr>
          <w:bCs/>
          <w:color w:val="auto"/>
        </w:rPr>
        <w:t>招标文件的组成</w:t>
      </w:r>
      <w:bookmarkEnd w:id="45"/>
    </w:p>
    <w:p>
      <w:pPr>
        <w:spacing w:after="118" w:line="265" w:lineRule="auto"/>
        <w:ind w:left="370" w:right="590" w:hanging="10"/>
        <w:rPr>
          <w:bCs/>
          <w:color w:val="auto"/>
        </w:rPr>
      </w:pPr>
      <w:r>
        <w:rPr>
          <w:rFonts w:ascii="宋体" w:hAnsi="宋体" w:eastAsia="宋体" w:cs="宋体"/>
          <w:bCs/>
          <w:color w:val="auto"/>
          <w:sz w:val="21"/>
        </w:rPr>
        <w:t>本招标文件包括：</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（1）</w:t>
      </w:r>
      <w:r>
        <w:rPr>
          <w:rFonts w:ascii="宋体" w:hAnsi="宋体" w:eastAsia="宋体" w:cs="宋体"/>
          <w:bCs/>
          <w:color w:val="auto"/>
          <w:sz w:val="21"/>
        </w:rPr>
        <w:t>招标公告；</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（2）</w:t>
      </w:r>
      <w:r>
        <w:rPr>
          <w:rFonts w:ascii="宋体" w:hAnsi="宋体" w:eastAsia="宋体" w:cs="宋体"/>
          <w:bCs/>
          <w:color w:val="auto"/>
          <w:sz w:val="21"/>
        </w:rPr>
        <w:t>投标人须知；</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（3）</w:t>
      </w:r>
      <w:r>
        <w:rPr>
          <w:rFonts w:ascii="宋体" w:hAnsi="宋体" w:eastAsia="宋体" w:cs="宋体"/>
          <w:bCs/>
          <w:color w:val="auto"/>
          <w:sz w:val="21"/>
        </w:rPr>
        <w:t>评标办法；</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（4）</w:t>
      </w:r>
      <w:r>
        <w:rPr>
          <w:rFonts w:ascii="宋体" w:hAnsi="宋体" w:eastAsia="宋体" w:cs="宋体"/>
          <w:bCs/>
          <w:color w:val="auto"/>
          <w:sz w:val="21"/>
        </w:rPr>
        <w:t>合同条款及格式；</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（5）</w:t>
      </w:r>
      <w:r>
        <w:rPr>
          <w:rFonts w:ascii="宋体" w:hAnsi="宋体" w:eastAsia="宋体" w:cs="宋体"/>
          <w:bCs/>
          <w:color w:val="auto"/>
          <w:sz w:val="21"/>
        </w:rPr>
        <w:t>供货要求；</w:t>
      </w:r>
    </w:p>
    <w:p>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（6）</w:t>
      </w:r>
      <w:r>
        <w:rPr>
          <w:rFonts w:ascii="宋体" w:hAnsi="宋体" w:eastAsia="宋体" w:cs="宋体"/>
          <w:bCs/>
          <w:color w:val="auto"/>
          <w:sz w:val="21"/>
        </w:rPr>
        <w:t>投标文件格式；</w:t>
      </w:r>
    </w:p>
    <w:p>
      <w:pPr>
        <w:spacing w:after="120" w:line="265" w:lineRule="auto"/>
        <w:ind w:right="590" w:firstLine="420" w:firstLineChars="200"/>
        <w:rPr>
          <w:bCs/>
          <w:color w:val="auto"/>
        </w:rPr>
      </w:pPr>
      <w:r>
        <w:rPr>
          <w:rFonts w:hint="eastAsia" w:ascii="宋体" w:hAnsi="宋体" w:eastAsia="宋体" w:cs="宋体"/>
          <w:bCs/>
          <w:color w:val="auto"/>
          <w:sz w:val="21"/>
        </w:rPr>
        <w:t>（7）</w:t>
      </w:r>
      <w:r>
        <w:rPr>
          <w:rFonts w:ascii="宋体" w:hAnsi="宋体" w:eastAsia="宋体" w:cs="宋体"/>
          <w:bCs/>
          <w:color w:val="auto"/>
          <w:sz w:val="21"/>
        </w:rPr>
        <w:t>投标人须知前附表规定的其他资料。</w:t>
      </w:r>
    </w:p>
    <w:p>
      <w:pPr>
        <w:spacing w:after="214" w:line="373" w:lineRule="auto"/>
        <w:ind w:left="-15" w:right="590" w:firstLine="420"/>
        <w:rPr>
          <w:bCs/>
          <w:color w:val="auto"/>
        </w:rPr>
      </w:pPr>
      <w:r>
        <w:rPr>
          <w:rFonts w:ascii="宋体" w:hAnsi="宋体" w:eastAsia="宋体" w:cs="宋体"/>
          <w:bCs/>
          <w:color w:val="auto"/>
          <w:sz w:val="21"/>
        </w:rPr>
        <w:t xml:space="preserve">根据本章第 </w:t>
      </w:r>
      <w:r>
        <w:rPr>
          <w:rFonts w:ascii="Times New Roman" w:hAnsi="Times New Roman" w:eastAsia="Times New Roman" w:cs="Times New Roman"/>
          <w:bCs/>
          <w:color w:val="auto"/>
          <w:sz w:val="21"/>
        </w:rPr>
        <w:t xml:space="preserve">1.9 </w:t>
      </w:r>
      <w:r>
        <w:rPr>
          <w:rFonts w:ascii="宋体" w:hAnsi="宋体" w:eastAsia="宋体" w:cs="宋体"/>
          <w:bCs/>
          <w:color w:val="auto"/>
          <w:sz w:val="21"/>
        </w:rPr>
        <w:t xml:space="preserve">款、第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 xml:space="preserve">款和第 </w:t>
      </w:r>
      <w:r>
        <w:rPr>
          <w:rFonts w:ascii="Times New Roman" w:hAnsi="Times New Roman" w:eastAsia="Times New Roman" w:cs="Times New Roman"/>
          <w:bCs/>
          <w:color w:val="auto"/>
          <w:sz w:val="21"/>
        </w:rPr>
        <w:t xml:space="preserve">2.3 </w:t>
      </w:r>
      <w:r>
        <w:rPr>
          <w:rFonts w:ascii="宋体" w:hAnsi="宋体" w:eastAsia="宋体" w:cs="宋体"/>
          <w:bCs/>
          <w:color w:val="auto"/>
          <w:sz w:val="21"/>
        </w:rPr>
        <w:t>款对招标文件所作的澄清、修改，构成招标文件的组成部分。</w:t>
      </w:r>
    </w:p>
    <w:p>
      <w:pPr>
        <w:pStyle w:val="4"/>
        <w:ind w:left="132" w:right="0"/>
        <w:rPr>
          <w:rFonts w:hint="eastAsia"/>
          <w:bCs/>
          <w:color w:val="auto"/>
        </w:rPr>
      </w:pPr>
      <w:bookmarkStart w:id="46" w:name="_Toc195390824"/>
      <w:r>
        <w:rPr>
          <w:rFonts w:ascii="Times New Roman" w:hAnsi="Times New Roman" w:eastAsia="Times New Roman" w:cs="Times New Roman"/>
          <w:bCs/>
          <w:color w:val="auto"/>
        </w:rPr>
        <w:t xml:space="preserve">2.2 </w:t>
      </w:r>
      <w:r>
        <w:rPr>
          <w:bCs/>
          <w:color w:val="auto"/>
        </w:rPr>
        <w:t>招标文件的澄清</w:t>
      </w:r>
      <w:bookmarkEnd w:id="46"/>
    </w:p>
    <w:p>
      <w:pPr>
        <w:spacing w:after="5" w:line="359"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2.2.1</w:t>
      </w:r>
      <w:r>
        <w:rPr>
          <w:rFonts w:ascii="宋体" w:hAnsi="宋体" w:eastAsia="宋体" w:cs="宋体"/>
          <w:bCs/>
          <w:color w:val="auto"/>
          <w:sz w:val="21"/>
        </w:rPr>
        <w:t xml:space="preserve"> 投标人应仔细阅读和检查招标文件的全部内容。如发现缺页或附件不全，应及时向招标人提出，以便补齐。如有疑问，应按投标人须知前附表规定的时间和形式将提出的问题送达招标人，要求招标人对招标文件予以澄清。 </w:t>
      </w:r>
    </w:p>
    <w:p>
      <w:pPr>
        <w:spacing w:after="130" w:line="370" w:lineRule="auto"/>
        <w:ind w:left="-15" w:right="684" w:firstLine="410"/>
        <w:jc w:val="both"/>
        <w:rPr>
          <w:rFonts w:hint="eastAsia" w:ascii="宋体" w:hAnsi="宋体" w:eastAsia="宋体" w:cs="宋体"/>
          <w:bCs/>
          <w:color w:val="auto"/>
          <w:sz w:val="21"/>
        </w:rPr>
      </w:pPr>
      <w:r>
        <w:rPr>
          <w:rFonts w:ascii="Times New Roman" w:hAnsi="Times New Roman" w:eastAsia="宋体" w:cs="Times New Roman"/>
          <w:bCs/>
          <w:color w:val="auto"/>
          <w:sz w:val="21"/>
        </w:rPr>
        <w:t>2.2.2</w:t>
      </w:r>
      <w:r>
        <w:rPr>
          <w:rFonts w:ascii="宋体" w:hAnsi="宋体" w:eastAsia="宋体" w:cs="宋体"/>
          <w:bCs/>
          <w:color w:val="auto"/>
          <w:sz w:val="21"/>
        </w:rPr>
        <w:t xml:space="preserve">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 </w:t>
      </w:r>
    </w:p>
    <w:p>
      <w:pPr>
        <w:spacing w:after="5" w:line="367"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2.2.3</w:t>
      </w:r>
      <w:r>
        <w:rPr>
          <w:rFonts w:ascii="宋体" w:hAnsi="宋体" w:eastAsia="宋体" w:cs="宋体"/>
          <w:bCs/>
          <w:color w:val="auto"/>
          <w:sz w:val="21"/>
        </w:rPr>
        <w:t xml:space="preserve"> 投标人在收到澄清后，应按投标人须知前附表规定的时间和形式通知招标人，确认已收到该澄清。 </w:t>
      </w:r>
    </w:p>
    <w:p>
      <w:pPr>
        <w:spacing w:after="215" w:line="373"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2.2.4</w:t>
      </w:r>
      <w:r>
        <w:rPr>
          <w:rFonts w:ascii="宋体" w:hAnsi="宋体" w:eastAsia="宋体" w:cs="宋体"/>
          <w:bCs/>
          <w:color w:val="auto"/>
          <w:sz w:val="21"/>
        </w:rPr>
        <w:t xml:space="preserve"> 除非招标人认为确有必要答复，否则，招标人有权拒绝回复投标人在本章第 2.2.1 项规定的时间后的任何澄清要求。 </w:t>
      </w:r>
    </w:p>
    <w:p>
      <w:pPr>
        <w:pStyle w:val="4"/>
        <w:ind w:left="132" w:right="0"/>
        <w:rPr>
          <w:rFonts w:hint="eastAsia"/>
          <w:bCs/>
          <w:color w:val="auto"/>
        </w:rPr>
      </w:pPr>
      <w:bookmarkStart w:id="47" w:name="_Toc195390825"/>
      <w:r>
        <w:rPr>
          <w:rFonts w:ascii="Times New Roman" w:hAnsi="Times New Roman" w:eastAsia="Times New Roman" w:cs="Times New Roman"/>
          <w:bCs/>
          <w:color w:val="auto"/>
        </w:rPr>
        <w:t xml:space="preserve">2.3 </w:t>
      </w:r>
      <w:r>
        <w:rPr>
          <w:bCs/>
          <w:color w:val="auto"/>
        </w:rPr>
        <w:t>招标文件的修改</w:t>
      </w:r>
      <w:bookmarkEnd w:id="47"/>
    </w:p>
    <w:p>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2.3.1 </w:t>
      </w:r>
      <w:r>
        <w:rPr>
          <w:rFonts w:ascii="宋体" w:hAnsi="宋体" w:eastAsia="宋体" w:cs="宋体"/>
          <w:bCs/>
          <w:color w:val="auto"/>
          <w:sz w:val="21"/>
        </w:rPr>
        <w:t xml:space="preserve">招标人以投标人须知前附表规定的形式修改招标文件，并通知所有已购买招标文件的投标人。修改招标文件的时间距本章第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 xml:space="preserve">项规定的投标截止时间不足 </w:t>
      </w:r>
      <w:r>
        <w:rPr>
          <w:rFonts w:ascii="Times New Roman" w:hAnsi="Times New Roman" w:eastAsia="Times New Roman" w:cs="Times New Roman"/>
          <w:bCs/>
          <w:color w:val="auto"/>
          <w:sz w:val="21"/>
        </w:rPr>
        <w:t xml:space="preserve">15 </w:t>
      </w:r>
      <w:r>
        <w:rPr>
          <w:rFonts w:ascii="宋体" w:hAnsi="宋体" w:eastAsia="宋体" w:cs="宋体"/>
          <w:bCs/>
          <w:color w:val="auto"/>
          <w:sz w:val="21"/>
        </w:rPr>
        <w:t>日的，并且修改内容可能影响投标文件编制的，将相应延长投标截止时间。</w:t>
      </w:r>
    </w:p>
    <w:p>
      <w:pPr>
        <w:spacing w:after="222" w:line="369" w:lineRule="auto"/>
        <w:ind w:left="-15" w:right="590" w:firstLine="420"/>
        <w:rPr>
          <w:bCs/>
          <w:color w:val="auto"/>
        </w:rPr>
      </w:pPr>
      <w:r>
        <w:rPr>
          <w:rFonts w:ascii="Times New Roman" w:hAnsi="Times New Roman" w:eastAsia="Times New Roman" w:cs="Times New Roman"/>
          <w:bCs/>
          <w:color w:val="auto"/>
          <w:sz w:val="21"/>
        </w:rPr>
        <w:t xml:space="preserve">2.3.2 </w:t>
      </w:r>
      <w:r>
        <w:rPr>
          <w:rFonts w:ascii="宋体" w:hAnsi="宋体" w:eastAsia="宋体" w:cs="宋体"/>
          <w:bCs/>
          <w:color w:val="auto"/>
          <w:sz w:val="21"/>
        </w:rPr>
        <w:t>投标人收到修改内容后，应按投标人须知前附表规定的时间和形式通知招标人，确认已收到该修改。</w:t>
      </w:r>
    </w:p>
    <w:p>
      <w:pPr>
        <w:pStyle w:val="4"/>
        <w:ind w:left="132" w:right="0"/>
        <w:rPr>
          <w:rFonts w:hint="eastAsia"/>
          <w:bCs/>
          <w:color w:val="auto"/>
        </w:rPr>
      </w:pPr>
      <w:bookmarkStart w:id="48" w:name="_Toc195390826"/>
      <w:r>
        <w:rPr>
          <w:rFonts w:ascii="Times New Roman" w:hAnsi="Times New Roman" w:eastAsia="Times New Roman" w:cs="Times New Roman"/>
          <w:bCs/>
          <w:color w:val="auto"/>
        </w:rPr>
        <w:t xml:space="preserve">2.4 </w:t>
      </w:r>
      <w:r>
        <w:rPr>
          <w:bCs/>
          <w:color w:val="auto"/>
        </w:rPr>
        <w:t>招标文件的异议</w:t>
      </w:r>
      <w:bookmarkEnd w:id="48"/>
    </w:p>
    <w:p>
      <w:pPr>
        <w:spacing w:after="265" w:line="372" w:lineRule="auto"/>
        <w:ind w:left="-15" w:right="590" w:firstLine="420"/>
        <w:rPr>
          <w:bCs/>
          <w:color w:val="auto"/>
        </w:rPr>
      </w:pPr>
      <w:r>
        <w:rPr>
          <w:rFonts w:ascii="宋体" w:hAnsi="宋体" w:eastAsia="宋体" w:cs="宋体"/>
          <w:bCs/>
          <w:color w:val="auto"/>
          <w:sz w:val="21"/>
        </w:rPr>
        <w:t xml:space="preserve">投标人或者其他利害关系人对招标文件有异议的，应当在投标截止时间 </w:t>
      </w:r>
      <w:r>
        <w:rPr>
          <w:rFonts w:hint="eastAsia" w:ascii="Times New Roman" w:hAnsi="Times New Roman" w:cs="Times New Roman" w:eastAsiaTheme="minorEastAsia"/>
          <w:bCs/>
          <w:color w:val="auto"/>
          <w:sz w:val="21"/>
        </w:rPr>
        <w:t>2</w:t>
      </w:r>
      <w:r>
        <w:rPr>
          <w:rFonts w:ascii="宋体" w:hAnsi="宋体" w:eastAsia="宋体" w:cs="宋体"/>
          <w:bCs/>
          <w:color w:val="auto"/>
          <w:sz w:val="21"/>
        </w:rPr>
        <w:t xml:space="preserve">日前以书面形式提出。招标人将在收到异议之日起 </w:t>
      </w:r>
      <w:r>
        <w:rPr>
          <w:rFonts w:hint="eastAsia" w:ascii="Times New Roman" w:hAnsi="Times New Roman" w:cs="Times New Roman" w:eastAsiaTheme="minorEastAsia"/>
          <w:bCs/>
          <w:color w:val="auto"/>
          <w:sz w:val="21"/>
        </w:rPr>
        <w:t>1</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日内作出答复；作出答复前，将暂停招标投标活动。</w:t>
      </w:r>
    </w:p>
    <w:p>
      <w:pPr>
        <w:pStyle w:val="3"/>
        <w:ind w:left="-5" w:right="0"/>
        <w:rPr>
          <w:rFonts w:hint="eastAsia"/>
          <w:bCs/>
          <w:color w:val="auto"/>
        </w:rPr>
      </w:pPr>
      <w:bookmarkStart w:id="49" w:name="_Toc195390827"/>
      <w:r>
        <w:rPr>
          <w:rFonts w:ascii="Times New Roman" w:hAnsi="Times New Roman" w:eastAsia="Times New Roman" w:cs="Times New Roman"/>
          <w:bCs/>
          <w:color w:val="auto"/>
        </w:rPr>
        <w:t xml:space="preserve">3. </w:t>
      </w:r>
      <w:r>
        <w:rPr>
          <w:bCs/>
          <w:color w:val="auto"/>
        </w:rPr>
        <w:t>投标文件</w:t>
      </w:r>
      <w:bookmarkEnd w:id="49"/>
    </w:p>
    <w:p>
      <w:pPr>
        <w:pStyle w:val="4"/>
        <w:ind w:left="132" w:right="0"/>
        <w:rPr>
          <w:rFonts w:hint="eastAsia"/>
          <w:bCs/>
          <w:color w:val="auto"/>
        </w:rPr>
      </w:pPr>
      <w:bookmarkStart w:id="50" w:name="_Toc195390828"/>
      <w:r>
        <w:rPr>
          <w:rFonts w:ascii="Times New Roman" w:hAnsi="Times New Roman" w:eastAsia="Times New Roman" w:cs="Times New Roman"/>
          <w:bCs/>
          <w:color w:val="auto"/>
        </w:rPr>
        <w:t xml:space="preserve">3.1 </w:t>
      </w:r>
      <w:r>
        <w:rPr>
          <w:bCs/>
          <w:color w:val="auto"/>
        </w:rPr>
        <w:t>投标文件的组成</w:t>
      </w:r>
      <w:bookmarkEnd w:id="50"/>
    </w:p>
    <w:p>
      <w:pPr>
        <w:spacing w:after="119" w:line="265" w:lineRule="auto"/>
        <w:ind w:left="-5" w:right="590" w:hanging="10"/>
        <w:rPr>
          <w:bCs/>
          <w:color w:val="auto"/>
        </w:rPr>
      </w:pPr>
      <w:r>
        <w:rPr>
          <w:rFonts w:ascii="Times New Roman" w:hAnsi="Times New Roman" w:eastAsia="Times New Roman" w:cs="Times New Roman"/>
          <w:bCs/>
          <w:color w:val="auto"/>
          <w:sz w:val="21"/>
        </w:rPr>
        <w:t xml:space="preserve">3.1.1 </w:t>
      </w:r>
      <w:r>
        <w:rPr>
          <w:rFonts w:ascii="宋体" w:hAnsi="宋体" w:eastAsia="宋体" w:cs="宋体"/>
          <w:bCs/>
          <w:color w:val="auto"/>
          <w:sz w:val="21"/>
        </w:rPr>
        <w:t>投标文件应包括下列内容：</w:t>
      </w:r>
    </w:p>
    <w:p>
      <w:pPr>
        <w:numPr>
          <w:ilvl w:val="0"/>
          <w:numId w:val="4"/>
        </w:numPr>
        <w:spacing w:after="117" w:line="265" w:lineRule="auto"/>
        <w:ind w:right="590" w:hanging="631"/>
        <w:rPr>
          <w:bCs/>
          <w:color w:val="000000" w:themeColor="text1"/>
          <w14:textFill>
            <w14:solidFill>
              <w14:schemeClr w14:val="tx1"/>
            </w14:solidFill>
          </w14:textFill>
        </w:rPr>
      </w:pPr>
      <w:bookmarkStart w:id="51" w:name="_Hlk194439260"/>
      <w:bookmarkStart w:id="52" w:name="_Hlk194439996"/>
      <w:r>
        <w:rPr>
          <w:rFonts w:ascii="宋体" w:hAnsi="宋体" w:eastAsia="宋体" w:cs="宋体"/>
          <w:bCs/>
          <w:color w:val="000000" w:themeColor="text1"/>
          <w:sz w:val="21"/>
          <w14:textFill>
            <w14:solidFill>
              <w14:schemeClr w14:val="tx1"/>
            </w14:solidFill>
          </w14:textFill>
        </w:rPr>
        <w:t>投标函；</w:t>
      </w:r>
    </w:p>
    <w:p>
      <w:pPr>
        <w:numPr>
          <w:ilvl w:val="0"/>
          <w:numId w:val="4"/>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开标一览表；</w:t>
      </w:r>
    </w:p>
    <w:p>
      <w:pPr>
        <w:numPr>
          <w:ilvl w:val="0"/>
          <w:numId w:val="4"/>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法定代表人（单位负责人）身份证明或授权委托书；</w:t>
      </w:r>
    </w:p>
    <w:p>
      <w:pPr>
        <w:numPr>
          <w:ilvl w:val="0"/>
          <w:numId w:val="4"/>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联合体协议书；</w:t>
      </w:r>
    </w:p>
    <w:p>
      <w:pPr>
        <w:numPr>
          <w:ilvl w:val="0"/>
          <w:numId w:val="4"/>
        </w:numPr>
        <w:spacing w:after="117"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投标保证金；</w:t>
      </w:r>
    </w:p>
    <w:p>
      <w:pPr>
        <w:numPr>
          <w:ilvl w:val="0"/>
          <w:numId w:val="4"/>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商务和技术偏差表；</w:t>
      </w:r>
    </w:p>
    <w:p>
      <w:pPr>
        <w:numPr>
          <w:ilvl w:val="0"/>
          <w:numId w:val="4"/>
        </w:numPr>
        <w:spacing w:after="119"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分项报价表；</w:t>
      </w:r>
    </w:p>
    <w:p>
      <w:pPr>
        <w:numPr>
          <w:ilvl w:val="0"/>
          <w:numId w:val="4"/>
        </w:numPr>
        <w:spacing w:after="117"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资格审查资料；</w:t>
      </w:r>
    </w:p>
    <w:p>
      <w:pPr>
        <w:numPr>
          <w:ilvl w:val="0"/>
          <w:numId w:val="4"/>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技术支持资料；</w:t>
      </w:r>
    </w:p>
    <w:p>
      <w:pPr>
        <w:numPr>
          <w:ilvl w:val="0"/>
          <w:numId w:val="4"/>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技术评审内容；</w:t>
      </w:r>
    </w:p>
    <w:p>
      <w:pPr>
        <w:numPr>
          <w:ilvl w:val="0"/>
          <w:numId w:val="4"/>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商务评审内容；</w:t>
      </w:r>
    </w:p>
    <w:p>
      <w:pPr>
        <w:numPr>
          <w:ilvl w:val="0"/>
          <w:numId w:val="4"/>
        </w:numPr>
        <w:spacing w:after="5"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其他资料；</w:t>
      </w:r>
    </w:p>
    <w:p>
      <w:pPr>
        <w:numPr>
          <w:ilvl w:val="0"/>
          <w:numId w:val="4"/>
        </w:numPr>
        <w:spacing w:after="114"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中标服务费承诺书</w:t>
      </w:r>
      <w:r>
        <w:rPr>
          <w:rFonts w:ascii="宋体" w:hAnsi="宋体" w:eastAsia="宋体" w:cs="宋体"/>
          <w:bCs/>
          <w:color w:val="000000" w:themeColor="text1"/>
          <w:sz w:val="21"/>
          <w14:textFill>
            <w14:solidFill>
              <w14:schemeClr w14:val="tx1"/>
            </w14:solidFill>
          </w14:textFill>
        </w:rPr>
        <w:t>。</w:t>
      </w:r>
      <w:bookmarkEnd w:id="51"/>
    </w:p>
    <w:bookmarkEnd w:id="52"/>
    <w:p>
      <w:pPr>
        <w:spacing w:after="5" w:line="353" w:lineRule="auto"/>
        <w:ind w:left="-15" w:right="590" w:firstLine="420"/>
        <w:rPr>
          <w:bCs/>
          <w:color w:val="auto"/>
        </w:rPr>
      </w:pPr>
      <w:r>
        <w:rPr>
          <w:rFonts w:ascii="宋体" w:hAnsi="宋体" w:eastAsia="宋体" w:cs="宋体"/>
          <w:bCs/>
          <w:color w:val="auto"/>
          <w:sz w:val="21"/>
        </w:rPr>
        <w:t>投标人在评标过程中作出的符合法律法规和招标文件规定的澄清确认，构成投标文件的组成部分。</w:t>
      </w:r>
    </w:p>
    <w:p>
      <w:pPr>
        <w:spacing w:after="5" w:line="368" w:lineRule="auto"/>
        <w:ind w:left="-15" w:right="590" w:firstLine="360"/>
        <w:rPr>
          <w:bCs/>
          <w:color w:val="auto"/>
        </w:rPr>
      </w:pPr>
      <w:r>
        <w:rPr>
          <w:rFonts w:ascii="Times New Roman" w:hAnsi="Times New Roman" w:eastAsia="Times New Roman" w:cs="Times New Roman"/>
          <w:bCs/>
          <w:color w:val="auto"/>
          <w:sz w:val="21"/>
        </w:rPr>
        <w:t xml:space="preserve">3.1.2 </w:t>
      </w:r>
      <w:r>
        <w:rPr>
          <w:rFonts w:ascii="宋体" w:hAnsi="宋体" w:eastAsia="宋体" w:cs="宋体"/>
          <w:bCs/>
          <w:color w:val="auto"/>
          <w:sz w:val="21"/>
        </w:rPr>
        <w:t xml:space="preserve">投标人须知前附表规定不接受联合体投标的，或投标人没有组成联合体的，投标文件不包括本章第 </w:t>
      </w:r>
      <w:r>
        <w:rPr>
          <w:rFonts w:ascii="Times New Roman" w:hAnsi="Times New Roman" w:eastAsia="Times New Roman" w:cs="Times New Roman"/>
          <w:bCs/>
          <w:color w:val="auto"/>
          <w:sz w:val="21"/>
        </w:rPr>
        <w:t>3.1.1</w:t>
      </w: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）目所指的联合体协议书。</w:t>
      </w:r>
    </w:p>
    <w:p>
      <w:pPr>
        <w:spacing w:after="217" w:line="373" w:lineRule="auto"/>
        <w:ind w:left="-15" w:right="590" w:firstLine="360"/>
        <w:rPr>
          <w:bCs/>
          <w:color w:val="auto"/>
        </w:rPr>
      </w:pPr>
      <w:r>
        <w:rPr>
          <w:rFonts w:ascii="Times New Roman" w:hAnsi="Times New Roman" w:eastAsia="Times New Roman" w:cs="Times New Roman"/>
          <w:bCs/>
          <w:color w:val="auto"/>
          <w:sz w:val="21"/>
        </w:rPr>
        <w:t xml:space="preserve">3.1.3 </w:t>
      </w:r>
      <w:r>
        <w:rPr>
          <w:rFonts w:ascii="宋体" w:hAnsi="宋体" w:eastAsia="宋体" w:cs="宋体"/>
          <w:bCs/>
          <w:color w:val="auto"/>
          <w:sz w:val="21"/>
        </w:rPr>
        <w:t xml:space="preserve">投标人须知前附表未要求提交投标保证金的，投标文件不包括本章第 </w:t>
      </w:r>
      <w:r>
        <w:rPr>
          <w:rFonts w:ascii="Times New Roman" w:hAnsi="Times New Roman" w:eastAsia="Times New Roman" w:cs="Times New Roman"/>
          <w:bCs/>
          <w:color w:val="auto"/>
          <w:sz w:val="21"/>
        </w:rPr>
        <w:t>3.1.1</w:t>
      </w: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）目所指的投标保证金。</w:t>
      </w:r>
    </w:p>
    <w:p>
      <w:pPr>
        <w:pStyle w:val="4"/>
        <w:ind w:left="132" w:right="0"/>
        <w:rPr>
          <w:rFonts w:hint="eastAsia"/>
          <w:bCs/>
          <w:color w:val="auto"/>
        </w:rPr>
      </w:pPr>
      <w:bookmarkStart w:id="53" w:name="_Toc195390829"/>
      <w:r>
        <w:rPr>
          <w:rFonts w:ascii="Times New Roman" w:hAnsi="Times New Roman" w:eastAsia="Times New Roman" w:cs="Times New Roman"/>
          <w:bCs/>
          <w:color w:val="auto"/>
        </w:rPr>
        <w:t xml:space="preserve">3.2 </w:t>
      </w:r>
      <w:r>
        <w:rPr>
          <w:bCs/>
          <w:color w:val="auto"/>
        </w:rPr>
        <w:t>投标报价</w:t>
      </w:r>
      <w:bookmarkEnd w:id="53"/>
    </w:p>
    <w:p>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3.2.1 </w:t>
      </w:r>
      <w:r>
        <w:rPr>
          <w:rFonts w:ascii="宋体" w:hAnsi="宋体" w:eastAsia="宋体" w:cs="宋体"/>
          <w:bCs/>
          <w:color w:val="auto"/>
          <w:sz w:val="21"/>
        </w:rPr>
        <w:t>投标报价应包括国家规定的增值税税金，除投标人须知前附表另有规定外，增值税税金按一般计税方法计算。投标人应按第六章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的要求在投标函中进行报价并填写分项报价表。</w:t>
      </w:r>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3.2.2 </w:t>
      </w:r>
      <w:r>
        <w:rPr>
          <w:rFonts w:ascii="宋体" w:hAnsi="宋体" w:eastAsia="宋体" w:cs="宋体"/>
          <w:bCs/>
          <w:color w:val="auto"/>
          <w:sz w:val="21"/>
        </w:rPr>
        <w:t>投标人应充分了解该项目的总体情况以及影响投标报价的其他要素。</w:t>
      </w:r>
    </w:p>
    <w:p>
      <w:pPr>
        <w:spacing w:after="5" w:line="357" w:lineRule="auto"/>
        <w:ind w:left="-15" w:right="590" w:firstLine="420"/>
        <w:rPr>
          <w:bCs/>
          <w:color w:val="auto"/>
        </w:rPr>
      </w:pPr>
      <w:r>
        <w:rPr>
          <w:rFonts w:ascii="Times New Roman" w:hAnsi="Times New Roman" w:eastAsia="Times New Roman" w:cs="Times New Roman"/>
          <w:bCs/>
          <w:color w:val="auto"/>
          <w:sz w:val="21"/>
        </w:rPr>
        <w:t xml:space="preserve">3.2.3 </w:t>
      </w:r>
      <w:r>
        <w:rPr>
          <w:rFonts w:ascii="宋体" w:hAnsi="宋体" w:eastAsia="宋体" w:cs="宋体"/>
          <w:bCs/>
          <w:color w:val="auto"/>
          <w:sz w:val="21"/>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Pr>
          <w:rFonts w:ascii="Times New Roman" w:hAnsi="Times New Roman" w:eastAsia="Times New Roman" w:cs="Times New Roman"/>
          <w:bCs/>
          <w:color w:val="auto"/>
          <w:sz w:val="21"/>
        </w:rPr>
        <w:t>“</w:t>
      </w:r>
      <w:r>
        <w:rPr>
          <w:rFonts w:ascii="宋体" w:hAnsi="宋体" w:eastAsia="宋体" w:cs="宋体"/>
          <w:bCs/>
          <w:color w:val="auto"/>
          <w:sz w:val="21"/>
        </w:rPr>
        <w:t>分项报价表</w:t>
      </w:r>
      <w:r>
        <w:rPr>
          <w:rFonts w:ascii="Times New Roman" w:hAnsi="Times New Roman" w:eastAsia="Times New Roman" w:cs="Times New Roman"/>
          <w:bCs/>
          <w:color w:val="auto"/>
          <w:sz w:val="21"/>
        </w:rPr>
        <w:t>”</w:t>
      </w:r>
      <w:r>
        <w:rPr>
          <w:rFonts w:ascii="宋体" w:hAnsi="宋体" w:eastAsia="宋体" w:cs="宋体"/>
          <w:bCs/>
          <w:color w:val="auto"/>
          <w:sz w:val="21"/>
        </w:rPr>
        <w:t xml:space="preserve">中的相应报价。此修改须符合本章第 </w:t>
      </w:r>
      <w:r>
        <w:rPr>
          <w:rFonts w:ascii="Times New Roman" w:hAnsi="Times New Roman" w:eastAsia="Times New Roman" w:cs="Times New Roman"/>
          <w:bCs/>
          <w:color w:val="auto"/>
          <w:sz w:val="21"/>
        </w:rPr>
        <w:t xml:space="preserve">4.3 </w:t>
      </w:r>
      <w:r>
        <w:rPr>
          <w:rFonts w:ascii="宋体" w:hAnsi="宋体" w:eastAsia="宋体" w:cs="宋体"/>
          <w:bCs/>
          <w:color w:val="auto"/>
          <w:sz w:val="21"/>
        </w:rPr>
        <w:t>款的有关要求。</w:t>
      </w:r>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3.2.4 </w:t>
      </w:r>
      <w:r>
        <w:rPr>
          <w:rFonts w:ascii="宋体" w:hAnsi="宋体" w:eastAsia="宋体" w:cs="宋体"/>
          <w:bCs/>
          <w:color w:val="auto"/>
          <w:sz w:val="21"/>
        </w:rPr>
        <w:t>招标人设有最高投标限价的，投标人的投标报价不得超过最高投标限价，最高投标限价在投标人须知前附表中载明。</w:t>
      </w:r>
    </w:p>
    <w:p>
      <w:pPr>
        <w:spacing w:after="340" w:line="265" w:lineRule="auto"/>
        <w:ind w:left="430" w:right="590" w:hanging="10"/>
        <w:rPr>
          <w:bCs/>
          <w:color w:val="auto"/>
        </w:rPr>
      </w:pPr>
      <w:r>
        <w:rPr>
          <w:rFonts w:ascii="Times New Roman" w:hAnsi="Times New Roman" w:eastAsia="Times New Roman" w:cs="Times New Roman"/>
          <w:bCs/>
          <w:color w:val="auto"/>
          <w:sz w:val="21"/>
        </w:rPr>
        <w:t xml:space="preserve">3.2.5 </w:t>
      </w:r>
      <w:r>
        <w:rPr>
          <w:rFonts w:ascii="宋体" w:hAnsi="宋体" w:eastAsia="宋体" w:cs="宋体"/>
          <w:bCs/>
          <w:color w:val="auto"/>
          <w:sz w:val="21"/>
        </w:rPr>
        <w:t>投标报价的其他要求见投标人须知前附表。</w:t>
      </w:r>
    </w:p>
    <w:p>
      <w:pPr>
        <w:pStyle w:val="4"/>
        <w:ind w:left="132" w:right="0"/>
        <w:rPr>
          <w:rFonts w:hint="eastAsia"/>
          <w:bCs/>
          <w:color w:val="auto"/>
        </w:rPr>
      </w:pPr>
      <w:bookmarkStart w:id="54" w:name="_Toc195390830"/>
      <w:r>
        <w:rPr>
          <w:rFonts w:ascii="Times New Roman" w:hAnsi="Times New Roman" w:eastAsia="Times New Roman" w:cs="Times New Roman"/>
          <w:bCs/>
          <w:color w:val="auto"/>
        </w:rPr>
        <w:t xml:space="preserve">3.3 </w:t>
      </w:r>
      <w:r>
        <w:rPr>
          <w:bCs/>
          <w:color w:val="auto"/>
        </w:rPr>
        <w:t>投标有效期</w:t>
      </w:r>
      <w:bookmarkEnd w:id="54"/>
    </w:p>
    <w:p>
      <w:pPr>
        <w:spacing w:after="124" w:line="265" w:lineRule="auto"/>
        <w:ind w:left="430" w:right="590" w:hanging="10"/>
        <w:rPr>
          <w:bCs/>
          <w:color w:val="auto"/>
        </w:rPr>
      </w:pPr>
      <w:r>
        <w:rPr>
          <w:rFonts w:ascii="Times New Roman" w:hAnsi="Times New Roman" w:eastAsia="Times New Roman" w:cs="Times New Roman"/>
          <w:bCs/>
          <w:color w:val="auto"/>
          <w:sz w:val="21"/>
        </w:rPr>
        <w:t xml:space="preserve">3.3.1 </w:t>
      </w:r>
      <w:r>
        <w:rPr>
          <w:rFonts w:hint="eastAsia" w:ascii="宋体" w:hAnsi="宋体" w:eastAsia="宋体" w:cs="宋体"/>
          <w:bCs/>
          <w:color w:val="auto"/>
          <w:sz w:val="21"/>
        </w:rPr>
        <w:t>详见</w:t>
      </w:r>
      <w:r>
        <w:rPr>
          <w:rFonts w:ascii="宋体" w:hAnsi="宋体" w:eastAsia="宋体" w:cs="宋体"/>
          <w:bCs/>
          <w:color w:val="auto"/>
          <w:sz w:val="21"/>
        </w:rPr>
        <w:t>投标人须知前附表。</w:t>
      </w:r>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3.3.2 </w:t>
      </w:r>
      <w:r>
        <w:rPr>
          <w:rFonts w:ascii="宋体" w:hAnsi="宋体" w:eastAsia="宋体" w:cs="宋体"/>
          <w:bCs/>
          <w:color w:val="auto"/>
          <w:sz w:val="21"/>
        </w:rPr>
        <w:t>在投标有效期内，投标人撤销投标文件的，应承担招标文件和法律规定的责任。</w:t>
      </w:r>
    </w:p>
    <w:p>
      <w:pPr>
        <w:spacing w:after="237" w:line="356" w:lineRule="auto"/>
        <w:ind w:left="-15" w:right="590" w:firstLine="420"/>
        <w:rPr>
          <w:bCs/>
          <w:color w:val="auto"/>
        </w:rPr>
      </w:pPr>
      <w:r>
        <w:rPr>
          <w:rFonts w:ascii="Times New Roman" w:hAnsi="Times New Roman" w:eastAsia="Times New Roman" w:cs="Times New Roman"/>
          <w:bCs/>
          <w:color w:val="auto"/>
          <w:sz w:val="21"/>
        </w:rPr>
        <w:t xml:space="preserve">3.3.3 </w:t>
      </w:r>
      <w:r>
        <w:rPr>
          <w:rFonts w:ascii="宋体" w:hAnsi="宋体" w:eastAsia="宋体" w:cs="宋体"/>
          <w:bCs/>
          <w:color w:val="auto"/>
          <w:sz w:val="21"/>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ind w:left="132" w:right="0"/>
        <w:rPr>
          <w:rFonts w:hint="eastAsia"/>
          <w:bCs/>
          <w:color w:val="auto"/>
        </w:rPr>
      </w:pPr>
      <w:bookmarkStart w:id="55" w:name="_Toc195390831"/>
      <w:r>
        <w:rPr>
          <w:rFonts w:ascii="Times New Roman" w:hAnsi="Times New Roman" w:eastAsia="Times New Roman" w:cs="Times New Roman"/>
          <w:bCs/>
          <w:color w:val="auto"/>
        </w:rPr>
        <w:t xml:space="preserve">3.4 </w:t>
      </w:r>
      <w:r>
        <w:rPr>
          <w:bCs/>
          <w:color w:val="auto"/>
        </w:rPr>
        <w:t>投标保证金</w:t>
      </w:r>
      <w:bookmarkEnd w:id="55"/>
    </w:p>
    <w:p>
      <w:pPr>
        <w:spacing w:after="5" w:line="356" w:lineRule="auto"/>
        <w:ind w:right="590" w:firstLine="420" w:firstLineChars="200"/>
        <w:rPr>
          <w:bCs/>
          <w:color w:val="auto"/>
        </w:rPr>
      </w:pPr>
      <w:r>
        <w:rPr>
          <w:rFonts w:ascii="Times New Roman" w:hAnsi="Times New Roman" w:eastAsia="Times New Roman" w:cs="Times New Roman"/>
          <w:bCs/>
          <w:color w:val="auto"/>
          <w:sz w:val="21"/>
        </w:rPr>
        <w:t xml:space="preserve">3.4.1 </w:t>
      </w:r>
      <w:r>
        <w:rPr>
          <w:rFonts w:ascii="宋体" w:hAnsi="宋体" w:eastAsia="宋体" w:cs="宋体"/>
          <w:bCs/>
          <w:color w:val="auto"/>
          <w:sz w:val="21"/>
        </w:rPr>
        <w:t>投标人在递交投标文件的同时，应按投标人须知前附表规定的金额、形式和第六章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pPr>
        <w:spacing w:after="132"/>
        <w:ind w:left="192" w:right="910" w:hanging="10"/>
        <w:jc w:val="center"/>
        <w:rPr>
          <w:bCs/>
          <w:color w:val="auto"/>
        </w:rPr>
      </w:pPr>
      <w:r>
        <w:rPr>
          <w:rFonts w:ascii="Times New Roman" w:hAnsi="Times New Roman" w:eastAsia="Times New Roman" w:cs="Times New Roman"/>
          <w:bCs/>
          <w:color w:val="auto"/>
          <w:sz w:val="21"/>
        </w:rPr>
        <w:t xml:space="preserve">3.4.2 </w:t>
      </w:r>
      <w:r>
        <w:rPr>
          <w:rFonts w:ascii="宋体" w:hAnsi="宋体" w:eastAsia="宋体" w:cs="宋体"/>
          <w:bCs/>
          <w:color w:val="auto"/>
          <w:sz w:val="21"/>
        </w:rPr>
        <w:t xml:space="preserve">投标人不按本章第 </w:t>
      </w:r>
      <w:r>
        <w:rPr>
          <w:rFonts w:ascii="Times New Roman" w:hAnsi="Times New Roman" w:eastAsia="Times New Roman" w:cs="Times New Roman"/>
          <w:bCs/>
          <w:color w:val="auto"/>
          <w:sz w:val="21"/>
        </w:rPr>
        <w:t xml:space="preserve">3.4.1 </w:t>
      </w:r>
      <w:r>
        <w:rPr>
          <w:rFonts w:ascii="宋体" w:hAnsi="宋体" w:eastAsia="宋体" w:cs="宋体"/>
          <w:bCs/>
          <w:color w:val="auto"/>
          <w:sz w:val="21"/>
        </w:rPr>
        <w:t>项要求提交投标保证金的，评标委员会将否决其投标。</w:t>
      </w:r>
    </w:p>
    <w:p>
      <w:pPr>
        <w:spacing w:after="5" w:line="374" w:lineRule="auto"/>
        <w:ind w:left="-15" w:right="590" w:firstLine="420"/>
        <w:rPr>
          <w:bCs/>
          <w:color w:val="auto"/>
        </w:rPr>
      </w:pPr>
      <w:r>
        <w:rPr>
          <w:rFonts w:ascii="Times New Roman" w:hAnsi="Times New Roman" w:eastAsia="Times New Roman" w:cs="Times New Roman"/>
          <w:bCs/>
          <w:color w:val="auto"/>
          <w:sz w:val="21"/>
        </w:rPr>
        <w:t xml:space="preserve">3.4.3 </w:t>
      </w:r>
      <w:r>
        <w:rPr>
          <w:rFonts w:ascii="宋体" w:hAnsi="宋体" w:eastAsia="宋体" w:cs="宋体"/>
          <w:bCs/>
          <w:color w:val="auto"/>
          <w:sz w:val="21"/>
        </w:rPr>
        <w:t xml:space="preserve">招标人最迟将在与中标人签订合同后 </w:t>
      </w:r>
      <w:r>
        <w:rPr>
          <w:rFonts w:ascii="Times New Roman" w:hAnsi="Times New Roman" w:eastAsia="Times New Roman" w:cs="Times New Roman"/>
          <w:bCs/>
          <w:color w:val="auto"/>
          <w:sz w:val="21"/>
        </w:rPr>
        <w:t xml:space="preserve">5 </w:t>
      </w:r>
      <w:r>
        <w:rPr>
          <w:rFonts w:ascii="宋体" w:hAnsi="宋体" w:eastAsia="宋体" w:cs="宋体"/>
          <w:bCs/>
          <w:color w:val="auto"/>
          <w:sz w:val="21"/>
        </w:rPr>
        <w:t>日内，向未中标的投标人和中标人退还投标保证金。投标保证金以现金或者支票形式递交的，还应退还银行同期存款利息。</w:t>
      </w:r>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3.4.4 </w:t>
      </w:r>
      <w:r>
        <w:rPr>
          <w:rFonts w:ascii="宋体" w:hAnsi="宋体" w:eastAsia="宋体" w:cs="宋体"/>
          <w:bCs/>
          <w:color w:val="auto"/>
          <w:sz w:val="21"/>
        </w:rPr>
        <w:t>有下列情形之一的，投标保证金将不予退还：</w:t>
      </w:r>
    </w:p>
    <w:p>
      <w:pPr>
        <w:numPr>
          <w:ilvl w:val="0"/>
          <w:numId w:val="5"/>
        </w:numPr>
        <w:spacing w:after="121" w:line="265" w:lineRule="auto"/>
        <w:ind w:right="590" w:firstLine="314"/>
        <w:rPr>
          <w:bCs/>
          <w:color w:val="auto"/>
        </w:rPr>
      </w:pPr>
      <w:r>
        <w:rPr>
          <w:rFonts w:ascii="宋体" w:hAnsi="宋体" w:eastAsia="宋体" w:cs="宋体"/>
          <w:bCs/>
          <w:color w:val="auto"/>
          <w:sz w:val="21"/>
        </w:rPr>
        <w:t>投标人在投标有效期内撤销投标文件；</w:t>
      </w:r>
    </w:p>
    <w:p>
      <w:pPr>
        <w:numPr>
          <w:ilvl w:val="0"/>
          <w:numId w:val="5"/>
        </w:numPr>
        <w:spacing w:after="5" w:line="370" w:lineRule="auto"/>
        <w:ind w:right="590" w:firstLine="314"/>
        <w:rPr>
          <w:bCs/>
          <w:color w:val="auto"/>
        </w:rPr>
      </w:pPr>
      <w:r>
        <w:rPr>
          <w:rFonts w:ascii="宋体" w:hAnsi="宋体" w:eastAsia="宋体" w:cs="宋体"/>
          <w:bCs/>
          <w:color w:val="auto"/>
          <w:sz w:val="21"/>
        </w:rPr>
        <w:t>中标人在收到中标通知书后，无正当理由不与招标人订立合同，在签订合同时向招标人提出附加条件，或者不按照招标文件要求提交履约保证金；</w:t>
      </w:r>
    </w:p>
    <w:p>
      <w:pPr>
        <w:numPr>
          <w:ilvl w:val="0"/>
          <w:numId w:val="5"/>
        </w:numPr>
        <w:spacing w:after="343" w:line="265" w:lineRule="auto"/>
        <w:ind w:right="590" w:firstLine="314"/>
        <w:rPr>
          <w:bCs/>
          <w:color w:val="auto"/>
        </w:rPr>
      </w:pPr>
      <w:r>
        <w:rPr>
          <w:rFonts w:ascii="宋体" w:hAnsi="宋体" w:eastAsia="宋体" w:cs="宋体"/>
          <w:bCs/>
          <w:color w:val="auto"/>
          <w:sz w:val="21"/>
        </w:rPr>
        <w:t>发生投标人须知前附表规定的其他可以不予退还投标保证金的情形。</w:t>
      </w:r>
    </w:p>
    <w:p>
      <w:pPr>
        <w:pStyle w:val="4"/>
        <w:ind w:left="132" w:right="0"/>
        <w:rPr>
          <w:rFonts w:hint="eastAsia"/>
          <w:bCs/>
          <w:color w:val="auto"/>
        </w:rPr>
      </w:pPr>
      <w:bookmarkStart w:id="56" w:name="_Toc195390832"/>
      <w:r>
        <w:rPr>
          <w:rFonts w:ascii="Times New Roman" w:hAnsi="Times New Roman" w:eastAsia="Times New Roman" w:cs="Times New Roman"/>
          <w:bCs/>
          <w:color w:val="auto"/>
        </w:rPr>
        <w:t xml:space="preserve">3.5 </w:t>
      </w:r>
      <w:r>
        <w:rPr>
          <w:bCs/>
          <w:color w:val="auto"/>
        </w:rPr>
        <w:t>资格审查资料</w:t>
      </w:r>
      <w:bookmarkEnd w:id="56"/>
    </w:p>
    <w:p>
      <w:pPr>
        <w:spacing w:after="5" w:line="355" w:lineRule="auto"/>
        <w:ind w:left="-15" w:right="590" w:firstLine="420"/>
        <w:rPr>
          <w:bCs/>
          <w:color w:val="auto"/>
        </w:rPr>
      </w:pPr>
      <w:r>
        <w:rPr>
          <w:rFonts w:ascii="宋体" w:hAnsi="宋体" w:eastAsia="宋体" w:cs="宋体"/>
          <w:bCs/>
          <w:color w:val="auto"/>
          <w:sz w:val="21"/>
        </w:rPr>
        <w:t xml:space="preserve">除投标人须知前附表另有规定外，投标人应按下列规定提供资格审查资料，以证明其满足本章第 </w:t>
      </w:r>
      <w:r>
        <w:rPr>
          <w:rFonts w:ascii="Times New Roman" w:hAnsi="Times New Roman" w:eastAsia="Times New Roman" w:cs="Times New Roman"/>
          <w:bCs/>
          <w:color w:val="auto"/>
          <w:sz w:val="21"/>
        </w:rPr>
        <w:t xml:space="preserve">1.4 </w:t>
      </w:r>
      <w:r>
        <w:rPr>
          <w:rFonts w:ascii="宋体" w:hAnsi="宋体" w:eastAsia="宋体" w:cs="宋体"/>
          <w:bCs/>
          <w:color w:val="auto"/>
          <w:sz w:val="21"/>
        </w:rPr>
        <w:t>款规定的资质、财务、业绩、信誉等要求。</w:t>
      </w:r>
    </w:p>
    <w:p>
      <w:pPr>
        <w:spacing w:after="5" w:line="369" w:lineRule="auto"/>
        <w:ind w:left="-15" w:right="590" w:firstLine="420"/>
        <w:rPr>
          <w:bCs/>
          <w:color w:val="auto"/>
        </w:rPr>
      </w:pPr>
      <w:r>
        <w:rPr>
          <w:rFonts w:ascii="Times New Roman" w:hAnsi="Times New Roman" w:eastAsia="Times New Roman" w:cs="Times New Roman"/>
          <w:bCs/>
          <w:color w:val="auto"/>
          <w:sz w:val="21"/>
        </w:rPr>
        <w:t>3.5.1 “</w:t>
      </w:r>
      <w:r>
        <w:rPr>
          <w:rFonts w:ascii="宋体" w:hAnsi="宋体" w:eastAsia="宋体" w:cs="宋体"/>
          <w:bCs/>
          <w:color w:val="auto"/>
          <w:sz w:val="21"/>
        </w:rPr>
        <w:t>投标人基本情况表</w:t>
      </w:r>
      <w:r>
        <w:rPr>
          <w:rFonts w:ascii="Times New Roman" w:hAnsi="Times New Roman" w:eastAsia="Times New Roman" w:cs="Times New Roman"/>
          <w:bCs/>
          <w:color w:val="auto"/>
          <w:sz w:val="21"/>
        </w:rPr>
        <w:t>”</w:t>
      </w:r>
      <w:r>
        <w:rPr>
          <w:rFonts w:ascii="宋体" w:hAnsi="宋体" w:eastAsia="宋体" w:cs="宋体"/>
          <w:bCs/>
          <w:color w:val="auto"/>
          <w:sz w:val="21"/>
        </w:rPr>
        <w:t>应附投标人及其制造商（适用于代理经销商投标的情形）资格或者资质证书副本和投标材料检验或认证等材料的复印件以及：</w:t>
      </w:r>
    </w:p>
    <w:p>
      <w:pPr>
        <w:spacing w:after="5" w:line="368" w:lineRule="auto"/>
        <w:ind w:left="42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投标人为企业的，应提交营业执照和组织机构代码证的复印件（按照</w:t>
      </w:r>
      <w:r>
        <w:rPr>
          <w:rFonts w:ascii="Times New Roman" w:hAnsi="Times New Roman" w:eastAsia="Times New Roman" w:cs="Times New Roman"/>
          <w:bCs/>
          <w:color w:val="auto"/>
          <w:sz w:val="21"/>
        </w:rPr>
        <w:t>“</w:t>
      </w:r>
      <w:r>
        <w:rPr>
          <w:rFonts w:ascii="宋体" w:hAnsi="宋体" w:eastAsia="宋体" w:cs="宋体"/>
          <w:bCs/>
          <w:color w:val="auto"/>
          <w:sz w:val="21"/>
        </w:rPr>
        <w:t>三证合一</w:t>
      </w:r>
      <w:r>
        <w:rPr>
          <w:rFonts w:ascii="Times New Roman" w:hAnsi="Times New Roman" w:eastAsia="Times New Roman" w:cs="Times New Roman"/>
          <w:bCs/>
          <w:color w:val="auto"/>
          <w:sz w:val="21"/>
        </w:rPr>
        <w:t>”</w:t>
      </w:r>
      <w:r>
        <w:rPr>
          <w:rFonts w:ascii="宋体" w:hAnsi="宋体" w:eastAsia="宋体" w:cs="宋体"/>
          <w:bCs/>
          <w:color w:val="auto"/>
          <w:sz w:val="21"/>
        </w:rPr>
        <w:t>或</w:t>
      </w:r>
      <w:r>
        <w:rPr>
          <w:rFonts w:ascii="Times New Roman" w:hAnsi="Times New Roman" w:eastAsia="Times New Roman" w:cs="Times New Roman"/>
          <w:bCs/>
          <w:color w:val="auto"/>
          <w:sz w:val="21"/>
        </w:rPr>
        <w:t>“</w:t>
      </w:r>
      <w:r>
        <w:rPr>
          <w:rFonts w:ascii="宋体" w:hAnsi="宋体" w:eastAsia="宋体" w:cs="宋体"/>
          <w:bCs/>
          <w:color w:val="auto"/>
          <w:sz w:val="21"/>
        </w:rPr>
        <w:t>五证合一</w:t>
      </w:r>
      <w:r>
        <w:rPr>
          <w:rFonts w:ascii="Times New Roman" w:hAnsi="Times New Roman" w:eastAsia="Times New Roman" w:cs="Times New Roman"/>
          <w:bCs/>
          <w:color w:val="auto"/>
          <w:sz w:val="21"/>
        </w:rPr>
        <w:t>”</w:t>
      </w:r>
      <w:r>
        <w:rPr>
          <w:rFonts w:ascii="宋体" w:hAnsi="宋体" w:eastAsia="宋体" w:cs="宋体"/>
          <w:bCs/>
          <w:color w:val="auto"/>
          <w:sz w:val="21"/>
        </w:rPr>
        <w:t>登记制度进行登记的，可仅提供营业执照复印件）；</w:t>
      </w:r>
    </w:p>
    <w:p>
      <w:pPr>
        <w:spacing w:after="5" w:line="369" w:lineRule="auto"/>
        <w:ind w:left="42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投标人为依法允许经营的事业单位的，应提交事业单位法人证书和组织机构代码证的复印件。</w:t>
      </w:r>
    </w:p>
    <w:p>
      <w:pPr>
        <w:spacing w:after="5" w:line="359" w:lineRule="auto"/>
        <w:ind w:left="-15" w:right="590" w:firstLine="420"/>
        <w:rPr>
          <w:bCs/>
          <w:color w:val="auto"/>
        </w:rPr>
      </w:pPr>
      <w:r>
        <w:rPr>
          <w:rFonts w:ascii="Times New Roman" w:hAnsi="Times New Roman" w:eastAsia="Times New Roman" w:cs="Times New Roman"/>
          <w:bCs/>
          <w:color w:val="auto"/>
          <w:sz w:val="21"/>
        </w:rPr>
        <w:t>3.5.2 “</w:t>
      </w:r>
      <w:r>
        <w:rPr>
          <w:rFonts w:ascii="宋体" w:hAnsi="宋体" w:eastAsia="宋体" w:cs="宋体"/>
          <w:bCs/>
          <w:color w:val="auto"/>
          <w:sz w:val="21"/>
        </w:rPr>
        <w:t>近年财务状况表</w:t>
      </w:r>
      <w:r>
        <w:rPr>
          <w:rFonts w:ascii="Times New Roman" w:hAnsi="Times New Roman" w:eastAsia="Times New Roman" w:cs="Times New Roman"/>
          <w:bCs/>
          <w:color w:val="auto"/>
          <w:sz w:val="21"/>
        </w:rPr>
        <w:t>”</w:t>
      </w:r>
      <w:r>
        <w:rPr>
          <w:rFonts w:ascii="宋体" w:hAnsi="宋体" w:eastAsia="宋体" w:cs="宋体"/>
          <w:bCs/>
          <w:color w:val="auto"/>
          <w:sz w:val="21"/>
        </w:rPr>
        <w:t>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pPr>
        <w:spacing w:after="125" w:line="265" w:lineRule="auto"/>
        <w:ind w:left="10" w:right="710" w:firstLine="420" w:firstLineChars="200"/>
        <w:rPr>
          <w:bCs/>
          <w:color w:val="auto"/>
        </w:rPr>
      </w:pPr>
      <w:r>
        <w:rPr>
          <w:rFonts w:ascii="Times New Roman" w:hAnsi="Times New Roman" w:eastAsia="Times New Roman" w:cs="Times New Roman"/>
          <w:bCs/>
          <w:color w:val="auto"/>
          <w:sz w:val="21"/>
        </w:rPr>
        <w:t>3.5.3 “</w:t>
      </w:r>
      <w:r>
        <w:rPr>
          <w:rFonts w:ascii="宋体" w:hAnsi="宋体" w:eastAsia="宋体" w:cs="宋体"/>
          <w:bCs/>
          <w:color w:val="auto"/>
          <w:sz w:val="21"/>
        </w:rPr>
        <w:t>近年完成的类似项目情况表</w:t>
      </w:r>
      <w:r>
        <w:rPr>
          <w:rFonts w:ascii="Times New Roman" w:hAnsi="Times New Roman" w:eastAsia="Times New Roman" w:cs="Times New Roman"/>
          <w:bCs/>
          <w:color w:val="auto"/>
          <w:sz w:val="21"/>
        </w:rPr>
        <w:t>”</w:t>
      </w:r>
      <w:r>
        <w:rPr>
          <w:rFonts w:ascii="宋体" w:hAnsi="宋体" w:eastAsia="宋体" w:cs="宋体"/>
          <w:bCs/>
          <w:color w:val="auto"/>
          <w:sz w:val="21"/>
        </w:rPr>
        <w:t>应附中标通知书和（或）合同协议书、设备进场验收证书等的复印件，具体时间要求见投标人须知前附表。每张表格只填写一个项目，并标明序号。</w:t>
      </w:r>
    </w:p>
    <w:p>
      <w:pPr>
        <w:spacing w:after="5" w:line="367" w:lineRule="auto"/>
        <w:ind w:left="-15" w:right="590" w:firstLine="420"/>
        <w:rPr>
          <w:bCs/>
          <w:color w:val="auto"/>
        </w:rPr>
      </w:pPr>
      <w:r>
        <w:rPr>
          <w:rFonts w:ascii="Times New Roman" w:hAnsi="Times New Roman" w:eastAsia="Times New Roman" w:cs="Times New Roman"/>
          <w:bCs/>
          <w:color w:val="auto"/>
          <w:sz w:val="21"/>
        </w:rPr>
        <w:t>3.5.4 “</w:t>
      </w:r>
      <w:r>
        <w:rPr>
          <w:rFonts w:ascii="宋体" w:hAnsi="宋体" w:eastAsia="宋体" w:cs="宋体"/>
          <w:bCs/>
          <w:color w:val="auto"/>
          <w:sz w:val="21"/>
        </w:rPr>
        <w:t>正在供货和新承接的项目情况表</w:t>
      </w:r>
      <w:r>
        <w:rPr>
          <w:rFonts w:ascii="Times New Roman" w:hAnsi="Times New Roman" w:eastAsia="Times New Roman" w:cs="Times New Roman"/>
          <w:bCs/>
          <w:color w:val="auto"/>
          <w:sz w:val="21"/>
        </w:rPr>
        <w:t>”</w:t>
      </w:r>
      <w:r>
        <w:rPr>
          <w:rFonts w:ascii="宋体" w:hAnsi="宋体" w:eastAsia="宋体" w:cs="宋体"/>
          <w:bCs/>
          <w:color w:val="auto"/>
          <w:sz w:val="21"/>
        </w:rPr>
        <w:t>应附中标通知书和（或）合同协议书复印件。每张表格只填写一个项目，并标明序号。</w:t>
      </w:r>
    </w:p>
    <w:p>
      <w:pPr>
        <w:spacing w:after="5" w:line="369" w:lineRule="auto"/>
        <w:ind w:left="-15" w:right="590" w:firstLine="420"/>
        <w:rPr>
          <w:bCs/>
          <w:color w:val="auto"/>
        </w:rPr>
      </w:pPr>
      <w:r>
        <w:rPr>
          <w:rFonts w:ascii="Times New Roman" w:hAnsi="Times New Roman" w:eastAsia="Times New Roman" w:cs="Times New Roman"/>
          <w:bCs/>
          <w:color w:val="auto"/>
          <w:sz w:val="21"/>
        </w:rPr>
        <w:t>3.5.5 “</w:t>
      </w:r>
      <w:r>
        <w:rPr>
          <w:rFonts w:ascii="宋体" w:hAnsi="宋体" w:eastAsia="宋体" w:cs="宋体"/>
          <w:bCs/>
          <w:color w:val="auto"/>
          <w:sz w:val="21"/>
        </w:rPr>
        <w:t>近年发生的诉讼及仲裁情况</w:t>
      </w:r>
      <w:r>
        <w:rPr>
          <w:rFonts w:ascii="Times New Roman" w:hAnsi="Times New Roman" w:eastAsia="Times New Roman" w:cs="Times New Roman"/>
          <w:bCs/>
          <w:color w:val="auto"/>
          <w:sz w:val="21"/>
        </w:rPr>
        <w:t>”</w:t>
      </w:r>
      <w:r>
        <w:rPr>
          <w:rFonts w:ascii="宋体" w:hAnsi="宋体" w:eastAsia="宋体" w:cs="宋体"/>
          <w:bCs/>
          <w:color w:val="auto"/>
          <w:sz w:val="21"/>
        </w:rPr>
        <w:t>应说明投标人败诉的设备买卖合同的相关情况，并附法院或仲裁机构作出的判决、裁决等有关法律文书复印件，具体时间要求见投标人须知前附表。</w:t>
      </w:r>
    </w:p>
    <w:p>
      <w:pPr>
        <w:spacing w:after="218" w:line="372" w:lineRule="auto"/>
        <w:ind w:left="-15" w:right="590" w:firstLine="420"/>
        <w:rPr>
          <w:bCs/>
          <w:color w:val="auto"/>
        </w:rPr>
      </w:pPr>
      <w:r>
        <w:rPr>
          <w:rFonts w:ascii="Times New Roman" w:hAnsi="Times New Roman" w:eastAsia="Times New Roman" w:cs="Times New Roman"/>
          <w:bCs/>
          <w:color w:val="auto"/>
          <w:sz w:val="21"/>
        </w:rPr>
        <w:t xml:space="preserve">3.5.6 </w:t>
      </w:r>
      <w:r>
        <w:rPr>
          <w:rFonts w:ascii="宋体" w:hAnsi="宋体" w:eastAsia="宋体" w:cs="宋体"/>
          <w:bCs/>
          <w:color w:val="auto"/>
          <w:sz w:val="21"/>
        </w:rPr>
        <w:t xml:space="preserve">投标人须知前附表规定接受联合体投标的，本章第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 xml:space="preserve">项至第 </w:t>
      </w:r>
      <w:r>
        <w:rPr>
          <w:rFonts w:ascii="Times New Roman" w:hAnsi="Times New Roman" w:eastAsia="Times New Roman" w:cs="Times New Roman"/>
          <w:bCs/>
          <w:color w:val="auto"/>
          <w:sz w:val="21"/>
        </w:rPr>
        <w:t xml:space="preserve">3.5.5 </w:t>
      </w:r>
      <w:r>
        <w:rPr>
          <w:rFonts w:ascii="宋体" w:hAnsi="宋体" w:eastAsia="宋体" w:cs="宋体"/>
          <w:bCs/>
          <w:color w:val="auto"/>
          <w:sz w:val="21"/>
        </w:rPr>
        <w:t>项规定的表格和资料应包括联合体各方相关情况。</w:t>
      </w:r>
    </w:p>
    <w:p>
      <w:pPr>
        <w:pStyle w:val="4"/>
        <w:ind w:left="132" w:right="0"/>
        <w:rPr>
          <w:rFonts w:hint="eastAsia"/>
          <w:bCs/>
          <w:color w:val="auto"/>
        </w:rPr>
      </w:pPr>
      <w:bookmarkStart w:id="57" w:name="_Toc195390833"/>
      <w:r>
        <w:rPr>
          <w:rFonts w:ascii="Times New Roman" w:hAnsi="Times New Roman" w:eastAsia="Times New Roman" w:cs="Times New Roman"/>
          <w:bCs/>
          <w:color w:val="auto"/>
        </w:rPr>
        <w:t xml:space="preserve">3.6 </w:t>
      </w:r>
      <w:r>
        <w:rPr>
          <w:bCs/>
          <w:color w:val="auto"/>
        </w:rPr>
        <w:t>备选投标方案</w:t>
      </w:r>
      <w:bookmarkEnd w:id="57"/>
    </w:p>
    <w:p>
      <w:pPr>
        <w:spacing w:after="5" w:line="366" w:lineRule="auto"/>
        <w:ind w:left="-15" w:right="590" w:firstLine="420"/>
        <w:rPr>
          <w:bCs/>
          <w:color w:val="auto"/>
        </w:rPr>
      </w:pPr>
      <w:r>
        <w:rPr>
          <w:rFonts w:ascii="Times New Roman" w:hAnsi="Times New Roman" w:eastAsia="Times New Roman" w:cs="Times New Roman"/>
          <w:bCs/>
          <w:color w:val="auto"/>
          <w:sz w:val="21"/>
        </w:rPr>
        <w:t xml:space="preserve">3.6.1 </w:t>
      </w:r>
      <w:r>
        <w:rPr>
          <w:rFonts w:ascii="宋体" w:hAnsi="宋体" w:eastAsia="宋体" w:cs="宋体"/>
          <w:bCs/>
          <w:color w:val="auto"/>
          <w:sz w:val="21"/>
        </w:rPr>
        <w:t>除投标人须知前附表规定允许外，投标人不得递交备选投标方案，否则其投标将被否决。</w:t>
      </w:r>
    </w:p>
    <w:p>
      <w:pPr>
        <w:spacing w:after="5" w:line="358" w:lineRule="auto"/>
        <w:ind w:left="-15" w:right="590" w:firstLine="420"/>
        <w:rPr>
          <w:bCs/>
          <w:color w:val="auto"/>
        </w:rPr>
      </w:pPr>
      <w:r>
        <w:rPr>
          <w:rFonts w:ascii="Times New Roman" w:hAnsi="Times New Roman" w:eastAsia="Times New Roman" w:cs="Times New Roman"/>
          <w:bCs/>
          <w:color w:val="auto"/>
          <w:sz w:val="21"/>
        </w:rPr>
        <w:t xml:space="preserve">3.6.2 </w:t>
      </w:r>
      <w:r>
        <w:rPr>
          <w:rFonts w:ascii="宋体" w:hAnsi="宋体" w:eastAsia="宋体" w:cs="宋体"/>
          <w:bCs/>
          <w:color w:val="auto"/>
          <w:sz w:val="21"/>
        </w:rPr>
        <w:t>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after="219" w:line="369" w:lineRule="auto"/>
        <w:ind w:left="-15" w:right="590" w:firstLine="420"/>
        <w:rPr>
          <w:bCs/>
          <w:color w:val="auto"/>
        </w:rPr>
      </w:pPr>
      <w:r>
        <w:rPr>
          <w:rFonts w:ascii="Times New Roman" w:hAnsi="Times New Roman" w:eastAsia="Times New Roman" w:cs="Times New Roman"/>
          <w:bCs/>
          <w:color w:val="auto"/>
          <w:sz w:val="21"/>
        </w:rPr>
        <w:t xml:space="preserve">3.6.3 </w:t>
      </w:r>
      <w:r>
        <w:rPr>
          <w:rFonts w:ascii="宋体" w:hAnsi="宋体" w:eastAsia="宋体" w:cs="宋体"/>
          <w:bCs/>
          <w:color w:val="auto"/>
          <w:sz w:val="21"/>
        </w:rPr>
        <w:t>投标人提供两个或两个以上投标报价，或者在投标文件中提供一个报价，但同时提供两个或两个以上供货方案的，视为提供备选方案。</w:t>
      </w:r>
    </w:p>
    <w:p>
      <w:pPr>
        <w:pStyle w:val="4"/>
        <w:ind w:left="132" w:right="0"/>
        <w:rPr>
          <w:rFonts w:hint="eastAsia"/>
          <w:bCs/>
          <w:color w:val="auto"/>
        </w:rPr>
      </w:pPr>
      <w:bookmarkStart w:id="58" w:name="_Toc195390834"/>
      <w:r>
        <w:rPr>
          <w:rFonts w:ascii="Times New Roman" w:hAnsi="Times New Roman" w:eastAsia="Times New Roman" w:cs="Times New Roman"/>
          <w:bCs/>
          <w:color w:val="auto"/>
        </w:rPr>
        <w:t xml:space="preserve">3.7 </w:t>
      </w:r>
      <w:r>
        <w:rPr>
          <w:bCs/>
          <w:color w:val="auto"/>
        </w:rPr>
        <w:t>投标文件的编制</w:t>
      </w:r>
      <w:bookmarkEnd w:id="58"/>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3.7.1 </w:t>
      </w:r>
      <w:r>
        <w:rPr>
          <w:rFonts w:ascii="宋体" w:hAnsi="宋体" w:eastAsia="宋体" w:cs="宋体"/>
          <w:bCs/>
          <w:color w:val="auto"/>
          <w:sz w:val="21"/>
        </w:rPr>
        <w:t>投标文件应按第六章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进行编写，如有必要，可以增加附页，作为投标文件的组成部分。</w:t>
      </w:r>
    </w:p>
    <w:p>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3.7.2 </w:t>
      </w:r>
      <w:r>
        <w:rPr>
          <w:rFonts w:ascii="宋体" w:hAnsi="宋体" w:eastAsia="宋体" w:cs="宋体"/>
          <w:bCs/>
          <w:color w:val="auto"/>
          <w:sz w:val="21"/>
        </w:rPr>
        <w:t>投标文件应当对招标文件有关供货期、投标有效期、供货要求、招标范围等实质性内容作出响应。投标文件在满足招标文件实质性要求的基础上，可以提出比招标文件要求更有利于招标人的承诺。</w:t>
      </w:r>
    </w:p>
    <w:p>
      <w:pPr>
        <w:spacing w:after="5" w:line="356" w:lineRule="auto"/>
        <w:ind w:left="-15" w:right="590" w:firstLine="420"/>
        <w:rPr>
          <w:bCs/>
          <w:color w:val="auto"/>
        </w:rPr>
      </w:pP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的要求。投标文件应尽量避免涂改、行间插字或删除。如果出现上述情况，改动之处应由投标人的法定代表人（单位负责人）或其授权的代理人签字或盖单位章。</w:t>
      </w:r>
    </w:p>
    <w:p>
      <w:pPr>
        <w:spacing w:after="126" w:line="363" w:lineRule="auto"/>
        <w:ind w:right="590" w:firstLine="420" w:firstLineChars="200"/>
        <w:rPr>
          <w:bCs/>
          <w:color w:val="auto"/>
        </w:rPr>
      </w:pPr>
      <w:r>
        <w:rPr>
          <w:rFonts w:hint="eastAsia" w:ascii="宋体" w:hAnsi="宋体" w:eastAsia="宋体" w:cs="宋体"/>
          <w:bCs/>
          <w:color w:val="auto"/>
          <w:sz w:val="21"/>
        </w:rPr>
        <w:t>（2）</w:t>
      </w:r>
      <w:r>
        <w:rPr>
          <w:rFonts w:ascii="宋体" w:hAnsi="宋体" w:eastAsia="宋体" w:cs="宋体"/>
          <w:bCs/>
          <w:color w:val="auto"/>
          <w:sz w:val="21"/>
        </w:rPr>
        <w:t>投标文件正本一份，副本份数见投标人须知前附表。正本和副本的封面右上角上应清楚地标记</w:t>
      </w:r>
      <w:r>
        <w:rPr>
          <w:rFonts w:ascii="Times New Roman" w:hAnsi="Times New Roman" w:eastAsia="Times New Roman" w:cs="Times New Roman"/>
          <w:bCs/>
          <w:color w:val="auto"/>
          <w:sz w:val="21"/>
        </w:rPr>
        <w:t>“</w:t>
      </w:r>
      <w:r>
        <w:rPr>
          <w:rFonts w:ascii="宋体" w:hAnsi="宋体" w:eastAsia="宋体" w:cs="宋体"/>
          <w:bCs/>
          <w:color w:val="auto"/>
          <w:sz w:val="21"/>
        </w:rPr>
        <w:t>正本</w:t>
      </w:r>
      <w:r>
        <w:rPr>
          <w:rFonts w:ascii="Times New Roman" w:hAnsi="Times New Roman" w:eastAsia="Times New Roman" w:cs="Times New Roman"/>
          <w:bCs/>
          <w:color w:val="auto"/>
          <w:sz w:val="21"/>
        </w:rPr>
        <w:t>”</w:t>
      </w:r>
      <w:r>
        <w:rPr>
          <w:rFonts w:ascii="宋体" w:hAnsi="宋体" w:eastAsia="宋体" w:cs="宋体"/>
          <w:bCs/>
          <w:color w:val="auto"/>
          <w:sz w:val="21"/>
        </w:rPr>
        <w:t>或</w:t>
      </w:r>
      <w:r>
        <w:rPr>
          <w:rFonts w:ascii="Times New Roman" w:hAnsi="Times New Roman" w:eastAsia="Times New Roman" w:cs="Times New Roman"/>
          <w:bCs/>
          <w:color w:val="auto"/>
          <w:sz w:val="21"/>
        </w:rPr>
        <w:t>“</w:t>
      </w:r>
      <w:r>
        <w:rPr>
          <w:rFonts w:ascii="宋体" w:hAnsi="宋体" w:eastAsia="宋体" w:cs="宋体"/>
          <w:bCs/>
          <w:color w:val="auto"/>
          <w:sz w:val="21"/>
        </w:rPr>
        <w:t>副本</w:t>
      </w:r>
      <w:r>
        <w:rPr>
          <w:rFonts w:ascii="Times New Roman" w:hAnsi="Times New Roman" w:eastAsia="Times New Roman" w:cs="Times New Roman"/>
          <w:bCs/>
          <w:color w:val="auto"/>
          <w:sz w:val="21"/>
        </w:rPr>
        <w:t>”</w:t>
      </w:r>
      <w:r>
        <w:rPr>
          <w:rFonts w:ascii="宋体" w:hAnsi="宋体" w:eastAsia="宋体" w:cs="宋体"/>
          <w:bCs/>
          <w:color w:val="auto"/>
          <w:sz w:val="21"/>
        </w:rPr>
        <w:t>的字样。投标人应根据投标人须知前附表要求提供电子版文件。当副本和正本不一致或电子版文件和纸质正本文件不一致时，以纸质正本文件为准。</w:t>
      </w:r>
    </w:p>
    <w:p>
      <w:pPr>
        <w:spacing w:after="5" w:line="367" w:lineRule="auto"/>
        <w:ind w:right="590" w:firstLine="420" w:firstLineChars="200"/>
        <w:rPr>
          <w:bCs/>
          <w:color w:val="auto"/>
        </w:rPr>
      </w:pPr>
      <w:r>
        <w:rPr>
          <w:rFonts w:hint="eastAsia" w:ascii="宋体" w:hAnsi="宋体" w:eastAsia="宋体" w:cs="宋体"/>
          <w:bCs/>
          <w:color w:val="auto"/>
          <w:sz w:val="21"/>
        </w:rPr>
        <w:t>（3）</w:t>
      </w:r>
      <w:r>
        <w:rPr>
          <w:rFonts w:ascii="宋体" w:hAnsi="宋体" w:eastAsia="宋体" w:cs="宋体"/>
          <w:bCs/>
          <w:color w:val="auto"/>
          <w:sz w:val="21"/>
        </w:rPr>
        <w:t>投标文件的正本与副本应分别装订，并编制目录，投标文件需分册装订的，具体分册装订要求见投标人须知前附表规定。</w:t>
      </w:r>
    </w:p>
    <w:p>
      <w:pPr>
        <w:spacing w:after="276" w:line="354" w:lineRule="auto"/>
        <w:ind w:left="-15" w:right="590" w:firstLine="420"/>
        <w:rPr>
          <w:bCs/>
          <w:color w:val="auto"/>
        </w:rPr>
      </w:pP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签字或盖章的具体要求见投标人须知前附表。</w:t>
      </w:r>
    </w:p>
    <w:p>
      <w:pPr>
        <w:pStyle w:val="3"/>
        <w:spacing w:after="502" w:line="262" w:lineRule="auto"/>
        <w:ind w:left="-5" w:right="0"/>
        <w:rPr>
          <w:rFonts w:hint="eastAsia"/>
          <w:bCs/>
          <w:color w:val="auto"/>
        </w:rPr>
      </w:pPr>
      <w:bookmarkStart w:id="59" w:name="_Toc195390835"/>
      <w:r>
        <w:rPr>
          <w:rFonts w:ascii="Times New Roman" w:hAnsi="Times New Roman" w:eastAsia="Times New Roman" w:cs="Times New Roman"/>
          <w:bCs/>
          <w:color w:val="auto"/>
        </w:rPr>
        <w:t xml:space="preserve">4. </w:t>
      </w:r>
      <w:r>
        <w:rPr>
          <w:bCs/>
          <w:color w:val="auto"/>
        </w:rPr>
        <w:t>投标</w:t>
      </w:r>
      <w:bookmarkEnd w:id="59"/>
    </w:p>
    <w:p>
      <w:pPr>
        <w:pStyle w:val="4"/>
        <w:ind w:left="132" w:right="0"/>
        <w:rPr>
          <w:rFonts w:hint="eastAsia"/>
          <w:bCs/>
          <w:color w:val="auto"/>
        </w:rPr>
      </w:pPr>
      <w:bookmarkStart w:id="60" w:name="_Toc195390836"/>
      <w:r>
        <w:rPr>
          <w:rFonts w:ascii="Times New Roman" w:hAnsi="Times New Roman" w:eastAsia="Times New Roman" w:cs="Times New Roman"/>
          <w:bCs/>
          <w:color w:val="auto"/>
        </w:rPr>
        <w:t xml:space="preserve">4.1 </w:t>
      </w:r>
      <w:r>
        <w:rPr>
          <w:bCs/>
          <w:color w:val="auto"/>
        </w:rPr>
        <w:t>投标文件的密封和标记</w:t>
      </w:r>
      <w:bookmarkEnd w:id="60"/>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4.1.1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）投标文件应密封包装，并在封套的封口处加盖投标人单位章或由投标人的法定代表人（单位负责人）或其授权的代理人签字。</w:t>
      </w:r>
    </w:p>
    <w:p>
      <w:pPr>
        <w:spacing w:after="5" w:line="366" w:lineRule="auto"/>
        <w:ind w:left="-15" w:right="590" w:firstLine="420"/>
        <w:rPr>
          <w:bCs/>
          <w:color w:val="auto"/>
        </w:rPr>
      </w:pPr>
      <w:r>
        <w:rPr>
          <w:rFonts w:ascii="Times New Roman" w:hAnsi="Times New Roman" w:eastAsia="Times New Roman" w:cs="Times New Roman"/>
          <w:bCs/>
          <w:color w:val="auto"/>
          <w:sz w:val="21"/>
        </w:rPr>
        <w:t xml:space="preserve">4.1.1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）投标人应当按照招标文件和电子招标投标交易平台的要求加密投标文件，具体要求见投标人须知前附表。</w:t>
      </w:r>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4.1.2 </w:t>
      </w:r>
      <w:r>
        <w:rPr>
          <w:rFonts w:ascii="宋体" w:hAnsi="宋体" w:eastAsia="宋体" w:cs="宋体"/>
          <w:bCs/>
          <w:color w:val="auto"/>
          <w:sz w:val="21"/>
        </w:rPr>
        <w:t>投标文件封套上应写明的内容见投标人须知前附表。</w:t>
      </w:r>
    </w:p>
    <w:p>
      <w:pPr>
        <w:spacing w:after="343" w:line="265" w:lineRule="auto"/>
        <w:ind w:left="430" w:right="590" w:hanging="10"/>
        <w:rPr>
          <w:bCs/>
          <w:color w:val="auto"/>
        </w:rPr>
      </w:pPr>
      <w:r>
        <w:rPr>
          <w:rFonts w:ascii="Times New Roman" w:hAnsi="Times New Roman" w:eastAsia="Times New Roman" w:cs="Times New Roman"/>
          <w:bCs/>
          <w:color w:val="auto"/>
          <w:sz w:val="21"/>
        </w:rPr>
        <w:t xml:space="preserve">4.1.3 </w:t>
      </w:r>
      <w:r>
        <w:rPr>
          <w:rFonts w:ascii="宋体" w:hAnsi="宋体" w:eastAsia="宋体" w:cs="宋体"/>
          <w:bCs/>
          <w:color w:val="auto"/>
          <w:sz w:val="21"/>
        </w:rPr>
        <w:t xml:space="preserve">未按本章第 </w:t>
      </w:r>
      <w:r>
        <w:rPr>
          <w:rFonts w:ascii="Times New Roman" w:hAnsi="Times New Roman" w:eastAsia="Times New Roman" w:cs="Times New Roman"/>
          <w:bCs/>
          <w:color w:val="auto"/>
          <w:sz w:val="21"/>
        </w:rPr>
        <w:t xml:space="preserve">4.1.1 </w:t>
      </w:r>
      <w:r>
        <w:rPr>
          <w:rFonts w:ascii="宋体" w:hAnsi="宋体" w:eastAsia="宋体" w:cs="宋体"/>
          <w:bCs/>
          <w:color w:val="auto"/>
          <w:sz w:val="21"/>
        </w:rPr>
        <w:t>项要求密封的投标文件，招标人将予以拒收。</w:t>
      </w:r>
    </w:p>
    <w:p>
      <w:pPr>
        <w:pStyle w:val="4"/>
        <w:ind w:left="132" w:right="0"/>
        <w:rPr>
          <w:rFonts w:hint="eastAsia"/>
          <w:bCs/>
          <w:color w:val="auto"/>
        </w:rPr>
      </w:pPr>
      <w:bookmarkStart w:id="61" w:name="_Toc195390837"/>
      <w:r>
        <w:rPr>
          <w:rFonts w:ascii="Times New Roman" w:hAnsi="Times New Roman" w:eastAsia="Times New Roman" w:cs="Times New Roman"/>
          <w:bCs/>
          <w:color w:val="auto"/>
        </w:rPr>
        <w:t xml:space="preserve">4.2 </w:t>
      </w:r>
      <w:r>
        <w:rPr>
          <w:bCs/>
          <w:color w:val="auto"/>
        </w:rPr>
        <w:t>投标文件的递交</w:t>
      </w:r>
      <w:bookmarkEnd w:id="61"/>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4.2.1 </w:t>
      </w:r>
      <w:r>
        <w:rPr>
          <w:rFonts w:ascii="宋体" w:hAnsi="宋体" w:eastAsia="宋体" w:cs="宋体"/>
          <w:bCs/>
          <w:color w:val="auto"/>
          <w:sz w:val="21"/>
        </w:rPr>
        <w:t>投标人应在投标人须知前附表规定的投标截止时间前递交投标文件。</w:t>
      </w:r>
    </w:p>
    <w:p>
      <w:pPr>
        <w:spacing w:after="120" w:line="265" w:lineRule="auto"/>
        <w:ind w:left="430" w:right="590" w:hanging="10"/>
        <w:rPr>
          <w:bCs/>
          <w:color w:val="auto"/>
        </w:rPr>
      </w:pPr>
      <w:r>
        <w:rPr>
          <w:rFonts w:ascii="Times New Roman" w:hAnsi="Times New Roman" w:eastAsia="Times New Roman" w:cs="Times New Roman"/>
          <w:bCs/>
          <w:color w:val="auto"/>
          <w:sz w:val="21"/>
        </w:rPr>
        <w:t xml:space="preserve">4.2.2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）投标人递交投标文件的地点：见投标人须知前附表。</w:t>
      </w:r>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4.2.2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）投标人通过下载招标文件的电子招标投标交易平台递交电子投标文件。</w:t>
      </w:r>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4.2.3 </w:t>
      </w:r>
      <w:r>
        <w:rPr>
          <w:rFonts w:ascii="宋体" w:hAnsi="宋体" w:eastAsia="宋体" w:cs="宋体"/>
          <w:bCs/>
          <w:color w:val="auto"/>
          <w:sz w:val="21"/>
        </w:rPr>
        <w:t>除投标人须知前附表另有规定外，投标人所递交的投标文件不予退还。</w:t>
      </w:r>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4.2.4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）招标人收到投标文件后，向投标人出具签收凭证。</w:t>
      </w:r>
    </w:p>
    <w:p>
      <w:pPr>
        <w:spacing w:after="5" w:line="367" w:lineRule="auto"/>
        <w:ind w:left="-15" w:right="590" w:firstLine="420"/>
        <w:rPr>
          <w:bCs/>
          <w:color w:val="auto"/>
        </w:rPr>
      </w:pPr>
      <w:r>
        <w:rPr>
          <w:rFonts w:ascii="Times New Roman" w:hAnsi="Times New Roman" w:eastAsia="Times New Roman" w:cs="Times New Roman"/>
          <w:bCs/>
          <w:color w:val="auto"/>
          <w:sz w:val="21"/>
        </w:rPr>
        <w:t xml:space="preserve">4.2.4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）投标人完成电子投标文件上传后，电子招标投标交易平台即时向投标人发出递交回执通知。递交时间以递交回执通知载明的传输完成时间为准。</w:t>
      </w:r>
    </w:p>
    <w:p>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4.2.5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）逾期送达的投标文件，招标人将予以拒收。</w:t>
      </w:r>
    </w:p>
    <w:p>
      <w:pPr>
        <w:spacing w:after="5" w:line="265" w:lineRule="auto"/>
        <w:ind w:left="430" w:right="590" w:hanging="10"/>
        <w:rPr>
          <w:rFonts w:ascii="Times New Roman" w:hAnsi="Times New Roman" w:cs="Times New Roman" w:eastAsiaTheme="minorEastAsia"/>
          <w:bCs/>
          <w:color w:val="auto"/>
          <w:sz w:val="21"/>
        </w:rPr>
      </w:pPr>
      <w:r>
        <w:rPr>
          <w:rFonts w:ascii="Times New Roman" w:hAnsi="Times New Roman" w:eastAsia="Times New Roman" w:cs="Times New Roman"/>
          <w:bCs/>
          <w:color w:val="auto"/>
          <w:sz w:val="21"/>
        </w:rPr>
        <w:t xml:space="preserve">4.2.5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）逾期送达的投标文件，电子招标投标交易平台将予以拒收。</w:t>
      </w:r>
    </w:p>
    <w:p>
      <w:pPr>
        <w:spacing w:after="5" w:line="265" w:lineRule="auto"/>
        <w:ind w:left="430" w:right="590" w:hanging="10"/>
        <w:rPr>
          <w:rFonts w:eastAsiaTheme="minorEastAsia"/>
          <w:bCs/>
          <w:color w:val="auto"/>
        </w:rPr>
      </w:pPr>
    </w:p>
    <w:p>
      <w:pPr>
        <w:pStyle w:val="4"/>
        <w:ind w:left="132" w:right="0"/>
        <w:rPr>
          <w:rFonts w:hint="eastAsia"/>
          <w:bCs/>
          <w:color w:val="auto"/>
        </w:rPr>
      </w:pPr>
      <w:bookmarkStart w:id="62" w:name="_Toc195390838"/>
      <w:r>
        <w:rPr>
          <w:rFonts w:ascii="Times New Roman" w:hAnsi="Times New Roman" w:eastAsia="Times New Roman" w:cs="Times New Roman"/>
          <w:bCs/>
          <w:color w:val="auto"/>
        </w:rPr>
        <w:t xml:space="preserve">4.3 </w:t>
      </w:r>
      <w:r>
        <w:rPr>
          <w:bCs/>
          <w:color w:val="auto"/>
        </w:rPr>
        <w:t>投标文件的修改与撤回</w:t>
      </w:r>
      <w:bookmarkEnd w:id="62"/>
    </w:p>
    <w:p>
      <w:pPr>
        <w:spacing w:after="5" w:line="371" w:lineRule="auto"/>
        <w:ind w:left="-15" w:right="590" w:firstLine="420"/>
        <w:rPr>
          <w:bCs/>
          <w:color w:val="auto"/>
        </w:rPr>
      </w:pPr>
      <w:r>
        <w:rPr>
          <w:rFonts w:ascii="Times New Roman" w:hAnsi="Times New Roman" w:eastAsia="Times New Roman" w:cs="Times New Roman"/>
          <w:bCs/>
          <w:color w:val="auto"/>
          <w:sz w:val="21"/>
        </w:rPr>
        <w:t xml:space="preserve">4.3.1 </w:t>
      </w:r>
      <w:r>
        <w:rPr>
          <w:rFonts w:ascii="宋体" w:hAnsi="宋体" w:eastAsia="宋体" w:cs="宋体"/>
          <w:bCs/>
          <w:color w:val="auto"/>
          <w:sz w:val="21"/>
        </w:rPr>
        <w:t xml:space="preserve">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项规定的投标截止时间前，投标人可以修改或撤回已递交的投标文件，但应以书面形式通知招标人。</w:t>
      </w:r>
    </w:p>
    <w:p>
      <w:pPr>
        <w:spacing w:after="5" w:line="373" w:lineRule="auto"/>
        <w:ind w:left="-15" w:right="590" w:firstLine="420"/>
        <w:rPr>
          <w:bCs/>
          <w:color w:val="auto"/>
        </w:rPr>
      </w:pPr>
      <w:r>
        <w:rPr>
          <w:rFonts w:ascii="Times New Roman" w:hAnsi="Times New Roman" w:eastAsia="Times New Roman" w:cs="Times New Roman"/>
          <w:bCs/>
          <w:color w:val="auto"/>
          <w:sz w:val="21"/>
        </w:rPr>
        <w:t xml:space="preserve">4.3.2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 xml:space="preserve">）投标人修改或撤回已递交投标文件的书面通知应按照本章第 </w:t>
      </w: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）项的要求签字或盖章。招标人收到书面通知后，向投标人出具签收凭证。</w:t>
      </w:r>
    </w:p>
    <w:p>
      <w:pPr>
        <w:spacing w:after="5" w:line="373" w:lineRule="auto"/>
        <w:ind w:left="-15" w:right="590" w:firstLine="420"/>
        <w:rPr>
          <w:bCs/>
          <w:color w:val="auto"/>
        </w:rPr>
      </w:pPr>
      <w:r>
        <w:rPr>
          <w:rFonts w:ascii="Times New Roman" w:hAnsi="Times New Roman" w:eastAsia="Times New Roman" w:cs="Times New Roman"/>
          <w:bCs/>
          <w:color w:val="auto"/>
          <w:sz w:val="21"/>
        </w:rPr>
        <w:t xml:space="preserve">4.3.2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 xml:space="preserve">）投标人修改或撤回已递交投标文件的通知，应按照本章第 </w:t>
      </w: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）项的要求加盖电子印章。电子招标投标交易平台收到通知后，即时向投标人发出确认回执通知。</w:t>
      </w:r>
    </w:p>
    <w:p>
      <w:pPr>
        <w:spacing w:after="5" w:line="371" w:lineRule="auto"/>
        <w:ind w:left="-15" w:right="590" w:firstLine="420"/>
        <w:rPr>
          <w:bCs/>
          <w:color w:val="auto"/>
        </w:rPr>
      </w:pPr>
      <w:r>
        <w:rPr>
          <w:rFonts w:ascii="Times New Roman" w:hAnsi="Times New Roman" w:eastAsia="Times New Roman" w:cs="Times New Roman"/>
          <w:bCs/>
          <w:color w:val="auto"/>
          <w:sz w:val="21"/>
        </w:rPr>
        <w:t xml:space="preserve">4.3.3 </w:t>
      </w:r>
      <w:r>
        <w:rPr>
          <w:rFonts w:ascii="宋体" w:hAnsi="宋体" w:eastAsia="宋体" w:cs="宋体"/>
          <w:bCs/>
          <w:color w:val="auto"/>
          <w:sz w:val="21"/>
        </w:rPr>
        <w:t xml:space="preserve">投标人撤回投标文件的，招标人自收到投标人书面撤回通知之日起 </w:t>
      </w:r>
      <w:r>
        <w:rPr>
          <w:rFonts w:ascii="Times New Roman" w:hAnsi="Times New Roman" w:eastAsia="Times New Roman" w:cs="Times New Roman"/>
          <w:bCs/>
          <w:color w:val="auto"/>
          <w:sz w:val="21"/>
        </w:rPr>
        <w:t xml:space="preserve">5 </w:t>
      </w:r>
      <w:r>
        <w:rPr>
          <w:rFonts w:ascii="宋体" w:hAnsi="宋体" w:eastAsia="宋体" w:cs="宋体"/>
          <w:bCs/>
          <w:color w:val="auto"/>
          <w:sz w:val="21"/>
        </w:rPr>
        <w:t>日内退还已收取的投标保证金。</w:t>
      </w:r>
    </w:p>
    <w:p>
      <w:pPr>
        <w:spacing w:after="252" w:line="375" w:lineRule="auto"/>
        <w:ind w:left="-15" w:right="590" w:firstLine="420"/>
        <w:rPr>
          <w:bCs/>
          <w:color w:val="auto"/>
        </w:rPr>
      </w:pPr>
      <w:r>
        <w:rPr>
          <w:rFonts w:ascii="Times New Roman" w:hAnsi="Times New Roman" w:eastAsia="Times New Roman" w:cs="Times New Roman"/>
          <w:bCs/>
          <w:color w:val="auto"/>
          <w:sz w:val="21"/>
        </w:rPr>
        <w:t xml:space="preserve">4.3.4 </w:t>
      </w:r>
      <w:r>
        <w:rPr>
          <w:rFonts w:ascii="宋体" w:hAnsi="宋体" w:eastAsia="宋体" w:cs="宋体"/>
          <w:bCs/>
          <w:color w:val="auto"/>
          <w:sz w:val="21"/>
        </w:rPr>
        <w:t xml:space="preserve">修改的内容为投标文件的组成部分。修改的投标文件应按照本章第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 xml:space="preserve">条、第 </w:t>
      </w:r>
      <w:r>
        <w:rPr>
          <w:rFonts w:ascii="Times New Roman" w:hAnsi="Times New Roman" w:eastAsia="Times New Roman" w:cs="Times New Roman"/>
          <w:bCs/>
          <w:color w:val="auto"/>
          <w:sz w:val="21"/>
        </w:rPr>
        <w:t xml:space="preserve">4 </w:t>
      </w:r>
      <w:r>
        <w:rPr>
          <w:rFonts w:ascii="宋体" w:hAnsi="宋体" w:eastAsia="宋体" w:cs="宋体"/>
          <w:bCs/>
          <w:color w:val="auto"/>
          <w:sz w:val="21"/>
        </w:rPr>
        <w:t>条的规定进行编制、密封、标记和递交，并标明</w:t>
      </w:r>
      <w:r>
        <w:rPr>
          <w:rFonts w:ascii="Times New Roman" w:hAnsi="Times New Roman" w:eastAsia="Times New Roman" w:cs="Times New Roman"/>
          <w:bCs/>
          <w:color w:val="auto"/>
          <w:sz w:val="21"/>
        </w:rPr>
        <w:t>“</w:t>
      </w:r>
      <w:r>
        <w:rPr>
          <w:rFonts w:ascii="宋体" w:hAnsi="宋体" w:eastAsia="宋体" w:cs="宋体"/>
          <w:bCs/>
          <w:color w:val="auto"/>
          <w:sz w:val="21"/>
        </w:rPr>
        <w:t>修改</w:t>
      </w:r>
      <w:r>
        <w:rPr>
          <w:rFonts w:ascii="Times New Roman" w:hAnsi="Times New Roman" w:eastAsia="Times New Roman" w:cs="Times New Roman"/>
          <w:bCs/>
          <w:color w:val="auto"/>
          <w:sz w:val="21"/>
        </w:rPr>
        <w:t>”</w:t>
      </w:r>
      <w:r>
        <w:rPr>
          <w:rFonts w:ascii="宋体" w:hAnsi="宋体" w:eastAsia="宋体" w:cs="宋体"/>
          <w:bCs/>
          <w:color w:val="auto"/>
          <w:sz w:val="21"/>
        </w:rPr>
        <w:t>字样。</w:t>
      </w:r>
    </w:p>
    <w:p>
      <w:pPr>
        <w:pStyle w:val="3"/>
        <w:spacing w:after="502" w:line="262" w:lineRule="auto"/>
        <w:ind w:left="-5" w:right="0"/>
        <w:rPr>
          <w:rFonts w:hint="eastAsia"/>
          <w:bCs/>
          <w:color w:val="auto"/>
        </w:rPr>
      </w:pPr>
      <w:bookmarkStart w:id="63" w:name="_Toc195390839"/>
      <w:r>
        <w:rPr>
          <w:rFonts w:ascii="Times New Roman" w:hAnsi="Times New Roman" w:eastAsia="Times New Roman" w:cs="Times New Roman"/>
          <w:bCs/>
          <w:color w:val="auto"/>
        </w:rPr>
        <w:t xml:space="preserve">5. </w:t>
      </w:r>
      <w:r>
        <w:rPr>
          <w:bCs/>
          <w:color w:val="auto"/>
        </w:rPr>
        <w:t>开标</w:t>
      </w:r>
      <w:bookmarkEnd w:id="63"/>
    </w:p>
    <w:p>
      <w:pPr>
        <w:pStyle w:val="4"/>
        <w:ind w:left="132" w:right="0"/>
        <w:rPr>
          <w:rFonts w:hint="eastAsia"/>
          <w:bCs/>
          <w:color w:val="auto"/>
        </w:rPr>
      </w:pPr>
      <w:bookmarkStart w:id="64" w:name="_Toc195390840"/>
      <w:r>
        <w:rPr>
          <w:rFonts w:ascii="Times New Roman" w:hAnsi="Times New Roman" w:eastAsia="Times New Roman" w:cs="Times New Roman"/>
          <w:bCs/>
          <w:color w:val="auto"/>
        </w:rPr>
        <w:t xml:space="preserve">5.1 </w:t>
      </w:r>
      <w:r>
        <w:rPr>
          <w:bCs/>
          <w:color w:val="auto"/>
        </w:rPr>
        <w:t>开标时间和地点（</w:t>
      </w:r>
      <w:r>
        <w:rPr>
          <w:rFonts w:ascii="Times New Roman" w:hAnsi="Times New Roman" w:eastAsia="Times New Roman" w:cs="Times New Roman"/>
          <w:bCs/>
          <w:color w:val="auto"/>
        </w:rPr>
        <w:t>A</w:t>
      </w:r>
      <w:r>
        <w:rPr>
          <w:bCs/>
          <w:color w:val="auto"/>
        </w:rPr>
        <w:t>）</w:t>
      </w:r>
      <w:bookmarkEnd w:id="64"/>
    </w:p>
    <w:p>
      <w:pPr>
        <w:spacing w:after="216" w:line="374" w:lineRule="auto"/>
        <w:ind w:left="-15" w:right="590" w:firstLine="420"/>
        <w:rPr>
          <w:bCs/>
          <w:color w:val="auto"/>
        </w:rPr>
      </w:pPr>
      <w:r>
        <w:rPr>
          <w:rFonts w:ascii="宋体" w:hAnsi="宋体" w:eastAsia="宋体" w:cs="宋体"/>
          <w:bCs/>
          <w:color w:val="auto"/>
          <w:sz w:val="21"/>
        </w:rPr>
        <w:t xml:space="preserve">招标人在本章第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项规定的投标截止时间（开标时间）和投标人须知前附表规定的地点公开开标，并邀请所有投标人的法定代表人（单位负责人）或其委托代理人准时参加。</w:t>
      </w:r>
    </w:p>
    <w:p>
      <w:pPr>
        <w:pStyle w:val="4"/>
        <w:ind w:left="132" w:right="0"/>
        <w:rPr>
          <w:rFonts w:hint="eastAsia"/>
          <w:bCs/>
          <w:color w:val="auto"/>
        </w:rPr>
      </w:pPr>
      <w:bookmarkStart w:id="65" w:name="_Toc195390841"/>
      <w:r>
        <w:rPr>
          <w:rFonts w:ascii="Times New Roman" w:hAnsi="Times New Roman" w:eastAsia="Times New Roman" w:cs="Times New Roman"/>
          <w:bCs/>
          <w:color w:val="auto"/>
        </w:rPr>
        <w:t xml:space="preserve">5.1 </w:t>
      </w:r>
      <w:r>
        <w:rPr>
          <w:bCs/>
          <w:color w:val="auto"/>
        </w:rPr>
        <w:t>开标时间和地点（</w:t>
      </w:r>
      <w:r>
        <w:rPr>
          <w:rFonts w:ascii="Times New Roman" w:hAnsi="Times New Roman" w:eastAsia="Times New Roman" w:cs="Times New Roman"/>
          <w:bCs/>
          <w:color w:val="auto"/>
        </w:rPr>
        <w:t>B</w:t>
      </w:r>
      <w:r>
        <w:rPr>
          <w:bCs/>
          <w:color w:val="auto"/>
        </w:rPr>
        <w:t>）</w:t>
      </w:r>
      <w:bookmarkEnd w:id="65"/>
    </w:p>
    <w:p>
      <w:pPr>
        <w:spacing w:after="218" w:line="372" w:lineRule="auto"/>
        <w:ind w:left="-15" w:right="590" w:firstLine="420"/>
        <w:rPr>
          <w:bCs/>
          <w:color w:val="auto"/>
        </w:rPr>
      </w:pPr>
      <w:r>
        <w:rPr>
          <w:rFonts w:ascii="宋体" w:hAnsi="宋体" w:eastAsia="宋体" w:cs="宋体"/>
          <w:bCs/>
          <w:color w:val="auto"/>
          <w:sz w:val="21"/>
        </w:rPr>
        <w:t xml:space="preserve">招标人在本章第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项规定的投标截止时间（开标时间）</w:t>
      </w:r>
      <w:r>
        <w:rPr>
          <w:rFonts w:ascii="Times New Roman" w:hAnsi="Times New Roman" w:eastAsia="Times New Roman" w:cs="Times New Roman"/>
          <w:bCs/>
          <w:color w:val="auto"/>
          <w:sz w:val="21"/>
        </w:rPr>
        <w:t>,</w:t>
      </w:r>
      <w:r>
        <w:rPr>
          <w:rFonts w:ascii="宋体" w:hAnsi="宋体" w:eastAsia="宋体" w:cs="宋体"/>
          <w:bCs/>
          <w:color w:val="auto"/>
          <w:sz w:val="21"/>
        </w:rPr>
        <w:t>通过电子招标投标交易平台公开开标，所有投标人的法定代表人（单位负责人）或其委托代理人应当准时参加。</w:t>
      </w:r>
    </w:p>
    <w:p>
      <w:pPr>
        <w:pStyle w:val="4"/>
        <w:ind w:left="132" w:right="0"/>
        <w:rPr>
          <w:rFonts w:hint="eastAsia"/>
          <w:bCs/>
          <w:color w:val="auto"/>
        </w:rPr>
      </w:pPr>
      <w:bookmarkStart w:id="66" w:name="_Toc195390842"/>
      <w:r>
        <w:rPr>
          <w:rFonts w:ascii="Times New Roman" w:hAnsi="Times New Roman" w:eastAsia="Times New Roman" w:cs="Times New Roman"/>
          <w:bCs/>
          <w:color w:val="auto"/>
        </w:rPr>
        <w:t xml:space="preserve">5.2 </w:t>
      </w:r>
      <w:r>
        <w:rPr>
          <w:bCs/>
          <w:color w:val="auto"/>
        </w:rPr>
        <w:t>开标程序</w:t>
      </w:r>
      <w:bookmarkEnd w:id="66"/>
    </w:p>
    <w:p>
      <w:pPr>
        <w:spacing w:after="121" w:line="265" w:lineRule="auto"/>
        <w:ind w:left="430" w:right="590" w:hanging="10"/>
        <w:rPr>
          <w:bCs/>
          <w:color w:val="auto"/>
        </w:rPr>
      </w:pPr>
      <w:r>
        <w:rPr>
          <w:rFonts w:ascii="宋体" w:hAnsi="宋体" w:eastAsia="宋体" w:cs="宋体"/>
          <w:bCs/>
          <w:color w:val="auto"/>
          <w:sz w:val="21"/>
        </w:rPr>
        <w:t>主持人按下列程序进行开标：</w:t>
      </w:r>
    </w:p>
    <w:p>
      <w:pPr>
        <w:numPr>
          <w:ilvl w:val="0"/>
          <w:numId w:val="6"/>
        </w:numPr>
        <w:spacing w:after="117" w:line="265" w:lineRule="auto"/>
        <w:ind w:right="590" w:firstLine="420"/>
        <w:rPr>
          <w:bCs/>
          <w:color w:val="auto"/>
        </w:rPr>
      </w:pPr>
      <w:r>
        <w:rPr>
          <w:rFonts w:ascii="宋体" w:hAnsi="宋体" w:eastAsia="宋体" w:cs="宋体"/>
          <w:bCs/>
          <w:color w:val="auto"/>
          <w:sz w:val="21"/>
        </w:rPr>
        <w:t>宣布开标纪律；</w:t>
      </w:r>
    </w:p>
    <w:p>
      <w:pPr>
        <w:numPr>
          <w:ilvl w:val="0"/>
          <w:numId w:val="6"/>
        </w:numPr>
        <w:spacing w:after="121" w:line="265" w:lineRule="auto"/>
        <w:ind w:right="590" w:firstLine="420"/>
        <w:rPr>
          <w:bCs/>
          <w:color w:val="auto"/>
        </w:rPr>
      </w:pPr>
      <w:r>
        <w:rPr>
          <w:rFonts w:ascii="宋体" w:hAnsi="宋体" w:eastAsia="宋体" w:cs="宋体"/>
          <w:bCs/>
          <w:color w:val="auto"/>
          <w:sz w:val="21"/>
        </w:rPr>
        <w:t>公布在投标截止时间前递交投标文件的投标人名称；</w:t>
      </w:r>
    </w:p>
    <w:p>
      <w:pPr>
        <w:numPr>
          <w:ilvl w:val="0"/>
          <w:numId w:val="6"/>
        </w:numPr>
        <w:spacing w:after="121" w:line="265" w:lineRule="auto"/>
        <w:ind w:right="590" w:firstLine="420"/>
        <w:rPr>
          <w:bCs/>
          <w:color w:val="auto"/>
        </w:rPr>
      </w:pPr>
      <w:r>
        <w:rPr>
          <w:rFonts w:ascii="宋体" w:hAnsi="宋体" w:eastAsia="宋体" w:cs="宋体"/>
          <w:bCs/>
          <w:color w:val="auto"/>
          <w:sz w:val="21"/>
        </w:rPr>
        <w:t>宣布开标人、唱标人、记录人、监标人等有关人员姓名；</w:t>
      </w:r>
    </w:p>
    <w:p>
      <w:pPr>
        <w:numPr>
          <w:ilvl w:val="0"/>
          <w:numId w:val="6"/>
        </w:numPr>
        <w:spacing w:after="5" w:line="359"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）检查投标文件的密封情况，按照投标人须知前附表规定的开标顺序当众开标，公布招标项目名称、投标人名称、投标保证金的递交情况、投标报价、交货期、交货地点及其他内容，并记录在案；</w:t>
      </w:r>
    </w:p>
    <w:p>
      <w:pPr>
        <w:spacing w:after="5" w:line="359" w:lineRule="auto"/>
        <w:ind w:left="420" w:right="590" w:firstLine="420" w:firstLineChars="20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w:t>
      </w:r>
      <w:r>
        <w:rPr>
          <w:rFonts w:hint="eastAsia" w:ascii="宋体" w:hAnsi="宋体" w:eastAsia="宋体" w:cs="宋体"/>
          <w:bCs/>
          <w:color w:val="auto"/>
          <w:sz w:val="21"/>
        </w:rPr>
        <w:t xml:space="preserve">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）投标人通过电子招标投标交易平台对已递交的电子投标文件进行解密，公布招标项目名称、投标人名称、投标保证金的递交情况、投标报价、交货期、交货地点及其他内容，并记录在案；</w:t>
      </w:r>
    </w:p>
    <w:p>
      <w:pPr>
        <w:numPr>
          <w:ilvl w:val="0"/>
          <w:numId w:val="6"/>
        </w:numPr>
        <w:spacing w:after="121" w:line="265"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）投标人代表、招标人代表、监标人、记录人等有关人员在开标记录上签字确认；</w:t>
      </w:r>
    </w:p>
    <w:p>
      <w:pPr>
        <w:numPr>
          <w:ilvl w:val="0"/>
          <w:numId w:val="7"/>
        </w:numPr>
        <w:spacing w:after="5" w:line="367"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）投标人代表、招标人代表、监标人、记录人等有关人员使用本人的电子印章在开标记录上签字确认；</w:t>
      </w:r>
    </w:p>
    <w:p>
      <w:pPr>
        <w:numPr>
          <w:ilvl w:val="0"/>
          <w:numId w:val="7"/>
        </w:numPr>
        <w:spacing w:after="341" w:line="265" w:lineRule="auto"/>
        <w:ind w:right="590" w:firstLine="420"/>
        <w:rPr>
          <w:bCs/>
          <w:color w:val="auto"/>
        </w:rPr>
      </w:pPr>
      <w:r>
        <w:rPr>
          <w:rFonts w:ascii="宋体" w:hAnsi="宋体" w:eastAsia="宋体" w:cs="宋体"/>
          <w:bCs/>
          <w:color w:val="auto"/>
          <w:sz w:val="21"/>
        </w:rPr>
        <w:t>开标结束。</w:t>
      </w:r>
    </w:p>
    <w:p>
      <w:pPr>
        <w:pStyle w:val="4"/>
        <w:ind w:left="132" w:right="0"/>
        <w:rPr>
          <w:rFonts w:hint="eastAsia"/>
          <w:bCs/>
          <w:color w:val="auto"/>
        </w:rPr>
      </w:pPr>
      <w:bookmarkStart w:id="67" w:name="_Toc195390843"/>
      <w:r>
        <w:rPr>
          <w:rFonts w:ascii="Times New Roman" w:hAnsi="Times New Roman" w:eastAsia="Times New Roman" w:cs="Times New Roman"/>
          <w:bCs/>
          <w:color w:val="auto"/>
        </w:rPr>
        <w:t xml:space="preserve">5.3 </w:t>
      </w:r>
      <w:r>
        <w:rPr>
          <w:bCs/>
          <w:color w:val="auto"/>
        </w:rPr>
        <w:t>开标异议</w:t>
      </w:r>
      <w:bookmarkEnd w:id="67"/>
    </w:p>
    <w:p>
      <w:pPr>
        <w:spacing w:after="380" w:line="265" w:lineRule="auto"/>
        <w:ind w:left="370" w:right="590" w:hanging="10"/>
        <w:rPr>
          <w:bCs/>
          <w:color w:val="auto"/>
        </w:rPr>
      </w:pPr>
      <w:r>
        <w:rPr>
          <w:rFonts w:ascii="宋体" w:hAnsi="宋体" w:eastAsia="宋体" w:cs="宋体"/>
          <w:bCs/>
          <w:color w:val="auto"/>
          <w:sz w:val="21"/>
        </w:rPr>
        <w:t>投标人对开标有异议的，应当在开标现场提出，招标人当场作出答复，并制作记录。</w:t>
      </w:r>
    </w:p>
    <w:p>
      <w:pPr>
        <w:pStyle w:val="3"/>
        <w:spacing w:after="502" w:line="262" w:lineRule="auto"/>
        <w:ind w:left="-5" w:right="0"/>
        <w:rPr>
          <w:rFonts w:hint="eastAsia"/>
          <w:bCs/>
          <w:color w:val="auto"/>
        </w:rPr>
      </w:pPr>
      <w:bookmarkStart w:id="68" w:name="_Toc195390844"/>
      <w:r>
        <w:rPr>
          <w:rFonts w:ascii="Times New Roman" w:hAnsi="Times New Roman" w:eastAsia="Times New Roman" w:cs="Times New Roman"/>
          <w:bCs/>
          <w:color w:val="auto"/>
        </w:rPr>
        <w:t xml:space="preserve">6. </w:t>
      </w:r>
      <w:r>
        <w:rPr>
          <w:bCs/>
          <w:color w:val="auto"/>
        </w:rPr>
        <w:t>评标</w:t>
      </w:r>
      <w:bookmarkEnd w:id="68"/>
    </w:p>
    <w:p>
      <w:pPr>
        <w:pStyle w:val="4"/>
        <w:ind w:left="132" w:right="0"/>
        <w:rPr>
          <w:rFonts w:hint="eastAsia"/>
          <w:bCs/>
          <w:color w:val="auto"/>
        </w:rPr>
      </w:pPr>
      <w:bookmarkStart w:id="69" w:name="_Toc195390845"/>
      <w:r>
        <w:rPr>
          <w:rFonts w:ascii="Times New Roman" w:hAnsi="Times New Roman" w:eastAsia="Times New Roman" w:cs="Times New Roman"/>
          <w:bCs/>
          <w:color w:val="auto"/>
        </w:rPr>
        <w:t xml:space="preserve">6.1 </w:t>
      </w:r>
      <w:r>
        <w:rPr>
          <w:bCs/>
          <w:color w:val="auto"/>
        </w:rPr>
        <w:t>评标委员会</w:t>
      </w:r>
      <w:bookmarkEnd w:id="69"/>
    </w:p>
    <w:p>
      <w:pPr>
        <w:spacing w:after="5" w:line="359" w:lineRule="auto"/>
        <w:ind w:left="-15" w:right="590" w:firstLine="420"/>
        <w:rPr>
          <w:bCs/>
          <w:color w:val="auto"/>
        </w:rPr>
      </w:pPr>
      <w:r>
        <w:rPr>
          <w:rFonts w:ascii="Times New Roman" w:hAnsi="Times New Roman" w:eastAsia="Times New Roman" w:cs="Times New Roman"/>
          <w:bCs/>
          <w:color w:val="auto"/>
          <w:sz w:val="21"/>
        </w:rPr>
        <w:t xml:space="preserve">6.1.1 </w:t>
      </w:r>
      <w:r>
        <w:rPr>
          <w:rFonts w:ascii="宋体" w:hAnsi="宋体" w:eastAsia="宋体" w:cs="宋体"/>
          <w:bCs/>
          <w:color w:val="auto"/>
          <w:sz w:val="21"/>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Style w:val="37"/>
        <w:numPr>
          <w:ilvl w:val="2"/>
          <w:numId w:val="8"/>
        </w:numPr>
        <w:spacing w:after="119" w:line="265" w:lineRule="auto"/>
        <w:ind w:right="590" w:firstLineChars="0"/>
        <w:rPr>
          <w:bCs/>
          <w:color w:val="auto"/>
        </w:rPr>
      </w:pPr>
      <w:r>
        <w:rPr>
          <w:rFonts w:ascii="宋体" w:hAnsi="宋体" w:eastAsia="宋体" w:cs="宋体"/>
          <w:bCs/>
          <w:color w:val="auto"/>
          <w:sz w:val="21"/>
        </w:rPr>
        <w:t>评标委员会成员有下列情形之一的，应当回避：</w:t>
      </w:r>
    </w:p>
    <w:p>
      <w:pPr>
        <w:spacing w:after="120" w:line="265" w:lineRule="auto"/>
        <w:ind w:right="590" w:firstLine="1050" w:firstLineChars="500"/>
        <w:rPr>
          <w:bCs/>
          <w:color w:val="auto"/>
        </w:rPr>
      </w:pPr>
      <w:r>
        <w:rPr>
          <w:rFonts w:hint="eastAsia" w:ascii="宋体" w:hAnsi="宋体" w:eastAsia="宋体" w:cs="宋体"/>
          <w:bCs/>
          <w:color w:val="auto"/>
          <w:sz w:val="21"/>
        </w:rPr>
        <w:t>（1）</w:t>
      </w:r>
      <w:r>
        <w:rPr>
          <w:rFonts w:ascii="宋体" w:hAnsi="宋体" w:eastAsia="宋体" w:cs="宋体"/>
          <w:bCs/>
          <w:color w:val="auto"/>
          <w:sz w:val="21"/>
        </w:rPr>
        <w:t>投标人或投标人主要负责人的近亲属；</w:t>
      </w:r>
    </w:p>
    <w:p>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（2）</w:t>
      </w:r>
      <w:r>
        <w:rPr>
          <w:rFonts w:ascii="宋体" w:hAnsi="宋体" w:eastAsia="宋体" w:cs="宋体"/>
          <w:bCs/>
          <w:color w:val="auto"/>
          <w:sz w:val="21"/>
        </w:rPr>
        <w:t>项目主管部门或者行政监督部门的人员；</w:t>
      </w:r>
    </w:p>
    <w:p>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（3）</w:t>
      </w:r>
      <w:r>
        <w:rPr>
          <w:rFonts w:ascii="宋体" w:hAnsi="宋体" w:eastAsia="宋体" w:cs="宋体"/>
          <w:bCs/>
          <w:color w:val="auto"/>
          <w:sz w:val="21"/>
        </w:rPr>
        <w:t>与投标人有经济利益关系，可能影响对投标公正评审的；</w:t>
      </w:r>
    </w:p>
    <w:p>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（4）</w:t>
      </w:r>
      <w:r>
        <w:rPr>
          <w:rFonts w:ascii="宋体" w:hAnsi="宋体" w:eastAsia="宋体" w:cs="宋体"/>
          <w:bCs/>
          <w:color w:val="auto"/>
          <w:sz w:val="21"/>
        </w:rPr>
        <w:t>曾因在招标、评标以及其他与招标投标有关活动中从事违法行为而受过行政处罚或刑事处罚的；</w:t>
      </w:r>
    </w:p>
    <w:p>
      <w:pPr>
        <w:spacing w:after="120" w:line="265" w:lineRule="auto"/>
        <w:ind w:right="590" w:firstLine="1050" w:firstLineChars="500"/>
        <w:rPr>
          <w:bCs/>
          <w:color w:val="auto"/>
        </w:rPr>
      </w:pPr>
      <w:r>
        <w:rPr>
          <w:rFonts w:hint="eastAsia" w:ascii="宋体" w:hAnsi="宋体" w:eastAsia="宋体" w:cs="宋体"/>
          <w:bCs/>
          <w:color w:val="auto"/>
          <w:sz w:val="21"/>
        </w:rPr>
        <w:t>（5）</w:t>
      </w:r>
      <w:r>
        <w:rPr>
          <w:rFonts w:ascii="宋体" w:hAnsi="宋体" w:eastAsia="宋体" w:cs="宋体"/>
          <w:bCs/>
          <w:color w:val="auto"/>
          <w:sz w:val="21"/>
        </w:rPr>
        <w:t>与投标人有其他利害关系。</w:t>
      </w:r>
    </w:p>
    <w:p>
      <w:pPr>
        <w:spacing w:after="233" w:line="358" w:lineRule="auto"/>
        <w:ind w:left="-15" w:right="590" w:firstLine="420"/>
        <w:rPr>
          <w:bCs/>
          <w:color w:val="auto"/>
        </w:rPr>
      </w:pPr>
      <w:r>
        <w:rPr>
          <w:rFonts w:ascii="Times New Roman" w:hAnsi="Times New Roman" w:eastAsia="Times New Roman" w:cs="Times New Roman"/>
          <w:bCs/>
          <w:color w:val="auto"/>
          <w:sz w:val="21"/>
        </w:rPr>
        <w:t xml:space="preserve">6.1.3 </w:t>
      </w:r>
      <w:r>
        <w:rPr>
          <w:rFonts w:ascii="宋体" w:hAnsi="宋体" w:eastAsia="宋体" w:cs="宋体"/>
          <w:bCs/>
          <w:color w:val="auto"/>
          <w:sz w:val="21"/>
        </w:rPr>
        <w:t>评标过程中，评标委员会成员有回避事由、擅离职守或者因健康等原因不能继续评标的，招标人有权更换。被更换的评标委员会成员作出的评审结论无效，由更换后的评标委员会成员重新进行评审。</w:t>
      </w:r>
    </w:p>
    <w:p>
      <w:pPr>
        <w:pStyle w:val="4"/>
        <w:ind w:left="132" w:right="0"/>
        <w:rPr>
          <w:rFonts w:hint="eastAsia"/>
          <w:bCs/>
          <w:color w:val="auto"/>
        </w:rPr>
      </w:pPr>
      <w:bookmarkStart w:id="70" w:name="_Toc195390846"/>
      <w:r>
        <w:rPr>
          <w:rFonts w:ascii="Times New Roman" w:hAnsi="Times New Roman" w:eastAsia="Times New Roman" w:cs="Times New Roman"/>
          <w:bCs/>
          <w:color w:val="auto"/>
        </w:rPr>
        <w:t xml:space="preserve">6.2 </w:t>
      </w:r>
      <w:r>
        <w:rPr>
          <w:bCs/>
          <w:color w:val="auto"/>
        </w:rPr>
        <w:t>评标原则</w:t>
      </w:r>
      <w:bookmarkEnd w:id="70"/>
    </w:p>
    <w:p>
      <w:pPr>
        <w:spacing w:after="5" w:line="265" w:lineRule="auto"/>
        <w:ind w:left="430" w:right="590" w:hanging="10"/>
        <w:rPr>
          <w:rFonts w:ascii="Times New Roman" w:hAnsi="Times New Roman" w:cs="Times New Roman" w:eastAsiaTheme="minorEastAsia"/>
          <w:bCs/>
          <w:color w:val="auto"/>
          <w:sz w:val="21"/>
        </w:rPr>
      </w:pPr>
      <w:r>
        <w:rPr>
          <w:rFonts w:ascii="宋体" w:hAnsi="宋体" w:eastAsia="宋体" w:cs="宋体"/>
          <w:bCs/>
          <w:color w:val="auto"/>
          <w:sz w:val="21"/>
        </w:rPr>
        <w:t>评标活动遵循公平、公正、科学和择优的原则。</w:t>
      </w:r>
    </w:p>
    <w:p>
      <w:pPr>
        <w:spacing w:after="5" w:line="265" w:lineRule="auto"/>
        <w:ind w:left="430" w:right="590" w:hanging="10"/>
        <w:rPr>
          <w:rFonts w:eastAsiaTheme="minorEastAsia"/>
          <w:bCs/>
          <w:color w:val="auto"/>
        </w:rPr>
      </w:pPr>
    </w:p>
    <w:p>
      <w:pPr>
        <w:pStyle w:val="4"/>
        <w:spacing w:after="286" w:line="259" w:lineRule="auto"/>
        <w:ind w:left="132" w:right="0"/>
        <w:rPr>
          <w:rFonts w:hint="eastAsia"/>
          <w:bCs/>
          <w:color w:val="auto"/>
        </w:rPr>
      </w:pPr>
      <w:bookmarkStart w:id="71" w:name="_Toc195390847"/>
      <w:r>
        <w:rPr>
          <w:rFonts w:ascii="Times New Roman" w:hAnsi="Times New Roman" w:eastAsia="Times New Roman" w:cs="Times New Roman"/>
          <w:bCs/>
          <w:color w:val="auto"/>
        </w:rPr>
        <w:t xml:space="preserve">6.3 </w:t>
      </w:r>
      <w:r>
        <w:rPr>
          <w:bCs/>
          <w:color w:val="auto"/>
        </w:rPr>
        <w:t>评标</w:t>
      </w:r>
      <w:bookmarkEnd w:id="71"/>
    </w:p>
    <w:p>
      <w:pPr>
        <w:spacing w:after="5" w:line="372" w:lineRule="auto"/>
        <w:ind w:left="-15" w:right="590" w:firstLine="420"/>
        <w:rPr>
          <w:bCs/>
          <w:color w:val="auto"/>
        </w:rPr>
      </w:pPr>
      <w:r>
        <w:rPr>
          <w:rFonts w:ascii="Times New Roman" w:hAnsi="Times New Roman" w:eastAsia="Times New Roman" w:cs="Times New Roman"/>
          <w:bCs/>
          <w:color w:val="auto"/>
          <w:sz w:val="21"/>
        </w:rPr>
        <w:t xml:space="preserve">6.3.1 </w:t>
      </w:r>
      <w:r>
        <w:rPr>
          <w:rFonts w:ascii="宋体" w:hAnsi="宋体" w:eastAsia="宋体" w:cs="宋体"/>
          <w:bCs/>
          <w:color w:val="auto"/>
          <w:sz w:val="21"/>
        </w:rPr>
        <w:t>评标委员会按照第三章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规定的方法、评审因素、标准和程序对投标文件进行评审。第三章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没有规定的方法、评审因素和标准，不作为评标依据。</w:t>
      </w:r>
    </w:p>
    <w:p>
      <w:pPr>
        <w:spacing w:after="255" w:line="374" w:lineRule="auto"/>
        <w:ind w:left="-15" w:right="590" w:firstLine="420"/>
        <w:rPr>
          <w:bCs/>
          <w:color w:val="auto"/>
        </w:rPr>
      </w:pPr>
      <w:r>
        <w:rPr>
          <w:rFonts w:ascii="Times New Roman" w:hAnsi="Times New Roman" w:eastAsia="Times New Roman" w:cs="Times New Roman"/>
          <w:bCs/>
          <w:color w:val="auto"/>
          <w:sz w:val="21"/>
        </w:rPr>
        <w:t xml:space="preserve">6.3.2 </w:t>
      </w:r>
      <w:r>
        <w:rPr>
          <w:rFonts w:ascii="宋体" w:hAnsi="宋体" w:eastAsia="宋体" w:cs="宋体"/>
          <w:bCs/>
          <w:color w:val="auto"/>
          <w:sz w:val="21"/>
        </w:rPr>
        <w:t>评标完成后，评标委员会应当向招标人提交书面评标报告和中标候选人名单。评标委员会推荐中标候选人的人数见投标人须知前附表。</w:t>
      </w:r>
    </w:p>
    <w:p>
      <w:pPr>
        <w:pStyle w:val="3"/>
        <w:ind w:left="-5" w:right="0"/>
        <w:rPr>
          <w:rFonts w:hint="eastAsia"/>
          <w:bCs/>
          <w:color w:val="auto"/>
        </w:rPr>
      </w:pPr>
      <w:bookmarkStart w:id="72" w:name="_Toc195390848"/>
      <w:r>
        <w:rPr>
          <w:rFonts w:ascii="Times New Roman" w:hAnsi="Times New Roman" w:eastAsia="Times New Roman" w:cs="Times New Roman"/>
          <w:bCs/>
          <w:color w:val="auto"/>
        </w:rPr>
        <w:t xml:space="preserve">7. </w:t>
      </w:r>
      <w:r>
        <w:rPr>
          <w:bCs/>
          <w:color w:val="auto"/>
        </w:rPr>
        <w:t>合同授予</w:t>
      </w:r>
      <w:bookmarkEnd w:id="72"/>
    </w:p>
    <w:p>
      <w:pPr>
        <w:pStyle w:val="4"/>
        <w:ind w:left="132" w:right="0"/>
        <w:rPr>
          <w:rFonts w:hint="eastAsia"/>
          <w:bCs/>
          <w:color w:val="auto"/>
        </w:rPr>
      </w:pPr>
      <w:bookmarkStart w:id="73" w:name="_Toc195390849"/>
      <w:r>
        <w:rPr>
          <w:rFonts w:ascii="Times New Roman" w:hAnsi="Times New Roman" w:eastAsia="Times New Roman" w:cs="Times New Roman"/>
          <w:bCs/>
          <w:color w:val="auto"/>
        </w:rPr>
        <w:t xml:space="preserve">7.1 </w:t>
      </w:r>
      <w:r>
        <w:rPr>
          <w:bCs/>
          <w:color w:val="auto"/>
        </w:rPr>
        <w:t>中标候选人公示</w:t>
      </w:r>
      <w:bookmarkEnd w:id="73"/>
    </w:p>
    <w:p>
      <w:pPr>
        <w:spacing w:after="221" w:line="374" w:lineRule="auto"/>
        <w:ind w:left="-15" w:right="590" w:firstLine="420"/>
        <w:rPr>
          <w:bCs/>
          <w:color w:val="auto"/>
        </w:rPr>
      </w:pPr>
      <w:r>
        <w:rPr>
          <w:rFonts w:ascii="宋体" w:hAnsi="宋体" w:eastAsia="宋体" w:cs="宋体"/>
          <w:bCs/>
          <w:color w:val="auto"/>
          <w:sz w:val="21"/>
        </w:rPr>
        <w:t xml:space="preserve">招标人在收到评标报告之日起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 xml:space="preserve">日内，按照投标人须知前附表规定的公示媒介和期限公示中标候选人，公示期不得少于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天。</w:t>
      </w:r>
    </w:p>
    <w:p>
      <w:pPr>
        <w:pStyle w:val="4"/>
        <w:ind w:left="132" w:right="0"/>
        <w:rPr>
          <w:rFonts w:hint="eastAsia"/>
          <w:bCs/>
          <w:color w:val="auto"/>
        </w:rPr>
      </w:pPr>
      <w:bookmarkStart w:id="74" w:name="_Toc195390850"/>
      <w:r>
        <w:rPr>
          <w:rFonts w:ascii="Times New Roman" w:hAnsi="Times New Roman" w:eastAsia="Times New Roman" w:cs="Times New Roman"/>
          <w:bCs/>
          <w:color w:val="auto"/>
        </w:rPr>
        <w:t xml:space="preserve">7.2 </w:t>
      </w:r>
      <w:r>
        <w:rPr>
          <w:bCs/>
          <w:color w:val="auto"/>
        </w:rPr>
        <w:t>评标结果异议</w:t>
      </w:r>
      <w:bookmarkEnd w:id="74"/>
    </w:p>
    <w:p>
      <w:pPr>
        <w:spacing w:after="246" w:line="354" w:lineRule="auto"/>
        <w:ind w:left="-15" w:right="590" w:firstLine="420"/>
        <w:rPr>
          <w:bCs/>
          <w:color w:val="auto"/>
        </w:rPr>
      </w:pPr>
      <w:r>
        <w:rPr>
          <w:rFonts w:ascii="宋体" w:hAnsi="宋体" w:eastAsia="宋体" w:cs="宋体"/>
          <w:bCs/>
          <w:color w:val="auto"/>
          <w:sz w:val="21"/>
        </w:rPr>
        <w:t xml:space="preserve">投标人或者其他利害关系人对评标结果有异议的，应当在中标候选人公示期间提出。招标人将在收到异议之日起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日内作出答复；作出答复前，将暂停招标投标活动。</w:t>
      </w:r>
    </w:p>
    <w:p>
      <w:pPr>
        <w:pStyle w:val="4"/>
        <w:ind w:left="132" w:right="0"/>
        <w:rPr>
          <w:rFonts w:hint="eastAsia"/>
          <w:bCs/>
          <w:color w:val="auto"/>
        </w:rPr>
      </w:pPr>
      <w:bookmarkStart w:id="75" w:name="_Toc195390851"/>
      <w:r>
        <w:rPr>
          <w:rFonts w:ascii="Times New Roman" w:hAnsi="Times New Roman" w:eastAsia="Times New Roman" w:cs="Times New Roman"/>
          <w:bCs/>
          <w:color w:val="auto"/>
        </w:rPr>
        <w:t xml:space="preserve">7.3 </w:t>
      </w:r>
      <w:r>
        <w:rPr>
          <w:bCs/>
          <w:color w:val="auto"/>
        </w:rPr>
        <w:t>中标候选人履约能力审查</w:t>
      </w:r>
      <w:bookmarkEnd w:id="75"/>
    </w:p>
    <w:p>
      <w:pPr>
        <w:spacing w:after="223" w:line="370" w:lineRule="auto"/>
        <w:ind w:left="-15" w:right="684" w:firstLine="410"/>
        <w:jc w:val="both"/>
        <w:rPr>
          <w:bCs/>
          <w:color w:val="auto"/>
        </w:rPr>
      </w:pPr>
      <w:r>
        <w:rPr>
          <w:rFonts w:ascii="宋体" w:hAnsi="宋体" w:eastAsia="宋体" w:cs="宋体"/>
          <w:bCs/>
          <w:color w:val="auto"/>
          <w:sz w:val="21"/>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after="286" w:line="259" w:lineRule="auto"/>
        <w:ind w:left="132" w:right="0"/>
        <w:rPr>
          <w:rFonts w:hint="eastAsia"/>
          <w:bCs/>
          <w:color w:val="auto"/>
        </w:rPr>
      </w:pPr>
      <w:bookmarkStart w:id="76" w:name="_Toc195390852"/>
      <w:r>
        <w:rPr>
          <w:rFonts w:ascii="Times New Roman" w:hAnsi="Times New Roman" w:eastAsia="Times New Roman" w:cs="Times New Roman"/>
          <w:bCs/>
          <w:color w:val="auto"/>
        </w:rPr>
        <w:t xml:space="preserve">7.4 </w:t>
      </w:r>
      <w:r>
        <w:rPr>
          <w:bCs/>
          <w:color w:val="auto"/>
        </w:rPr>
        <w:t>定标</w:t>
      </w:r>
      <w:bookmarkEnd w:id="76"/>
    </w:p>
    <w:p>
      <w:pPr>
        <w:spacing w:after="347"/>
        <w:ind w:left="192" w:right="908" w:hanging="10"/>
        <w:jc w:val="center"/>
        <w:rPr>
          <w:bCs/>
          <w:color w:val="auto"/>
        </w:rPr>
      </w:pPr>
      <w:r>
        <w:rPr>
          <w:rFonts w:ascii="宋体" w:hAnsi="宋体" w:eastAsia="宋体" w:cs="宋体"/>
          <w:bCs/>
          <w:color w:val="auto"/>
          <w:sz w:val="21"/>
        </w:rPr>
        <w:t>按照投标人须知前附表的规定，招标人或招标人授权的评标委员会依法确定中标人。</w:t>
      </w:r>
    </w:p>
    <w:p>
      <w:pPr>
        <w:pStyle w:val="4"/>
        <w:ind w:left="132" w:right="0"/>
        <w:rPr>
          <w:rFonts w:hint="eastAsia"/>
          <w:bCs/>
          <w:color w:val="auto"/>
        </w:rPr>
      </w:pPr>
      <w:bookmarkStart w:id="77" w:name="_Toc195390853"/>
      <w:r>
        <w:rPr>
          <w:rFonts w:ascii="Times New Roman" w:hAnsi="Times New Roman" w:eastAsia="Times New Roman" w:cs="Times New Roman"/>
          <w:bCs/>
          <w:color w:val="auto"/>
        </w:rPr>
        <w:t xml:space="preserve">7.5 </w:t>
      </w:r>
      <w:r>
        <w:rPr>
          <w:bCs/>
          <w:color w:val="auto"/>
        </w:rPr>
        <w:t>中标通知</w:t>
      </w:r>
      <w:bookmarkEnd w:id="77"/>
    </w:p>
    <w:p>
      <w:pPr>
        <w:spacing w:after="218" w:line="372" w:lineRule="auto"/>
        <w:ind w:left="-15" w:right="590" w:firstLine="420"/>
        <w:rPr>
          <w:bCs/>
          <w:color w:val="auto"/>
        </w:rPr>
      </w:pPr>
      <w:r>
        <w:rPr>
          <w:rFonts w:ascii="宋体" w:hAnsi="宋体" w:eastAsia="宋体" w:cs="宋体"/>
          <w:bCs/>
          <w:color w:val="auto"/>
          <w:sz w:val="21"/>
        </w:rPr>
        <w:t xml:space="preserve">在本章第 </w:t>
      </w:r>
      <w:r>
        <w:rPr>
          <w:rFonts w:ascii="Times New Roman" w:hAnsi="Times New Roman" w:eastAsia="Times New Roman" w:cs="Times New Roman"/>
          <w:bCs/>
          <w:color w:val="auto"/>
          <w:sz w:val="21"/>
        </w:rPr>
        <w:t xml:space="preserve">3.3 </w:t>
      </w:r>
      <w:r>
        <w:rPr>
          <w:rFonts w:ascii="宋体" w:hAnsi="宋体" w:eastAsia="宋体" w:cs="宋体"/>
          <w:bCs/>
          <w:color w:val="auto"/>
          <w:sz w:val="21"/>
        </w:rPr>
        <w:t>款规定的投标有效期内，招标人以书面形式向中标人发出中标通知书，同时将中标结果通知未中标的投标人。</w:t>
      </w:r>
    </w:p>
    <w:p>
      <w:pPr>
        <w:pStyle w:val="4"/>
        <w:ind w:left="132" w:right="0"/>
        <w:rPr>
          <w:rFonts w:hint="eastAsia"/>
          <w:bCs/>
          <w:color w:val="auto"/>
        </w:rPr>
      </w:pPr>
      <w:bookmarkStart w:id="78" w:name="_Toc195390854"/>
      <w:r>
        <w:rPr>
          <w:rFonts w:ascii="Times New Roman" w:hAnsi="Times New Roman" w:eastAsia="Times New Roman" w:cs="Times New Roman"/>
          <w:bCs/>
          <w:color w:val="auto"/>
        </w:rPr>
        <w:t xml:space="preserve">7.6 </w:t>
      </w:r>
      <w:r>
        <w:rPr>
          <w:bCs/>
          <w:color w:val="auto"/>
        </w:rPr>
        <w:t>履约保证金</w:t>
      </w:r>
      <w:bookmarkEnd w:id="78"/>
    </w:p>
    <w:p>
      <w:pPr>
        <w:spacing w:after="0" w:line="371" w:lineRule="auto"/>
        <w:ind w:left="10" w:right="710" w:firstLine="525" w:firstLineChars="250"/>
        <w:rPr>
          <w:bCs/>
          <w:color w:val="auto"/>
        </w:rPr>
      </w:pPr>
      <w:r>
        <w:rPr>
          <w:rFonts w:ascii="Times New Roman" w:hAnsi="Times New Roman" w:eastAsia="Times New Roman" w:cs="Times New Roman"/>
          <w:bCs/>
          <w:color w:val="auto"/>
          <w:sz w:val="21"/>
        </w:rPr>
        <w:t xml:space="preserve">7.6.1 </w:t>
      </w:r>
      <w:r>
        <w:rPr>
          <w:rFonts w:ascii="宋体" w:hAnsi="宋体" w:eastAsia="宋体" w:cs="宋体"/>
          <w:bCs/>
          <w:color w:val="auto"/>
          <w:sz w:val="21"/>
        </w:rPr>
        <w:t>在签订合同前，中标人应按投标人须知前附表规定的形式、金额和招标文件第四章</w:t>
      </w:r>
      <w:r>
        <w:rPr>
          <w:rFonts w:ascii="Times New Roman" w:hAnsi="Times New Roman" w:eastAsia="Times New Roman" w:cs="Times New Roman"/>
          <w:bCs/>
          <w:color w:val="auto"/>
          <w:sz w:val="21"/>
        </w:rPr>
        <w:t>“</w:t>
      </w:r>
      <w:r>
        <w:rPr>
          <w:rFonts w:ascii="宋体" w:hAnsi="宋体" w:eastAsia="宋体" w:cs="宋体"/>
          <w:bCs/>
          <w:color w:val="auto"/>
          <w:sz w:val="21"/>
        </w:rPr>
        <w:t>合同条款及格式</w:t>
      </w:r>
      <w:r>
        <w:rPr>
          <w:rFonts w:ascii="Times New Roman" w:hAnsi="Times New Roman" w:eastAsia="Times New Roman" w:cs="Times New Roman"/>
          <w:bCs/>
          <w:color w:val="auto"/>
          <w:sz w:val="21"/>
        </w:rPr>
        <w:t>”</w:t>
      </w:r>
      <w:r>
        <w:rPr>
          <w:rFonts w:ascii="宋体" w:hAnsi="宋体" w:eastAsia="宋体" w:cs="宋体"/>
          <w:bCs/>
          <w:color w:val="auto"/>
          <w:sz w:val="21"/>
        </w:rPr>
        <w:t xml:space="preserve">规定的或者事先经过招标人书面认可的履约保证金格式向招标人提交履约保证金。除投标人须知前附表另有规定外，履约保证金为中标合同金额的 </w:t>
      </w:r>
      <w:r>
        <w:rPr>
          <w:rFonts w:ascii="Times New Roman" w:hAnsi="Times New Roman" w:eastAsia="Times New Roman" w:cs="Times New Roman"/>
          <w:bCs/>
          <w:color w:val="auto"/>
          <w:sz w:val="21"/>
        </w:rPr>
        <w:t>10%</w:t>
      </w:r>
      <w:r>
        <w:rPr>
          <w:rFonts w:ascii="宋体" w:hAnsi="宋体" w:eastAsia="宋体" w:cs="宋体"/>
          <w:bCs/>
          <w:color w:val="auto"/>
          <w:sz w:val="21"/>
        </w:rPr>
        <w:t>。联合体中标的，其履约保证金以联合体各方或者联合体中牵头人的名义提交。</w:t>
      </w:r>
    </w:p>
    <w:p>
      <w:pPr>
        <w:spacing w:after="214" w:line="373" w:lineRule="auto"/>
        <w:ind w:left="-15" w:right="590" w:firstLine="420"/>
        <w:rPr>
          <w:bCs/>
          <w:color w:val="auto"/>
        </w:rPr>
      </w:pPr>
      <w:r>
        <w:rPr>
          <w:rFonts w:ascii="Times New Roman" w:hAnsi="Times New Roman" w:eastAsia="Times New Roman" w:cs="Times New Roman"/>
          <w:bCs/>
          <w:color w:val="auto"/>
          <w:sz w:val="21"/>
        </w:rPr>
        <w:t xml:space="preserve">7.6.2 </w:t>
      </w:r>
      <w:r>
        <w:rPr>
          <w:rFonts w:ascii="宋体" w:hAnsi="宋体" w:eastAsia="宋体" w:cs="宋体"/>
          <w:bCs/>
          <w:color w:val="auto"/>
          <w:sz w:val="21"/>
        </w:rPr>
        <w:t xml:space="preserve">中标人不能按本章第 </w:t>
      </w:r>
      <w:r>
        <w:rPr>
          <w:rFonts w:ascii="Times New Roman" w:hAnsi="Times New Roman" w:eastAsia="Times New Roman" w:cs="Times New Roman"/>
          <w:bCs/>
          <w:color w:val="auto"/>
          <w:sz w:val="21"/>
        </w:rPr>
        <w:t xml:space="preserve">7.6.1 </w:t>
      </w:r>
      <w:r>
        <w:rPr>
          <w:rFonts w:ascii="宋体" w:hAnsi="宋体" w:eastAsia="宋体" w:cs="宋体"/>
          <w:bCs/>
          <w:color w:val="auto"/>
          <w:sz w:val="21"/>
        </w:rPr>
        <w:t>项要求提交履约保证金的，视为放弃中标，其投标保证金不予退还，给招标人造成的损失超过投标保证金数额的，中标人还应当对超过部分予以赔偿。</w:t>
      </w:r>
    </w:p>
    <w:p>
      <w:pPr>
        <w:pStyle w:val="4"/>
        <w:ind w:left="132" w:right="0"/>
        <w:rPr>
          <w:rFonts w:hint="eastAsia"/>
          <w:bCs/>
          <w:color w:val="auto"/>
        </w:rPr>
      </w:pPr>
      <w:bookmarkStart w:id="79" w:name="_Toc195390855"/>
      <w:r>
        <w:rPr>
          <w:rFonts w:ascii="Times New Roman" w:hAnsi="Times New Roman" w:eastAsia="Times New Roman" w:cs="Times New Roman"/>
          <w:bCs/>
          <w:color w:val="auto"/>
        </w:rPr>
        <w:t xml:space="preserve">7.7 </w:t>
      </w:r>
      <w:r>
        <w:rPr>
          <w:bCs/>
          <w:color w:val="auto"/>
        </w:rPr>
        <w:t>签订合同</w:t>
      </w:r>
      <w:bookmarkEnd w:id="79"/>
    </w:p>
    <w:p>
      <w:pPr>
        <w:spacing w:after="5" w:line="357" w:lineRule="auto"/>
        <w:ind w:left="-15" w:right="590" w:firstLine="420"/>
        <w:rPr>
          <w:bCs/>
          <w:color w:val="auto"/>
        </w:rPr>
      </w:pPr>
      <w:r>
        <w:rPr>
          <w:rFonts w:ascii="Times New Roman" w:hAnsi="Times New Roman" w:eastAsia="Times New Roman" w:cs="Times New Roman"/>
          <w:bCs/>
          <w:color w:val="auto"/>
          <w:sz w:val="21"/>
        </w:rPr>
        <w:t xml:space="preserve">7.7.1 </w:t>
      </w:r>
      <w:r>
        <w:rPr>
          <w:rFonts w:ascii="宋体" w:hAnsi="宋体" w:eastAsia="宋体" w:cs="宋体"/>
          <w:bCs/>
          <w:color w:val="auto"/>
          <w:sz w:val="21"/>
        </w:rPr>
        <w:t xml:space="preserve">招标人和中标人应当在中标通知书发出之日起 </w:t>
      </w:r>
      <w:r>
        <w:rPr>
          <w:rFonts w:ascii="Times New Roman" w:hAnsi="Times New Roman" w:eastAsia="Times New Roman" w:cs="Times New Roman"/>
          <w:bCs/>
          <w:color w:val="auto"/>
          <w:sz w:val="21"/>
        </w:rPr>
        <w:t xml:space="preserve">30 </w:t>
      </w:r>
      <w:r>
        <w:rPr>
          <w:rFonts w:ascii="宋体" w:hAnsi="宋体" w:eastAsia="宋体" w:cs="宋体"/>
          <w:bCs/>
          <w:color w:val="auto"/>
          <w:sz w:val="21"/>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7.7.2 </w:t>
      </w:r>
      <w:r>
        <w:rPr>
          <w:rFonts w:ascii="宋体" w:hAnsi="宋体" w:eastAsia="宋体" w:cs="宋体"/>
          <w:bCs/>
          <w:color w:val="auto"/>
          <w:sz w:val="21"/>
        </w:rPr>
        <w:t>发出中标通知书后，招标人无正当理由拒签合同，或者在签订合同时向中标人提出附加条件的，招标人向中标人退还投标保证金；给中标人造成损失的，还应当赔偿损失。</w:t>
      </w:r>
    </w:p>
    <w:p>
      <w:pPr>
        <w:spacing w:after="258" w:line="374" w:lineRule="auto"/>
        <w:ind w:left="-15" w:right="590" w:firstLine="420"/>
        <w:rPr>
          <w:bCs/>
          <w:color w:val="auto"/>
        </w:rPr>
      </w:pPr>
      <w:r>
        <w:rPr>
          <w:rFonts w:ascii="Times New Roman" w:hAnsi="Times New Roman" w:eastAsia="Times New Roman" w:cs="Times New Roman"/>
          <w:bCs/>
          <w:color w:val="auto"/>
          <w:sz w:val="21"/>
        </w:rPr>
        <w:t xml:space="preserve">7.7.3 </w:t>
      </w:r>
      <w:r>
        <w:rPr>
          <w:rFonts w:ascii="宋体" w:hAnsi="宋体" w:eastAsia="宋体" w:cs="宋体"/>
          <w:bCs/>
          <w:color w:val="auto"/>
          <w:sz w:val="21"/>
        </w:rPr>
        <w:t>联合体中标的，联合体各方应当共同与招标人签订合同，就中标项目向招标人承担连带责任。</w:t>
      </w:r>
    </w:p>
    <w:p>
      <w:pPr>
        <w:pStyle w:val="3"/>
        <w:ind w:left="-5" w:right="0"/>
        <w:rPr>
          <w:rFonts w:hint="eastAsia"/>
          <w:bCs/>
          <w:color w:val="auto"/>
        </w:rPr>
      </w:pPr>
      <w:bookmarkStart w:id="80" w:name="_Toc195390856"/>
      <w:r>
        <w:rPr>
          <w:rFonts w:ascii="Times New Roman" w:hAnsi="Times New Roman" w:eastAsia="Times New Roman" w:cs="Times New Roman"/>
          <w:bCs/>
          <w:color w:val="auto"/>
        </w:rPr>
        <w:t>8.</w:t>
      </w:r>
      <w:r>
        <w:rPr>
          <w:bCs/>
          <w:color w:val="auto"/>
        </w:rPr>
        <w:t>纪律和监督</w:t>
      </w:r>
      <w:bookmarkEnd w:id="80"/>
    </w:p>
    <w:p>
      <w:pPr>
        <w:pStyle w:val="4"/>
        <w:ind w:left="132" w:right="0"/>
        <w:rPr>
          <w:rFonts w:hint="eastAsia"/>
          <w:bCs/>
          <w:color w:val="auto"/>
        </w:rPr>
      </w:pPr>
      <w:bookmarkStart w:id="81" w:name="_Toc195390857"/>
      <w:r>
        <w:rPr>
          <w:rFonts w:ascii="Times New Roman" w:hAnsi="Times New Roman" w:eastAsia="Times New Roman" w:cs="Times New Roman"/>
          <w:bCs/>
          <w:color w:val="auto"/>
        </w:rPr>
        <w:t xml:space="preserve">8.1 </w:t>
      </w:r>
      <w:r>
        <w:rPr>
          <w:bCs/>
          <w:color w:val="auto"/>
        </w:rPr>
        <w:t>对招标人的纪律要求</w:t>
      </w:r>
      <w:bookmarkEnd w:id="81"/>
    </w:p>
    <w:p>
      <w:pPr>
        <w:spacing w:after="240" w:line="354" w:lineRule="auto"/>
        <w:ind w:left="-15" w:right="590" w:firstLine="420"/>
        <w:rPr>
          <w:bCs/>
          <w:color w:val="auto"/>
        </w:rPr>
      </w:pPr>
      <w:r>
        <w:rPr>
          <w:rFonts w:ascii="宋体" w:hAnsi="宋体" w:eastAsia="宋体" w:cs="宋体"/>
          <w:bCs/>
          <w:color w:val="auto"/>
          <w:sz w:val="21"/>
        </w:rPr>
        <w:t>招标人不得泄露招标投标活动中应当保密的情况和资料，不得与投标人串通损害国家利益、社会公共利益或者他人合法权益。</w:t>
      </w:r>
    </w:p>
    <w:p>
      <w:pPr>
        <w:pStyle w:val="4"/>
        <w:ind w:left="132" w:right="0"/>
        <w:rPr>
          <w:rFonts w:hint="eastAsia"/>
          <w:bCs/>
          <w:color w:val="auto"/>
        </w:rPr>
      </w:pPr>
      <w:bookmarkStart w:id="82" w:name="_Toc195390858"/>
      <w:r>
        <w:rPr>
          <w:rFonts w:ascii="Times New Roman" w:hAnsi="Times New Roman" w:eastAsia="Times New Roman" w:cs="Times New Roman"/>
          <w:bCs/>
          <w:color w:val="auto"/>
        </w:rPr>
        <w:t xml:space="preserve">8.2 </w:t>
      </w:r>
      <w:r>
        <w:rPr>
          <w:bCs/>
          <w:color w:val="auto"/>
        </w:rPr>
        <w:t>对投标人的纪律要求</w:t>
      </w:r>
      <w:bookmarkEnd w:id="82"/>
    </w:p>
    <w:p>
      <w:pPr>
        <w:spacing w:after="242" w:line="352" w:lineRule="auto"/>
        <w:ind w:left="-15" w:right="590" w:firstLine="420"/>
        <w:rPr>
          <w:bCs/>
          <w:color w:val="auto"/>
        </w:rPr>
      </w:pPr>
      <w:r>
        <w:rPr>
          <w:rFonts w:ascii="宋体" w:hAnsi="宋体" w:eastAsia="宋体" w:cs="宋体"/>
          <w:bCs/>
          <w:color w:val="auto"/>
          <w:sz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ind w:left="132" w:right="0"/>
        <w:rPr>
          <w:rFonts w:hint="eastAsia"/>
          <w:bCs/>
          <w:color w:val="auto"/>
        </w:rPr>
      </w:pPr>
      <w:bookmarkStart w:id="83" w:name="_Toc195390859"/>
      <w:r>
        <w:rPr>
          <w:rFonts w:ascii="Times New Roman" w:hAnsi="Times New Roman" w:eastAsia="Times New Roman" w:cs="Times New Roman"/>
          <w:bCs/>
          <w:color w:val="auto"/>
        </w:rPr>
        <w:t xml:space="preserve">8.3 </w:t>
      </w:r>
      <w:r>
        <w:rPr>
          <w:bCs/>
          <w:color w:val="auto"/>
        </w:rPr>
        <w:t>对评标委员会成员的纪律要求</w:t>
      </w:r>
      <w:bookmarkEnd w:id="83"/>
    </w:p>
    <w:p>
      <w:pPr>
        <w:spacing w:after="348" w:line="349" w:lineRule="auto"/>
        <w:ind w:left="-15" w:right="590" w:firstLine="420"/>
        <w:rPr>
          <w:bCs/>
          <w:color w:val="auto"/>
        </w:rPr>
      </w:pPr>
      <w:r>
        <w:rPr>
          <w:rFonts w:ascii="宋体" w:hAnsi="宋体" w:eastAsia="宋体" w:cs="宋体"/>
          <w:bCs/>
          <w:color w:val="auto"/>
          <w:sz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没有规定的评审因素和标准进行评标。</w:t>
      </w:r>
    </w:p>
    <w:p>
      <w:pPr>
        <w:pStyle w:val="4"/>
        <w:ind w:left="132" w:right="0"/>
        <w:rPr>
          <w:rFonts w:hint="eastAsia"/>
          <w:bCs/>
          <w:color w:val="auto"/>
        </w:rPr>
      </w:pPr>
      <w:bookmarkStart w:id="84" w:name="_Toc195390860"/>
      <w:r>
        <w:rPr>
          <w:rFonts w:ascii="Times New Roman" w:hAnsi="Times New Roman" w:eastAsia="Times New Roman" w:cs="Times New Roman"/>
          <w:bCs/>
          <w:color w:val="auto"/>
        </w:rPr>
        <w:t xml:space="preserve">8.4 </w:t>
      </w:r>
      <w:r>
        <w:rPr>
          <w:bCs/>
          <w:color w:val="auto"/>
        </w:rPr>
        <w:t>对与评标活动有关的工作人员的纪律要求</w:t>
      </w:r>
      <w:bookmarkEnd w:id="84"/>
    </w:p>
    <w:p>
      <w:pPr>
        <w:spacing w:after="239" w:line="352" w:lineRule="auto"/>
        <w:ind w:left="-15" w:right="590" w:firstLine="420"/>
        <w:rPr>
          <w:bCs/>
          <w:color w:val="auto"/>
        </w:rPr>
      </w:pPr>
      <w:r>
        <w:rPr>
          <w:rFonts w:ascii="宋体" w:hAnsi="宋体" w:eastAsia="宋体" w:cs="宋体"/>
          <w:bCs/>
          <w:color w:val="auto"/>
          <w:sz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pStyle w:val="4"/>
        <w:spacing w:after="286" w:line="259" w:lineRule="auto"/>
        <w:ind w:left="132" w:right="0"/>
        <w:rPr>
          <w:rFonts w:hint="eastAsia"/>
          <w:bCs/>
          <w:color w:val="auto"/>
        </w:rPr>
      </w:pPr>
      <w:bookmarkStart w:id="85" w:name="_Toc195390861"/>
      <w:r>
        <w:rPr>
          <w:rFonts w:ascii="Times New Roman" w:hAnsi="Times New Roman" w:eastAsia="Times New Roman" w:cs="Times New Roman"/>
          <w:bCs/>
          <w:color w:val="auto"/>
        </w:rPr>
        <w:t xml:space="preserve">8.5 </w:t>
      </w:r>
      <w:r>
        <w:rPr>
          <w:bCs/>
          <w:color w:val="auto"/>
        </w:rPr>
        <w:t>投诉</w:t>
      </w:r>
      <w:bookmarkEnd w:id="85"/>
    </w:p>
    <w:p>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8.5.1 </w:t>
      </w:r>
      <w:r>
        <w:rPr>
          <w:rFonts w:ascii="宋体" w:hAnsi="宋体" w:eastAsia="宋体" w:cs="宋体"/>
          <w:bCs/>
          <w:color w:val="auto"/>
          <w:sz w:val="21"/>
        </w:rPr>
        <w:t xml:space="preserve">投标人或者其他利害关系人认为招标投标活动不符合法律、行政法规规定的，可以自知道或者应当知道之日起 </w:t>
      </w:r>
      <w:r>
        <w:rPr>
          <w:rFonts w:ascii="Times New Roman" w:hAnsi="Times New Roman" w:eastAsia="Times New Roman" w:cs="Times New Roman"/>
          <w:bCs/>
          <w:color w:val="auto"/>
          <w:sz w:val="21"/>
        </w:rPr>
        <w:t xml:space="preserve">10 </w:t>
      </w:r>
      <w:r>
        <w:rPr>
          <w:rFonts w:ascii="宋体" w:hAnsi="宋体" w:eastAsia="宋体" w:cs="宋体"/>
          <w:bCs/>
          <w:color w:val="auto"/>
          <w:sz w:val="21"/>
        </w:rPr>
        <w:t>日内向有关行政监督部门投诉。投诉应当有明确的请求和必要的证明材料。</w:t>
      </w:r>
    </w:p>
    <w:p>
      <w:pPr>
        <w:spacing w:after="264" w:line="370" w:lineRule="auto"/>
        <w:ind w:left="-15" w:right="684" w:firstLine="410"/>
        <w:jc w:val="both"/>
        <w:rPr>
          <w:bCs/>
          <w:color w:val="auto"/>
        </w:rPr>
      </w:pPr>
      <w:r>
        <w:rPr>
          <w:rFonts w:ascii="Times New Roman" w:hAnsi="Times New Roman" w:eastAsia="Times New Roman" w:cs="Times New Roman"/>
          <w:bCs/>
          <w:color w:val="auto"/>
          <w:sz w:val="21"/>
        </w:rPr>
        <w:t xml:space="preserve">8.5.2 </w:t>
      </w:r>
      <w:r>
        <w:rPr>
          <w:rFonts w:ascii="宋体" w:hAnsi="宋体" w:eastAsia="宋体" w:cs="宋体"/>
          <w:bCs/>
          <w:color w:val="auto"/>
          <w:sz w:val="21"/>
        </w:rPr>
        <w:t xml:space="preserve">投标人或者其他利害关系人对招标文件、开标和评标结果提出投诉的，应当按照投标人须知第 </w:t>
      </w:r>
      <w:r>
        <w:rPr>
          <w:rFonts w:ascii="Times New Roman" w:hAnsi="Times New Roman" w:eastAsia="Times New Roman" w:cs="Times New Roman"/>
          <w:bCs/>
          <w:color w:val="auto"/>
          <w:sz w:val="21"/>
        </w:rPr>
        <w:t xml:space="preserve">2.4 </w:t>
      </w:r>
      <w:r>
        <w:rPr>
          <w:rFonts w:ascii="宋体" w:hAnsi="宋体" w:eastAsia="宋体" w:cs="宋体"/>
          <w:bCs/>
          <w:color w:val="auto"/>
          <w:sz w:val="21"/>
        </w:rPr>
        <w:t xml:space="preserve">款、第 </w:t>
      </w:r>
      <w:r>
        <w:rPr>
          <w:rFonts w:ascii="Times New Roman" w:hAnsi="Times New Roman" w:eastAsia="Times New Roman" w:cs="Times New Roman"/>
          <w:bCs/>
          <w:color w:val="auto"/>
          <w:sz w:val="21"/>
        </w:rPr>
        <w:t xml:space="preserve">5.3 </w:t>
      </w:r>
      <w:r>
        <w:rPr>
          <w:rFonts w:ascii="宋体" w:hAnsi="宋体" w:eastAsia="宋体" w:cs="宋体"/>
          <w:bCs/>
          <w:color w:val="auto"/>
          <w:sz w:val="21"/>
        </w:rPr>
        <w:t xml:space="preserve">款和第 </w:t>
      </w:r>
      <w:r>
        <w:rPr>
          <w:rFonts w:ascii="Times New Roman" w:hAnsi="Times New Roman" w:eastAsia="Times New Roman" w:cs="Times New Roman"/>
          <w:bCs/>
          <w:color w:val="auto"/>
          <w:sz w:val="21"/>
        </w:rPr>
        <w:t xml:space="preserve">7.2 </w:t>
      </w:r>
      <w:r>
        <w:rPr>
          <w:rFonts w:ascii="宋体" w:hAnsi="宋体" w:eastAsia="宋体" w:cs="宋体"/>
          <w:bCs/>
          <w:color w:val="auto"/>
          <w:sz w:val="21"/>
        </w:rPr>
        <w:t xml:space="preserve">款的规定先向招标人提出异议。异议答复期间不计算在第 </w:t>
      </w:r>
      <w:r>
        <w:rPr>
          <w:rFonts w:ascii="Times New Roman" w:hAnsi="Times New Roman" w:eastAsia="Times New Roman" w:cs="Times New Roman"/>
          <w:bCs/>
          <w:color w:val="auto"/>
          <w:sz w:val="21"/>
        </w:rPr>
        <w:t xml:space="preserve">8.5.1 </w:t>
      </w:r>
      <w:r>
        <w:rPr>
          <w:rFonts w:ascii="宋体" w:hAnsi="宋体" w:eastAsia="宋体" w:cs="宋体"/>
          <w:bCs/>
          <w:color w:val="auto"/>
          <w:sz w:val="21"/>
        </w:rPr>
        <w:t>项规定的期限内。</w:t>
      </w:r>
    </w:p>
    <w:p>
      <w:pPr>
        <w:pStyle w:val="3"/>
        <w:spacing w:after="243"/>
        <w:ind w:left="-5" w:right="0"/>
        <w:rPr>
          <w:rFonts w:hint="eastAsia"/>
          <w:bCs/>
          <w:color w:val="auto"/>
        </w:rPr>
      </w:pPr>
      <w:bookmarkStart w:id="86" w:name="_Toc195390862"/>
      <w:r>
        <w:rPr>
          <w:rFonts w:ascii="Times New Roman" w:hAnsi="Times New Roman" w:eastAsia="Times New Roman" w:cs="Times New Roman"/>
          <w:bCs/>
          <w:color w:val="auto"/>
        </w:rPr>
        <w:t xml:space="preserve">9. </w:t>
      </w:r>
      <w:r>
        <w:rPr>
          <w:bCs/>
          <w:color w:val="auto"/>
        </w:rPr>
        <w:t>是否采用电子招标投标</w:t>
      </w:r>
      <w:bookmarkEnd w:id="86"/>
    </w:p>
    <w:p>
      <w:pPr>
        <w:spacing w:after="385" w:line="265" w:lineRule="auto"/>
        <w:ind w:left="430" w:right="590" w:hanging="10"/>
        <w:rPr>
          <w:bCs/>
          <w:color w:val="auto"/>
        </w:rPr>
      </w:pPr>
      <w:r>
        <w:rPr>
          <w:rFonts w:ascii="宋体" w:hAnsi="宋体" w:eastAsia="宋体" w:cs="宋体"/>
          <w:bCs/>
          <w:color w:val="auto"/>
          <w:sz w:val="21"/>
        </w:rPr>
        <w:t>本招标项目是否采用电子招标投标方式，见投标人须知前附表。</w:t>
      </w:r>
    </w:p>
    <w:p>
      <w:pPr>
        <w:pStyle w:val="3"/>
        <w:spacing w:after="242"/>
        <w:ind w:left="-5" w:right="0"/>
        <w:rPr>
          <w:rFonts w:hint="eastAsia"/>
          <w:bCs/>
          <w:color w:val="auto"/>
        </w:rPr>
      </w:pPr>
      <w:bookmarkStart w:id="87" w:name="_Toc195390863"/>
      <w:r>
        <w:rPr>
          <w:rFonts w:ascii="Times New Roman" w:hAnsi="Times New Roman" w:eastAsia="Times New Roman" w:cs="Times New Roman"/>
          <w:bCs/>
          <w:color w:val="auto"/>
        </w:rPr>
        <w:t xml:space="preserve">10. </w:t>
      </w:r>
      <w:r>
        <w:rPr>
          <w:bCs/>
          <w:color w:val="auto"/>
        </w:rPr>
        <w:t>需要补充的其他内容</w:t>
      </w:r>
      <w:bookmarkEnd w:id="87"/>
    </w:p>
    <w:p>
      <w:pPr>
        <w:spacing w:after="114" w:line="265" w:lineRule="auto"/>
        <w:ind w:left="430" w:right="590" w:hanging="10"/>
        <w:rPr>
          <w:bCs/>
          <w:color w:val="auto"/>
        </w:rPr>
      </w:pPr>
      <w:r>
        <w:rPr>
          <w:rFonts w:ascii="宋体" w:hAnsi="宋体" w:eastAsia="宋体" w:cs="宋体"/>
          <w:bCs/>
          <w:color w:val="auto"/>
          <w:sz w:val="21"/>
        </w:rPr>
        <w:t>需要补充的其他内容：见投标人须知前附表。</w:t>
      </w:r>
    </w:p>
    <w:p>
      <w:pPr>
        <w:spacing w:after="0"/>
        <w:ind w:left="420"/>
        <w:rPr>
          <w:bCs/>
          <w:color w:val="auto"/>
        </w:rPr>
      </w:pPr>
      <w:r>
        <w:rPr>
          <w:rFonts w:ascii="Times New Roman" w:hAnsi="Times New Roman" w:eastAsia="Times New Roman" w:cs="Times New Roman"/>
          <w:bCs/>
          <w:color w:val="auto"/>
          <w:sz w:val="21"/>
        </w:rPr>
        <w:tab/>
      </w:r>
    </w:p>
    <w:p>
      <w:pPr>
        <w:pStyle w:val="4"/>
        <w:spacing w:after="580"/>
        <w:ind w:left="132" w:right="0"/>
        <w:rPr>
          <w:rFonts w:hint="eastAsia"/>
          <w:bCs/>
          <w:color w:val="auto"/>
        </w:rPr>
        <w:sectPr>
          <w:footerReference r:id="rId8" w:type="first"/>
          <w:footerReference r:id="rId6" w:type="default"/>
          <w:footerReference r:id="rId7" w:type="even"/>
          <w:pgSz w:w="12240" w:h="15840"/>
          <w:pgMar w:top="1445" w:right="1097" w:bottom="1466" w:left="1800" w:header="720" w:footer="720" w:gutter="0"/>
          <w:cols w:space="720" w:num="1"/>
        </w:sectPr>
      </w:pPr>
    </w:p>
    <w:p>
      <w:pPr>
        <w:spacing w:after="0" w:line="265" w:lineRule="auto"/>
        <w:ind w:left="10" w:right="710" w:hanging="10"/>
        <w:jc w:val="right"/>
        <w:rPr>
          <w:bCs/>
          <w:color w:val="auto"/>
        </w:rPr>
      </w:pPr>
    </w:p>
    <w:p>
      <w:pPr>
        <w:pStyle w:val="2"/>
        <w:spacing w:after="850" w:line="345" w:lineRule="auto"/>
        <w:ind w:right="1918"/>
        <w:jc w:val="right"/>
        <w:rPr>
          <w:rFonts w:hint="eastAsia"/>
          <w:bCs/>
          <w:color w:val="auto"/>
        </w:rPr>
      </w:pPr>
      <w:bookmarkStart w:id="88" w:name="_Toc195390864"/>
      <w:r>
        <w:rPr>
          <w:rFonts w:ascii="宋体" w:hAnsi="宋体" w:eastAsia="宋体" w:cs="宋体"/>
          <w:bCs/>
          <w:color w:val="auto"/>
          <w:sz w:val="44"/>
        </w:rPr>
        <w:t>第三章</w:t>
      </w:r>
      <w:r>
        <w:rPr>
          <w:rFonts w:hint="eastAsia" w:ascii="宋体" w:hAnsi="宋体" w:eastAsia="宋体" w:cs="宋体"/>
          <w:bCs/>
          <w:color w:val="auto"/>
          <w:sz w:val="44"/>
        </w:rPr>
        <w:t xml:space="preserve"> </w:t>
      </w:r>
      <w:r>
        <w:rPr>
          <w:rFonts w:ascii="宋体" w:hAnsi="宋体" w:eastAsia="宋体" w:cs="宋体"/>
          <w:bCs/>
          <w:color w:val="auto"/>
          <w:sz w:val="44"/>
        </w:rPr>
        <w:t>评标办法（综合评估法）</w:t>
      </w:r>
      <w:bookmarkEnd w:id="88"/>
    </w:p>
    <w:p>
      <w:pPr>
        <w:pStyle w:val="3"/>
        <w:spacing w:after="153"/>
        <w:ind w:left="-5" w:right="0"/>
        <w:rPr>
          <w:rFonts w:hint="eastAsia"/>
          <w:bCs/>
          <w:color w:val="auto"/>
        </w:rPr>
      </w:pPr>
      <w:bookmarkStart w:id="89" w:name="_Toc195390865"/>
      <w:r>
        <w:rPr>
          <w:bCs/>
          <w:color w:val="auto"/>
        </w:rPr>
        <w:t>评标办法前附表</w:t>
      </w:r>
      <w:bookmarkEnd w:id="89"/>
    </w:p>
    <w:tbl>
      <w:tblPr>
        <w:tblStyle w:val="38"/>
        <w:tblW w:w="5161" w:type="pct"/>
        <w:tblInd w:w="0" w:type="dxa"/>
        <w:tblLayout w:type="autofit"/>
        <w:tblCellMar>
          <w:top w:w="35" w:type="dxa"/>
          <w:left w:w="108" w:type="dxa"/>
          <w:bottom w:w="48" w:type="dxa"/>
          <w:right w:w="89" w:type="dxa"/>
        </w:tblCellMar>
      </w:tblPr>
      <w:tblGrid>
        <w:gridCol w:w="939"/>
        <w:gridCol w:w="51"/>
        <w:gridCol w:w="1117"/>
        <w:gridCol w:w="1969"/>
        <w:gridCol w:w="5771"/>
      </w:tblGrid>
      <w:tr>
        <w:tblPrEx>
          <w:tblCellMar>
            <w:top w:w="35" w:type="dxa"/>
            <w:left w:w="108" w:type="dxa"/>
            <w:bottom w:w="48" w:type="dxa"/>
            <w:right w:w="89" w:type="dxa"/>
          </w:tblCellMar>
        </w:tblPrEx>
        <w:trPr>
          <w:trHeight w:val="449" w:hRule="atLeast"/>
        </w:trPr>
        <w:tc>
          <w:tcPr>
            <w:tcW w:w="1070" w:type="pct"/>
            <w:gridSpan w:val="3"/>
            <w:tcBorders>
              <w:top w:val="single" w:color="auto" w:sz="4" w:space="0"/>
              <w:left w:val="single" w:color="auto" w:sz="4" w:space="0"/>
              <w:bottom w:val="single" w:color="auto" w:sz="4" w:space="0"/>
              <w:right w:val="single" w:color="auto" w:sz="4" w:space="0"/>
            </w:tcBorders>
            <w:vAlign w:val="bottom"/>
          </w:tcPr>
          <w:p>
            <w:pPr>
              <w:spacing w:after="0"/>
              <w:ind w:right="22"/>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1000" w:type="pct"/>
            <w:tcBorders>
              <w:top w:val="single" w:color="auto" w:sz="4" w:space="0"/>
              <w:left w:val="single" w:color="auto" w:sz="4" w:space="0"/>
              <w:bottom w:val="single" w:color="auto" w:sz="4" w:space="0"/>
              <w:right w:val="single" w:color="auto" w:sz="4" w:space="0"/>
            </w:tcBorders>
            <w:vAlign w:val="bottom"/>
          </w:tcPr>
          <w:p>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评审因素</w:t>
            </w:r>
          </w:p>
        </w:tc>
        <w:tc>
          <w:tcPr>
            <w:tcW w:w="2930" w:type="pct"/>
            <w:tcBorders>
              <w:top w:val="single" w:color="auto" w:sz="4" w:space="0"/>
              <w:left w:val="single" w:color="auto" w:sz="4" w:space="0"/>
              <w:bottom w:val="single" w:color="auto" w:sz="4" w:space="0"/>
              <w:right w:val="single" w:color="auto" w:sz="4" w:space="0"/>
            </w:tcBorders>
            <w:vAlign w:val="bottom"/>
          </w:tcPr>
          <w:p>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评审标准</w:t>
            </w:r>
          </w:p>
        </w:tc>
      </w:tr>
      <w:tr>
        <w:tblPrEx>
          <w:tblCellMar>
            <w:top w:w="35" w:type="dxa"/>
            <w:left w:w="108" w:type="dxa"/>
            <w:bottom w:w="48" w:type="dxa"/>
            <w:right w:w="89" w:type="dxa"/>
          </w:tblCellMar>
        </w:tblPrEx>
        <w:trPr>
          <w:trHeight w:val="420" w:hRule="atLeast"/>
        </w:trPr>
        <w:tc>
          <w:tcPr>
            <w:tcW w:w="477" w:type="pct"/>
            <w:tcBorders>
              <w:top w:val="single" w:color="auto" w:sz="4" w:space="0"/>
              <w:left w:val="single" w:color="auto" w:sz="4" w:space="0"/>
              <w:bottom w:val="single" w:color="auto" w:sz="4" w:space="0"/>
              <w:right w:val="single" w:color="auto" w:sz="4" w:space="0"/>
            </w:tcBorders>
            <w:vAlign w:val="center"/>
          </w:tcPr>
          <w:p>
            <w:pPr>
              <w:spacing w:after="0"/>
              <w:ind w:right="22"/>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1</w:t>
            </w:r>
          </w:p>
        </w:tc>
        <w:tc>
          <w:tcPr>
            <w:tcW w:w="593" w:type="pct"/>
            <w:gridSpan w:val="2"/>
            <w:tcBorders>
              <w:top w:val="single" w:color="auto" w:sz="4" w:space="0"/>
              <w:left w:val="single" w:color="auto" w:sz="4" w:space="0"/>
              <w:bottom w:val="single" w:color="auto" w:sz="4" w:space="0"/>
              <w:right w:val="single" w:color="auto" w:sz="4" w:space="0"/>
            </w:tcBorders>
            <w:vAlign w:val="center"/>
          </w:tcPr>
          <w:p>
            <w:pPr>
              <w:spacing w:after="0"/>
              <w:ind w:left="34"/>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评标方法</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left="185"/>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中标候选人排序方法</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ind w:left="33"/>
              <w:jc w:val="both"/>
              <w:rPr>
                <w:rFonts w:hint="eastAsia" w:ascii="宋体" w:hAnsi="宋体" w:eastAsia="宋体"/>
                <w:bCs/>
                <w:color w:val="000000" w:themeColor="text1"/>
                <w:sz w:val="24"/>
                <w:szCs w:val="24"/>
                <w14:textFill>
                  <w14:solidFill>
                    <w14:schemeClr w14:val="tx1"/>
                  </w14:solidFill>
                </w14:textFill>
              </w:rPr>
            </w:pPr>
            <w:r>
              <w:rPr>
                <w:rFonts w:hint="eastAsia" w:ascii="宋体" w:hAnsi="宋体" w:eastAsia="宋体"/>
                <w:bCs/>
                <w:color w:val="000000" w:themeColor="text1"/>
                <w:sz w:val="24"/>
                <w:szCs w:val="24"/>
                <w14:textFill>
                  <w14:solidFill>
                    <w14:schemeClr w14:val="tx1"/>
                  </w14:solidFill>
                </w14:textFill>
              </w:rPr>
              <w:t>综合评分由高到低顺序推荐中标候选人。综合评分相等时，以投标报价低的优先；投标报价也相等的，以技术得分高的优先；如果技术得分也相等，由招标人确定中标候选人顺序。</w:t>
            </w:r>
          </w:p>
        </w:tc>
      </w:tr>
      <w:tr>
        <w:tblPrEx>
          <w:tblCellMar>
            <w:top w:w="35" w:type="dxa"/>
            <w:left w:w="108" w:type="dxa"/>
            <w:bottom w:w="48" w:type="dxa"/>
            <w:right w:w="89" w:type="dxa"/>
          </w:tblCellMar>
        </w:tblPrEx>
        <w:trPr>
          <w:trHeight w:val="546" w:hRule="atLeast"/>
        </w:trPr>
        <w:tc>
          <w:tcPr>
            <w:tcW w:w="477" w:type="pct"/>
            <w:vMerge w:val="restart"/>
            <w:tcBorders>
              <w:top w:val="single" w:color="auto" w:sz="4" w:space="0"/>
              <w:left w:val="single" w:color="auto" w:sz="4" w:space="0"/>
              <w:bottom w:val="single" w:color="auto" w:sz="4" w:space="0"/>
              <w:right w:val="single" w:color="auto" w:sz="4" w:space="0"/>
            </w:tcBorders>
            <w:vAlign w:val="center"/>
          </w:tcPr>
          <w:p>
            <w:pPr>
              <w:spacing w:after="0"/>
              <w:ind w:right="17"/>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2.1.1</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形式评审标准</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投标人名称</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与营业执照、资质证书一致</w:t>
            </w:r>
          </w:p>
        </w:tc>
      </w:tr>
      <w:tr>
        <w:tblPrEx>
          <w:tblCellMar>
            <w:top w:w="35" w:type="dxa"/>
            <w:left w:w="108" w:type="dxa"/>
            <w:bottom w:w="48" w:type="dxa"/>
            <w:right w:w="89" w:type="dxa"/>
          </w:tblCellMar>
        </w:tblPrEx>
        <w:trPr>
          <w:trHeight w:val="1367"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8"/>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投标函签字盖章</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有法定代表人（单位负责人）或其委托代理人签字</w:t>
            </w:r>
            <w:r>
              <w:rPr>
                <w:rFonts w:hint="eastAsia" w:ascii="宋体" w:hAnsi="宋体" w:eastAsia="宋体" w:cs="宋体"/>
                <w:bCs/>
                <w:color w:val="000000" w:themeColor="text1"/>
                <w:sz w:val="24"/>
                <w:szCs w:val="24"/>
                <w14:textFill>
                  <w14:solidFill>
                    <w14:schemeClr w14:val="tx1"/>
                  </w14:solidFill>
                </w14:textFill>
              </w:rPr>
              <w:t>和</w:t>
            </w:r>
            <w:r>
              <w:rPr>
                <w:rFonts w:ascii="宋体" w:hAnsi="宋体" w:eastAsia="宋体" w:cs="宋体"/>
                <w:bCs/>
                <w:color w:val="000000" w:themeColor="text1"/>
                <w:sz w:val="24"/>
                <w:szCs w:val="24"/>
                <w14:textFill>
                  <w14:solidFill>
                    <w14:schemeClr w14:val="tx1"/>
                  </w14:solidFill>
                </w14:textFill>
              </w:rPr>
              <w:t>加盖单位章。由法定代表人（单位负责人）签字的，应附法定代表人（单位负责人）身份证明，由代理人签字的，应附授权委托书，身份证明或授权委托书应符合第六章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投标文件格式</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的规定</w:t>
            </w:r>
            <w:r>
              <w:rPr>
                <w:rFonts w:hint="eastAsia" w:ascii="宋体" w:hAnsi="宋体" w:eastAsia="宋体" w:cs="宋体"/>
                <w:bCs/>
                <w:color w:val="000000" w:themeColor="text1"/>
                <w:sz w:val="24"/>
                <w:szCs w:val="24"/>
                <w14:textFill>
                  <w14:solidFill>
                    <w14:schemeClr w14:val="tx1"/>
                  </w14:solidFill>
                </w14:textFill>
              </w:rPr>
              <w:t>。</w:t>
            </w:r>
          </w:p>
        </w:tc>
      </w:tr>
      <w:tr>
        <w:tblPrEx>
          <w:tblCellMar>
            <w:top w:w="35" w:type="dxa"/>
            <w:left w:w="108" w:type="dxa"/>
            <w:bottom w:w="48" w:type="dxa"/>
            <w:right w:w="89" w:type="dxa"/>
          </w:tblCellMar>
        </w:tblPrEx>
        <w:trPr>
          <w:trHeight w:val="624"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8"/>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auto"/>
                <w:sz w:val="24"/>
                <w:szCs w:val="24"/>
              </w:rPr>
              <w:t>投标文件格式</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auto"/>
                <w:sz w:val="24"/>
                <w:szCs w:val="24"/>
              </w:rPr>
              <w:t>符合第六章</w:t>
            </w:r>
            <w:r>
              <w:rPr>
                <w:rFonts w:ascii="宋体" w:hAnsi="宋体" w:eastAsia="宋体" w:cs="Times New Roman"/>
                <w:color w:val="auto"/>
                <w:sz w:val="24"/>
                <w:szCs w:val="24"/>
              </w:rPr>
              <w:t>“</w:t>
            </w:r>
            <w:r>
              <w:rPr>
                <w:rFonts w:ascii="宋体" w:hAnsi="宋体" w:eastAsia="宋体" w:cs="宋体"/>
                <w:color w:val="auto"/>
                <w:sz w:val="24"/>
                <w:szCs w:val="24"/>
              </w:rPr>
              <w:t>投标文件格式</w:t>
            </w:r>
            <w:r>
              <w:rPr>
                <w:rFonts w:ascii="宋体" w:hAnsi="宋体" w:eastAsia="宋体" w:cs="Times New Roman"/>
                <w:color w:val="auto"/>
                <w:sz w:val="24"/>
                <w:szCs w:val="24"/>
              </w:rPr>
              <w:t>”</w:t>
            </w:r>
            <w:r>
              <w:rPr>
                <w:rFonts w:ascii="宋体" w:hAnsi="宋体" w:eastAsia="宋体" w:cs="宋体"/>
                <w:color w:val="auto"/>
                <w:sz w:val="24"/>
                <w:szCs w:val="24"/>
              </w:rPr>
              <w:t>的规定</w:t>
            </w:r>
          </w:p>
        </w:tc>
      </w:tr>
      <w:tr>
        <w:tblPrEx>
          <w:tblCellMar>
            <w:top w:w="35" w:type="dxa"/>
            <w:left w:w="108" w:type="dxa"/>
            <w:bottom w:w="48" w:type="dxa"/>
            <w:right w:w="89" w:type="dxa"/>
          </w:tblCellMar>
        </w:tblPrEx>
        <w:trPr>
          <w:trHeight w:val="648"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8"/>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接受联合体投标</w:t>
            </w:r>
          </w:p>
        </w:tc>
      </w:tr>
      <w:tr>
        <w:tblPrEx>
          <w:tblCellMar>
            <w:top w:w="35" w:type="dxa"/>
            <w:left w:w="108" w:type="dxa"/>
            <w:bottom w:w="48" w:type="dxa"/>
            <w:right w:w="89" w:type="dxa"/>
          </w:tblCellMar>
        </w:tblPrEx>
        <w:trPr>
          <w:trHeight w:val="521"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备选投标方案</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除招标文件明确允许提交备选投标方案外，投标人不得提交备选投标方案</w:t>
            </w:r>
            <w:r>
              <w:rPr>
                <w:rFonts w:hint="eastAsia" w:ascii="宋体" w:hAnsi="宋体" w:eastAsia="宋体" w:cs="宋体"/>
                <w:bCs/>
                <w:color w:val="000000" w:themeColor="text1"/>
                <w:sz w:val="24"/>
                <w:szCs w:val="24"/>
                <w14:textFill>
                  <w14:solidFill>
                    <w14:schemeClr w14:val="tx1"/>
                  </w14:solidFill>
                </w14:textFill>
              </w:rPr>
              <w:t>。</w:t>
            </w:r>
          </w:p>
        </w:tc>
      </w:tr>
      <w:tr>
        <w:tblPrEx>
          <w:tblCellMar>
            <w:top w:w="35" w:type="dxa"/>
            <w:left w:w="108" w:type="dxa"/>
            <w:bottom w:w="48" w:type="dxa"/>
            <w:right w:w="89" w:type="dxa"/>
          </w:tblCellMar>
        </w:tblPrEx>
        <w:trPr>
          <w:trHeight w:val="890" w:hRule="atLeast"/>
        </w:trPr>
        <w:tc>
          <w:tcPr>
            <w:tcW w:w="477" w:type="pct"/>
            <w:vMerge w:val="restart"/>
            <w:tcBorders>
              <w:top w:val="single" w:color="auto" w:sz="4" w:space="0"/>
              <w:left w:val="single" w:color="auto" w:sz="4" w:space="0"/>
              <w:bottom w:val="single" w:color="auto" w:sz="4" w:space="0"/>
              <w:right w:val="single" w:color="auto" w:sz="4" w:space="0"/>
            </w:tcBorders>
            <w:vAlign w:val="center"/>
          </w:tcPr>
          <w:p>
            <w:pPr>
              <w:spacing w:after="0"/>
              <w:ind w:right="17"/>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2.1.2</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资格评审标准</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营业执照和组织机构代码证</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3.5.1 </w:t>
            </w:r>
            <w:r>
              <w:rPr>
                <w:rFonts w:ascii="宋体" w:hAnsi="宋体" w:eastAsia="宋体" w:cs="宋体"/>
                <w:bCs/>
                <w:color w:val="000000" w:themeColor="text1"/>
                <w:sz w:val="24"/>
                <w:szCs w:val="24"/>
                <w14:textFill>
                  <w14:solidFill>
                    <w14:schemeClr w14:val="tx1"/>
                  </w14:solidFill>
                </w14:textFill>
              </w:rPr>
              <w:t>项规定，具备有效的营业执照和组织机构代码证</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资质要求</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tblPrEx>
          <w:tblCellMar>
            <w:top w:w="35" w:type="dxa"/>
            <w:left w:w="108" w:type="dxa"/>
            <w:bottom w:w="48" w:type="dxa"/>
            <w:right w:w="89" w:type="dxa"/>
          </w:tblCellMar>
        </w:tblPrEx>
        <w:trPr>
          <w:trHeight w:val="451"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财务要求</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业绩要求</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tblPrEx>
          <w:tblCellMar>
            <w:top w:w="35" w:type="dxa"/>
            <w:left w:w="108" w:type="dxa"/>
            <w:bottom w:w="48" w:type="dxa"/>
            <w:right w:w="89" w:type="dxa"/>
          </w:tblCellMar>
        </w:tblPrEx>
        <w:trPr>
          <w:trHeight w:val="452"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信誉要求</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其他要求</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接受联合体投标</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不存在禁止投标的情形</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不存在第二章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1.4.3</w:t>
            </w:r>
            <w:r>
              <w:rPr>
                <w:rFonts w:ascii="宋体" w:hAnsi="宋体" w:eastAsia="宋体" w:cs="宋体"/>
                <w:bCs/>
                <w:color w:val="000000" w:themeColor="text1"/>
                <w:sz w:val="24"/>
                <w:szCs w:val="24"/>
                <w14:textFill>
                  <w14:solidFill>
                    <w14:schemeClr w14:val="tx1"/>
                  </w14:solidFill>
                </w14:textFill>
              </w:rPr>
              <w:t>项规定的任何一种情形</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投标设备制造商的资质要求（如有）</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投标设备的业绩要求</w:t>
            </w:r>
          </w:p>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（如有）</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2.1.3</w:t>
            </w:r>
          </w:p>
        </w:tc>
        <w:tc>
          <w:tcPr>
            <w:tcW w:w="593" w:type="pct"/>
            <w:gridSpan w:val="2"/>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响应性评审标准</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3.2 </w:t>
            </w:r>
            <w:r>
              <w:rPr>
                <w:rFonts w:ascii="宋体" w:hAnsi="宋体" w:eastAsia="宋体" w:cs="宋体"/>
                <w:bCs/>
                <w:color w:val="000000" w:themeColor="text1"/>
                <w:sz w:val="24"/>
                <w:szCs w:val="24"/>
                <w14:textFill>
                  <w14:solidFill>
                    <w14:schemeClr w14:val="tx1"/>
                  </w14:solidFill>
                </w14:textFill>
              </w:rPr>
              <w:t>款规定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投标内容</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1.3.1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交货地点</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1.3.3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投标有效期</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3.3.1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投标保证金</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3.4.1 </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sz w:val="24"/>
                <w:szCs w:val="24"/>
              </w:rPr>
              <w:t>偏差</w:t>
            </w:r>
          </w:p>
        </w:tc>
        <w:tc>
          <w:tcPr>
            <w:tcW w:w="2930" w:type="pct"/>
            <w:tcBorders>
              <w:top w:val="single" w:color="auto" w:sz="4" w:space="0"/>
              <w:left w:val="single" w:color="auto" w:sz="4" w:space="0"/>
              <w:bottom w:val="single" w:color="auto" w:sz="4" w:space="0"/>
              <w:right w:val="single" w:color="auto" w:sz="4" w:space="0"/>
            </w:tcBorders>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sz w:val="24"/>
                <w:szCs w:val="24"/>
              </w:rPr>
              <w:t>符合第二章</w:t>
            </w:r>
            <w:r>
              <w:rPr>
                <w:rFonts w:ascii="宋体" w:hAnsi="宋体" w:eastAsia="宋体"/>
                <w:sz w:val="24"/>
                <w:szCs w:val="24"/>
              </w:rPr>
              <w:t>“</w:t>
            </w:r>
            <w:r>
              <w:rPr>
                <w:rFonts w:hint="eastAsia" w:ascii="宋体" w:hAnsi="宋体" w:eastAsia="宋体" w:cs="宋体"/>
                <w:sz w:val="24"/>
                <w:szCs w:val="24"/>
              </w:rPr>
              <w:t>投标人须知</w:t>
            </w:r>
            <w:r>
              <w:rPr>
                <w:rFonts w:ascii="宋体" w:hAnsi="宋体" w:eastAsia="宋体"/>
                <w:sz w:val="24"/>
                <w:szCs w:val="24"/>
              </w:rPr>
              <w:t>”</w:t>
            </w:r>
            <w:r>
              <w:rPr>
                <w:rFonts w:hint="eastAsia" w:ascii="宋体" w:hAnsi="宋体" w:eastAsia="宋体" w:cs="宋体"/>
                <w:sz w:val="24"/>
                <w:szCs w:val="24"/>
              </w:rPr>
              <w:t>第</w:t>
            </w:r>
            <w:r>
              <w:rPr>
                <w:rFonts w:ascii="宋体" w:hAnsi="宋体" w:eastAsia="宋体"/>
                <w:sz w:val="24"/>
                <w:szCs w:val="24"/>
              </w:rPr>
              <w:t>1.11.4</w:t>
            </w:r>
            <w:r>
              <w:rPr>
                <w:rFonts w:hint="eastAsia" w:ascii="宋体" w:hAnsi="宋体" w:eastAsia="宋体" w:cs="宋体"/>
                <w:sz w:val="24"/>
                <w:szCs w:val="24"/>
              </w:rPr>
              <w:t>项规定</w:t>
            </w:r>
          </w:p>
        </w:tc>
      </w:tr>
      <w:tr>
        <w:tblPrEx>
          <w:tblCellMar>
            <w:top w:w="35" w:type="dxa"/>
            <w:left w:w="108" w:type="dxa"/>
            <w:bottom w:w="48" w:type="dxa"/>
            <w:right w:w="89" w:type="dxa"/>
          </w:tblCellMar>
        </w:tblPrEx>
        <w:trPr>
          <w:trHeight w:val="449" w:hRule="atLeast"/>
        </w:trPr>
        <w:tc>
          <w:tcPr>
            <w:tcW w:w="477" w:type="pct"/>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技术支持资料</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hint="eastAsia" w:ascii="宋体" w:hAnsi="宋体" w:eastAsia="宋体" w:cs="Times New Roman"/>
                <w:bCs/>
                <w:color w:val="000000" w:themeColor="text1"/>
                <w:sz w:val="24"/>
                <w:szCs w:val="24"/>
                <w14:textFill>
                  <w14:solidFill>
                    <w14:schemeClr w14:val="tx1"/>
                  </w14:solidFill>
                </w14:textFill>
              </w:rPr>
              <w:t>1.11.3</w:t>
            </w:r>
            <w:r>
              <w:rPr>
                <w:rFonts w:ascii="宋体" w:hAnsi="宋体" w:eastAsia="宋体" w:cs="宋体"/>
                <w:bCs/>
                <w:color w:val="000000" w:themeColor="text1"/>
                <w:sz w:val="24"/>
                <w:szCs w:val="24"/>
                <w14:textFill>
                  <w14:solidFill>
                    <w14:schemeClr w14:val="tx1"/>
                  </w14:solidFill>
                </w14:textFill>
              </w:rPr>
              <w:t>项规定</w:t>
            </w:r>
          </w:p>
        </w:tc>
      </w:tr>
      <w:tr>
        <w:tblPrEx>
          <w:tblCellMar>
            <w:top w:w="35" w:type="dxa"/>
            <w:left w:w="108" w:type="dxa"/>
            <w:bottom w:w="48" w:type="dxa"/>
            <w:right w:w="89" w:type="dxa"/>
          </w:tblCellMar>
        </w:tblPrEx>
        <w:trPr>
          <w:trHeight w:val="449" w:hRule="atLeast"/>
        </w:trPr>
        <w:tc>
          <w:tcPr>
            <w:tcW w:w="107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条款内容</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编列内容</w:t>
            </w:r>
          </w:p>
        </w:tc>
      </w:tr>
      <w:tr>
        <w:tblPrEx>
          <w:tblCellMar>
            <w:top w:w="35" w:type="dxa"/>
            <w:left w:w="108" w:type="dxa"/>
            <w:bottom w:w="48" w:type="dxa"/>
            <w:right w:w="89" w:type="dxa"/>
          </w:tblCellMar>
        </w:tblPrEx>
        <w:trPr>
          <w:trHeight w:val="449" w:hRule="atLeast"/>
        </w:trPr>
        <w:tc>
          <w:tcPr>
            <w:tcW w:w="107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2.2.1</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161"/>
              <w:ind w:left="1"/>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分值构成</w:t>
            </w:r>
          </w:p>
          <w:p>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总分 </w:t>
            </w:r>
            <w:r>
              <w:rPr>
                <w:rFonts w:ascii="宋体" w:hAnsi="宋体" w:eastAsia="宋体" w:cs="Times New Roman"/>
                <w:bCs/>
                <w:color w:val="000000" w:themeColor="text1"/>
                <w:sz w:val="24"/>
                <w:szCs w:val="24"/>
                <w14:textFill>
                  <w14:solidFill>
                    <w14:schemeClr w14:val="tx1"/>
                  </w14:solidFill>
                </w14:textFill>
              </w:rPr>
              <w:t xml:space="preserve">100 </w:t>
            </w:r>
            <w:r>
              <w:rPr>
                <w:rFonts w:ascii="宋体" w:hAnsi="宋体" w:eastAsia="宋体" w:cs="宋体"/>
                <w:bCs/>
                <w:color w:val="000000" w:themeColor="text1"/>
                <w:sz w:val="24"/>
                <w:szCs w:val="24"/>
                <w14:textFill>
                  <w14:solidFill>
                    <w14:schemeClr w14:val="tx1"/>
                  </w14:solidFill>
                </w14:textFill>
              </w:rPr>
              <w:t>分</w:t>
            </w:r>
            <w:r>
              <w:rPr>
                <w:rFonts w:ascii="宋体" w:hAnsi="宋体" w:eastAsia="宋体" w:cs="Times New Roman"/>
                <w:bCs/>
                <w:color w:val="000000" w:themeColor="text1"/>
                <w:sz w:val="24"/>
                <w:szCs w:val="24"/>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商务部分：</w:t>
            </w:r>
            <w:r>
              <w:rPr>
                <w:rFonts w:hint="eastAsia" w:ascii="宋体" w:hAnsi="宋体" w:eastAsia="宋体" w:cs="Times New Roman"/>
                <w:bCs/>
                <w:color w:val="000000" w:themeColor="text1"/>
                <w:sz w:val="24"/>
                <w:szCs w:val="24"/>
                <w:u w:val="single" w:color="000000"/>
                <w14:textFill>
                  <w14:solidFill>
                    <w14:schemeClr w14:val="tx1"/>
                  </w14:solidFill>
                </w14:textFill>
              </w:rPr>
              <w:t>10</w:t>
            </w:r>
            <w:r>
              <w:rPr>
                <w:rFonts w:ascii="宋体" w:hAnsi="宋体" w:eastAsia="宋体" w:cs="宋体"/>
                <w:bCs/>
                <w:color w:val="000000" w:themeColor="text1"/>
                <w:sz w:val="24"/>
                <w:szCs w:val="24"/>
                <w14:textFill>
                  <w14:solidFill>
                    <w14:schemeClr w14:val="tx1"/>
                  </w14:solidFill>
                </w14:textFill>
              </w:rPr>
              <w:t>分</w:t>
            </w:r>
          </w:p>
          <w:p>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技术部分：</w:t>
            </w:r>
            <w:r>
              <w:rPr>
                <w:rFonts w:hint="eastAsia" w:ascii="宋体" w:hAnsi="宋体" w:eastAsia="宋体" w:cs="Times New Roman"/>
                <w:bCs/>
                <w:color w:val="000000" w:themeColor="text1"/>
                <w:sz w:val="24"/>
                <w:szCs w:val="24"/>
                <w:u w:val="single" w:color="000000"/>
                <w14:textFill>
                  <w14:solidFill>
                    <w14:schemeClr w14:val="tx1"/>
                  </w14:solidFill>
                </w14:textFill>
              </w:rPr>
              <w:t>50</w:t>
            </w:r>
            <w:r>
              <w:rPr>
                <w:rFonts w:ascii="宋体" w:hAnsi="宋体" w:eastAsia="宋体" w:cs="宋体"/>
                <w:bCs/>
                <w:color w:val="000000" w:themeColor="text1"/>
                <w:sz w:val="24"/>
                <w:szCs w:val="24"/>
                <w14:textFill>
                  <w14:solidFill>
                    <w14:schemeClr w14:val="tx1"/>
                  </w14:solidFill>
                </w14:textFill>
              </w:rPr>
              <w:t>分</w:t>
            </w:r>
          </w:p>
          <w:p>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w:t>
            </w:r>
            <w:r>
              <w:rPr>
                <w:rFonts w:hint="eastAsia" w:ascii="宋体" w:hAnsi="宋体" w:eastAsia="宋体" w:cs="Times New Roman"/>
                <w:bCs/>
                <w:color w:val="000000" w:themeColor="text1"/>
                <w:sz w:val="24"/>
                <w:szCs w:val="24"/>
                <w:u w:val="single" w:color="000000"/>
                <w14:textFill>
                  <w14:solidFill>
                    <w14:schemeClr w14:val="tx1"/>
                  </w14:solidFill>
                </w14:textFill>
              </w:rPr>
              <w:t>4</w:t>
            </w:r>
            <w:r>
              <w:rPr>
                <w:rFonts w:ascii="宋体" w:hAnsi="宋体" w:eastAsia="宋体" w:cs="Times New Roman"/>
                <w:bCs/>
                <w:color w:val="000000" w:themeColor="text1"/>
                <w:sz w:val="24"/>
                <w:szCs w:val="24"/>
                <w:u w:val="single" w:color="000000"/>
                <w14:textFill>
                  <w14:solidFill>
                    <w14:schemeClr w14:val="tx1"/>
                  </w14:solidFill>
                </w14:textFill>
              </w:rPr>
              <w:t>0</w:t>
            </w:r>
            <w:r>
              <w:rPr>
                <w:rFonts w:ascii="宋体" w:hAnsi="宋体" w:eastAsia="宋体" w:cs="宋体"/>
                <w:bCs/>
                <w:color w:val="000000" w:themeColor="text1"/>
                <w:sz w:val="24"/>
                <w:szCs w:val="24"/>
                <w14:textFill>
                  <w14:solidFill>
                    <w14:schemeClr w14:val="tx1"/>
                  </w14:solidFill>
                </w14:textFill>
              </w:rPr>
              <w:t>分</w:t>
            </w:r>
          </w:p>
        </w:tc>
      </w:tr>
      <w:tr>
        <w:tblPrEx>
          <w:tblCellMar>
            <w:top w:w="35" w:type="dxa"/>
            <w:left w:w="108" w:type="dxa"/>
            <w:bottom w:w="48" w:type="dxa"/>
            <w:right w:w="89" w:type="dxa"/>
          </w:tblCellMar>
        </w:tblPrEx>
        <w:trPr>
          <w:trHeight w:val="365" w:hRule="atLeast"/>
        </w:trPr>
        <w:tc>
          <w:tcPr>
            <w:tcW w:w="107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2.2.2</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评标基准价计算方法</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详见</w:t>
            </w:r>
            <w:r>
              <w:rPr>
                <w:rFonts w:ascii="宋体" w:hAnsi="宋体" w:eastAsia="宋体" w:cs="宋体"/>
                <w:bCs/>
                <w:color w:val="000000" w:themeColor="text1"/>
                <w:sz w:val="24"/>
                <w:szCs w:val="24"/>
                <w14:textFill>
                  <w14:solidFill>
                    <w14:schemeClr w14:val="tx1"/>
                  </w14:solidFill>
                </w14:textFill>
              </w:rPr>
              <w:t>2.2.4</w:t>
            </w:r>
            <w:r>
              <w:rPr>
                <w:rFonts w:hint="eastAsia" w:ascii="宋体" w:hAnsi="宋体" w:eastAsia="宋体" w:cs="宋体"/>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3</w:t>
            </w:r>
            <w:r>
              <w:rPr>
                <w:rFonts w:hint="eastAsia" w:ascii="宋体" w:hAnsi="宋体" w:eastAsia="宋体" w:cs="宋体"/>
                <w:bCs/>
                <w:color w:val="000000" w:themeColor="text1"/>
                <w:sz w:val="24"/>
                <w:szCs w:val="24"/>
                <w14:textFill>
                  <w14:solidFill>
                    <w14:schemeClr w14:val="tx1"/>
                  </w14:solidFill>
                </w14:textFill>
              </w:rPr>
              <w:t>）</w:t>
            </w:r>
          </w:p>
        </w:tc>
      </w:tr>
      <w:tr>
        <w:tblPrEx>
          <w:tblCellMar>
            <w:top w:w="35" w:type="dxa"/>
            <w:left w:w="108" w:type="dxa"/>
            <w:bottom w:w="48" w:type="dxa"/>
            <w:right w:w="89" w:type="dxa"/>
          </w:tblCellMar>
        </w:tblPrEx>
        <w:trPr>
          <w:trHeight w:val="365" w:hRule="atLeast"/>
        </w:trPr>
        <w:tc>
          <w:tcPr>
            <w:tcW w:w="107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2.2.3</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161"/>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投标报价的偏差率计算公式</w:t>
            </w:r>
          </w:p>
        </w:tc>
        <w:tc>
          <w:tcPr>
            <w:tcW w:w="2930" w:type="pct"/>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240" w:lineRule="auto"/>
              <w:jc w:val="both"/>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详见</w:t>
            </w:r>
            <w:r>
              <w:rPr>
                <w:rFonts w:ascii="宋体" w:hAnsi="宋体" w:eastAsia="宋体" w:cs="Times New Roman"/>
                <w:bCs/>
                <w:color w:val="000000" w:themeColor="text1"/>
                <w:sz w:val="24"/>
                <w:szCs w:val="24"/>
                <w14:textFill>
                  <w14:solidFill>
                    <w14:schemeClr w14:val="tx1"/>
                  </w14:solidFill>
                </w14:textFill>
              </w:rPr>
              <w:t>2.2.4</w:t>
            </w:r>
            <w:r>
              <w:rPr>
                <w:rFonts w:hint="eastAsia" w:ascii="宋体" w:hAnsi="宋体" w:eastAsia="宋体" w:cs="Times New Roman"/>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3</w:t>
            </w:r>
            <w:r>
              <w:rPr>
                <w:rFonts w:hint="eastAsia" w:ascii="宋体" w:hAnsi="宋体" w:eastAsia="宋体" w:cs="Times New Roman"/>
                <w:bCs/>
                <w:color w:val="000000" w:themeColor="text1"/>
                <w:sz w:val="24"/>
                <w:szCs w:val="24"/>
                <w14:textFill>
                  <w14:solidFill>
                    <w14:schemeClr w14:val="tx1"/>
                  </w14:solidFill>
                </w14:textFill>
              </w:rPr>
              <w:t>）</w:t>
            </w:r>
          </w:p>
        </w:tc>
      </w:tr>
      <w:tr>
        <w:tblPrEx>
          <w:tblCellMar>
            <w:top w:w="35" w:type="dxa"/>
            <w:left w:w="108" w:type="dxa"/>
            <w:bottom w:w="48" w:type="dxa"/>
            <w:right w:w="89" w:type="dxa"/>
          </w:tblCellMar>
        </w:tblPrEx>
        <w:trPr>
          <w:trHeight w:val="398" w:hRule="atLeast"/>
        </w:trPr>
        <w:tc>
          <w:tcPr>
            <w:tcW w:w="1070" w:type="pct"/>
            <w:gridSpan w:val="3"/>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0"/>
              <w:ind w:left="1"/>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评分因素（偏差率）</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评分标准</w:t>
            </w:r>
          </w:p>
        </w:tc>
      </w:tr>
      <w:tr>
        <w:tblPrEx>
          <w:tblCellMar>
            <w:top w:w="35" w:type="dxa"/>
            <w:left w:w="108" w:type="dxa"/>
            <w:bottom w:w="48" w:type="dxa"/>
            <w:right w:w="89" w:type="dxa"/>
          </w:tblCellMar>
        </w:tblPrEx>
        <w:trPr>
          <w:trHeight w:val="265" w:hRule="atLeast"/>
        </w:trPr>
        <w:tc>
          <w:tcPr>
            <w:tcW w:w="503" w:type="pct"/>
            <w:gridSpan w:val="2"/>
            <w:vMerge w:val="restart"/>
            <w:tcBorders>
              <w:top w:val="single" w:color="auto" w:sz="4" w:space="0"/>
              <w:left w:val="single" w:color="auto" w:sz="4" w:space="0"/>
              <w:bottom w:val="single" w:color="auto" w:sz="4" w:space="0"/>
              <w:right w:val="single" w:color="auto" w:sz="4" w:space="0"/>
            </w:tcBorders>
            <w:vAlign w:val="center"/>
          </w:tcPr>
          <w:p>
            <w:pPr>
              <w:spacing w:after="180"/>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1</w:t>
            </w:r>
            <w:r>
              <w:rPr>
                <w:rFonts w:ascii="宋体" w:hAnsi="宋体" w:eastAsia="宋体" w:cs="宋体"/>
                <w:bCs/>
                <w:color w:val="000000" w:themeColor="text1"/>
                <w:sz w:val="24"/>
                <w:szCs w:val="24"/>
                <w14:textFill>
                  <w14:solidFill>
                    <w14:schemeClr w14:val="tx1"/>
                  </w14:solidFill>
                </w14:textFill>
              </w:rPr>
              <w:t>）</w:t>
            </w:r>
          </w:p>
        </w:tc>
        <w:tc>
          <w:tcPr>
            <w:tcW w:w="567" w:type="pct"/>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商务评分标准</w:t>
            </w: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line="276" w:lineRule="auto"/>
              <w:jc w:val="center"/>
              <w:rPr>
                <w:rFonts w:hint="eastAsia" w:cs="仿宋_GB2312"/>
                <w:kern w:val="2"/>
                <w:sz w:val="24"/>
                <w:szCs w:val="24"/>
                <w:lang w:eastAsia="zh-CN" w:bidi="ar"/>
              </w:rPr>
            </w:pPr>
            <w:r>
              <w:rPr>
                <w:rFonts w:hint="eastAsia" w:cs="仿宋_GB2312"/>
                <w:kern w:val="2"/>
                <w:sz w:val="24"/>
                <w:szCs w:val="24"/>
                <w:lang w:eastAsia="zh-CN" w:bidi="ar"/>
              </w:rPr>
              <w:t>资质</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（2分）</w:t>
            </w:r>
          </w:p>
        </w:tc>
        <w:tc>
          <w:tcPr>
            <w:tcW w:w="2930" w:type="pct"/>
            <w:tcBorders>
              <w:top w:val="single" w:color="auto" w:sz="4" w:space="0"/>
              <w:left w:val="single" w:color="auto" w:sz="4" w:space="0"/>
              <w:bottom w:val="single" w:color="auto" w:sz="4" w:space="0"/>
              <w:right w:val="single" w:color="auto" w:sz="4" w:space="0"/>
            </w:tcBorders>
            <w:vAlign w:val="center"/>
          </w:tcPr>
          <w:p>
            <w:pPr>
              <w:pStyle w:val="46"/>
              <w:tabs>
                <w:tab w:val="left" w:pos="312"/>
              </w:tabs>
              <w:spacing w:line="276" w:lineRule="auto"/>
              <w:rPr>
                <w:rFonts w:hint="eastAsia" w:cs="仿宋_GB2312"/>
                <w:kern w:val="2"/>
                <w:sz w:val="24"/>
                <w:szCs w:val="24"/>
                <w:lang w:eastAsia="zh-CN" w:bidi="ar"/>
              </w:rPr>
            </w:pPr>
            <w:r>
              <w:rPr>
                <w:rFonts w:hint="eastAsia" w:cs="仿宋_GB2312"/>
                <w:kern w:val="2"/>
                <w:sz w:val="24"/>
                <w:szCs w:val="24"/>
                <w:lang w:eastAsia="zh-CN" w:bidi="ar"/>
              </w:rPr>
              <w:t>具备有效的ISO9001质量管理体系、ISO14001环境管理、ISO45001职业健康、ISO27001信息安全管理认证，每个得0.5分，最高2分。</w:t>
            </w:r>
          </w:p>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注：提供有效期内证书复印件加盖投标人公章。</w:t>
            </w:r>
          </w:p>
        </w:tc>
      </w:tr>
      <w:tr>
        <w:tblPrEx>
          <w:tblCellMar>
            <w:top w:w="35" w:type="dxa"/>
            <w:left w:w="108" w:type="dxa"/>
            <w:bottom w:w="48" w:type="dxa"/>
            <w:right w:w="89" w:type="dxa"/>
          </w:tblCellMar>
        </w:tblPrEx>
        <w:trPr>
          <w:trHeight w:val="381" w:hRule="atLeast"/>
        </w:trPr>
        <w:tc>
          <w:tcPr>
            <w:tcW w:w="503" w:type="pct"/>
            <w:gridSpan w:val="2"/>
            <w:vMerge w:val="continue"/>
            <w:tcBorders>
              <w:top w:val="single" w:color="auto" w:sz="4" w:space="0"/>
              <w:left w:val="single" w:color="auto" w:sz="4" w:space="0"/>
              <w:bottom w:val="single" w:color="auto" w:sz="4" w:space="0"/>
              <w:right w:val="single" w:color="auto" w:sz="4" w:space="0"/>
            </w:tcBorders>
            <w:vAlign w:val="center"/>
          </w:tcPr>
          <w:p>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line="276" w:lineRule="auto"/>
              <w:jc w:val="center"/>
              <w:rPr>
                <w:rFonts w:hint="eastAsia" w:cs="仿宋_GB2312"/>
                <w:kern w:val="2"/>
                <w:sz w:val="24"/>
                <w:szCs w:val="24"/>
                <w:lang w:eastAsia="zh-CN" w:bidi="ar"/>
              </w:rPr>
            </w:pPr>
            <w:r>
              <w:rPr>
                <w:rFonts w:hint="eastAsia" w:cs="仿宋_GB2312"/>
                <w:kern w:val="2"/>
                <w:sz w:val="24"/>
                <w:szCs w:val="24"/>
                <w:lang w:eastAsia="zh-CN" w:bidi="ar"/>
              </w:rPr>
              <w:t>业绩证明</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（8分）</w:t>
            </w:r>
          </w:p>
        </w:tc>
        <w:tc>
          <w:tcPr>
            <w:tcW w:w="2930" w:type="pct"/>
            <w:tcBorders>
              <w:top w:val="single" w:color="auto" w:sz="4" w:space="0"/>
              <w:left w:val="single" w:color="auto" w:sz="4" w:space="0"/>
              <w:bottom w:val="single" w:color="auto" w:sz="4" w:space="0"/>
              <w:right w:val="single" w:color="auto" w:sz="4" w:space="0"/>
            </w:tcBorders>
            <w:vAlign w:val="center"/>
          </w:tcPr>
          <w:p>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投标人2022年1月1日至今具有类似项目（智能仓储系统（WMS）、自动化立体仓库等）业绩。</w:t>
            </w:r>
          </w:p>
          <w:p>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1.WMS系统每提供一个合同总金额不低于50万的</w:t>
            </w:r>
            <w:bookmarkStart w:id="90" w:name="OLE_LINK1"/>
            <w:r>
              <w:rPr>
                <w:rFonts w:hint="eastAsia" w:cs="仿宋_GB2312"/>
                <w:kern w:val="2"/>
                <w:sz w:val="24"/>
                <w:szCs w:val="24"/>
                <w:lang w:eastAsia="zh-CN" w:bidi="ar"/>
              </w:rPr>
              <w:t>在建项目得0.5分、已验收项目得1分，</w:t>
            </w:r>
            <w:bookmarkEnd w:id="90"/>
            <w:r>
              <w:rPr>
                <w:rFonts w:hint="eastAsia" w:cs="仿宋_GB2312"/>
                <w:kern w:val="2"/>
                <w:sz w:val="24"/>
                <w:szCs w:val="24"/>
                <w:lang w:eastAsia="zh-CN" w:bidi="ar"/>
              </w:rPr>
              <w:t>最高得3分。</w:t>
            </w:r>
          </w:p>
          <w:p>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2.自动化立体仓库等每提供一个合同总金额不低于700万的在建项目得0.5分、已验收项目得1分，最高得5分。</w:t>
            </w:r>
          </w:p>
          <w:p>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3.未提供不得分。</w:t>
            </w:r>
          </w:p>
          <w:p>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以上业绩需同时提供供货合同（包括合同首页、合同详细标的页（项目内容）、金额页、双方签字盖章页）、验收报告复印件（同一工程不重复计分）等证明材料。合同需能体现类似业绩相关内容，不能体现的还应提供技术文件或项目清单等其他证明材料。投标人资质要求业绩可作为本项打分业绩，</w:t>
            </w:r>
            <w:r>
              <w:rPr>
                <w:rFonts w:hint="eastAsia" w:cs="仿宋_GB2312"/>
                <w:sz w:val="24"/>
                <w:szCs w:val="24"/>
                <w:lang w:eastAsia="zh-CN" w:bidi="ar"/>
              </w:rPr>
              <w:t>业绩时间以合同签订时间为准。</w:t>
            </w:r>
            <w:r>
              <w:rPr>
                <w:rFonts w:hint="eastAsia"/>
                <w:bCs/>
                <w:color w:val="000000" w:themeColor="text1"/>
                <w:sz w:val="24"/>
                <w:szCs w:val="24"/>
                <w:lang w:eastAsia="zh-CN"/>
                <w14:textFill>
                  <w14:solidFill>
                    <w14:schemeClr w14:val="tx1"/>
                  </w14:solidFill>
                </w14:textFill>
              </w:rPr>
              <w:t xml:space="preserve"> </w:t>
            </w:r>
          </w:p>
        </w:tc>
      </w:tr>
      <w:tr>
        <w:tblPrEx>
          <w:tblCellMar>
            <w:top w:w="35" w:type="dxa"/>
            <w:left w:w="108" w:type="dxa"/>
            <w:bottom w:w="48" w:type="dxa"/>
            <w:right w:w="89" w:type="dxa"/>
          </w:tblCellMar>
        </w:tblPrEx>
        <w:trPr>
          <w:trHeight w:val="340" w:hRule="atLeast"/>
        </w:trPr>
        <w:tc>
          <w:tcPr>
            <w:tcW w:w="503" w:type="pct"/>
            <w:gridSpan w:val="2"/>
            <w:vMerge w:val="restart"/>
            <w:tcBorders>
              <w:top w:val="single" w:color="auto" w:sz="4" w:space="0"/>
              <w:left w:val="single" w:color="auto" w:sz="4" w:space="0"/>
              <w:right w:val="single" w:color="auto" w:sz="4" w:space="0"/>
            </w:tcBorders>
            <w:vAlign w:val="center"/>
          </w:tcPr>
          <w:p>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2</w:t>
            </w:r>
            <w:r>
              <w:rPr>
                <w:rFonts w:ascii="宋体" w:hAnsi="宋体" w:eastAsia="宋体" w:cs="宋体"/>
                <w:bCs/>
                <w:color w:val="000000" w:themeColor="text1"/>
                <w:sz w:val="24"/>
                <w:szCs w:val="24"/>
                <w14:textFill>
                  <w14:solidFill>
                    <w14:schemeClr w14:val="tx1"/>
                  </w14:solidFill>
                </w14:textFill>
              </w:rPr>
              <w:t>）</w:t>
            </w:r>
          </w:p>
        </w:tc>
        <w:tc>
          <w:tcPr>
            <w:tcW w:w="567" w:type="pct"/>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技术评分标准</w:t>
            </w: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响应程度</w:t>
            </w:r>
          </w:p>
          <w:p>
            <w:pPr>
              <w:adjustRightInd w:val="0"/>
              <w:snapToGrid w:val="0"/>
              <w:spacing w:after="0" w:line="240" w:lineRule="auto"/>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（10分）</w:t>
            </w:r>
          </w:p>
        </w:tc>
        <w:tc>
          <w:tcPr>
            <w:tcW w:w="2930" w:type="pct"/>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技术参数及要求完全满足招标文件规定的技术参数及要求没有负偏离的得10分。</w:t>
            </w:r>
          </w:p>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1.标注“★”的条款为实质性条款，不满足或者负偏离将导致投标被否决。</w:t>
            </w:r>
          </w:p>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2.“▲”项参数为重要参数，每有一项不满足或者负偏离的扣2分，直至扣完为止。</w:t>
            </w:r>
          </w:p>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3.非“▲”“★”项，每有一项不满足或者负偏离的扣1分，直至扣完为止。</w:t>
            </w:r>
          </w:p>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注：</w:t>
            </w:r>
          </w:p>
          <w:p>
            <w:pPr>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①以最低等级编号为一项参数；若无最低等级编号，则以上一级别编号为一项参数，以此类推。</w:t>
            </w:r>
          </w:p>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②技术要求中要求提供证明材料的，投标人提供相关证明材料予以佐证，若未提供证明材料的则视为负偏离。</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ind w:right="57"/>
              <w:jc w:val="center"/>
              <w:rPr>
                <w:rFonts w:hint="eastAsia" w:cs="仿宋_GB2312"/>
                <w:kern w:val="2"/>
                <w:sz w:val="24"/>
                <w:szCs w:val="24"/>
                <w:lang w:eastAsia="zh-CN" w:bidi="ar"/>
              </w:rPr>
            </w:pPr>
            <w:r>
              <w:rPr>
                <w:rFonts w:hint="eastAsia" w:cs="仿宋_GB2312"/>
                <w:kern w:val="2"/>
                <w:sz w:val="24"/>
                <w:szCs w:val="24"/>
                <w:lang w:eastAsia="zh-CN" w:bidi="ar"/>
              </w:rPr>
              <w:t>设计方案</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（12分)</w:t>
            </w:r>
          </w:p>
        </w:tc>
        <w:tc>
          <w:tcPr>
            <w:tcW w:w="2930" w:type="pct"/>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仿宋_GB2312"/>
                <w:sz w:val="24"/>
                <w:szCs w:val="24"/>
                <w:lang w:bidi="ar"/>
              </w:rPr>
            </w:pPr>
            <w:r>
              <w:rPr>
                <w:rFonts w:hint="eastAsia" w:ascii="宋体" w:hAnsi="宋体" w:eastAsia="宋体" w:cs="仿宋_GB2312"/>
                <w:sz w:val="24"/>
                <w:szCs w:val="24"/>
                <w:lang w:bidi="ar"/>
              </w:rPr>
              <w:t>投标方提供关键技术说明或图纸等，根据项目的设计方案（包括方案的自动化程度，出入库符合作业率，人工需求，产品可靠性、安全性、维修性，管理系统定制开发响应能力以及与招标方就现有的系统集成形成的整体物料数字化仓储和物流能力，物料管理及物流主控平台的信息交互方式以及软件模块、系统硬件、数据安全等功能的可靠运行等方面进行综合评审）进行综合评定，优秀得(8,12]分，良好得(4,8]分，一般得(0,4]分,未提供不得分。</w:t>
            </w:r>
          </w:p>
          <w:p>
            <w:pPr>
              <w:spacing w:after="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sz w:val="24"/>
                <w:szCs w:val="24"/>
                <w:lang w:bidi="ar"/>
              </w:rPr>
              <w:t>注：打分步距为0.5分，如12分、11.5分、11分、10.5分……</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设备布局与选型</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（6分）</w:t>
            </w:r>
          </w:p>
        </w:tc>
        <w:tc>
          <w:tcPr>
            <w:tcW w:w="2930" w:type="pct"/>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lang w:bidi="ar"/>
              </w:rPr>
            </w:pPr>
            <w:r>
              <w:rPr>
                <w:rFonts w:hint="eastAsia" w:ascii="宋体" w:hAnsi="宋体" w:eastAsia="宋体" w:cs="仿宋_GB2312"/>
                <w:color w:val="auto"/>
                <w:sz w:val="24"/>
                <w:szCs w:val="24"/>
                <w:lang w:bidi="ar"/>
              </w:rPr>
              <w:t>根据设备</w:t>
            </w:r>
            <w:r>
              <w:rPr>
                <w:rFonts w:hint="eastAsia" w:ascii="宋体" w:hAnsi="宋体" w:eastAsia="宋体" w:cs="仿宋_GB2312"/>
                <w:sz w:val="24"/>
                <w:szCs w:val="24"/>
                <w:lang w:bidi="ar"/>
              </w:rPr>
              <w:t>配置组成详细程度、指标优越性等方面（主要包括但不限于存储系统、搬运系统、拣选系统及管理系统等所需设备布局合理，仓储容量和物流效率完全满足或优于招标文件要求等内容；仓储管理硬件系统、调度控制系统、存储系统、搬运系统、拣选系统及安全防护设备等，根据所选设备的品牌、性能、规格、技术指标及所提供的技术支持资料等</w:t>
            </w:r>
            <w:r>
              <w:rPr>
                <w:rFonts w:hint="eastAsia" w:ascii="宋体" w:hAnsi="宋体" w:eastAsia="宋体" w:cs="宋体"/>
                <w:sz w:val="24"/>
                <w:szCs w:val="24"/>
                <w:lang w:bidi="ar"/>
              </w:rPr>
              <w:t>）进行综合评分：</w:t>
            </w:r>
          </w:p>
          <w:p>
            <w:pPr>
              <w:rPr>
                <w:rFonts w:hint="eastAsia" w:ascii="宋体" w:hAnsi="宋体" w:eastAsia="宋体" w:cs="仿宋_GB2312"/>
                <w:sz w:val="24"/>
                <w:szCs w:val="24"/>
                <w:lang w:bidi="ar"/>
              </w:rPr>
            </w:pPr>
            <w:r>
              <w:rPr>
                <w:rFonts w:hint="eastAsia" w:ascii="宋体" w:hAnsi="宋体" w:eastAsia="宋体" w:cs="宋体"/>
                <w:sz w:val="24"/>
                <w:szCs w:val="24"/>
                <w:lang w:bidi="ar"/>
              </w:rPr>
              <w:t>优</w:t>
            </w:r>
            <w:r>
              <w:rPr>
                <w:rFonts w:hint="eastAsia" w:cs="宋体" w:asciiTheme="minorEastAsia" w:hAnsiTheme="minorEastAsia" w:eastAsiaTheme="minorEastAsia"/>
                <w:sz w:val="24"/>
                <w:szCs w:val="24"/>
                <w:lang w:bidi="ar"/>
              </w:rPr>
              <w:t>秀得（</w:t>
            </w:r>
            <w:r>
              <w:rPr>
                <w:rFonts w:hint="eastAsia" w:cs="仿宋_GB2312" w:asciiTheme="minorEastAsia" w:hAnsiTheme="minorEastAsia" w:eastAsiaTheme="minorEastAsia"/>
                <w:sz w:val="24"/>
                <w:szCs w:val="24"/>
                <w:lang w:bidi="ar"/>
              </w:rPr>
              <w:t>4,6]</w:t>
            </w:r>
            <w:r>
              <w:rPr>
                <w:rFonts w:hint="eastAsia" w:cs="宋体" w:asciiTheme="minorEastAsia" w:hAnsiTheme="minorEastAsia" w:eastAsiaTheme="minorEastAsia"/>
                <w:sz w:val="24"/>
                <w:szCs w:val="24"/>
                <w:lang w:bidi="ar"/>
              </w:rPr>
              <w:t>分，良好得</w:t>
            </w:r>
            <w:r>
              <w:rPr>
                <w:rFonts w:hint="eastAsia" w:cs="仿宋_GB2312" w:asciiTheme="minorEastAsia" w:hAnsiTheme="minorEastAsia" w:eastAsiaTheme="minorEastAsia"/>
                <w:sz w:val="24"/>
                <w:szCs w:val="24"/>
                <w:lang w:bidi="ar"/>
              </w:rPr>
              <w:t>(2,4]</w:t>
            </w:r>
            <w:r>
              <w:rPr>
                <w:rFonts w:hint="eastAsia" w:cs="宋体" w:asciiTheme="minorEastAsia" w:hAnsiTheme="minorEastAsia" w:eastAsiaTheme="minorEastAsia"/>
                <w:sz w:val="24"/>
                <w:szCs w:val="24"/>
                <w:lang w:bidi="ar"/>
              </w:rPr>
              <w:t>分，一般得</w:t>
            </w:r>
            <w:r>
              <w:rPr>
                <w:rFonts w:hint="eastAsia" w:cs="仿宋_GB2312" w:asciiTheme="minorEastAsia" w:hAnsiTheme="minorEastAsia" w:eastAsiaTheme="minorEastAsia"/>
                <w:sz w:val="24"/>
                <w:szCs w:val="24"/>
                <w:lang w:bidi="ar"/>
              </w:rPr>
              <w:t>(0,2]</w:t>
            </w:r>
            <w:r>
              <w:rPr>
                <w:rFonts w:hint="eastAsia" w:cs="宋体" w:asciiTheme="minorEastAsia" w:hAnsiTheme="minorEastAsia" w:eastAsiaTheme="minorEastAsia"/>
                <w:sz w:val="24"/>
                <w:szCs w:val="24"/>
                <w:lang w:bidi="ar"/>
              </w:rPr>
              <w:t>分</w:t>
            </w:r>
            <w:r>
              <w:rPr>
                <w:rFonts w:hint="eastAsia" w:cs="仿宋_GB2312" w:asciiTheme="minorEastAsia" w:hAnsiTheme="minorEastAsia" w:eastAsiaTheme="minorEastAsia"/>
                <w:sz w:val="24"/>
                <w:szCs w:val="24"/>
                <w:lang w:bidi="ar"/>
              </w:rPr>
              <w:t>,</w:t>
            </w:r>
            <w:r>
              <w:rPr>
                <w:rFonts w:hint="eastAsia" w:cs="宋体" w:asciiTheme="minorEastAsia" w:hAnsiTheme="minorEastAsia" w:eastAsiaTheme="minorEastAsia"/>
                <w:sz w:val="24"/>
                <w:szCs w:val="24"/>
                <w:lang w:bidi="ar"/>
              </w:rPr>
              <w:t>未提供不得分。</w:t>
            </w:r>
          </w:p>
          <w:p>
            <w:pPr>
              <w:spacing w:after="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sz w:val="24"/>
                <w:szCs w:val="24"/>
                <w:lang w:bidi="ar"/>
              </w:rPr>
              <w:t>注：打分步距为0.5分，如6分、5.5分、5分、4.5分……</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实施方案</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（6分）</w:t>
            </w:r>
          </w:p>
        </w:tc>
        <w:tc>
          <w:tcPr>
            <w:tcW w:w="2930"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对投标的实施方案，包括安装、调试、验收、质量保证、培训、供货计划等内容进行综合评定：优秀得（4,6]分，良好得(2,4]分，一般得(0,2]分,未提供不得分。</w:t>
            </w:r>
          </w:p>
          <w:p>
            <w:pPr>
              <w:adjustRightInd w:val="0"/>
              <w:snapToGrid w:val="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注：打分步距为0.5分，如6分、5.5分、5分、4.5分、4分、3.5分、3分……</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jc w:val="center"/>
              <w:rPr>
                <w:rFonts w:hint="eastAsia" w:cs="仿宋_GB2312"/>
                <w:kern w:val="2"/>
                <w:sz w:val="24"/>
                <w:szCs w:val="24"/>
                <w:lang w:eastAsia="zh-CN" w:bidi="ar"/>
              </w:rPr>
            </w:pPr>
            <w:r>
              <w:rPr>
                <w:rFonts w:hint="eastAsia" w:cs="仿宋_GB2312"/>
                <w:kern w:val="2"/>
                <w:sz w:val="24"/>
                <w:szCs w:val="24"/>
                <w:lang w:eastAsia="zh-CN" w:bidi="ar"/>
              </w:rPr>
              <w:t>实施团队</w:t>
            </w:r>
          </w:p>
          <w:p>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（6分）</w:t>
            </w:r>
          </w:p>
        </w:tc>
        <w:tc>
          <w:tcPr>
            <w:tcW w:w="2930" w:type="pct"/>
            <w:tcBorders>
              <w:top w:val="single" w:color="auto" w:sz="4" w:space="0"/>
              <w:left w:val="single" w:color="auto" w:sz="4" w:space="0"/>
              <w:bottom w:val="single" w:color="auto" w:sz="4" w:space="0"/>
              <w:right w:val="single" w:color="auto" w:sz="4" w:space="0"/>
            </w:tcBorders>
            <w:vAlign w:val="center"/>
          </w:tcPr>
          <w:p>
            <w:pPr>
              <w:pStyle w:val="8"/>
              <w:rPr>
                <w:rFonts w:hint="eastAsia" w:ascii="宋体" w:hAnsi="宋体" w:eastAsia="宋体"/>
                <w:color w:val="auto"/>
                <w:sz w:val="24"/>
                <w:szCs w:val="24"/>
              </w:rPr>
            </w:pPr>
            <w:r>
              <w:rPr>
                <w:rFonts w:hint="eastAsia" w:ascii="宋体" w:hAnsi="宋体" w:eastAsia="宋体" w:cs="MS Gothic"/>
                <w:color w:val="auto"/>
                <w:kern w:val="0"/>
                <w:sz w:val="24"/>
                <w:szCs w:val="24"/>
              </w:rPr>
              <w:t>1.</w:t>
            </w:r>
            <w:r>
              <w:rPr>
                <w:rFonts w:hint="eastAsia" w:ascii="宋体" w:hAnsi="宋体" w:eastAsia="宋体"/>
                <w:color w:val="auto"/>
                <w:kern w:val="0"/>
                <w:sz w:val="24"/>
                <w:szCs w:val="24"/>
              </w:rPr>
              <w:t>投标人拟派本项目的项目经理：具有5年及以上电子制造行业智能仓储建设项目实施交付经验；主持过单个合同金额≥700万元人民币的电子制造行业</w:t>
            </w:r>
            <w:r>
              <w:rPr>
                <w:rFonts w:hint="eastAsia" w:cs="仿宋_GB2312"/>
                <w:sz w:val="24"/>
                <w:szCs w:val="24"/>
                <w:lang w:bidi="ar"/>
              </w:rPr>
              <w:t>自动化立体仓库</w:t>
            </w:r>
            <w:r>
              <w:rPr>
                <w:rFonts w:hint="eastAsia" w:ascii="宋体" w:hAnsi="宋体" w:eastAsia="宋体" w:cs="宋体"/>
                <w:sz w:val="24"/>
                <w:szCs w:val="24"/>
                <w:lang w:bidi="ar"/>
              </w:rPr>
              <w:t>项目</w:t>
            </w:r>
            <w:r>
              <w:rPr>
                <w:rFonts w:hint="eastAsia" w:ascii="宋体" w:hAnsi="宋体" w:eastAsia="宋体"/>
                <w:color w:val="auto"/>
                <w:kern w:val="0"/>
                <w:sz w:val="24"/>
                <w:szCs w:val="24"/>
              </w:rPr>
              <w:t>，数量不少于 2 个。全部满足得2分，不满足不得分。</w:t>
            </w:r>
          </w:p>
          <w:p>
            <w:pPr>
              <w:rPr>
                <w:rFonts w:hint="eastAsia" w:ascii="宋体" w:hAnsi="宋体" w:eastAsia="宋体"/>
                <w:kern w:val="0"/>
                <w:sz w:val="24"/>
                <w:szCs w:val="24"/>
              </w:rPr>
            </w:pPr>
            <w:r>
              <w:rPr>
                <w:rFonts w:hint="eastAsia" w:ascii="宋体" w:hAnsi="宋体" w:eastAsia="宋体"/>
                <w:color w:val="auto"/>
                <w:kern w:val="0"/>
                <w:sz w:val="24"/>
                <w:szCs w:val="24"/>
              </w:rPr>
              <w:t>2.拟派本项目实施顾问（常驻人员）要求：</w:t>
            </w:r>
          </w:p>
          <w:p>
            <w:pPr>
              <w:rPr>
                <w:rFonts w:hint="eastAsia" w:ascii="宋体" w:hAnsi="宋体" w:eastAsia="宋体"/>
                <w:sz w:val="24"/>
                <w:szCs w:val="24"/>
              </w:rPr>
            </w:pPr>
            <w:r>
              <w:rPr>
                <w:rFonts w:hint="eastAsia" w:ascii="宋体" w:hAnsi="宋体" w:eastAsia="宋体"/>
                <w:color w:val="auto"/>
                <w:kern w:val="0"/>
                <w:sz w:val="24"/>
                <w:szCs w:val="24"/>
              </w:rPr>
              <w:t>2.1顾问1：</w:t>
            </w:r>
            <w:r>
              <w:rPr>
                <w:rFonts w:hint="eastAsia" w:ascii="宋体" w:hAnsi="宋体" w:eastAsia="宋体"/>
                <w:color w:val="auto"/>
                <w:sz w:val="24"/>
                <w:szCs w:val="24"/>
              </w:rPr>
              <w:t>具有5年及以上电子制造行业智能仓储建设项目实施交付经验；曾作为主要成员参与</w:t>
            </w:r>
            <w:r>
              <w:rPr>
                <w:rFonts w:hint="eastAsia" w:ascii="宋体" w:hAnsi="宋体" w:eastAsia="宋体"/>
                <w:color w:val="auto"/>
                <w:kern w:val="0"/>
                <w:sz w:val="24"/>
                <w:szCs w:val="24"/>
              </w:rPr>
              <w:t>合同金额不小于</w:t>
            </w:r>
            <w:r>
              <w:rPr>
                <w:rFonts w:hint="eastAsia" w:ascii="宋体" w:hAnsi="宋体" w:eastAsia="宋体"/>
                <w:color w:val="auto"/>
                <w:sz w:val="24"/>
                <w:szCs w:val="24"/>
              </w:rPr>
              <w:t>700万电子制造行业智能仓储建设项目，数量不少于2个。全部满足得2分，不满足不得分。</w:t>
            </w:r>
          </w:p>
          <w:p>
            <w:pPr>
              <w:rPr>
                <w:rFonts w:hint="eastAsia" w:ascii="宋体" w:hAnsi="宋体" w:eastAsia="宋体"/>
                <w:sz w:val="24"/>
                <w:szCs w:val="24"/>
              </w:rPr>
            </w:pPr>
            <w:r>
              <w:rPr>
                <w:rFonts w:hint="eastAsia" w:ascii="宋体" w:hAnsi="宋体" w:eastAsia="宋体"/>
                <w:color w:val="auto"/>
                <w:sz w:val="24"/>
                <w:szCs w:val="24"/>
              </w:rPr>
              <w:t>2.2 顾问2：</w:t>
            </w:r>
            <w:r>
              <w:rPr>
                <w:rFonts w:hint="eastAsia" w:ascii="宋体" w:hAnsi="宋体" w:eastAsia="宋体"/>
                <w:color w:val="auto"/>
                <w:kern w:val="0"/>
                <w:sz w:val="24"/>
                <w:szCs w:val="24"/>
              </w:rPr>
              <w:t>具有3年及以上WMS系统项目实施交付经验；主持过单个合同金额不小于50万元人民币的WMS系统实施项目，数量不少于 2 个。全部满足得2分，不满足不得分</w:t>
            </w:r>
            <w:r>
              <w:rPr>
                <w:rFonts w:hint="eastAsia" w:ascii="宋体" w:hAnsi="宋体" w:eastAsia="宋体"/>
                <w:color w:val="auto"/>
                <w:sz w:val="24"/>
                <w:szCs w:val="24"/>
              </w:rPr>
              <w:t>。</w:t>
            </w:r>
          </w:p>
          <w:p>
            <w:pPr>
              <w:rPr>
                <w:rFonts w:hint="eastAsia" w:ascii="宋体" w:hAnsi="宋体" w:eastAsia="宋体"/>
                <w:kern w:val="0"/>
                <w:sz w:val="24"/>
                <w:szCs w:val="24"/>
              </w:rPr>
            </w:pPr>
            <w:r>
              <w:rPr>
                <w:rFonts w:hint="eastAsia" w:ascii="宋体" w:hAnsi="宋体" w:eastAsia="宋体" w:cs="MS Gothic"/>
                <w:color w:val="auto"/>
                <w:kern w:val="0"/>
                <w:sz w:val="24"/>
                <w:szCs w:val="24"/>
              </w:rPr>
              <w:t>注：</w:t>
            </w:r>
          </w:p>
          <w:p>
            <w:pPr>
              <w:rPr>
                <w:rFonts w:hint="eastAsia" w:ascii="宋体" w:hAnsi="宋体" w:eastAsia="宋体"/>
                <w:kern w:val="0"/>
                <w:sz w:val="24"/>
                <w:szCs w:val="24"/>
              </w:rPr>
            </w:pPr>
            <w:r>
              <w:rPr>
                <w:rFonts w:hint="eastAsia" w:ascii="宋体" w:hAnsi="宋体" w:eastAsia="宋体"/>
                <w:color w:val="auto"/>
                <w:kern w:val="0"/>
                <w:sz w:val="24"/>
                <w:szCs w:val="24"/>
              </w:rPr>
              <w:t>1）以上人员不重复计分。</w:t>
            </w:r>
          </w:p>
          <w:p>
            <w:pPr>
              <w:adjustRightInd w:val="0"/>
              <w:snapToGrid w:val="0"/>
              <w:rPr>
                <w:rFonts w:hint="eastAsia" w:ascii="宋体" w:hAnsi="宋体" w:eastAsia="宋体" w:cs="仿宋_GB2312"/>
                <w:color w:val="auto"/>
                <w:kern w:val="0"/>
                <w:sz w:val="24"/>
                <w:szCs w:val="24"/>
                <w:lang w:bidi="ar"/>
              </w:rPr>
            </w:pPr>
            <w:r>
              <w:rPr>
                <w:rFonts w:hint="eastAsia" w:ascii="宋体" w:hAnsi="宋体" w:eastAsia="宋体" w:cs="仿宋_GB2312"/>
                <w:color w:val="auto"/>
                <w:kern w:val="0"/>
                <w:sz w:val="24"/>
                <w:szCs w:val="24"/>
                <w:lang w:bidi="ar"/>
              </w:rPr>
              <w:t>2）以上要求的人员须提供</w:t>
            </w:r>
            <w:r>
              <w:rPr>
                <w:rFonts w:hint="eastAsia" w:ascii="宋体" w:hAnsi="宋体" w:eastAsia="宋体"/>
                <w:color w:val="auto"/>
                <w:kern w:val="0"/>
                <w:sz w:val="24"/>
                <w:szCs w:val="24"/>
              </w:rPr>
              <w:t>简历、合同案例和验收证明；提供不完整或无法证明的不得分。</w:t>
            </w:r>
            <w:r>
              <w:rPr>
                <w:rFonts w:hint="eastAsia" w:ascii="宋体" w:hAnsi="宋体" w:eastAsia="宋体" w:cs="仿宋_GB2312"/>
                <w:color w:val="auto"/>
                <w:kern w:val="0"/>
                <w:sz w:val="24"/>
                <w:szCs w:val="24"/>
                <w:lang w:bidi="ar"/>
              </w:rPr>
              <w:br w:type="textWrapping"/>
            </w:r>
            <w:r>
              <w:rPr>
                <w:rFonts w:hint="eastAsia" w:ascii="宋体" w:hAnsi="宋体" w:eastAsia="宋体" w:cs="仿宋_GB2312"/>
                <w:color w:val="auto"/>
                <w:kern w:val="0"/>
                <w:sz w:val="24"/>
                <w:szCs w:val="24"/>
                <w:lang w:bidi="ar"/>
              </w:rPr>
              <w:t>3）以上人员需提供投标人为其购买的近1年内连续6个月社保证明。</w:t>
            </w:r>
          </w:p>
          <w:p>
            <w:pPr>
              <w:adjustRightInd w:val="0"/>
              <w:snapToGrid w:val="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4）以上成员不得更换，如需更换必须经过招标人同意。</w:t>
            </w:r>
            <w:r>
              <w:rPr>
                <w:rFonts w:hint="eastAsia" w:ascii="宋体" w:hAnsi="宋体" w:eastAsia="宋体" w:cs="宋体"/>
                <w:b/>
                <w:color w:val="000000" w:themeColor="text1"/>
                <w:sz w:val="24"/>
                <w:szCs w:val="24"/>
                <w14:textFill>
                  <w14:solidFill>
                    <w14:schemeClr w14:val="tx1"/>
                  </w14:solidFill>
                </w14:textFill>
              </w:rPr>
              <w:t>（出具承诺函）</w:t>
            </w:r>
            <w:r>
              <w:rPr>
                <w:rFonts w:hint="eastAsia" w:ascii="宋体" w:hAnsi="宋体" w:eastAsia="宋体" w:cs="宋体"/>
                <w:bCs/>
                <w:color w:val="000000" w:themeColor="text1"/>
                <w:sz w:val="24"/>
                <w:szCs w:val="24"/>
                <w14:textFill>
                  <w14:solidFill>
                    <w14:schemeClr w14:val="tx1"/>
                  </w14:solidFill>
                </w14:textFill>
              </w:rPr>
              <w:t>。</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jc w:val="center"/>
              <w:rPr>
                <w:rFonts w:hint="eastAsia" w:cs="仿宋_GB2312"/>
                <w:kern w:val="2"/>
                <w:sz w:val="24"/>
                <w:szCs w:val="24"/>
                <w:lang w:eastAsia="zh-CN" w:bidi="ar"/>
              </w:rPr>
            </w:pPr>
            <w:r>
              <w:rPr>
                <w:rFonts w:hint="eastAsia" w:cs="仿宋_GB2312"/>
                <w:kern w:val="2"/>
                <w:sz w:val="24"/>
                <w:szCs w:val="24"/>
                <w:lang w:eastAsia="zh-CN" w:bidi="ar"/>
              </w:rPr>
              <w:t>述标演示</w:t>
            </w:r>
          </w:p>
          <w:p>
            <w:pPr>
              <w:pStyle w:val="46"/>
              <w:jc w:val="center"/>
              <w:rPr>
                <w:rFonts w:hint="eastAsia" w:cs="仿宋_GB2312"/>
                <w:kern w:val="2"/>
                <w:sz w:val="24"/>
                <w:szCs w:val="24"/>
                <w:lang w:eastAsia="zh-CN" w:bidi="ar"/>
              </w:rPr>
            </w:pPr>
            <w:r>
              <w:rPr>
                <w:rFonts w:hint="eastAsia" w:cs="仿宋_GB2312"/>
                <w:kern w:val="2"/>
                <w:sz w:val="24"/>
                <w:szCs w:val="24"/>
                <w:lang w:eastAsia="zh-CN" w:bidi="ar"/>
              </w:rPr>
              <w:t>（4分）</w:t>
            </w:r>
          </w:p>
        </w:tc>
        <w:tc>
          <w:tcPr>
            <w:tcW w:w="2930" w:type="pct"/>
            <w:tcBorders>
              <w:top w:val="single" w:color="auto" w:sz="4" w:space="0"/>
              <w:left w:val="single" w:color="auto" w:sz="4" w:space="0"/>
              <w:bottom w:val="single" w:color="auto" w:sz="4" w:space="0"/>
              <w:right w:val="single" w:color="auto" w:sz="4" w:space="0"/>
            </w:tcBorders>
            <w:vAlign w:val="center"/>
          </w:tcPr>
          <w:p>
            <w:pPr>
              <w:pStyle w:val="46"/>
              <w:jc w:val="both"/>
              <w:rPr>
                <w:rFonts w:hint="eastAsia" w:cs="仿宋_GB2312"/>
                <w:kern w:val="2"/>
                <w:sz w:val="24"/>
                <w:szCs w:val="24"/>
                <w:lang w:eastAsia="zh-CN" w:bidi="ar"/>
              </w:rPr>
            </w:pPr>
            <w:r>
              <w:rPr>
                <w:rFonts w:hint="eastAsia" w:cs="仿宋_GB2312"/>
                <w:kern w:val="2"/>
                <w:sz w:val="24"/>
                <w:szCs w:val="24"/>
                <w:lang w:eastAsia="zh-CN" w:bidi="ar"/>
              </w:rPr>
              <w:t>投标人应依据项目建设要求进行布局演示，讲解方案总体思路、设计亮点、实施方案等内容。</w:t>
            </w:r>
            <w:r>
              <w:rPr>
                <w:rFonts w:hint="eastAsia" w:cs="仿宋_GB2312"/>
                <w:kern w:val="2"/>
                <w:sz w:val="24"/>
                <w:szCs w:val="24"/>
                <w:lang w:eastAsia="zh-CN" w:bidi="ar"/>
              </w:rPr>
              <w:br w:type="textWrapping"/>
            </w:r>
            <w:r>
              <w:rPr>
                <w:rFonts w:hint="eastAsia" w:cs="仿宋_GB2312"/>
                <w:kern w:val="2"/>
                <w:sz w:val="24"/>
                <w:szCs w:val="24"/>
                <w:lang w:eastAsia="zh-CN" w:bidi="ar"/>
              </w:rPr>
              <w:t>讲标逻辑性强，述标内容全面，方案思路清晰，充分体现业务能力和经验。根据述标优劣进行评分：优秀得（3,4]分，良好得(2,3]分，一般得(0,2]分,未提供不得分。</w:t>
            </w:r>
          </w:p>
          <w:p>
            <w:pPr>
              <w:pStyle w:val="8"/>
              <w:rPr>
                <w:rFonts w:hint="eastAsia" w:ascii="宋体" w:hAnsi="宋体" w:eastAsia="宋体" w:cs="MS Gothic"/>
                <w:color w:val="auto"/>
                <w:kern w:val="0"/>
                <w:sz w:val="24"/>
                <w:szCs w:val="24"/>
              </w:rPr>
            </w:pPr>
            <w:r>
              <w:rPr>
                <w:rFonts w:hint="eastAsia" w:ascii="宋体" w:hAnsi="宋体" w:eastAsia="宋体" w:cs="仿宋_GB2312"/>
                <w:sz w:val="24"/>
                <w:szCs w:val="24"/>
                <w:lang w:bidi="ar"/>
              </w:rPr>
              <w:t>注：打分步距为0.5分，如4分、3.5分、3分、2.5分……</w:t>
            </w:r>
          </w:p>
        </w:tc>
      </w:tr>
      <w:tr>
        <w:tblPrEx>
          <w:tblCellMar>
            <w:top w:w="35" w:type="dxa"/>
            <w:left w:w="108" w:type="dxa"/>
            <w:bottom w:w="48" w:type="dxa"/>
            <w:right w:w="89" w:type="dxa"/>
          </w:tblCellMar>
        </w:tblPrEx>
        <w:trPr>
          <w:trHeight w:val="740" w:hRule="atLeast"/>
        </w:trPr>
        <w:tc>
          <w:tcPr>
            <w:tcW w:w="503" w:type="pct"/>
            <w:gridSpan w:val="2"/>
            <w:vMerge w:val="continue"/>
            <w:tcBorders>
              <w:left w:val="single" w:color="auto" w:sz="4" w:space="0"/>
              <w:bottom w:val="single" w:color="auto" w:sz="4" w:space="0"/>
              <w:right w:val="single" w:color="auto" w:sz="4" w:space="0"/>
            </w:tcBorders>
            <w:vAlign w:val="center"/>
          </w:tcPr>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质保及维保服务</w:t>
            </w:r>
          </w:p>
          <w:p>
            <w:pPr>
              <w:pStyle w:val="46"/>
              <w:jc w:val="center"/>
              <w:rPr>
                <w:rFonts w:hint="eastAsia" w:cs="仿宋_GB2312"/>
                <w:kern w:val="2"/>
                <w:sz w:val="24"/>
                <w:szCs w:val="24"/>
                <w:lang w:eastAsia="zh-CN" w:bidi="ar"/>
              </w:rPr>
            </w:pPr>
            <w:r>
              <w:rPr>
                <w:rFonts w:hint="eastAsia" w:cs="仿宋_GB2312"/>
                <w:kern w:val="2"/>
                <w:sz w:val="24"/>
                <w:szCs w:val="24"/>
                <w:lang w:eastAsia="zh-CN" w:bidi="ar"/>
              </w:rPr>
              <w:t>（6分）</w:t>
            </w:r>
          </w:p>
        </w:tc>
        <w:tc>
          <w:tcPr>
            <w:tcW w:w="2930" w:type="pct"/>
            <w:tcBorders>
              <w:top w:val="single" w:color="auto" w:sz="4" w:space="0"/>
              <w:left w:val="single" w:color="auto" w:sz="4" w:space="0"/>
              <w:bottom w:val="single" w:color="auto" w:sz="4" w:space="0"/>
              <w:right w:val="single" w:color="auto" w:sz="4" w:space="0"/>
            </w:tcBorders>
            <w:vAlign w:val="center"/>
          </w:tcPr>
          <w:p>
            <w:pPr>
              <w:adjustRightInd w:val="0"/>
              <w:snapToGrid w:val="0"/>
              <w:textAlignment w:val="baseline"/>
              <w:rPr>
                <w:rFonts w:hint="eastAsia" w:ascii="宋体" w:hAnsi="宋体" w:eastAsia="宋体" w:cs="仿宋_GB2312"/>
                <w:color w:val="auto"/>
                <w:sz w:val="24"/>
                <w:szCs w:val="24"/>
                <w:lang w:bidi="ar"/>
              </w:rPr>
            </w:pPr>
            <w:r>
              <w:rPr>
                <w:rFonts w:hint="eastAsia" w:ascii="宋体" w:hAnsi="宋体" w:eastAsia="宋体" w:cs="仿宋_GB2312"/>
                <w:color w:val="auto"/>
                <w:sz w:val="24"/>
                <w:szCs w:val="24"/>
                <w:lang w:bidi="ar"/>
              </w:rPr>
              <w:t>1.质保期仅满足招标文件要求不得分；智能仓储系统（</w:t>
            </w:r>
            <w:r>
              <w:rPr>
                <w:rFonts w:ascii="宋体" w:hAnsi="宋体" w:eastAsia="宋体" w:cs="仿宋_GB2312"/>
                <w:color w:val="auto"/>
                <w:sz w:val="24"/>
                <w:szCs w:val="24"/>
                <w:lang w:bidi="ar"/>
              </w:rPr>
              <w:t>WMS</w:t>
            </w:r>
            <w:r>
              <w:rPr>
                <w:rFonts w:hint="eastAsia" w:ascii="宋体" w:hAnsi="宋体" w:eastAsia="宋体" w:cs="仿宋_GB2312"/>
                <w:color w:val="auto"/>
                <w:sz w:val="24"/>
                <w:szCs w:val="24"/>
                <w:lang w:bidi="ar"/>
              </w:rPr>
              <w:t>）每增加1年加0.5分，最高加1分；自动化立体仓库每增加1年加1分，最高加3分。</w:t>
            </w:r>
          </w:p>
          <w:p>
            <w:pPr>
              <w:widowControl w:val="0"/>
              <w:tabs>
                <w:tab w:val="left" w:pos="312"/>
              </w:tabs>
              <w:adjustRightInd w:val="0"/>
              <w:snapToGrid w:val="0"/>
              <w:spacing w:after="0" w:line="240" w:lineRule="auto"/>
              <w:jc w:val="both"/>
              <w:textAlignment w:val="baseline"/>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2.投标人提供清晰明确的维保方案（包括但不限于维保计划、维保设备清单及费用）进行综合评定，择优得0-2分。</w:t>
            </w:r>
          </w:p>
          <w:p>
            <w:pPr>
              <w:pStyle w:val="8"/>
              <w:rPr>
                <w:rFonts w:hint="eastAsia" w:ascii="宋体" w:hAnsi="宋体" w:eastAsia="宋体" w:cs="MS Gothic"/>
                <w:color w:val="auto"/>
                <w:kern w:val="0"/>
                <w:sz w:val="24"/>
                <w:szCs w:val="24"/>
              </w:rPr>
            </w:pPr>
            <w:r>
              <w:rPr>
                <w:rFonts w:hint="eastAsia" w:ascii="宋体" w:hAnsi="宋体" w:eastAsia="宋体" w:cs="仿宋_GB2312"/>
                <w:color w:val="auto"/>
                <w:sz w:val="24"/>
                <w:szCs w:val="24"/>
                <w:lang w:bidi="ar"/>
              </w:rPr>
              <w:t>注：打分步距为0.5分，如2分、1.5分、1分、0.5分、0分</w:t>
            </w:r>
          </w:p>
        </w:tc>
      </w:tr>
      <w:tr>
        <w:tblPrEx>
          <w:tblCellMar>
            <w:top w:w="35" w:type="dxa"/>
            <w:left w:w="108" w:type="dxa"/>
            <w:bottom w:w="48" w:type="dxa"/>
            <w:right w:w="89" w:type="dxa"/>
          </w:tblCellMar>
        </w:tblPrEx>
        <w:trPr>
          <w:trHeight w:val="1062" w:hRule="atLeast"/>
        </w:trPr>
        <w:tc>
          <w:tcPr>
            <w:tcW w:w="503" w:type="pct"/>
            <w:gridSpan w:val="2"/>
            <w:tcBorders>
              <w:top w:val="single" w:color="auto" w:sz="4" w:space="0"/>
              <w:left w:val="single" w:color="auto" w:sz="4" w:space="0"/>
              <w:bottom w:val="single" w:color="auto" w:sz="4" w:space="0"/>
              <w:right w:val="single" w:color="auto" w:sz="4" w:space="0"/>
            </w:tcBorders>
            <w:vAlign w:val="center"/>
          </w:tcPr>
          <w:p>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3</w:t>
            </w:r>
            <w:r>
              <w:rPr>
                <w:rFonts w:ascii="宋体" w:hAnsi="宋体" w:eastAsia="宋体" w:cs="宋体"/>
                <w:bCs/>
                <w:color w:val="000000" w:themeColor="text1"/>
                <w:sz w:val="24"/>
                <w:szCs w:val="24"/>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投标报价评分标准</w:t>
            </w:r>
          </w:p>
        </w:tc>
        <w:tc>
          <w:tcPr>
            <w:tcW w:w="1000" w:type="pct"/>
            <w:tcBorders>
              <w:top w:val="single" w:color="auto" w:sz="4" w:space="0"/>
              <w:left w:val="single" w:color="auto" w:sz="4" w:space="0"/>
              <w:bottom w:val="single" w:color="auto" w:sz="4" w:space="0"/>
              <w:right w:val="single" w:color="auto" w:sz="4" w:space="0"/>
            </w:tcBorders>
            <w:vAlign w:val="center"/>
          </w:tcPr>
          <w:p>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价格</w:t>
            </w:r>
          </w:p>
          <w:p>
            <w:pPr>
              <w:spacing w:after="161"/>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（40分）</w:t>
            </w:r>
          </w:p>
        </w:tc>
        <w:tc>
          <w:tcPr>
            <w:tcW w:w="2930"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宋体" w:hAnsi="宋体" w:eastAsia="宋体" w:cs="仿宋_GB2312"/>
                <w:color w:val="auto"/>
                <w:sz w:val="24"/>
                <w:szCs w:val="24"/>
                <w:lang w:bidi="ar"/>
              </w:rPr>
            </w:pPr>
            <w:r>
              <w:rPr>
                <w:rFonts w:hint="eastAsia" w:ascii="宋体" w:hAnsi="宋体" w:eastAsia="宋体" w:cs="仿宋_GB2312"/>
                <w:color w:val="auto"/>
                <w:sz w:val="24"/>
                <w:szCs w:val="24"/>
                <w:lang w:bidi="ar"/>
              </w:rPr>
              <w:t>1.基准价=有效投标人有效报价的平均值；</w:t>
            </w:r>
          </w:p>
          <w:p>
            <w:pPr>
              <w:spacing w:line="276" w:lineRule="auto"/>
              <w:ind w:firstLine="240" w:firstLineChars="100"/>
              <w:rPr>
                <w:rFonts w:hint="eastAsia" w:ascii="宋体" w:hAnsi="宋体" w:eastAsia="宋体" w:cs="仿宋_GB2312"/>
                <w:sz w:val="24"/>
                <w:szCs w:val="24"/>
                <w:lang w:bidi="ar"/>
              </w:rPr>
            </w:pPr>
            <w:r>
              <w:rPr>
                <w:rFonts w:hint="eastAsia" w:ascii="宋体" w:hAnsi="宋体" w:eastAsia="宋体" w:cs="仿宋_GB2312"/>
                <w:sz w:val="24"/>
                <w:szCs w:val="24"/>
                <w:lang w:bidi="ar"/>
              </w:rPr>
              <w:t>1）有效投标人数不超过七家的，按所有有效投标人计算平均值。</w:t>
            </w:r>
          </w:p>
          <w:p>
            <w:pPr>
              <w:spacing w:line="276" w:lineRule="auto"/>
              <w:ind w:firstLine="240" w:firstLineChars="100"/>
              <w:rPr>
                <w:rFonts w:hint="eastAsia" w:ascii="宋体" w:hAnsi="宋体" w:eastAsia="宋体" w:cs="仿宋_GB2312"/>
                <w:sz w:val="24"/>
                <w:szCs w:val="24"/>
                <w:lang w:bidi="ar"/>
              </w:rPr>
            </w:pPr>
            <w:r>
              <w:rPr>
                <w:rFonts w:hint="eastAsia" w:ascii="宋体" w:hAnsi="宋体" w:eastAsia="宋体" w:cs="仿宋_GB2312"/>
                <w:sz w:val="24"/>
                <w:szCs w:val="24"/>
                <w:lang w:bidi="ar"/>
              </w:rPr>
              <w:t>2）有效投标人数在七家以上且不超过十家的，去掉一个最高价和一个最低价计算</w:t>
            </w:r>
            <w:r>
              <w:rPr>
                <w:rFonts w:hint="eastAsia" w:ascii="宋体" w:hAnsi="宋体" w:eastAsia="宋体" w:cs="仿宋_GB2312"/>
                <w:color w:val="auto"/>
                <w:sz w:val="24"/>
                <w:szCs w:val="24"/>
                <w:lang w:bidi="ar"/>
              </w:rPr>
              <w:t>平均值</w:t>
            </w:r>
            <w:r>
              <w:rPr>
                <w:rFonts w:hint="eastAsia" w:ascii="宋体" w:hAnsi="宋体" w:eastAsia="宋体" w:cs="仿宋_GB2312"/>
                <w:sz w:val="24"/>
                <w:szCs w:val="24"/>
                <w:lang w:bidi="ar"/>
              </w:rPr>
              <w:t>。</w:t>
            </w:r>
          </w:p>
          <w:p>
            <w:pPr>
              <w:spacing w:line="276" w:lineRule="auto"/>
              <w:ind w:firstLine="240" w:firstLineChars="100"/>
              <w:rPr>
                <w:rFonts w:hint="eastAsia" w:ascii="宋体" w:hAnsi="宋体" w:eastAsia="宋体" w:cs="仿宋_GB2312"/>
                <w:sz w:val="24"/>
                <w:szCs w:val="24"/>
                <w:lang w:bidi="ar"/>
              </w:rPr>
            </w:pPr>
            <w:r>
              <w:rPr>
                <w:rFonts w:hint="eastAsia" w:ascii="宋体" w:hAnsi="宋体" w:eastAsia="宋体" w:cs="仿宋_GB2312"/>
                <w:sz w:val="24"/>
                <w:szCs w:val="24"/>
                <w:lang w:bidi="ar"/>
              </w:rPr>
              <w:t>3）有效投标人数在十家以上的，去掉最高价、次高价和最低价、次低价计算</w:t>
            </w:r>
            <w:r>
              <w:rPr>
                <w:rFonts w:hint="eastAsia" w:ascii="宋体" w:hAnsi="宋体" w:eastAsia="宋体" w:cs="仿宋_GB2312"/>
                <w:color w:val="auto"/>
                <w:sz w:val="24"/>
                <w:szCs w:val="24"/>
                <w:lang w:bidi="ar"/>
              </w:rPr>
              <w:t>平均值</w:t>
            </w:r>
            <w:r>
              <w:rPr>
                <w:rFonts w:hint="eastAsia" w:ascii="宋体" w:hAnsi="宋体" w:eastAsia="宋体" w:cs="仿宋_GB2312"/>
                <w:sz w:val="24"/>
                <w:szCs w:val="24"/>
                <w:lang w:bidi="ar"/>
              </w:rPr>
              <w:t>。</w:t>
            </w:r>
          </w:p>
          <w:p>
            <w:pPr>
              <w:spacing w:line="276" w:lineRule="auto"/>
              <w:ind w:left="360" w:hanging="360"/>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2.价格分计算方法(保留两位小数，第三位四舍五入计算):</w:t>
            </w:r>
          </w:p>
          <w:p>
            <w:pPr>
              <w:spacing w:line="276" w:lineRule="auto"/>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A.有效报价低于或等于基准价</w:t>
            </w:r>
          </w:p>
          <w:p>
            <w:pPr>
              <w:spacing w:line="276" w:lineRule="auto"/>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报价得分=(1-|报价-基准价|/基准价)×40</w:t>
            </w:r>
          </w:p>
          <w:p>
            <w:pPr>
              <w:spacing w:line="276" w:lineRule="auto"/>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B.有效报价高于基准价</w:t>
            </w:r>
          </w:p>
          <w:p>
            <w:pPr>
              <w:spacing w:line="276" w:lineRule="auto"/>
              <w:rPr>
                <w:rFonts w:hint="eastAsia" w:ascii="宋体" w:hAnsi="宋体" w:eastAsia="宋体" w:cs="仿宋_GB2312"/>
                <w:sz w:val="24"/>
                <w:szCs w:val="24"/>
                <w:lang w:bidi="ar"/>
              </w:rPr>
            </w:pPr>
            <w:r>
              <w:rPr>
                <w:rFonts w:hint="eastAsia" w:ascii="宋体" w:hAnsi="宋体" w:eastAsia="宋体" w:cs="仿宋_GB2312"/>
                <w:color w:val="auto"/>
                <w:sz w:val="24"/>
                <w:szCs w:val="24"/>
                <w:lang w:bidi="ar"/>
              </w:rPr>
              <w:t>报价得分=(1-|报价-基准价|/基准价)×40×0.95</w:t>
            </w:r>
          </w:p>
          <w:p>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r>
        <w:tblPrEx>
          <w:tblCellMar>
            <w:top w:w="35" w:type="dxa"/>
            <w:left w:w="108" w:type="dxa"/>
            <w:bottom w:w="48" w:type="dxa"/>
            <w:right w:w="89" w:type="dxa"/>
          </w:tblCellMar>
        </w:tblPrEx>
        <w:trPr>
          <w:trHeight w:val="766" w:hRule="atLeast"/>
        </w:trPr>
        <w:tc>
          <w:tcPr>
            <w:tcW w:w="503" w:type="pct"/>
            <w:gridSpan w:val="2"/>
            <w:tcBorders>
              <w:top w:val="single" w:color="auto" w:sz="4" w:space="0"/>
              <w:left w:val="single" w:color="auto" w:sz="4" w:space="0"/>
              <w:bottom w:val="single" w:color="auto" w:sz="4" w:space="0"/>
              <w:right w:val="single" w:color="auto" w:sz="4" w:space="0"/>
            </w:tcBorders>
            <w:vAlign w:val="center"/>
          </w:tcPr>
          <w:p>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4</w:t>
            </w:r>
            <w:r>
              <w:rPr>
                <w:rFonts w:ascii="宋体" w:hAnsi="宋体" w:eastAsia="宋体" w:cs="宋体"/>
                <w:bCs/>
                <w:color w:val="000000" w:themeColor="text1"/>
                <w:sz w:val="24"/>
                <w:szCs w:val="24"/>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其他因素评分标准</w:t>
            </w:r>
          </w:p>
        </w:tc>
        <w:tc>
          <w:tcPr>
            <w:tcW w:w="1000" w:type="pct"/>
            <w:tcBorders>
              <w:top w:val="single" w:color="auto" w:sz="4" w:space="0"/>
              <w:left w:val="single" w:color="auto" w:sz="4" w:space="0"/>
              <w:bottom w:val="single" w:color="auto" w:sz="4" w:space="0"/>
              <w:right w:val="single" w:color="auto" w:sz="4" w:space="0"/>
            </w:tcBorders>
            <w:vAlign w:val="center"/>
          </w:tcPr>
          <w:p>
            <w:pPr>
              <w:spacing w:after="161"/>
              <w:ind w:left="1"/>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w:t>
            </w:r>
          </w:p>
        </w:tc>
      </w:tr>
    </w:tbl>
    <w:p>
      <w:pPr>
        <w:rPr>
          <w:rFonts w:eastAsiaTheme="minorEastAsia"/>
        </w:rPr>
      </w:pPr>
      <w:bookmarkStart w:id="91" w:name="_Toc195390866"/>
    </w:p>
    <w:p>
      <w:pPr>
        <w:rPr>
          <w:rFonts w:eastAsiaTheme="minorEastAsia"/>
        </w:rPr>
      </w:pPr>
    </w:p>
    <w:p>
      <w:pPr>
        <w:rPr>
          <w:rFonts w:eastAsiaTheme="minorEastAsia"/>
        </w:rPr>
      </w:pPr>
    </w:p>
    <w:p>
      <w:pPr>
        <w:rPr>
          <w:rFonts w:eastAsiaTheme="minorEastAsia"/>
        </w:rPr>
      </w:pPr>
    </w:p>
    <w:p>
      <w:pPr>
        <w:rPr>
          <w:rFonts w:eastAsiaTheme="minorEastAsia"/>
        </w:rPr>
      </w:pPr>
    </w:p>
    <w:p>
      <w:pPr>
        <w:rPr>
          <w:rFonts w:eastAsiaTheme="minorEastAsia"/>
        </w:rPr>
      </w:pPr>
    </w:p>
    <w:p>
      <w:pPr>
        <w:pStyle w:val="3"/>
        <w:spacing w:after="423"/>
        <w:ind w:left="-5" w:right="0"/>
        <w:rPr>
          <w:rFonts w:hint="eastAsia"/>
          <w:bCs/>
          <w:color w:val="auto"/>
        </w:rPr>
      </w:pPr>
      <w:r>
        <w:rPr>
          <w:rFonts w:ascii="Times New Roman" w:hAnsi="Times New Roman" w:eastAsia="Times New Roman" w:cs="Times New Roman"/>
          <w:bCs/>
          <w:color w:val="auto"/>
        </w:rPr>
        <w:t xml:space="preserve">1. </w:t>
      </w:r>
      <w:r>
        <w:rPr>
          <w:bCs/>
          <w:color w:val="auto"/>
        </w:rPr>
        <w:t>评标方法</w:t>
      </w:r>
      <w:bookmarkEnd w:id="91"/>
    </w:p>
    <w:p>
      <w:pPr>
        <w:spacing w:after="384" w:line="364" w:lineRule="auto"/>
        <w:ind w:left="-15" w:right="590" w:firstLine="420"/>
        <w:rPr>
          <w:bCs/>
          <w:color w:val="auto"/>
        </w:rPr>
      </w:pPr>
      <w:r>
        <w:rPr>
          <w:rFonts w:ascii="宋体" w:hAnsi="宋体" w:eastAsia="宋体" w:cs="宋体"/>
          <w:bCs/>
          <w:color w:val="auto"/>
          <w:sz w:val="21"/>
        </w:rPr>
        <w:t xml:space="preserve">本次评标采用综合评估法。评标委员会对满足招标文件实质性要求的投标文件，按照本章第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款规定的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确定中标候选人顺序。</w:t>
      </w:r>
    </w:p>
    <w:p>
      <w:pPr>
        <w:pStyle w:val="3"/>
        <w:ind w:left="-5" w:right="0"/>
        <w:rPr>
          <w:rFonts w:hint="eastAsia"/>
          <w:bCs/>
          <w:color w:val="auto"/>
        </w:rPr>
      </w:pPr>
      <w:bookmarkStart w:id="92" w:name="_Toc195390867"/>
      <w:r>
        <w:rPr>
          <w:rFonts w:ascii="Times New Roman" w:hAnsi="Times New Roman" w:eastAsia="Times New Roman" w:cs="Times New Roman"/>
          <w:bCs/>
          <w:color w:val="auto"/>
        </w:rPr>
        <w:t xml:space="preserve">2. </w:t>
      </w:r>
      <w:r>
        <w:rPr>
          <w:bCs/>
          <w:color w:val="auto"/>
        </w:rPr>
        <w:t>评审标准</w:t>
      </w:r>
      <w:bookmarkEnd w:id="92"/>
    </w:p>
    <w:p>
      <w:pPr>
        <w:pStyle w:val="4"/>
        <w:ind w:left="132" w:right="0"/>
        <w:rPr>
          <w:rFonts w:hint="eastAsia"/>
          <w:bCs/>
          <w:color w:val="auto"/>
        </w:rPr>
      </w:pPr>
      <w:bookmarkStart w:id="93" w:name="_Toc195390868"/>
      <w:r>
        <w:rPr>
          <w:rFonts w:ascii="Times New Roman" w:hAnsi="Times New Roman" w:eastAsia="Times New Roman" w:cs="Times New Roman"/>
          <w:bCs/>
          <w:color w:val="auto"/>
        </w:rPr>
        <w:t xml:space="preserve">2.1 </w:t>
      </w:r>
      <w:r>
        <w:rPr>
          <w:bCs/>
          <w:color w:val="auto"/>
        </w:rPr>
        <w:t>初步评审标准</w:t>
      </w:r>
      <w:bookmarkEnd w:id="93"/>
    </w:p>
    <w:p>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2.1.1 </w:t>
      </w:r>
      <w:r>
        <w:rPr>
          <w:rFonts w:ascii="宋体" w:hAnsi="宋体" w:eastAsia="宋体" w:cs="宋体"/>
          <w:bCs/>
          <w:color w:val="auto"/>
          <w:sz w:val="21"/>
        </w:rPr>
        <w:t>形式评审标准：见评标办法前附表。</w:t>
      </w:r>
    </w:p>
    <w:p>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2.1.2 </w:t>
      </w:r>
      <w:r>
        <w:rPr>
          <w:rFonts w:ascii="宋体" w:hAnsi="宋体" w:eastAsia="宋体" w:cs="宋体"/>
          <w:bCs/>
          <w:color w:val="auto"/>
          <w:sz w:val="21"/>
        </w:rPr>
        <w:t>资格评审标准：见评标办法前附表。</w:t>
      </w:r>
    </w:p>
    <w:p>
      <w:pPr>
        <w:spacing w:after="339" w:line="265" w:lineRule="auto"/>
        <w:ind w:left="430" w:right="590" w:hanging="10"/>
        <w:rPr>
          <w:bCs/>
          <w:color w:val="auto"/>
        </w:rPr>
      </w:pPr>
      <w:r>
        <w:rPr>
          <w:rFonts w:ascii="Times New Roman" w:hAnsi="Times New Roman" w:eastAsia="Times New Roman" w:cs="Times New Roman"/>
          <w:bCs/>
          <w:color w:val="auto"/>
          <w:sz w:val="21"/>
        </w:rPr>
        <w:t xml:space="preserve">2.1.3 </w:t>
      </w:r>
      <w:r>
        <w:rPr>
          <w:rFonts w:ascii="宋体" w:hAnsi="宋体" w:eastAsia="宋体" w:cs="宋体"/>
          <w:bCs/>
          <w:color w:val="auto"/>
          <w:sz w:val="21"/>
        </w:rPr>
        <w:t>响应性评审标准：见评标办法前附表。</w:t>
      </w:r>
    </w:p>
    <w:p>
      <w:pPr>
        <w:pStyle w:val="4"/>
        <w:ind w:left="132" w:right="0"/>
        <w:rPr>
          <w:rFonts w:hint="eastAsia"/>
          <w:bCs/>
          <w:color w:val="auto"/>
        </w:rPr>
      </w:pPr>
      <w:bookmarkStart w:id="94" w:name="_Toc195390869"/>
      <w:r>
        <w:rPr>
          <w:rFonts w:ascii="Times New Roman" w:hAnsi="Times New Roman" w:eastAsia="Times New Roman" w:cs="Times New Roman"/>
          <w:bCs/>
          <w:color w:val="auto"/>
        </w:rPr>
        <w:t xml:space="preserve">2.2 </w:t>
      </w:r>
      <w:r>
        <w:rPr>
          <w:bCs/>
          <w:color w:val="auto"/>
        </w:rPr>
        <w:t>分值构成与评分标准</w:t>
      </w:r>
      <w:bookmarkEnd w:id="94"/>
    </w:p>
    <w:p>
      <w:pPr>
        <w:spacing w:after="119"/>
        <w:ind w:left="415" w:hanging="10"/>
        <w:rPr>
          <w:bCs/>
          <w:color w:val="auto"/>
        </w:rPr>
      </w:pPr>
      <w:r>
        <w:rPr>
          <w:rFonts w:ascii="Times New Roman" w:hAnsi="Times New Roman" w:eastAsia="Times New Roman" w:cs="Times New Roman"/>
          <w:bCs/>
          <w:color w:val="auto"/>
          <w:sz w:val="21"/>
        </w:rPr>
        <w:t xml:space="preserve">2.2.1 </w:t>
      </w:r>
      <w:r>
        <w:rPr>
          <w:rFonts w:ascii="宋体" w:hAnsi="宋体" w:eastAsia="宋体" w:cs="宋体"/>
          <w:bCs/>
          <w:color w:val="auto"/>
          <w:sz w:val="21"/>
        </w:rPr>
        <w:t>分值构成</w:t>
      </w:r>
    </w:p>
    <w:p>
      <w:pPr>
        <w:spacing w:after="5" w:line="369" w:lineRule="auto"/>
        <w:ind w:left="430" w:right="1935"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）商务部分：见评标办法前附表；</w:t>
      </w:r>
    </w:p>
    <w:p>
      <w:pPr>
        <w:spacing w:after="5" w:line="369" w:lineRule="auto"/>
        <w:ind w:left="430" w:right="1935"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）技术部分：见评标办法前附表；</w:t>
      </w:r>
    </w:p>
    <w:p>
      <w:pPr>
        <w:spacing w:after="5" w:line="369" w:lineRule="auto"/>
        <w:ind w:left="430" w:right="1935" w:hanging="10"/>
        <w:rPr>
          <w:rFonts w:hint="eastAsia" w:ascii="宋体" w:hAnsi="宋体" w:eastAsia="宋体" w:cs="宋体"/>
          <w:bCs/>
          <w:color w:val="auto"/>
          <w:sz w:val="21"/>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3</w:t>
      </w:r>
      <w:r>
        <w:rPr>
          <w:rFonts w:ascii="宋体" w:hAnsi="宋体" w:eastAsia="宋体" w:cs="宋体"/>
          <w:bCs/>
          <w:color w:val="auto"/>
          <w:sz w:val="21"/>
        </w:rPr>
        <w:t>）投标报价：见评标办法前附表；</w:t>
      </w:r>
    </w:p>
    <w:p>
      <w:pPr>
        <w:spacing w:after="5" w:line="369" w:lineRule="auto"/>
        <w:ind w:left="430" w:right="1935"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4</w:t>
      </w:r>
      <w:r>
        <w:rPr>
          <w:rFonts w:ascii="宋体" w:hAnsi="宋体" w:eastAsia="宋体" w:cs="宋体"/>
          <w:bCs/>
          <w:color w:val="auto"/>
          <w:sz w:val="21"/>
        </w:rPr>
        <w:t>）其他评分因素：见评标办法前附表。</w:t>
      </w:r>
    </w:p>
    <w:p>
      <w:pPr>
        <w:spacing w:after="115" w:line="265" w:lineRule="auto"/>
        <w:ind w:left="430" w:right="590" w:hanging="10"/>
        <w:rPr>
          <w:bCs/>
          <w:color w:val="auto"/>
        </w:rPr>
      </w:pPr>
      <w:r>
        <w:rPr>
          <w:rFonts w:ascii="Times New Roman" w:hAnsi="Times New Roman" w:eastAsia="Times New Roman" w:cs="Times New Roman"/>
          <w:bCs/>
          <w:color w:val="auto"/>
          <w:sz w:val="21"/>
        </w:rPr>
        <w:t xml:space="preserve">2.2.2 </w:t>
      </w:r>
      <w:r>
        <w:rPr>
          <w:rFonts w:ascii="宋体" w:hAnsi="宋体" w:eastAsia="宋体" w:cs="宋体"/>
          <w:bCs/>
          <w:color w:val="auto"/>
          <w:sz w:val="21"/>
        </w:rPr>
        <w:t>评标基准价计算</w:t>
      </w:r>
    </w:p>
    <w:p>
      <w:pPr>
        <w:spacing w:after="120" w:line="265" w:lineRule="auto"/>
        <w:ind w:left="430" w:right="590" w:hanging="10"/>
        <w:rPr>
          <w:bCs/>
          <w:color w:val="auto"/>
        </w:rPr>
      </w:pPr>
      <w:r>
        <w:rPr>
          <w:rFonts w:ascii="宋体" w:hAnsi="宋体" w:eastAsia="宋体" w:cs="宋体"/>
          <w:bCs/>
          <w:color w:val="auto"/>
          <w:sz w:val="21"/>
        </w:rPr>
        <w:t>评标基准价计算方法：见评标办法前附表。</w:t>
      </w:r>
    </w:p>
    <w:p>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2.2.3 </w:t>
      </w:r>
      <w:r>
        <w:rPr>
          <w:rFonts w:ascii="宋体" w:hAnsi="宋体" w:eastAsia="宋体" w:cs="宋体"/>
          <w:bCs/>
          <w:color w:val="auto"/>
          <w:sz w:val="21"/>
        </w:rPr>
        <w:t>投标报价的偏差率计算</w:t>
      </w:r>
    </w:p>
    <w:p>
      <w:pPr>
        <w:spacing w:after="116" w:line="265" w:lineRule="auto"/>
        <w:ind w:left="430" w:right="590" w:hanging="10"/>
        <w:rPr>
          <w:bCs/>
          <w:color w:val="auto"/>
        </w:rPr>
      </w:pPr>
      <w:r>
        <w:rPr>
          <w:rFonts w:ascii="宋体" w:hAnsi="宋体" w:eastAsia="宋体" w:cs="宋体"/>
          <w:bCs/>
          <w:color w:val="auto"/>
          <w:sz w:val="21"/>
        </w:rPr>
        <w:t>投标报价的偏差率计算公式：见评标办法前附表。</w:t>
      </w:r>
    </w:p>
    <w:p>
      <w:pPr>
        <w:spacing w:after="119"/>
        <w:ind w:left="415" w:hanging="10"/>
        <w:rPr>
          <w:bCs/>
          <w:color w:val="auto"/>
        </w:rPr>
      </w:pPr>
      <w:r>
        <w:rPr>
          <w:rFonts w:ascii="Times New Roman" w:hAnsi="Times New Roman" w:eastAsia="Times New Roman" w:cs="Times New Roman"/>
          <w:bCs/>
          <w:color w:val="auto"/>
          <w:sz w:val="21"/>
        </w:rPr>
        <w:t xml:space="preserve">2.2.4 </w:t>
      </w:r>
      <w:r>
        <w:rPr>
          <w:rFonts w:ascii="宋体" w:hAnsi="宋体" w:eastAsia="宋体" w:cs="宋体"/>
          <w:bCs/>
          <w:color w:val="auto"/>
          <w:sz w:val="21"/>
        </w:rPr>
        <w:t>评分标准</w:t>
      </w:r>
    </w:p>
    <w:p>
      <w:pPr>
        <w:spacing w:after="5" w:line="369" w:lineRule="auto"/>
        <w:ind w:left="430" w:right="1095"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）商务评分标准：见评标办法前附表；</w:t>
      </w:r>
    </w:p>
    <w:p>
      <w:pPr>
        <w:spacing w:after="5" w:line="369" w:lineRule="auto"/>
        <w:ind w:left="430" w:right="1095"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）技术评分标准：见评标办法前附表；</w:t>
      </w:r>
    </w:p>
    <w:p>
      <w:pPr>
        <w:spacing w:after="5" w:line="369" w:lineRule="auto"/>
        <w:ind w:left="430" w:right="590"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）投标报价评分标准：见评标办法前附表；</w:t>
      </w:r>
    </w:p>
    <w:p>
      <w:pPr>
        <w:spacing w:after="5" w:line="369" w:lineRule="auto"/>
        <w:ind w:left="430" w:right="590"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）其他因素评分标准：见评标办法前附表。</w:t>
      </w:r>
    </w:p>
    <w:p>
      <w:pPr>
        <w:pStyle w:val="3"/>
        <w:ind w:left="-5" w:right="0"/>
        <w:rPr>
          <w:rFonts w:hint="eastAsia"/>
          <w:bCs/>
          <w:color w:val="auto"/>
        </w:rPr>
      </w:pPr>
      <w:bookmarkStart w:id="95" w:name="_Toc195390870"/>
      <w:r>
        <w:rPr>
          <w:rFonts w:ascii="Times New Roman" w:hAnsi="Times New Roman" w:eastAsia="Times New Roman" w:cs="Times New Roman"/>
          <w:bCs/>
          <w:color w:val="auto"/>
        </w:rPr>
        <w:t xml:space="preserve">3. </w:t>
      </w:r>
      <w:r>
        <w:rPr>
          <w:bCs/>
          <w:color w:val="auto"/>
        </w:rPr>
        <w:t>评标程序</w:t>
      </w:r>
      <w:bookmarkEnd w:id="95"/>
    </w:p>
    <w:p>
      <w:pPr>
        <w:pStyle w:val="4"/>
        <w:ind w:left="132" w:right="0"/>
        <w:rPr>
          <w:rFonts w:hint="eastAsia"/>
          <w:bCs/>
          <w:color w:val="auto"/>
        </w:rPr>
      </w:pPr>
      <w:bookmarkStart w:id="96" w:name="_Toc195390871"/>
      <w:r>
        <w:rPr>
          <w:rFonts w:ascii="Times New Roman" w:hAnsi="Times New Roman" w:eastAsia="Times New Roman" w:cs="Times New Roman"/>
          <w:bCs/>
          <w:color w:val="auto"/>
        </w:rPr>
        <w:t xml:space="preserve">3.1 </w:t>
      </w:r>
      <w:r>
        <w:rPr>
          <w:bCs/>
          <w:color w:val="auto"/>
        </w:rPr>
        <w:t>初步评审</w:t>
      </w:r>
      <w:bookmarkEnd w:id="96"/>
    </w:p>
    <w:p>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3.1.1 </w:t>
      </w:r>
      <w:r>
        <w:rPr>
          <w:rFonts w:ascii="宋体" w:hAnsi="宋体" w:eastAsia="宋体" w:cs="宋体"/>
          <w:bCs/>
          <w:color w:val="auto"/>
          <w:sz w:val="21"/>
        </w:rPr>
        <w:t>评标委员会可以要求投标人提交第二章</w:t>
      </w: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规定的有关证明和证件的原件，</w:t>
      </w:r>
    </w:p>
    <w:p>
      <w:pPr>
        <w:spacing w:after="5" w:line="374" w:lineRule="auto"/>
        <w:ind w:left="-5" w:right="590" w:hanging="10"/>
        <w:rPr>
          <w:bCs/>
          <w:color w:val="auto"/>
        </w:rPr>
      </w:pPr>
      <w:r>
        <w:rPr>
          <w:rFonts w:ascii="宋体" w:hAnsi="宋体" w:eastAsia="宋体" w:cs="宋体"/>
          <w:bCs/>
          <w:color w:val="auto"/>
          <w:sz w:val="21"/>
        </w:rPr>
        <w:t xml:space="preserve">以便核验。评标委员会依据本章第 </w:t>
      </w:r>
      <w:r>
        <w:rPr>
          <w:rFonts w:ascii="Times New Roman" w:hAnsi="Times New Roman" w:eastAsia="Times New Roman" w:cs="Times New Roman"/>
          <w:bCs/>
          <w:color w:val="auto"/>
          <w:sz w:val="21"/>
        </w:rPr>
        <w:t xml:space="preserve">2.1 </w:t>
      </w:r>
      <w:r>
        <w:rPr>
          <w:rFonts w:ascii="宋体" w:hAnsi="宋体" w:eastAsia="宋体" w:cs="宋体"/>
          <w:bCs/>
          <w:color w:val="auto"/>
          <w:sz w:val="21"/>
        </w:rPr>
        <w:t>款规定的标准对投标文件进行初步评审。有一项不符合评审标准的，评标委员会应当否决其投标。</w:t>
      </w:r>
    </w:p>
    <w:p>
      <w:pPr>
        <w:pStyle w:val="37"/>
        <w:numPr>
          <w:ilvl w:val="2"/>
          <w:numId w:val="9"/>
        </w:numPr>
        <w:spacing w:after="117" w:line="265" w:lineRule="auto"/>
        <w:ind w:right="590" w:firstLineChars="0"/>
        <w:rPr>
          <w:bCs/>
          <w:color w:val="auto"/>
        </w:rPr>
      </w:pPr>
      <w:r>
        <w:rPr>
          <w:rFonts w:ascii="宋体" w:hAnsi="宋体" w:eastAsia="宋体" w:cs="宋体"/>
          <w:bCs/>
          <w:color w:val="auto"/>
          <w:sz w:val="21"/>
        </w:rPr>
        <w:t>投标人有以下情形之一的，评标委员会应当否决其投标：</w:t>
      </w:r>
    </w:p>
    <w:p>
      <w:pPr>
        <w:spacing w:after="5" w:line="369" w:lineRule="auto"/>
        <w:ind w:left="84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投标文件没有对招标文件的实质性要求和条件作出响应，或者对招标文件的偏差超出招标文件规定的偏差范围或最高项数；</w:t>
      </w:r>
    </w:p>
    <w:p>
      <w:pPr>
        <w:spacing w:after="118" w:line="265" w:lineRule="auto"/>
        <w:ind w:left="84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有串通投标、弄虚作假、行贿等违法行为。</w:t>
      </w:r>
    </w:p>
    <w:p>
      <w:pPr>
        <w:spacing w:after="120" w:line="265" w:lineRule="auto"/>
        <w:ind w:left="430" w:right="590" w:hanging="10"/>
        <w:rPr>
          <w:bCs/>
          <w:color w:val="auto"/>
        </w:rPr>
      </w:pPr>
      <w:r>
        <w:rPr>
          <w:rFonts w:ascii="Times New Roman" w:hAnsi="Times New Roman" w:eastAsia="Times New Roman" w:cs="Times New Roman"/>
          <w:bCs/>
          <w:color w:val="auto"/>
          <w:sz w:val="21"/>
        </w:rPr>
        <w:t xml:space="preserve">3.1.3 </w:t>
      </w:r>
      <w:r>
        <w:rPr>
          <w:rFonts w:ascii="宋体" w:hAnsi="宋体" w:eastAsia="宋体" w:cs="宋体"/>
          <w:bCs/>
          <w:color w:val="auto"/>
          <w:sz w:val="21"/>
        </w:rPr>
        <w:t>投标报价有算术错误及其他错误的，评标委员会按以下原则要求投标人对投标报价进</w:t>
      </w:r>
    </w:p>
    <w:p>
      <w:pPr>
        <w:spacing w:after="121" w:line="265" w:lineRule="auto"/>
        <w:ind w:left="-5" w:right="590" w:hanging="10"/>
        <w:rPr>
          <w:bCs/>
          <w:color w:val="auto"/>
        </w:rPr>
      </w:pPr>
      <w:r>
        <w:rPr>
          <w:rFonts w:ascii="宋体" w:hAnsi="宋体" w:eastAsia="宋体" w:cs="宋体"/>
          <w:bCs/>
          <w:color w:val="auto"/>
          <w:sz w:val="21"/>
        </w:rPr>
        <w:t>行修正，并要求投标人书面澄清确认。投标人拒不澄清确认的，评标委员会应当否决其投标：</w:t>
      </w:r>
    </w:p>
    <w:p>
      <w:pPr>
        <w:spacing w:after="118" w:line="265" w:lineRule="auto"/>
        <w:ind w:left="84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投标文件中的大写金额与小写金额不一致的，以大写金额为准；</w:t>
      </w:r>
    </w:p>
    <w:p>
      <w:pPr>
        <w:spacing w:after="5" w:line="369" w:lineRule="auto"/>
        <w:ind w:left="84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总价金额与单价金额不一致的，以单价金额为准，但单价金额小数点有明显错误的除外；</w:t>
      </w:r>
    </w:p>
    <w:p>
      <w:pPr>
        <w:spacing w:after="5" w:line="367" w:lineRule="auto"/>
        <w:ind w:left="840" w:right="590"/>
        <w:rPr>
          <w:bCs/>
          <w:color w:val="auto"/>
        </w:rPr>
      </w:pPr>
      <w:r>
        <w:rPr>
          <w:rFonts w:hint="eastAsia" w:ascii="宋体" w:hAnsi="宋体" w:eastAsia="宋体" w:cs="宋体"/>
          <w:bCs/>
          <w:color w:val="auto"/>
          <w:sz w:val="21"/>
        </w:rPr>
        <w:t>（3）</w:t>
      </w:r>
      <w:r>
        <w:rPr>
          <w:rFonts w:ascii="宋体" w:hAnsi="宋体" w:eastAsia="宋体" w:cs="宋体"/>
          <w:bCs/>
          <w:color w:val="auto"/>
          <w:sz w:val="21"/>
        </w:rPr>
        <w:t>投标报价为各分项报价金额之和，投标报价与分项报价的合价不一致的，应以各分项合价累计数为准，修正投标报价；</w:t>
      </w:r>
    </w:p>
    <w:p>
      <w:pPr>
        <w:spacing w:after="341" w:line="265" w:lineRule="auto"/>
        <w:ind w:left="840" w:right="590"/>
        <w:rPr>
          <w:bCs/>
          <w:color w:val="auto"/>
        </w:rPr>
      </w:pPr>
      <w:r>
        <w:rPr>
          <w:rFonts w:hint="eastAsia" w:ascii="宋体" w:hAnsi="宋体" w:eastAsia="宋体" w:cs="宋体"/>
          <w:bCs/>
          <w:color w:val="auto"/>
          <w:sz w:val="21"/>
        </w:rPr>
        <w:t>（4）</w:t>
      </w:r>
      <w:r>
        <w:rPr>
          <w:rFonts w:ascii="宋体" w:hAnsi="宋体" w:eastAsia="宋体" w:cs="宋体"/>
          <w:bCs/>
          <w:color w:val="auto"/>
          <w:sz w:val="21"/>
        </w:rPr>
        <w:t>如果分项报价中存在缺漏项，则视为缺漏项价格已包含在其他分项报价之中。</w:t>
      </w:r>
    </w:p>
    <w:p>
      <w:pPr>
        <w:pStyle w:val="4"/>
        <w:ind w:left="132" w:right="0"/>
        <w:rPr>
          <w:rFonts w:hint="eastAsia"/>
          <w:bCs/>
          <w:color w:val="auto"/>
        </w:rPr>
      </w:pPr>
      <w:bookmarkStart w:id="97" w:name="_Toc195390872"/>
      <w:r>
        <w:rPr>
          <w:rFonts w:ascii="Times New Roman" w:hAnsi="Times New Roman" w:eastAsia="Times New Roman" w:cs="Times New Roman"/>
          <w:bCs/>
          <w:color w:val="auto"/>
        </w:rPr>
        <w:t xml:space="preserve">3.2 </w:t>
      </w:r>
      <w:r>
        <w:rPr>
          <w:bCs/>
          <w:color w:val="auto"/>
        </w:rPr>
        <w:t>详细评审</w:t>
      </w:r>
      <w:bookmarkEnd w:id="97"/>
    </w:p>
    <w:p>
      <w:pPr>
        <w:spacing w:after="123" w:line="265" w:lineRule="auto"/>
        <w:ind w:left="430" w:right="590" w:hanging="10"/>
        <w:rPr>
          <w:bCs/>
          <w:color w:val="auto"/>
        </w:rPr>
      </w:pPr>
      <w:r>
        <w:rPr>
          <w:rFonts w:ascii="Times New Roman" w:hAnsi="Times New Roman" w:eastAsia="Times New Roman" w:cs="Times New Roman"/>
          <w:bCs/>
          <w:color w:val="auto"/>
          <w:sz w:val="21"/>
        </w:rPr>
        <w:t xml:space="preserve">3.2.1 </w:t>
      </w:r>
      <w:r>
        <w:rPr>
          <w:rFonts w:ascii="宋体" w:hAnsi="宋体" w:eastAsia="宋体" w:cs="宋体"/>
          <w:bCs/>
          <w:color w:val="auto"/>
          <w:sz w:val="21"/>
        </w:rPr>
        <w:t xml:space="preserve">评标委员会按本章第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款规定的量化因素和分值进行打分，并计算出综合评估得分。</w:t>
      </w:r>
    </w:p>
    <w:p>
      <w:pPr>
        <w:numPr>
          <w:ilvl w:val="0"/>
          <w:numId w:val="10"/>
        </w:numPr>
        <w:spacing w:after="124" w:line="265"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 xml:space="preserve">）目规定的评审因素和分值对商务部分计算出得分 </w:t>
      </w:r>
      <w:r>
        <w:rPr>
          <w:rFonts w:ascii="Times New Roman" w:hAnsi="Times New Roman" w:eastAsia="Times New Roman" w:cs="Times New Roman"/>
          <w:bCs/>
          <w:color w:val="auto"/>
          <w:sz w:val="21"/>
        </w:rPr>
        <w:t>A</w:t>
      </w:r>
      <w:r>
        <w:rPr>
          <w:rFonts w:ascii="宋体" w:hAnsi="宋体" w:eastAsia="宋体" w:cs="宋体"/>
          <w:bCs/>
          <w:color w:val="auto"/>
          <w:sz w:val="21"/>
        </w:rPr>
        <w:t>；</w:t>
      </w:r>
    </w:p>
    <w:p>
      <w:pPr>
        <w:numPr>
          <w:ilvl w:val="0"/>
          <w:numId w:val="10"/>
        </w:numPr>
        <w:spacing w:after="5" w:line="372"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 xml:space="preserve">）目规定的评审因素和分值对技术部分计算出得分 </w:t>
      </w:r>
      <w:r>
        <w:rPr>
          <w:rFonts w:ascii="Times New Roman" w:hAnsi="Times New Roman" w:eastAsia="Times New Roman" w:cs="Times New Roman"/>
          <w:bCs/>
          <w:color w:val="auto"/>
          <w:sz w:val="21"/>
        </w:rPr>
        <w:t>B</w:t>
      </w:r>
      <w:r>
        <w:rPr>
          <w:rFonts w:ascii="宋体" w:hAnsi="宋体" w:eastAsia="宋体" w:cs="宋体"/>
          <w:bCs/>
          <w:color w:val="auto"/>
          <w:sz w:val="21"/>
        </w:rPr>
        <w:t>；</w:t>
      </w:r>
    </w:p>
    <w:p>
      <w:pPr>
        <w:numPr>
          <w:ilvl w:val="0"/>
          <w:numId w:val="10"/>
        </w:numPr>
        <w:spacing w:after="5" w:line="372"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 xml:space="preserve">）目规定的评审因素和分值对投标报价计算出得分 </w:t>
      </w:r>
      <w:r>
        <w:rPr>
          <w:rFonts w:ascii="Times New Roman" w:hAnsi="Times New Roman" w:eastAsia="Times New Roman" w:cs="Times New Roman"/>
          <w:bCs/>
          <w:color w:val="auto"/>
          <w:sz w:val="21"/>
        </w:rPr>
        <w:t>C</w:t>
      </w:r>
      <w:r>
        <w:rPr>
          <w:rFonts w:ascii="宋体" w:hAnsi="宋体" w:eastAsia="宋体" w:cs="宋体"/>
          <w:bCs/>
          <w:color w:val="auto"/>
          <w:sz w:val="21"/>
        </w:rPr>
        <w:t>；</w:t>
      </w:r>
    </w:p>
    <w:p>
      <w:pPr>
        <w:spacing w:after="126" w:line="265" w:lineRule="auto"/>
        <w:ind w:left="430" w:right="590"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w:t>
      </w:r>
      <w:r>
        <w:rPr>
          <w:rFonts w:hint="eastAsia" w:ascii="宋体" w:hAnsi="宋体" w:eastAsia="宋体" w:cs="宋体"/>
          <w:bCs/>
          <w:color w:val="auto"/>
          <w:sz w:val="21"/>
        </w:rPr>
        <w:t xml:space="preserve"> </w:t>
      </w:r>
      <w:r>
        <w:rPr>
          <w:rFonts w:ascii="宋体" w:hAnsi="宋体" w:eastAsia="宋体" w:cs="宋体"/>
          <w:bCs/>
          <w:color w:val="auto"/>
          <w:sz w:val="21"/>
        </w:rPr>
        <w:t xml:space="preserve">  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 xml:space="preserve">）目规定的评审因素和分值对其他部分计算出得分 </w:t>
      </w:r>
      <w:r>
        <w:rPr>
          <w:rFonts w:ascii="Times New Roman" w:hAnsi="Times New Roman" w:eastAsia="Times New Roman" w:cs="Times New Roman"/>
          <w:bCs/>
          <w:color w:val="auto"/>
          <w:sz w:val="21"/>
        </w:rPr>
        <w:t>D</w:t>
      </w:r>
      <w:r>
        <w:rPr>
          <w:rFonts w:ascii="宋体" w:hAnsi="宋体" w:eastAsia="宋体" w:cs="宋体"/>
          <w:bCs/>
          <w:color w:val="auto"/>
          <w:sz w:val="21"/>
        </w:rPr>
        <w:t>。</w:t>
      </w:r>
    </w:p>
    <w:p>
      <w:pPr>
        <w:spacing w:after="116" w:line="265" w:lineRule="auto"/>
        <w:ind w:left="430" w:right="590" w:hanging="10"/>
        <w:rPr>
          <w:bCs/>
          <w:color w:val="auto"/>
        </w:rPr>
      </w:pPr>
      <w:r>
        <w:rPr>
          <w:rFonts w:ascii="Times New Roman" w:hAnsi="Times New Roman" w:eastAsia="Times New Roman" w:cs="Times New Roman"/>
          <w:bCs/>
          <w:color w:val="auto"/>
          <w:sz w:val="21"/>
        </w:rPr>
        <w:t xml:space="preserve">3.2.2 </w:t>
      </w:r>
      <w:r>
        <w:rPr>
          <w:rFonts w:ascii="宋体" w:hAnsi="宋体" w:eastAsia="宋体" w:cs="宋体"/>
          <w:bCs/>
          <w:color w:val="auto"/>
          <w:sz w:val="21"/>
        </w:rPr>
        <w:t>评分分值计算保留小数点后两位，小数点后第三位</w:t>
      </w:r>
      <w:r>
        <w:rPr>
          <w:rFonts w:ascii="Times New Roman" w:hAnsi="Times New Roman" w:eastAsia="Times New Roman" w:cs="Times New Roman"/>
          <w:bCs/>
          <w:color w:val="auto"/>
          <w:sz w:val="21"/>
        </w:rPr>
        <w:t>“</w:t>
      </w:r>
      <w:r>
        <w:rPr>
          <w:rFonts w:ascii="宋体" w:hAnsi="宋体" w:eastAsia="宋体" w:cs="宋体"/>
          <w:bCs/>
          <w:color w:val="auto"/>
          <w:sz w:val="21"/>
        </w:rPr>
        <w:t>四舍五入</w:t>
      </w:r>
      <w:r>
        <w:rPr>
          <w:rFonts w:ascii="Times New Roman" w:hAnsi="Times New Roman" w:eastAsia="Times New Roman" w:cs="Times New Roman"/>
          <w:bCs/>
          <w:color w:val="auto"/>
          <w:sz w:val="21"/>
        </w:rPr>
        <w:t>”</w:t>
      </w:r>
      <w:r>
        <w:rPr>
          <w:rFonts w:ascii="宋体" w:hAnsi="宋体" w:eastAsia="宋体" w:cs="宋体"/>
          <w:bCs/>
          <w:color w:val="auto"/>
          <w:sz w:val="21"/>
        </w:rPr>
        <w:t>。</w:t>
      </w:r>
    </w:p>
    <w:p>
      <w:pPr>
        <w:spacing w:after="119"/>
        <w:ind w:left="415" w:hanging="10"/>
        <w:rPr>
          <w:bCs/>
          <w:color w:val="auto"/>
        </w:rPr>
      </w:pPr>
      <w:r>
        <w:rPr>
          <w:rFonts w:ascii="Times New Roman" w:hAnsi="Times New Roman" w:eastAsia="Times New Roman" w:cs="Times New Roman"/>
          <w:bCs/>
          <w:color w:val="auto"/>
          <w:sz w:val="21"/>
        </w:rPr>
        <w:t xml:space="preserve">3.2.3 </w:t>
      </w:r>
      <w:r>
        <w:rPr>
          <w:rFonts w:ascii="宋体" w:hAnsi="宋体" w:eastAsia="宋体" w:cs="宋体"/>
          <w:bCs/>
          <w:color w:val="auto"/>
          <w:sz w:val="21"/>
        </w:rPr>
        <w:t>投标人得分</w:t>
      </w:r>
      <w:r>
        <w:rPr>
          <w:rFonts w:ascii="Times New Roman" w:hAnsi="Times New Roman" w:eastAsia="Times New Roman" w:cs="Times New Roman"/>
          <w:bCs/>
          <w:color w:val="auto"/>
          <w:sz w:val="21"/>
        </w:rPr>
        <w:t>=A+B+C+D</w:t>
      </w:r>
      <w:r>
        <w:rPr>
          <w:rFonts w:ascii="宋体" w:hAnsi="宋体" w:eastAsia="宋体" w:cs="宋体"/>
          <w:bCs/>
          <w:color w:val="auto"/>
          <w:sz w:val="21"/>
        </w:rPr>
        <w:t>。</w:t>
      </w:r>
    </w:p>
    <w:p>
      <w:pPr>
        <w:spacing w:after="5" w:line="360" w:lineRule="auto"/>
        <w:ind w:left="-15" w:right="590" w:firstLine="420"/>
        <w:rPr>
          <w:bCs/>
          <w:color w:val="auto"/>
        </w:rPr>
      </w:pPr>
      <w:r>
        <w:rPr>
          <w:rFonts w:ascii="Times New Roman" w:hAnsi="Times New Roman" w:eastAsia="Times New Roman" w:cs="Times New Roman"/>
          <w:bCs/>
          <w:color w:val="auto"/>
          <w:sz w:val="21"/>
        </w:rPr>
        <w:t xml:space="preserve">3.2.4 </w:t>
      </w:r>
      <w:r>
        <w:rPr>
          <w:rFonts w:ascii="宋体" w:hAnsi="宋体" w:eastAsia="宋体" w:cs="宋体"/>
          <w:bCs/>
          <w:color w:val="auto"/>
          <w:sz w:val="21"/>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pStyle w:val="4"/>
        <w:ind w:left="132" w:right="0"/>
        <w:rPr>
          <w:rFonts w:hint="eastAsia"/>
          <w:bCs/>
          <w:color w:val="auto"/>
        </w:rPr>
      </w:pPr>
      <w:bookmarkStart w:id="98" w:name="_Toc195390873"/>
      <w:r>
        <w:rPr>
          <w:rFonts w:ascii="Times New Roman" w:hAnsi="Times New Roman" w:eastAsia="Times New Roman" w:cs="Times New Roman"/>
          <w:bCs/>
          <w:color w:val="auto"/>
        </w:rPr>
        <w:t xml:space="preserve">3.3 </w:t>
      </w:r>
      <w:r>
        <w:rPr>
          <w:bCs/>
          <w:color w:val="auto"/>
        </w:rPr>
        <w:t>投标文件的澄清</w:t>
      </w:r>
      <w:bookmarkEnd w:id="98"/>
    </w:p>
    <w:p>
      <w:pPr>
        <w:spacing w:after="5" w:line="358" w:lineRule="auto"/>
        <w:ind w:left="-15" w:right="590" w:firstLine="420"/>
        <w:rPr>
          <w:bCs/>
          <w:color w:val="auto"/>
        </w:rPr>
      </w:pPr>
      <w:r>
        <w:rPr>
          <w:rFonts w:ascii="Times New Roman" w:hAnsi="Times New Roman" w:eastAsia="Times New Roman" w:cs="Times New Roman"/>
          <w:bCs/>
          <w:color w:val="auto"/>
          <w:sz w:val="21"/>
        </w:rPr>
        <w:t xml:space="preserve">3.3.1 </w:t>
      </w:r>
      <w:r>
        <w:rPr>
          <w:rFonts w:ascii="宋体" w:hAnsi="宋体" w:eastAsia="宋体" w:cs="宋体"/>
          <w:bCs/>
          <w:color w:val="auto"/>
          <w:sz w:val="21"/>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spacing w:after="5" w:line="367" w:lineRule="auto"/>
        <w:ind w:left="-15" w:right="590" w:firstLine="420"/>
        <w:rPr>
          <w:bCs/>
          <w:color w:val="auto"/>
        </w:rPr>
      </w:pPr>
      <w:r>
        <w:rPr>
          <w:rFonts w:ascii="Times New Roman" w:hAnsi="Times New Roman" w:eastAsia="Times New Roman" w:cs="Times New Roman"/>
          <w:bCs/>
          <w:color w:val="auto"/>
          <w:sz w:val="21"/>
        </w:rPr>
        <w:t xml:space="preserve">3.3.2 </w:t>
      </w:r>
      <w:r>
        <w:rPr>
          <w:rFonts w:ascii="宋体" w:hAnsi="宋体" w:eastAsia="宋体" w:cs="宋体"/>
          <w:bCs/>
          <w:color w:val="auto"/>
          <w:sz w:val="21"/>
        </w:rPr>
        <w:t>澄清、说明或补正不得超出投标文件的范围且不得改变投标文件的实质性内容，并构成投标文件的组成部分。</w:t>
      </w:r>
    </w:p>
    <w:p>
      <w:pPr>
        <w:spacing w:after="218" w:line="369" w:lineRule="auto"/>
        <w:ind w:left="-15" w:right="590" w:firstLine="420"/>
        <w:rPr>
          <w:bCs/>
          <w:color w:val="auto"/>
        </w:rPr>
      </w:pPr>
      <w:r>
        <w:rPr>
          <w:rFonts w:ascii="Times New Roman" w:hAnsi="Times New Roman" w:eastAsia="Times New Roman" w:cs="Times New Roman"/>
          <w:bCs/>
          <w:color w:val="auto"/>
          <w:sz w:val="21"/>
        </w:rPr>
        <w:t xml:space="preserve">3.3.3 </w:t>
      </w:r>
      <w:r>
        <w:rPr>
          <w:rFonts w:ascii="宋体" w:hAnsi="宋体" w:eastAsia="宋体" w:cs="宋体"/>
          <w:bCs/>
          <w:color w:val="auto"/>
          <w:sz w:val="21"/>
        </w:rPr>
        <w:t>评标委员会对投标人提交的澄清、说明或补正有疑问的，可以要求投标人进一步澄清、说明或补正，直至满足评标委员会的要求。</w:t>
      </w:r>
    </w:p>
    <w:p>
      <w:pPr>
        <w:pStyle w:val="4"/>
        <w:ind w:left="132" w:right="0"/>
        <w:rPr>
          <w:rFonts w:hint="eastAsia"/>
          <w:bCs/>
          <w:color w:val="auto"/>
        </w:rPr>
      </w:pPr>
      <w:bookmarkStart w:id="99" w:name="_Toc195390874"/>
      <w:r>
        <w:rPr>
          <w:rFonts w:ascii="Times New Roman" w:hAnsi="Times New Roman" w:eastAsia="Times New Roman" w:cs="Times New Roman"/>
          <w:bCs/>
          <w:color w:val="auto"/>
        </w:rPr>
        <w:t xml:space="preserve">3.4 </w:t>
      </w:r>
      <w:r>
        <w:rPr>
          <w:bCs/>
          <w:color w:val="auto"/>
        </w:rPr>
        <w:t>评标结果</w:t>
      </w:r>
      <w:bookmarkEnd w:id="99"/>
    </w:p>
    <w:p>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3.4.1 </w:t>
      </w:r>
      <w:r>
        <w:rPr>
          <w:rFonts w:ascii="宋体" w:hAnsi="宋体" w:eastAsia="宋体" w:cs="宋体"/>
          <w:bCs/>
          <w:color w:val="auto"/>
          <w:sz w:val="21"/>
        </w:rPr>
        <w:t>除第二章</w:t>
      </w: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前附表授权直接确定中标人外，评标委员会按照得分由高到低的顺序推荐中标候选人，并标明排序。</w:t>
      </w:r>
    </w:p>
    <w:p>
      <w:pPr>
        <w:spacing w:after="5" w:line="265" w:lineRule="auto"/>
        <w:ind w:left="430" w:right="590" w:hanging="10"/>
        <w:rPr>
          <w:rFonts w:hint="eastAsia" w:ascii="宋体" w:hAnsi="宋体" w:eastAsia="宋体" w:cs="宋体"/>
          <w:bCs/>
          <w:color w:val="auto"/>
          <w:sz w:val="21"/>
        </w:rPr>
      </w:pPr>
      <w:r>
        <w:rPr>
          <w:rFonts w:ascii="Times New Roman" w:hAnsi="Times New Roman" w:eastAsia="Times New Roman" w:cs="Times New Roman"/>
          <w:bCs/>
          <w:color w:val="auto"/>
          <w:sz w:val="21"/>
        </w:rPr>
        <w:t xml:space="preserve">3.4.2 </w:t>
      </w:r>
      <w:r>
        <w:rPr>
          <w:rFonts w:ascii="宋体" w:hAnsi="宋体" w:eastAsia="宋体" w:cs="宋体"/>
          <w:bCs/>
          <w:color w:val="auto"/>
          <w:sz w:val="21"/>
        </w:rPr>
        <w:t>评标委员会完成评标后，应当向招标人提交书面评标报告和中标候选人名单。</w:t>
      </w: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left="430" w:right="590" w:hanging="10"/>
        <w:rPr>
          <w:rFonts w:hint="eastAsia" w:ascii="宋体" w:hAnsi="宋体" w:eastAsia="宋体" w:cs="宋体"/>
          <w:bCs/>
          <w:color w:val="auto"/>
          <w:sz w:val="21"/>
        </w:rPr>
      </w:pPr>
    </w:p>
    <w:p>
      <w:pPr>
        <w:spacing w:after="5" w:line="265" w:lineRule="auto"/>
        <w:ind w:right="590" w:firstLine="330" w:firstLineChars="150"/>
        <w:rPr>
          <w:bCs/>
          <w:color w:val="auto"/>
        </w:rPr>
      </w:pPr>
    </w:p>
    <w:p>
      <w:pPr>
        <w:pStyle w:val="2"/>
        <w:spacing w:after="1072"/>
        <w:ind w:left="2122" w:right="0"/>
        <w:jc w:val="left"/>
        <w:rPr>
          <w:rFonts w:hint="eastAsia"/>
          <w:bCs/>
          <w:color w:val="auto"/>
        </w:rPr>
      </w:pPr>
      <w:bookmarkStart w:id="100" w:name="_Toc195390875"/>
      <w:r>
        <w:rPr>
          <w:rFonts w:ascii="宋体" w:hAnsi="宋体" w:eastAsia="宋体" w:cs="宋体"/>
          <w:bCs/>
          <w:color w:val="auto"/>
          <w:sz w:val="44"/>
        </w:rPr>
        <w:t>第四章</w:t>
      </w:r>
      <w:r>
        <w:rPr>
          <w:rFonts w:hint="eastAsia" w:ascii="宋体" w:hAnsi="宋体" w:eastAsia="宋体" w:cs="宋体"/>
          <w:bCs/>
          <w:color w:val="auto"/>
          <w:sz w:val="44"/>
        </w:rPr>
        <w:t xml:space="preserve"> </w:t>
      </w:r>
      <w:r>
        <w:rPr>
          <w:rFonts w:ascii="宋体" w:hAnsi="宋体" w:eastAsia="宋体" w:cs="宋体"/>
          <w:bCs/>
          <w:color w:val="auto"/>
          <w:sz w:val="44"/>
        </w:rPr>
        <w:t>合同条款及格式</w:t>
      </w:r>
      <w:bookmarkEnd w:id="100"/>
    </w:p>
    <w:p>
      <w:pPr>
        <w:spacing w:after="0"/>
        <w:ind w:right="412"/>
        <w:jc w:val="right"/>
        <w:rPr>
          <w:rFonts w:ascii="Times New Roman" w:hAnsi="Times New Roman" w:cs="Times New Roman" w:eastAsiaTheme="minorEastAsia"/>
          <w:bCs/>
          <w:color w:val="auto"/>
          <w:sz w:val="44"/>
        </w:rPr>
      </w:pPr>
      <w:r>
        <w:rPr>
          <w:rFonts w:ascii="Times New Roman" w:hAnsi="Times New Roman" w:eastAsia="Times New Roman" w:cs="Times New Roman"/>
          <w:bCs/>
          <w:color w:val="auto"/>
          <w:sz w:val="44"/>
        </w:rPr>
        <w:tab/>
      </w:r>
      <w:r>
        <w:rPr>
          <w:rFonts w:hint="eastAsia" w:ascii="宋体" w:hAnsi="宋体" w:eastAsia="宋体" w:cs="宋体"/>
          <w:bCs/>
          <w:color w:val="auto"/>
          <w:sz w:val="44"/>
        </w:rPr>
        <w:t>（此为合同模版，具体以实际签订内容为准）</w:t>
      </w: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rFonts w:ascii="Times New Roman" w:hAnsi="Times New Roman" w:cs="Times New Roman" w:eastAsiaTheme="minorEastAsia"/>
          <w:bCs/>
          <w:color w:val="auto"/>
          <w:sz w:val="44"/>
        </w:rPr>
      </w:pPr>
    </w:p>
    <w:p>
      <w:pPr>
        <w:spacing w:after="0"/>
        <w:ind w:right="2032"/>
        <w:jc w:val="right"/>
        <w:rPr>
          <w:bCs/>
          <w:color w:val="auto"/>
        </w:rPr>
      </w:pPr>
    </w:p>
    <w:p>
      <w:pPr>
        <w:spacing w:after="0"/>
        <w:ind w:right="2032"/>
        <w:jc w:val="right"/>
        <w:rPr>
          <w:rFonts w:hint="eastAsia" w:ascii="宋体" w:hAnsi="宋体" w:eastAsia="宋体" w:cs="宋体"/>
          <w:bCs/>
          <w:color w:val="auto"/>
          <w:sz w:val="21"/>
        </w:rPr>
      </w:pPr>
    </w:p>
    <w:p>
      <w:pPr>
        <w:wordWrap w:val="0"/>
        <w:spacing w:line="360" w:lineRule="auto"/>
        <w:ind w:left="11" w:right="51" w:hanging="11"/>
        <w:jc w:val="right"/>
        <w:rPr>
          <w:rFonts w:ascii="宋体" w:eastAsia="宋体" w:cs="宋体"/>
          <w:sz w:val="30"/>
          <w:szCs w:val="30"/>
        </w:rPr>
      </w:pPr>
      <w:bookmarkStart w:id="101" w:name="_Toc248313655"/>
      <w:bookmarkStart w:id="102" w:name="_Toc286752029"/>
    </w:p>
    <w:p>
      <w:pPr>
        <w:spacing w:line="360" w:lineRule="auto"/>
        <w:ind w:left="11" w:right="51" w:hanging="11"/>
        <w:jc w:val="right"/>
        <w:rPr>
          <w:rFonts w:ascii="宋体" w:eastAsia="宋体" w:cs="宋体"/>
          <w:sz w:val="30"/>
          <w:szCs w:val="30"/>
        </w:rPr>
      </w:pPr>
    </w:p>
    <w:p>
      <w:pPr>
        <w:spacing w:line="360" w:lineRule="auto"/>
        <w:ind w:left="11" w:right="51" w:hanging="11"/>
        <w:jc w:val="right"/>
        <w:rPr>
          <w:rFonts w:ascii="宋体" w:eastAsia="宋体" w:cs="宋体"/>
          <w:sz w:val="30"/>
          <w:szCs w:val="30"/>
        </w:rPr>
      </w:pPr>
    </w:p>
    <w:p>
      <w:pPr>
        <w:spacing w:line="360" w:lineRule="auto"/>
        <w:ind w:left="11" w:right="51" w:hanging="11"/>
        <w:jc w:val="right"/>
        <w:rPr>
          <w:rFonts w:ascii="宋体" w:eastAsia="宋体" w:cs="宋体"/>
          <w:sz w:val="30"/>
          <w:szCs w:val="30"/>
        </w:rPr>
      </w:pPr>
      <w:r>
        <w:rPr>
          <w:rFonts w:hint="eastAsia" w:ascii="宋体" w:eastAsia="宋体" w:cs="宋体"/>
          <w:sz w:val="30"/>
          <w:szCs w:val="30"/>
        </w:rPr>
        <w:t xml:space="preserve">合同编号：XXXX    </w:t>
      </w: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jc w:val="center"/>
        <w:rPr>
          <w:rFonts w:ascii="宋体" w:eastAsia="宋体" w:cs="宋体"/>
          <w:b/>
          <w:sz w:val="44"/>
          <w:szCs w:val="44"/>
        </w:rPr>
      </w:pPr>
    </w:p>
    <w:p>
      <w:pPr>
        <w:pStyle w:val="27"/>
        <w:ind w:left="440"/>
        <w:rPr>
          <w:rFonts w:ascii="宋体" w:cs="宋体"/>
          <w:b/>
          <w:sz w:val="44"/>
          <w:szCs w:val="44"/>
        </w:rPr>
      </w:pPr>
      <w:r>
        <w:rPr>
          <w:rFonts w:hint="eastAsia" w:ascii="宋体" w:cs="宋体"/>
          <w:b/>
          <w:sz w:val="44"/>
          <w:szCs w:val="44"/>
        </w:rPr>
        <w:t>四川九洲空管科技有限责任公司</w:t>
      </w:r>
    </w:p>
    <w:p>
      <w:pPr>
        <w:pStyle w:val="27"/>
        <w:ind w:left="440"/>
        <w:rPr>
          <w:rFonts w:ascii="宋体" w:cs="宋体"/>
          <w:sz w:val="44"/>
          <w:szCs w:val="44"/>
        </w:rPr>
      </w:pPr>
      <w:r>
        <w:rPr>
          <w:rFonts w:hint="eastAsia" w:ascii="宋体" w:cs="宋体"/>
          <w:b/>
          <w:sz w:val="44"/>
          <w:szCs w:val="44"/>
        </w:rPr>
        <w:t>XXX采购合同</w:t>
      </w: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rPr>
      </w:pPr>
    </w:p>
    <w:p>
      <w:pPr>
        <w:rPr>
          <w:rFonts w:ascii="宋体" w:eastAsia="宋体" w:cs="宋体"/>
          <w:sz w:val="32"/>
          <w:szCs w:val="32"/>
        </w:rPr>
      </w:pPr>
      <w:r>
        <w:rPr>
          <w:rFonts w:hint="eastAsia" w:ascii="宋体" w:eastAsia="宋体" w:cs="宋体"/>
          <w:sz w:val="32"/>
          <w:szCs w:val="32"/>
        </w:rPr>
        <w:t>甲方（委托方）：四川九洲空管科技有限责任公司</w:t>
      </w:r>
    </w:p>
    <w:p>
      <w:pPr>
        <w:rPr>
          <w:rFonts w:ascii="宋体" w:eastAsia="宋体" w:cs="宋体"/>
          <w:sz w:val="32"/>
          <w:szCs w:val="32"/>
        </w:rPr>
      </w:pPr>
      <w:r>
        <w:rPr>
          <w:rFonts w:hint="eastAsia" w:ascii="宋体" w:eastAsia="宋体" w:cs="宋体"/>
          <w:sz w:val="32"/>
          <w:szCs w:val="32"/>
        </w:rPr>
        <w:t>乙方（服务方）：</w:t>
      </w:r>
    </w:p>
    <w:p>
      <w:pPr>
        <w:rPr>
          <w:rFonts w:ascii="宋体" w:eastAsia="宋体" w:cs="宋体"/>
          <w:sz w:val="30"/>
          <w:szCs w:val="30"/>
        </w:rPr>
      </w:pPr>
      <w:r>
        <w:rPr>
          <w:rFonts w:hint="eastAsia" w:ascii="宋体" w:eastAsia="宋体" w:cs="宋体"/>
          <w:sz w:val="30"/>
          <w:szCs w:val="30"/>
        </w:rPr>
        <w:t>签订地点：四川绵阳</w:t>
      </w:r>
    </w:p>
    <w:p>
      <w:pPr>
        <w:rPr>
          <w:rFonts w:ascii="宋体" w:eastAsia="宋体" w:cs="宋体"/>
          <w:sz w:val="30"/>
          <w:szCs w:val="30"/>
        </w:rPr>
      </w:pPr>
      <w:r>
        <w:rPr>
          <w:rFonts w:hint="eastAsia" w:ascii="宋体" w:eastAsia="宋体" w:cs="宋体"/>
          <w:sz w:val="30"/>
          <w:szCs w:val="30"/>
        </w:rPr>
        <w:t>签订日期：   年   月   日</w:t>
      </w:r>
    </w:p>
    <w:p>
      <w:pPr>
        <w:rPr>
          <w:rFonts w:ascii="宋体" w:eastAsia="宋体" w:cs="宋体"/>
        </w:rPr>
      </w:pPr>
      <w:r>
        <w:rPr>
          <w:rFonts w:hint="eastAsia" w:ascii="宋体" w:eastAsia="宋体" w:cs="宋体"/>
          <w:sz w:val="30"/>
          <w:szCs w:val="30"/>
        </w:rPr>
        <w:br w:type="page"/>
      </w:r>
    </w:p>
    <w:tbl>
      <w:tblPr>
        <w:tblStyle w:val="30"/>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项目</w:t>
            </w:r>
          </w:p>
        </w:tc>
        <w:tc>
          <w:tcPr>
            <w:tcW w:w="368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甲方</w:t>
            </w:r>
          </w:p>
        </w:tc>
        <w:tc>
          <w:tcPr>
            <w:tcW w:w="3639"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乙方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法人单位名称</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法定代表人</w:t>
            </w:r>
          </w:p>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（职务、姓名）</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单位地址</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邮政编码</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联系电话</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传真</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账户名称</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开户银行</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账号</w:t>
            </w:r>
          </w:p>
        </w:tc>
        <w:tc>
          <w:tcPr>
            <w:tcW w:w="3685" w:type="dxa"/>
            <w:vAlign w:val="center"/>
          </w:tcPr>
          <w:p>
            <w:pPr>
              <w:adjustRightInd w:val="0"/>
              <w:snapToGrid w:val="0"/>
              <w:spacing w:line="420" w:lineRule="exact"/>
              <w:jc w:val="center"/>
              <w:rPr>
                <w:rFonts w:ascii="宋体" w:eastAsia="宋体" w:cs="宋体"/>
                <w:sz w:val="24"/>
                <w:szCs w:val="24"/>
                <w:lang w:bidi="ar"/>
              </w:rPr>
            </w:pPr>
          </w:p>
        </w:tc>
        <w:tc>
          <w:tcPr>
            <w:tcW w:w="3639" w:type="dxa"/>
            <w:vAlign w:val="center"/>
          </w:tcPr>
          <w:p>
            <w:pPr>
              <w:adjustRightInd w:val="0"/>
              <w:snapToGrid w:val="0"/>
              <w:spacing w:line="420" w:lineRule="exact"/>
              <w:ind w:left="249" w:leftChars="113" w:firstLine="240" w:firstLineChars="100"/>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签订地</w:t>
            </w:r>
          </w:p>
        </w:tc>
        <w:tc>
          <w:tcPr>
            <w:tcW w:w="7324" w:type="dxa"/>
            <w:gridSpan w:val="2"/>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四川绵阳</w:t>
            </w:r>
          </w:p>
        </w:tc>
      </w:tr>
    </w:tbl>
    <w:p>
      <w:pPr>
        <w:spacing w:line="360" w:lineRule="auto"/>
        <w:ind w:firstLine="480" w:firstLineChars="200"/>
        <w:rPr>
          <w:rFonts w:ascii="宋体" w:eastAsia="宋体" w:cs="宋体"/>
          <w:sz w:val="24"/>
        </w:rPr>
      </w:pP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rPr>
        <w:br w:type="page"/>
      </w:r>
      <w:r>
        <w:rPr>
          <w:rFonts w:hint="eastAsia" w:ascii="宋体" w:eastAsia="宋体" w:cs="宋体"/>
          <w:sz w:val="24"/>
          <w:szCs w:val="24"/>
          <w:lang w:bidi="ar"/>
        </w:rPr>
        <w:t>本合同就 四川九洲空管科技有限责任公司（以下简称“需方”）向</w:t>
      </w:r>
      <w:r>
        <w:rPr>
          <w:rFonts w:hint="eastAsia" w:ascii="宋体" w:eastAsia="宋体" w:cs="宋体"/>
          <w:sz w:val="24"/>
          <w:szCs w:val="24"/>
          <w:u w:val="single"/>
          <w:lang w:bidi="ar"/>
        </w:rPr>
        <w:t xml:space="preserve">     </w:t>
      </w:r>
      <w:r>
        <w:rPr>
          <w:rFonts w:hint="eastAsia" w:ascii="宋体" w:eastAsia="宋体" w:cs="宋体"/>
          <w:sz w:val="24"/>
          <w:szCs w:val="24"/>
          <w:lang w:bidi="ar"/>
        </w:rPr>
        <w:t>（以下简称“供方”）采购</w:t>
      </w:r>
      <w:r>
        <w:rPr>
          <w:rFonts w:hint="eastAsia" w:ascii="宋体" w:eastAsia="宋体" w:cs="宋体"/>
          <w:sz w:val="24"/>
          <w:szCs w:val="24"/>
          <w:u w:val="single"/>
          <w:lang w:bidi="ar"/>
        </w:rPr>
        <w:t>四川九洲空管科技有限责任公司XXX</w:t>
      </w:r>
      <w:r>
        <w:rPr>
          <w:rFonts w:hint="eastAsia" w:ascii="宋体" w:eastAsia="宋体" w:cs="宋体"/>
          <w:sz w:val="24"/>
          <w:szCs w:val="24"/>
          <w:lang w:bidi="ar"/>
        </w:rPr>
        <w:t>事宜。双方经过平等协商，在真实、充分地表达各自意愿的基础上，根据《中华人民共和国民法典》等</w:t>
      </w:r>
      <w:r>
        <w:rPr>
          <w:rFonts w:hint="eastAsia" w:ascii="宋体" w:eastAsia="宋体" w:cs="宋体"/>
          <w:sz w:val="24"/>
          <w:szCs w:val="24"/>
          <w:lang w:eastAsia="zh-Hans" w:bidi="ar"/>
        </w:rPr>
        <w:t>相关</w:t>
      </w:r>
      <w:r>
        <w:rPr>
          <w:rFonts w:hint="eastAsia" w:ascii="宋体" w:eastAsia="宋体" w:cs="宋体"/>
          <w:sz w:val="24"/>
          <w:szCs w:val="24"/>
          <w:lang w:bidi="ar"/>
        </w:rPr>
        <w:t>法律法规的规定，达成如下协议，以兹共同信守。</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 xml:space="preserve">本采购合同与下列文件一起构成合同文件： </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 xml:space="preserve">1）技术协议； </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2）投标文件及报价文件；</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3）其他合同文件。</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上述文件互相补充和解释。上述文件若存在冲突矛盾，按本采购合同、技术协议、投标文件、报价文件、其他合同文件的顺序进行解释，排名靠前的效力越高。</w:t>
      </w:r>
    </w:p>
    <w:p>
      <w:pPr>
        <w:adjustRightInd w:val="0"/>
        <w:snapToGrid w:val="0"/>
        <w:spacing w:line="420" w:lineRule="exact"/>
        <w:ind w:left="-110" w:leftChars="-50" w:right="-110" w:rightChars="-50" w:firstLine="602" w:firstLineChars="250"/>
        <w:outlineLvl w:val="0"/>
        <w:rPr>
          <w:rFonts w:ascii="宋体" w:eastAsia="宋体" w:cs="宋体"/>
          <w:kern w:val="0"/>
          <w:sz w:val="24"/>
          <w:szCs w:val="24"/>
          <w:lang w:bidi="ar"/>
        </w:rPr>
      </w:pPr>
      <w:bookmarkStart w:id="103" w:name="_Toc19047"/>
      <w:r>
        <w:rPr>
          <w:rFonts w:hint="eastAsia" w:ascii="宋体" w:eastAsia="宋体" w:cs="宋体"/>
          <w:b/>
          <w:bCs/>
          <w:kern w:val="0"/>
          <w:sz w:val="24"/>
          <w:szCs w:val="24"/>
          <w:lang w:bidi="ar"/>
        </w:rPr>
        <w:t>一、产品名称、数量及金额</w:t>
      </w:r>
      <w:bookmarkEnd w:id="103"/>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1.合同中载明的签约合同价包括乙方为完成合同全部义务应承担的一切成本、费用和支出以及乙方的合理利润，结算时不再调整。</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2.签约合同价为</w:t>
      </w:r>
      <w:r>
        <w:rPr>
          <w:rFonts w:hint="eastAsia" w:ascii="宋体" w:eastAsia="宋体" w:cs="宋体"/>
          <w:sz w:val="24"/>
          <w:szCs w:val="24"/>
          <w:u w:val="single"/>
          <w:lang w:bidi="ar"/>
        </w:rPr>
        <w:t xml:space="preserve">       </w:t>
      </w:r>
      <w:r>
        <w:rPr>
          <w:rFonts w:hint="eastAsia" w:ascii="宋体" w:eastAsia="宋体" w:cs="宋体"/>
          <w:sz w:val="24"/>
          <w:szCs w:val="24"/>
          <w:lang w:bidi="ar"/>
        </w:rPr>
        <w:t>元（人民币大写：</w:t>
      </w:r>
      <w:r>
        <w:rPr>
          <w:rFonts w:hint="eastAsia" w:ascii="宋体" w:eastAsia="宋体" w:cs="宋体"/>
          <w:sz w:val="24"/>
          <w:szCs w:val="24"/>
          <w:u w:val="single"/>
          <w:lang w:bidi="ar"/>
        </w:rPr>
        <w:t xml:space="preserve">         </w:t>
      </w:r>
      <w:r>
        <w:rPr>
          <w:rFonts w:hint="eastAsia" w:ascii="宋体" w:eastAsia="宋体" w:cs="宋体"/>
          <w:sz w:val="24"/>
          <w:szCs w:val="24"/>
          <w:lang w:bidi="ar"/>
        </w:rPr>
        <w:t>元整）。分项价格如下表：</w:t>
      </w:r>
    </w:p>
    <w:p>
      <w:pPr>
        <w:adjustRightInd w:val="0"/>
        <w:snapToGrid w:val="0"/>
        <w:spacing w:line="420" w:lineRule="exact"/>
        <w:ind w:left="249" w:leftChars="113" w:firstLine="240" w:firstLineChars="100"/>
        <w:jc w:val="right"/>
        <w:rPr>
          <w:rFonts w:ascii="宋体" w:eastAsia="宋体" w:cs="宋体"/>
          <w:sz w:val="24"/>
          <w:szCs w:val="24"/>
          <w:lang w:bidi="ar"/>
        </w:rPr>
      </w:pPr>
      <w:r>
        <w:rPr>
          <w:rFonts w:hint="eastAsia" w:ascii="宋体" w:eastAsia="宋体" w:cs="宋体"/>
          <w:sz w:val="24"/>
          <w:szCs w:val="24"/>
          <w:lang w:bidi="ar"/>
        </w:rPr>
        <w:t xml:space="preserve"> 货币单位：人民币元</w:t>
      </w:r>
    </w:p>
    <w:tbl>
      <w:tblPr>
        <w:tblStyle w:val="30"/>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序号</w:t>
            </w:r>
          </w:p>
        </w:tc>
        <w:tc>
          <w:tcPr>
            <w:tcW w:w="2086"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分项名称</w:t>
            </w:r>
          </w:p>
        </w:tc>
        <w:tc>
          <w:tcPr>
            <w:tcW w:w="2247" w:type="dxa"/>
            <w:noWrap/>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型号和规格</w:t>
            </w:r>
          </w:p>
        </w:tc>
        <w:tc>
          <w:tcPr>
            <w:tcW w:w="709" w:type="dxa"/>
            <w:noWrap/>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w:t>
            </w:r>
          </w:p>
        </w:tc>
        <w:tc>
          <w:tcPr>
            <w:tcW w:w="709"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数量</w:t>
            </w:r>
          </w:p>
        </w:tc>
        <w:tc>
          <w:tcPr>
            <w:tcW w:w="1134"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单价</w:t>
            </w:r>
          </w:p>
        </w:tc>
        <w:tc>
          <w:tcPr>
            <w:tcW w:w="1134"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小计</w:t>
            </w:r>
          </w:p>
        </w:tc>
        <w:tc>
          <w:tcPr>
            <w:tcW w:w="18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pPr>
              <w:adjustRightInd w:val="0"/>
              <w:snapToGrid w:val="0"/>
              <w:spacing w:line="420" w:lineRule="exact"/>
              <w:rPr>
                <w:rFonts w:ascii="宋体" w:eastAsia="宋体" w:cs="宋体"/>
                <w:sz w:val="24"/>
                <w:szCs w:val="24"/>
                <w:lang w:bidi="ar"/>
              </w:rPr>
            </w:pPr>
            <w:r>
              <w:rPr>
                <w:rFonts w:hint="eastAsia" w:ascii="宋体" w:eastAsia="宋体" w:cs="宋体"/>
                <w:b/>
                <w:bCs/>
                <w:sz w:val="24"/>
                <w:szCs w:val="24"/>
                <w:lang w:bidi="ar"/>
              </w:rPr>
              <w:t>一、硬件配置部分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86"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247"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pPr>
              <w:adjustRightInd w:val="0"/>
              <w:snapToGrid w:val="0"/>
              <w:spacing w:line="420" w:lineRule="exact"/>
              <w:rPr>
                <w:rFonts w:ascii="宋体" w:eastAsia="宋体" w:cs="宋体"/>
                <w:sz w:val="24"/>
                <w:szCs w:val="24"/>
                <w:lang w:bidi="ar"/>
              </w:rPr>
            </w:pPr>
            <w:r>
              <w:rPr>
                <w:rFonts w:hint="eastAsia" w:ascii="宋体" w:eastAsia="宋体" w:cs="宋体"/>
                <w:sz w:val="24"/>
                <w:szCs w:val="24"/>
                <w:lang w:bidi="ar"/>
              </w:rPr>
              <w:t>以上硬件设备合计</w:t>
            </w:r>
          </w:p>
        </w:tc>
        <w:tc>
          <w:tcPr>
            <w:tcW w:w="4095" w:type="dxa"/>
            <w:gridSpan w:val="3"/>
            <w:shd w:val="clear" w:color="000000" w:fill="FFFFFF"/>
            <w:vAlign w:val="center"/>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pPr>
              <w:adjustRightInd w:val="0"/>
              <w:snapToGrid w:val="0"/>
              <w:spacing w:line="420" w:lineRule="exact"/>
              <w:rPr>
                <w:rFonts w:ascii="宋体" w:eastAsia="宋体" w:cs="宋体"/>
                <w:sz w:val="24"/>
                <w:szCs w:val="24"/>
                <w:lang w:bidi="ar"/>
              </w:rPr>
            </w:pPr>
            <w:r>
              <w:rPr>
                <w:rFonts w:hint="eastAsia" w:ascii="宋体" w:eastAsia="宋体" w:cs="宋体"/>
                <w:b/>
                <w:bCs/>
                <w:sz w:val="24"/>
                <w:szCs w:val="24"/>
                <w:lang w:bidi="ar"/>
              </w:rPr>
              <w:t>二、软件配置部分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86"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86"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247"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以上应用软件合计</w:t>
            </w:r>
          </w:p>
        </w:tc>
        <w:tc>
          <w:tcPr>
            <w:tcW w:w="4095" w:type="dxa"/>
            <w:gridSpan w:val="3"/>
            <w:shd w:val="clear" w:color="000000" w:fill="FFFFFF"/>
          </w:tcPr>
          <w:p>
            <w:pPr>
              <w:adjustRightInd w:val="0"/>
              <w:snapToGrid w:val="0"/>
              <w:spacing w:line="420" w:lineRule="exact"/>
              <w:ind w:left="249" w:leftChars="113" w:firstLine="240" w:firstLineChars="100"/>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备注：1.若国家税率发生变化导致降低了乙方开票成本的，所节约的成本由甲方享用，甲方减少相应支付的金额。</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2.产品明细见附件一《产品及技术服务清单》。</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3.技术要求见《技术协议》。</w:t>
            </w:r>
          </w:p>
          <w:p>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4.开具13%增值税专用发票。</w:t>
            </w:r>
          </w:p>
        </w:tc>
      </w:tr>
    </w:tbl>
    <w:p>
      <w:pPr>
        <w:adjustRightInd w:val="0"/>
        <w:snapToGrid w:val="0"/>
        <w:spacing w:line="420" w:lineRule="exact"/>
        <w:ind w:left="249" w:leftChars="113" w:firstLine="240" w:firstLineChars="100"/>
        <w:rPr>
          <w:rFonts w:ascii="宋体" w:eastAsia="宋体" w:cs="宋体"/>
          <w:sz w:val="24"/>
          <w:szCs w:val="24"/>
          <w:lang w:bidi="ar"/>
        </w:rPr>
      </w:pPr>
    </w:p>
    <w:p>
      <w:pPr>
        <w:adjustRightInd w:val="0"/>
        <w:snapToGrid w:val="0"/>
        <w:spacing w:line="420" w:lineRule="exact"/>
        <w:ind w:left="-110" w:leftChars="-50" w:right="-110" w:rightChars="-50" w:firstLine="600" w:firstLineChars="250"/>
        <w:outlineLvl w:val="0"/>
        <w:rPr>
          <w:rFonts w:ascii="宋体" w:eastAsia="宋体" w:cs="宋体"/>
          <w:kern w:val="0"/>
          <w:sz w:val="24"/>
          <w:szCs w:val="24"/>
        </w:rPr>
      </w:pPr>
      <w:bookmarkStart w:id="104" w:name="_Toc19899"/>
      <w:r>
        <w:rPr>
          <w:rFonts w:hint="eastAsia" w:ascii="宋体" w:eastAsia="宋体" w:cs="宋体"/>
          <w:kern w:val="0"/>
          <w:sz w:val="24"/>
          <w:szCs w:val="24"/>
          <w:lang w:bidi="ar"/>
        </w:rPr>
        <w:t>二、</w:t>
      </w:r>
      <w:r>
        <w:rPr>
          <w:rFonts w:hint="eastAsia" w:ascii="宋体" w:eastAsia="宋体" w:cs="宋体"/>
          <w:b/>
          <w:kern w:val="0"/>
          <w:sz w:val="24"/>
          <w:szCs w:val="24"/>
          <w:lang w:bidi="ar"/>
        </w:rPr>
        <w:t>质量要求、技术标准、产品质量保证期限</w:t>
      </w:r>
      <w:bookmarkEnd w:id="104"/>
    </w:p>
    <w:p>
      <w:pPr>
        <w:adjustRightInd w:val="0"/>
        <w:snapToGrid w:val="0"/>
        <w:spacing w:line="420" w:lineRule="exact"/>
        <w:ind w:left="249" w:leftChars="113" w:firstLine="240" w:firstLineChars="100"/>
        <w:rPr>
          <w:rFonts w:ascii="宋体" w:eastAsia="宋体" w:cs="宋体"/>
          <w:sz w:val="24"/>
          <w:szCs w:val="24"/>
          <w:u w:val="single"/>
        </w:rPr>
      </w:pPr>
      <w:r>
        <w:rPr>
          <w:rFonts w:hint="eastAsia" w:ascii="宋体" w:eastAsia="宋体" w:cs="宋体"/>
          <w:sz w:val="24"/>
          <w:szCs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eastAsia="宋体" w:cs="宋体"/>
          <w:kern w:val="0"/>
          <w:sz w:val="24"/>
          <w:szCs w:val="24"/>
          <w:lang w:bidi="ar"/>
        </w:rPr>
        <w:t>，若有样品，还需按需方确认的样品质量标准交付。</w:t>
      </w:r>
      <w:r>
        <w:rPr>
          <w:rFonts w:hint="eastAsia" w:ascii="宋体" w:eastAsia="宋体" w:cs="宋体"/>
          <w:sz w:val="24"/>
          <w:szCs w:val="24"/>
          <w:lang w:bidi="ar"/>
        </w:rPr>
        <w:t xml:space="preserve"> </w:t>
      </w:r>
    </w:p>
    <w:p>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2.技术标准：按满足使用要求。</w:t>
      </w:r>
    </w:p>
    <w:p>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3.供方承诺并保证，供方提供的产品均为全新产品，包含所有组件和零件均为全新，且产品质量符合合同约定标准，产品无质量缺陷，无潜在的安全风险。</w:t>
      </w:r>
    </w:p>
    <w:p>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eastAsia="宋体" w:cs="宋体"/>
          <w:sz w:val="24"/>
          <w:szCs w:val="24"/>
          <w:u w:val="single"/>
          <w:lang w:bidi="ar"/>
        </w:rPr>
        <w:t xml:space="preserve">   </w:t>
      </w:r>
      <w:r>
        <w:rPr>
          <w:rFonts w:hint="eastAsia" w:ascii="宋体" w:eastAsia="宋体" w:cs="宋体"/>
          <w:sz w:val="24"/>
          <w:szCs w:val="24"/>
          <w:lang w:bidi="ar"/>
        </w:rPr>
        <w:t>年。</w:t>
      </w:r>
    </w:p>
    <w:p>
      <w:pPr>
        <w:adjustRightInd w:val="0"/>
        <w:snapToGrid w:val="0"/>
        <w:spacing w:line="420" w:lineRule="exact"/>
        <w:ind w:firstLine="480" w:firstLineChars="200"/>
        <w:outlineLvl w:val="0"/>
        <w:rPr>
          <w:rFonts w:ascii="宋体" w:eastAsia="宋体" w:cs="宋体"/>
          <w:sz w:val="24"/>
          <w:szCs w:val="24"/>
        </w:rPr>
      </w:pPr>
      <w:bookmarkStart w:id="105" w:name="_Toc21653"/>
      <w:r>
        <w:rPr>
          <w:rFonts w:hint="eastAsia" w:ascii="宋体" w:eastAsia="宋体" w:cs="宋体"/>
          <w:kern w:val="0"/>
          <w:sz w:val="24"/>
          <w:szCs w:val="24"/>
          <w:lang w:bidi="ar"/>
        </w:rPr>
        <w:t>三、</w:t>
      </w:r>
      <w:r>
        <w:rPr>
          <w:rFonts w:hint="eastAsia" w:ascii="宋体" w:eastAsia="宋体" w:cs="宋体"/>
          <w:b/>
          <w:kern w:val="0"/>
          <w:sz w:val="24"/>
          <w:szCs w:val="24"/>
          <w:lang w:bidi="ar"/>
        </w:rPr>
        <w:t>交货地点、方式</w:t>
      </w:r>
      <w:bookmarkEnd w:id="105"/>
      <w:r>
        <w:rPr>
          <w:rFonts w:hint="eastAsia" w:ascii="宋体" w:eastAsia="宋体" w:cs="宋体"/>
          <w:b/>
          <w:kern w:val="0"/>
          <w:sz w:val="24"/>
          <w:szCs w:val="24"/>
          <w:lang w:bidi="ar"/>
        </w:rPr>
        <w:t xml:space="preserve"> </w:t>
      </w:r>
    </w:p>
    <w:p>
      <w:pPr>
        <w:adjustRightInd w:val="0"/>
        <w:snapToGrid w:val="0"/>
        <w:spacing w:line="420" w:lineRule="exact"/>
        <w:ind w:firstLine="480" w:firstLineChars="200"/>
        <w:rPr>
          <w:rFonts w:ascii="宋体" w:eastAsia="宋体" w:cs="宋体"/>
          <w:sz w:val="24"/>
          <w:szCs w:val="24"/>
          <w:u w:val="single"/>
        </w:rPr>
      </w:pPr>
      <w:r>
        <w:rPr>
          <w:rFonts w:hint="eastAsia" w:ascii="宋体" w:eastAsia="宋体" w:cs="宋体"/>
          <w:sz w:val="24"/>
          <w:szCs w:val="24"/>
          <w:lang w:bidi="ar"/>
        </w:rPr>
        <w:t>供</w:t>
      </w:r>
      <w:r>
        <w:rPr>
          <w:rFonts w:hint="eastAsia" w:ascii="宋体" w:eastAsia="宋体" w:cs="宋体"/>
          <w:bCs/>
          <w:sz w:val="24"/>
          <w:szCs w:val="24"/>
          <w:lang w:bidi="ar"/>
        </w:rPr>
        <w:t>方自行将产品送到需方所在地—四川省绵阳市科创园区九华路6号或甲方书面指定地点(包括但不限于信函、电子邮件、传真、微信、短信等书面方式)。</w:t>
      </w:r>
      <w:bookmarkStart w:id="106" w:name="_Hlk168062699"/>
      <w:r>
        <w:rPr>
          <w:rFonts w:hint="eastAsia" w:ascii="宋体" w:eastAsia="宋体" w:cs="宋体"/>
          <w:bCs/>
          <w:sz w:val="24"/>
          <w:szCs w:val="24"/>
          <w:lang w:bidi="ar"/>
        </w:rPr>
        <w:t>收货人：</w:t>
      </w:r>
      <w:bookmarkEnd w:id="106"/>
      <w:r>
        <w:rPr>
          <w:rFonts w:hint="eastAsia" w:ascii="宋体" w:eastAsia="宋体" w:cs="宋体"/>
          <w:bCs/>
          <w:sz w:val="24"/>
          <w:szCs w:val="24"/>
          <w:u w:val="single"/>
          <w:lang w:bidi="ar"/>
        </w:rPr>
        <w:t xml:space="preserve">      </w:t>
      </w:r>
      <w:r>
        <w:rPr>
          <w:rFonts w:hint="eastAsia" w:ascii="宋体" w:eastAsia="宋体" w:cs="宋体"/>
          <w:bCs/>
          <w:sz w:val="24"/>
          <w:szCs w:val="24"/>
          <w:lang w:bidi="ar"/>
        </w:rPr>
        <w:t>，联系电话：</w:t>
      </w:r>
      <w:r>
        <w:rPr>
          <w:rFonts w:hint="eastAsia" w:ascii="宋体" w:eastAsia="宋体" w:cs="宋体"/>
          <w:bCs/>
          <w:sz w:val="24"/>
          <w:szCs w:val="24"/>
          <w:u w:val="single"/>
          <w:lang w:bidi="ar"/>
        </w:rPr>
        <w:t xml:space="preserve">             </w:t>
      </w:r>
      <w:r>
        <w:rPr>
          <w:rFonts w:hint="eastAsia" w:ascii="宋体" w:eastAsia="宋体" w:cs="宋体"/>
          <w:bCs/>
          <w:sz w:val="24"/>
          <w:szCs w:val="24"/>
          <w:lang w:bidi="ar"/>
        </w:rPr>
        <w:t>。</w:t>
      </w:r>
    </w:p>
    <w:p>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07" w:name="_Toc8569"/>
      <w:r>
        <w:rPr>
          <w:rFonts w:hint="eastAsia" w:ascii="宋体" w:eastAsia="宋体" w:cs="宋体"/>
          <w:b/>
          <w:kern w:val="0"/>
          <w:sz w:val="24"/>
          <w:szCs w:val="24"/>
          <w:lang w:bidi="ar"/>
        </w:rPr>
        <w:t>四、运输方式及到达地点和费用负担</w:t>
      </w:r>
      <w:bookmarkEnd w:id="107"/>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sz w:val="24"/>
          <w:szCs w:val="24"/>
          <w:lang w:bidi="ar"/>
        </w:rPr>
        <w:t>运输方式由供方根据交货时间要求自行决定，产品运送至需方所在地或需方指定地点，运输费用由供方负担。</w:t>
      </w:r>
    </w:p>
    <w:p>
      <w:pPr>
        <w:numPr>
          <w:ilvl w:val="0"/>
          <w:numId w:val="11"/>
        </w:numPr>
        <w:adjustRightInd w:val="0"/>
        <w:snapToGrid w:val="0"/>
        <w:spacing w:after="0" w:line="420" w:lineRule="exact"/>
        <w:ind w:left="-110" w:leftChars="-50" w:right="-110" w:rightChars="-50" w:firstLine="602" w:firstLineChars="250"/>
        <w:jc w:val="both"/>
        <w:outlineLvl w:val="0"/>
        <w:rPr>
          <w:rFonts w:ascii="宋体" w:eastAsia="宋体" w:cs="宋体"/>
          <w:b/>
          <w:kern w:val="0"/>
          <w:sz w:val="24"/>
          <w:szCs w:val="24"/>
        </w:rPr>
      </w:pPr>
      <w:bookmarkStart w:id="108" w:name="_Toc6818"/>
      <w:r>
        <w:rPr>
          <w:rFonts w:hint="eastAsia" w:ascii="宋体" w:eastAsia="宋体" w:cs="宋体"/>
          <w:b/>
          <w:kern w:val="0"/>
          <w:sz w:val="24"/>
          <w:szCs w:val="24"/>
          <w:lang w:bidi="ar"/>
        </w:rPr>
        <w:t>交付及风险转移</w:t>
      </w:r>
      <w:bookmarkEnd w:id="108"/>
    </w:p>
    <w:p>
      <w:pPr>
        <w:adjustRightInd w:val="0"/>
        <w:snapToGrid w:val="0"/>
        <w:spacing w:line="420" w:lineRule="exact"/>
        <w:ind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供方应对产品在运输、装卸、安装、调试过程中的损毁、灭失风险负责。产品经供方安装调试完毕，且经需方验收合格并交付需方后，产品的权属及风险转移至需方。</w:t>
      </w:r>
    </w:p>
    <w:p>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09" w:name="_Toc17173"/>
      <w:r>
        <w:rPr>
          <w:rFonts w:hint="eastAsia" w:ascii="宋体" w:eastAsia="宋体" w:cs="宋体"/>
          <w:b/>
          <w:kern w:val="0"/>
          <w:sz w:val="24"/>
          <w:szCs w:val="24"/>
          <w:lang w:bidi="ar"/>
        </w:rPr>
        <w:t>六、交付时外观状态</w:t>
      </w:r>
      <w:bookmarkEnd w:id="109"/>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产品交付需方时应外观完好，无破损、无变形、无掉漆等。</w:t>
      </w:r>
    </w:p>
    <w:p>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10" w:name="_Toc13219"/>
      <w:r>
        <w:rPr>
          <w:rFonts w:hint="eastAsia" w:ascii="宋体" w:eastAsia="宋体" w:cs="宋体"/>
          <w:b/>
          <w:kern w:val="0"/>
          <w:sz w:val="24"/>
          <w:szCs w:val="24"/>
          <w:lang w:bidi="ar"/>
        </w:rPr>
        <w:t>七、包装标准、包装品的处理和费用负担</w:t>
      </w:r>
      <w:bookmarkEnd w:id="110"/>
      <w:r>
        <w:rPr>
          <w:rFonts w:hint="eastAsia" w:ascii="宋体" w:eastAsia="宋体" w:cs="宋体"/>
          <w:b/>
          <w:kern w:val="0"/>
          <w:sz w:val="24"/>
          <w:szCs w:val="24"/>
          <w:lang w:bidi="ar"/>
        </w:rPr>
        <w:t xml:space="preserve"> </w:t>
      </w:r>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1.出厂原包装，适合长途运输及合理的多次搬动，并有良好的防湿、防潮、防震和防腐蚀的能力；包装费用由供方承担，包装物不回收。</w:t>
      </w:r>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2.包装箱内应有装箱清单（应注明所购产品型号、数量）、测试报告、合格证、质保书和保修卡等。</w:t>
      </w:r>
    </w:p>
    <w:p>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11" w:name="_Toc29492"/>
      <w:r>
        <w:rPr>
          <w:rFonts w:hint="eastAsia" w:ascii="宋体" w:eastAsia="宋体" w:cs="宋体"/>
          <w:b/>
          <w:kern w:val="0"/>
          <w:sz w:val="24"/>
          <w:szCs w:val="24"/>
          <w:lang w:bidi="ar"/>
        </w:rPr>
        <w:t>八、随机备品、配件、工具数量及供应办法</w:t>
      </w:r>
      <w:bookmarkEnd w:id="111"/>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供方应按满足需方使用要求以及行业、国家标准，配备足量的备品、备件及工具。产品备品、备件及工具，随产品一并交付。若需方另有需求，双方应在本合同第一条予以明确。</w:t>
      </w:r>
    </w:p>
    <w:p>
      <w:pPr>
        <w:adjustRightInd w:val="0"/>
        <w:snapToGrid w:val="0"/>
        <w:spacing w:line="420" w:lineRule="exact"/>
        <w:ind w:left="453" w:leftChars="206" w:right="-110" w:rightChars="-50"/>
        <w:outlineLvl w:val="0"/>
        <w:rPr>
          <w:rFonts w:ascii="宋体" w:eastAsia="宋体" w:cs="宋体"/>
          <w:b/>
          <w:kern w:val="0"/>
          <w:sz w:val="24"/>
          <w:szCs w:val="24"/>
        </w:rPr>
      </w:pPr>
      <w:bookmarkStart w:id="112" w:name="_Toc21505"/>
      <w:r>
        <w:rPr>
          <w:rFonts w:hint="eastAsia" w:ascii="宋体" w:eastAsia="宋体" w:cs="宋体"/>
          <w:b/>
          <w:sz w:val="24"/>
          <w:szCs w:val="24"/>
          <w:lang w:bidi="ar"/>
        </w:rPr>
        <w:t>九、</w:t>
      </w:r>
      <w:r>
        <w:rPr>
          <w:rFonts w:hint="eastAsia" w:ascii="宋体" w:eastAsia="宋体" w:cs="宋体"/>
          <w:b/>
          <w:kern w:val="0"/>
          <w:sz w:val="24"/>
          <w:szCs w:val="24"/>
          <w:lang w:bidi="ar"/>
        </w:rPr>
        <w:t>验收主体、时间、标准、方法及提出异议期限</w:t>
      </w:r>
      <w:bookmarkEnd w:id="112"/>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1.货到需方现场后，供方应在</w:t>
      </w:r>
      <w:r>
        <w:rPr>
          <w:rFonts w:hint="eastAsia" w:ascii="宋体" w:eastAsia="宋体" w:cs="宋体"/>
          <w:kern w:val="0"/>
          <w:sz w:val="24"/>
          <w:szCs w:val="24"/>
          <w:u w:val="single"/>
          <w:lang w:bidi="ar"/>
        </w:rPr>
        <w:t>3</w:t>
      </w:r>
      <w:r>
        <w:rPr>
          <w:rFonts w:hint="eastAsia" w:ascii="宋体" w:eastAsia="宋体" w:cs="宋体"/>
          <w:kern w:val="0"/>
          <w:sz w:val="24"/>
          <w:szCs w:val="24"/>
          <w:lang w:bidi="ar"/>
        </w:rPr>
        <w:t>日内安装调试完毕；安装调试完毕后，供需双方共同对产品的型号规格、供货数量、产品质量、性能特点、技术参数等方面进行验收；验收标准满足需方使用要求。</w:t>
      </w:r>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eastAsia="宋体" w:cs="宋体"/>
          <w:bCs/>
          <w:sz w:val="24"/>
          <w:szCs w:val="24"/>
          <w:lang w:bidi="ar"/>
        </w:rPr>
        <w:t>由供方承担。</w:t>
      </w:r>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eastAsia="宋体" w:cs="宋体"/>
          <w:bCs/>
          <w:kern w:val="0"/>
          <w:sz w:val="24"/>
          <w:szCs w:val="24"/>
          <w:lang w:bidi="ar"/>
        </w:rPr>
        <w:t>到需方书面异议后，应在</w:t>
      </w:r>
      <w:r>
        <w:rPr>
          <w:rFonts w:hint="eastAsia" w:ascii="宋体" w:eastAsia="宋体" w:cs="宋体"/>
          <w:bCs/>
          <w:kern w:val="0"/>
          <w:sz w:val="24"/>
          <w:szCs w:val="24"/>
          <w:u w:val="single"/>
          <w:lang w:bidi="ar"/>
        </w:rPr>
        <w:t>7</w:t>
      </w:r>
      <w:r>
        <w:rPr>
          <w:rFonts w:hint="eastAsia" w:ascii="宋体" w:eastAsia="宋体" w:cs="宋体"/>
          <w:bCs/>
          <w:kern w:val="0"/>
          <w:sz w:val="24"/>
          <w:szCs w:val="24"/>
          <w:lang w:bidi="ar"/>
        </w:rPr>
        <w:t>日内负责处理完毕，否则，即</w:t>
      </w:r>
      <w:r>
        <w:rPr>
          <w:rFonts w:hint="eastAsia" w:ascii="宋体" w:eastAsia="宋体" w:cs="宋体"/>
          <w:kern w:val="0"/>
          <w:sz w:val="24"/>
          <w:szCs w:val="24"/>
          <w:lang w:bidi="ar"/>
        </w:rPr>
        <w:t>视为默认需方提出的异议和处理意见。</w:t>
      </w:r>
    </w:p>
    <w:p>
      <w:pPr>
        <w:adjustRightInd w:val="0"/>
        <w:snapToGrid w:val="0"/>
        <w:spacing w:line="420" w:lineRule="exact"/>
        <w:ind w:left="392" w:leftChars="178" w:right="-110" w:rightChars="-50" w:firstLine="120" w:firstLineChars="50"/>
        <w:outlineLvl w:val="0"/>
        <w:rPr>
          <w:rFonts w:ascii="宋体" w:eastAsia="宋体" w:cs="宋体"/>
          <w:b/>
          <w:kern w:val="0"/>
          <w:sz w:val="24"/>
          <w:szCs w:val="24"/>
        </w:rPr>
      </w:pPr>
      <w:bookmarkStart w:id="113" w:name="_Toc6542"/>
      <w:r>
        <w:rPr>
          <w:rFonts w:hint="eastAsia" w:ascii="宋体" w:eastAsia="宋体" w:cs="宋体"/>
          <w:b/>
          <w:kern w:val="0"/>
          <w:sz w:val="24"/>
          <w:szCs w:val="24"/>
          <w:lang w:bidi="ar"/>
        </w:rPr>
        <w:t>十、培训</w:t>
      </w:r>
      <w:bookmarkEnd w:id="113"/>
    </w:p>
    <w:p>
      <w:pPr>
        <w:pStyle w:val="26"/>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pPr>
        <w:adjustRightInd w:val="0"/>
        <w:snapToGrid w:val="0"/>
        <w:spacing w:line="420" w:lineRule="exact"/>
        <w:ind w:left="392" w:leftChars="178" w:right="-110" w:rightChars="-50" w:firstLine="120" w:firstLineChars="50"/>
        <w:outlineLvl w:val="0"/>
        <w:rPr>
          <w:rFonts w:ascii="宋体" w:eastAsia="宋体" w:cs="宋体"/>
        </w:rPr>
      </w:pPr>
      <w:bookmarkStart w:id="114" w:name="_Toc32188"/>
      <w:r>
        <w:rPr>
          <w:rFonts w:hint="eastAsia" w:ascii="宋体" w:eastAsia="宋体" w:cs="宋体"/>
          <w:b/>
          <w:kern w:val="0"/>
          <w:sz w:val="24"/>
          <w:szCs w:val="24"/>
          <w:lang w:bidi="ar"/>
        </w:rPr>
        <w:t>十一、结算方式及期限</w:t>
      </w:r>
      <w:bookmarkEnd w:id="114"/>
    </w:p>
    <w:p>
      <w:pPr>
        <w:adjustRightInd w:val="0"/>
        <w:snapToGrid w:val="0"/>
        <w:spacing w:line="420" w:lineRule="exact"/>
        <w:outlineLvl w:val="1"/>
        <w:rPr>
          <w:rFonts w:ascii="宋体" w:eastAsia="宋体" w:cs="宋体"/>
          <w:kern w:val="0"/>
          <w:sz w:val="24"/>
          <w:szCs w:val="24"/>
        </w:rPr>
      </w:pPr>
      <w:r>
        <w:rPr>
          <w:rFonts w:hint="eastAsia" w:ascii="宋体" w:eastAsia="宋体" w:cs="宋体"/>
          <w:kern w:val="0"/>
          <w:sz w:val="24"/>
          <w:szCs w:val="24"/>
          <w:lang w:bidi="ar"/>
        </w:rPr>
        <w:t xml:space="preserve"> </w:t>
      </w:r>
      <w:bookmarkStart w:id="115" w:name="_Toc11426"/>
      <w:r>
        <w:rPr>
          <w:rFonts w:hint="eastAsia" w:ascii="宋体" w:eastAsia="宋体" w:cs="宋体"/>
          <w:kern w:val="0"/>
          <w:sz w:val="24"/>
          <w:szCs w:val="24"/>
          <w:lang w:bidi="ar"/>
        </w:rPr>
        <w:t>(一)结算方式为需方通过本合同中供方提供的银行账号进行转账。</w:t>
      </w:r>
      <w:bookmarkEnd w:id="115"/>
    </w:p>
    <w:p>
      <w:pPr>
        <w:adjustRightInd w:val="0"/>
        <w:snapToGrid w:val="0"/>
        <w:spacing w:line="420" w:lineRule="exact"/>
        <w:outlineLvl w:val="1"/>
        <w:rPr>
          <w:rFonts w:ascii="宋体" w:eastAsia="宋体" w:cs="宋体"/>
          <w:kern w:val="0"/>
          <w:sz w:val="24"/>
          <w:szCs w:val="24"/>
        </w:rPr>
      </w:pPr>
      <w:bookmarkStart w:id="116" w:name="_Toc24531"/>
      <w:r>
        <w:rPr>
          <w:rFonts w:hint="eastAsia" w:ascii="宋体" w:eastAsia="宋体" w:cs="宋体"/>
          <w:kern w:val="0"/>
          <w:sz w:val="24"/>
          <w:szCs w:val="24"/>
          <w:lang w:bidi="ar"/>
        </w:rPr>
        <w:t>（二）合同款项以转账方式支付：</w:t>
      </w:r>
      <w:bookmarkEnd w:id="116"/>
    </w:p>
    <w:p>
      <w:pPr>
        <w:adjustRightInd w:val="0"/>
        <w:snapToGrid w:val="0"/>
        <w:spacing w:line="300" w:lineRule="auto"/>
        <w:ind w:firstLine="480" w:firstLineChars="200"/>
        <w:rPr>
          <w:rFonts w:ascii="宋体" w:eastAsia="宋体" w:cs="宋体"/>
          <w:kern w:val="0"/>
          <w:sz w:val="24"/>
          <w:szCs w:val="24"/>
          <w:lang w:bidi="ar"/>
        </w:rPr>
      </w:pPr>
      <w:r>
        <w:rPr>
          <w:rFonts w:hint="eastAsia" w:ascii="宋体" w:eastAsia="宋体" w:cs="宋体"/>
          <w:kern w:val="0"/>
          <w:sz w:val="24"/>
          <w:szCs w:val="24"/>
          <w:lang w:bidi="ar"/>
        </w:rPr>
        <w:t>1.合同履约保证金：合同签订生效后，30个工作日内乙方应按合同总价的5%向甲方支付履约保证金，即      元（人民币：     元整），项目验收合格30个工作日内，甲方以银行电汇方式退还乙方。</w:t>
      </w:r>
    </w:p>
    <w:p>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2.合同签订生效后，三十个工作日内支付乙方合同款的30%，即人民币         元（大写：人民币      元整）</w:t>
      </w:r>
    </w:p>
    <w:p>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3.乙方在合同约定时间内将产品交付甲方，甲方在产品安装调试完毕并验收合格且收到乙方开具的全额增值税专用发票后三十个工作日内支付乙方合同款的30%，即人民币         元（大写：人民币      元整）；</w:t>
      </w:r>
    </w:p>
    <w:p>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4.验收合格后试运行六个月，三十个工作日内支付乙方合同款的30%，即人民币         元（大写：人民币      元整）；</w:t>
      </w:r>
    </w:p>
    <w:p>
      <w:pPr>
        <w:adjustRightInd w:val="0"/>
        <w:snapToGrid w:val="0"/>
        <w:spacing w:line="300" w:lineRule="auto"/>
        <w:ind w:firstLine="480" w:firstLineChars="200"/>
        <w:rPr>
          <w:rFonts w:ascii="宋体" w:eastAsia="宋体" w:cs="宋体"/>
          <w:kern w:val="0"/>
          <w:sz w:val="24"/>
          <w:szCs w:val="24"/>
          <w:lang w:bidi="ar"/>
        </w:rPr>
      </w:pPr>
      <w:r>
        <w:rPr>
          <w:rFonts w:hint="eastAsia" w:ascii="宋体" w:eastAsia="宋体" w:cs="宋体"/>
          <w:kern w:val="0"/>
          <w:sz w:val="24"/>
          <w:szCs w:val="24"/>
          <w:highlight w:val="yellow"/>
          <w:lang w:bidi="ar"/>
        </w:rPr>
        <w:t>5.剩余合同尾款作为乙方履行售后维保的质保金，产品无质量问题或质量瑕疵，自收到乙方全额增值税专用发票之日起12个月后支付乙方合同尾款，即人民币        元（大写：人民币     元整）；</w:t>
      </w:r>
    </w:p>
    <w:p>
      <w:pPr>
        <w:adjustRightInd w:val="0"/>
        <w:snapToGrid w:val="0"/>
        <w:spacing w:line="300" w:lineRule="auto"/>
        <w:ind w:firstLine="480" w:firstLineChars="200"/>
        <w:rPr>
          <w:rFonts w:ascii="宋体" w:eastAsia="宋体" w:cs="宋体"/>
          <w:kern w:val="0"/>
          <w:sz w:val="24"/>
          <w:szCs w:val="24"/>
        </w:rPr>
      </w:pPr>
      <w:r>
        <w:rPr>
          <w:rFonts w:hint="eastAsia" w:ascii="宋体" w:eastAsia="宋体" w:cs="宋体"/>
          <w:kern w:val="0"/>
          <w:sz w:val="24"/>
          <w:szCs w:val="24"/>
          <w:lang w:bidi="ar"/>
        </w:rPr>
        <w:t>6.乙方开具税率为</w:t>
      </w:r>
      <w:r>
        <w:rPr>
          <w:rFonts w:hint="eastAsia" w:ascii="宋体" w:eastAsia="宋体" w:cs="宋体"/>
          <w:kern w:val="0"/>
          <w:sz w:val="24"/>
          <w:szCs w:val="24"/>
          <w:u w:val="single"/>
          <w:lang w:bidi="ar"/>
        </w:rPr>
        <w:t>13</w:t>
      </w:r>
      <w:r>
        <w:rPr>
          <w:rFonts w:hint="eastAsia" w:ascii="宋体" w:eastAsia="宋体" w:cs="宋体"/>
          <w:kern w:val="0"/>
          <w:sz w:val="24"/>
          <w:szCs w:val="24"/>
          <w:lang w:bidi="ar"/>
        </w:rPr>
        <w:t>%的增值税专用发票。乙方未交付发票的，甲方付款时间顺延。</w:t>
      </w:r>
    </w:p>
    <w:p>
      <w:pPr>
        <w:adjustRightInd w:val="0"/>
        <w:snapToGrid w:val="0"/>
        <w:spacing w:line="300" w:lineRule="auto"/>
        <w:ind w:firstLine="480" w:firstLineChars="200"/>
        <w:rPr>
          <w:rFonts w:ascii="宋体" w:eastAsia="宋体" w:cs="宋体"/>
          <w:sz w:val="24"/>
          <w:szCs w:val="24"/>
        </w:rPr>
      </w:pPr>
      <w:r>
        <w:rPr>
          <w:rFonts w:hint="eastAsia" w:ascii="宋体" w:eastAsia="宋体" w:cs="宋体"/>
          <w:sz w:val="24"/>
          <w:szCs w:val="24"/>
          <w:lang w:bidi="ar"/>
        </w:rPr>
        <w:t>7.</w:t>
      </w:r>
      <w:r>
        <w:rPr>
          <w:rFonts w:hint="eastAsia" w:ascii="宋体" w:eastAsia="宋体" w:cs="宋体"/>
          <w:kern w:val="0"/>
          <w:sz w:val="24"/>
          <w:szCs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pPr>
        <w:adjustRightInd w:val="0"/>
        <w:snapToGrid w:val="0"/>
        <w:spacing w:line="300" w:lineRule="auto"/>
        <w:ind w:firstLine="480" w:firstLineChars="200"/>
        <w:rPr>
          <w:rFonts w:ascii="宋体" w:eastAsia="宋体" w:cs="宋体"/>
          <w:sz w:val="24"/>
          <w:szCs w:val="24"/>
          <w:lang w:bidi="ar"/>
        </w:rPr>
      </w:pPr>
      <w:r>
        <w:rPr>
          <w:rFonts w:hint="eastAsia" w:ascii="宋体" w:eastAsia="宋体" w:cs="宋体"/>
          <w:sz w:val="24"/>
          <w:szCs w:val="24"/>
          <w:lang w:bidi="ar"/>
        </w:rPr>
        <w:t>8.税率调整处理：若因国家政策税率发生变化时，按照不含税单价不变原则调整合同价格。</w:t>
      </w:r>
    </w:p>
    <w:p>
      <w:pPr>
        <w:adjustRightInd w:val="0"/>
        <w:snapToGrid w:val="0"/>
        <w:spacing w:line="420" w:lineRule="exact"/>
        <w:ind w:left="392" w:leftChars="178" w:right="-110" w:rightChars="-50" w:firstLine="120" w:firstLineChars="50"/>
        <w:outlineLvl w:val="0"/>
        <w:rPr>
          <w:rFonts w:ascii="宋体" w:eastAsia="宋体" w:cs="宋体"/>
          <w:b/>
          <w:kern w:val="0"/>
          <w:sz w:val="24"/>
          <w:szCs w:val="24"/>
        </w:rPr>
      </w:pPr>
      <w:bookmarkStart w:id="117" w:name="_Toc20484"/>
      <w:r>
        <w:rPr>
          <w:rFonts w:hint="eastAsia" w:ascii="宋体" w:eastAsia="宋体" w:cs="宋体"/>
          <w:b/>
          <w:kern w:val="0"/>
          <w:sz w:val="24"/>
          <w:szCs w:val="24"/>
          <w:lang w:bidi="ar"/>
        </w:rPr>
        <w:t>十二、商业秘密的保护</w:t>
      </w:r>
      <w:bookmarkEnd w:id="117"/>
    </w:p>
    <w:p>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pPr>
        <w:adjustRightInd w:val="0"/>
        <w:snapToGrid w:val="0"/>
        <w:spacing w:line="420" w:lineRule="exact"/>
        <w:ind w:firstLine="482" w:firstLineChars="200"/>
        <w:outlineLvl w:val="0"/>
        <w:rPr>
          <w:rFonts w:ascii="宋体" w:eastAsia="宋体" w:cs="宋体"/>
          <w:b/>
          <w:sz w:val="24"/>
          <w:szCs w:val="24"/>
        </w:rPr>
      </w:pPr>
      <w:bookmarkStart w:id="118" w:name="_Toc17874"/>
      <w:r>
        <w:rPr>
          <w:rFonts w:hint="eastAsia" w:ascii="宋体" w:eastAsia="宋体" w:cs="宋体"/>
          <w:b/>
          <w:sz w:val="24"/>
          <w:szCs w:val="24"/>
          <w:lang w:bidi="ar"/>
        </w:rPr>
        <w:t>十三、售后服务</w:t>
      </w:r>
      <w:bookmarkEnd w:id="118"/>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1.供方应在产品寿命期内对产品做好质量保证和维修服务，应做到及时响应和及时解决。具体执行如下：</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不定期向招标方提供含有软件最新功能描述、软件使用技巧、用户实例、最新研究动态等内容的相关资料。</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2.需方发现产品存在质量缺陷，供方应无条件进行保修，并不得收取任何费用。</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3.供方如更换售后服务联系电话，应提前3日书面通知需方。</w:t>
      </w:r>
    </w:p>
    <w:p>
      <w:pPr>
        <w:shd w:val="clear" w:color="auto" w:fill="FFFFFF"/>
        <w:adjustRightInd w:val="0"/>
        <w:snapToGrid w:val="0"/>
        <w:spacing w:line="420" w:lineRule="exact"/>
        <w:ind w:firstLine="482" w:firstLineChars="200"/>
        <w:outlineLvl w:val="0"/>
        <w:rPr>
          <w:rFonts w:ascii="宋体" w:eastAsia="宋体" w:cs="宋体"/>
          <w:b/>
          <w:kern w:val="0"/>
          <w:sz w:val="24"/>
          <w:szCs w:val="24"/>
          <w:shd w:val="clear" w:color="auto" w:fill="FFFFFF"/>
        </w:rPr>
      </w:pPr>
      <w:bookmarkStart w:id="119" w:name="_Toc9782"/>
      <w:r>
        <w:rPr>
          <w:rFonts w:hint="eastAsia" w:ascii="宋体" w:eastAsia="宋体" w:cs="宋体"/>
          <w:b/>
          <w:kern w:val="0"/>
          <w:sz w:val="24"/>
          <w:szCs w:val="24"/>
          <w:shd w:val="clear" w:color="auto" w:fill="FFFFFF"/>
          <w:lang w:bidi="ar"/>
        </w:rPr>
        <w:t>十四、权属及知识产权</w:t>
      </w:r>
      <w:bookmarkEnd w:id="119"/>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1.供方必须保证对所提供的产品具有完整的所有权，产品无抵押，且产品所涉及的知识产权权属无争议。</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2.若供方提供的产品或采用的工艺所涉及的知识产权是第三方授权许可使用的，供方须向需方提供相应知识产权许可证明。</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pPr>
        <w:shd w:val="clear" w:color="auto" w:fill="FFFFFF"/>
        <w:adjustRightInd w:val="0"/>
        <w:snapToGrid w:val="0"/>
        <w:spacing w:line="420" w:lineRule="exact"/>
        <w:ind w:firstLine="480" w:firstLineChars="200"/>
        <w:rPr>
          <w:rFonts w:ascii="宋体" w:eastAsia="宋体" w:cs="宋体"/>
          <w:b/>
          <w:kern w:val="0"/>
          <w:sz w:val="24"/>
          <w:szCs w:val="24"/>
          <w:shd w:val="clear" w:color="auto" w:fill="FFFFFF"/>
        </w:rPr>
      </w:pPr>
      <w:r>
        <w:rPr>
          <w:rFonts w:hint="eastAsia" w:ascii="宋体" w:eastAsia="宋体" w:cs="宋体"/>
          <w:kern w:val="0"/>
          <w:sz w:val="24"/>
          <w:szCs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pPr>
        <w:adjustRightInd w:val="0"/>
        <w:snapToGrid w:val="0"/>
        <w:spacing w:line="420" w:lineRule="exact"/>
        <w:ind w:right="-110" w:rightChars="-50" w:firstLine="472" w:firstLineChars="196"/>
        <w:outlineLvl w:val="0"/>
        <w:rPr>
          <w:rFonts w:ascii="宋体" w:eastAsia="宋体" w:cs="宋体"/>
          <w:b/>
          <w:kern w:val="0"/>
          <w:sz w:val="24"/>
          <w:szCs w:val="24"/>
        </w:rPr>
      </w:pPr>
      <w:bookmarkStart w:id="120" w:name="_Toc16590"/>
      <w:r>
        <w:rPr>
          <w:rFonts w:hint="eastAsia" w:ascii="宋体" w:eastAsia="宋体" w:cs="宋体"/>
          <w:b/>
          <w:kern w:val="0"/>
          <w:sz w:val="24"/>
          <w:szCs w:val="24"/>
          <w:lang w:bidi="ar"/>
        </w:rPr>
        <w:t>十五、违约责任</w:t>
      </w:r>
      <w:bookmarkEnd w:id="120"/>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sz w:val="24"/>
          <w:szCs w:val="24"/>
          <w:lang w:bidi="ar"/>
        </w:rPr>
        <w:t>1</w:t>
      </w:r>
      <w:r>
        <w:rPr>
          <w:rFonts w:hint="eastAsia" w:ascii="宋体" w:eastAsia="宋体" w:cs="宋体"/>
          <w:kern w:val="0"/>
          <w:sz w:val="24"/>
          <w:szCs w:val="24"/>
          <w:lang w:bidi="ar"/>
        </w:rPr>
        <w:t>.供方逾期交货的，每逾期一日应按照合同总额的</w:t>
      </w:r>
      <w:r>
        <w:rPr>
          <w:rFonts w:hint="eastAsia" w:ascii="宋体" w:eastAsia="宋体" w:cs="宋体"/>
          <w:kern w:val="0"/>
          <w:u w:val="single"/>
          <w:lang w:bidi="ar"/>
        </w:rPr>
        <w:t>0.03%</w:t>
      </w:r>
      <w:r>
        <w:rPr>
          <w:rFonts w:hint="eastAsia" w:ascii="宋体" w:eastAsia="宋体" w:cs="宋体"/>
          <w:kern w:val="0"/>
          <w:sz w:val="24"/>
          <w:szCs w:val="24"/>
          <w:lang w:bidi="ar"/>
        </w:rPr>
        <w:t>向需方支付违约金，并承担需方因此所受到的损失费用。</w:t>
      </w:r>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2.供方所交产品在质保期内发生非人为原因损坏的，除按本合同第二条承担质保责任外，每发生一次，应向需方支付合同金额5%的违约金。</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HYPERLINK "http://baike.baidu.com/view/38951.htm"</w:instrText>
      </w:r>
      <w:r>
        <w:fldChar w:fldCharType="separate"/>
      </w:r>
      <w:r>
        <w:rPr>
          <w:rFonts w:hint="eastAsia" w:ascii="宋体" w:eastAsia="宋体" w:cs="宋体"/>
          <w:kern w:val="0"/>
          <w:sz w:val="24"/>
          <w:szCs w:val="24"/>
          <w:shd w:val="clear" w:color="auto" w:fill="FFFFFF"/>
          <w:lang w:bidi="ar"/>
        </w:rPr>
        <w:t>违约金</w:t>
      </w:r>
      <w:r>
        <w:fldChar w:fldCharType="end"/>
      </w:r>
      <w:r>
        <w:rPr>
          <w:rFonts w:hint="eastAsia" w:ascii="宋体" w:eastAsia="宋体" w:cs="宋体"/>
          <w:kern w:val="0"/>
          <w:sz w:val="24"/>
          <w:szCs w:val="24"/>
          <w:shd w:val="clear" w:color="auto" w:fill="FFFFFF"/>
          <w:lang w:bidi="ar"/>
        </w:rPr>
        <w:t>。</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pPr>
        <w:pStyle w:val="61"/>
        <w:widowControl/>
        <w:spacing w:line="420" w:lineRule="exact"/>
        <w:ind w:right="-103" w:rightChars="-47" w:firstLine="480"/>
        <w:rPr>
          <w:rFonts w:ascii="宋体" w:eastAsia="宋体" w:cs="宋体"/>
          <w:kern w:val="0"/>
          <w:sz w:val="24"/>
          <w:szCs w:val="24"/>
        </w:rPr>
      </w:pPr>
      <w:r>
        <w:rPr>
          <w:rFonts w:hint="eastAsia" w:ascii="宋体" w:eastAsia="宋体" w:cs="宋体"/>
          <w:kern w:val="0"/>
          <w:sz w:val="24"/>
          <w:szCs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pPr>
        <w:widowControl w:val="0"/>
        <w:numPr>
          <w:ilvl w:val="0"/>
          <w:numId w:val="12"/>
        </w:numPr>
        <w:adjustRightInd w:val="0"/>
        <w:snapToGrid w:val="0"/>
        <w:spacing w:after="0" w:line="300" w:lineRule="auto"/>
        <w:ind w:firstLine="482" w:firstLineChars="200"/>
        <w:jc w:val="both"/>
        <w:outlineLvl w:val="0"/>
        <w:rPr>
          <w:rFonts w:ascii="宋体" w:eastAsia="宋体" w:cs="宋体"/>
          <w:b/>
          <w:kern w:val="0"/>
          <w:sz w:val="24"/>
          <w:szCs w:val="24"/>
        </w:rPr>
      </w:pPr>
      <w:bookmarkStart w:id="121" w:name="_Toc31273"/>
      <w:r>
        <w:rPr>
          <w:rFonts w:hint="eastAsia" w:ascii="宋体" w:eastAsia="宋体" w:cs="宋体"/>
          <w:b/>
          <w:kern w:val="0"/>
          <w:sz w:val="24"/>
          <w:szCs w:val="24"/>
          <w:lang w:bidi="ar"/>
        </w:rPr>
        <w:t>不可抗力</w:t>
      </w:r>
      <w:bookmarkEnd w:id="121"/>
    </w:p>
    <w:p>
      <w:pPr>
        <w:adjustRightInd w:val="0"/>
        <w:snapToGrid w:val="0"/>
        <w:spacing w:line="300" w:lineRule="auto"/>
        <w:ind w:firstLine="480" w:firstLineChars="200"/>
        <w:rPr>
          <w:rFonts w:ascii="宋体" w:eastAsia="宋体" w:cs="宋体"/>
          <w:sz w:val="24"/>
          <w:szCs w:val="24"/>
        </w:rPr>
      </w:pPr>
      <w:r>
        <w:rPr>
          <w:rFonts w:hint="eastAsia" w:ascii="宋体" w:eastAsia="宋体" w:cs="宋体"/>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2" w:name="_Toc15713"/>
      <w:r>
        <w:rPr>
          <w:rFonts w:hint="eastAsia" w:ascii="宋体" w:eastAsia="宋体" w:cs="宋体"/>
          <w:b/>
          <w:kern w:val="0"/>
          <w:sz w:val="24"/>
          <w:szCs w:val="24"/>
          <w:lang w:bidi="ar"/>
        </w:rPr>
        <w:t>十七、安全环保条款</w:t>
      </w:r>
      <w:bookmarkEnd w:id="122"/>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1.供方须严格遵守安全环保法律、法规和相关的安全环保管理制度。</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3.供方在产品生产过程中具有安全环保技术措施和专项方案，并严格贯彻落实。</w:t>
      </w:r>
    </w:p>
    <w:p>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3" w:name="_Toc5727"/>
      <w:r>
        <w:rPr>
          <w:rFonts w:hint="eastAsia" w:ascii="宋体" w:eastAsia="宋体" w:cs="宋体"/>
          <w:b/>
          <w:kern w:val="0"/>
          <w:sz w:val="24"/>
          <w:szCs w:val="24"/>
          <w:lang w:bidi="ar"/>
        </w:rPr>
        <w:t>十八、廉洁条款</w:t>
      </w:r>
      <w:bookmarkEnd w:id="123"/>
    </w:p>
    <w:p>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2.供方若遇到需方人员索贿，请及时向需方公司纪委举报，联系人：    ，联系电话：         。</w:t>
      </w:r>
    </w:p>
    <w:p>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4" w:name="_Toc1669"/>
      <w:r>
        <w:rPr>
          <w:rFonts w:hint="eastAsia" w:ascii="宋体" w:eastAsia="宋体" w:cs="宋体"/>
          <w:b/>
          <w:kern w:val="0"/>
          <w:sz w:val="24"/>
          <w:szCs w:val="24"/>
          <w:lang w:bidi="ar"/>
        </w:rPr>
        <w:t>十九、解决合同纠纷的方式</w:t>
      </w:r>
      <w:bookmarkEnd w:id="124"/>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发生争议由双方协商解决，协商不成提交需方所在地人民法院裁决。诉讼期间，除争议条款外，合同其他条款，供方应继续履行。</w:t>
      </w:r>
    </w:p>
    <w:p>
      <w:pPr>
        <w:adjustRightInd w:val="0"/>
        <w:snapToGrid w:val="0"/>
        <w:spacing w:line="420" w:lineRule="exact"/>
        <w:ind w:left="266" w:leftChars="121" w:right="-110" w:rightChars="-50" w:firstLine="120" w:firstLineChars="50"/>
        <w:outlineLvl w:val="0"/>
        <w:rPr>
          <w:rFonts w:ascii="宋体" w:eastAsia="宋体" w:cs="宋体"/>
          <w:b/>
          <w:kern w:val="0"/>
          <w:sz w:val="24"/>
          <w:szCs w:val="24"/>
        </w:rPr>
      </w:pPr>
      <w:bookmarkStart w:id="125" w:name="_Toc29277"/>
      <w:r>
        <w:rPr>
          <w:rFonts w:hint="eastAsia" w:ascii="宋体" w:eastAsia="宋体" w:cs="宋体"/>
          <w:b/>
          <w:kern w:val="0"/>
          <w:sz w:val="24"/>
          <w:szCs w:val="24"/>
          <w:lang w:bidi="ar"/>
        </w:rPr>
        <w:t>二十、合同生效：</w:t>
      </w:r>
      <w:bookmarkEnd w:id="125"/>
    </w:p>
    <w:p>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本合同一式</w:t>
      </w:r>
      <w:r>
        <w:rPr>
          <w:rFonts w:hint="eastAsia" w:ascii="宋体" w:eastAsia="宋体" w:cs="宋体"/>
          <w:kern w:val="0"/>
          <w:sz w:val="24"/>
          <w:szCs w:val="24"/>
          <w:u w:val="single"/>
          <w:lang w:bidi="ar"/>
        </w:rPr>
        <w:t>肆</w:t>
      </w:r>
      <w:r>
        <w:rPr>
          <w:rFonts w:hint="eastAsia" w:ascii="宋体" w:eastAsia="宋体" w:cs="宋体"/>
          <w:kern w:val="0"/>
          <w:sz w:val="24"/>
          <w:szCs w:val="24"/>
          <w:lang w:bidi="ar"/>
        </w:rPr>
        <w:t>份，供方</w:t>
      </w:r>
      <w:r>
        <w:rPr>
          <w:rFonts w:hint="eastAsia" w:ascii="宋体" w:eastAsia="宋体" w:cs="宋体"/>
          <w:kern w:val="0"/>
          <w:sz w:val="24"/>
          <w:szCs w:val="24"/>
          <w:u w:val="single"/>
          <w:lang w:bidi="ar"/>
        </w:rPr>
        <w:t>壹</w:t>
      </w:r>
      <w:r>
        <w:rPr>
          <w:rFonts w:hint="eastAsia" w:ascii="宋体" w:eastAsia="宋体" w:cs="宋体"/>
          <w:kern w:val="0"/>
          <w:sz w:val="24"/>
          <w:szCs w:val="24"/>
          <w:lang w:bidi="ar"/>
        </w:rPr>
        <w:t>份，需方</w:t>
      </w:r>
      <w:r>
        <w:rPr>
          <w:rFonts w:hint="eastAsia" w:ascii="宋体" w:eastAsia="宋体" w:cs="宋体"/>
          <w:kern w:val="0"/>
          <w:sz w:val="24"/>
          <w:szCs w:val="24"/>
          <w:u w:val="single"/>
          <w:lang w:bidi="ar"/>
        </w:rPr>
        <w:t>叁</w:t>
      </w:r>
      <w:r>
        <w:rPr>
          <w:rFonts w:hint="eastAsia" w:ascii="宋体" w:eastAsia="宋体" w:cs="宋体"/>
          <w:kern w:val="0"/>
          <w:sz w:val="24"/>
          <w:szCs w:val="24"/>
          <w:lang w:bidi="ar"/>
        </w:rPr>
        <w:t>份，自双方签字并加盖公司合同专用章或公司公章之日起生效，附件与本合同具有同等法律效力。</w:t>
      </w:r>
    </w:p>
    <w:p>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6" w:name="_Toc5353"/>
      <w:r>
        <w:rPr>
          <w:rFonts w:hint="eastAsia" w:ascii="宋体" w:eastAsia="宋体" w:cs="宋体"/>
          <w:b/>
          <w:kern w:val="0"/>
          <w:sz w:val="24"/>
          <w:szCs w:val="24"/>
          <w:lang w:bidi="ar"/>
        </w:rPr>
        <w:t>二十一、</w:t>
      </w:r>
      <w:r>
        <w:rPr>
          <w:rFonts w:hint="eastAsia" w:ascii="宋体" w:eastAsia="宋体" w:cs="宋体"/>
          <w:bCs/>
          <w:kern w:val="0"/>
          <w:sz w:val="24"/>
          <w:szCs w:val="24"/>
          <w:lang w:bidi="ar"/>
        </w:rPr>
        <w:t>其它未尽事宜，双方可</w:t>
      </w:r>
      <w:r>
        <w:rPr>
          <w:rFonts w:hint="eastAsia" w:ascii="宋体" w:eastAsia="宋体" w:cs="宋体"/>
          <w:bCs/>
          <w:sz w:val="24"/>
          <w:szCs w:val="24"/>
          <w:lang w:bidi="ar"/>
        </w:rPr>
        <w:t>签订补充协议</w:t>
      </w:r>
      <w:r>
        <w:rPr>
          <w:rFonts w:hint="eastAsia" w:ascii="宋体" w:eastAsia="宋体" w:cs="宋体"/>
          <w:bCs/>
          <w:kern w:val="0"/>
          <w:sz w:val="24"/>
          <w:szCs w:val="24"/>
          <w:lang w:bidi="ar"/>
        </w:rPr>
        <w:t>。</w:t>
      </w:r>
      <w:bookmarkEnd w:id="126"/>
    </w:p>
    <w:p>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（以下为签字页，无正文）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供方（盖章）：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地址：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委托代理人：</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电话/传真：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开户银行：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账号：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需方（盖章）：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地址：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委托代理人：</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电话/传真： </w:t>
            </w:r>
          </w:p>
          <w:p>
            <w:pPr>
              <w:spacing w:line="420" w:lineRule="exact"/>
              <w:rPr>
                <w:rFonts w:ascii="宋体" w:eastAsia="宋体" w:cs="宋体"/>
                <w:sz w:val="24"/>
                <w:szCs w:val="24"/>
                <w:lang w:bidi="ar"/>
              </w:rPr>
            </w:pPr>
            <w:r>
              <w:rPr>
                <w:rFonts w:hint="eastAsia" w:ascii="宋体" w:eastAsia="宋体" w:cs="宋体"/>
                <w:sz w:val="24"/>
                <w:szCs w:val="24"/>
                <w:lang w:bidi="ar"/>
              </w:rPr>
              <w:t xml:space="preserve">开户银行： </w:t>
            </w:r>
          </w:p>
          <w:p>
            <w:pPr>
              <w:spacing w:line="420" w:lineRule="exact"/>
              <w:rPr>
                <w:rFonts w:ascii="宋体" w:eastAsia="宋体" w:cs="宋体"/>
                <w:sz w:val="24"/>
                <w:szCs w:val="24"/>
              </w:rPr>
            </w:pPr>
            <w:r>
              <w:rPr>
                <w:rFonts w:hint="eastAsia" w:ascii="宋体" w:eastAsia="宋体" w:cs="宋体"/>
                <w:sz w:val="24"/>
                <w:szCs w:val="24"/>
                <w:lang w:bidi="ar"/>
              </w:rPr>
              <w:t xml:space="preserve">账号： </w:t>
            </w:r>
          </w:p>
          <w:p>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纳税人识别号： </w:t>
            </w:r>
          </w:p>
        </w:tc>
      </w:tr>
    </w:tbl>
    <w:p>
      <w:pPr>
        <w:spacing w:line="360" w:lineRule="auto"/>
        <w:ind w:firstLine="550" w:firstLineChars="250"/>
        <w:rPr>
          <w:rFonts w:ascii="宋体" w:eastAsia="宋体" w:cs="宋体"/>
        </w:rPr>
      </w:pPr>
    </w:p>
    <w:p>
      <w:pPr>
        <w:spacing w:line="360" w:lineRule="auto"/>
        <w:ind w:firstLine="550" w:firstLineChars="250"/>
        <w:rPr>
          <w:rFonts w:ascii="宋体" w:eastAsia="宋体" w:cs="宋体"/>
        </w:rPr>
      </w:pPr>
    </w:p>
    <w:p>
      <w:pPr>
        <w:spacing w:line="360" w:lineRule="auto"/>
        <w:ind w:firstLine="550" w:firstLineChars="250"/>
        <w:rPr>
          <w:rFonts w:ascii="宋体" w:eastAsia="宋体" w:cs="宋体"/>
        </w:rPr>
      </w:pPr>
    </w:p>
    <w:p>
      <w:pPr>
        <w:spacing w:line="360" w:lineRule="auto"/>
        <w:ind w:firstLine="550" w:firstLineChars="250"/>
        <w:rPr>
          <w:rFonts w:ascii="宋体" w:eastAsia="宋体" w:cs="宋体"/>
        </w:rPr>
      </w:pPr>
    </w:p>
    <w:p>
      <w:pPr>
        <w:adjustRightInd w:val="0"/>
        <w:snapToGrid w:val="0"/>
        <w:spacing w:line="420" w:lineRule="exact"/>
        <w:rPr>
          <w:rFonts w:ascii="宋体" w:eastAsia="宋体" w:cs="宋体"/>
          <w:b/>
          <w:bCs/>
          <w:sz w:val="24"/>
          <w:szCs w:val="24"/>
          <w:lang w:bidi="ar"/>
        </w:rPr>
      </w:pPr>
      <w:r>
        <w:rPr>
          <w:rFonts w:hint="eastAsia" w:ascii="宋体" w:eastAsia="宋体" w:cs="宋体"/>
          <w:b/>
          <w:bCs/>
          <w:sz w:val="24"/>
          <w:szCs w:val="24"/>
          <w:lang w:bidi="ar"/>
        </w:rPr>
        <w:t>附件一：产品及技术服务清单</w:t>
      </w:r>
    </w:p>
    <w:tbl>
      <w:tblPr>
        <w:tblStyle w:val="30"/>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序号</w:t>
            </w:r>
          </w:p>
        </w:tc>
        <w:tc>
          <w:tcPr>
            <w:tcW w:w="206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分项名称</w:t>
            </w:r>
          </w:p>
        </w:tc>
        <w:tc>
          <w:tcPr>
            <w:tcW w:w="2410" w:type="dxa"/>
            <w:noWrap/>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型号和规格</w:t>
            </w:r>
          </w:p>
        </w:tc>
        <w:tc>
          <w:tcPr>
            <w:tcW w:w="850" w:type="dxa"/>
            <w:noWrap/>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w:t>
            </w:r>
          </w:p>
        </w:tc>
        <w:tc>
          <w:tcPr>
            <w:tcW w:w="993"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数量</w:t>
            </w:r>
          </w:p>
        </w:tc>
        <w:tc>
          <w:tcPr>
            <w:tcW w:w="2863"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67" w:type="dxa"/>
          </w:tcPr>
          <w:p>
            <w:pPr>
              <w:adjustRightInd w:val="0"/>
              <w:snapToGrid w:val="0"/>
              <w:spacing w:line="420" w:lineRule="exact"/>
              <w:jc w:val="center"/>
              <w:rPr>
                <w:rFonts w:ascii="宋体" w:eastAsia="宋体" w:cs="宋体"/>
                <w:sz w:val="24"/>
                <w:szCs w:val="24"/>
                <w:lang w:bidi="ar"/>
              </w:rPr>
            </w:pPr>
          </w:p>
        </w:tc>
        <w:tc>
          <w:tcPr>
            <w:tcW w:w="2410" w:type="dxa"/>
          </w:tcPr>
          <w:p>
            <w:pPr>
              <w:adjustRightInd w:val="0"/>
              <w:snapToGrid w:val="0"/>
              <w:spacing w:line="420" w:lineRule="exact"/>
              <w:jc w:val="center"/>
              <w:rPr>
                <w:rFonts w:ascii="宋体" w:eastAsia="宋体" w:cs="宋体"/>
                <w:sz w:val="24"/>
                <w:szCs w:val="24"/>
                <w:lang w:bidi="ar"/>
              </w:rPr>
            </w:pPr>
          </w:p>
        </w:tc>
        <w:tc>
          <w:tcPr>
            <w:tcW w:w="850" w:type="dxa"/>
          </w:tcPr>
          <w:p>
            <w:pPr>
              <w:adjustRightInd w:val="0"/>
              <w:snapToGrid w:val="0"/>
              <w:spacing w:line="420" w:lineRule="exact"/>
              <w:jc w:val="center"/>
              <w:rPr>
                <w:rFonts w:ascii="宋体" w:eastAsia="宋体" w:cs="宋体"/>
                <w:sz w:val="24"/>
                <w:szCs w:val="24"/>
                <w:lang w:bidi="ar"/>
              </w:rPr>
            </w:pPr>
          </w:p>
        </w:tc>
        <w:tc>
          <w:tcPr>
            <w:tcW w:w="993" w:type="dxa"/>
          </w:tcPr>
          <w:p>
            <w:pPr>
              <w:adjustRightInd w:val="0"/>
              <w:snapToGrid w:val="0"/>
              <w:spacing w:line="420" w:lineRule="exact"/>
              <w:jc w:val="center"/>
              <w:rPr>
                <w:rFonts w:ascii="宋体" w:eastAsia="宋体" w:cs="宋体"/>
                <w:sz w:val="24"/>
                <w:szCs w:val="24"/>
                <w:lang w:bidi="ar"/>
              </w:rPr>
            </w:pPr>
          </w:p>
        </w:tc>
        <w:tc>
          <w:tcPr>
            <w:tcW w:w="2863" w:type="dxa"/>
          </w:tcPr>
          <w:p>
            <w:pPr>
              <w:adjustRightInd w:val="0"/>
              <w:snapToGrid w:val="0"/>
              <w:spacing w:line="420" w:lineRule="exact"/>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67" w:type="dxa"/>
          </w:tcPr>
          <w:p>
            <w:pPr>
              <w:adjustRightInd w:val="0"/>
              <w:snapToGrid w:val="0"/>
              <w:spacing w:line="420" w:lineRule="exact"/>
              <w:jc w:val="center"/>
              <w:rPr>
                <w:rFonts w:ascii="宋体" w:eastAsia="宋体" w:cs="宋体"/>
                <w:sz w:val="24"/>
                <w:szCs w:val="24"/>
                <w:lang w:bidi="ar"/>
              </w:rPr>
            </w:pPr>
          </w:p>
        </w:tc>
        <w:tc>
          <w:tcPr>
            <w:tcW w:w="2410" w:type="dxa"/>
          </w:tcPr>
          <w:p>
            <w:pPr>
              <w:adjustRightInd w:val="0"/>
              <w:snapToGrid w:val="0"/>
              <w:spacing w:line="420" w:lineRule="exact"/>
              <w:jc w:val="center"/>
              <w:rPr>
                <w:rFonts w:ascii="宋体" w:eastAsia="宋体" w:cs="宋体"/>
                <w:sz w:val="24"/>
                <w:szCs w:val="24"/>
                <w:lang w:bidi="ar"/>
              </w:rPr>
            </w:pPr>
          </w:p>
        </w:tc>
        <w:tc>
          <w:tcPr>
            <w:tcW w:w="850" w:type="dxa"/>
          </w:tcPr>
          <w:p>
            <w:pPr>
              <w:adjustRightInd w:val="0"/>
              <w:snapToGrid w:val="0"/>
              <w:spacing w:line="420" w:lineRule="exact"/>
              <w:jc w:val="center"/>
              <w:rPr>
                <w:rFonts w:ascii="宋体" w:eastAsia="宋体" w:cs="宋体"/>
                <w:sz w:val="24"/>
                <w:szCs w:val="24"/>
                <w:lang w:bidi="ar"/>
              </w:rPr>
            </w:pPr>
          </w:p>
        </w:tc>
        <w:tc>
          <w:tcPr>
            <w:tcW w:w="993" w:type="dxa"/>
          </w:tcPr>
          <w:p>
            <w:pPr>
              <w:adjustRightInd w:val="0"/>
              <w:snapToGrid w:val="0"/>
              <w:spacing w:line="420" w:lineRule="exact"/>
              <w:jc w:val="center"/>
              <w:rPr>
                <w:rFonts w:ascii="宋体" w:eastAsia="宋体" w:cs="宋体"/>
                <w:sz w:val="24"/>
                <w:szCs w:val="24"/>
                <w:lang w:bidi="ar"/>
              </w:rPr>
            </w:pPr>
          </w:p>
        </w:tc>
        <w:tc>
          <w:tcPr>
            <w:tcW w:w="2863" w:type="dxa"/>
          </w:tcPr>
          <w:p>
            <w:pPr>
              <w:adjustRightInd w:val="0"/>
              <w:snapToGrid w:val="0"/>
              <w:spacing w:line="420" w:lineRule="exact"/>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67" w:type="dxa"/>
          </w:tcPr>
          <w:p>
            <w:pPr>
              <w:adjustRightInd w:val="0"/>
              <w:snapToGrid w:val="0"/>
              <w:spacing w:line="420" w:lineRule="exact"/>
              <w:jc w:val="center"/>
              <w:rPr>
                <w:rFonts w:ascii="宋体" w:eastAsia="宋体" w:cs="宋体"/>
                <w:sz w:val="24"/>
                <w:szCs w:val="24"/>
                <w:lang w:bidi="ar"/>
              </w:rPr>
            </w:pPr>
          </w:p>
        </w:tc>
        <w:tc>
          <w:tcPr>
            <w:tcW w:w="2410" w:type="dxa"/>
          </w:tcPr>
          <w:p>
            <w:pPr>
              <w:adjustRightInd w:val="0"/>
              <w:snapToGrid w:val="0"/>
              <w:spacing w:line="420" w:lineRule="exact"/>
              <w:jc w:val="center"/>
              <w:rPr>
                <w:rFonts w:ascii="宋体" w:eastAsia="宋体" w:cs="宋体"/>
                <w:sz w:val="24"/>
                <w:szCs w:val="24"/>
                <w:lang w:bidi="ar"/>
              </w:rPr>
            </w:pPr>
          </w:p>
        </w:tc>
        <w:tc>
          <w:tcPr>
            <w:tcW w:w="850" w:type="dxa"/>
          </w:tcPr>
          <w:p>
            <w:pPr>
              <w:adjustRightInd w:val="0"/>
              <w:snapToGrid w:val="0"/>
              <w:spacing w:line="420" w:lineRule="exact"/>
              <w:jc w:val="center"/>
              <w:rPr>
                <w:rFonts w:ascii="宋体" w:eastAsia="宋体" w:cs="宋体"/>
                <w:sz w:val="24"/>
                <w:szCs w:val="24"/>
                <w:lang w:bidi="ar"/>
              </w:rPr>
            </w:pPr>
          </w:p>
        </w:tc>
        <w:tc>
          <w:tcPr>
            <w:tcW w:w="993" w:type="dxa"/>
          </w:tcPr>
          <w:p>
            <w:pPr>
              <w:adjustRightInd w:val="0"/>
              <w:snapToGrid w:val="0"/>
              <w:spacing w:line="420" w:lineRule="exact"/>
              <w:jc w:val="center"/>
              <w:rPr>
                <w:rFonts w:ascii="宋体" w:eastAsia="宋体" w:cs="宋体"/>
                <w:sz w:val="24"/>
                <w:szCs w:val="24"/>
                <w:lang w:bidi="ar"/>
              </w:rPr>
            </w:pPr>
          </w:p>
        </w:tc>
        <w:tc>
          <w:tcPr>
            <w:tcW w:w="2863" w:type="dxa"/>
          </w:tcPr>
          <w:p>
            <w:pPr>
              <w:adjustRightInd w:val="0"/>
              <w:snapToGrid w:val="0"/>
              <w:spacing w:line="420" w:lineRule="exact"/>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67" w:type="dxa"/>
          </w:tcPr>
          <w:p>
            <w:pPr>
              <w:adjustRightInd w:val="0"/>
              <w:snapToGrid w:val="0"/>
              <w:spacing w:line="420" w:lineRule="exact"/>
              <w:jc w:val="center"/>
              <w:rPr>
                <w:rFonts w:ascii="宋体" w:eastAsia="宋体" w:cs="宋体"/>
                <w:sz w:val="24"/>
                <w:szCs w:val="24"/>
                <w:lang w:bidi="ar"/>
              </w:rPr>
            </w:pPr>
          </w:p>
        </w:tc>
        <w:tc>
          <w:tcPr>
            <w:tcW w:w="2410" w:type="dxa"/>
          </w:tcPr>
          <w:p>
            <w:pPr>
              <w:adjustRightInd w:val="0"/>
              <w:snapToGrid w:val="0"/>
              <w:spacing w:line="420" w:lineRule="exact"/>
              <w:jc w:val="center"/>
              <w:rPr>
                <w:rFonts w:ascii="宋体" w:eastAsia="宋体" w:cs="宋体"/>
                <w:sz w:val="24"/>
                <w:szCs w:val="24"/>
                <w:lang w:bidi="ar"/>
              </w:rPr>
            </w:pPr>
          </w:p>
        </w:tc>
        <w:tc>
          <w:tcPr>
            <w:tcW w:w="850" w:type="dxa"/>
          </w:tcPr>
          <w:p>
            <w:pPr>
              <w:adjustRightInd w:val="0"/>
              <w:snapToGrid w:val="0"/>
              <w:spacing w:line="420" w:lineRule="exact"/>
              <w:jc w:val="center"/>
              <w:rPr>
                <w:rFonts w:ascii="宋体" w:eastAsia="宋体" w:cs="宋体"/>
                <w:sz w:val="24"/>
                <w:szCs w:val="24"/>
                <w:lang w:bidi="ar"/>
              </w:rPr>
            </w:pPr>
          </w:p>
        </w:tc>
        <w:tc>
          <w:tcPr>
            <w:tcW w:w="993" w:type="dxa"/>
          </w:tcPr>
          <w:p>
            <w:pPr>
              <w:adjustRightInd w:val="0"/>
              <w:snapToGrid w:val="0"/>
              <w:spacing w:line="420" w:lineRule="exact"/>
              <w:jc w:val="center"/>
              <w:rPr>
                <w:rFonts w:ascii="宋体" w:eastAsia="宋体" w:cs="宋体"/>
                <w:sz w:val="24"/>
                <w:szCs w:val="24"/>
                <w:lang w:bidi="ar"/>
              </w:rPr>
            </w:pPr>
          </w:p>
        </w:tc>
        <w:tc>
          <w:tcPr>
            <w:tcW w:w="2863" w:type="dxa"/>
          </w:tcPr>
          <w:p>
            <w:pPr>
              <w:adjustRightInd w:val="0"/>
              <w:snapToGrid w:val="0"/>
              <w:spacing w:line="420" w:lineRule="exact"/>
              <w:jc w:val="center"/>
              <w:rPr>
                <w:rFonts w:ascii="宋体" w:eastAsia="宋体" w:cs="宋体"/>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5</w:t>
            </w:r>
          </w:p>
        </w:tc>
        <w:tc>
          <w:tcPr>
            <w:tcW w:w="2067"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410" w:type="dxa"/>
          </w:tcPr>
          <w:p>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850" w:type="dxa"/>
          </w:tcPr>
          <w:p>
            <w:pPr>
              <w:adjustRightInd w:val="0"/>
              <w:snapToGrid w:val="0"/>
              <w:spacing w:line="420" w:lineRule="exact"/>
              <w:jc w:val="center"/>
              <w:rPr>
                <w:rFonts w:ascii="宋体" w:eastAsia="宋体" w:cs="宋体"/>
                <w:sz w:val="24"/>
                <w:szCs w:val="24"/>
                <w:lang w:bidi="ar"/>
              </w:rPr>
            </w:pPr>
          </w:p>
        </w:tc>
        <w:tc>
          <w:tcPr>
            <w:tcW w:w="993" w:type="dxa"/>
          </w:tcPr>
          <w:p>
            <w:pPr>
              <w:adjustRightInd w:val="0"/>
              <w:snapToGrid w:val="0"/>
              <w:spacing w:line="420" w:lineRule="exact"/>
              <w:jc w:val="center"/>
              <w:rPr>
                <w:rFonts w:ascii="宋体" w:eastAsia="宋体" w:cs="宋体"/>
                <w:sz w:val="24"/>
                <w:szCs w:val="24"/>
                <w:lang w:bidi="ar"/>
              </w:rPr>
            </w:pPr>
          </w:p>
        </w:tc>
        <w:tc>
          <w:tcPr>
            <w:tcW w:w="2863" w:type="dxa"/>
          </w:tcPr>
          <w:p>
            <w:pPr>
              <w:adjustRightInd w:val="0"/>
              <w:snapToGrid w:val="0"/>
              <w:spacing w:line="420" w:lineRule="exact"/>
              <w:jc w:val="center"/>
              <w:rPr>
                <w:rFonts w:ascii="宋体" w:eastAsia="宋体" w:cs="宋体"/>
                <w:sz w:val="24"/>
                <w:szCs w:val="24"/>
                <w:lang w:bidi="ar"/>
              </w:rPr>
            </w:pPr>
          </w:p>
        </w:tc>
      </w:tr>
    </w:tbl>
    <w:p>
      <w:pPr>
        <w:rPr>
          <w:rFonts w:ascii="宋体" w:eastAsia="宋体" w:cs="宋体"/>
        </w:rPr>
      </w:pPr>
    </w:p>
    <w:p>
      <w:pPr>
        <w:rPr>
          <w:rFonts w:ascii="宋体" w:eastAsia="宋体" w:cs="宋体"/>
        </w:rPr>
      </w:pPr>
    </w:p>
    <w:p>
      <w:pPr>
        <w:spacing w:line="360" w:lineRule="auto"/>
        <w:ind w:firstLine="408"/>
        <w:jc w:val="center"/>
        <w:rPr>
          <w:rFonts w:ascii="宋体" w:eastAsia="宋体" w:cs="宋体"/>
        </w:rPr>
      </w:pPr>
      <w:r>
        <w:rPr>
          <w:rFonts w:hint="eastAsia" w:ascii="宋体" w:eastAsia="宋体" w:cs="宋体"/>
          <w:kern w:val="0"/>
          <w:sz w:val="28"/>
          <w:szCs w:val="28"/>
        </w:rPr>
        <w:t xml:space="preserve"> </w:t>
      </w:r>
      <w:bookmarkEnd w:id="101"/>
      <w:bookmarkEnd w:id="102"/>
    </w:p>
    <w:p>
      <w:pPr>
        <w:spacing w:after="0" w:line="240" w:lineRule="auto"/>
        <w:rPr>
          <w:rFonts w:eastAsiaTheme="minorEastAsia"/>
          <w:bCs/>
          <w:color w:val="auto"/>
        </w:rPr>
      </w:pPr>
      <w:r>
        <w:rPr>
          <w:rFonts w:eastAsiaTheme="minorEastAsia"/>
          <w:bCs/>
          <w:color w:val="auto"/>
        </w:rPr>
        <w:br w:type="page"/>
      </w:r>
    </w:p>
    <w:p>
      <w:pPr>
        <w:pStyle w:val="2"/>
        <w:spacing w:after="1017"/>
        <w:ind w:left="3653" w:right="0"/>
        <w:jc w:val="left"/>
        <w:rPr>
          <w:rFonts w:ascii="Times New Roman" w:hAnsi="Times New Roman" w:cs="Times New Roman" w:eastAsiaTheme="minorEastAsia"/>
          <w:bCs/>
          <w:color w:val="auto"/>
          <w:sz w:val="44"/>
        </w:rPr>
      </w:pPr>
      <w:bookmarkStart w:id="127" w:name="_Toc195390918"/>
      <w:r>
        <w:rPr>
          <w:rFonts w:ascii="宋体" w:hAnsi="宋体" w:eastAsia="宋体" w:cs="宋体"/>
          <w:bCs/>
          <w:color w:val="auto"/>
          <w:sz w:val="44"/>
        </w:rPr>
        <w:t>第二卷</w:t>
      </w:r>
      <w:bookmarkEnd w:id="127"/>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pStyle w:val="2"/>
        <w:spacing w:after="0" w:line="264" w:lineRule="auto"/>
        <w:ind w:left="22" w:right="0" w:hanging="22" w:hangingChars="5"/>
        <w:rPr>
          <w:rFonts w:hint="eastAsia" w:ascii="宋体" w:hAnsi="宋体" w:eastAsia="宋体" w:cs="宋体"/>
          <w:b/>
          <w:color w:val="auto"/>
          <w:sz w:val="44"/>
        </w:rPr>
      </w:pPr>
      <w:r>
        <w:rPr>
          <w:rFonts w:ascii="宋体" w:hAnsi="宋体" w:eastAsia="宋体" w:cs="宋体"/>
          <w:b/>
          <w:color w:val="auto"/>
          <w:sz w:val="44"/>
        </w:rPr>
        <w:br w:type="page"/>
      </w:r>
    </w:p>
    <w:p>
      <w:pPr>
        <w:pStyle w:val="2"/>
        <w:spacing w:after="0" w:line="264" w:lineRule="auto"/>
        <w:ind w:left="22" w:right="0" w:hanging="22" w:hangingChars="5"/>
        <w:rPr>
          <w:rFonts w:hint="eastAsia" w:ascii="宋体" w:hAnsi="宋体" w:eastAsia="宋体" w:cs="宋体"/>
          <w:bCs/>
          <w:color w:val="auto"/>
          <w:sz w:val="44"/>
        </w:rPr>
      </w:pPr>
      <w:bookmarkStart w:id="128" w:name="_Toc195390919"/>
      <w:r>
        <w:rPr>
          <w:rFonts w:ascii="宋体" w:hAnsi="宋体" w:eastAsia="宋体" w:cs="宋体"/>
          <w:bCs/>
          <w:color w:val="auto"/>
          <w:sz w:val="44"/>
        </w:rPr>
        <w:t>第五章</w:t>
      </w:r>
      <w:r>
        <w:rPr>
          <w:rFonts w:hint="eastAsia" w:ascii="宋体" w:hAnsi="宋体" w:eastAsia="宋体" w:cs="宋体"/>
          <w:bCs/>
          <w:color w:val="auto"/>
          <w:sz w:val="44"/>
        </w:rPr>
        <w:t xml:space="preserve"> </w:t>
      </w:r>
      <w:r>
        <w:rPr>
          <w:rFonts w:ascii="宋体" w:hAnsi="宋体" w:eastAsia="宋体" w:cs="宋体"/>
          <w:bCs/>
          <w:color w:val="auto"/>
          <w:sz w:val="44"/>
        </w:rPr>
        <w:t>供货要求</w:t>
      </w:r>
      <w:bookmarkEnd w:id="128"/>
    </w:p>
    <w:p>
      <w:pPr>
        <w:rPr>
          <w:rFonts w:eastAsiaTheme="minorEastAsia"/>
        </w:rPr>
      </w:pPr>
    </w:p>
    <w:p>
      <w:pPr>
        <w:pStyle w:val="3"/>
        <w:spacing w:after="120"/>
        <w:jc w:val="center"/>
        <w:rPr>
          <w:rFonts w:asciiTheme="minorHAnsi" w:hAnsiTheme="minorHAnsi" w:cstheme="minorHAnsi"/>
          <w:snapToGrid w:val="0"/>
        </w:rPr>
      </w:pPr>
      <w:r>
        <w:rPr>
          <w:rFonts w:asciiTheme="minorHAnsi" w:hAnsiTheme="minorHAnsi" w:cstheme="minorHAnsi"/>
          <w:snapToGrid w:val="0"/>
        </w:rPr>
        <w:t>一、货物需求一览表</w:t>
      </w:r>
    </w:p>
    <w:p>
      <w:pPr>
        <w:rPr>
          <w:rFonts w:eastAsiaTheme="minorEastAsia"/>
        </w:rPr>
      </w:pPr>
    </w:p>
    <w:tbl>
      <w:tblPr>
        <w:tblStyle w:val="30"/>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592"/>
        <w:gridCol w:w="1024"/>
        <w:gridCol w:w="2486"/>
        <w:gridCol w:w="2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序号</w:t>
            </w:r>
          </w:p>
        </w:tc>
        <w:tc>
          <w:tcPr>
            <w:tcW w:w="2592" w:type="dxa"/>
            <w:vAlign w:val="center"/>
          </w:tcPr>
          <w:p>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货物名称</w:t>
            </w:r>
          </w:p>
        </w:tc>
        <w:tc>
          <w:tcPr>
            <w:tcW w:w="1024" w:type="dxa"/>
            <w:vAlign w:val="center"/>
          </w:tcPr>
          <w:p>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数量</w:t>
            </w:r>
          </w:p>
        </w:tc>
        <w:tc>
          <w:tcPr>
            <w:tcW w:w="2486" w:type="dxa"/>
            <w:vAlign w:val="center"/>
          </w:tcPr>
          <w:p>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交货期</w:t>
            </w:r>
          </w:p>
        </w:tc>
        <w:tc>
          <w:tcPr>
            <w:tcW w:w="2424" w:type="dxa"/>
            <w:vAlign w:val="center"/>
          </w:tcPr>
          <w:p>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pPr>
              <w:pStyle w:val="37"/>
              <w:widowControl w:val="0"/>
              <w:numPr>
                <w:ilvl w:val="0"/>
                <w:numId w:val="13"/>
              </w:numPr>
              <w:spacing w:before="120" w:beforeLines="50" w:after="120" w:afterLines="50" w:line="360" w:lineRule="auto"/>
              <w:ind w:firstLineChars="0"/>
              <w:jc w:val="center"/>
              <w:rPr>
                <w:rFonts w:hint="eastAsia" w:ascii="宋体" w:hAnsi="宋体" w:eastAsia="宋体" w:cstheme="minorHAnsi"/>
                <w:sz w:val="24"/>
                <w:szCs w:val="24"/>
              </w:rPr>
            </w:pPr>
          </w:p>
        </w:tc>
        <w:tc>
          <w:tcPr>
            <w:tcW w:w="2592"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智能仓储建设</w:t>
            </w:r>
          </w:p>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（智能仓库管理系统）</w:t>
            </w:r>
          </w:p>
        </w:tc>
        <w:tc>
          <w:tcPr>
            <w:tcW w:w="1024"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1套</w:t>
            </w:r>
          </w:p>
        </w:tc>
        <w:tc>
          <w:tcPr>
            <w:tcW w:w="2486" w:type="dxa"/>
            <w:vAlign w:val="center"/>
          </w:tcPr>
          <w:p>
            <w:pPr>
              <w:spacing w:before="120" w:beforeLines="50" w:after="120" w:afterLines="50" w:line="360" w:lineRule="auto"/>
              <w:jc w:val="center"/>
              <w:rPr>
                <w:rFonts w:hint="eastAsia" w:ascii="宋体" w:hAnsi="宋体" w:eastAsia="宋体" w:cs="Arial"/>
                <w:sz w:val="24"/>
              </w:rPr>
            </w:pPr>
            <w:r>
              <w:rPr>
                <w:rFonts w:ascii="宋体" w:hAnsi="宋体" w:eastAsia="宋体" w:cs="Arial"/>
                <w:sz w:val="24"/>
              </w:rPr>
              <w:t>2026</w:t>
            </w:r>
            <w:r>
              <w:rPr>
                <w:rFonts w:hint="eastAsia" w:ascii="宋体" w:hAnsi="宋体" w:eastAsia="宋体" w:cs="Arial"/>
                <w:sz w:val="24"/>
              </w:rPr>
              <w:t>年</w:t>
            </w:r>
            <w:r>
              <w:rPr>
                <w:rFonts w:ascii="宋体" w:hAnsi="宋体" w:eastAsia="宋体" w:cs="Arial"/>
                <w:sz w:val="24"/>
              </w:rPr>
              <w:t>8</w:t>
            </w:r>
            <w:r>
              <w:rPr>
                <w:rFonts w:hint="eastAsia" w:ascii="宋体" w:hAnsi="宋体" w:eastAsia="宋体" w:cs="Arial"/>
                <w:sz w:val="24"/>
              </w:rPr>
              <w:t>月上线</w:t>
            </w:r>
          </w:p>
        </w:tc>
        <w:tc>
          <w:tcPr>
            <w:tcW w:w="2424"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宋体"/>
                <w:kern w:val="0"/>
                <w:sz w:val="24"/>
                <w:szCs w:val="24"/>
              </w:rPr>
              <w:t>四川九洲空管科技有限责任公司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pPr>
              <w:pStyle w:val="37"/>
              <w:widowControl w:val="0"/>
              <w:numPr>
                <w:ilvl w:val="0"/>
                <w:numId w:val="13"/>
              </w:numPr>
              <w:spacing w:before="120" w:beforeLines="50" w:after="120" w:afterLines="50" w:line="360" w:lineRule="auto"/>
              <w:ind w:firstLineChars="0"/>
              <w:jc w:val="center"/>
              <w:rPr>
                <w:rFonts w:hint="eastAsia" w:ascii="宋体" w:hAnsi="宋体" w:eastAsia="宋体" w:cstheme="minorHAnsi"/>
                <w:sz w:val="24"/>
                <w:szCs w:val="24"/>
              </w:rPr>
            </w:pPr>
          </w:p>
        </w:tc>
        <w:tc>
          <w:tcPr>
            <w:tcW w:w="2592"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智能仓储建设</w:t>
            </w:r>
          </w:p>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（自动化立体仓库）</w:t>
            </w:r>
          </w:p>
        </w:tc>
        <w:tc>
          <w:tcPr>
            <w:tcW w:w="1024"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1套</w:t>
            </w:r>
          </w:p>
        </w:tc>
        <w:tc>
          <w:tcPr>
            <w:tcW w:w="2486"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2026年9月达到验收状态</w:t>
            </w:r>
          </w:p>
        </w:tc>
        <w:tc>
          <w:tcPr>
            <w:tcW w:w="2424" w:type="dxa"/>
            <w:vAlign w:val="center"/>
          </w:tcPr>
          <w:p>
            <w:pPr>
              <w:spacing w:before="120" w:beforeLines="50" w:after="120" w:afterLines="50" w:line="360" w:lineRule="auto"/>
              <w:jc w:val="center"/>
              <w:rPr>
                <w:rFonts w:hint="eastAsia" w:ascii="宋体" w:hAnsi="宋体" w:eastAsia="宋体" w:cs="Arial"/>
                <w:sz w:val="24"/>
              </w:rPr>
            </w:pPr>
            <w:r>
              <w:rPr>
                <w:rFonts w:hint="eastAsia" w:ascii="宋体" w:hAnsi="宋体" w:eastAsia="宋体" w:cs="宋体"/>
                <w:kern w:val="0"/>
                <w:sz w:val="24"/>
                <w:szCs w:val="24"/>
              </w:rPr>
              <w:t>四川九洲空管科技有限责任公司</w:t>
            </w:r>
          </w:p>
        </w:tc>
      </w:tr>
    </w:tbl>
    <w:p>
      <w:pPr>
        <w:rPr>
          <w:rFonts w:eastAsiaTheme="minorEastAsia"/>
        </w:rPr>
      </w:pPr>
    </w:p>
    <w:p>
      <w:pPr>
        <w:rPr>
          <w:rFonts w:eastAsiaTheme="minorEastAsia"/>
        </w:rPr>
        <w:sectPr>
          <w:pgSz w:w="12240" w:h="15840"/>
          <w:pgMar w:top="1445" w:right="1097" w:bottom="1466" w:left="1800" w:header="720" w:footer="720" w:gutter="0"/>
          <w:cols w:space="720" w:num="1"/>
        </w:sectPr>
      </w:pPr>
    </w:p>
    <w:p>
      <w:pPr>
        <w:pStyle w:val="3"/>
        <w:spacing w:after="120"/>
        <w:jc w:val="center"/>
        <w:rPr>
          <w:rFonts w:asciiTheme="minorHAnsi" w:hAnsiTheme="minorHAnsi" w:cstheme="minorHAnsi"/>
          <w:b/>
          <w:snapToGrid w:val="0"/>
        </w:rPr>
      </w:pPr>
      <w:r>
        <w:rPr>
          <w:rFonts w:hint="eastAsia" w:asciiTheme="minorHAnsi" w:hAnsiTheme="minorHAnsi" w:cstheme="minorHAnsi"/>
          <w:snapToGrid w:val="0"/>
        </w:rPr>
        <w:t>二</w:t>
      </w:r>
      <w:r>
        <w:rPr>
          <w:rFonts w:asciiTheme="minorHAnsi" w:hAnsiTheme="minorHAnsi" w:cstheme="minorHAnsi"/>
          <w:snapToGrid w:val="0"/>
        </w:rPr>
        <w:t>、</w:t>
      </w:r>
      <w:r>
        <w:rPr>
          <w:rFonts w:hint="eastAsia" w:asciiTheme="minorHAnsi" w:hAnsiTheme="minorHAnsi" w:cstheme="minorHAnsi"/>
          <w:snapToGrid w:val="0"/>
        </w:rPr>
        <w:t>技术</w:t>
      </w:r>
      <w:r>
        <w:rPr>
          <w:rFonts w:asciiTheme="minorHAnsi" w:hAnsiTheme="minorHAnsi" w:cstheme="minorHAnsi"/>
          <w:snapToGrid w:val="0"/>
        </w:rPr>
        <w:t>规格</w:t>
      </w:r>
    </w:p>
    <w:p>
      <w:pPr>
        <w:rPr>
          <w:rFonts w:eastAsiaTheme="minorEastAsia"/>
        </w:rPr>
      </w:pPr>
    </w:p>
    <w:p>
      <w:pPr>
        <w:pStyle w:val="3"/>
        <w:spacing w:after="0" w:line="360" w:lineRule="auto"/>
        <w:ind w:left="11" w:right="57" w:hanging="11"/>
        <w:rPr>
          <w:rFonts w:hint="eastAsia"/>
          <w:sz w:val="28"/>
          <w:szCs w:val="28"/>
        </w:rPr>
      </w:pPr>
      <w:r>
        <w:rPr>
          <w:rFonts w:hint="eastAsia"/>
          <w:sz w:val="28"/>
          <w:szCs w:val="28"/>
        </w:rPr>
        <w:t>品目一：智能仓储建设（智能仓库管理系统）</w:t>
      </w:r>
    </w:p>
    <w:p>
      <w:pPr>
        <w:widowControl w:val="0"/>
        <w:numPr>
          <w:ilvl w:val="0"/>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设备名称：</w:t>
      </w:r>
      <w:r>
        <w:rPr>
          <w:rFonts w:hint="eastAsia" w:ascii="仿宋_GB2312" w:eastAsia="仿宋_GB2312" w:cs="仿宋_GB2312"/>
          <w:color w:val="auto"/>
          <w:sz w:val="24"/>
          <w:szCs w:val="24"/>
          <w:lang w:bidi="ar"/>
        </w:rPr>
        <w:t>智能仓储建设（智能仓库管理系统）</w:t>
      </w:r>
    </w:p>
    <w:p>
      <w:pPr>
        <w:widowControl w:val="0"/>
        <w:numPr>
          <w:ilvl w:val="0"/>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数量：</w:t>
      </w:r>
      <w:r>
        <w:rPr>
          <w:rFonts w:hint="eastAsia" w:ascii="仿宋_GB2312" w:eastAsia="仿宋_GB2312" w:cs="仿宋_GB2312"/>
          <w:color w:val="auto"/>
          <w:sz w:val="24"/>
          <w:szCs w:val="24"/>
          <w:lang w:bidi="ar"/>
        </w:rPr>
        <w:t>1套</w:t>
      </w:r>
    </w:p>
    <w:p>
      <w:pPr>
        <w:widowControl w:val="0"/>
        <w:numPr>
          <w:ilvl w:val="0"/>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交货期：</w:t>
      </w:r>
      <w:r>
        <w:rPr>
          <w:rFonts w:hint="eastAsia" w:ascii="仿宋_GB2312" w:eastAsia="仿宋_GB2312" w:cs="仿宋_GB2312"/>
          <w:color w:val="auto"/>
          <w:sz w:val="24"/>
          <w:szCs w:val="24"/>
          <w:lang w:bidi="ar"/>
        </w:rPr>
        <w:t>2026年8月上线</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bookmarkStart w:id="129" w:name="_Toc24393"/>
      <w:r>
        <w:rPr>
          <w:rFonts w:hint="eastAsia" w:ascii="仿宋_GB2312" w:eastAsia="仿宋_GB2312" w:cs="仿宋_GB2312"/>
          <w:b/>
          <w:bCs/>
          <w:color w:val="auto"/>
          <w:sz w:val="24"/>
          <w:szCs w:val="24"/>
          <w:lang w:bidi="ar"/>
        </w:rPr>
        <w:t>★投标方资质要求</w:t>
      </w:r>
      <w:bookmarkEnd w:id="129"/>
    </w:p>
    <w:p>
      <w:pPr>
        <w:widowControl w:val="0"/>
        <w:adjustRightInd w:val="0"/>
        <w:snapToGrid w:val="0"/>
        <w:spacing w:after="0" w:line="360" w:lineRule="auto"/>
        <w:ind w:left="425"/>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详见招标公告。</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项目功能描述</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项目描述</w:t>
      </w:r>
    </w:p>
    <w:p>
      <w:pPr>
        <w:widowControl w:val="0"/>
        <w:adjustRightInd w:val="0"/>
        <w:snapToGrid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智能仓储建设（智能仓库管理系统）（以下简称“WMS系统”）集成仓库内的智能物流设备，并成为指挥和协调物流设备的大脑。WMS协同和指挥库内作业设备，获得整体订单处理效率的大幅提升。波次策略、拣货策略、拣货路径优化策略、任务分配策略，皆面向整体作业的高效准确。</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★项目实施功能</w:t>
      </w:r>
    </w:p>
    <w:tbl>
      <w:tblPr>
        <w:tblStyle w:val="30"/>
        <w:tblW w:w="5113" w:type="pct"/>
        <w:tblInd w:w="6" w:type="dxa"/>
        <w:tblLayout w:type="fixed"/>
        <w:tblCellMar>
          <w:top w:w="0" w:type="dxa"/>
          <w:left w:w="108" w:type="dxa"/>
          <w:bottom w:w="0" w:type="dxa"/>
          <w:right w:w="108" w:type="dxa"/>
        </w:tblCellMar>
      </w:tblPr>
      <w:tblGrid>
        <w:gridCol w:w="1565"/>
        <w:gridCol w:w="2189"/>
        <w:gridCol w:w="6021"/>
      </w:tblGrid>
      <w:tr>
        <w:tblPrEx>
          <w:tblCellMar>
            <w:top w:w="0" w:type="dxa"/>
            <w:left w:w="108" w:type="dxa"/>
            <w:bottom w:w="0" w:type="dxa"/>
            <w:right w:w="108" w:type="dxa"/>
          </w:tblCellMar>
        </w:tblPrEx>
        <w:trPr>
          <w:trHeight w:val="480" w:hRule="atLeast"/>
        </w:trPr>
        <w:tc>
          <w:tcPr>
            <w:tcW w:w="800" w:type="pct"/>
            <w:tcBorders>
              <w:top w:val="single" w:color="000000" w:sz="4" w:space="0"/>
              <w:left w:val="single" w:color="000000" w:sz="4" w:space="0"/>
              <w:bottom w:val="single" w:color="000000" w:sz="4" w:space="0"/>
              <w:right w:val="single" w:color="000000" w:sz="4" w:space="0"/>
              <w:tl2br w:val="nil"/>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模块</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功能</w:t>
            </w:r>
          </w:p>
        </w:tc>
        <w:tc>
          <w:tcPr>
            <w:tcW w:w="307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功能描述</w:t>
            </w:r>
          </w:p>
        </w:tc>
      </w:tr>
      <w:tr>
        <w:tblPrEx>
          <w:tblCellMar>
            <w:top w:w="0" w:type="dxa"/>
            <w:left w:w="108" w:type="dxa"/>
            <w:bottom w:w="0" w:type="dxa"/>
            <w:right w:w="108" w:type="dxa"/>
          </w:tblCellMar>
        </w:tblPrEx>
        <w:trPr>
          <w:trHeight w:val="480" w:hRule="atLeast"/>
        </w:trPr>
        <w:tc>
          <w:tcPr>
            <w:tcW w:w="800" w:type="pct"/>
            <w:tcBorders>
              <w:top w:val="single" w:color="000000" w:sz="4" w:space="0"/>
              <w:left w:val="single" w:color="000000" w:sz="4" w:space="0"/>
              <w:bottom w:val="single" w:color="000000" w:sz="4" w:space="0"/>
              <w:right w:val="single" w:color="000000" w:sz="4" w:space="0"/>
              <w:tl2br w:val="nil"/>
            </w:tcBorders>
            <w:noWrap/>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预约管理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预约管理</w:t>
            </w:r>
          </w:p>
        </w:tc>
        <w:tc>
          <w:tcPr>
            <w:tcW w:w="307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支持供应商或内部人员在线预约入库时间、数量、货物品类等信息，以便仓库提前做好入库准备。</w:t>
            </w:r>
          </w:p>
        </w:tc>
      </w:tr>
      <w:tr>
        <w:tblPrEx>
          <w:tblCellMar>
            <w:top w:w="0" w:type="dxa"/>
            <w:left w:w="108" w:type="dxa"/>
            <w:bottom w:w="0" w:type="dxa"/>
            <w:right w:w="108" w:type="dxa"/>
          </w:tblCellMar>
        </w:tblPrEx>
        <w:trPr>
          <w:trHeight w:val="84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收货管理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ASN收货管理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同步SRM系统ASN单据，对接投标方信息、生产订单信息，检查货物数量与质量。通过条码扫描技术，可以迅速核实和记录物品信息进行收货，将接收状态反馈SRM系统；支持取消收货、分批送货、差额补货、换货及送货单丢失损坏补打。</w:t>
            </w:r>
          </w:p>
        </w:tc>
      </w:tr>
      <w:tr>
        <w:tblPrEx>
          <w:tblCellMar>
            <w:top w:w="0" w:type="dxa"/>
            <w:left w:w="108" w:type="dxa"/>
            <w:bottom w:w="0" w:type="dxa"/>
            <w:right w:w="108" w:type="dxa"/>
          </w:tblCellMar>
        </w:tblPrEx>
        <w:trPr>
          <w:trHeight w:val="84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收货管理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按照纸张作业方式或者RF方式完成收货,支持一票一次或者多次收货，也支持各种扫描收货、按箱收货等不同作业模式。收货完成，系统可以打印收货报告(入库确认单)，收货报告将主要反映预期数量和实收数量，收货时的产品状态(如损坏、过期等)信息；支持条码拆分及打印。将供应商物料编码转为九洲编码，打印最小包装标签，实现转码。</w:t>
            </w:r>
          </w:p>
        </w:tc>
      </w:tr>
      <w:tr>
        <w:tblPrEx>
          <w:tblCellMar>
            <w:top w:w="0" w:type="dxa"/>
            <w:left w:w="108" w:type="dxa"/>
            <w:bottom w:w="0" w:type="dxa"/>
            <w:right w:w="108" w:type="dxa"/>
          </w:tblCellMar>
        </w:tblPrEx>
        <w:trPr>
          <w:trHeight w:val="56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来料质检管理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检验配置管理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支持检验类型、检验流程、检验依据、检验项目、抽样方案、检验水准、样本量字码、不良代码、检验规则等检验基础信息配置。</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检验标准管理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根据不同物料的检验项目设置数据的判定标准，支持定义受检货物的数量或者百分比、包装单位、质检规则等配置。</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检验任务</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支持扫描送检单条码或物料批次条码，带出待检查物料明细与检验项目，按标准进行检验。</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检验任务、检验单自动生成及分配人员，检验信息录入，支持检验设备集成，支持上传附件，根据需求检验结果反馈至相关系统，根据检验结果及检验规则可自动调整下次来料抽样方案。质检结论支持留存。</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不合格管理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支持让步接收管理，支持对接外部系统，支持发起不合格品处理流程，支持超期复检；不合格品单独管理。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检验单查询</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支持根据设定的检验报告模版，自动生成检验报告，传输给QMS系统；根据检验单号、物料号等查询检验记录及结果。</w:t>
            </w:r>
          </w:p>
        </w:tc>
      </w:tr>
      <w:tr>
        <w:tblPrEx>
          <w:tblCellMar>
            <w:top w:w="0" w:type="dxa"/>
            <w:left w:w="108" w:type="dxa"/>
            <w:bottom w:w="0" w:type="dxa"/>
            <w:right w:w="108" w:type="dxa"/>
          </w:tblCellMar>
        </w:tblPrEx>
        <w:trPr>
          <w:trHeight w:val="56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入库管理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客供料转码</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将客户物料编码转为九洲编码，打印最小包装标签，实现转码入库，支持按物料追溯信息拦截转码，支持隔离拒收。</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入库单管理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根据收货信息自动生成入库单，支持入库标签包装打印，扫码入库。</w:t>
            </w:r>
          </w:p>
        </w:tc>
      </w:tr>
      <w:tr>
        <w:tblPrEx>
          <w:tblCellMar>
            <w:top w:w="0" w:type="dxa"/>
            <w:left w:w="108" w:type="dxa"/>
            <w:bottom w:w="0" w:type="dxa"/>
            <w:right w:w="108" w:type="dxa"/>
          </w:tblCellMar>
        </w:tblPrEx>
        <w:trPr>
          <w:trHeight w:val="9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上架管理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生成上架任务，支持物资（物料号、序列号、料箱号等）货位指引，通过配置货位存放策略，系统指引立体库自动化设备完成物料储存、入库。</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原材料采购入库管理</w:t>
            </w:r>
          </w:p>
        </w:tc>
        <w:tc>
          <w:tcPr>
            <w:tcW w:w="3079" w:type="pct"/>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与ERP系统集成，获取采购订单信息，可根据订单优先级进行任务排序，确认到货通知单与采购单信息是否一致，支持质检不合格品让步接收、存放等功能。</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辅料采购入库管理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外购半成品入库管理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半成品/成品完工入库</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开具完工入库单，对完工良品进行入库操作，记录完工良品的入库明细信息，单据支持自动开立和手里开立两种方式。</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不良品入库</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开具完工不良品单，对不良半成品或不良成品入库操作，记录不良品的入库明细信息。</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生产退料</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支持生产退料，与ERP或MES对接，WMS生成退料位置等配送信息指示并更新库存。</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销售退货入库</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接收由ERP创建的销售退货单据获取销售退货入库信息，系统可支持补打条码、扫码入库，结果回传至ERP。</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委外入库</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支持与ERP、SRM系统集成获取委外送货单获取入库产品信息，也支持通过系统手动创建单据，关联质检任务。</w:t>
            </w:r>
          </w:p>
        </w:tc>
      </w:tr>
      <w:tr>
        <w:tblPrEx>
          <w:tblCellMar>
            <w:top w:w="0" w:type="dxa"/>
            <w:left w:w="108" w:type="dxa"/>
            <w:bottom w:w="0" w:type="dxa"/>
            <w:right w:w="108" w:type="dxa"/>
          </w:tblCellMar>
        </w:tblPrEx>
        <w:trPr>
          <w:trHeight w:val="554"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调拨入库</w:t>
            </w:r>
          </w:p>
        </w:tc>
        <w:tc>
          <w:tcPr>
            <w:tcW w:w="3079" w:type="pct"/>
            <w:tcBorders>
              <w:top w:val="single" w:color="000000" w:sz="4" w:space="0"/>
              <w:left w:val="single" w:color="000000" w:sz="4" w:space="0"/>
              <w:bottom w:val="single" w:color="auto"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支持与ERP系统集成获取调拨通知单获取入库产品信息，也支持通过系统手动创建单据，关联质检任务。</w:t>
            </w:r>
          </w:p>
        </w:tc>
      </w:tr>
      <w:tr>
        <w:tblPrEx>
          <w:tblCellMar>
            <w:top w:w="0" w:type="dxa"/>
            <w:left w:w="108" w:type="dxa"/>
            <w:bottom w:w="0" w:type="dxa"/>
            <w:right w:w="108" w:type="dxa"/>
          </w:tblCellMar>
        </w:tblPrEx>
        <w:trPr>
          <w:trHeight w:val="117"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返修入库</w:t>
            </w:r>
          </w:p>
        </w:tc>
        <w:tc>
          <w:tcPr>
            <w:tcW w:w="3079" w:type="pct"/>
            <w:tcBorders>
              <w:top w:val="single" w:color="auto"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支持与ERP系统集成获取返修入库单获取入库产品信息，也支持通过系统手动创建单据，关联质检任务。</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其它入库</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支持其他类型入库管理及非生产物料相关的入库作业过程管理。</w:t>
            </w:r>
          </w:p>
        </w:tc>
      </w:tr>
      <w:tr>
        <w:tblPrEx>
          <w:tblCellMar>
            <w:top w:w="0" w:type="dxa"/>
            <w:left w:w="108" w:type="dxa"/>
            <w:bottom w:w="0" w:type="dxa"/>
            <w:right w:w="108" w:type="dxa"/>
          </w:tblCellMar>
        </w:tblPrEx>
        <w:trPr>
          <w:trHeight w:val="56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库内管理（与ERP同步）</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库存查询</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支持库存查询，查询仓库中物料储存情况，包括货主、品名、数量、库位、属性、分配情况等信息，支持库存汇总、库存明细导出和查询。</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任务管理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仓库所有工作任务可进行统一查询管理。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库存移动</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支持库内库位转移操作，支持按单个或批量操作。</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库存调拨</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支持业务组织之间、同一业务组织中仓库与仓库之间相关的库存调拨业务；根据需求执行物料库存地点变更，并跟踪库存调拨状态及物料实物流转。</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库存调整</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支持盘点、超期、报废等原因产生的库存差异调整，库存调整支持库区、库位、数量的调整。</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库存冻结/解冻</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支持手动/自动锁定库存物料，被锁定物料不能进行任务作业；当库存冻结原因解决后需要将已冻结的库存释放。</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库存盘点</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支持多种盘点方式，包括标准盘点、异动盘点、盘点申请、盘点执行、盘点处理；支持多种盘点周期，包括日盘、周盘、月盘、循环盘点等；支持全盘、抽盘、指定产品盘点等方式；支持盘点差异分析。</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保质期、有效期管理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通过系统定义物料的保质期、有效期时间，可按需求设置预警提前期后超时报警。</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呆滞管理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支持积压物料管理功能，包括：长时间呆滞自动预警、自动识别与标记、分类管理（如可用范围、可报废、待处理等）等功能。</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库龄管理、分析</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库存呆滞时长管理，自定义规则实现库龄预警功能；根据物料收货日期或生产制造日期，在系统内进行设置物料使用寿命，实现对物料有效使用周期数据。</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库存复检</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支持根据物料生产日期、有效期等信息自动生成库存复检单，支持手动创建库存复检单；支持多条件查询库存复检单信息。复检功能引用标准质检模块。</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库存校验</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支持库存校验，调取ERP的库存信息进行比对校验，展现差异点。</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追溯管理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支持按系统批次进行追溯信息管理。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单位换算管理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支持单位换算。</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库存日志管理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物料全生命周期日志管理。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库存快照管理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支持自动或手动保存库存快照。</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物料凭证查询</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支持物料凭证查询，基于仓库、人员、物料、日期等快查询交易凭证，并支持导出。</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库存优化</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通过数据分析，优化库存布局和库存水平，减少库存积压和缺货现象，提高资金利用率</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货位管理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货位规划与分配</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科学布局仓库空间，合理设定货位编码规则，便于货物精准存放和查找。</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动态货位调整</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根据库存动态和作业需求，灵活调整货品存储位置。</w:t>
            </w:r>
          </w:p>
        </w:tc>
      </w:tr>
      <w:tr>
        <w:tblPrEx>
          <w:tblCellMar>
            <w:top w:w="0" w:type="dxa"/>
            <w:left w:w="108" w:type="dxa"/>
            <w:bottom w:w="0" w:type="dxa"/>
            <w:right w:w="108" w:type="dxa"/>
          </w:tblCellMar>
        </w:tblPrEx>
        <w:trPr>
          <w:trHeight w:val="56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出库管理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出库策略</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包括但不限于平均分配、先进先出、紧急出库、按批出库、散盘优先、拣料路径、人员/设备准备情况、目标出库货位调整等。</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工单管理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获取MES生产工单及ERP零星领料（成本中心领料、项目领料等非生产性领料）需求，可根据订单优先级进行任务排序，根据领料需求生成拣货、出库、配送等作业及单据。</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拣货管理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生成捡货任务，优化拣货路径，支持多订单合并拣货或分批捡货，实时显示拣货进度。通过先进的路径优化算法，可以大幅减少拣货时间。</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波次管理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出库波次及波次作业管理，包含主库到线边仓及线边仓到送线的不同波次策略；系统根据波次策略自动生成波次单。</w:t>
            </w:r>
          </w:p>
        </w:tc>
      </w:tr>
      <w:tr>
        <w:tblPrEx>
          <w:tblCellMar>
            <w:top w:w="0" w:type="dxa"/>
            <w:left w:w="108" w:type="dxa"/>
            <w:bottom w:w="0" w:type="dxa"/>
            <w:right w:w="108" w:type="dxa"/>
          </w:tblCellMar>
        </w:tblPrEx>
        <w:trPr>
          <w:trHeight w:val="704"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出库管理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接出库需求，拣选作业（条码拆分）、物料扫码出库下架（生产、销售、退货、委外、受托、非生产性物料出库、调拨、客供料、补料、返修等）；支持库存提前分配占用、配送单作业、交接签收；支持裹料、最小包装、快速退料；支持按不同出货策略、出库规则进行出库；</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支持生产备料，基于工单自动生成备料任务，自动下发仓库进行分拣备料，基于生产顺序及加工进度自动生产配送指令，下达仓库指导作业；支持生产物料倒冲管理；支持原辅料的尾料处理；出库信息同步至ERP过账。</w:t>
            </w:r>
          </w:p>
        </w:tc>
      </w:tr>
      <w:tr>
        <w:tblPrEx>
          <w:tblCellMar>
            <w:top w:w="0" w:type="dxa"/>
            <w:left w:w="108" w:type="dxa"/>
            <w:bottom w:w="0" w:type="dxa"/>
            <w:right w:w="108" w:type="dxa"/>
          </w:tblCellMar>
        </w:tblPrEx>
        <w:trPr>
          <w:trHeight w:val="560" w:hRule="atLeast"/>
        </w:trPr>
        <w:tc>
          <w:tcPr>
            <w:tcW w:w="800" w:type="pct"/>
            <w:tcBorders>
              <w:top w:val="single" w:color="000000" w:sz="4" w:space="0"/>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发货管理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进行打包和标签打印，生成发货单，确认发货并进行追溯；客户送货单对接管理（预留不启用），装车复核、出厂单打印等。</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配送/领料管理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系统根据生产需要生产送货单，并完成与需求单位的在线签收作业。</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出库下架</w:t>
            </w:r>
          </w:p>
        </w:tc>
        <w:tc>
          <w:tcPr>
            <w:tcW w:w="3079" w:type="pct"/>
            <w:tcBorders>
              <w:top w:val="single" w:color="000000" w:sz="4" w:space="0"/>
              <w:left w:val="single" w:color="000000" w:sz="4" w:space="0"/>
              <w:bottom w:val="single" w:color="auto"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根据出库策略分配货位生成下架任务，下架任务可分解为立体库自动化设备搬运、出库人工搬运并下发至指定作业人员。</w:t>
            </w:r>
          </w:p>
        </w:tc>
      </w:tr>
      <w:tr>
        <w:tblPrEx>
          <w:tblCellMar>
            <w:top w:w="0" w:type="dxa"/>
            <w:left w:w="108" w:type="dxa"/>
            <w:bottom w:w="0" w:type="dxa"/>
            <w:right w:w="108" w:type="dxa"/>
          </w:tblCellMar>
        </w:tblPrEx>
        <w:trPr>
          <w:trHeight w:val="1755" w:hRule="atLeast"/>
        </w:trPr>
        <w:tc>
          <w:tcPr>
            <w:tcW w:w="800" w:type="pct"/>
            <w:vMerge w:val="continue"/>
            <w:tcBorders>
              <w:top w:val="single" w:color="000000" w:sz="4" w:space="0"/>
              <w:left w:val="single" w:color="000000" w:sz="4" w:space="0"/>
              <w:bottom w:val="single" w:color="000000" w:sz="4" w:space="0"/>
              <w:right w:val="single" w:color="auto"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其他出库</w:t>
            </w:r>
          </w:p>
        </w:tc>
        <w:tc>
          <w:tcPr>
            <w:tcW w:w="307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支持返修出库、成本中心领料、报废出库、返工出库、采购退货出库、领料退回、其它无参考出库等出库业务的管控。</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库内报废管理</w:t>
            </w:r>
          </w:p>
        </w:tc>
        <w:tc>
          <w:tcPr>
            <w:tcW w:w="1119" w:type="pct"/>
            <w:tcBorders>
              <w:top w:val="single" w:color="auto"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w:t>
            </w:r>
          </w:p>
        </w:tc>
        <w:tc>
          <w:tcPr>
            <w:tcW w:w="3079" w:type="pct"/>
            <w:vMerge w:val="restart"/>
            <w:tcBorders>
              <w:top w:val="single" w:color="auto"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管员在WMS发起复检申请，质量相关人员在QMS进行判定，完成判定后由库管员在ERP发起报废流程，完成审批后生成报废单据并传送到WMS系统完成实物报废流程，到库存和财务数据更新，并且能生成相关报表用于统计和成本分析的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报废审批流程</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报废单手持提单</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报废单出库拆箱</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报废单出库退扫</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报废单记账</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报废单出库明细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智能元件库管理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库位管理</w:t>
            </w:r>
          </w:p>
        </w:tc>
        <w:tc>
          <w:tcPr>
            <w:tcW w:w="307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规范库位定义，支持库区、库位的灵活配置与管理，支持批次管理。</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能够实时记录库存数据，支持入库、出库、移库、盘点等操作；支持按物料、整库、指定盘点等多种盘点方式；支持物料调拨、物料投料消耗记录、库存查询等。</w:t>
            </w:r>
          </w:p>
        </w:tc>
      </w:tr>
      <w:tr>
        <w:tblPrEx>
          <w:tblCellMar>
            <w:top w:w="0" w:type="dxa"/>
            <w:left w:w="108" w:type="dxa"/>
            <w:bottom w:w="0" w:type="dxa"/>
            <w:right w:w="108" w:type="dxa"/>
          </w:tblCellMar>
        </w:tblPrEx>
        <w:trPr>
          <w:trHeight w:val="649" w:hRule="atLeast"/>
        </w:trPr>
        <w:tc>
          <w:tcPr>
            <w:tcW w:w="800" w:type="pct"/>
            <w:vMerge w:val="restart"/>
            <w:tcBorders>
              <w:top w:val="single" w:color="auto" w:sz="4" w:space="0"/>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线边库管理</w:t>
            </w:r>
          </w:p>
        </w:tc>
        <w:tc>
          <w:tcPr>
            <w:tcW w:w="1119" w:type="pct"/>
            <w:tcBorders>
              <w:top w:val="single" w:color="auto"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线边库管理</w:t>
            </w:r>
          </w:p>
        </w:tc>
        <w:tc>
          <w:tcPr>
            <w:tcW w:w="3079" w:type="pct"/>
            <w:tcBorders>
              <w:top w:val="single" w:color="auto" w:sz="4" w:space="0"/>
              <w:left w:val="single" w:color="000000" w:sz="4" w:space="0"/>
              <w:bottom w:val="single" w:color="auto"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需要支持线边仓管理，涉及通用物料的扣减和倒冲。</w:t>
            </w:r>
          </w:p>
        </w:tc>
      </w:tr>
      <w:tr>
        <w:tblPrEx>
          <w:tblCellMar>
            <w:top w:w="0" w:type="dxa"/>
            <w:left w:w="108" w:type="dxa"/>
            <w:bottom w:w="0" w:type="dxa"/>
            <w:right w:w="108" w:type="dxa"/>
          </w:tblCellMar>
        </w:tblPrEx>
        <w:trPr>
          <w:trHeight w:val="148" w:hRule="atLeast"/>
        </w:trPr>
        <w:tc>
          <w:tcPr>
            <w:tcW w:w="800" w:type="pct"/>
            <w:vMerge w:val="continue"/>
            <w:tcBorders>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安全库存触发配送</w:t>
            </w:r>
          </w:p>
        </w:tc>
        <w:tc>
          <w:tcPr>
            <w:tcW w:w="3079" w:type="pct"/>
            <w:tcBorders>
              <w:top w:val="single" w:color="auto"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支持安全库存触发配送出库，维护线边库的最大最小及安全库存标准，建立线边库与 BOM 消耗关系，当物料消耗达到最小库存时，自动触发配送需求，将配送需求信息和货位信息同步给仓库人员，仓库人员根据需求进行物料配送。</w:t>
            </w:r>
          </w:p>
        </w:tc>
      </w:tr>
      <w:tr>
        <w:tblPrEx>
          <w:tblCellMar>
            <w:top w:w="0" w:type="dxa"/>
            <w:left w:w="108" w:type="dxa"/>
            <w:bottom w:w="0" w:type="dxa"/>
            <w:right w:w="108" w:type="dxa"/>
          </w:tblCellMar>
        </w:tblPrEx>
        <w:trPr>
          <w:trHeight w:val="84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条码规则</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包含条码规则配置、产品条码生成规则、条码验证分组等；</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打印模板的设定，包含物料代码、名称、供方信息、项目信息、入库类型、入库数量、入库日期、时效日期、存储区域、批次序号、物料图片等。</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条码配置</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包含货品条码的配置、载具条码的配置、货位条码的配置、包装条码（最小包装、箱、托等）。</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支持创建多种条码模版，支持自定义条码内容，支持标签复制、禁用、合并、拆分、报废管理等，支持条码分配与关联、跟踪与查询等。</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条码打印</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持各种类型的模板配置管理，支持多种条码格式；支持物料标签打印、配料标签打印、配送卡标签打印、供方外箱标签打印等，支持库房打印，支持打印记录查询。</w:t>
            </w:r>
          </w:p>
        </w:tc>
      </w:tr>
      <w:tr>
        <w:tblPrEx>
          <w:tblCellMar>
            <w:top w:w="0" w:type="dxa"/>
            <w:left w:w="108" w:type="dxa"/>
            <w:bottom w:w="0" w:type="dxa"/>
            <w:right w:w="108" w:type="dxa"/>
          </w:tblCellMar>
        </w:tblPrEx>
        <w:trPr>
          <w:trHeight w:val="1680" w:hRule="atLeast"/>
        </w:trPr>
        <w:tc>
          <w:tcPr>
            <w:tcW w:w="800"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任务管理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任务管理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上架任务管理</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拣货任务管理</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移位任务管理</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补货任务管理</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加工任务管理</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其他任务管理</w:t>
            </w:r>
          </w:p>
          <w:p>
            <w:pPr>
              <w:widowControl w:val="0"/>
              <w:numPr>
                <w:ilvl w:val="0"/>
                <w:numId w:val="1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仓库所有工作任务可进行统一调度管理，可设置优先级；支持任务跟踪与监控，支持任务数据统计与分析；</w:t>
            </w:r>
          </w:p>
          <w:p>
            <w:pPr>
              <w:widowControl w:val="0"/>
              <w:numPr>
                <w:ilvl w:val="0"/>
                <w:numId w:val="1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根据仓库的业务规则和任务信息，系统可以自动生成各种任务，也可手动创建；</w:t>
            </w:r>
          </w:p>
          <w:p>
            <w:pPr>
              <w:widowControl w:val="0"/>
              <w:numPr>
                <w:ilvl w:val="0"/>
                <w:numId w:val="16"/>
              </w:numPr>
              <w:adjustRightInd w:val="0"/>
              <w:snapToGrid w:val="0"/>
              <w:spacing w:after="0" w:line="360" w:lineRule="auto"/>
              <w:jc w:val="both"/>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据预设的规则和算法，将任务自动分配给合适的人员或设备，也可手动分配。</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容器与载具管理</w:t>
            </w: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容器与载具资源管理</w:t>
            </w:r>
          </w:p>
        </w:tc>
        <w:tc>
          <w:tcPr>
            <w:tcW w:w="3079" w:type="pct"/>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支持容器与载具基础档案(包括名称、编码、类型、尺寸、承重、所属库房、所属库区、用途等)、物料对应关系、出入库、库存、载具回收等管理。</w:t>
            </w: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容器与载具基础信息维护</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容器与载具条码维护与生成</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容器与载具与物料对应关系管理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容器与载具条码拆分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容器与载具入库管理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容器与载具出库管理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容器与载具库存管理</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280" w:hRule="atLeast"/>
        </w:trPr>
        <w:tc>
          <w:tcPr>
            <w:tcW w:w="800" w:type="pct"/>
            <w:vMerge w:val="continue"/>
            <w:tcBorders>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容器与载具使用记录</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9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综保备件管理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综保备件台账管理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包括综保备件的物料名称、物料编码、物料序列号、批次、图号/规格型号、单位、数量、供应商信息、库龄、投产依据、领用记录等信息。</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综保备件入库管理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包括综保备件收货管理、质检管理、上架管理、入库记录等从接收到上架的全过程管理。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综保备件出库管理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包括领用出库管理、追溯管理、出库记录等。</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综保备件库存管理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包括库存监控、货位管理、库存盘点、库存分析等。</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KPI管理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库房KPI</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系统能够对库存准确性、周转率、订单处理效率、仓库空间利用率和劳动生产率等关键绩效指标进行数据收集、计算、分析。</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作业人员KPI</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统计仓库工作人员工作效率，预测仓库所需人员；结合劳动力数据与任务列表，系统计算任务派发方式和排序。</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集团KPI指标</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集团化KPI指标分解及考核。</w:t>
            </w:r>
          </w:p>
        </w:tc>
      </w:tr>
      <w:tr>
        <w:tblPrEx>
          <w:tblCellMar>
            <w:top w:w="0" w:type="dxa"/>
            <w:left w:w="108" w:type="dxa"/>
            <w:bottom w:w="0" w:type="dxa"/>
            <w:right w:w="108" w:type="dxa"/>
          </w:tblCellMar>
        </w:tblPrEx>
        <w:trPr>
          <w:trHeight w:val="1605"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打印管理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打印任务管理</w:t>
            </w:r>
          </w:p>
        </w:tc>
        <w:tc>
          <w:tcPr>
            <w:tcW w:w="3079" w:type="pct"/>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提供对打印工作站的管理和维护，支持打印任务队列管理，支持对打印任务的重启、取消等操作。</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支持打印收货单、入库单、拣货单、出库单、客户标签、装箱单及其他相关单据打印，支持单据补打。</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单据补打</w:t>
            </w:r>
          </w:p>
        </w:tc>
        <w:tc>
          <w:tcPr>
            <w:tcW w:w="3079" w:type="pct"/>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6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报表管理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自定义报表</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提供多种进、出、存相关报表，提供报表定制功能，支持基于个性化管理需求，快速定制各类日常使用的报表。</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库存报表</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统计库存量，分析库存周转率，生成库存预警报表。</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其他报表</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库位热点图、任务进度报表、KPI报表、库龄报表、库容利用率报表、追溯报表等。</w:t>
            </w:r>
          </w:p>
        </w:tc>
      </w:tr>
      <w:tr>
        <w:tblPrEx>
          <w:tblCellMar>
            <w:top w:w="0" w:type="dxa"/>
            <w:left w:w="108" w:type="dxa"/>
            <w:bottom w:w="0" w:type="dxa"/>
            <w:right w:w="108" w:type="dxa"/>
          </w:tblCellMar>
        </w:tblPrEx>
        <w:trPr>
          <w:trHeight w:val="600" w:hRule="atLeast"/>
        </w:trPr>
        <w:tc>
          <w:tcPr>
            <w:tcW w:w="800"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系统集成</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系统集成</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1、软件集成：通过接口等方式实现WMS系统与ERP、MES、SRM、QMS等软件系统集成，实现业务场景全流程线上执行、跟踪与数据共享，支持业务财务一体化；</w:t>
            </w:r>
            <w:r>
              <w:rPr>
                <w:rFonts w:hint="eastAsia" w:ascii="仿宋_GB2312" w:eastAsia="仿宋_GB2312" w:cs="仿宋_GB2312"/>
                <w:color w:val="auto"/>
                <w:sz w:val="24"/>
                <w:szCs w:val="24"/>
                <w:lang w:bidi="ar"/>
              </w:rPr>
              <w:br w:type="textWrapping"/>
            </w:r>
            <w:r>
              <w:rPr>
                <w:rFonts w:hint="eastAsia" w:ascii="仿宋_GB2312" w:eastAsia="仿宋_GB2312" w:cs="仿宋_GB2312"/>
                <w:color w:val="auto"/>
                <w:sz w:val="24"/>
                <w:szCs w:val="24"/>
                <w:lang w:bidi="ar"/>
              </w:rPr>
              <w:t>2、硬件集成：通过WMS系统对接立库、智能元件库（2台SMT料塔）等智能仓储硬件相关控制系统；支持与自动化立体库相关的WCS系统集成，实现上下架任务自动分发及反馈。</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基础数据管理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仓储主数据</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支持按仓库、区域、库区、库位逐级维护仓库基础信息，包括集团级仓储主数据。</w:t>
            </w:r>
          </w:p>
        </w:tc>
      </w:tr>
      <w:tr>
        <w:tblPrEx>
          <w:tblCellMar>
            <w:top w:w="0" w:type="dxa"/>
            <w:left w:w="108" w:type="dxa"/>
            <w:bottom w:w="0" w:type="dxa"/>
            <w:right w:w="108" w:type="dxa"/>
          </w:tblCellMar>
        </w:tblPrEx>
        <w:trPr>
          <w:trHeight w:val="84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物料主数据</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现物料分类维护、物料基础定义、物料与储位对应关系维护，包括品名、品类、条码、净重、毛重、体积、有效期、湿度等级、是否温度管控等基本属性以及物流管理中相关的控制和策略设置(收货、上架、盘点、配货策略等)，包括集团级物料主数据的管理。</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供应商/客户</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实现供应商、客户、承运人等基础信息维护，当集团建立集团仓时，利用货主管理指定仓库物料的货主信息。</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仓储策略</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支持货位规划策略定义，其中货位策略支持指定项目、空仓位优先、上一次存放货位、指定仓位等，出库策略支持先进先出、指定项目、指定仓位、指定批次等，支持集团化仓储策略定义。</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容器管理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定义周转箱、载具不同规格的容器类型，实现容器标准化管理。</w:t>
            </w:r>
          </w:p>
        </w:tc>
      </w:tr>
      <w:tr>
        <w:tblPrEx>
          <w:tblCellMar>
            <w:top w:w="0" w:type="dxa"/>
            <w:left w:w="108" w:type="dxa"/>
            <w:bottom w:w="0" w:type="dxa"/>
            <w:right w:w="108" w:type="dxa"/>
          </w:tblCellMar>
        </w:tblPrEx>
        <w:trPr>
          <w:trHeight w:val="56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货品管理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定义货主、货品批次规则、货品专用货位等相关货品管理的应用功能。</w:t>
            </w:r>
          </w:p>
        </w:tc>
      </w:tr>
      <w:tr>
        <w:tblPrEx>
          <w:tblCellMar>
            <w:top w:w="0" w:type="dxa"/>
            <w:left w:w="108" w:type="dxa"/>
            <w:bottom w:w="0" w:type="dxa"/>
            <w:right w:w="108" w:type="dxa"/>
          </w:tblCellMar>
        </w:tblPrEx>
        <w:trPr>
          <w:trHeight w:val="280" w:hRule="atLeast"/>
        </w:trPr>
        <w:tc>
          <w:tcPr>
            <w:tcW w:w="800" w:type="pct"/>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系统管理</w:t>
            </w: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角色用户</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支持按角色、用户组划分权限，可设置用户可以操作的作业类型和作业区域。</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组织架构</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包含公司、工厂、部门、人员等配置，不同业务组织有独立的业务管理权限。</w:t>
            </w:r>
          </w:p>
        </w:tc>
      </w:tr>
      <w:tr>
        <w:tblPrEx>
          <w:tblCellMar>
            <w:top w:w="0" w:type="dxa"/>
            <w:left w:w="108" w:type="dxa"/>
            <w:bottom w:w="0" w:type="dxa"/>
            <w:right w:w="108" w:type="dxa"/>
          </w:tblCellMar>
        </w:tblPrEx>
        <w:trPr>
          <w:trHeight w:val="84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多终端支持</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系统支持主流终端，如PC、扫码枪、大屏等。</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接口组件</w:t>
            </w:r>
          </w:p>
        </w:tc>
        <w:tc>
          <w:tcPr>
            <w:tcW w:w="307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支持接口集成映射、测试、日志及相关异常预警等接口管理功能。</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权限管理</w:t>
            </w:r>
          </w:p>
        </w:tc>
        <w:tc>
          <w:tcPr>
            <w:tcW w:w="3079" w:type="pct"/>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包含用户管理、用户组管理、角色管理及菜单管理，支持按角色、用户组划分权限，可设置用户可以操作的业务类型和仓储作业区域。</w:t>
            </w:r>
          </w:p>
        </w:tc>
      </w:tr>
      <w:tr>
        <w:tblPrEx>
          <w:tblCellMar>
            <w:top w:w="0" w:type="dxa"/>
            <w:left w:w="108" w:type="dxa"/>
            <w:bottom w:w="0" w:type="dxa"/>
            <w:right w:w="108" w:type="dxa"/>
          </w:tblCellMar>
        </w:tblPrEx>
        <w:trPr>
          <w:trHeight w:val="280" w:hRule="atLeast"/>
        </w:trPr>
        <w:tc>
          <w:tcPr>
            <w:tcW w:w="800" w:type="pct"/>
            <w:vMerge w:val="continue"/>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1119"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日志管理</w:t>
            </w:r>
          </w:p>
        </w:tc>
        <w:tc>
          <w:tcPr>
            <w:tcW w:w="3079" w:type="pct"/>
            <w:tcBorders>
              <w:top w:val="single" w:color="000000" w:sz="4" w:space="0"/>
              <w:left w:val="single" w:color="000000" w:sz="4" w:space="0"/>
              <w:bottom w:val="single" w:color="auto" w:sz="4" w:space="0"/>
              <w:right w:val="single" w:color="000000" w:sz="4" w:space="0"/>
            </w:tcBorders>
            <w:vAlign w:val="center"/>
          </w:tcPr>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支持登录日志、操作日志等系统类日志管理。</w:t>
            </w:r>
          </w:p>
        </w:tc>
      </w:tr>
      <w:tr>
        <w:tblPrEx>
          <w:tblCellMar>
            <w:top w:w="0" w:type="dxa"/>
            <w:left w:w="108" w:type="dxa"/>
            <w:bottom w:w="0" w:type="dxa"/>
            <w:right w:w="108" w:type="dxa"/>
          </w:tblCellMar>
        </w:tblPrEx>
        <w:trPr>
          <w:trHeight w:val="1120" w:hRule="atLeast"/>
        </w:trPr>
        <w:tc>
          <w:tcPr>
            <w:tcW w:w="800" w:type="pct"/>
            <w:tcBorders>
              <w:top w:val="single" w:color="auto" w:sz="4" w:space="0"/>
              <w:left w:val="single" w:color="auto" w:sz="4" w:space="0"/>
              <w:bottom w:val="single" w:color="000000"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配置及流程管理</w:t>
            </w:r>
          </w:p>
        </w:tc>
        <w:tc>
          <w:tcPr>
            <w:tcW w:w="1119" w:type="pct"/>
            <w:tcBorders>
              <w:top w:val="single" w:color="auto" w:sz="4" w:space="0"/>
              <w:left w:val="single" w:color="000000" w:sz="4" w:space="0"/>
              <w:bottom w:val="single" w:color="auto" w:sz="4" w:space="0"/>
              <w:right w:val="single" w:color="000000" w:sz="4" w:space="0"/>
            </w:tcBorders>
            <w:noWrap/>
            <w:vAlign w:val="center"/>
          </w:tcPr>
          <w:p>
            <w:pPr>
              <w:widowControl w:val="0"/>
              <w:adjustRightInd w:val="0"/>
              <w:snapToGrid w:val="0"/>
              <w:spacing w:after="0" w:line="360" w:lineRule="auto"/>
              <w:ind w:firstLine="240" w:firstLineChars="1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配置管理</w:t>
            </w:r>
          </w:p>
        </w:tc>
        <w:tc>
          <w:tcPr>
            <w:tcW w:w="3079" w:type="pct"/>
            <w:tcBorders>
              <w:top w:val="single" w:color="auto" w:sz="4" w:space="0"/>
              <w:left w:val="single" w:color="000000" w:sz="4" w:space="0"/>
              <w:bottom w:val="single" w:color="auto" w:sz="4" w:space="0"/>
              <w:right w:val="single" w:color="auto" w:sz="4" w:space="0"/>
            </w:tcBorders>
            <w:vAlign w:val="center"/>
          </w:tcPr>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系统管理员对系统进行配置。</w:t>
            </w:r>
          </w:p>
        </w:tc>
      </w:tr>
      <w:tr>
        <w:tblPrEx>
          <w:tblCellMar>
            <w:top w:w="0" w:type="dxa"/>
            <w:left w:w="108" w:type="dxa"/>
            <w:bottom w:w="0" w:type="dxa"/>
            <w:right w:w="108" w:type="dxa"/>
          </w:tblCellMar>
        </w:tblPrEx>
        <w:trPr>
          <w:trHeight w:val="1120" w:hRule="atLeast"/>
        </w:trPr>
        <w:tc>
          <w:tcPr>
            <w:tcW w:w="800" w:type="pct"/>
            <w:tcBorders>
              <w:top w:val="single" w:color="000000" w:sz="4" w:space="0"/>
              <w:left w:val="single" w:color="auto" w:sz="4" w:space="0"/>
              <w:bottom w:val="single" w:color="auto" w:sz="4" w:space="0"/>
              <w:right w:val="single" w:color="000000" w:sz="4" w:space="0"/>
            </w:tcBorders>
            <w:noWrap/>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可视化BI</w:t>
            </w:r>
          </w:p>
        </w:tc>
        <w:tc>
          <w:tcPr>
            <w:tcW w:w="1119" w:type="pct"/>
            <w:tcBorders>
              <w:top w:val="single" w:color="auto" w:sz="4" w:space="0"/>
              <w:left w:val="single" w:color="000000" w:sz="4" w:space="0"/>
              <w:bottom w:val="single" w:color="auto" w:sz="4" w:space="0"/>
              <w:right w:val="single" w:color="000000" w:sz="4" w:space="0"/>
            </w:tcBorders>
            <w:noWrap/>
            <w:vAlign w:val="center"/>
          </w:tcPr>
          <w:p>
            <w:pPr>
              <w:widowControl w:val="0"/>
              <w:adjustRightInd w:val="0"/>
              <w:snapToGrid w:val="0"/>
              <w:spacing w:after="0" w:line="360" w:lineRule="auto"/>
              <w:ind w:firstLine="240" w:firstLineChars="1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可视化BI</w:t>
            </w:r>
          </w:p>
        </w:tc>
        <w:tc>
          <w:tcPr>
            <w:tcW w:w="3079" w:type="pct"/>
            <w:tcBorders>
              <w:top w:val="single" w:color="auto" w:sz="4" w:space="0"/>
              <w:left w:val="single" w:color="000000" w:sz="4" w:space="0"/>
              <w:bottom w:val="single" w:color="auto" w:sz="4" w:space="0"/>
              <w:right w:val="single" w:color="auto" w:sz="4" w:space="0"/>
            </w:tcBorders>
            <w:vAlign w:val="center"/>
          </w:tcPr>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3个看板，支持多维度数据呈现，柱状图、热力图、甘特图等，支持自定义报表和看板，需适配不同岗位需求，如管理层看宏观指标，操作层看任务明细。</w:t>
            </w:r>
          </w:p>
        </w:tc>
      </w:tr>
      <w:tr>
        <w:tblPrEx>
          <w:tblCellMar>
            <w:top w:w="0" w:type="dxa"/>
            <w:left w:w="108" w:type="dxa"/>
            <w:bottom w:w="0" w:type="dxa"/>
            <w:right w:w="108" w:type="dxa"/>
          </w:tblCellMar>
        </w:tblPrEx>
        <w:trPr>
          <w:trHeight w:val="752" w:hRule="atLeast"/>
        </w:trPr>
        <w:tc>
          <w:tcPr>
            <w:tcW w:w="800" w:type="pct"/>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其他功能</w:t>
            </w:r>
          </w:p>
        </w:tc>
        <w:tc>
          <w:tcPr>
            <w:tcW w:w="1119" w:type="pct"/>
            <w:tcBorders>
              <w:top w:val="single" w:color="auto" w:sz="4" w:space="0"/>
              <w:left w:val="single" w:color="000000" w:sz="4" w:space="0"/>
              <w:bottom w:val="single" w:color="auto" w:sz="4" w:space="0"/>
              <w:right w:val="single" w:color="000000" w:sz="4" w:space="0"/>
            </w:tcBorders>
            <w:noWrap/>
            <w:vAlign w:val="center"/>
          </w:tcPr>
          <w:p>
            <w:pPr>
              <w:adjustRightInd w:val="0"/>
              <w:snapToGrid w:val="0"/>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其他功能</w:t>
            </w:r>
          </w:p>
        </w:tc>
        <w:tc>
          <w:tcPr>
            <w:tcW w:w="3079" w:type="pct"/>
            <w:tcBorders>
              <w:top w:val="single" w:color="auto" w:sz="4" w:space="0"/>
              <w:left w:val="single" w:color="000000" w:sz="4" w:space="0"/>
              <w:bottom w:val="single" w:color="auto" w:sz="4" w:space="0"/>
              <w:right w:val="single" w:color="auto" w:sz="4" w:space="0"/>
            </w:tcBorders>
            <w:vAlign w:val="center"/>
          </w:tcPr>
          <w:p>
            <w:pPr>
              <w:adjustRightInd w:val="0"/>
              <w:snapToGrid w:val="0"/>
              <w:spacing w:after="0" w:line="360" w:lineRule="auto"/>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支持不同地址的多仓库模式；预留3D可视化建模（包括仓库、库区、库位等仓库基础建模设计，支持实体仓、虚拟仓、VMI第三方仓等多种仓库类型配置及建模）接口。</w:t>
            </w:r>
          </w:p>
        </w:tc>
      </w:tr>
    </w:tbl>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技术要求及产品性能</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★基本性能指标</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系统</w:t>
      </w:r>
      <w:r>
        <w:rPr>
          <w:rFonts w:hint="eastAsia" w:ascii="仿宋_GB2312" w:eastAsia="仿宋_GB2312" w:cs="Times New Roman"/>
          <w:color w:val="auto"/>
          <w:sz w:val="24"/>
          <w:szCs w:val="24"/>
        </w:rPr>
        <w:t>在符合运行环境需求的硬件配置情况下，基本性能指标主要包括：</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系统不限用户数，不限最大并发访问数量，在硬件配置支撑的情况下，最大并发用户吞吐量≥200个。</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 xml:space="preserve">系统响应时间：对于简单操作（如页面跳转、数据查询等），响应时间不超过2秒；对于复杂业务操作，响应时间不超过5秒，特殊情况下超时应提供进度条提示。 </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资源请求响应时间：单个请求小于</w:t>
      </w:r>
      <w:r>
        <w:rPr>
          <w:rFonts w:ascii="仿宋_GB2312" w:eastAsia="仿宋_GB2312" w:cs="Times New Roman"/>
          <w:color w:val="auto"/>
          <w:sz w:val="24"/>
          <w:szCs w:val="24"/>
        </w:rPr>
        <w:t>1</w:t>
      </w:r>
      <w:r>
        <w:rPr>
          <w:rFonts w:hint="eastAsia" w:ascii="仿宋_GB2312" w:eastAsia="仿宋_GB2312" w:cs="Times New Roman"/>
          <w:color w:val="auto"/>
          <w:sz w:val="24"/>
          <w:szCs w:val="24"/>
        </w:rPr>
        <w:t xml:space="preserve">秒。 </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系统吞吐量：在200用户并发情况下，系统每秒钟能处理的业务请求数不低于50个；单仓吞吐≥1万行/小时，支持峰值2倍扩展。</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数据处理能力：系统应能够实时处理百万级别的生产数据，同时保障系统流畅运行；归档数据压缩率应达到50%以上，以减少存储空间和传输负载；数据导入导出条数不做数量上限限制，支持分批导入导出。对于结构化数据，数据库每秒能处理的查询、插入、更新、删除等操作总数不低于500次；对于非结构化数据，每秒能处理的上传、下载等操作总数不低于10次。</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Times New Roman"/>
          <w:color w:val="auto"/>
          <w:sz w:val="24"/>
          <w:szCs w:val="24"/>
        </w:rPr>
        <w:t>系统稳定性：在连续72小时满负荷运行（200人并发）情况下，系统无故障运行，性能指标（如响应时间、吞吐量等）波动不超过10%。</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数据库性能：数据库一般查询响应时间不超过2秒，数据库连接池的利用率保持在70%-80%之间，避免连接池溢出或资源浪费，提供慢查询日志。</w:t>
      </w:r>
    </w:p>
    <w:p>
      <w:pPr>
        <w:pStyle w:val="37"/>
        <w:numPr>
          <w:ilvl w:val="0"/>
          <w:numId w:val="17"/>
        </w:numPr>
        <w:ind w:firstLineChars="0"/>
        <w:rPr>
          <w:rFonts w:ascii="仿宋_GB2312" w:eastAsia="仿宋_GB2312" w:cs="Times New Roman"/>
          <w:color w:val="auto"/>
          <w:sz w:val="24"/>
          <w:szCs w:val="24"/>
        </w:rPr>
      </w:pPr>
      <w:r>
        <w:rPr>
          <w:rFonts w:hint="eastAsia" w:ascii="仿宋_GB2312" w:eastAsia="仿宋_GB2312" w:cs="Times New Roman"/>
          <w:color w:val="auto"/>
          <w:sz w:val="24"/>
          <w:szCs w:val="24"/>
        </w:rPr>
        <w:t>立库</w:t>
      </w:r>
      <w:r>
        <w:rPr>
          <w:rFonts w:ascii="仿宋_GB2312" w:eastAsia="仿宋_GB2312" w:cs="Times New Roman"/>
          <w:color w:val="auto"/>
          <w:sz w:val="24"/>
          <w:szCs w:val="24"/>
        </w:rPr>
        <w:t>/</w:t>
      </w:r>
      <w:r>
        <w:rPr>
          <w:rFonts w:hint="eastAsia" w:ascii="仿宋_GB2312" w:eastAsia="仿宋_GB2312" w:cs="Times New Roman"/>
          <w:color w:val="auto"/>
          <w:sz w:val="24"/>
          <w:szCs w:val="24"/>
        </w:rPr>
        <w:t>自动化端：上下架任务成功率≥</w:t>
      </w:r>
      <w:r>
        <w:rPr>
          <w:rFonts w:ascii="仿宋_GB2312" w:eastAsia="仿宋_GB2312" w:cs="Times New Roman"/>
          <w:color w:val="auto"/>
          <w:sz w:val="24"/>
          <w:szCs w:val="24"/>
        </w:rPr>
        <w:t>99.9%</w:t>
      </w:r>
      <w:r>
        <w:rPr>
          <w:rFonts w:hint="eastAsia" w:ascii="仿宋_GB2312" w:eastAsia="仿宋_GB2312" w:cs="Times New Roman"/>
          <w:color w:val="auto"/>
          <w:sz w:val="24"/>
          <w:szCs w:val="24"/>
        </w:rPr>
        <w:t>，单任务响应≤</w:t>
      </w:r>
      <w:r>
        <w:rPr>
          <w:rFonts w:ascii="仿宋_GB2312" w:eastAsia="仿宋_GB2312" w:cs="Times New Roman"/>
          <w:color w:val="auto"/>
          <w:sz w:val="24"/>
          <w:szCs w:val="24"/>
        </w:rPr>
        <w:t>1s</w:t>
      </w:r>
      <w:r>
        <w:rPr>
          <w:rFonts w:hint="eastAsia" w:ascii="仿宋_GB2312" w:eastAsia="仿宋_GB2312" w:cs="Times New Roman"/>
          <w:color w:val="auto"/>
          <w:sz w:val="24"/>
          <w:szCs w:val="24"/>
        </w:rPr>
        <w:t>；单条任务下发至执行反馈的端到端时延</w:t>
      </w:r>
      <w:r>
        <w:rPr>
          <w:rFonts w:ascii="仿宋_GB2312" w:eastAsia="仿宋_GB2312" w:cs="Times New Roman"/>
          <w:color w:val="auto"/>
          <w:sz w:val="24"/>
          <w:szCs w:val="24"/>
        </w:rPr>
        <w:t xml:space="preserve"> </w:t>
      </w:r>
      <w:r>
        <w:rPr>
          <w:rFonts w:hint="eastAsia" w:ascii="仿宋_GB2312" w:eastAsia="仿宋_GB2312" w:cs="Times New Roman"/>
          <w:color w:val="auto"/>
          <w:sz w:val="24"/>
          <w:szCs w:val="24"/>
        </w:rPr>
        <w:t>≤</w:t>
      </w:r>
      <w:r>
        <w:rPr>
          <w:rFonts w:ascii="仿宋_GB2312" w:eastAsia="仿宋_GB2312" w:cs="Times New Roman"/>
          <w:color w:val="auto"/>
          <w:sz w:val="24"/>
          <w:szCs w:val="24"/>
        </w:rPr>
        <w:t xml:space="preserve">1 </w:t>
      </w:r>
      <w:r>
        <w:rPr>
          <w:rFonts w:hint="eastAsia" w:ascii="仿宋_GB2312" w:eastAsia="仿宋_GB2312" w:cs="Times New Roman"/>
          <w:color w:val="auto"/>
          <w:sz w:val="24"/>
          <w:szCs w:val="24"/>
        </w:rPr>
        <w:t>秒；接口调用成功率≥</w:t>
      </w:r>
      <w:r>
        <w:rPr>
          <w:rFonts w:ascii="仿宋_GB2312" w:eastAsia="仿宋_GB2312" w:cs="Times New Roman"/>
          <w:color w:val="auto"/>
          <w:sz w:val="24"/>
          <w:szCs w:val="24"/>
        </w:rPr>
        <w:t>99.9%</w:t>
      </w:r>
      <w:r>
        <w:rPr>
          <w:rFonts w:hint="eastAsia" w:ascii="仿宋_GB2312" w:eastAsia="仿宋_GB2312" w:cs="Times New Roman"/>
          <w:color w:val="auto"/>
          <w:sz w:val="24"/>
          <w:szCs w:val="24"/>
        </w:rPr>
        <w:t>；支持立库任务日志追溯。</w:t>
      </w:r>
    </w:p>
    <w:p>
      <w:pPr>
        <w:widowControl w:val="0"/>
        <w:numPr>
          <w:ilvl w:val="0"/>
          <w:numId w:val="17"/>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需提交以上性能指标要求的测试报告。</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技术要求</w:t>
      </w:r>
    </w:p>
    <w:p>
      <w:pPr>
        <w:widowControl w:val="0"/>
        <w:numPr>
          <w:ilvl w:val="2"/>
          <w:numId w:val="14"/>
        </w:numPr>
        <w:adjustRightInd w:val="0"/>
        <w:snapToGrid w:val="0"/>
        <w:spacing w:after="0" w:line="360" w:lineRule="auto"/>
        <w:jc w:val="both"/>
        <w:rPr>
          <w:rFonts w:eastAsia="宋体" w:cs="Times New Roman"/>
          <w:color w:val="auto"/>
          <w:sz w:val="24"/>
          <w:szCs w:val="24"/>
        </w:rPr>
      </w:pPr>
      <w:r>
        <w:rPr>
          <w:rFonts w:hint="eastAsia" w:ascii="仿宋_GB2312" w:eastAsia="仿宋_GB2312" w:cs="仿宋_GB2312"/>
          <w:b/>
          <w:bCs/>
          <w:color w:val="auto"/>
          <w:sz w:val="24"/>
          <w:szCs w:val="24"/>
          <w:lang w:bidi="ar"/>
        </w:rPr>
        <w:t>总体要求</w:t>
      </w:r>
    </w:p>
    <w:p>
      <w:pPr>
        <w:widowControl w:val="0"/>
        <w:numPr>
          <w:ilvl w:val="0"/>
          <w:numId w:val="1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系统应采用松耦合架构(</w:t>
      </w:r>
      <w:r>
        <w:rPr>
          <w:rFonts w:ascii="仿宋_GB2312" w:eastAsia="仿宋_GB2312" w:cs="仿宋_GB2312"/>
          <w:color w:val="auto"/>
          <w:sz w:val="24"/>
          <w:szCs w:val="24"/>
          <w:lang w:bidi="ar"/>
        </w:rPr>
        <w:t>微服务</w:t>
      </w:r>
      <w:r>
        <w:rPr>
          <w:rFonts w:hint="eastAsia" w:ascii="仿宋_GB2312" w:eastAsia="仿宋_GB2312" w:cs="仿宋_GB2312"/>
          <w:color w:val="auto"/>
          <w:sz w:val="24"/>
          <w:szCs w:val="24"/>
          <w:lang w:bidi="ar"/>
        </w:rPr>
        <w:t>或</w:t>
      </w:r>
      <w:r>
        <w:rPr>
          <w:rFonts w:ascii="仿宋_GB2312" w:eastAsia="仿宋_GB2312" w:cs="仿宋_GB2312"/>
          <w:color w:val="auto"/>
          <w:sz w:val="24"/>
          <w:szCs w:val="24"/>
          <w:lang w:bidi="ar"/>
        </w:rPr>
        <w:t>SOA</w:t>
      </w:r>
      <w:r>
        <w:rPr>
          <w:rFonts w:hint="eastAsia" w:ascii="仿宋_GB2312" w:eastAsia="仿宋_GB2312" w:cs="仿宋_GB2312"/>
          <w:color w:val="auto"/>
          <w:sz w:val="24"/>
          <w:szCs w:val="24"/>
          <w:lang w:bidi="ar"/>
        </w:rPr>
        <w:t>)，支持通过统一集成平台</w:t>
      </w:r>
      <w:r>
        <w:rPr>
          <w:rFonts w:ascii="仿宋_GB2312" w:eastAsia="仿宋_GB2312" w:cs="仿宋_GB2312"/>
          <w:color w:val="auto"/>
          <w:sz w:val="24"/>
          <w:szCs w:val="24"/>
          <w:lang w:bidi="ar"/>
        </w:rPr>
        <w:t>方式进行集成，通过接口平台实现快速灵活的集成外部系统</w:t>
      </w:r>
      <w:r>
        <w:rPr>
          <w:rFonts w:hint="eastAsia" w:ascii="仿宋_GB2312" w:eastAsia="仿宋_GB2312" w:cs="仿宋_GB2312"/>
          <w:color w:val="auto"/>
          <w:sz w:val="24"/>
          <w:szCs w:val="24"/>
          <w:lang w:bidi="ar"/>
        </w:rPr>
        <w:t>。系统间集成必须通过ESB（SAP PO）进行对接。</w:t>
      </w:r>
    </w:p>
    <w:p>
      <w:pPr>
        <w:widowControl w:val="0"/>
        <w:numPr>
          <w:ilvl w:val="0"/>
          <w:numId w:val="18"/>
        </w:numPr>
        <w:spacing w:after="0" w:line="360" w:lineRule="auto"/>
        <w:jc w:val="both"/>
        <w:rPr>
          <w:rFonts w:ascii="仿宋_GB2312" w:eastAsia="仿宋_GB2312"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Times New Roman"/>
          <w:color w:val="auto"/>
          <w:sz w:val="24"/>
          <w:szCs w:val="24"/>
        </w:rPr>
        <w:t>服务器统一采用虚拟化部署模式，数据实行集中存储。</w:t>
      </w:r>
    </w:p>
    <w:p>
      <w:pPr>
        <w:widowControl w:val="0"/>
        <w:numPr>
          <w:ilvl w:val="0"/>
          <w:numId w:val="18"/>
        </w:numPr>
        <w:spacing w:after="0" w:line="360" w:lineRule="auto"/>
        <w:jc w:val="both"/>
        <w:rPr>
          <w:rFonts w:ascii="仿宋_GB2312" w:eastAsia="仿宋_GB2312"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Times New Roman"/>
          <w:color w:val="auto"/>
          <w:sz w:val="24"/>
          <w:szCs w:val="24"/>
        </w:rPr>
        <w:t>非互联网应用网络环境严格限制在非密内网（与互联网物理隔离的内部局域网），不单独部署专用网络。</w:t>
      </w:r>
    </w:p>
    <w:p>
      <w:pPr>
        <w:widowControl w:val="0"/>
        <w:numPr>
          <w:ilvl w:val="0"/>
          <w:numId w:val="18"/>
        </w:numPr>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需支持</w:t>
      </w:r>
      <w:r>
        <w:rPr>
          <w:rFonts w:hint="eastAsia" w:ascii="仿宋_GB2312" w:eastAsia="仿宋_GB2312" w:cs="仿宋_GB2312"/>
          <w:color w:val="auto"/>
          <w:sz w:val="24"/>
          <w:szCs w:val="24"/>
          <w:lang w:bidi="ar"/>
        </w:rPr>
        <w:t>SQL Server</w:t>
      </w:r>
      <w:r>
        <w:rPr>
          <w:rFonts w:ascii="仿宋_GB2312" w:eastAsia="仿宋_GB2312" w:cs="仿宋_GB2312"/>
          <w:color w:val="auto"/>
          <w:sz w:val="24"/>
          <w:szCs w:val="24"/>
          <w:lang w:bidi="ar"/>
        </w:rPr>
        <w:t>、Oracle、Mysql</w:t>
      </w:r>
      <w:r>
        <w:rPr>
          <w:rFonts w:hint="eastAsia" w:ascii="仿宋_GB2312" w:eastAsia="仿宋_GB2312" w:cs="仿宋_GB2312"/>
          <w:color w:val="auto"/>
          <w:sz w:val="24"/>
          <w:szCs w:val="24"/>
          <w:lang w:bidi="ar"/>
        </w:rPr>
        <w:t>及国产主流数据库（如达梦、人大金仓等）</w:t>
      </w:r>
      <w:r>
        <w:rPr>
          <w:rFonts w:ascii="仿宋_GB2312" w:eastAsia="仿宋_GB2312" w:cs="仿宋_GB2312"/>
          <w:color w:val="auto"/>
          <w:sz w:val="24"/>
          <w:szCs w:val="24"/>
          <w:lang w:bidi="ar"/>
        </w:rPr>
        <w:t>，需要满足项目的性能和安全性要求；需支持谷歌、</w:t>
      </w:r>
      <w:r>
        <w:rPr>
          <w:rFonts w:hint="eastAsia" w:ascii="仿宋_GB2312" w:eastAsia="仿宋_GB2312" w:cs="仿宋_GB2312"/>
          <w:color w:val="auto"/>
          <w:sz w:val="24"/>
          <w:szCs w:val="24"/>
          <w:lang w:bidi="ar"/>
        </w:rPr>
        <w:t>IE</w:t>
      </w:r>
      <w:r>
        <w:rPr>
          <w:rFonts w:ascii="仿宋_GB2312" w:eastAsia="仿宋_GB2312" w:cs="仿宋_GB2312"/>
          <w:color w:val="auto"/>
          <w:sz w:val="24"/>
          <w:szCs w:val="24"/>
          <w:lang w:bidi="ar"/>
        </w:rPr>
        <w:t>、</w:t>
      </w:r>
      <w:r>
        <w:rPr>
          <w:rFonts w:hint="eastAsia" w:ascii="仿宋_GB2312" w:eastAsia="仿宋_GB2312" w:cs="仿宋_GB2312"/>
          <w:color w:val="auto"/>
          <w:sz w:val="24"/>
          <w:szCs w:val="24"/>
          <w:lang w:bidi="ar"/>
        </w:rPr>
        <w:t>Edge、</w:t>
      </w:r>
      <w:r>
        <w:rPr>
          <w:rFonts w:ascii="仿宋_GB2312" w:eastAsia="仿宋_GB2312" w:cs="仿宋_GB2312"/>
          <w:color w:val="auto"/>
          <w:sz w:val="24"/>
          <w:szCs w:val="24"/>
          <w:lang w:bidi="ar"/>
        </w:rPr>
        <w:t>火狐等</w:t>
      </w:r>
      <w:r>
        <w:rPr>
          <w:rFonts w:hint="eastAsia" w:ascii="仿宋_GB2312" w:eastAsia="仿宋_GB2312" w:cs="仿宋_GB2312"/>
          <w:color w:val="auto"/>
          <w:sz w:val="24"/>
          <w:szCs w:val="24"/>
          <w:lang w:bidi="ar"/>
        </w:rPr>
        <w:t>主流</w:t>
      </w:r>
      <w:r>
        <w:rPr>
          <w:rFonts w:ascii="仿宋_GB2312" w:eastAsia="仿宋_GB2312" w:cs="仿宋_GB2312"/>
          <w:color w:val="auto"/>
          <w:sz w:val="24"/>
          <w:szCs w:val="24"/>
          <w:lang w:bidi="ar"/>
        </w:rPr>
        <w:t>浏览器，确保用户能够正常使用系统中的各项功能</w:t>
      </w:r>
      <w:r>
        <w:rPr>
          <w:rFonts w:hint="eastAsia" w:ascii="仿宋_GB2312" w:eastAsia="仿宋_GB2312" w:cs="仿宋_GB2312"/>
          <w:color w:val="auto"/>
          <w:sz w:val="24"/>
          <w:szCs w:val="24"/>
          <w:lang w:bidi="ar"/>
        </w:rPr>
        <w:t>。</w:t>
      </w:r>
    </w:p>
    <w:p>
      <w:pPr>
        <w:widowControl w:val="0"/>
        <w:numPr>
          <w:ilvl w:val="0"/>
          <w:numId w:val="18"/>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应支持国产化操作系统（如UOS、银河麒麟等）以及相应的安全产品。</w:t>
      </w:r>
    </w:p>
    <w:p>
      <w:pPr>
        <w:widowControl w:val="0"/>
        <w:numPr>
          <w:ilvl w:val="0"/>
          <w:numId w:val="1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所交付的系统平台需要满足公司全员使用，不涉及</w:t>
      </w:r>
      <w:r>
        <w:rPr>
          <w:rFonts w:ascii="仿宋_GB2312" w:eastAsia="仿宋_GB2312" w:cs="仿宋_GB2312"/>
          <w:color w:val="auto"/>
          <w:sz w:val="24"/>
          <w:szCs w:val="24"/>
          <w:lang w:bidi="ar"/>
        </w:rPr>
        <w:t>Licence</w:t>
      </w:r>
      <w:r>
        <w:rPr>
          <w:rFonts w:hint="eastAsia" w:ascii="仿宋_GB2312" w:eastAsia="仿宋_GB2312" w:cs="仿宋_GB2312"/>
          <w:color w:val="auto"/>
          <w:sz w:val="24"/>
          <w:szCs w:val="24"/>
          <w:lang w:bidi="ar"/>
        </w:rPr>
        <w:t>（许可）相关限制。</w:t>
      </w:r>
    </w:p>
    <w:p>
      <w:pPr>
        <w:widowControl w:val="0"/>
        <w:numPr>
          <w:ilvl w:val="0"/>
          <w:numId w:val="1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▲因履行本技术要求所开发产生的研究成果及其相关知识产权权利，归招标方所有；招标方有权对二次开发产生的相关代码进行专利、软件著作权等申请。</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标准化要求</w:t>
      </w:r>
    </w:p>
    <w:p>
      <w:pPr>
        <w:widowControl w:val="0"/>
        <w:numPr>
          <w:ilvl w:val="0"/>
          <w:numId w:val="1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系统内部及与外部系统的通信应基于开放、标准的协议实现，优先采用 TCP/IP 协议族下的通用协议，如 HTTP/HTTPS、WebSocket、RESTful API、SOAP、MQTT 等。</w:t>
      </w:r>
    </w:p>
    <w:p>
      <w:pPr>
        <w:widowControl w:val="0"/>
        <w:numPr>
          <w:ilvl w:val="0"/>
          <w:numId w:val="1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▲系统应提供统一的集成平台能力，采用主流标准集成协议，支持业务系统、安全系统等柔性集成，并预留标准接口便于后续集成工作。</w:t>
      </w:r>
    </w:p>
    <w:p>
      <w:pPr>
        <w:widowControl w:val="0"/>
        <w:numPr>
          <w:ilvl w:val="0"/>
          <w:numId w:val="1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数据交换标准：支持的标准化数据格式：系统应支持至少</w:t>
      </w:r>
      <w:r>
        <w:rPr>
          <w:rFonts w:ascii="仿宋_GB2312" w:eastAsia="仿宋_GB2312" w:cs="仿宋_GB2312"/>
          <w:color w:val="auto"/>
          <w:sz w:val="24"/>
          <w:szCs w:val="24"/>
          <w:lang w:bidi="ar"/>
        </w:rPr>
        <w:t>2</w:t>
      </w:r>
      <w:r>
        <w:rPr>
          <w:rFonts w:hint="eastAsia" w:ascii="仿宋_GB2312" w:eastAsia="仿宋_GB2312" w:cs="仿宋_GB2312"/>
          <w:color w:val="auto"/>
          <w:sz w:val="24"/>
          <w:szCs w:val="24"/>
          <w:lang w:bidi="ar"/>
        </w:rPr>
        <w:t>种标准化数据格式（如XML、JSON），并具备扩展能力以支持未来可能出现的行业标准。</w:t>
      </w:r>
    </w:p>
    <w:p>
      <w:pPr>
        <w:widowControl w:val="0"/>
        <w:numPr>
          <w:ilvl w:val="0"/>
          <w:numId w:val="1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系统开发应遵循如GB/T 22239</w:t>
      </w:r>
      <w:r>
        <w:rPr>
          <w:rFonts w:ascii="仿宋_GB2312" w:eastAsia="仿宋_GB2312" w:cs="仿宋_GB2312"/>
          <w:color w:val="auto"/>
          <w:sz w:val="24"/>
          <w:szCs w:val="24"/>
          <w:lang w:bidi="ar"/>
        </w:rPr>
        <w:t>-2019</w:t>
      </w:r>
      <w:r>
        <w:rPr>
          <w:rFonts w:hint="eastAsia" w:ascii="仿宋_GB2312" w:eastAsia="仿宋_GB2312" w:cs="仿宋_GB2312"/>
          <w:color w:val="auto"/>
          <w:sz w:val="24"/>
          <w:szCs w:val="24"/>
          <w:lang w:bidi="ar"/>
        </w:rPr>
        <w:t>《信息安全技术标准》等国家标准，确保系统符合本地化的法规和行业要求。</w:t>
      </w:r>
    </w:p>
    <w:p>
      <w:pPr>
        <w:widowControl w:val="0"/>
        <w:numPr>
          <w:ilvl w:val="0"/>
          <w:numId w:val="1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编码标准：系统开发应参照国内软件开发的相关规范，如GB/T 8566</w:t>
      </w:r>
      <w:r>
        <w:rPr>
          <w:rFonts w:ascii="仿宋_GB2312" w:eastAsia="仿宋_GB2312" w:cs="仿宋_GB2312"/>
          <w:color w:val="auto"/>
          <w:sz w:val="24"/>
          <w:szCs w:val="24"/>
          <w:lang w:bidi="ar"/>
        </w:rPr>
        <w:t>-2022</w:t>
      </w:r>
      <w:r>
        <w:rPr>
          <w:rFonts w:hint="eastAsia" w:ascii="仿宋_GB2312" w:eastAsia="仿宋_GB2312" w:cs="仿宋_GB2312"/>
          <w:color w:val="auto"/>
          <w:sz w:val="24"/>
          <w:szCs w:val="24"/>
          <w:lang w:bidi="ar"/>
        </w:rPr>
        <w:t>《软件开发规范》，并使用Java、C#等主流编程语言，确保开发过程的规范性。</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可靠性要求</w:t>
      </w:r>
    </w:p>
    <w:p>
      <w:pPr>
        <w:widowControl w:val="0"/>
        <w:numPr>
          <w:ilvl w:val="0"/>
          <w:numId w:val="20"/>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软件可靠性:系统应能够连续不断稳定可靠的工作，系统的软件经过充分测试，程序运行稳定可靠。系统具有进程管理功能，监视各个应用和任务的运行状态，有完善的自诊断功能。当进程运行不正常时（如严重超时不能退出、长时间挂起不能启动等），可以保证故障及时发现、定位、报警、切换、隔离、恢复。全年可用时间达到99.95%以上的系统可用性，允许每年总共不超过4.38小时的非计划停机时间，包括维护和突发事件处理时间。</w:t>
      </w:r>
    </w:p>
    <w:p>
      <w:pPr>
        <w:widowControl w:val="0"/>
        <w:numPr>
          <w:ilvl w:val="0"/>
          <w:numId w:val="2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数据传输的可靠性:采用可靠协议确保数据传输的可靠性，对关键操作有可靠机制保证数据不丢失，如消息持久化存储、ACK确认机制等。</w:t>
      </w:r>
    </w:p>
    <w:p>
      <w:pPr>
        <w:widowControl w:val="0"/>
        <w:numPr>
          <w:ilvl w:val="0"/>
          <w:numId w:val="2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软件版本升级或改进应在不影响业务的情况下进行，保证系统稳定、平滑过渡。</w:t>
      </w:r>
    </w:p>
    <w:p>
      <w:pPr>
        <w:widowControl w:val="0"/>
        <w:numPr>
          <w:ilvl w:val="0"/>
          <w:numId w:val="2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对于系统异常能够有完善的报错机制和日志记录，能够让使用者迅速了解错误原因，系统应有容错能力，软件故障不应引起各类严重的系统重启。</w:t>
      </w:r>
    </w:p>
    <w:p>
      <w:pPr>
        <w:widowControl w:val="0"/>
        <w:numPr>
          <w:ilvl w:val="0"/>
          <w:numId w:val="2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数据可靠性：建立有效的数据备份、恢复机制，确保信息资源数据万无一失；支持与国内主流的备份解决方案兼容的备份机制。</w:t>
      </w:r>
    </w:p>
    <w:p>
      <w:pPr>
        <w:widowControl w:val="0"/>
        <w:numPr>
          <w:ilvl w:val="0"/>
          <w:numId w:val="2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▲具备监控告警能力，提供包括主机、操作系统级、应用级的监控服务，在服务器异常时能通过弹窗、邮件等方式发送提醒。</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可维护性要求</w:t>
      </w:r>
    </w:p>
    <w:p>
      <w:pPr>
        <w:widowControl w:val="0"/>
        <w:numPr>
          <w:ilvl w:val="0"/>
          <w:numId w:val="21"/>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系统应采用模块化、松耦合架构设计，支持按功能单元独立部署、配置和升级；提供集中式管理控制台，实现参数配置、任务调度、日志查看、服务启停等功能的一站式操作。</w:t>
      </w:r>
    </w:p>
    <w:p>
      <w:pPr>
        <w:pStyle w:val="37"/>
        <w:numPr>
          <w:ilvl w:val="0"/>
          <w:numId w:val="21"/>
        </w:numPr>
        <w:spacing w:after="0" w:line="360" w:lineRule="auto"/>
        <w:ind w:firstLineChars="0"/>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▲系统应提供图形化配置工具，支持通过界面完成常见维护任务，如报表设计、业务流程调整等。</w:t>
      </w:r>
    </w:p>
    <w:p>
      <w:pPr>
        <w:widowControl w:val="0"/>
        <w:numPr>
          <w:ilvl w:val="0"/>
          <w:numId w:val="21"/>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对于系统的支撑软件和应用软件，提供以下可维护性手段：</w:t>
      </w:r>
    </w:p>
    <w:p>
      <w:pPr>
        <w:widowControl w:val="0"/>
        <w:numPr>
          <w:ilvl w:val="0"/>
          <w:numId w:val="2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提供完善、准确、友好的维护手册。</w:t>
      </w:r>
    </w:p>
    <w:p>
      <w:pPr>
        <w:widowControl w:val="0"/>
        <w:numPr>
          <w:ilvl w:val="0"/>
          <w:numId w:val="2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提供完整、准确的运行记录（包括正常和异常以及故障记录）。</w:t>
      </w:r>
    </w:p>
    <w:p>
      <w:pPr>
        <w:widowControl w:val="0"/>
        <w:numPr>
          <w:ilvl w:val="0"/>
          <w:numId w:val="2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提供运行状态的监视、报警，关键服务异常报警。</w:t>
      </w:r>
    </w:p>
    <w:p>
      <w:pPr>
        <w:widowControl w:val="0"/>
        <w:numPr>
          <w:ilvl w:val="0"/>
          <w:numId w:val="2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系统能在线进行业务配置、报表模板等的维护。</w:t>
      </w:r>
    </w:p>
    <w:p>
      <w:pPr>
        <w:widowControl w:val="0"/>
        <w:numPr>
          <w:ilvl w:val="0"/>
          <w:numId w:val="21"/>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系统可维护性应遵循ISO/IEC 25010要求及行业标准，软件结构应清晰合理，后端类、方法、变量、复杂逻辑、接口100%注释，前端方法、组件、变量90%注释。系统应记录详细的运行日志，包括用户操作、系统事件、错误发生的时间和上下文等信息。</w:t>
      </w:r>
    </w:p>
    <w:p>
      <w:pPr>
        <w:widowControl w:val="0"/>
        <w:numPr>
          <w:ilvl w:val="0"/>
          <w:numId w:val="21"/>
        </w:numPr>
        <w:spacing w:after="0" w:line="360" w:lineRule="auto"/>
        <w:jc w:val="both"/>
        <w:rPr>
          <w:rFonts w:ascii="仿宋_GB2312" w:eastAsia="仿宋_GB2312" w:cs="Times New Roman"/>
          <w:color w:val="auto"/>
          <w:sz w:val="24"/>
          <w:szCs w:val="24"/>
        </w:rPr>
      </w:pPr>
      <w:bookmarkStart w:id="130" w:name="_Toc308424946"/>
      <w:r>
        <w:rPr>
          <w:rFonts w:hint="eastAsia" w:ascii="仿宋_GB2312" w:eastAsia="仿宋_GB2312" w:cs="Times New Roman"/>
          <w:color w:val="auto"/>
          <w:sz w:val="24"/>
          <w:szCs w:val="24"/>
        </w:rPr>
        <w:t>系统提供简便、易用的维护诊断功能，支持导出诊断包(含日志、配置、环境信息等)以供技术支持分析。</w:t>
      </w:r>
      <w:bookmarkEnd w:id="130"/>
      <w:r>
        <w:rPr>
          <w:rFonts w:ascii="仿宋_GB2312" w:eastAsia="仿宋_GB2312" w:cs="仿宋_GB2312"/>
          <w:color w:val="auto"/>
          <w:sz w:val="24"/>
          <w:szCs w:val="24"/>
          <w:lang w:bidi="ar"/>
        </w:rPr>
        <w:t xml:space="preserve"> </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安全性要求</w:t>
      </w:r>
    </w:p>
    <w:p>
      <w:pPr>
        <w:widowControl w:val="0"/>
        <w:numPr>
          <w:ilvl w:val="0"/>
          <w:numId w:val="2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充分考虑数据的保密性、访问可控性、数据完整性等安全可靠因素；考虑整体系统运行安全策略机制，可根据业务需要设置不同的安全措施，支持敏感数据使用符合国家标准的加密算法(如SM4或AES-256)加密存储等功能。</w:t>
      </w:r>
    </w:p>
    <w:p>
      <w:pPr>
        <w:widowControl w:val="0"/>
        <w:numPr>
          <w:ilvl w:val="0"/>
          <w:numId w:val="23"/>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授权机制需严谨，授权工具应简单直观；采用RBAC(基于角色的访问控制)模型，支持管理员－模块管理员的分级授权体系；实现角色授权、用户组授权、单独授权等多种灵活的授权方式；实现管理员对多个账户批量授权、被动接受管理员管理的功能。用户权限控制细度到数据库字段级。</w:t>
      </w:r>
    </w:p>
    <w:p>
      <w:pPr>
        <w:widowControl w:val="0"/>
        <w:numPr>
          <w:ilvl w:val="0"/>
          <w:numId w:val="2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Times New Roman"/>
          <w:color w:val="auto"/>
          <w:sz w:val="24"/>
          <w:szCs w:val="24"/>
        </w:rPr>
        <w:t>系统应具有日志审计功能，可记录系统用户登录时间、IP地址、功能模块、权限变动、数据库字段级操作等字段和关键操作。</w:t>
      </w:r>
    </w:p>
    <w:p>
      <w:pPr>
        <w:widowControl w:val="0"/>
        <w:numPr>
          <w:ilvl w:val="0"/>
          <w:numId w:val="2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敏感数据应使用符合中国信息安全标准（如SM4加密算法）的加密方式，确保传输和存储过程中的数据安全，数据脱敏处理需符合《中华人民共和国网络安全法》的要求。</w:t>
      </w:r>
    </w:p>
    <w:p>
      <w:pPr>
        <w:widowControl w:val="0"/>
        <w:numPr>
          <w:ilvl w:val="0"/>
          <w:numId w:val="2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提供全面的容灾、备份、恢复机制方案，从服务器、系统、数据存储各层面全面考虑；任何紧急情况下能快速的恢复系统正常运行，并都能够保证数据的完整性和安全性。</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扩展性要求</w:t>
      </w:r>
    </w:p>
    <w:p>
      <w:pPr>
        <w:widowControl w:val="0"/>
        <w:numPr>
          <w:ilvl w:val="0"/>
          <w:numId w:val="24"/>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提供硬件资源扩容的平滑过渡方案，当系统业务量增长需要扩容时，能够通过增加服务器、存储设备等硬件资源实现系统性能的提升。</w:t>
      </w:r>
    </w:p>
    <w:p>
      <w:pPr>
        <w:widowControl w:val="0"/>
        <w:numPr>
          <w:ilvl w:val="0"/>
          <w:numId w:val="2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Times New Roman"/>
          <w:color w:val="auto"/>
          <w:sz w:val="24"/>
          <w:szCs w:val="24"/>
        </w:rPr>
        <w:t>系统设计需有较好的可扩展性，需满足招标方今后业务增长的需求，新增用户、新增子公司、数据库扩容、硬件扩容均需在原有的系统平台基础上进行补充，而不需要重新设计，</w:t>
      </w:r>
      <w:r>
        <w:rPr>
          <w:rFonts w:hint="eastAsia" w:ascii="仿宋_GB2312" w:eastAsia="仿宋_GB2312" w:cs="仿宋_GB2312"/>
          <w:color w:val="auto"/>
          <w:sz w:val="24"/>
          <w:szCs w:val="24"/>
          <w:lang w:bidi="ar"/>
        </w:rPr>
        <w:t>确保能够与未来信息化规划系统进行集成并适应新的业务需求。系统应提供系统管理员必要的应用权限，如权限分配、表单字段定制、报表定制、流程组态的定制等，方便对今后业务需求更改时能自行配置。</w:t>
      </w:r>
    </w:p>
    <w:p>
      <w:pPr>
        <w:widowControl w:val="0"/>
        <w:numPr>
          <w:ilvl w:val="0"/>
          <w:numId w:val="24"/>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具备和周边系统灵活的集成关系和数据交互方式，提供标准化的主流开发扩展接口工具，以及具备对数据接口进行监控以确保其正常工作和异常处理手段等。</w:t>
      </w:r>
    </w:p>
    <w:p>
      <w:pPr>
        <w:widowControl w:val="0"/>
        <w:numPr>
          <w:ilvl w:val="0"/>
          <w:numId w:val="24"/>
        </w:numPr>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w:t>
      </w:r>
      <w:r>
        <w:rPr>
          <w:rFonts w:hint="eastAsia" w:ascii="仿宋_GB2312" w:eastAsia="仿宋_GB2312" w:cs="仿宋_GB2312"/>
          <w:color w:val="auto"/>
          <w:sz w:val="24"/>
          <w:szCs w:val="24"/>
          <w:lang w:bidi="ar"/>
        </w:rPr>
        <w:t>应</w:t>
      </w:r>
      <w:r>
        <w:rPr>
          <w:rFonts w:ascii="仿宋_GB2312" w:eastAsia="仿宋_GB2312" w:cs="仿宋_GB2312"/>
          <w:color w:val="auto"/>
          <w:sz w:val="24"/>
          <w:szCs w:val="24"/>
          <w:lang w:bidi="ar"/>
        </w:rPr>
        <w:t>提供统一的接口平台，需支持接口可配置，方便</w:t>
      </w:r>
      <w:r>
        <w:rPr>
          <w:rFonts w:hint="eastAsia" w:ascii="仿宋_GB2312" w:eastAsia="仿宋_GB2312" w:cs="仿宋_GB2312"/>
          <w:color w:val="auto"/>
          <w:sz w:val="24"/>
          <w:szCs w:val="24"/>
          <w:lang w:bidi="ar"/>
        </w:rPr>
        <w:t>招标方</w:t>
      </w:r>
      <w:r>
        <w:rPr>
          <w:rFonts w:ascii="仿宋_GB2312" w:eastAsia="仿宋_GB2312" w:cs="仿宋_GB2312"/>
          <w:color w:val="auto"/>
          <w:sz w:val="24"/>
          <w:szCs w:val="24"/>
          <w:lang w:bidi="ar"/>
        </w:rPr>
        <w:t>后续功能修改、扩展等</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支持与其他系统的数据交换和共享，数据交换方式要能支持中间件、数据库及离线文件等三个层次的实时和定时交互，离线文件交换应支持通用数据标准格式，其中必须支持Excel格式的文件交互格式</w:t>
      </w:r>
      <w:r>
        <w:rPr>
          <w:rFonts w:hint="eastAsia" w:ascii="仿宋_GB2312" w:eastAsia="仿宋_GB2312" w:cs="仿宋_GB2312"/>
          <w:color w:val="auto"/>
          <w:sz w:val="24"/>
          <w:szCs w:val="24"/>
          <w:lang w:bidi="ar"/>
        </w:rPr>
        <w:t>。</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易用性要求</w:t>
      </w:r>
    </w:p>
    <w:p>
      <w:pPr>
        <w:widowControl w:val="0"/>
        <w:numPr>
          <w:ilvl w:val="0"/>
          <w:numId w:val="25"/>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系统平台用语规范、操作简单、使用方便，具有人性化操作界面，符合操作习惯，</w:t>
      </w:r>
      <w:r>
        <w:rPr>
          <w:rFonts w:hint="eastAsia" w:ascii="仿宋_GB2312" w:eastAsia="仿宋_GB2312" w:cs="仿宋_GB2312"/>
          <w:color w:val="auto"/>
          <w:sz w:val="24"/>
          <w:szCs w:val="24"/>
          <w:lang w:bidi="ar"/>
        </w:rPr>
        <w:t>人机界面友好</w:t>
      </w:r>
      <w:r>
        <w:rPr>
          <w:rFonts w:hint="eastAsia" w:ascii="仿宋_GB2312" w:eastAsia="仿宋_GB2312" w:cs="Times New Roman"/>
          <w:color w:val="auto"/>
          <w:sz w:val="24"/>
          <w:szCs w:val="24"/>
        </w:rPr>
        <w:t>。</w:t>
      </w:r>
    </w:p>
    <w:p>
      <w:pPr>
        <w:widowControl w:val="0"/>
        <w:numPr>
          <w:ilvl w:val="0"/>
          <w:numId w:val="25"/>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操作反馈及时明确，用户的每一次操作都能得到清晰的反馈，如操作成功提示、错误信息提示等，提示信息需简洁明了、易于理解。</w:t>
      </w:r>
    </w:p>
    <w:p>
      <w:pPr>
        <w:widowControl w:val="0"/>
        <w:numPr>
          <w:ilvl w:val="0"/>
          <w:numId w:val="25"/>
        </w:numPr>
        <w:spacing w:after="0" w:line="360" w:lineRule="auto"/>
        <w:jc w:val="both"/>
        <w:rPr>
          <w:rFonts w:eastAsia="宋体" w:cs="Times New Roman"/>
          <w:color w:val="auto"/>
          <w:sz w:val="24"/>
          <w:szCs w:val="24"/>
        </w:rPr>
      </w:pPr>
      <w:r>
        <w:rPr>
          <w:rFonts w:hint="eastAsia" w:ascii="仿宋_GB2312" w:eastAsia="仿宋_GB2312" w:cs="仿宋_GB2312"/>
          <w:color w:val="auto"/>
          <w:sz w:val="24"/>
          <w:szCs w:val="24"/>
          <w:lang w:bidi="ar"/>
        </w:rPr>
        <w:t>提供离线“帮助”按钮功能和用户手册。</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可集成性要求</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统一标准化接口设计，系统内所有功能实体间的数据交换以及对其他模块的数据引用都通过标准接口完成，使多个组件对接时在开放性、稳定性、扩展性与集成性上有着很好的适配空间；支持与业务系统</w:t>
      </w:r>
      <w:r>
        <w:rPr>
          <w:rFonts w:hint="eastAsia" w:ascii="仿宋_GB2312" w:eastAsia="仿宋_GB2312" w:cs="仿宋_GB2312"/>
          <w:color w:val="auto"/>
          <w:sz w:val="24"/>
          <w:szCs w:val="24"/>
          <w:lang w:eastAsia="zh" w:bidi="ar"/>
        </w:rPr>
        <w:t>ERP、MES、SRM</w:t>
      </w:r>
      <w:r>
        <w:rPr>
          <w:rFonts w:hint="eastAsia" w:ascii="仿宋_GB2312" w:eastAsia="仿宋_GB2312" w:cs="仿宋_GB2312"/>
          <w:color w:val="auto"/>
          <w:sz w:val="24"/>
          <w:szCs w:val="24"/>
          <w:lang w:bidi="ar"/>
        </w:rPr>
        <w:t>、QMS和自动化立体仓库控制系统、智能元件库（2台SMT料塔）等进行集成对接，</w:t>
      </w:r>
      <w:r>
        <w:rPr>
          <w:rFonts w:hint="eastAsia" w:ascii="仿宋_GB2312" w:eastAsia="仿宋_GB2312" w:cs="Times New Roman"/>
          <w:color w:val="auto"/>
          <w:sz w:val="24"/>
          <w:szCs w:val="24"/>
        </w:rPr>
        <w:t>数据接口按照招标方实际需求为准，投标方应提供标准的数据接口方案以及进行数据接口的协同开发</w:t>
      </w:r>
      <w:r>
        <w:rPr>
          <w:rFonts w:hint="eastAsia" w:ascii="仿宋_GB2312" w:eastAsia="仿宋_GB2312" w:cs="仿宋_GB2312"/>
          <w:color w:val="auto"/>
          <w:sz w:val="24"/>
          <w:szCs w:val="24"/>
          <w:lang w:bidi="ar"/>
        </w:rPr>
        <w:t>；开放全部的数据表，并提供具备标准接口访问、数据推送、数据订阅等多种数据交换方式。</w:t>
      </w:r>
    </w:p>
    <w:p>
      <w:pPr>
        <w:widowControl w:val="0"/>
        <w:numPr>
          <w:ilvl w:val="0"/>
          <w:numId w:val="26"/>
        </w:numPr>
        <w:spacing w:after="0" w:line="360" w:lineRule="auto"/>
        <w:jc w:val="both"/>
        <w:rPr>
          <w:rFonts w:ascii="仿宋_GB2312" w:eastAsia="仿宋_GB2312" w:cs="Times New Roman"/>
          <w:color w:val="auto"/>
          <w:sz w:val="24"/>
          <w:szCs w:val="24"/>
        </w:rPr>
      </w:pPr>
      <w:r>
        <w:rPr>
          <w:rFonts w:hint="eastAsia" w:ascii="仿宋_GB2312" w:eastAsia="仿宋_GB2312" w:cs="仿宋_GB2312"/>
          <w:color w:val="auto"/>
          <w:sz w:val="24"/>
          <w:szCs w:val="24"/>
          <w:lang w:bidi="ar"/>
        </w:rPr>
        <w:t>▲</w:t>
      </w:r>
      <w:r>
        <w:rPr>
          <w:rFonts w:hint="eastAsia" w:ascii="仿宋_GB2312" w:eastAsia="仿宋_GB2312" w:cs="Times New Roman"/>
          <w:color w:val="auto"/>
          <w:sz w:val="24"/>
          <w:szCs w:val="24"/>
        </w:rPr>
        <w:t>系统间必须通过 ESB（SAP PO）进行对接。支持 REST 接口（HTTP+JSON）和 WebService 接口（SOAP+XML）两种标准接口类型，接口需具备良好的兼容性和可扩展性；接口调用需进行权限认证，确保数据在传输过程中的安全性；系统间集成一个接口应同时实现对同一类数据的增删查改操作。</w:t>
      </w:r>
    </w:p>
    <w:p>
      <w:pPr>
        <w:widowControl w:val="0"/>
        <w:numPr>
          <w:ilvl w:val="0"/>
          <w:numId w:val="2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业务流程覆盖：系统接口覆盖从订单计划获取、出入库及库内管理等全流程业务。</w:t>
      </w:r>
    </w:p>
    <w:p>
      <w:pPr>
        <w:widowControl w:val="0"/>
        <w:numPr>
          <w:ilvl w:val="0"/>
          <w:numId w:val="2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开发语言要求：系统开发语言为JAVA、C#等主流开发语言，并适应国内常见的开发工具（如Eclipse、IDEA、VS.NET等），确保开发者快速上手。</w:t>
      </w:r>
    </w:p>
    <w:p>
      <w:pPr>
        <w:widowControl w:val="0"/>
        <w:numPr>
          <w:ilvl w:val="0"/>
          <w:numId w:val="2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开发效率：基于现有框架能快速开发定制接口，响应性能应符合实际用户使用需求。</w:t>
      </w:r>
    </w:p>
    <w:p>
      <w:pPr>
        <w:widowControl w:val="0"/>
        <w:numPr>
          <w:ilvl w:val="0"/>
          <w:numId w:val="2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文档覆盖率：所有API和开发接口的文档覆盖率应达到100%，并提供示例代码和使用指南，文档更新频率应与系统更新同步进行。</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可开发性要求</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系统应提供相关代码及其他文档、资料，支持项目结束后用户能自主或自由选择第三方进行二次开发，包括但不限于功能开发、接口开发、数据开发等。</w:t>
      </w:r>
    </w:p>
    <w:p>
      <w:pPr>
        <w:widowControl w:val="0"/>
        <w:numPr>
          <w:ilvl w:val="0"/>
          <w:numId w:val="2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开发环境与代码管理</w:t>
      </w:r>
    </w:p>
    <w:p>
      <w:pPr>
        <w:widowControl w:val="0"/>
        <w:numPr>
          <w:ilvl w:val="0"/>
          <w:numId w:val="2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开发环境要求</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Times New Roman"/>
          <w:color w:val="auto"/>
          <w:sz w:val="24"/>
          <w:szCs w:val="24"/>
        </w:rPr>
        <w:t>硬件环境：需与生产环境架构保持一致。</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Times New Roman"/>
          <w:color w:val="auto"/>
          <w:sz w:val="24"/>
          <w:szCs w:val="24"/>
        </w:rPr>
        <w:t>★软件环境：提供完整可编译的代码运行环境，包含所有依赖组件（如 SDK、驱动程序、第三方库等），需与生产环境版本兼容，且预配置自动化编译工具（如 Maven、Gradle）及单元测试框架。</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Times New Roman"/>
          <w:color w:val="auto"/>
          <w:sz w:val="24"/>
          <w:szCs w:val="24"/>
        </w:rPr>
        <w:t>环境隔离：开发环境与测试、生产环境严格隔离，具备独立的数据库实例、中间件等防止开发操作影响其他环境稳定性。</w:t>
      </w:r>
    </w:p>
    <w:p>
      <w:pPr>
        <w:widowControl w:val="0"/>
        <w:numPr>
          <w:ilvl w:val="0"/>
          <w:numId w:val="2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代码管理要求</w:t>
      </w:r>
    </w:p>
    <w:p>
      <w:pPr>
        <w:widowControl w:val="0"/>
        <w:spacing w:after="0" w:line="360" w:lineRule="auto"/>
        <w:ind w:firstLine="480" w:firstLineChars="200"/>
        <w:jc w:val="both"/>
        <w:rPr>
          <w:rFonts w:ascii="仿宋_GB2312" w:eastAsia="仿宋_GB2312" w:cs="Times New Roman"/>
          <w:color w:val="auto"/>
          <w:sz w:val="24"/>
          <w:szCs w:val="24"/>
        </w:rPr>
      </w:pPr>
      <w:r>
        <w:rPr>
          <w:rFonts w:hint="eastAsia" w:ascii="仿宋_GB2312" w:eastAsia="仿宋_GB2312" w:cs="Times New Roman"/>
          <w:color w:val="auto"/>
          <w:sz w:val="24"/>
          <w:szCs w:val="24"/>
        </w:rPr>
        <w:t>▲交付完整的本项目定制开发的所有源代码，包括但不限于二次开发手册、open API/Swagger接口文档、相关二开手段的场景示例说明、用户界面代码、数据结构定义、数据库表结构、数据库脚本、配置文件、数据字段含义、数据关系等以及与外部系统交互的接口代码。</w:t>
      </w:r>
    </w:p>
    <w:p>
      <w:pPr>
        <w:widowControl w:val="0"/>
        <w:numPr>
          <w:ilvl w:val="0"/>
          <w:numId w:val="2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系统进行更新后需及时提供更新后的代码。</w:t>
      </w:r>
    </w:p>
    <w:p>
      <w:pPr>
        <w:widowControl w:val="0"/>
        <w:numPr>
          <w:ilvl w:val="0"/>
          <w:numId w:val="2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提供的源码须遵循一定的代码规范，有完整、详细、准确的注释；提供完整的相关文档，包括但不限于系统架构文档、数据库设计文档、接口文档、功能模块说明文档等。</w:t>
      </w:r>
    </w:p>
    <w:p>
      <w:pPr>
        <w:widowControl w:val="0"/>
        <w:numPr>
          <w:ilvl w:val="0"/>
          <w:numId w:val="27"/>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应保证平台及组件的开源/商业许可协议。</w:t>
      </w:r>
    </w:p>
    <w:p>
      <w:pPr>
        <w:widowControl w:val="0"/>
        <w:numPr>
          <w:ilvl w:val="0"/>
          <w:numId w:val="27"/>
        </w:numPr>
        <w:spacing w:after="0" w:line="360" w:lineRule="auto"/>
        <w:contextualSpacing/>
        <w:jc w:val="both"/>
        <w:rPr>
          <w:rFonts w:ascii="Times New Roman" w:hAnsi="Times New Roman" w:eastAsia="宋体" w:cs="Times New Roman"/>
          <w:color w:val="auto"/>
          <w:sz w:val="24"/>
          <w:szCs w:val="24"/>
        </w:rPr>
      </w:pPr>
      <w:r>
        <w:rPr>
          <w:rFonts w:hint="eastAsia" w:ascii="仿宋_GB2312" w:eastAsia="仿宋_GB2312" w:cs="Times New Roman"/>
          <w:color w:val="auto"/>
          <w:sz w:val="24"/>
          <w:szCs w:val="24"/>
        </w:rPr>
        <w:t>▲因履行本技术要求所开发产生的研究成果及其相关知识产权权利，归招标方所有；招标方有权对二次开发产生的相关代码进行专利、软件著作权等申请。</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数据建模</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系统应支持全面的主数据、核心业务数据可视化建模，建模须具备灵活的扩展能力，支持图形化工具完成元数据建模；可根据数据模型自动生成数据访问层接口。</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部署方式要求</w:t>
      </w:r>
    </w:p>
    <w:p>
      <w:pPr>
        <w:widowControl w:val="0"/>
        <w:numPr>
          <w:ilvl w:val="0"/>
          <w:numId w:val="29"/>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为满足系统在使用中持续稳定、便于运维等要求，需采用先进、合理的部署架构，如集中式部署、分布式部署、混合部署等，满足且不限于以下几点要求：</w:t>
      </w:r>
    </w:p>
    <w:p>
      <w:pPr>
        <w:widowControl w:val="0"/>
        <w:numPr>
          <w:ilvl w:val="0"/>
          <w:numId w:val="3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鲁棒性</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系统在各种操作环境下都能保持稳定运行并且能处理异常情况，包括在高峰时段、数据量大、网络波动、硬件故障等复杂环境。</w:t>
      </w:r>
    </w:p>
    <w:p>
      <w:pPr>
        <w:widowControl w:val="0"/>
        <w:numPr>
          <w:ilvl w:val="0"/>
          <w:numId w:val="3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 xml:space="preserve">运维便利性 </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部署架构满足硬件、软件运维的高效、便利的要求。</w:t>
      </w:r>
    </w:p>
    <w:p>
      <w:pPr>
        <w:widowControl w:val="0"/>
        <w:numPr>
          <w:ilvl w:val="0"/>
          <w:numId w:val="3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计算资源耗用的高效性、合理性</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系统应采用包括优化算法、动态分配计算资源等方式确保计算资源耗用的高效性、合理性，支持服务按负载自动扩缩容。</w:t>
      </w:r>
    </w:p>
    <w:p>
      <w:pPr>
        <w:widowControl w:val="0"/>
        <w:numPr>
          <w:ilvl w:val="0"/>
          <w:numId w:val="3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多实例部署</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平台系统基础组件、服务（数据库、消息队列、微服务等）支持多实例部署，避免单点故障导致整个系统瘫痪，实现系统的高可用性，确保平台和应用系统的稳定性。</w:t>
      </w:r>
    </w:p>
    <w:p>
      <w:pPr>
        <w:widowControl w:val="0"/>
        <w:numPr>
          <w:ilvl w:val="0"/>
          <w:numId w:val="3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业务的部署方案</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根据招标方业务类型特点及要求设计部署方案，保证系统可用并满足相关保密等要求。</w:t>
      </w:r>
    </w:p>
    <w:p>
      <w:pPr>
        <w:widowControl w:val="0"/>
        <w:numPr>
          <w:ilvl w:val="0"/>
          <w:numId w:val="29"/>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软件采用虚拟化部署，支持分布式方式部署，通过负载均衡进行会话同步，避免出现单点故障，实现系统高可用。</w:t>
      </w:r>
    </w:p>
    <w:p>
      <w:pPr>
        <w:widowControl w:val="0"/>
        <w:numPr>
          <w:ilvl w:val="0"/>
          <w:numId w:val="29"/>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提供安装脚本，支持docker-compose容器化部署。</w:t>
      </w:r>
    </w:p>
    <w:p>
      <w:pPr>
        <w:widowControl w:val="0"/>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支持国产化环境安装部署。</w:t>
      </w:r>
    </w:p>
    <w:p>
      <w:pPr>
        <w:widowControl w:val="0"/>
        <w:numPr>
          <w:ilvl w:val="0"/>
          <w:numId w:val="29"/>
        </w:numPr>
        <w:spacing w:after="0" w:line="360" w:lineRule="auto"/>
        <w:jc w:val="both"/>
        <w:rPr>
          <w:rFonts w:eastAsia="宋体" w:cs="Times New Roman"/>
          <w:color w:val="auto"/>
          <w:sz w:val="24"/>
          <w:szCs w:val="24"/>
        </w:rPr>
      </w:pPr>
      <w:r>
        <w:rPr>
          <w:rFonts w:hint="eastAsia" w:ascii="仿宋_GB2312" w:eastAsia="仿宋_GB2312" w:cs="Times New Roman"/>
          <w:color w:val="auto"/>
          <w:sz w:val="24"/>
          <w:szCs w:val="24"/>
        </w:rPr>
        <w:t>支持主流国产化操作系统、数据库、中间件，以及相应的安全产品，并提供相应证明文件。支持跨工控网、涉密网业主方需求进行一次免费国产化迁移或跨网络迁移部署。</w:t>
      </w:r>
    </w:p>
    <w:p>
      <w:pPr>
        <w:widowControl w:val="0"/>
        <w:numPr>
          <w:ilvl w:val="0"/>
          <w:numId w:val="29"/>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系统运维后可在系统不停机情况下，在平台提供的界面里实现快速的服务化部署。</w:t>
      </w:r>
    </w:p>
    <w:p>
      <w:pPr>
        <w:widowControl w:val="0"/>
        <w:numPr>
          <w:ilvl w:val="0"/>
          <w:numId w:val="29"/>
        </w:numPr>
        <w:spacing w:after="0" w:line="360" w:lineRule="auto"/>
        <w:jc w:val="both"/>
        <w:rPr>
          <w:rFonts w:ascii="仿宋_GB2312" w:eastAsia="仿宋_GB2312" w:cs="仿宋_GB2312"/>
          <w:color w:val="auto"/>
          <w:sz w:val="24"/>
          <w:szCs w:val="24"/>
          <w:lang w:bidi="ar"/>
        </w:rPr>
      </w:pPr>
      <w:r>
        <w:rPr>
          <w:rFonts w:hint="eastAsia" w:ascii="仿宋_GB2312" w:eastAsia="仿宋_GB2312" w:cs="Times New Roman"/>
          <w:color w:val="auto"/>
          <w:sz w:val="24"/>
          <w:szCs w:val="24"/>
        </w:rPr>
        <w:t>实现数据与业务应用的分流，支持惰性数据与活跃数据分离、生产数据利用（报表统计、生产看板等）与业务过程分离。</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身份鉴别</w:t>
      </w:r>
    </w:p>
    <w:p>
      <w:pPr>
        <w:widowControl w:val="0"/>
        <w:numPr>
          <w:ilvl w:val="0"/>
          <w:numId w:val="31"/>
        </w:numPr>
        <w:spacing w:after="0" w:line="360" w:lineRule="auto"/>
        <w:jc w:val="both"/>
        <w:rPr>
          <w:rFonts w:ascii="仿宋_GB2312" w:eastAsia="仿宋_GB2312" w:cs="仿宋_GB2312"/>
          <w:color w:val="auto"/>
          <w:sz w:val="24"/>
          <w:szCs w:val="24"/>
          <w:lang w:bidi="ar"/>
        </w:rPr>
      </w:pPr>
      <w:r>
        <w:rPr>
          <w:rFonts w:hint="eastAsia" w:ascii="仿宋_GB2312" w:eastAsia="仿宋_GB2312" w:cs="Times New Roman"/>
          <w:color w:val="auto"/>
          <w:sz w:val="24"/>
          <w:szCs w:val="24"/>
        </w:rPr>
        <w:t>支持与第三方身份鉴别系统的集成，实现用户身份的统一管理和统一认证及数据访问身份鉴别。</w:t>
      </w:r>
    </w:p>
    <w:p>
      <w:pPr>
        <w:widowControl w:val="0"/>
        <w:numPr>
          <w:ilvl w:val="0"/>
          <w:numId w:val="31"/>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自行管理用户具有用户信息同步能力；支持标准的Token</w:t>
      </w:r>
      <w:r>
        <w:rPr>
          <w:rFonts w:ascii="仿宋_GB2312" w:eastAsia="仿宋_GB2312" w:cs="Times New Roman"/>
          <w:color w:val="auto"/>
          <w:sz w:val="24"/>
          <w:szCs w:val="24"/>
        </w:rPr>
        <w:t>(Security Token</w:t>
      </w:r>
      <w:r>
        <w:rPr>
          <w:rFonts w:hint="eastAsia" w:ascii="仿宋_GB2312" w:eastAsia="仿宋_GB2312" w:cs="Times New Roman"/>
          <w:color w:val="auto"/>
          <w:sz w:val="24"/>
          <w:szCs w:val="24"/>
        </w:rPr>
        <w:t>,安全令牌)、CAS（Central Authentication Service ，中央认证服务）、OAuth 2.0（Open Authorization ，开放授权2.0版）等协议。</w:t>
      </w:r>
    </w:p>
    <w:p>
      <w:pPr>
        <w:widowControl w:val="0"/>
        <w:numPr>
          <w:ilvl w:val="0"/>
          <w:numId w:val="31"/>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支持基于用户和角色的权限控制，能够对用户和角色设置访问权限。</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系统框架</w:t>
      </w:r>
    </w:p>
    <w:p>
      <w:pPr>
        <w:widowControl w:val="0"/>
        <w:numPr>
          <w:ilvl w:val="0"/>
          <w:numId w:val="32"/>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系统前、后端采用主流的技术框架，前端和后端必须分离为两个独立的系统，客户端支持主流的</w:t>
      </w:r>
      <w:r>
        <w:rPr>
          <w:rFonts w:ascii="仿宋_GB2312" w:eastAsia="仿宋_GB2312" w:cs="Times New Roman"/>
          <w:color w:val="auto"/>
          <w:sz w:val="24"/>
          <w:szCs w:val="24"/>
        </w:rPr>
        <w:t>PC</w:t>
      </w:r>
      <w:r>
        <w:rPr>
          <w:rFonts w:hint="eastAsia" w:ascii="仿宋_GB2312" w:eastAsia="仿宋_GB2312" w:cs="Times New Roman"/>
          <w:color w:val="auto"/>
          <w:sz w:val="24"/>
          <w:szCs w:val="24"/>
        </w:rPr>
        <w:t>终端；客户端应基于 B/S 架构，无需安装额外插件。</w:t>
      </w:r>
    </w:p>
    <w:p>
      <w:pPr>
        <w:widowControl w:val="0"/>
        <w:numPr>
          <w:ilvl w:val="0"/>
          <w:numId w:val="32"/>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采用微服务架构，将各功能模块设计为基于统一底层平台的标准业务组件，支持独立部署与松耦合运行。采用组件化结构，确保各个组件能够独立运行，并通过标准化的接口无缝对接，具备服务注册发现功能。每个功能组件在功能上保持独立，这些组件可以灵活配置与组合，业务和开发人员可根据应用场景，增加或减少系统应用，方便系统的平滑升级与扩展。</w:t>
      </w:r>
    </w:p>
    <w:p>
      <w:pPr>
        <w:widowControl w:val="0"/>
        <w:numPr>
          <w:ilvl w:val="2"/>
          <w:numId w:val="14"/>
        </w:numPr>
        <w:adjustRightInd w:val="0"/>
        <w:snapToGrid w:val="0"/>
        <w:spacing w:after="0" w:line="360" w:lineRule="auto"/>
        <w:jc w:val="both"/>
        <w:rPr>
          <w:rFonts w:ascii="Times New Roman" w:hAnsi="Times New Roman" w:eastAsia="宋体" w:cs="Times New Roman"/>
          <w:color w:val="auto"/>
          <w:sz w:val="24"/>
          <w:szCs w:val="24"/>
        </w:rPr>
      </w:pPr>
      <w:r>
        <w:rPr>
          <w:rFonts w:hint="eastAsia" w:ascii="仿宋_GB2312" w:eastAsia="仿宋_GB2312" w:cs="仿宋_GB2312"/>
          <w:b/>
          <w:bCs/>
          <w:color w:val="auto"/>
          <w:sz w:val="24"/>
          <w:szCs w:val="24"/>
          <w:lang w:bidi="ar"/>
        </w:rPr>
        <w:t>授权要求</w:t>
      </w:r>
    </w:p>
    <w:p>
      <w:pPr>
        <w:widowControl w:val="0"/>
        <w:numPr>
          <w:ilvl w:val="0"/>
          <w:numId w:val="3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招标方可依据自身实际仓储运营场地数量、业务规模复杂性以及数据隔离需求，自行决定在各场所独立部署该系统的套数。</w:t>
      </w:r>
    </w:p>
    <w:p>
      <w:pPr>
        <w:widowControl w:val="0"/>
        <w:numPr>
          <w:ilvl w:val="0"/>
          <w:numId w:val="3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支持无用户数量、终端节点数量限制的永久许可模式，不对功能模块与用户数进行约束，满足招标方多岗位的并发操作需求，避免用户规模增长导致的访问受限。开发环境同样满足此种无限制模式。</w:t>
      </w:r>
    </w:p>
    <w:p>
      <w:pPr>
        <w:widowControl w:val="0"/>
        <w:numPr>
          <w:ilvl w:val="0"/>
          <w:numId w:val="3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招标方将仓储相关硬件设备（包含但不限于自动化立体仓库、条码扫描器、电子标签等）接入WMS系统时，不受接入数量限制。</w:t>
      </w:r>
    </w:p>
    <w:p>
      <w:pPr>
        <w:widowControl w:val="0"/>
        <w:numPr>
          <w:ilvl w:val="0"/>
          <w:numId w:val="33"/>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▲系统应不限制 License数量，不限制License使用期限，不限制License的部署套数。</w:t>
      </w:r>
    </w:p>
    <w:p>
      <w:pPr>
        <w:widowControl w:val="0"/>
        <w:numPr>
          <w:ilvl w:val="0"/>
          <w:numId w:val="33"/>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★开发环境涉及的软件 License 需单独配置，确保开发过程中无授权限制，且与生产环境 License 类型一致。</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人机界面要求</w:t>
      </w:r>
    </w:p>
    <w:p>
      <w:pPr>
        <w:widowControl w:val="0"/>
        <w:numPr>
          <w:ilvl w:val="0"/>
          <w:numId w:val="34"/>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界面布局合理，人机界面友好，方便使用人员操作。</w:t>
      </w:r>
    </w:p>
    <w:p>
      <w:pPr>
        <w:widowControl w:val="0"/>
        <w:numPr>
          <w:ilvl w:val="0"/>
          <w:numId w:val="34"/>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对编辑输入具有数据类型、值范围等合法性检查功能。</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系统集成要求</w:t>
      </w:r>
    </w:p>
    <w:p>
      <w:pPr>
        <w:widowControl w:val="0"/>
        <w:numPr>
          <w:ilvl w:val="0"/>
          <w:numId w:val="35"/>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★信息系统间的集成：与招标方建设的系统进行集成打通,实现业务流程、数据的集成打通，包括但不限于ERP、SRM、</w:t>
      </w:r>
      <w:r>
        <w:rPr>
          <w:rFonts w:ascii="仿宋_GB2312" w:eastAsia="仿宋_GB2312" w:cs="仿宋_GB2312"/>
          <w:color w:val="auto"/>
          <w:sz w:val="24"/>
          <w:szCs w:val="24"/>
          <w:lang w:bidi="ar"/>
        </w:rPr>
        <w:t>MES</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OA</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MDM</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WCS</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QMS</w:t>
      </w:r>
      <w:r>
        <w:rPr>
          <w:rFonts w:hint="eastAsia" w:ascii="仿宋_GB2312" w:eastAsia="仿宋_GB2312" w:cs="仿宋_GB2312"/>
          <w:color w:val="auto"/>
          <w:sz w:val="24"/>
          <w:szCs w:val="24"/>
          <w:lang w:bidi="ar"/>
        </w:rPr>
        <w:t>等。</w:t>
      </w:r>
    </w:p>
    <w:p>
      <w:pPr>
        <w:widowControl w:val="0"/>
        <w:numPr>
          <w:ilvl w:val="0"/>
          <w:numId w:val="35"/>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集成：所有物料、库区、库位、供应商、客户等主数据必须与招标方要求保持一致，不得自建异构编码；满足招标方《数字化仓储管理规范》中的出库、入库、库存管理、退料、盘点、返工等所有功能模块的强制标准要求，并在WMS系统中进行功能实现管控；满足招标方仓储管理相关指标的数据采集、抽取、上报。具体包括但不限于以下指标：呆滞库存占比、超期库存占比、原材料库存周转率（次数）、原材料库存周转天数、成品库存周转率（次数）、成品库存周转天数、库存准确率、仓库利用率、人均任务量、仓储作业人数、库存量、库位占用、收货及时率、IQC及时率、上架及时率、拣货及时率、配套及时率、成品完工入库及时率，并保证指标完整性≥99.9%。</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建设周期</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具体实施计划以实际为准，需满足的里程碑节点为2026/1/1前完成蓝图设计，2026/4/25前达到系统试运行状态，2026/8/31前完成项目验收。</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安全保密要求</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总体要求</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应用系统应当严格按照国家网络安全等级保护三级标准相关要求，编制建设方案</w:t>
      </w:r>
      <w:r>
        <w:rPr>
          <w:rFonts w:ascii="仿宋_GB2312" w:eastAsia="仿宋_GB2312" w:cs="仿宋_GB2312"/>
          <w:color w:val="auto"/>
          <w:sz w:val="24"/>
          <w:szCs w:val="24"/>
          <w:lang w:bidi="ar"/>
        </w:rPr>
        <w:t>并实现相应安全防护功能</w:t>
      </w:r>
      <w:r>
        <w:rPr>
          <w:rFonts w:hint="eastAsia" w:ascii="仿宋_GB2312" w:eastAsia="仿宋_GB2312" w:cs="仿宋_GB2312"/>
          <w:color w:val="auto"/>
          <w:sz w:val="24"/>
          <w:szCs w:val="24"/>
          <w:lang w:bidi="ar"/>
        </w:rPr>
        <w:t>。</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安全产品适配</w:t>
      </w:r>
    </w:p>
    <w:p>
      <w:pPr>
        <w:spacing w:after="0" w:line="360" w:lineRule="auto"/>
        <w:ind w:firstLine="480" w:firstLineChars="200"/>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国产化部署，与招标方现有安全产品适配，不会影响到系统的功能和性能，并支持安装招标方现有的所有安全产品。服务器端操作系统是Windows系列的，应支持安装招标方现有的所有安全产品；服务器端操作系统是Linux系列的，应至少支持安装招标方现有的防病毒软件；服务器端操作系统是其他操作系统的，应当配合招标方开展安全产品适配工作。</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权限设置</w:t>
      </w:r>
    </w:p>
    <w:p>
      <w:pPr>
        <w:widowControl w:val="0"/>
        <w:numPr>
          <w:ilvl w:val="0"/>
          <w:numId w:val="3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管理员应按</w:t>
      </w:r>
      <w:r>
        <w:rPr>
          <w:rFonts w:ascii="仿宋_GB2312" w:eastAsia="仿宋_GB2312" w:cs="仿宋_GB2312"/>
          <w:color w:val="auto"/>
          <w:sz w:val="24"/>
          <w:szCs w:val="24"/>
          <w:lang w:bidi="ar"/>
        </w:rPr>
        <w:t>照安全保密管理规定要求分别设置</w:t>
      </w:r>
      <w:r>
        <w:rPr>
          <w:rFonts w:hint="eastAsia" w:ascii="仿宋_GB2312" w:eastAsia="仿宋_GB2312" w:cs="仿宋_GB2312"/>
          <w:color w:val="auto"/>
          <w:sz w:val="24"/>
          <w:szCs w:val="24"/>
          <w:lang w:bidi="ar"/>
        </w:rPr>
        <w:t>“三员”（系统管理员、安全保密管理员、安全审计员）</w:t>
      </w:r>
      <w:r>
        <w:rPr>
          <w:rFonts w:ascii="仿宋_GB2312" w:eastAsia="仿宋_GB2312" w:cs="仿宋_GB2312"/>
          <w:color w:val="auto"/>
          <w:sz w:val="24"/>
          <w:szCs w:val="24"/>
          <w:lang w:bidi="ar"/>
        </w:rPr>
        <w:t>的权限</w:t>
      </w:r>
      <w:r>
        <w:rPr>
          <w:rFonts w:hint="eastAsia" w:ascii="仿宋_GB2312" w:eastAsia="仿宋_GB2312" w:cs="仿宋_GB2312"/>
          <w:color w:val="auto"/>
          <w:sz w:val="24"/>
          <w:szCs w:val="24"/>
          <w:lang w:bidi="ar"/>
        </w:rPr>
        <w:t>，相互独立、相互制约。</w:t>
      </w:r>
    </w:p>
    <w:p>
      <w:pPr>
        <w:widowControl w:val="0"/>
        <w:numPr>
          <w:ilvl w:val="0"/>
          <w:numId w:val="3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三员权限与业务用户权限相互独立，三员不得具有业务操作等用户权限。</w:t>
      </w:r>
    </w:p>
    <w:p>
      <w:pPr>
        <w:widowControl w:val="0"/>
        <w:numPr>
          <w:ilvl w:val="0"/>
          <w:numId w:val="36"/>
        </w:numPr>
        <w:spacing w:after="0" w:line="360" w:lineRule="auto"/>
        <w:jc w:val="both"/>
        <w:rPr>
          <w:rFonts w:ascii="仿宋_GB2312" w:eastAsia="仿宋_GB2312"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Times New Roman"/>
          <w:color w:val="auto"/>
          <w:sz w:val="24"/>
          <w:szCs w:val="24"/>
        </w:rPr>
        <w:t>业务用户应支持细粒度的权限设置，如访问权限管控需达到页面级、按钮级及数据级的精细粒度，数据权限支持行级（如部门数据隔离）、字段级（如敏感字段隐藏）控制，不同角色的用户只能访问其权限范围内的数据。</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密码安全</w:t>
      </w:r>
    </w:p>
    <w:p>
      <w:pPr>
        <w:widowControl w:val="0"/>
        <w:numPr>
          <w:ilvl w:val="0"/>
          <w:numId w:val="3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系统支持通过账号+密码+验证码的方式进行访问。</w:t>
      </w:r>
    </w:p>
    <w:p>
      <w:pPr>
        <w:widowControl w:val="0"/>
        <w:numPr>
          <w:ilvl w:val="0"/>
          <w:numId w:val="3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用户身份标识符只能由系统管理员统一生成，不能被其他管理员创建、修改、删除，并确保在系统中的唯一。</w:t>
      </w:r>
    </w:p>
    <w:p>
      <w:pPr>
        <w:widowControl w:val="0"/>
        <w:numPr>
          <w:ilvl w:val="0"/>
          <w:numId w:val="3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应</w:t>
      </w:r>
      <w:r>
        <w:rPr>
          <w:rFonts w:ascii="仿宋_GB2312" w:eastAsia="仿宋_GB2312" w:cs="仿宋_GB2312"/>
          <w:color w:val="auto"/>
          <w:sz w:val="24"/>
          <w:szCs w:val="24"/>
          <w:lang w:bidi="ar"/>
        </w:rPr>
        <w:t>具有</w:t>
      </w:r>
      <w:r>
        <w:rPr>
          <w:rFonts w:hint="eastAsia" w:ascii="仿宋_GB2312" w:eastAsia="仿宋_GB2312" w:cs="仿宋_GB2312"/>
          <w:color w:val="auto"/>
          <w:sz w:val="24"/>
          <w:szCs w:val="24"/>
          <w:lang w:bidi="ar"/>
        </w:rPr>
        <w:t>用户口令长度、复杂度、更改周期、重鉴别及鉴别失败锁定</w:t>
      </w:r>
      <w:r>
        <w:rPr>
          <w:rFonts w:ascii="仿宋_GB2312" w:eastAsia="仿宋_GB2312" w:cs="仿宋_GB2312"/>
          <w:color w:val="auto"/>
          <w:sz w:val="24"/>
          <w:szCs w:val="24"/>
          <w:lang w:bidi="ar"/>
        </w:rPr>
        <w:t>的</w:t>
      </w:r>
      <w:r>
        <w:rPr>
          <w:rFonts w:hint="eastAsia" w:ascii="仿宋_GB2312" w:eastAsia="仿宋_GB2312" w:cs="仿宋_GB2312"/>
          <w:color w:val="auto"/>
          <w:sz w:val="24"/>
          <w:szCs w:val="24"/>
          <w:lang w:bidi="ar"/>
        </w:rPr>
        <w:t>策略</w:t>
      </w:r>
      <w:r>
        <w:rPr>
          <w:rFonts w:ascii="仿宋_GB2312" w:eastAsia="仿宋_GB2312" w:cs="仿宋_GB2312"/>
          <w:color w:val="auto"/>
          <w:sz w:val="24"/>
          <w:szCs w:val="24"/>
          <w:lang w:bidi="ar"/>
        </w:rPr>
        <w:t>，并支持对用户</w:t>
      </w:r>
      <w:r>
        <w:rPr>
          <w:rFonts w:hint="eastAsia" w:ascii="仿宋_GB2312" w:eastAsia="仿宋_GB2312" w:cs="仿宋_GB2312"/>
          <w:color w:val="auto"/>
          <w:sz w:val="24"/>
          <w:szCs w:val="24"/>
          <w:lang w:bidi="ar"/>
        </w:rPr>
        <w:t>进行强制设置。</w:t>
      </w:r>
    </w:p>
    <w:p>
      <w:pPr>
        <w:widowControl w:val="0"/>
        <w:numPr>
          <w:ilvl w:val="0"/>
          <w:numId w:val="3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系统应支持空闲超时登录设置。</w:t>
      </w:r>
    </w:p>
    <w:p>
      <w:pPr>
        <w:widowControl w:val="0"/>
        <w:numPr>
          <w:ilvl w:val="0"/>
          <w:numId w:val="3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应支持用户特征绑定等功能，防止因用户名和口令泄露被非授权登录。</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访问控制</w:t>
      </w:r>
    </w:p>
    <w:p>
      <w:pPr>
        <w:widowControl w:val="0"/>
        <w:numPr>
          <w:ilvl w:val="0"/>
          <w:numId w:val="3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应支持细粒度的访问控制策略设置，主体控制到单个用户，客体控制到信息类别。</w:t>
      </w:r>
    </w:p>
    <w:p>
      <w:pPr>
        <w:widowControl w:val="0"/>
        <w:numPr>
          <w:ilvl w:val="0"/>
          <w:numId w:val="3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应支持依据业务类型、功能模块等对主体和客体进行分类，对主体访问客体进行最小授权。</w:t>
      </w:r>
    </w:p>
    <w:p>
      <w:pPr>
        <w:widowControl w:val="0"/>
        <w:numPr>
          <w:ilvl w:val="0"/>
          <w:numId w:val="3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数据交换应符合等级保护相关</w:t>
      </w:r>
      <w:r>
        <w:rPr>
          <w:rFonts w:ascii="仿宋_GB2312" w:eastAsia="仿宋_GB2312" w:cs="仿宋_GB2312"/>
          <w:color w:val="auto"/>
          <w:sz w:val="24"/>
          <w:szCs w:val="24"/>
          <w:lang w:bidi="ar"/>
        </w:rPr>
        <w:t>规定的</w:t>
      </w:r>
      <w:r>
        <w:rPr>
          <w:rFonts w:hint="eastAsia" w:ascii="仿宋_GB2312" w:eastAsia="仿宋_GB2312" w:cs="仿宋_GB2312"/>
          <w:color w:val="auto"/>
          <w:sz w:val="24"/>
          <w:szCs w:val="24"/>
          <w:lang w:bidi="ar"/>
        </w:rPr>
        <w:t>权限设置及访问控制要求，禁止存在不可控的数据交换渠道。</w:t>
      </w:r>
    </w:p>
    <w:p>
      <w:pPr>
        <w:widowControl w:val="0"/>
        <w:numPr>
          <w:ilvl w:val="0"/>
          <w:numId w:val="38"/>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系统具备数据泄露风险防控体系，通过数据访问控制、操作审计、异常行为监测等手段，防范数据泄露风险。</w:t>
      </w:r>
    </w:p>
    <w:p>
      <w:pPr>
        <w:widowControl w:val="0"/>
        <w:numPr>
          <w:ilvl w:val="0"/>
          <w:numId w:val="38"/>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系统具备完善的数据访问控制措施，包括数据脱敏机制，对敏感数据（如身份证号、银行卡号、手机号等）在展示、传输和存储过程中进行脱敏处理，如部分字符用 * 代替。</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安全审计</w:t>
      </w:r>
    </w:p>
    <w:p>
      <w:pPr>
        <w:widowControl w:val="0"/>
        <w:numPr>
          <w:ilvl w:val="0"/>
          <w:numId w:val="3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应具备完善的日志审计功能，能够较为便捷地审计事件发生的时间、地点、类型、主体、客体和结果（成功或失败）等。</w:t>
      </w:r>
    </w:p>
    <w:p>
      <w:pPr>
        <w:widowControl w:val="0"/>
        <w:numPr>
          <w:ilvl w:val="0"/>
          <w:numId w:val="3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审计功能必须强制开启且不可关闭，审计日志至少应包含用户增加、修改、删除，用户权限变更，“三员”的操作行为，用户操作行为，其它与系统安全有关的事件或专门定义的可审计事件。</w:t>
      </w:r>
    </w:p>
    <w:p>
      <w:pPr>
        <w:widowControl w:val="0"/>
        <w:numPr>
          <w:ilvl w:val="0"/>
          <w:numId w:val="3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审计日志应支持自定义分类、分级查看，对违规事件、异常事件等应能进行醒目标识及显示。</w:t>
      </w:r>
    </w:p>
    <w:p>
      <w:pPr>
        <w:widowControl w:val="0"/>
        <w:numPr>
          <w:ilvl w:val="0"/>
          <w:numId w:val="3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审计日志不能被篡改、删除，至少应能保存6个月，并支持导出成Word、Excel、PDF等多种格式。</w:t>
      </w:r>
    </w:p>
    <w:p>
      <w:pPr>
        <w:widowControl w:val="0"/>
        <w:numPr>
          <w:ilvl w:val="0"/>
          <w:numId w:val="3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应支持审计日志存储空间阈值设置，当存储空间将满时及时告警。</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时间管理</w:t>
      </w:r>
    </w:p>
    <w:p>
      <w:pPr>
        <w:widowControl w:val="0"/>
        <w:spacing w:after="0" w:line="360" w:lineRule="auto"/>
        <w:ind w:firstLine="480" w:firstLineChars="20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具备时钟源同步功能，支持按照统一时间源自动修正系统时间。</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信息存储及备份</w:t>
      </w:r>
    </w:p>
    <w:p>
      <w:pPr>
        <w:widowControl w:val="0"/>
        <w:numPr>
          <w:ilvl w:val="0"/>
          <w:numId w:val="4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系统日志不能被篡改或非授权删除，至少能够保存36个月，并可以导出成Word、Excel、PDF等多种格式。</w:t>
      </w:r>
    </w:p>
    <w:p>
      <w:pPr>
        <w:widowControl w:val="0"/>
        <w:numPr>
          <w:ilvl w:val="0"/>
          <w:numId w:val="4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▲应至少支持对重要数据、配置文件等进行加密存储，且不影响系统性能。</w:t>
      </w:r>
    </w:p>
    <w:p>
      <w:pPr>
        <w:widowControl w:val="0"/>
        <w:numPr>
          <w:ilvl w:val="0"/>
          <w:numId w:val="4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▲应支持对重要数据、配置文件等进行完整性校验功能，当被破坏或被篡改时及时报警并生成详细审计日志。</w:t>
      </w:r>
    </w:p>
    <w:p>
      <w:pPr>
        <w:widowControl w:val="0"/>
        <w:numPr>
          <w:ilvl w:val="0"/>
          <w:numId w:val="40"/>
        </w:numPr>
        <w:spacing w:after="0" w:line="360" w:lineRule="auto"/>
        <w:jc w:val="both"/>
        <w:rPr>
          <w:rFonts w:ascii="仿宋_GB2312" w:eastAsia="仿宋_GB2312" w:cs="Times New Roman"/>
          <w:color w:val="auto"/>
          <w:sz w:val="24"/>
          <w:szCs w:val="24"/>
        </w:rPr>
      </w:pPr>
      <w:r>
        <w:rPr>
          <w:rFonts w:hint="eastAsia" w:ascii="仿宋_GB2312" w:eastAsia="仿宋_GB2312" w:cs="Times New Roman"/>
          <w:color w:val="auto"/>
          <w:sz w:val="24"/>
          <w:szCs w:val="24"/>
        </w:rPr>
        <w:t>▲具备备份（支持增量备份、全量备份等策略）与恢复能力，确保在数据丢失或损坏时，能在规定时间内（根据数据重要程度，关键数据恢复时间不超过 4 小时，一般数据恢复时间不超过 24 小时）完成数据恢复，且恢复数据的完整性和准确性达到 100%。</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自身安全</w:t>
      </w:r>
    </w:p>
    <w:p>
      <w:pPr>
        <w:widowControl w:val="0"/>
        <w:numPr>
          <w:ilvl w:val="0"/>
          <w:numId w:val="4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★系统不得有明显的隐患和漏洞，不得有意或无意设置相应后门及恶意代码。</w:t>
      </w:r>
    </w:p>
    <w:p>
      <w:pPr>
        <w:widowControl w:val="0"/>
        <w:numPr>
          <w:ilvl w:val="0"/>
          <w:numId w:val="41"/>
        </w:numPr>
        <w:spacing w:after="0" w:line="360" w:lineRule="auto"/>
        <w:jc w:val="both"/>
        <w:rPr>
          <w:rFonts w:ascii="仿宋_GB2312" w:eastAsia="仿宋_GB2312" w:cs="仿宋_GB2312"/>
          <w:color w:val="auto"/>
          <w:sz w:val="24"/>
          <w:szCs w:val="24"/>
          <w:lang w:bidi="ar"/>
        </w:rPr>
      </w:pPr>
      <w:r>
        <w:rPr>
          <w:rFonts w:hint="eastAsia" w:ascii="仿宋_GB2312" w:eastAsia="仿宋_GB2312" w:cs="Times New Roman"/>
          <w:color w:val="auto"/>
          <w:sz w:val="24"/>
          <w:szCs w:val="24"/>
        </w:rPr>
        <w:t>▲</w:t>
      </w:r>
      <w:r>
        <w:rPr>
          <w:rFonts w:hint="eastAsia" w:ascii="仿宋_GB2312" w:eastAsia="仿宋_GB2312" w:cs="仿宋_GB2312"/>
          <w:color w:val="auto"/>
          <w:sz w:val="24"/>
          <w:szCs w:val="24"/>
          <w:lang w:bidi="ar"/>
        </w:rPr>
        <w:t>系统厂商或投标方应定期对系统安全漏洞进行修补、更新。</w:t>
      </w:r>
    </w:p>
    <w:p>
      <w:pPr>
        <w:widowControl w:val="0"/>
        <w:numPr>
          <w:ilvl w:val="0"/>
          <w:numId w:val="4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因系统自身产生的BUG,投标方应终身免费维护。</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▲产品及相关资料的交付</w:t>
      </w:r>
    </w:p>
    <w:p>
      <w:pPr>
        <w:widowControl w:val="0"/>
        <w:spacing w:after="0" w:line="360" w:lineRule="auto"/>
        <w:ind w:firstLine="480" w:firstLineChars="20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投标方保证提供的产品与本协议所约定相符（可以高于合同预定的版本），按照合同条款发货到用户现场，交货清单包含但不限于：</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按照本协议约定的所有软、硬件产品。</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提供系统安装部署手册，详细说明系统的安装环境要求、安装步骤、配置方法等。</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提供用户操作手册，涵盖系统各功能模块的操作流程、使用方法、注意事项等，方便用户学习和使用系统。</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提供系统维护手册，包括系统架构、维护方法、常见故障处理等内容，便于运维人员进行系统维护。</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软件安装程序一套（光盘）。</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license授权文件（纸质、电子版或其他加密狗物件）。</w:t>
      </w:r>
    </w:p>
    <w:p>
      <w:pPr>
        <w:widowControl w:val="0"/>
        <w:numPr>
          <w:ilvl w:val="0"/>
          <w:numId w:val="42"/>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软件安装手册一套。</w:t>
      </w:r>
    </w:p>
    <w:p>
      <w:pPr>
        <w:spacing w:after="0" w:line="360" w:lineRule="auto"/>
        <w:ind w:firstLine="480" w:firstLineChars="200"/>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全套项目文档一套，在项目实施阶段根据项目要求提交包括不限于需求调研（需求调研计划、需求调研报告、需求规格说明书）、蓝图设计、详细设计、总体测试计划、测试报告（包括但不限于功能测试报告、性能测试报告、接口联调报告）、二开源代码包、二次开发说明书一套、数据字典、数据库设计文档、用户手册、管理员手册及问题整改报告、培训记录、试运行报告、验收报告等文档及资料。</w:t>
      </w:r>
    </w:p>
    <w:p>
      <w:pPr>
        <w:widowControl w:val="0"/>
        <w:spacing w:after="0" w:line="360" w:lineRule="auto"/>
        <w:ind w:firstLine="480" w:firstLineChars="20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主要交付物清单如下：</w:t>
      </w:r>
    </w:p>
    <w:tbl>
      <w:tblPr>
        <w:tblStyle w:val="30"/>
        <w:tblW w:w="89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6"/>
        <w:gridCol w:w="2898"/>
        <w:gridCol w:w="41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tblHeader/>
        </w:trPr>
        <w:tc>
          <w:tcPr>
            <w:tcW w:w="1836" w:type="dxa"/>
            <w:noWrap/>
            <w:vAlign w:val="center"/>
          </w:tcPr>
          <w:p>
            <w:pPr>
              <w:adjustRightInd w:val="0"/>
              <w:snapToGrid w:val="0"/>
              <w:spacing w:after="0" w:line="360" w:lineRule="auto"/>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项目阶段</w:t>
            </w:r>
          </w:p>
        </w:tc>
        <w:tc>
          <w:tcPr>
            <w:tcW w:w="2898" w:type="dxa"/>
            <w:noWrap/>
            <w:vAlign w:val="center"/>
          </w:tcPr>
          <w:p>
            <w:pPr>
              <w:adjustRightInd w:val="0"/>
              <w:snapToGrid w:val="0"/>
              <w:spacing w:after="0" w:line="360" w:lineRule="auto"/>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交付物</w:t>
            </w:r>
          </w:p>
        </w:tc>
        <w:tc>
          <w:tcPr>
            <w:tcW w:w="4189" w:type="dxa"/>
            <w:noWrap/>
            <w:vAlign w:val="center"/>
          </w:tcPr>
          <w:p>
            <w:pPr>
              <w:adjustRightInd w:val="0"/>
              <w:snapToGrid w:val="0"/>
              <w:spacing w:after="0" w:line="360" w:lineRule="auto"/>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交付物说明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项目启动</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《项目计划》</w:t>
            </w:r>
          </w:p>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《项目章程》</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对项目目标、组织、计划、内容等进行说明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restart"/>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需求调研</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《需求调研计划》</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具体调研计划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《需求调研报告》</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形成详细需求分析报告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《需求规格说明书》</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形成需求规格文件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restart"/>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蓝图设计</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《蓝图设计方案》</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业务蓝图设计方案</w:t>
            </w:r>
            <w:r>
              <w:rPr>
                <w:rFonts w:hint="eastAsia" w:ascii="仿宋_GB2312" w:eastAsia="仿宋_GB2312" w:cs="仿宋_GB2312"/>
                <w:color w:val="auto"/>
                <w:sz w:val="24"/>
                <w:szCs w:val="24"/>
                <w:lang w:bidi="ar"/>
              </w:rPr>
              <w:t>、详细流程优化建议等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《蓝图评审报告》</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《评审问题跟踪列表》</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评审报告问题处理，完成问题闭环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restart"/>
            <w:vAlign w:val="center"/>
          </w:tcPr>
          <w:p>
            <w:pPr>
              <w:widowControl w:val="0"/>
              <w:spacing w:after="0" w:line="360" w:lineRule="auto"/>
              <w:jc w:val="center"/>
              <w:rPr>
                <w:rFonts w:ascii="仿宋_GB2312" w:eastAsia="仿宋_GB2312" w:cs="仿宋_GB2312"/>
                <w:color w:val="auto"/>
                <w:sz w:val="24"/>
                <w:szCs w:val="24"/>
                <w:lang w:bidi="ar"/>
              </w:rPr>
            </w:pPr>
            <w:r>
              <w:rPr>
                <w:rFonts w:ascii="仿宋_GB2312" w:eastAsia="仿宋_GB2312" w:cs="仿宋_GB2312"/>
                <w:color w:val="auto"/>
                <w:sz w:val="24"/>
                <w:szCs w:val="24"/>
                <w:lang w:bidi="ar"/>
              </w:rPr>
              <w:t>详细设计</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《系统详细设计方案》</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系统详细设计方案，包括数据模型、接口设计、数据字典、流程设计等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《功能开发列表》</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系统功能模块清单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《系统软硬件配置方案》</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服务器、客户端、其他设备软硬件环境配置方案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《系统详细设计评审报告》</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《评审问题跟踪列表》</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评审报告问题处理，完成问题闭环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rPr>
        <w:tc>
          <w:tcPr>
            <w:tcW w:w="1836" w:type="dxa"/>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系统开发</w:t>
            </w:r>
          </w:p>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及实现</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《接口文档》</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与各相关系统集成接口的描述/定义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系统测试</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《测试计划》</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针对整个测试阶段的计划安排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《测试用例》</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根据业务蓝图场景及客户实际应用，编写测试用例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6"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《功能测试报告》</w:t>
            </w:r>
          </w:p>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《性能测试报告》</w:t>
            </w:r>
          </w:p>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《接口联调报告》</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结合测试结果，形成测试分析报告，完成测试问题闭环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vAlign w:val="center"/>
          </w:tcPr>
          <w:p>
            <w:pPr>
              <w:adjustRightInd w:val="0"/>
              <w:snapToGrid w:val="0"/>
              <w:spacing w:after="0" w:line="360" w:lineRule="auto"/>
              <w:ind w:firstLine="240" w:firstLineChars="1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上线准备</w:t>
            </w: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《培训方案》《培训课件》</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针对项目组成员的培训方案设计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《系统配置文档》</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指导后续系统上线时的系统配置文档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《用户权限清单》</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根据用户权限清单指导系统角色和用户权限划分和设置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《基数数据清单》</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根据基础数据收集模板收集基础数据形成后续系统输入清单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《用户操作手册》</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编写最终操作用户的培训手册和操作手册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系统上线</w:t>
            </w: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《上线方案》</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明确上线内容、组织、时间、顺序、负责人、参与人等内容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《初始化模板清单》</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根据上线方案准备初始化动态数据模板，按模板进行初始化数据整理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《问题跟踪记录表》</w:t>
            </w:r>
          </w:p>
        </w:tc>
        <w:tc>
          <w:tcPr>
            <w:tcW w:w="4189" w:type="dxa"/>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上线过程中出现的各类问题记录、跟进情况、解决情况、责任人等记录跟踪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《系统上线完成确认单》</w:t>
            </w:r>
          </w:p>
        </w:tc>
        <w:tc>
          <w:tcPr>
            <w:tcW w:w="4189"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达到上线条件后，双方签署上线确认单，对上线成果进行确认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restart"/>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系统验收</w:t>
            </w:r>
          </w:p>
        </w:tc>
        <w:tc>
          <w:tcPr>
            <w:tcW w:w="2898" w:type="dxa"/>
            <w:shd w:val="clear" w:color="000000" w:fill="auto"/>
            <w:vAlign w:val="center"/>
          </w:tcPr>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《系统运维手册》</w:t>
            </w:r>
          </w:p>
        </w:tc>
        <w:tc>
          <w:tcPr>
            <w:tcW w:w="4189"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日常运维任务流程、故障排查与修复方法、性能优化策略、应急处置预案等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《项目验收报告》</w:t>
            </w:r>
          </w:p>
        </w:tc>
        <w:tc>
          <w:tcPr>
            <w:tcW w:w="4189"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双方达到项目验收条件后，组织验收大会，汇报项目成果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pPr>
              <w:adjustRightInd w:val="0"/>
              <w:snapToGrid w:val="0"/>
              <w:spacing w:after="0" w:line="360" w:lineRule="auto"/>
              <w:jc w:val="center"/>
              <w:rPr>
                <w:rFonts w:ascii="仿宋_GB2312" w:eastAsia="仿宋_GB2312" w:cs="仿宋_GB2312"/>
                <w:color w:val="auto"/>
                <w:sz w:val="24"/>
                <w:szCs w:val="24"/>
                <w:lang w:bidi="ar"/>
              </w:rPr>
            </w:pPr>
          </w:p>
        </w:tc>
        <w:tc>
          <w:tcPr>
            <w:tcW w:w="2898" w:type="dxa"/>
            <w:shd w:val="clear" w:color="000000" w:fill="auto"/>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《交接文档清单》</w:t>
            </w:r>
          </w:p>
        </w:tc>
        <w:tc>
          <w:tcPr>
            <w:tcW w:w="4189"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对项目中所有文档进行整理打包，形成综合文档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Align w:val="center"/>
          </w:tcPr>
          <w:p>
            <w:pPr>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w:t>
            </w:r>
          </w:p>
        </w:tc>
        <w:tc>
          <w:tcPr>
            <w:tcW w:w="2898" w:type="dxa"/>
            <w:shd w:val="clear" w:color="000000" w:fill="auto"/>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系统代码</w:t>
            </w:r>
          </w:p>
        </w:tc>
        <w:tc>
          <w:tcPr>
            <w:tcW w:w="4189" w:type="dxa"/>
            <w:noWrap/>
            <w:vAlign w:val="center"/>
          </w:tcPr>
          <w:p>
            <w:p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见前述系统代码要求</w:t>
            </w:r>
          </w:p>
        </w:tc>
      </w:tr>
    </w:tbl>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包装和运输</w:t>
      </w:r>
    </w:p>
    <w:p>
      <w:pPr>
        <w:widowControl w:val="0"/>
        <w:numPr>
          <w:ilvl w:val="1"/>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交货地点：四川九洲空管科技有限责任公司（四川省绵阳市园艺山九华路6号）。</w:t>
      </w:r>
    </w:p>
    <w:p>
      <w:pPr>
        <w:widowControl w:val="0"/>
        <w:numPr>
          <w:ilvl w:val="1"/>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投标方提供货物运至最终目的地所需要的包装，并保证货物到达后完好无损。</w:t>
      </w:r>
    </w:p>
    <w:p>
      <w:pPr>
        <w:widowControl w:val="0"/>
        <w:numPr>
          <w:ilvl w:val="1"/>
          <w:numId w:val="1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货物由双方人员共同开箱检查确认，投标方承担由于其包装或其防护措施不妥而引起的货物损坏和丢失等任何损失的责任和费用。</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实施服务要求</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投标方需要安排核心人员驻场实施，需提供软件平台的技术方案、实施方案、项目培训方案、售后服务方案和保障措施、项目团队组成、风险识别与管控等方案。</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bookmarkStart w:id="131" w:name="_Toc188366852"/>
      <w:bookmarkStart w:id="132" w:name="_Toc27931"/>
      <w:r>
        <w:rPr>
          <w:rFonts w:hint="eastAsia" w:ascii="仿宋_GB2312" w:eastAsia="仿宋_GB2312" w:cs="仿宋_GB2312"/>
          <w:b/>
          <w:bCs/>
          <w:color w:val="auto"/>
          <w:sz w:val="24"/>
          <w:szCs w:val="24"/>
          <w:lang w:bidi="ar"/>
        </w:rPr>
        <w:t>实施组织要求</w:t>
      </w:r>
      <w:bookmarkEnd w:id="131"/>
      <w:bookmarkEnd w:id="132"/>
    </w:p>
    <w:p>
      <w:pPr>
        <w:widowControl w:val="0"/>
        <w:numPr>
          <w:ilvl w:val="0"/>
          <w:numId w:val="4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提供分工科学合理、紧密合作的项目实施组织结构；明确实施组织内各方、各级人员的工作职责。</w:t>
      </w:r>
    </w:p>
    <w:p>
      <w:pPr>
        <w:widowControl w:val="0"/>
        <w:numPr>
          <w:ilvl w:val="0"/>
          <w:numId w:val="4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明确项目实施过程中的管理与协调机制。</w:t>
      </w:r>
    </w:p>
    <w:p>
      <w:pPr>
        <w:widowControl w:val="0"/>
        <w:numPr>
          <w:ilvl w:val="0"/>
          <w:numId w:val="4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需单独配置专职符合要求的项目经理。</w:t>
      </w:r>
    </w:p>
    <w:p>
      <w:pPr>
        <w:widowControl w:val="0"/>
        <w:numPr>
          <w:ilvl w:val="0"/>
          <w:numId w:val="4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招标方有权对中标方项目组人员进行测评，并可提出更换人员的要求，中标方应按照招标方要求，更换合适的人员。</w:t>
      </w:r>
    </w:p>
    <w:p>
      <w:pPr>
        <w:widowControl w:val="0"/>
        <w:numPr>
          <w:ilvl w:val="0"/>
          <w:numId w:val="4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中标方若需更换实施团队成员，需提前2周提出书面申请，经招标方同意后方可执行。</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bookmarkStart w:id="133" w:name="_Toc188366853"/>
      <w:bookmarkStart w:id="134" w:name="_Toc26187"/>
      <w:r>
        <w:rPr>
          <w:rFonts w:hint="eastAsia" w:ascii="仿宋_GB2312" w:eastAsia="仿宋_GB2312" w:cs="仿宋_GB2312"/>
          <w:b/>
          <w:bCs/>
          <w:color w:val="auto"/>
          <w:sz w:val="24"/>
          <w:szCs w:val="24"/>
          <w:lang w:bidi="ar"/>
        </w:rPr>
        <w:t>实施质量要求</w:t>
      </w:r>
      <w:bookmarkEnd w:id="133"/>
      <w:bookmarkEnd w:id="134"/>
    </w:p>
    <w:p>
      <w:pPr>
        <w:widowControl w:val="0"/>
        <w:numPr>
          <w:ilvl w:val="0"/>
          <w:numId w:val="44"/>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实施过程必须符合中国国家标准、行业主管部门颁布的相关标准及相关法律法规要求。</w:t>
      </w:r>
    </w:p>
    <w:p>
      <w:pPr>
        <w:widowControl w:val="0"/>
        <w:numPr>
          <w:ilvl w:val="0"/>
          <w:numId w:val="44"/>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应建立严格的质量保证体系，制定项目开发质量控制方案和实施措施，并督促落实各环节质量控制内容和目标；保证总体规划设计、开发与实施、测试与上线、系统运行与验收各个阶段工作满足招标方对质量的要求。</w:t>
      </w:r>
    </w:p>
    <w:p>
      <w:pPr>
        <w:widowControl w:val="0"/>
        <w:numPr>
          <w:ilvl w:val="0"/>
          <w:numId w:val="44"/>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在项目实施全过程中，招标方有对项目进度和质量进行监督控制的职责和权力，投标方应确保人力、物力的足量投入，定期向招标方提交最新的进展情况和风险分析报告。</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bookmarkStart w:id="135" w:name="_Toc28578"/>
      <w:bookmarkStart w:id="136" w:name="_Toc188366854"/>
      <w:r>
        <w:rPr>
          <w:rFonts w:hint="eastAsia" w:ascii="仿宋_GB2312" w:eastAsia="仿宋_GB2312" w:cs="仿宋_GB2312"/>
          <w:b/>
          <w:bCs/>
          <w:color w:val="auto"/>
          <w:sz w:val="24"/>
          <w:szCs w:val="24"/>
          <w:lang w:bidi="ar"/>
        </w:rPr>
        <w:t>实施进度要求</w:t>
      </w:r>
      <w:bookmarkEnd w:id="135"/>
      <w:bookmarkEnd w:id="136"/>
    </w:p>
    <w:p>
      <w:pPr>
        <w:widowControl w:val="0"/>
        <w:numPr>
          <w:ilvl w:val="2"/>
          <w:numId w:val="14"/>
        </w:numPr>
        <w:adjustRightInd w:val="0"/>
        <w:snapToGrid w:val="0"/>
        <w:spacing w:after="0" w:line="360" w:lineRule="auto"/>
        <w:ind w:left="170" w:hanging="17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针对项目启动、业务调研、方案制定、配置开发、测试、推广等项目实施阶段制定严密实施计划并注明人员分配。</w:t>
      </w:r>
    </w:p>
    <w:p>
      <w:pPr>
        <w:widowControl w:val="0"/>
        <w:numPr>
          <w:ilvl w:val="2"/>
          <w:numId w:val="14"/>
        </w:numPr>
        <w:adjustRightInd w:val="0"/>
        <w:snapToGrid w:val="0"/>
        <w:spacing w:after="0" w:line="360" w:lineRule="auto"/>
        <w:ind w:left="170" w:hanging="17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本项目的进度管理应遵循以下原则：</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项目进度管理的依据是项目合同所约定的工期目标。在确保项目质量和安全的原则下，控制项目进度。</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投标方的项目进度管理应该至少包含以下内容：</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投标方在了解项目特点的前提下，根据工期目标，提交总体进度计划，以及定期提交阶段性工作计划。</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制定详细的项目建设进度计划，按照合同的进度计划制定具体的实施计划，定期跟踪检查，对可能发生的工期延误提出相应对策。</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定期召开并参加项目例会、协调会议等，向招标方通报项目进展情况，提交进度报告，及时解决相关问题。</w:t>
      </w:r>
    </w:p>
    <w:p>
      <w:pPr>
        <w:widowControl w:val="0"/>
        <w:numPr>
          <w:ilvl w:val="2"/>
          <w:numId w:val="14"/>
        </w:numPr>
        <w:adjustRightInd w:val="0"/>
        <w:snapToGrid w:val="0"/>
        <w:spacing w:after="0" w:line="360" w:lineRule="auto"/>
        <w:ind w:left="170" w:hanging="17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列明每个阶段对应的交付物。</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bookmarkStart w:id="137" w:name="_Toc31195"/>
      <w:bookmarkStart w:id="138" w:name="_Toc188366856"/>
      <w:r>
        <w:rPr>
          <w:rFonts w:hint="eastAsia" w:ascii="仿宋_GB2312" w:eastAsia="仿宋_GB2312" w:cs="仿宋_GB2312"/>
          <w:b/>
          <w:bCs/>
          <w:color w:val="auto"/>
          <w:sz w:val="24"/>
          <w:szCs w:val="24"/>
          <w:lang w:bidi="ar"/>
        </w:rPr>
        <w:t>实施保障</w:t>
      </w:r>
      <w:bookmarkEnd w:id="137"/>
      <w:bookmarkEnd w:id="138"/>
    </w:p>
    <w:p>
      <w:pPr>
        <w:widowControl w:val="0"/>
        <w:numPr>
          <w:ilvl w:val="0"/>
          <w:numId w:val="45"/>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要求系统产品由原厂实施，项目不能进行转包。</w:t>
      </w:r>
    </w:p>
    <w:p>
      <w:pPr>
        <w:widowControl w:val="0"/>
        <w:numPr>
          <w:ilvl w:val="0"/>
          <w:numId w:val="45"/>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从合同签订到验收合格的实施过程中，投标方应与招标方进行充分的需求交流和技术沟通，而不应仅限于本技术条件的条款，以实现软件在使用过程中能有效运行。</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风险及变更管理</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投标方应根据自身实施方法论建立完善的风险识别及管理机制以控制项目风险，确保项目成功。</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bookmarkStart w:id="139" w:name="_Toc288658626"/>
      <w:bookmarkStart w:id="140" w:name="_Toc382318033"/>
      <w:bookmarkStart w:id="141" w:name="_Toc288123746"/>
      <w:r>
        <w:rPr>
          <w:rFonts w:hint="eastAsia" w:ascii="仿宋_GB2312" w:eastAsia="仿宋_GB2312" w:cs="仿宋_GB2312"/>
          <w:b/>
          <w:bCs/>
          <w:color w:val="auto"/>
          <w:sz w:val="24"/>
          <w:szCs w:val="24"/>
          <w:lang w:bidi="ar"/>
        </w:rPr>
        <w:t>风险管理流程</w:t>
      </w:r>
      <w:bookmarkEnd w:id="139"/>
      <w:bookmarkEnd w:id="140"/>
      <w:bookmarkEnd w:id="141"/>
    </w:p>
    <w:p>
      <w:pPr>
        <w:widowControl w:val="0"/>
        <w:numPr>
          <w:ilvl w:val="0"/>
          <w:numId w:val="4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风险管理由实施方项目经理负责，并全过程跟踪管理。</w:t>
      </w:r>
    </w:p>
    <w:p>
      <w:pPr>
        <w:widowControl w:val="0"/>
        <w:numPr>
          <w:ilvl w:val="0"/>
          <w:numId w:val="4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风险管理应在项目过程中全过程展开，在项目启动、需求分析及方案设计、系统开发、系统测试、用户培训、系统上线、系统验收、系统运维各阶段均需进行风险评估。</w:t>
      </w:r>
    </w:p>
    <w:p>
      <w:pPr>
        <w:widowControl w:val="0"/>
        <w:numPr>
          <w:ilvl w:val="0"/>
          <w:numId w:val="4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应采用有效的问题管理体系进行问题的提出、确认、解决、关闭等全过程跟踪管理。</w:t>
      </w:r>
    </w:p>
    <w:p>
      <w:pPr>
        <w:widowControl w:val="0"/>
        <w:numPr>
          <w:ilvl w:val="0"/>
          <w:numId w:val="4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问题处理完成后，应重新评估，变更风险级别。</w:t>
      </w:r>
    </w:p>
    <w:p>
      <w:pPr>
        <w:widowControl w:val="0"/>
        <w:numPr>
          <w:ilvl w:val="2"/>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变更管理</w:t>
      </w:r>
    </w:p>
    <w:p>
      <w:pPr>
        <w:widowControl w:val="0"/>
        <w:numPr>
          <w:ilvl w:val="0"/>
          <w:numId w:val="4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变更管理目标</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确保变更可控：对项目范围、需求、技术方案、资源或计划的调整进行系统化管理，避免无序变更导致项目失控。</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降低风险：评估变更对项目进度、成本、质量的影响，制定应对措施。</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透明沟通</w:t>
      </w:r>
      <w:r>
        <w:rPr>
          <w:rFonts w:ascii="仿宋_GB2312" w:eastAsia="仿宋_GB2312" w:cs="仿宋_GB2312"/>
          <w:color w:val="auto"/>
          <w:sz w:val="24"/>
          <w:szCs w:val="24"/>
          <w:lang w:bidi="ar"/>
        </w:rPr>
        <w:t>：明确变更流程中各方的角色与责任，保障信息同步。</w:t>
      </w:r>
    </w:p>
    <w:p>
      <w:pPr>
        <w:widowControl w:val="0"/>
        <w:numPr>
          <w:ilvl w:val="0"/>
          <w:numId w:val="4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变更管理原则</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最小影响原则</w:t>
      </w:r>
      <w:r>
        <w:rPr>
          <w:rFonts w:ascii="仿宋_GB2312" w:eastAsia="仿宋_GB2312" w:cs="仿宋_GB2312"/>
          <w:color w:val="auto"/>
          <w:sz w:val="24"/>
          <w:szCs w:val="24"/>
          <w:lang w:bidi="ar"/>
        </w:rPr>
        <w:t>：优先通过优化现有方案解决问题，减少变更需求。</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全员参与：所有相关方（</w:t>
      </w:r>
      <w:r>
        <w:rPr>
          <w:rFonts w:hint="eastAsia" w:ascii="仿宋_GB2312" w:eastAsia="仿宋_GB2312" w:cs="仿宋_GB2312"/>
          <w:color w:val="auto"/>
          <w:sz w:val="24"/>
          <w:szCs w:val="24"/>
          <w:lang w:bidi="ar"/>
        </w:rPr>
        <w:t>招标方、投标方、实施团队</w:t>
      </w:r>
      <w:r>
        <w:rPr>
          <w:rFonts w:ascii="仿宋_GB2312" w:eastAsia="仿宋_GB2312" w:cs="仿宋_GB2312"/>
          <w:color w:val="auto"/>
          <w:sz w:val="24"/>
          <w:szCs w:val="24"/>
          <w:lang w:bidi="ar"/>
        </w:rPr>
        <w:t>等）需参与变更评估。</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书面化流程：所有变更必须以书面形式提交、审批和存档。</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及时响应：在约定时间内完成变更评估与反馈。</w:t>
      </w:r>
    </w:p>
    <w:p>
      <w:pPr>
        <w:widowControl w:val="0"/>
        <w:numPr>
          <w:ilvl w:val="0"/>
          <w:numId w:val="4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变更管理组织架构</w:t>
      </w:r>
    </w:p>
    <w:p>
      <w:pPr>
        <w:widowControl w:val="0"/>
        <w:spacing w:after="0" w:line="360" w:lineRule="auto"/>
        <w:jc w:val="both"/>
        <w:rPr>
          <w:rFonts w:eastAsia="宋体" w:cs="Times New Roman"/>
          <w:color w:val="auto"/>
          <w:sz w:val="24"/>
          <w:szCs w:val="24"/>
        </w:rPr>
      </w:pP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6"/>
        <w:gridCol w:w="5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tcPr>
          <w:p>
            <w:pPr>
              <w:widowControl w:val="0"/>
              <w:spacing w:after="0" w:line="360" w:lineRule="auto"/>
              <w:jc w:val="center"/>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角色</w:t>
            </w:r>
          </w:p>
        </w:tc>
        <w:tc>
          <w:tcPr>
            <w:tcW w:w="5969" w:type="dxa"/>
          </w:tcPr>
          <w:p>
            <w:pPr>
              <w:widowControl w:val="0"/>
              <w:spacing w:after="0" w:line="360" w:lineRule="auto"/>
              <w:jc w:val="center"/>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pPr>
              <w:widowControl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变更控制委员会（CCB）</w:t>
            </w:r>
          </w:p>
        </w:tc>
        <w:tc>
          <w:tcPr>
            <w:tcW w:w="5969" w:type="dxa"/>
          </w:tcPr>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由双方高层、业务部门主管、项目经理、技术专家组成，全面审议变更的必要性、可行性、对项目进度、成本、质量等方面的影响，做出批准、否决或要求修改后重新提交的决策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pPr>
              <w:widowControl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项目经理</w:t>
            </w:r>
          </w:p>
        </w:tc>
        <w:tc>
          <w:tcPr>
            <w:tcW w:w="5969" w:type="dxa"/>
          </w:tcPr>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接收、记录和初步评估变更请求，确认申请信息完整性；向 CCB 汇报，执行 CCB 决策，组织团队实施变更，监控实施过程并反馈进度与问题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pPr>
              <w:widowControl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变更管理员</w:t>
            </w:r>
          </w:p>
        </w:tc>
        <w:tc>
          <w:tcPr>
            <w:tcW w:w="5969" w:type="dxa"/>
          </w:tcPr>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维护变更日志、跟踪流程进度、提醒审批节点（可由PMO或助理担任）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pPr>
              <w:widowControl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相关方代表</w:t>
            </w:r>
          </w:p>
        </w:tc>
        <w:tc>
          <w:tcPr>
            <w:tcW w:w="5969" w:type="dxa"/>
          </w:tcPr>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依据实际提出合理变更想法；根据专业领域，为变更请求提供技术、业务等方面分析，协助判断影响程度</w:t>
            </w:r>
          </w:p>
        </w:tc>
      </w:tr>
    </w:tbl>
    <w:p>
      <w:pPr>
        <w:widowControl w:val="0"/>
        <w:numPr>
          <w:ilvl w:val="0"/>
          <w:numId w:val="47"/>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变更管理流程</w:t>
      </w:r>
    </w:p>
    <w:p>
      <w:pPr>
        <w:widowControl w:val="0"/>
        <w:numPr>
          <w:ilvl w:val="0"/>
          <w:numId w:val="4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变更申请提出</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任何项目相关人员发现需要对项目范围、进度、成本、质量等方面进行调整时，需填写统一格式的《项目变更申请表》，详细说明变更的内容、原因、期望生效时间以及初步预估的影响范围。</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申请表提交给项目经理，确保变更请求进入正式管理流程。</w:t>
      </w:r>
    </w:p>
    <w:p>
      <w:pPr>
        <w:widowControl w:val="0"/>
        <w:numPr>
          <w:ilvl w:val="0"/>
          <w:numId w:val="4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变更请求受理与初步评估</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项目经理初步分析变更对项目各关键指标（进度、成本、质量、范围、风险等）的影响方向及大致程度，形成初步评估报告，作为后续 CCB 审议的参考资料之一。</w:t>
      </w:r>
    </w:p>
    <w:p>
      <w:pPr>
        <w:widowControl w:val="0"/>
        <w:numPr>
          <w:ilvl w:val="0"/>
          <w:numId w:val="4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变更请求评审</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CCB组织各成员从自身专业角度出发，充分讨论变更的必要性、合理性、可行性以及对项目整体的综合影响。通过投票或达成共识的方式决定是否批准变更。若变更被否决，需明确记录否决原因并反馈给申请人；若要求修改后重新提交，则指明修改方向。</w:t>
      </w:r>
    </w:p>
    <w:p>
      <w:pPr>
        <w:widowControl w:val="0"/>
        <w:numPr>
          <w:ilvl w:val="0"/>
          <w:numId w:val="4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变更实施与监控</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项目团队按照变更实施计划有序开展工作，在实施过程中，责任人定期（如每日或每周）向项目经理汇报实施进度，及时反馈遇到的问题。</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项目经理全程监控变更实施情况，对比计划进度与实际进度，及时协调资源解决问题，确保变更按计划顺利完成。</w:t>
      </w:r>
    </w:p>
    <w:p>
      <w:pPr>
        <w:widowControl w:val="0"/>
        <w:numPr>
          <w:ilvl w:val="0"/>
          <w:numId w:val="48"/>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变更实施验收</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变更实施完成后，由项目经理组织相关验收人员（包括提出变更的人员、受变更影响的业务部门代表等）依据预先设定的验收标准对变更实施结果进行验收。</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验收通过后，正式关闭变更流程；若验收不通过，分析原因，制定整改措施并重新实施，直至验收合格。</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项目变更控制申请单：</w:t>
      </w:r>
    </w:p>
    <w:tbl>
      <w:tblPr>
        <w:tblStyle w:val="30"/>
        <w:tblpPr w:leftFromText="180" w:rightFromText="180" w:vertAnchor="text" w:horzAnchor="page" w:tblpX="1217" w:tblpY="390"/>
        <w:tblOverlap w:val="never"/>
        <w:tblW w:w="9810" w:type="dxa"/>
        <w:tblInd w:w="0" w:type="dxa"/>
        <w:tblLayout w:type="fixed"/>
        <w:tblCellMar>
          <w:top w:w="0" w:type="dxa"/>
          <w:left w:w="108" w:type="dxa"/>
          <w:bottom w:w="0" w:type="dxa"/>
          <w:right w:w="108" w:type="dxa"/>
        </w:tblCellMar>
      </w:tblPr>
      <w:tblGrid>
        <w:gridCol w:w="1800"/>
        <w:gridCol w:w="3330"/>
        <w:gridCol w:w="675"/>
        <w:gridCol w:w="1395"/>
        <w:gridCol w:w="2610"/>
      </w:tblGrid>
      <w:tr>
        <w:tblPrEx>
          <w:tblCellMar>
            <w:top w:w="0" w:type="dxa"/>
            <w:left w:w="108" w:type="dxa"/>
            <w:bottom w:w="0" w:type="dxa"/>
            <w:right w:w="108" w:type="dxa"/>
          </w:tblCellMar>
        </w:tblPrEx>
        <w:trPr>
          <w:cantSpli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项目名称：</w:t>
            </w:r>
          </w:p>
        </w:tc>
        <w:tc>
          <w:tcPr>
            <w:tcW w:w="333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c>
          <w:tcPr>
            <w:tcW w:w="2070"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起草日期：</w:t>
            </w:r>
          </w:p>
        </w:tc>
        <w:tc>
          <w:tcPr>
            <w:tcW w:w="261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项目编号：</w:t>
            </w:r>
          </w:p>
        </w:tc>
        <w:tc>
          <w:tcPr>
            <w:tcW w:w="333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c>
          <w:tcPr>
            <w:tcW w:w="2070"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变更单号：</w:t>
            </w:r>
          </w:p>
        </w:tc>
        <w:tc>
          <w:tcPr>
            <w:tcW w:w="261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起草人</w:t>
            </w:r>
            <w:r>
              <w:rPr>
                <w:rFonts w:ascii="微软雅黑" w:hAnsi="微软雅黑" w:eastAsia="微软雅黑" w:cs="Times New Roman"/>
                <w:color w:val="auto"/>
                <w:sz w:val="24"/>
                <w:szCs w:val="24"/>
              </w:rPr>
              <w:t>/角色：</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620" w:hRule="atLeast"/>
        </w:trPr>
        <w:tc>
          <w:tcPr>
            <w:tcW w:w="1800" w:type="dxa"/>
            <w:tcBorders>
              <w:top w:val="single" w:color="auto" w:sz="6" w:space="0"/>
              <w:left w:val="single" w:color="auto" w:sz="6" w:space="0"/>
              <w:bottom w:val="single" w:color="auto" w:sz="6" w:space="0"/>
              <w:right w:val="single" w:color="auto" w:sz="6" w:space="0"/>
            </w:tcBorders>
            <w:vAlign w:val="center"/>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变更类型</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620" w:hRule="atLeast"/>
        </w:trPr>
        <w:tc>
          <w:tcPr>
            <w:tcW w:w="1800" w:type="dxa"/>
            <w:tcBorders>
              <w:top w:val="single" w:color="auto" w:sz="6" w:space="0"/>
              <w:left w:val="single" w:color="auto" w:sz="6" w:space="0"/>
              <w:bottom w:val="single" w:color="auto" w:sz="6" w:space="0"/>
              <w:right w:val="single" w:color="auto" w:sz="6" w:space="0"/>
            </w:tcBorders>
            <w:vAlign w:val="center"/>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关联模块</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1081" w:hRule="atLeast"/>
        </w:trPr>
        <w:tc>
          <w:tcPr>
            <w:tcW w:w="1800" w:type="dxa"/>
            <w:tcBorders>
              <w:top w:val="single" w:color="auto" w:sz="6" w:space="0"/>
              <w:left w:val="single" w:color="auto" w:sz="6" w:space="0"/>
              <w:bottom w:val="single" w:color="auto" w:sz="6" w:space="0"/>
              <w:right w:val="single" w:color="auto" w:sz="6" w:space="0"/>
            </w:tcBorders>
            <w:vAlign w:val="center"/>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变更详细描述</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变更原因</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预期目标</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建议解决方案</w:t>
            </w:r>
          </w:p>
        </w:tc>
        <w:tc>
          <w:tcPr>
            <w:tcW w:w="8010" w:type="dxa"/>
            <w:gridSpan w:val="4"/>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i/>
                <w:iCs/>
                <w:color w:val="auto"/>
                <w:sz w:val="24"/>
                <w:szCs w:val="24"/>
              </w:rPr>
              <w:t>提出方建议的实施方案</w:t>
            </w:r>
          </w:p>
        </w:tc>
      </w:tr>
      <w:tr>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评估意见</w:t>
            </w: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center"/>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投标方项目经理评估</w:t>
            </w: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center"/>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招标方项目经理评估</w:t>
            </w:r>
          </w:p>
        </w:tc>
      </w:tr>
      <w:tr>
        <w:tblPrEx>
          <w:tblCellMar>
            <w:top w:w="0" w:type="dxa"/>
            <w:left w:w="108" w:type="dxa"/>
            <w:bottom w:w="0" w:type="dxa"/>
            <w:right w:w="108" w:type="dxa"/>
          </w:tblCellMar>
        </w:tblPrEx>
        <w:trPr>
          <w:cantSplit/>
          <w:trHeight w:val="1502" w:hRule="atLeast"/>
        </w:trPr>
        <w:tc>
          <w:tcPr>
            <w:tcW w:w="1800" w:type="dxa"/>
            <w:tcBorders>
              <w:top w:val="single" w:color="auto" w:sz="6" w:space="0"/>
              <w:left w:val="single" w:color="auto" w:sz="6" w:space="0"/>
              <w:bottom w:val="single" w:color="auto" w:sz="6" w:space="0"/>
              <w:right w:val="single" w:color="auto" w:sz="6" w:space="0"/>
            </w:tcBorders>
            <w:vAlign w:val="center"/>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范围、进度、成本、</w:t>
            </w:r>
          </w:p>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技术等方面影响</w:t>
            </w: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r>
        <w:tblPrEx>
          <w:tblCellMar>
            <w:top w:w="0" w:type="dxa"/>
            <w:left w:w="108" w:type="dxa"/>
            <w:bottom w:w="0" w:type="dxa"/>
            <w:right w:w="108" w:type="dxa"/>
          </w:tblCellMar>
        </w:tblPrEx>
        <w:trPr>
          <w:cantSplit/>
          <w:trHeight w:val="1781" w:hRule="atLeast"/>
        </w:trPr>
        <w:tc>
          <w:tcPr>
            <w:tcW w:w="1800" w:type="dxa"/>
            <w:tcBorders>
              <w:top w:val="single" w:color="auto" w:sz="6" w:space="0"/>
              <w:left w:val="single" w:color="auto" w:sz="6" w:space="0"/>
              <w:bottom w:val="single" w:color="auto" w:sz="6" w:space="0"/>
              <w:right w:val="single" w:color="auto" w:sz="6" w:space="0"/>
            </w:tcBorders>
            <w:vAlign w:val="center"/>
          </w:tcPr>
          <w:p>
            <w:pPr>
              <w:widowControl w:val="0"/>
              <w:spacing w:after="0" w:line="360" w:lineRule="auto"/>
              <w:jc w:val="both"/>
              <w:rPr>
                <w:rFonts w:hint="eastAsia" w:ascii="微软雅黑" w:hAnsi="微软雅黑" w:eastAsia="微软雅黑" w:cs="Times New Roman"/>
                <w:color w:val="auto"/>
                <w:sz w:val="24"/>
                <w:szCs w:val="24"/>
              </w:rPr>
            </w:pPr>
            <w:r>
              <w:rPr>
                <w:rFonts w:hint="eastAsia" w:ascii="微软雅黑" w:hAnsi="微软雅黑" w:eastAsia="微软雅黑" w:cs="Times New Roman"/>
                <w:color w:val="auto"/>
                <w:sz w:val="24"/>
                <w:szCs w:val="24"/>
              </w:rPr>
              <w:t>主管领导</w:t>
            </w: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c>
          <w:tcPr>
            <w:tcW w:w="4005" w:type="dxa"/>
            <w:gridSpan w:val="2"/>
            <w:tcBorders>
              <w:top w:val="single" w:color="auto" w:sz="6" w:space="0"/>
              <w:left w:val="single" w:color="auto" w:sz="6" w:space="0"/>
              <w:bottom w:val="single" w:color="auto" w:sz="6" w:space="0"/>
              <w:right w:val="single" w:color="auto" w:sz="6" w:space="0"/>
            </w:tcBorders>
          </w:tcPr>
          <w:p>
            <w:pPr>
              <w:widowControl w:val="0"/>
              <w:spacing w:after="0" w:line="360" w:lineRule="auto"/>
              <w:jc w:val="both"/>
              <w:rPr>
                <w:rFonts w:hint="eastAsia" w:ascii="微软雅黑" w:hAnsi="微软雅黑" w:eastAsia="微软雅黑" w:cs="Times New Roman"/>
                <w:color w:val="auto"/>
                <w:sz w:val="24"/>
                <w:szCs w:val="24"/>
              </w:rPr>
            </w:pPr>
          </w:p>
        </w:tc>
      </w:tr>
    </w:tbl>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▲培训要求</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需要制定详细的培训方案，并制作全套的培训资料，该资料要求包含但不仅限于:最终客户培训、业务培训、系统应用培训、系统管理员培训、系统架构原理培训、数据库管理培训、业务管理员培训、软件安装配置培训等，并提供全套培训文件（纸质资料和电子资料）。</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现场培训：针对不同层次人员分别进行培训。</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用户培训：受培训人员在培训后能熟练进行业务操作，并能达到可以继续为其他人作培训的能力。</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技术培训：最终招标方的技术人员应能独立完成系统运行、二次开发、报表开发、接口开发、运维等相关的技术工作。</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培训时长：至少80小时。</w:t>
      </w:r>
    </w:p>
    <w:p>
      <w:pPr>
        <w:widowControl w:val="0"/>
        <w:numPr>
          <w:ilvl w:val="0"/>
          <w:numId w:val="49"/>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招标方日后对该软件有二次培训需求，投标方将为招标方无条件提供二次培训。 培训后应由招标方对培训效果进行签字确认。</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安装与调试</w:t>
      </w:r>
    </w:p>
    <w:p>
      <w:pPr>
        <w:widowControl w:val="0"/>
        <w:numPr>
          <w:ilvl w:val="0"/>
          <w:numId w:val="5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投标方提供软件的现场安装和调试服务，并承担相应的全部费用。</w:t>
      </w:r>
    </w:p>
    <w:p>
      <w:pPr>
        <w:widowControl w:val="0"/>
        <w:numPr>
          <w:ilvl w:val="0"/>
          <w:numId w:val="5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应在货物到达项目现场一周前，向招标方提供详细供货清单。当货物到达招标方指定的安装现场后，招标方与投标方应依据供货清单共同对货物进行到货验收，并对品质进行逐项检查。如招标方发现所提供的品质和技术规范不符合要求，招标方有权向投标方提出索赔。</w:t>
      </w:r>
    </w:p>
    <w:p>
      <w:pPr>
        <w:widowControl w:val="0"/>
        <w:numPr>
          <w:ilvl w:val="0"/>
          <w:numId w:val="5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对安装有特殊要求时，投标方应在货物安装之前 10 天以书面形式向招标方提出安装要求，并对招标方提供技术咨询。</w:t>
      </w:r>
    </w:p>
    <w:p>
      <w:pPr>
        <w:widowControl w:val="0"/>
        <w:numPr>
          <w:ilvl w:val="0"/>
          <w:numId w:val="50"/>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甲、乙双方指定代表按合同和本协议规定的内容进行验收并签署《软件/硬件安装调试报告》。</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验收</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验收按照以下程序和要求进行：</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产品到货安装验收</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双方同时在现场情况下，登录验收。确认软硬件版本型号、功能模块、授权数量等符合合同与技术协议的规定，双方共同签署《项目到货验收报告》。</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项目整体验收</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项目验收由投标方提出申请，双方共同</w:t>
      </w:r>
      <w:r>
        <w:rPr>
          <w:rFonts w:ascii="仿宋_GB2312" w:eastAsia="仿宋_GB2312" w:cs="仿宋_GB2312"/>
          <w:color w:val="auto"/>
          <w:sz w:val="24"/>
          <w:szCs w:val="24"/>
          <w:lang w:bidi="ar"/>
        </w:rPr>
        <w:t>确认</w:t>
      </w:r>
      <w:r>
        <w:rPr>
          <w:rFonts w:hint="eastAsia" w:ascii="仿宋_GB2312" w:eastAsia="仿宋_GB2312" w:cs="仿宋_GB2312"/>
          <w:color w:val="auto"/>
          <w:sz w:val="24"/>
          <w:szCs w:val="24"/>
          <w:lang w:bidi="ar"/>
        </w:rPr>
        <w:t>，达到以下要求，并双方共同签署《项目验收报告》后，视为项目整体验收合格。</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所有产品、材料均到货并验收完毕。</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所有产品均正确安装、配置、实现相应功能、达到预期效果；每个功能模块需通过业务流程测试用例且覆盖率≥95%；KPI指标均需得到验证并达标。</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产品正式许可授权安装配置完成。</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所有产品与工厂其余产品兼容，无冲突，软件产品运行稳定，并协同使用。</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所有技术文档、说明书、安装文档、配置文件等均已交付。</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管理人员和相关用户熟练掌握所有产品运行机制、技术原理、相关知识及产品的安装、配置、调试、维护和使用。</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完全实现SOW及蓝图方案中的内容、需求及功能。</w:t>
      </w:r>
    </w:p>
    <w:p>
      <w:pPr>
        <w:widowControl w:val="0"/>
        <w:numPr>
          <w:ilvl w:val="0"/>
          <w:numId w:val="51"/>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平台整体运行稳定，配置生效，功能实现，达到预期目标，并得到业务单位书面签字确认。</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支持与服务</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投标方提供的产品必须符合招标方的技术规范要求。</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投标方保证所供产品没有设计上或其他方面的缺陷，或者没有因投标方的行为疏忽而产生的缺陷，这些缺陷是所提供产品在最终目的地现行条件下正常使用可能产生的。</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投标方承诺项目验收后，提供至少2年（时间从双方签署《项目验收报告》起计算）的质保服务和原厂免费技术支持服务；并提供原厂盖章的服务承诺函。</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免费服务期内提供的服务</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投标方为招标方提供7*24小时技术响应，针对招标方提出的技术问题，0.5小时内通过电话、邮件、远程协助以及现场服务等方式进行解答。</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对于一般性故障（不影响系统整体运行），投标方将在接到故障通知2小时内给予答复，指导招标方技术人员排除故障，使系统运行和使用恢复正常。</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对于严重故障（影响系统整体）或远程指导无法解决的故障，投标方将在接到故障通知后，指派技术人员在3小时内到达现场，为招标方解决问题，使系统运行和使用恢复正常，并提供详细故障分析和排除报告。</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若因非招标方自身原因造成系统不能正常运行时，投标方将负责系统的修改和维护，由此发生的一切费用由投标方承担。</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投标方如果对系统进行纠错版本的升级，应提前通知招标方。</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投标方将根据招标方的需要免费提供产品升级维护服务和正常的补丁维护服务。</w:t>
      </w:r>
    </w:p>
    <w:p>
      <w:pPr>
        <w:widowControl w:val="0"/>
        <w:numPr>
          <w:ilvl w:val="0"/>
          <w:numId w:val="5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在上述服务内容之外的，投标方可进行补充。</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如果投标方接到故障信息后在合同规定时间内没有以合理的速度弥补缺陷，招标方可自行采取必要的补救措施，但其风险和费用将由投标方承担，招标方根据合同规定能够对投标方行使的其他权力不受影响。</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在正式许可授权安装完成前，投标方将根据招标方需求无条件的提供临时许可授权。</w:t>
      </w:r>
    </w:p>
    <w:p>
      <w:pPr>
        <w:widowControl w:val="0"/>
        <w:numPr>
          <w:ilvl w:val="0"/>
          <w:numId w:val="52"/>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在质保期到期后，投标方仍能提供问题答疑、一般性技术支持等常规服务；投标方需说明并承诺质保期期满后的服务费率，能以优惠的价格提供服务。</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保密协定</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投标方从应标阶段开始，应严格遵守《中华人民共和国保守国家秘密法》及《民法典》相关规定，对合同条款、技术协议内容、项目金额价格、招标方产品需求分析、定制成果及其他文档等承担永久保密义务。保密信息涵盖项目全流程涉密要素，包括但不限于：项目背景、需求分析及方案设计、技术参数与预算数据、实施过程中接触的网络架构、技术路线、系统数据及业务流程等敏感信息，以及所有载体的敏感信息（如文字记录、音像制品等）。未经招标方书面许可，投标方不得向第三方披露保密信息，且须在合作终止时立即归还或销毁全部保密资料，不得保留复制件。合作终止后投标方仍须持续履行保密义务，如因泄密造成损失，招标方将依法追究投标方经济及刑事责任。</w:t>
      </w:r>
    </w:p>
    <w:p>
      <w:pPr>
        <w:widowControl w:val="0"/>
        <w:numPr>
          <w:ilvl w:val="0"/>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其他</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产品使用许可</w:t>
      </w:r>
    </w:p>
    <w:p>
      <w:pPr>
        <w:widowControl w:val="0"/>
        <w:spacing w:after="0" w:line="360" w:lineRule="auto"/>
        <w:ind w:firstLine="480" w:firstLineChars="200"/>
        <w:jc w:val="both"/>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投标方承诺招标方购买的产品为合法版本，如果出现招标方使用本协议所购产品而引起的一切知识产权纠纷由投标方承担全部责任。</w:t>
      </w:r>
    </w:p>
    <w:p>
      <w:pPr>
        <w:widowControl w:val="0"/>
        <w:numPr>
          <w:ilvl w:val="1"/>
          <w:numId w:val="14"/>
        </w:numPr>
        <w:adjustRightInd w:val="0"/>
        <w:snapToGrid w:val="0"/>
        <w:spacing w:after="0" w:line="360" w:lineRule="auto"/>
        <w:jc w:val="both"/>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说明</w:t>
      </w:r>
    </w:p>
    <w:p>
      <w:pPr>
        <w:widowControl w:val="0"/>
        <w:spacing w:after="0" w:line="360" w:lineRule="auto"/>
        <w:ind w:firstLine="480" w:firstLineChars="20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本技术要求随商务合同生效，与合同具有同等效力。</w:t>
      </w:r>
    </w:p>
    <w:p>
      <w:pPr>
        <w:widowControl w:val="0"/>
        <w:spacing w:after="0" w:line="360" w:lineRule="auto"/>
        <w:ind w:firstLine="480" w:firstLineChars="200"/>
        <w:jc w:val="both"/>
        <w:rPr>
          <w:rFonts w:ascii="仿宋_GB2312" w:eastAsia="仿宋_GB2312" w:cs="仿宋_GB2312"/>
          <w:color w:val="auto"/>
          <w:sz w:val="24"/>
          <w:szCs w:val="24"/>
          <w:lang w:bidi="ar"/>
        </w:rPr>
        <w:sectPr>
          <w:pgSz w:w="12240" w:h="15840"/>
          <w:pgMar w:top="1445" w:right="1097" w:bottom="1466" w:left="1800" w:header="720" w:footer="720" w:gutter="0"/>
          <w:cols w:space="720" w:num="1"/>
        </w:sectPr>
      </w:pPr>
    </w:p>
    <w:p>
      <w:pPr>
        <w:pStyle w:val="3"/>
        <w:spacing w:after="0" w:line="360" w:lineRule="auto"/>
        <w:rPr>
          <w:rFonts w:hint="eastAsia"/>
          <w:sz w:val="28"/>
          <w:szCs w:val="28"/>
          <w:lang w:bidi="ar"/>
        </w:rPr>
      </w:pPr>
      <w:r>
        <w:rPr>
          <w:rFonts w:hint="eastAsia"/>
          <w:sz w:val="28"/>
          <w:szCs w:val="28"/>
          <w:lang w:bidi="ar"/>
        </w:rPr>
        <w:t>品目二：智能仓储建设（自动化立体仓库）</w:t>
      </w:r>
    </w:p>
    <w:p>
      <w:pPr>
        <w:widowControl w:val="0"/>
        <w:numPr>
          <w:ilvl w:val="0"/>
          <w:numId w:val="54"/>
        </w:numPr>
        <w:adjustRightInd w:val="0"/>
        <w:snapToGrid w:val="0"/>
        <w:spacing w:after="0" w:line="360" w:lineRule="auto"/>
        <w:jc w:val="both"/>
        <w:outlineLvl w:val="0"/>
        <w:rPr>
          <w:rFonts w:ascii="仿宋_GB2312" w:eastAsia="仿宋_GB2312" w:cs="仿宋_GB2312"/>
          <w:color w:val="auto"/>
          <w:sz w:val="24"/>
          <w:szCs w:val="24"/>
          <w:lang w:bidi="ar"/>
        </w:rPr>
      </w:pPr>
      <w:bookmarkStart w:id="142" w:name="_Toc665"/>
      <w:r>
        <w:rPr>
          <w:rFonts w:hint="eastAsia" w:ascii="仿宋_GB2312" w:eastAsia="仿宋_GB2312" w:cs="仿宋_GB2312"/>
          <w:b/>
          <w:bCs/>
          <w:color w:val="auto"/>
          <w:sz w:val="24"/>
          <w:szCs w:val="24"/>
          <w:lang w:bidi="ar"/>
        </w:rPr>
        <w:t>设备名称：</w:t>
      </w:r>
      <w:bookmarkEnd w:id="142"/>
      <w:r>
        <w:rPr>
          <w:rFonts w:hint="eastAsia" w:ascii="仿宋_GB2312" w:eastAsia="仿宋_GB2312" w:cs="仿宋_GB2312"/>
          <w:color w:val="auto"/>
          <w:sz w:val="24"/>
          <w:szCs w:val="24"/>
          <w:lang w:bidi="ar"/>
        </w:rPr>
        <w:t>智能仓储建设（自动化立体仓库）</w:t>
      </w:r>
    </w:p>
    <w:p>
      <w:pPr>
        <w:widowControl w:val="0"/>
        <w:numPr>
          <w:ilvl w:val="0"/>
          <w:numId w:val="54"/>
        </w:numPr>
        <w:adjustRightInd w:val="0"/>
        <w:snapToGrid w:val="0"/>
        <w:spacing w:after="0" w:line="360" w:lineRule="auto"/>
        <w:jc w:val="both"/>
        <w:outlineLvl w:val="0"/>
        <w:rPr>
          <w:rFonts w:ascii="仿宋_GB2312" w:eastAsia="仿宋_GB2312" w:cs="仿宋_GB2312"/>
          <w:color w:val="auto"/>
          <w:sz w:val="24"/>
          <w:szCs w:val="24"/>
          <w:lang w:bidi="ar"/>
        </w:rPr>
      </w:pPr>
      <w:bookmarkStart w:id="143" w:name="_Toc30214"/>
      <w:r>
        <w:rPr>
          <w:rFonts w:hint="eastAsia" w:ascii="仿宋_GB2312" w:eastAsia="仿宋_GB2312" w:cs="仿宋_GB2312"/>
          <w:b/>
          <w:bCs/>
          <w:color w:val="auto"/>
          <w:sz w:val="24"/>
          <w:szCs w:val="24"/>
          <w:lang w:bidi="ar"/>
        </w:rPr>
        <w:t>数量：</w:t>
      </w:r>
      <w:r>
        <w:rPr>
          <w:rFonts w:hint="eastAsia" w:ascii="仿宋_GB2312" w:eastAsia="仿宋_GB2312" w:cs="仿宋_GB2312"/>
          <w:color w:val="auto"/>
          <w:sz w:val="24"/>
          <w:szCs w:val="24"/>
          <w:lang w:bidi="ar"/>
        </w:rPr>
        <w:t>1套</w:t>
      </w:r>
      <w:bookmarkEnd w:id="143"/>
    </w:p>
    <w:p>
      <w:pPr>
        <w:widowControl w:val="0"/>
        <w:numPr>
          <w:ilvl w:val="0"/>
          <w:numId w:val="54"/>
        </w:numPr>
        <w:adjustRightInd w:val="0"/>
        <w:snapToGrid w:val="0"/>
        <w:spacing w:after="0" w:line="360" w:lineRule="auto"/>
        <w:jc w:val="both"/>
        <w:outlineLvl w:val="0"/>
        <w:rPr>
          <w:rFonts w:ascii="仿宋_GB2312" w:eastAsia="仿宋_GB2312" w:cs="仿宋_GB2312"/>
          <w:color w:val="auto"/>
          <w:sz w:val="24"/>
          <w:szCs w:val="24"/>
          <w:lang w:bidi="ar"/>
        </w:rPr>
      </w:pPr>
      <w:bookmarkStart w:id="144" w:name="_Toc9508"/>
      <w:r>
        <w:rPr>
          <w:rFonts w:hint="eastAsia" w:ascii="仿宋_GB2312" w:eastAsia="仿宋_GB2312" w:cs="仿宋_GB2312"/>
          <w:b/>
          <w:bCs/>
          <w:color w:val="auto"/>
          <w:sz w:val="24"/>
          <w:szCs w:val="24"/>
          <w:lang w:bidi="ar"/>
        </w:rPr>
        <w:t>★交货期：</w:t>
      </w:r>
      <w:r>
        <w:rPr>
          <w:rFonts w:hint="eastAsia" w:ascii="仿宋" w:hAnsi="仿宋" w:eastAsia="仿宋" w:cs="Times New Roman"/>
          <w:color w:val="auto"/>
          <w:sz w:val="24"/>
          <w:szCs w:val="24"/>
        </w:rPr>
        <w:t>2026年9月达到</w:t>
      </w:r>
      <w:bookmarkEnd w:id="144"/>
      <w:r>
        <w:rPr>
          <w:rFonts w:hint="eastAsia" w:ascii="仿宋" w:hAnsi="仿宋" w:eastAsia="仿宋" w:cs="Times New Roman"/>
          <w:color w:val="auto"/>
          <w:sz w:val="24"/>
          <w:szCs w:val="24"/>
        </w:rPr>
        <w:t>验收状态</w:t>
      </w:r>
    </w:p>
    <w:p>
      <w:pPr>
        <w:widowControl w:val="0"/>
        <w:numPr>
          <w:ilvl w:val="0"/>
          <w:numId w:val="54"/>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★投标方资质要求</w:t>
      </w:r>
    </w:p>
    <w:p>
      <w:pPr>
        <w:widowControl w:val="0"/>
        <w:adjustRightInd w:val="0"/>
        <w:snapToGrid w:val="0"/>
        <w:spacing w:after="0" w:line="360" w:lineRule="auto"/>
        <w:ind w:left="425"/>
        <w:jc w:val="both"/>
        <w:outlineLvl w:val="0"/>
        <w:rPr>
          <w:rFonts w:ascii="仿宋_GB2312" w:eastAsia="仿宋_GB2312" w:cs="仿宋_GB2312"/>
          <w:b/>
          <w:bCs/>
          <w:color w:val="auto"/>
          <w:sz w:val="24"/>
          <w:szCs w:val="24"/>
          <w:lang w:bidi="ar"/>
        </w:rPr>
      </w:pPr>
      <w:r>
        <w:rPr>
          <w:rFonts w:hint="eastAsia" w:ascii="仿宋_GB2312" w:eastAsia="仿宋_GB2312" w:cs="仿宋_GB2312"/>
          <w:b/>
          <w:bCs/>
          <w:color w:val="auto"/>
          <w:sz w:val="24"/>
          <w:szCs w:val="24"/>
          <w:lang w:bidi="ar"/>
        </w:rPr>
        <w:t>详见招标公告</w:t>
      </w:r>
    </w:p>
    <w:p>
      <w:pPr>
        <w:widowControl w:val="0"/>
        <w:numPr>
          <w:ilvl w:val="0"/>
          <w:numId w:val="54"/>
        </w:numPr>
        <w:adjustRightInd w:val="0"/>
        <w:snapToGrid w:val="0"/>
        <w:spacing w:after="0" w:line="360" w:lineRule="auto"/>
        <w:jc w:val="both"/>
        <w:outlineLvl w:val="0"/>
        <w:rPr>
          <w:rFonts w:ascii="仿宋_GB2312" w:eastAsia="仿宋_GB2312" w:cs="仿宋_GB2312"/>
          <w:b/>
          <w:bCs/>
          <w:color w:val="auto"/>
          <w:sz w:val="24"/>
          <w:szCs w:val="24"/>
          <w:lang w:bidi="ar"/>
        </w:rPr>
      </w:pPr>
      <w:bookmarkStart w:id="145" w:name="_Toc28489"/>
      <w:r>
        <w:rPr>
          <w:rFonts w:hint="eastAsia" w:ascii="仿宋_GB2312" w:eastAsia="仿宋_GB2312" w:cs="仿宋_GB2312"/>
          <w:b/>
          <w:bCs/>
          <w:color w:val="auto"/>
          <w:sz w:val="24"/>
          <w:szCs w:val="24"/>
          <w:lang w:bidi="ar"/>
        </w:rPr>
        <w:t>项目功能及参数要求</w:t>
      </w:r>
      <w:bookmarkEnd w:id="145"/>
    </w:p>
    <w:p>
      <w:pPr>
        <w:widowControl w:val="0"/>
        <w:numPr>
          <w:ilvl w:val="1"/>
          <w:numId w:val="54"/>
        </w:numPr>
        <w:adjustRightInd w:val="0"/>
        <w:snapToGrid w:val="0"/>
        <w:spacing w:after="0" w:line="360" w:lineRule="auto"/>
        <w:jc w:val="both"/>
        <w:outlineLvl w:val="1"/>
        <w:rPr>
          <w:rFonts w:ascii="仿宋_GB2312" w:eastAsia="仿宋_GB2312" w:cs="仿宋_GB2312"/>
          <w:b/>
          <w:bCs/>
          <w:color w:val="auto"/>
          <w:sz w:val="24"/>
          <w:szCs w:val="24"/>
          <w:lang w:bidi="ar"/>
        </w:rPr>
      </w:pPr>
      <w:bookmarkStart w:id="146" w:name="_Toc1325"/>
      <w:r>
        <w:rPr>
          <w:rFonts w:hint="eastAsia" w:ascii="仿宋_GB2312" w:eastAsia="仿宋_GB2312" w:cs="仿宋_GB2312"/>
          <w:b/>
          <w:bCs/>
          <w:color w:val="auto"/>
          <w:sz w:val="24"/>
          <w:szCs w:val="24"/>
          <w:lang w:bidi="ar"/>
        </w:rPr>
        <w:t>项目描述</w:t>
      </w:r>
      <w:bookmarkEnd w:id="146"/>
      <w:bookmarkStart w:id="147" w:name="_Toc472172532"/>
      <w:bookmarkEnd w:id="147"/>
    </w:p>
    <w:p>
      <w:pPr>
        <w:widowControl w:val="0"/>
        <w:adjustRightInd w:val="0"/>
        <w:snapToGrid w:val="0"/>
        <w:spacing w:after="0" w:line="360" w:lineRule="auto"/>
        <w:rPr>
          <w:rFonts w:eastAsia="宋体" w:cs="Times New Roman"/>
          <w:color w:val="auto"/>
          <w:sz w:val="24"/>
          <w:szCs w:val="24"/>
        </w:rPr>
      </w:pPr>
      <w:r>
        <w:rPr>
          <w:rFonts w:hint="eastAsia" w:ascii="仿宋_GB2312" w:eastAsia="仿宋_GB2312" w:cs="仿宋_GB2312"/>
          <w:color w:val="auto"/>
          <w:sz w:val="24"/>
          <w:szCs w:val="24"/>
          <w:lang w:bidi="ar"/>
        </w:rPr>
        <w:t>本</w:t>
      </w:r>
      <w:r>
        <w:rPr>
          <w:rFonts w:ascii="仿宋_GB2312" w:eastAsia="仿宋_GB2312" w:cs="仿宋_GB2312"/>
          <w:color w:val="auto"/>
          <w:sz w:val="24"/>
          <w:szCs w:val="24"/>
          <w:lang w:bidi="ar"/>
        </w:rPr>
        <w:t>项目以价值流为指引梳理物流体系，通过自动化、信息化、智能化运作模式，打通仓库与IQC、生产车间的业务流与信息流，消除物料在收、检、存、配等环节中的过程浪费，实现物流配套环节的均衡化、可视化、智能化。</w:t>
      </w:r>
      <w:r>
        <w:rPr>
          <w:rFonts w:hint="eastAsia" w:ascii="仿宋_GB2312" w:eastAsia="仿宋_GB2312" w:cs="仿宋_GB2312"/>
          <w:color w:val="auto"/>
          <w:sz w:val="24"/>
          <w:szCs w:val="24"/>
          <w:lang w:bidi="ar"/>
        </w:rPr>
        <w:t>一层平面图如下：</w:t>
      </w:r>
    </w:p>
    <w:p>
      <w:pPr>
        <w:widowControl w:val="0"/>
        <w:adjustRightInd w:val="0"/>
        <w:snapToGrid w:val="0"/>
        <w:spacing w:after="0" w:line="360" w:lineRule="auto"/>
        <w:jc w:val="center"/>
        <w:rPr>
          <w:rFonts w:hint="eastAsia" w:ascii="仿宋" w:hAnsi="仿宋" w:eastAsia="仿宋" w:cs="Times New Roman"/>
          <w:color w:val="auto"/>
          <w:sz w:val="24"/>
          <w:szCs w:val="24"/>
        </w:rPr>
      </w:pPr>
      <w:r>
        <w:rPr>
          <w:rFonts w:ascii="Calibri Light" w:hAnsi="Calibri Light" w:eastAsia="黑体" w:cs="Times New Roman"/>
          <w:color w:val="auto"/>
          <w:sz w:val="24"/>
          <w:szCs w:val="24"/>
        </w:rPr>
        <w:drawing>
          <wp:anchor distT="0" distB="0" distL="114300" distR="114300" simplePos="0" relativeHeight="251661312" behindDoc="0" locked="0" layoutInCell="1" allowOverlap="1">
            <wp:simplePos x="0" y="0"/>
            <wp:positionH relativeFrom="column">
              <wp:posOffset>-294640</wp:posOffset>
            </wp:positionH>
            <wp:positionV relativeFrom="paragraph">
              <wp:posOffset>50800</wp:posOffset>
            </wp:positionV>
            <wp:extent cx="6278880" cy="3283585"/>
            <wp:effectExtent l="0" t="0" r="7620" b="1206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rcRect l="20699" t="27051" r="23991" b="21539"/>
                    <a:stretch>
                      <a:fillRect/>
                    </a:stretch>
                  </pic:blipFill>
                  <pic:spPr>
                    <a:xfrm>
                      <a:off x="0" y="0"/>
                      <a:ext cx="6278880" cy="3283585"/>
                    </a:xfrm>
                    <a:prstGeom prst="rect">
                      <a:avLst/>
                    </a:prstGeom>
                    <a:noFill/>
                    <a:ln>
                      <a:noFill/>
                    </a:ln>
                  </pic:spPr>
                </pic:pic>
              </a:graphicData>
            </a:graphic>
          </wp:anchor>
        </w:drawing>
      </w:r>
      <w:r>
        <w:rPr>
          <w:rFonts w:ascii="仿宋_GB2312" w:eastAsia="仿宋_GB2312" w:cs="仿宋_GB2312"/>
          <w:color w:val="auto"/>
          <w:sz w:val="24"/>
          <w:szCs w:val="24"/>
          <w:lang w:bidi="ar"/>
        </w:rPr>
        <w:t xml:space="preserve">图 </w:t>
      </w:r>
      <w:r>
        <w:rPr>
          <w:rFonts w:ascii="仿宋_GB2312" w:eastAsia="仿宋_GB2312" w:cs="仿宋_GB2312"/>
          <w:color w:val="auto"/>
          <w:sz w:val="24"/>
          <w:szCs w:val="24"/>
          <w:lang w:bidi="ar"/>
        </w:rPr>
        <w:fldChar w:fldCharType="begin"/>
      </w:r>
      <w:r>
        <w:rPr>
          <w:rFonts w:ascii="仿宋_GB2312" w:eastAsia="仿宋_GB2312" w:cs="仿宋_GB2312"/>
          <w:color w:val="auto"/>
          <w:sz w:val="24"/>
          <w:szCs w:val="24"/>
          <w:lang w:bidi="ar"/>
        </w:rPr>
        <w:instrText xml:space="preserve"> SEQ 图 \* ARABIC </w:instrText>
      </w:r>
      <w:r>
        <w:rPr>
          <w:rFonts w:ascii="仿宋_GB2312" w:eastAsia="仿宋_GB2312" w:cs="仿宋_GB2312"/>
          <w:color w:val="auto"/>
          <w:sz w:val="24"/>
          <w:szCs w:val="24"/>
          <w:lang w:bidi="ar"/>
        </w:rPr>
        <w:fldChar w:fldCharType="separate"/>
      </w:r>
      <w:r>
        <w:rPr>
          <w:rFonts w:ascii="仿宋_GB2312" w:eastAsia="仿宋_GB2312" w:cs="仿宋_GB2312"/>
          <w:color w:val="auto"/>
          <w:sz w:val="24"/>
          <w:szCs w:val="24"/>
          <w:lang w:bidi="ar"/>
        </w:rPr>
        <w:t>1</w:t>
      </w:r>
      <w:r>
        <w:rPr>
          <w:rFonts w:ascii="仿宋_GB2312" w:eastAsia="仿宋_GB2312" w:cs="仿宋_GB2312"/>
          <w:color w:val="auto"/>
          <w:sz w:val="24"/>
          <w:szCs w:val="24"/>
          <w:lang w:bidi="ar"/>
        </w:rPr>
        <w:fldChar w:fldCharType="end"/>
      </w:r>
      <w:r>
        <w:rPr>
          <w:rFonts w:hint="eastAsia" w:ascii="仿宋_GB2312" w:eastAsia="仿宋_GB2312" w:cs="仿宋_GB2312"/>
          <w:color w:val="auto"/>
          <w:sz w:val="24"/>
          <w:szCs w:val="24"/>
          <w:lang w:bidi="ar"/>
        </w:rPr>
        <w:t xml:space="preserve"> 一层平面图</w:t>
      </w:r>
    </w:p>
    <w:p>
      <w:pPr>
        <w:widowControl w:val="0"/>
        <w:numPr>
          <w:ilvl w:val="1"/>
          <w:numId w:val="54"/>
        </w:numPr>
        <w:adjustRightInd w:val="0"/>
        <w:snapToGrid w:val="0"/>
        <w:spacing w:after="0" w:line="360" w:lineRule="auto"/>
        <w:jc w:val="both"/>
        <w:outlineLvl w:val="1"/>
        <w:rPr>
          <w:rFonts w:ascii="仿宋_GB2312" w:eastAsia="仿宋_GB2312" w:cs="仿宋_GB2312"/>
          <w:b/>
          <w:bCs/>
          <w:color w:val="auto"/>
          <w:sz w:val="24"/>
          <w:szCs w:val="24"/>
          <w:lang w:bidi="ar"/>
        </w:rPr>
      </w:pPr>
      <w:bookmarkStart w:id="148" w:name="_Toc1858"/>
      <w:bookmarkEnd w:id="148"/>
      <w:bookmarkStart w:id="149" w:name="_Toc11844"/>
      <w:r>
        <w:rPr>
          <w:rFonts w:hint="eastAsia" w:ascii="仿宋_GB2312" w:eastAsia="仿宋_GB2312" w:cs="仿宋_GB2312"/>
          <w:b/>
          <w:bCs/>
          <w:color w:val="auto"/>
          <w:sz w:val="24"/>
          <w:szCs w:val="24"/>
          <w:lang w:bidi="ar"/>
        </w:rPr>
        <w:t>项目总体要求</w:t>
      </w:r>
      <w:bookmarkEnd w:id="149"/>
    </w:p>
    <w:p>
      <w:pPr>
        <w:widowControl w:val="0"/>
        <w:numPr>
          <w:ilvl w:val="255"/>
          <w:numId w:val="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本项目主要由箱式巷道堆垛机、货架系统、温湿度管控氮气存储柜、自动辊筒线、仓库设备管理系统（WCS）、电气控制系统、温湿度控制系统及工作台、看板等辅助设备组成。</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ascii="仿宋_GB2312" w:eastAsia="仿宋_GB2312" w:cs="仿宋_GB2312"/>
          <w:color w:val="auto"/>
          <w:sz w:val="24"/>
          <w:szCs w:val="24"/>
          <w:lang w:bidi="ar"/>
        </w:rPr>
        <w:t>箱式巷道</w:t>
      </w:r>
      <w:r>
        <w:rPr>
          <w:rFonts w:hint="eastAsia" w:ascii="仿宋_GB2312" w:eastAsia="仿宋_GB2312" w:cs="仿宋_GB2312"/>
          <w:color w:val="auto"/>
          <w:sz w:val="24"/>
          <w:szCs w:val="24"/>
          <w:lang w:bidi="ar"/>
        </w:rPr>
        <w:t>堆垛机</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性能指标要求</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堆垛机数量为5台，其中适配穿层存储区货架高度、800mm×600mm×400mm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尺寸的堆垛机1台，适配穿层存储区货架高度、600mm×400mm×200mm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尺寸的堆垛机1台，适配非穿层存储区货架高度、600mm×400mm×200mm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尺寸的堆垛机3台。</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水平行走：运行速度≥140m/min，加速度≥0.5m/s</w:t>
      </w:r>
      <w:r>
        <w:rPr>
          <w:rFonts w:eastAsia="仿宋_GB2312"/>
          <w:color w:val="auto"/>
          <w:sz w:val="24"/>
          <w:szCs w:val="24"/>
          <w:lang w:bidi="ar"/>
        </w:rPr>
        <w:t>²</w:t>
      </w:r>
      <w:r>
        <w:rPr>
          <w:rFonts w:hint="eastAsia" w:ascii="仿宋_GB2312" w:eastAsia="仿宋_GB2312" w:cs="仿宋_GB2312"/>
          <w:color w:val="auto"/>
          <w:sz w:val="24"/>
          <w:szCs w:val="24"/>
          <w:lang w:bidi="ar"/>
        </w:rPr>
        <w:t>，避免</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内物品晃动。</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垂直升降：升降速度≥30m/min，加速度≥0.3m/s</w:t>
      </w:r>
      <w:r>
        <w:rPr>
          <w:rFonts w:eastAsia="仿宋_GB2312"/>
          <w:color w:val="auto"/>
          <w:sz w:val="24"/>
          <w:szCs w:val="24"/>
          <w:lang w:bidi="ar"/>
        </w:rPr>
        <w:t>²</w:t>
      </w:r>
      <w:r>
        <w:rPr>
          <w:rFonts w:hint="eastAsia" w:ascii="仿宋_GB2312" w:eastAsia="仿宋_GB2312" w:cs="仿宋_GB2312"/>
          <w:color w:val="auto"/>
          <w:sz w:val="24"/>
          <w:szCs w:val="24"/>
          <w:lang w:bidi="ar"/>
        </w:rPr>
        <w:t>，避免</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内物品晃动。</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货叉伸缩</w:t>
      </w:r>
      <w:r>
        <w:rPr>
          <w:rFonts w:ascii="仿宋_GB2312" w:eastAsia="仿宋_GB2312" w:cs="仿宋_GB2312"/>
          <w:color w:val="auto"/>
          <w:sz w:val="24"/>
          <w:szCs w:val="24"/>
          <w:lang w:bidi="ar"/>
        </w:rPr>
        <w:t>：</w:t>
      </w:r>
      <w:r>
        <w:rPr>
          <w:rFonts w:hint="eastAsia" w:ascii="仿宋_GB2312" w:eastAsia="仿宋_GB2312" w:cs="仿宋_GB2312"/>
          <w:color w:val="auto"/>
          <w:sz w:val="24"/>
          <w:szCs w:val="24"/>
          <w:lang w:bidi="ar"/>
        </w:rPr>
        <w:t>伸缩速度≥</w:t>
      </w:r>
      <w:r>
        <w:rPr>
          <w:rFonts w:ascii="仿宋_GB2312" w:eastAsia="仿宋_GB2312" w:cs="仿宋_GB2312"/>
          <w:color w:val="auto"/>
          <w:sz w:val="24"/>
          <w:szCs w:val="24"/>
          <w:lang w:bidi="ar"/>
        </w:rPr>
        <w:t>30m/min，</w:t>
      </w:r>
      <w:r>
        <w:rPr>
          <w:rFonts w:hint="eastAsia" w:ascii="仿宋_GB2312" w:eastAsia="仿宋_GB2312" w:cs="仿宋_GB2312"/>
          <w:color w:val="auto"/>
          <w:sz w:val="24"/>
          <w:szCs w:val="24"/>
          <w:lang w:bidi="ar"/>
        </w:rPr>
        <w:t>加速度≥0.3m/s</w:t>
      </w:r>
      <w:r>
        <w:rPr>
          <w:rFonts w:eastAsia="仿宋_GB2312"/>
          <w:color w:val="auto"/>
          <w:sz w:val="24"/>
          <w:szCs w:val="24"/>
          <w:lang w:bidi="ar"/>
        </w:rPr>
        <w:t>²</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双伸叉需同步精度误</w:t>
      </w:r>
      <w:r>
        <w:rPr>
          <w:rFonts w:hint="eastAsia" w:ascii="仿宋_GB2312" w:eastAsia="仿宋_GB2312" w:cs="仿宋_GB2312"/>
          <w:color w:val="auto"/>
          <w:sz w:val="24"/>
          <w:szCs w:val="24"/>
          <w:lang w:bidi="ar"/>
        </w:rPr>
        <w:t>差≤</w:t>
      </w:r>
      <w:r>
        <w:rPr>
          <w:rFonts w:ascii="仿宋_GB2312" w:eastAsia="仿宋_GB2312" w:cs="仿宋_GB2312"/>
          <w:color w:val="auto"/>
          <w:sz w:val="24"/>
          <w:szCs w:val="24"/>
          <w:lang w:bidi="ar"/>
        </w:rPr>
        <w:t>2 mm</w:t>
      </w:r>
      <w:r>
        <w:rPr>
          <w:rFonts w:hint="eastAsia" w:ascii="仿宋_GB2312" w:eastAsia="仿宋_GB2312" w:cs="仿宋_GB2312"/>
          <w:color w:val="auto"/>
          <w:sz w:val="24"/>
          <w:szCs w:val="24"/>
          <w:lang w:bidi="ar"/>
        </w:rPr>
        <w:t>。</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停准精度±3mm以内，确保货叉精准存取。</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定位精度±5mm以内，长期使用无漂移。</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堆垛机水平运行速度、垂直升降速度、货叉伸缩速度、单次取送料速度等可满足入库日流量≥400箱，出库日流量≥300箱的流量需求。</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适配800mm×600mm×400mm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尺寸的堆垛机载荷量≥60Kg，货叉载荷量≥75Kg；适配600mm×400mm×200mm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尺寸的堆垛机载荷量≥50Kg，货叉载荷量≥50Kg。</w:t>
      </w:r>
    </w:p>
    <w:p>
      <w:pPr>
        <w:widowControl w:val="0"/>
        <w:numPr>
          <w:ilvl w:val="4"/>
          <w:numId w:val="5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采用滑轴线电力载波的有线通信解决方案。</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功能指标要求</w:t>
      </w:r>
    </w:p>
    <w:p>
      <w:pPr>
        <w:widowControl w:val="0"/>
        <w:numPr>
          <w:ilvl w:val="4"/>
          <w:numId w:val="5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堆垛机升降高度与架位高度相匹配，货叉与</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尺寸相匹配。</w:t>
      </w:r>
    </w:p>
    <w:p>
      <w:pPr>
        <w:widowControl w:val="0"/>
        <w:numPr>
          <w:ilvl w:val="4"/>
          <w:numId w:val="5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具备根据指令自动存取货物的能力。</w:t>
      </w:r>
    </w:p>
    <w:p>
      <w:pPr>
        <w:widowControl w:val="0"/>
        <w:numPr>
          <w:ilvl w:val="4"/>
          <w:numId w:val="5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与WCS系统联动完成任务优先级处理，能够接收并执行管理系统的指令并反馈作业状态。</w:t>
      </w:r>
    </w:p>
    <w:p>
      <w:pPr>
        <w:widowControl w:val="0"/>
        <w:numPr>
          <w:ilvl w:val="4"/>
          <w:numId w:val="56"/>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实时监测电机</w:t>
      </w:r>
      <w:r>
        <w:rPr>
          <w:rFonts w:hint="eastAsia" w:ascii="仿宋_GB2312" w:eastAsia="仿宋_GB2312" w:cs="仿宋_GB2312"/>
          <w:color w:val="auto"/>
          <w:sz w:val="24"/>
          <w:szCs w:val="24"/>
          <w:lang w:bidi="ar"/>
        </w:rPr>
        <w:t>的</w:t>
      </w:r>
      <w:r>
        <w:rPr>
          <w:rFonts w:ascii="仿宋_GB2312" w:eastAsia="仿宋_GB2312" w:cs="仿宋_GB2312"/>
          <w:color w:val="auto"/>
          <w:sz w:val="24"/>
          <w:szCs w:val="24"/>
          <w:lang w:bidi="ar"/>
        </w:rPr>
        <w:t>温度、振动等参数，</w:t>
      </w:r>
      <w:r>
        <w:rPr>
          <w:rFonts w:hint="eastAsia" w:ascii="仿宋_GB2312" w:eastAsia="仿宋_GB2312" w:cs="仿宋_GB2312"/>
          <w:color w:val="auto"/>
          <w:sz w:val="24"/>
          <w:szCs w:val="24"/>
          <w:lang w:bidi="ar"/>
        </w:rPr>
        <w:t>具备</w:t>
      </w:r>
      <w:r>
        <w:rPr>
          <w:rFonts w:ascii="仿宋_GB2312" w:eastAsia="仿宋_GB2312" w:cs="仿宋_GB2312"/>
          <w:color w:val="auto"/>
          <w:sz w:val="24"/>
          <w:szCs w:val="24"/>
          <w:lang w:bidi="ar"/>
        </w:rPr>
        <w:t>预测性维护提示</w:t>
      </w:r>
      <w:r>
        <w:rPr>
          <w:rFonts w:hint="eastAsia" w:ascii="仿宋_GB2312" w:eastAsia="仿宋_GB2312" w:cs="仿宋_GB2312"/>
          <w:color w:val="auto"/>
          <w:sz w:val="24"/>
          <w:szCs w:val="24"/>
          <w:lang w:bidi="ar"/>
        </w:rPr>
        <w:t>能力。</w:t>
      </w:r>
    </w:p>
    <w:p>
      <w:pPr>
        <w:widowControl w:val="0"/>
        <w:numPr>
          <w:ilvl w:val="4"/>
          <w:numId w:val="56"/>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断电后位置记忆，支持手动/自动恢复至安全状态。</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eastAsia="zh" w:bidi="ar"/>
        </w:rPr>
      </w:pPr>
      <w:r>
        <w:rPr>
          <w:rFonts w:hint="eastAsia" w:ascii="仿宋_GB2312" w:eastAsia="仿宋_GB2312" w:cs="仿宋_GB2312"/>
          <w:color w:val="auto"/>
          <w:sz w:val="24"/>
          <w:szCs w:val="24"/>
          <w:lang w:bidi="ar"/>
        </w:rPr>
        <w:t>安全指标要求</w:t>
      </w:r>
    </w:p>
    <w:p>
      <w:pPr>
        <w:widowControl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符合JB T 11269-2011 《巷道堆垛起重机 安全规范》、GB/T 3811-2008《起重机设计规范》和ISO 13849机械安全标准。</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eastAsia="zh" w:bidi="ar"/>
        </w:rPr>
        <w:t>直梯装置：高度超过5m以上的堆垛机设有直梯。单个梯级高度不应大于0.3m,纵深不应小于0.15m。直梯设有保险圈或防坠落的安全绳。</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eastAsia="zh" w:bidi="ar"/>
        </w:rPr>
        <w:t>制动器：堆垛机的起升机构、运行机构及货叉伸缩机构都必须装设制动器。制动器必须是常闭式的、可调节的以及在任何情况下都能可靠的制动。</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eastAsia="zh" w:bidi="ar"/>
        </w:rPr>
        <w:t>限速防坠装置：堆垛机必须装有限速防坠装置、超速保护装置、捕捉器，在下降速度超额定速度1.15倍时应立即工作。</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松绳、断绳保护装置：当堆垛机提升钢丝绳松垂或断裂时，自动切断提升电机电源，载货台制动器卡在立柱上，避免载货台跌落。</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过载保护装置：当加载超过额定起重量的10%时，自动切断起升电机电源。</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极限限制开关和机械缓冲双重保护装置：包括提升极限限制开关、机械缓冲块，以及运行极限限制开关、机械缓冲块，用于防止堆垛机或载货台超出正常行程。</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手动急停按钮：紧急停止按钮分布于机身及控制台。在紧急情况下，能切断堆垛机总电源，断电后需手动复位。</w:t>
      </w:r>
      <w:r>
        <w:rPr>
          <w:rFonts w:hint="eastAsia" w:ascii="仿宋_GB2312" w:eastAsia="仿宋_GB2312" w:cs="仿宋_GB2312"/>
          <w:color w:val="auto"/>
          <w:sz w:val="24"/>
          <w:szCs w:val="24"/>
          <w:lang w:eastAsia="zh" w:bidi="ar"/>
        </w:rPr>
        <w:t>按钮上有永久性的明显标志。</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电气联锁保护：</w:t>
      </w:r>
    </w:p>
    <w:p>
      <w:pPr>
        <w:widowControl w:val="0"/>
        <w:numPr>
          <w:ilvl w:val="5"/>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确保在某一时刻，只能从一个地点操纵堆垛机；各控制方向间应有互锁，以保证在某一时刻，只允许选用手动、半自动、自动、计算机联动控制中一种控制方式。</w:t>
      </w:r>
    </w:p>
    <w:p>
      <w:pPr>
        <w:widowControl w:val="0"/>
        <w:numPr>
          <w:ilvl w:val="5"/>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货叉与堆垛机互锁保护：当货叉不在中间位置（收叉时不在正确位置）或货叉在动作时，堆垛机行走、高速升降将被锁定；当堆垛机行走、高速升降或堆垛机发生故障时，货叉将被锁定。</w:t>
      </w:r>
    </w:p>
    <w:p>
      <w:pPr>
        <w:widowControl w:val="0"/>
        <w:numPr>
          <w:ilvl w:val="5"/>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常规联锁和保护：包括失压保护、操作开关零位保护、电动机正反转联锁、不同速度级的联锁、短路和过载保护。</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eastAsia="zh" w:bidi="ar"/>
        </w:rPr>
        <w:t>声光</w:t>
      </w:r>
      <w:r>
        <w:rPr>
          <w:rFonts w:hint="eastAsia" w:ascii="仿宋_GB2312" w:eastAsia="仿宋_GB2312" w:cs="仿宋_GB2312"/>
          <w:color w:val="auto"/>
          <w:sz w:val="24"/>
          <w:szCs w:val="24"/>
          <w:lang w:bidi="ar"/>
        </w:rPr>
        <w:t>报警装置：堆垛机</w:t>
      </w:r>
      <w:r>
        <w:rPr>
          <w:rFonts w:hint="eastAsia" w:ascii="仿宋_GB2312" w:eastAsia="仿宋_GB2312" w:cs="仿宋_GB2312"/>
          <w:color w:val="auto"/>
          <w:sz w:val="24"/>
          <w:szCs w:val="24"/>
          <w:lang w:eastAsia="zh" w:bidi="ar"/>
        </w:rPr>
        <w:t>必须设有能区分堆垛机工作、待机和故障状态的相应报警装置。</w:t>
      </w:r>
      <w:r>
        <w:rPr>
          <w:rFonts w:hint="eastAsia" w:ascii="仿宋_GB2312" w:eastAsia="仿宋_GB2312" w:cs="仿宋_GB2312"/>
          <w:color w:val="auto"/>
          <w:sz w:val="24"/>
          <w:szCs w:val="24"/>
          <w:lang w:bidi="ar"/>
        </w:rPr>
        <w:t>在运行机构启动前，应先发出音响信号。</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故障报警和自我诊断功能：便于及时发现并处理故障。</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巷道口/门电源控制：全部巷道口/门在堆垛机紧急停电时自动切断电源。</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载货台检测装置：设有货物超尺寸和坍塌检测，避免货物超出堆垛机而引起事故；设有货位虚实检测，以确认货位是否有货，避免重复入库。</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货叉保护：货叉上装有极限开关和机械限位模块。货叉设有第一节货叉、第二节货叉居中检测，以防止堆垛机在行走或升降时，货叉出现误动作。</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巷道安全防护：按照标准要求配备安全门，堆垛机能检测安全门信号，通过激光测距可让堆垛机报警停机，防止人违规进入巷道后的意外。</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满足防静电要求，</w:t>
      </w:r>
      <w:r>
        <w:rPr>
          <w:rFonts w:hint="eastAsia" w:ascii="仿宋_GB2312" w:eastAsia="仿宋_GB2312" w:cs="仿宋_GB2312"/>
          <w:color w:val="auto"/>
          <w:sz w:val="24"/>
          <w:szCs w:val="24"/>
          <w:lang w:eastAsia="zh" w:bidi="ar"/>
        </w:rPr>
        <w:t>堆垛机的运行轨道必须接地，金属结构应有可靠的接地。</w:t>
      </w:r>
      <w:r>
        <w:rPr>
          <w:rFonts w:hint="eastAsia" w:ascii="仿宋_GB2312" w:eastAsia="仿宋_GB2312" w:cs="仿宋_GB2312"/>
          <w:color w:val="auto"/>
          <w:sz w:val="24"/>
          <w:szCs w:val="24"/>
          <w:lang w:bidi="ar"/>
        </w:rPr>
        <w:t>接地电阻≤4Ω，对地电阻10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Ω，表面电阻10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设计原理与选型标准等需符合国标、行标现行有效执行标准，同时符合国家与当地的安全消防等要求。</w:t>
      </w:r>
    </w:p>
    <w:p>
      <w:pPr>
        <w:widowControl w:val="0"/>
        <w:numPr>
          <w:ilvl w:val="4"/>
          <w:numId w:val="57"/>
        </w:numPr>
        <w:adjustRightInd w:val="0"/>
        <w:snapToGrid w:val="0"/>
        <w:spacing w:after="0" w:line="360" w:lineRule="auto"/>
        <w:jc w:val="both"/>
        <w:rPr>
          <w:rFonts w:eastAsia="宋体"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抗震设计：按7度地震烈度进行抗震设防，满足GB 39830-2021/GB 50011—2010要求。</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eastAsia="zh" w:bidi="ar"/>
        </w:rPr>
        <w:t>安全标志：堆垛机危险部位应设有安全标志，安全标志符合GB</w:t>
      </w:r>
      <w:r>
        <w:rPr>
          <w:rFonts w:hint="eastAsia" w:ascii="仿宋_GB2312" w:eastAsia="仿宋_GB2312" w:cs="仿宋_GB2312"/>
          <w:color w:val="auto"/>
          <w:sz w:val="24"/>
          <w:szCs w:val="24"/>
          <w:lang w:bidi="ar"/>
        </w:rPr>
        <w:t xml:space="preserve"> </w:t>
      </w:r>
      <w:r>
        <w:rPr>
          <w:rFonts w:hint="eastAsia" w:ascii="仿宋_GB2312" w:eastAsia="仿宋_GB2312" w:cs="仿宋_GB2312"/>
          <w:color w:val="auto"/>
          <w:sz w:val="24"/>
          <w:szCs w:val="24"/>
          <w:lang w:eastAsia="zh" w:bidi="ar"/>
        </w:rPr>
        <w:t>2893</w:t>
      </w:r>
      <w:r>
        <w:rPr>
          <w:rFonts w:hint="eastAsia" w:ascii="仿宋_GB2312" w:eastAsia="仿宋_GB2312" w:cs="仿宋_GB2312"/>
          <w:color w:val="auto"/>
          <w:sz w:val="24"/>
          <w:szCs w:val="24"/>
          <w:lang w:bidi="ar"/>
        </w:rPr>
        <w:t>-2008《安全色》、GB 2894-2008《安全标志及其使用导则》和GB/T 15052-2010《起重机 安全标志和危险图形符号 总则》的规定。项目实施时符合以上标准的最新版本。</w:t>
      </w:r>
    </w:p>
    <w:p>
      <w:pPr>
        <w:widowControl w:val="0"/>
        <w:numPr>
          <w:ilvl w:val="4"/>
          <w:numId w:val="5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运动部件防尘装置：对堆垛机导轨、链条、齿轮箱、导轨等运动部件应配置防尘罩结构。</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货架系统</w:t>
      </w:r>
    </w:p>
    <w:p>
      <w:pPr>
        <w:widowControl w:val="0"/>
        <w:numPr>
          <w:ilvl w:val="255"/>
          <w:numId w:val="0"/>
        </w:numPr>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货架系统主要由货架主体和周转箱组成。在确保货架使用性能的前提下，采用成熟的设计理念、合理的规划布局，设计结构使用安全可靠，尽量降低工程造价。</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性能指标要求</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自动化立体仓库货架的设计计算满足GB/T 28576—2012《工业货架设计计算》、JB/T 9018-2011《自动化立体仓库 设计规范等》。</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货架精度不低于机械行业标准JB/T 11270-2011《立体仓库组合式钢结构货架技术条件》中对货架片及各主要构件的加工精度和安装精度的要求。</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穿层区货架可用净高9.9m，非穿层区货架可用净高3.7m。</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可采取双伸位货位设计。</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巷道宽度与堆垛机匹配，误差≤5mm，避免擦碰。</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单货位承重满足</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满载重量。</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存储区库位数量要求：600mm×400mm×200mm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尺寸规格，载重≤30Kg的库位数量≥5000；600mm×400mm×200mm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尺寸规格，载重≤20Kg的库位数量≥4000;800mm×600mm×400mm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尺寸规格,载重≤50Kg的库位数量≥1000。</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收货待验区、质检区周转箱尺寸规格及数量：800mm×600mm×400mm，数量12个；600mm×400mm×200mm，数量12个。</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周转箱左右两侧各贴一个条码（冗余设计，避免单面损坏导致失效），距箱体顶部10-15cm处，避开抓握区域。</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条码采取耐用材料，若使用二维码印刷精度分辨率≥300dpi，模块大小≥0.3mm。</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条码黑白配色，符合条码印刷标准，避免反光材质。</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标签位置需与WMS系统中预设的扫描点坐标匹配。</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配备货架相关标牌。</w:t>
      </w:r>
    </w:p>
    <w:p>
      <w:pPr>
        <w:widowControl w:val="0"/>
        <w:numPr>
          <w:ilvl w:val="4"/>
          <w:numId w:val="5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周转箱高度应依据相关技术要求，选用高度参数最接近标准规定值的标准箱。</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功能指标要求</w:t>
      </w:r>
    </w:p>
    <w:p>
      <w:pPr>
        <w:widowControl w:val="0"/>
        <w:numPr>
          <w:ilvl w:val="4"/>
          <w:numId w:val="5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采用结构式货架（非焊接），底座可调，便于后期调整。</w:t>
      </w:r>
    </w:p>
    <w:p>
      <w:pPr>
        <w:widowControl w:val="0"/>
        <w:numPr>
          <w:ilvl w:val="4"/>
          <w:numId w:val="5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收货待验区、质检区周转箱为黑色防静电折叠式</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；存储区</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为黑色防静电带槽</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，另配长短刀卡隔板，尺寸规格及数量匹配库位。</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安全指标要求</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穿层区地面均布活载荷标准值15KN/㎡，非穿层区地面均布活载荷标准值12KN/㎡。</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货架立柱垂直度偏差≤1/1000，整体倾斜度≤10mm，货架四角安装形变位移传感器。</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货架布局考虑整体系统布局，为消防系统和通风系统预留空间，其中预留应急通道宽度1.2m，符合GB 50016-2014规范。</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货架主要材料选用优质大型钢厂钢材，表面用环氧树脂粉末静电喷塑处理，防锈、防腐蚀，静电喷粉附着力至少达到GB/T 9286-2021标准中2级要求。</w:t>
      </w:r>
      <w:r>
        <w:rPr>
          <w:rFonts w:hint="eastAsia" w:ascii="仿宋_GB2312" w:eastAsia="仿宋_GB2312" w:cs="仿宋_GB2312"/>
          <w:color w:val="auto"/>
          <w:sz w:val="24"/>
          <w:szCs w:val="24"/>
          <w:lang w:eastAsia="zh" w:bidi="ar"/>
        </w:rPr>
        <w:t>当货架结构采用普通型钢材料时，应符合GB/T 50017</w:t>
      </w:r>
      <w:r>
        <w:rPr>
          <w:rFonts w:hint="eastAsia" w:ascii="仿宋_GB2312" w:eastAsia="仿宋_GB2312" w:cs="仿宋_GB2312"/>
          <w:color w:val="auto"/>
          <w:sz w:val="24"/>
          <w:szCs w:val="24"/>
          <w:lang w:bidi="ar"/>
        </w:rPr>
        <w:t>-2017</w:t>
      </w:r>
      <w:r>
        <w:rPr>
          <w:rFonts w:hint="eastAsia" w:ascii="仿宋_GB2312" w:eastAsia="仿宋_GB2312" w:cs="仿宋_GB2312"/>
          <w:color w:val="auto"/>
          <w:sz w:val="24"/>
          <w:szCs w:val="24"/>
          <w:lang w:eastAsia="zh" w:bidi="ar"/>
        </w:rPr>
        <w:t>的规定；当采用薄壁型钢</w:t>
      </w:r>
      <w:r>
        <w:rPr>
          <w:rFonts w:hint="eastAsia" w:ascii="仿宋_GB2312" w:eastAsia="仿宋_GB2312" w:cs="仿宋_GB2312"/>
          <w:color w:val="auto"/>
          <w:sz w:val="24"/>
          <w:szCs w:val="24"/>
          <w:lang w:bidi="ar"/>
        </w:rPr>
        <w:t>材料</w:t>
      </w:r>
      <w:r>
        <w:rPr>
          <w:rFonts w:hint="eastAsia" w:ascii="仿宋_GB2312" w:eastAsia="仿宋_GB2312" w:cs="仿宋_GB2312"/>
          <w:color w:val="auto"/>
          <w:sz w:val="24"/>
          <w:szCs w:val="24"/>
          <w:lang w:eastAsia="zh" w:bidi="ar"/>
        </w:rPr>
        <w:t>时，应符合GB/T 50018</w:t>
      </w:r>
      <w:r>
        <w:rPr>
          <w:rFonts w:hint="eastAsia" w:ascii="仿宋_GB2312" w:eastAsia="仿宋_GB2312" w:cs="仿宋_GB2312"/>
          <w:color w:val="auto"/>
          <w:sz w:val="24"/>
          <w:szCs w:val="24"/>
          <w:lang w:bidi="ar"/>
        </w:rPr>
        <w:t>-2025</w:t>
      </w:r>
      <w:r>
        <w:rPr>
          <w:rFonts w:hint="eastAsia" w:ascii="仿宋_GB2312" w:eastAsia="仿宋_GB2312" w:cs="仿宋_GB2312"/>
          <w:color w:val="auto"/>
          <w:sz w:val="24"/>
          <w:szCs w:val="24"/>
          <w:lang w:eastAsia="zh" w:bidi="ar"/>
        </w:rPr>
        <w:t>的规定。</w:t>
      </w:r>
      <w:r>
        <w:rPr>
          <w:rFonts w:hint="eastAsia" w:ascii="仿宋_GB2312" w:eastAsia="仿宋_GB2312" w:cs="仿宋_GB2312"/>
          <w:color w:val="auto"/>
          <w:sz w:val="24"/>
          <w:szCs w:val="24"/>
          <w:lang w:bidi="ar"/>
        </w:rPr>
        <w:t>投标文件中须明确货架使用材料。</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货架整体设计按7度地震烈度进行抗震设防，利用先进分析法对强度、刚度稳定性校正，满足GB 39830-2021、GB 50011-2010要求。</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满足防静电要求，接地电阻≤4Ω，对地电阻10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Ω，表面电阻10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w:t>
      </w:r>
    </w:p>
    <w:p>
      <w:pPr>
        <w:widowControl w:val="0"/>
        <w:numPr>
          <w:ilvl w:val="4"/>
          <w:numId w:val="6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按照标准要求修建围栏、背网或安全光栅，将存储区与分拣区进行物理隔离。</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温湿度管控氮气存储柜</w:t>
      </w:r>
    </w:p>
    <w:p>
      <w:pPr>
        <w:widowControl w:val="0"/>
        <w:numPr>
          <w:ilvl w:val="3"/>
          <w:numId w:val="54"/>
        </w:numPr>
        <w:adjustRightInd w:val="0"/>
        <w:snapToGrid w:val="0"/>
        <w:spacing w:after="0" w:line="360" w:lineRule="auto"/>
        <w:jc w:val="both"/>
        <w:outlineLvl w:val="3"/>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性能指标要求</w:t>
      </w:r>
    </w:p>
    <w:p>
      <w:pPr>
        <w:widowControl w:val="0"/>
        <w:numPr>
          <w:ilvl w:val="4"/>
          <w:numId w:val="61"/>
        </w:numPr>
        <w:adjustRightInd w:val="0"/>
        <w:snapToGrid w:val="0"/>
        <w:spacing w:after="0" w:line="360" w:lineRule="auto"/>
        <w:jc w:val="both"/>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柜内货架精度不低于机械行业标准JB/T 11270-2011《立体仓库组合式钢结构货架技术条件》中对货架片及各主要构件的加工精度和安装精度的要求。</w:t>
      </w:r>
    </w:p>
    <w:p>
      <w:pPr>
        <w:widowControl w:val="0"/>
        <w:numPr>
          <w:ilvl w:val="4"/>
          <w:numId w:val="61"/>
        </w:numPr>
        <w:adjustRightInd w:val="0"/>
        <w:snapToGrid w:val="0"/>
        <w:spacing w:after="0" w:line="360" w:lineRule="auto"/>
        <w:jc w:val="both"/>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可满足入库日流量≥100箱，出库日流量≥100箱的流量需求。</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温湿度管控氮气存储柜可用高度＜3.7m，地面均载12KN/㎡。</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温湿度管控氮气存储柜的行驶速度、起升速度、货叉伸缩速度等可满足1）中出入库流量需求。</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柜内堆垛机设备载荷量≥50kg，货叉载荷量≥50kg。</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温湿度管控氮气存储柜的定位精度≤5mm。</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匹配600mm×400mm×120mm的</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存储数量</w:t>
      </w:r>
      <w:r>
        <w:rPr>
          <w:rFonts w:hint="eastAsia" w:ascii="仿宋_GB2312" w:eastAsia="仿宋_GB2312" w:cs="仿宋_GB2312"/>
          <w:color w:val="auto"/>
          <w:sz w:val="24"/>
          <w:szCs w:val="24"/>
          <w:lang w:bidi="ar"/>
        </w:rPr>
        <w:t>≥150箱；400mm×300mm×120mm的</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存储数量</w:t>
      </w:r>
      <w:r>
        <w:rPr>
          <w:rFonts w:hint="eastAsia" w:ascii="仿宋_GB2312" w:eastAsia="仿宋_GB2312" w:cs="仿宋_GB2312"/>
          <w:color w:val="auto"/>
          <w:sz w:val="24"/>
          <w:szCs w:val="24"/>
          <w:lang w:bidi="ar"/>
        </w:rPr>
        <w:t>≥60箱。周转箱高度应依据相关技术要求，选用高度参数最接近标准规定值的标准箱。</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温湿度管控氮气存储柜出入库口与辊筒线直接连接，自动对接出入库。</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温湿度管控氮气存储柜</w:t>
      </w:r>
      <w:r>
        <w:rPr>
          <w:rFonts w:ascii="仿宋_GB2312" w:eastAsia="仿宋_GB2312" w:cs="仿宋_GB2312"/>
          <w:color w:val="auto"/>
          <w:sz w:val="24"/>
          <w:szCs w:val="24"/>
          <w:lang w:bidi="ar"/>
        </w:rPr>
        <w:t>内部</w:t>
      </w:r>
      <w:r>
        <w:rPr>
          <w:rFonts w:hint="eastAsia" w:ascii="仿宋_GB2312" w:eastAsia="仿宋_GB2312" w:cs="仿宋_GB2312"/>
          <w:color w:val="auto"/>
          <w:sz w:val="24"/>
          <w:szCs w:val="24"/>
          <w:lang w:bidi="ar"/>
        </w:rPr>
        <w:t>可保持恒温恒湿工作环境，温度16-25℃，湿度≤10%</w:t>
      </w:r>
      <w:r>
        <w:rPr>
          <w:rFonts w:ascii="仿宋_GB2312" w:eastAsia="仿宋_GB2312" w:cs="仿宋_GB2312"/>
          <w:color w:val="auto"/>
          <w:sz w:val="24"/>
          <w:szCs w:val="24"/>
          <w:lang w:bidi="ar"/>
        </w:rPr>
        <w:t>RH</w:t>
      </w:r>
      <w:r>
        <w:rPr>
          <w:rFonts w:hint="eastAsia" w:ascii="仿宋_GB2312" w:eastAsia="仿宋_GB2312" w:cs="仿宋_GB2312"/>
          <w:color w:val="auto"/>
          <w:sz w:val="24"/>
          <w:szCs w:val="24"/>
          <w:lang w:bidi="ar"/>
        </w:rPr>
        <w:t>，温湿度定点可调。设备中的监控仪表或传感器等需可拆卸进行检定。</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当湿度达到相对湿度设定值，控制器停止补充氮气；当超过设定值时，控制器智能打开氮气供应，精确而有效的控制氮气流量。</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★开门30秒后5分钟内恢复设定温度，</w:t>
      </w:r>
      <w:r>
        <w:rPr>
          <w:rFonts w:ascii="仿宋_GB2312" w:eastAsia="仿宋_GB2312" w:cs="仿宋_GB2312"/>
          <w:color w:val="auto"/>
          <w:sz w:val="24"/>
          <w:szCs w:val="24"/>
          <w:lang w:bidi="ar"/>
        </w:rPr>
        <w:t>从15%RH降至10%RH</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15分钟</w:t>
      </w:r>
      <w:r>
        <w:rPr>
          <w:rFonts w:hint="eastAsia" w:ascii="仿宋_GB2312" w:eastAsia="仿宋_GB2312" w:cs="仿宋_GB2312"/>
          <w:color w:val="auto"/>
          <w:sz w:val="24"/>
          <w:szCs w:val="24"/>
          <w:lang w:bidi="ar"/>
        </w:rPr>
        <w:t>。柜体</w:t>
      </w:r>
      <w:r>
        <w:rPr>
          <w:rFonts w:ascii="仿宋_GB2312" w:eastAsia="仿宋_GB2312" w:cs="仿宋_GB2312"/>
          <w:color w:val="auto"/>
          <w:sz w:val="24"/>
          <w:szCs w:val="24"/>
          <w:lang w:bidi="ar"/>
        </w:rPr>
        <w:t>泄漏率</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0.</w:t>
      </w:r>
      <w:r>
        <w:rPr>
          <w:rFonts w:hint="eastAsia" w:ascii="仿宋_GB2312" w:eastAsia="仿宋_GB2312" w:cs="仿宋_GB2312"/>
          <w:color w:val="auto"/>
          <w:sz w:val="24"/>
          <w:szCs w:val="24"/>
          <w:lang w:bidi="ar"/>
        </w:rPr>
        <w:t>5</w:t>
      </w:r>
      <w:r>
        <w:rPr>
          <w:rFonts w:ascii="仿宋_GB2312" w:eastAsia="仿宋_GB2312" w:cs="仿宋_GB2312"/>
          <w:color w:val="auto"/>
          <w:sz w:val="24"/>
          <w:szCs w:val="24"/>
          <w:lang w:bidi="ar"/>
        </w:rPr>
        <w:t>%/h</w:t>
      </w:r>
      <w:r>
        <w:rPr>
          <w:rFonts w:hint="eastAsia" w:ascii="仿宋_GB2312" w:eastAsia="仿宋_GB2312" w:cs="仿宋_GB2312"/>
          <w:color w:val="auto"/>
          <w:sz w:val="24"/>
          <w:szCs w:val="24"/>
          <w:lang w:bidi="ar"/>
        </w:rPr>
        <w:t>(静态）</w:t>
      </w:r>
      <w:r>
        <w:rPr>
          <w:rFonts w:ascii="仿宋_GB2312" w:eastAsia="仿宋_GB2312" w:cs="仿宋_GB2312"/>
          <w:color w:val="auto"/>
          <w:sz w:val="24"/>
          <w:szCs w:val="24"/>
          <w:lang w:bidi="ar"/>
        </w:rPr>
        <w:t>。</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可连续工作24h无故障。</w:t>
      </w:r>
    </w:p>
    <w:p>
      <w:pPr>
        <w:widowControl w:val="0"/>
        <w:numPr>
          <w:ilvl w:val="4"/>
          <w:numId w:val="6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预留30%后续扩容空间，可用挡板进行隔离，需便于拆卸，方便后续</w:t>
      </w:r>
      <w:r>
        <w:rPr>
          <w:rFonts w:ascii="仿宋_GB2312" w:eastAsia="仿宋_GB2312" w:cs="仿宋_GB2312"/>
          <w:color w:val="auto"/>
          <w:sz w:val="24"/>
          <w:szCs w:val="24"/>
          <w:lang w:bidi="ar"/>
        </w:rPr>
        <w:t>布局调整</w:t>
      </w:r>
      <w:r>
        <w:rPr>
          <w:rFonts w:hint="eastAsia" w:ascii="仿宋_GB2312" w:eastAsia="仿宋_GB2312" w:cs="仿宋_GB2312"/>
          <w:color w:val="auto"/>
          <w:sz w:val="24"/>
          <w:szCs w:val="24"/>
          <w:lang w:bidi="ar"/>
        </w:rPr>
        <w:t>时移动。</w:t>
      </w:r>
    </w:p>
    <w:p>
      <w:pPr>
        <w:widowControl w:val="0"/>
        <w:numPr>
          <w:ilvl w:val="3"/>
          <w:numId w:val="54"/>
        </w:numPr>
        <w:adjustRightInd w:val="0"/>
        <w:snapToGrid w:val="0"/>
        <w:spacing w:after="0" w:line="360" w:lineRule="auto"/>
        <w:jc w:val="both"/>
        <w:outlineLvl w:val="3"/>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功能指标要求</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支持恒温、恒湿、氮气浓度独立调节。</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具备检测传感器、声光报警装置，周边安装</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具备根据指令自动存取货物的能力。</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控制系统应具备可靠性和灵活性，能够接收并执行管理系统的执行并反馈作业状态。</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具备故障自我检测能力，出现故障时及时发出报警信号。</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能耗符合节能环保的要求。</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预留好维修、安全、消防等必须空间，布局应紧凑合理，无空间浪费。</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整体噪音小于75dB（A）。</w:t>
      </w:r>
    </w:p>
    <w:p>
      <w:pPr>
        <w:widowControl w:val="0"/>
        <w:numPr>
          <w:ilvl w:val="4"/>
          <w:numId w:val="6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对氮气提供装置进行描述。</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安全指标要求</w:t>
      </w:r>
    </w:p>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需满足5.2.1.3及5.2.2.3的安全指标要求，除此之外还需满足以下要求。</w:t>
      </w:r>
    </w:p>
    <w:p>
      <w:pPr>
        <w:widowControl w:val="0"/>
        <w:numPr>
          <w:ilvl w:val="4"/>
          <w:numId w:val="63"/>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机械防护：</w:t>
      </w:r>
      <w:r>
        <w:rPr>
          <w:rFonts w:ascii="仿宋_GB2312" w:eastAsia="仿宋_GB2312" w:cs="仿宋_GB2312"/>
          <w:color w:val="auto"/>
          <w:sz w:val="24"/>
          <w:szCs w:val="24"/>
          <w:lang w:bidi="ar"/>
        </w:rPr>
        <w:t>在运动机构（如门体、传动部位）设置物理隔离装置（如防护罩、防夹手结构），消除夹压、卷入风险</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危险区域（如柜门闭合区、货叉伸缩区）部署安全光幕（</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IP5</w:t>
      </w:r>
      <w:r>
        <w:rPr>
          <w:rFonts w:hint="eastAsia" w:ascii="仿宋_GB2312" w:eastAsia="仿宋_GB2312" w:cs="仿宋_GB2312"/>
          <w:color w:val="auto"/>
          <w:sz w:val="24"/>
          <w:szCs w:val="24"/>
          <w:lang w:bidi="ar"/>
        </w:rPr>
        <w:t>5</w:t>
      </w:r>
      <w:r>
        <w:rPr>
          <w:rFonts w:ascii="仿宋_GB2312" w:eastAsia="仿宋_GB2312" w:cs="仿宋_GB2312"/>
          <w:color w:val="auto"/>
          <w:sz w:val="24"/>
          <w:szCs w:val="24"/>
          <w:lang w:bidi="ar"/>
        </w:rPr>
        <w:t>防护等级），实时监测人员接近状态。</w:t>
      </w:r>
    </w:p>
    <w:p>
      <w:pPr>
        <w:widowControl w:val="0"/>
        <w:numPr>
          <w:ilvl w:val="4"/>
          <w:numId w:val="63"/>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运行联锁控制</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通过区域占用传感器（如红外/超声波）检测柜内人员活动</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当传感器识别到人员滞留时，系统立即切断动力电源并锁定设备启动功能；人员离场后需手动复位安全继电器方可恢复运行。</w:t>
      </w:r>
    </w:p>
    <w:p>
      <w:pPr>
        <w:widowControl w:val="0"/>
        <w:numPr>
          <w:ilvl w:val="4"/>
          <w:numId w:val="63"/>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电气安全合规</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电气系统设计符合GB 5226.1</w:t>
      </w:r>
      <w:r>
        <w:rPr>
          <w:rFonts w:hint="eastAsia" w:ascii="仿宋_GB2312" w:eastAsia="仿宋_GB2312" w:cs="仿宋_GB2312"/>
          <w:color w:val="auto"/>
          <w:sz w:val="24"/>
          <w:szCs w:val="24"/>
          <w:lang w:bidi="ar"/>
        </w:rPr>
        <w:t>-2019</w:t>
      </w:r>
      <w:r>
        <w:rPr>
          <w:rFonts w:ascii="仿宋_GB2312" w:eastAsia="仿宋_GB2312" w:cs="仿宋_GB2312"/>
          <w:color w:val="auto"/>
          <w:sz w:val="24"/>
          <w:szCs w:val="24"/>
          <w:lang w:bidi="ar"/>
        </w:rPr>
        <w:t>《机械电气安全》 标准，关键控制回路采用安全继电器或安全栅（隔离栅），实现故障导向安全；紧急停止按钮需满足双通道冗余电路要求。</w:t>
      </w:r>
    </w:p>
    <w:p>
      <w:pPr>
        <w:widowControl w:val="0"/>
        <w:numPr>
          <w:ilvl w:val="4"/>
          <w:numId w:val="63"/>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ascii="仿宋_GB2312" w:eastAsia="仿宋_GB2312" w:cs="仿宋_GB2312"/>
          <w:color w:val="auto"/>
          <w:sz w:val="24"/>
          <w:szCs w:val="24"/>
          <w:lang w:bidi="ar"/>
        </w:rPr>
        <w:t>窒息风险防控</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封闭式氮气柜</w:t>
      </w:r>
      <w:r>
        <w:rPr>
          <w:rFonts w:hint="eastAsia" w:ascii="仿宋_GB2312" w:eastAsia="仿宋_GB2312" w:cs="仿宋_GB2312"/>
          <w:color w:val="auto"/>
          <w:sz w:val="24"/>
          <w:szCs w:val="24"/>
          <w:lang w:bidi="ar"/>
        </w:rPr>
        <w:t>内部、周边及人员操作区</w:t>
      </w:r>
      <w:r>
        <w:rPr>
          <w:rFonts w:ascii="仿宋_GB2312" w:eastAsia="仿宋_GB2312" w:cs="仿宋_GB2312"/>
          <w:color w:val="auto"/>
          <w:sz w:val="24"/>
          <w:szCs w:val="24"/>
          <w:lang w:bidi="ar"/>
        </w:rPr>
        <w:t>需配置氧气浓度监测仪（量程0</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25% Vol），当氧含量＜19.5%时触发声光报警并联动通风系统</w:t>
      </w:r>
      <w:r>
        <w:rPr>
          <w:rFonts w:hint="eastAsia" w:ascii="仿宋_GB2312" w:eastAsia="仿宋_GB2312" w:cs="仿宋_GB2312"/>
          <w:color w:val="auto"/>
          <w:sz w:val="24"/>
          <w:szCs w:val="24"/>
          <w:lang w:bidi="ar"/>
        </w:rPr>
        <w:t>。</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自动辊筒线</w:t>
      </w:r>
    </w:p>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自动辊筒线主要由输送线、移载机、换层升降机、顶升机构、传递窗、重量检测系统等组成。</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性能指标要求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收货待验区、质检区采取单层动力辊筒线，通过合理设置动力系统和控制系统，自动调整辊筒线的输送方向。存储区采取双层动力辊筒线，上下层通过</w:t>
      </w:r>
      <w:r>
        <w:rPr>
          <w:rFonts w:ascii="仿宋_GB2312" w:eastAsia="仿宋_GB2312" w:cs="仿宋_GB2312"/>
          <w:color w:val="auto"/>
          <w:sz w:val="24"/>
          <w:szCs w:val="24"/>
          <w:lang w:bidi="ar"/>
        </w:rPr>
        <w:t>提升机</w:t>
      </w:r>
      <w:r>
        <w:rPr>
          <w:rFonts w:hint="eastAsia" w:ascii="仿宋_GB2312" w:eastAsia="仿宋_GB2312" w:cs="仿宋_GB2312"/>
          <w:color w:val="auto"/>
          <w:sz w:val="24"/>
          <w:szCs w:val="24"/>
          <w:lang w:bidi="ar"/>
        </w:rPr>
        <w:t>进行物料传递，上下层传输方向可调节变换。辊筒主材质不锈钢，降噪处理，辊筒线高度满足堆垛机对接与人员作业方便要求。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跨区域物料流转通过传递窗完成</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的输送，高度、尺寸须与辊筒线匹配。</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收货待验区、质检区、存储区辊筒线需满足800mm×600mm×400mm周转箱及600mm×400mm×200mm</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的输送。辊筒线单位面积承重满足周转箱、</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重量输送要求。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辊筒线吞吐量满足入库日流量≥400箱，出库日流量≥300箱的流量需求，输送速度可调节。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质检区采取移载机的方式将周转箱运输至指定工位，并留有缓冲区，工位数为五个。</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通过电子标签系统确保条码识别率≥99.9%，视觉系统误差＜0.1%。</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提升机</w:t>
      </w:r>
      <w:r>
        <w:rPr>
          <w:rFonts w:hint="eastAsia" w:ascii="仿宋_GB2312" w:eastAsia="仿宋_GB2312" w:cs="仿宋_GB2312"/>
          <w:color w:val="auto"/>
          <w:sz w:val="24"/>
          <w:szCs w:val="24"/>
          <w:lang w:bidi="ar"/>
        </w:rPr>
        <w:t>下降上升往复一次时长≤15s，可调节。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提升机</w:t>
      </w:r>
      <w:r>
        <w:rPr>
          <w:rFonts w:hint="eastAsia" w:ascii="仿宋_GB2312" w:eastAsia="仿宋_GB2312" w:cs="仿宋_GB2312"/>
          <w:color w:val="auto"/>
          <w:sz w:val="24"/>
          <w:szCs w:val="24"/>
          <w:lang w:bidi="ar"/>
        </w:rPr>
        <w:t>须与对接输送面高度匹配。</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辊筒线各类设备间衔接顺畅，能实现高效输送。</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辊筒线各类零件型号规格应为标准型号规格。</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辊筒线到指定工位自动停止并亮灯提醒，由人工从线体取下，超时未取报警。</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辊筒线整体转运节拍应远大于各区域间的流量需求。</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辊筒线具备自动转运至指定工位、区域能力，同时可调节生产能力不匹配缓存功能。</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辊筒线配备重量检测功能，量程满足业务需要。</w:t>
      </w:r>
    </w:p>
    <w:p>
      <w:pPr>
        <w:widowControl w:val="0"/>
        <w:numPr>
          <w:ilvl w:val="4"/>
          <w:numId w:val="6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可连续工作24h无故障。</w:t>
      </w:r>
    </w:p>
    <w:p>
      <w:pPr>
        <w:widowControl w:val="0"/>
        <w:numPr>
          <w:ilvl w:val="3"/>
          <w:numId w:val="54"/>
        </w:numPr>
        <w:adjustRightInd w:val="0"/>
        <w:snapToGrid w:val="0"/>
        <w:spacing w:after="0" w:line="360" w:lineRule="auto"/>
        <w:jc w:val="both"/>
        <w:outlineLvl w:val="3"/>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功能指标要求</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每段辊筒线独立配置电控系统，可手动控制辊筒线启停传输状态。</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各辊筒、工位可单独停工。</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辊筒线对应作业工位处应配置扫码头，自动扫描</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条码，识别物料信息与工位物料分配的匹配度。扫码之前完成料箱的自动纠偏，确保扫码准确率。</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提升机</w:t>
      </w:r>
      <w:r>
        <w:rPr>
          <w:rFonts w:hint="eastAsia" w:ascii="仿宋_GB2312" w:eastAsia="仿宋_GB2312" w:cs="仿宋_GB2312"/>
          <w:color w:val="auto"/>
          <w:sz w:val="24"/>
          <w:szCs w:val="24"/>
          <w:lang w:bidi="ar"/>
        </w:rPr>
        <w:t>的规格型号、承重、提升高度满足</w:t>
      </w:r>
      <w:r>
        <w:rPr>
          <w:rFonts w:ascii="仿宋_GB2312" w:eastAsia="仿宋_GB2312" w:cs="仿宋_GB2312"/>
          <w:color w:val="auto"/>
          <w:sz w:val="24"/>
          <w:szCs w:val="24"/>
          <w:lang w:bidi="ar"/>
        </w:rPr>
        <w:t>周转箱</w:t>
      </w:r>
      <w:r>
        <w:rPr>
          <w:rFonts w:hint="eastAsia" w:ascii="仿宋_GB2312" w:eastAsia="仿宋_GB2312" w:cs="仿宋_GB2312"/>
          <w:color w:val="auto"/>
          <w:sz w:val="24"/>
          <w:szCs w:val="24"/>
          <w:lang w:bidi="ar"/>
        </w:rPr>
        <w:t>输送要求，并与自动辊筒线其他设备正常对接。</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能转运现有规格的周转器具。</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能耗符合节能环保的要求。无任务执行时设备开启节能模式，禁止空载高速运行。</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整体噪音小于75dB（A）。</w:t>
      </w:r>
    </w:p>
    <w:p>
      <w:pPr>
        <w:widowControl w:val="0"/>
        <w:numPr>
          <w:ilvl w:val="4"/>
          <w:numId w:val="6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具备异常处理能力，如堵塞检测、自动纠偏、紧急停机、故障自诊断、指示灯报警功能。</w:t>
      </w:r>
    </w:p>
    <w:p>
      <w:pPr>
        <w:widowControl w:val="0"/>
        <w:numPr>
          <w:ilvl w:val="3"/>
          <w:numId w:val="54"/>
        </w:numPr>
        <w:adjustRightInd w:val="0"/>
        <w:snapToGrid w:val="0"/>
        <w:spacing w:after="0" w:line="360" w:lineRule="auto"/>
        <w:jc w:val="both"/>
        <w:outlineLvl w:val="3"/>
        <w:rPr>
          <w:rFonts w:hint="eastAsia" w:ascii="宋体" w:hAnsi="宋体" w:eastAsia="宋体" w:cs="Times New Roman"/>
          <w:color w:val="auto"/>
          <w:kern w:val="0"/>
          <w:sz w:val="24"/>
          <w:szCs w:val="24"/>
        </w:rPr>
      </w:pPr>
      <w:r>
        <w:rPr>
          <w:rFonts w:hint="eastAsia" w:ascii="仿宋_GB2312" w:eastAsia="仿宋_GB2312" w:cs="仿宋_GB2312"/>
          <w:color w:val="auto"/>
          <w:sz w:val="24"/>
          <w:szCs w:val="24"/>
          <w:lang w:bidi="ar"/>
        </w:rPr>
        <w:t>安全指标要求</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配备必要的安全防护装置，如急停按钮、防夹设计、安全护栏、运动件防护罩等。</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运转过程中应保持稳定，避免因振动或偏移导致物料掉落或损坏。</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输送机两侧设置挡板或者护栏等保护导向装置，防止箱子掉落。装置安装应牢固美观，水平段目测无高低、左右弯曲，导向位置斜口角度平缓，两侧对称。安装高度需避开输送单元条码，防止护栏划伤条码。</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在有碍于人身安全的地方配置设备标识牌、安全标识等。</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满足防静电要求，接地电阻≤4Ω，对地电阻10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Ω，表面电阻10</w:t>
      </w:r>
      <w:r>
        <w:rPr>
          <w:rFonts w:hint="eastAsia" w:ascii="仿宋_GB2312" w:eastAsia="仿宋_GB2312" w:cs="仿宋_GB2312"/>
          <w:color w:val="auto"/>
          <w:sz w:val="24"/>
          <w:szCs w:val="24"/>
          <w:vertAlign w:val="superscript"/>
          <w:lang w:bidi="ar"/>
        </w:rPr>
        <w:t>5</w:t>
      </w:r>
      <w:r>
        <w:rPr>
          <w:rFonts w:hint="eastAsia" w:ascii="仿宋_GB2312" w:eastAsia="仿宋_GB2312" w:cs="仿宋_GB2312"/>
          <w:color w:val="auto"/>
          <w:sz w:val="24"/>
          <w:szCs w:val="24"/>
          <w:lang w:bidi="ar"/>
        </w:rPr>
        <w:t>-10</w:t>
      </w:r>
      <w:r>
        <w:rPr>
          <w:rFonts w:hint="eastAsia" w:ascii="仿宋_GB2312" w:eastAsia="仿宋_GB2312" w:cs="仿宋_GB2312"/>
          <w:color w:val="auto"/>
          <w:sz w:val="24"/>
          <w:szCs w:val="24"/>
          <w:vertAlign w:val="superscript"/>
          <w:lang w:bidi="ar"/>
        </w:rPr>
        <w:t>9</w:t>
      </w:r>
      <w:r>
        <w:rPr>
          <w:rFonts w:hint="eastAsia" w:ascii="仿宋_GB2312" w:eastAsia="仿宋_GB2312" w:cs="仿宋_GB2312"/>
          <w:color w:val="auto"/>
          <w:sz w:val="24"/>
          <w:szCs w:val="24"/>
          <w:lang w:bidi="ar"/>
        </w:rPr>
        <w:t>Ω。</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电气系统应符合相关安全标准，具有过载保护、短路保护等功能，确保设备在电气方面的安全性。</w:t>
      </w:r>
    </w:p>
    <w:p>
      <w:pPr>
        <w:widowControl w:val="0"/>
        <w:numPr>
          <w:ilvl w:val="4"/>
          <w:numId w:val="6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辊筒线设计原理与选型标准等需符合国标、行标现行有效执行标准，同时符合国家与当地的安全消防等要求。</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电子标签系统</w:t>
      </w:r>
    </w:p>
    <w:p>
      <w:pPr>
        <w:widowControl w:val="0"/>
        <w:adjustRightInd w:val="0"/>
        <w:snapToGrid w:val="0"/>
        <w:spacing w:after="0" w:line="360" w:lineRule="auto"/>
        <w:contextualSpacing/>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仓库地堆区采用平库货架放置无法存储于料箱中的产品，该区域采用电子标签系统进行物料的管理，库位数量约100个。</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系统功能</w:t>
      </w:r>
    </w:p>
    <w:p>
      <w:pPr>
        <w:widowControl w:val="0"/>
        <w:numPr>
          <w:ilvl w:val="4"/>
          <w:numId w:val="6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实时信息显示</w:t>
      </w:r>
      <w:r>
        <w:rPr>
          <w:rFonts w:ascii="仿宋_GB2312" w:eastAsia="仿宋_GB2312" w:cs="仿宋_GB2312"/>
          <w:color w:val="auto"/>
          <w:sz w:val="24"/>
          <w:szCs w:val="24"/>
          <w:lang w:bidi="ar"/>
        </w:rPr>
        <w:t>：电子标签应能实时显示货架货位的物料信息（如物料编号、批次、数量、状态等）。</w:t>
      </w:r>
    </w:p>
    <w:p>
      <w:pPr>
        <w:widowControl w:val="0"/>
        <w:numPr>
          <w:ilvl w:val="4"/>
          <w:numId w:val="6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任务引导：支持与</w:t>
      </w:r>
      <w:r>
        <w:rPr>
          <w:rFonts w:hint="eastAsia" w:ascii="仿宋_GB2312" w:eastAsia="仿宋_GB2312" w:cs="仿宋_GB2312"/>
          <w:color w:val="auto"/>
          <w:sz w:val="24"/>
          <w:szCs w:val="24"/>
          <w:lang w:bidi="ar"/>
        </w:rPr>
        <w:t>上位</w:t>
      </w:r>
      <w:r>
        <w:rPr>
          <w:rFonts w:ascii="仿宋_GB2312" w:eastAsia="仿宋_GB2312" w:cs="仿宋_GB2312"/>
          <w:color w:val="auto"/>
          <w:sz w:val="24"/>
          <w:szCs w:val="24"/>
          <w:lang w:bidi="ar"/>
        </w:rPr>
        <w:t>系统联动，根据任务指令自动点亮对应货位电子标签，实现快速拣选、补货、盘点等操作。</w:t>
      </w:r>
    </w:p>
    <w:p>
      <w:pPr>
        <w:widowControl w:val="0"/>
        <w:numPr>
          <w:ilvl w:val="4"/>
          <w:numId w:val="6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状态反馈：电子标签应具备状态反馈功能，操作人员完成任务后可通过按钮确认，系统自动记录操作日志。</w:t>
      </w:r>
    </w:p>
    <w:p>
      <w:pPr>
        <w:widowControl w:val="0"/>
        <w:numPr>
          <w:ilvl w:val="4"/>
          <w:numId w:val="6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异常报警：当系统通信中断</w:t>
      </w:r>
      <w:r>
        <w:rPr>
          <w:rFonts w:hint="eastAsia" w:ascii="仿宋_GB2312" w:eastAsia="仿宋_GB2312" w:cs="仿宋_GB2312"/>
          <w:color w:val="auto"/>
          <w:sz w:val="24"/>
          <w:szCs w:val="24"/>
          <w:lang w:bidi="ar"/>
        </w:rPr>
        <w:t>或</w:t>
      </w:r>
      <w:r>
        <w:rPr>
          <w:rFonts w:ascii="仿宋_GB2312" w:eastAsia="仿宋_GB2312" w:cs="仿宋_GB2312"/>
          <w:color w:val="auto"/>
          <w:sz w:val="24"/>
          <w:szCs w:val="24"/>
          <w:lang w:bidi="ar"/>
        </w:rPr>
        <w:t>操作错误时，电子标签应通过灯光或声音提示进行报警。</w:t>
      </w:r>
    </w:p>
    <w:p>
      <w:pPr>
        <w:widowControl w:val="0"/>
        <w:numPr>
          <w:ilvl w:val="4"/>
          <w:numId w:val="6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支持多任务并行：系统应支持多任务并发处理，确保高频率作业下的系统响应能力</w:t>
      </w:r>
      <w:r>
        <w:rPr>
          <w:rFonts w:hint="eastAsia" w:ascii="仿宋_GB2312" w:eastAsia="仿宋_GB2312" w:cs="仿宋_GB2312"/>
          <w:color w:val="auto"/>
          <w:sz w:val="24"/>
          <w:szCs w:val="24"/>
          <w:lang w:bidi="ar"/>
        </w:rPr>
        <w:t>。</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ascii="仿宋_GB2312" w:eastAsia="仿宋_GB2312" w:cs="仿宋_GB2312"/>
          <w:color w:val="auto"/>
          <w:sz w:val="24"/>
          <w:szCs w:val="24"/>
          <w:lang w:bidi="ar"/>
        </w:rPr>
        <w:t>通信方式</w:t>
      </w:r>
    </w:p>
    <w:p>
      <w:pPr>
        <w:widowControl w:val="0"/>
        <w:numPr>
          <w:ilvl w:val="4"/>
          <w:numId w:val="68"/>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采用有线通信方式：电子标签之间、电子标签与主控模块之间应采用工业以太网或RS485总线通信，确保通信稳定、抗干扰能力强。</w:t>
      </w:r>
    </w:p>
    <w:p>
      <w:pPr>
        <w:widowControl w:val="0"/>
        <w:numPr>
          <w:ilvl w:val="4"/>
          <w:numId w:val="68"/>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通信协议：支持标准工业通信协议，便于与WCS、</w:t>
      </w:r>
      <w:r>
        <w:rPr>
          <w:rFonts w:hint="eastAsia" w:ascii="仿宋_GB2312" w:eastAsia="仿宋_GB2312" w:cs="仿宋_GB2312"/>
          <w:color w:val="auto"/>
          <w:sz w:val="24"/>
          <w:szCs w:val="24"/>
          <w:lang w:bidi="ar"/>
        </w:rPr>
        <w:t>WMS</w:t>
      </w:r>
      <w:r>
        <w:rPr>
          <w:rFonts w:ascii="仿宋_GB2312" w:eastAsia="仿宋_GB2312" w:cs="仿宋_GB2312"/>
          <w:color w:val="auto"/>
          <w:sz w:val="24"/>
          <w:szCs w:val="24"/>
          <w:lang w:bidi="ar"/>
        </w:rPr>
        <w:t>等</w:t>
      </w:r>
      <w:r>
        <w:rPr>
          <w:rFonts w:hint="eastAsia" w:ascii="仿宋_GB2312" w:eastAsia="仿宋_GB2312" w:cs="仿宋_GB2312"/>
          <w:color w:val="auto"/>
          <w:sz w:val="24"/>
          <w:szCs w:val="24"/>
          <w:lang w:bidi="ar"/>
        </w:rPr>
        <w:t>上位</w:t>
      </w:r>
      <w:r>
        <w:rPr>
          <w:rFonts w:ascii="仿宋_GB2312" w:eastAsia="仿宋_GB2312" w:cs="仿宋_GB2312"/>
          <w:color w:val="auto"/>
          <w:sz w:val="24"/>
          <w:szCs w:val="24"/>
          <w:lang w:bidi="ar"/>
        </w:rPr>
        <w:t>系统集成。</w:t>
      </w:r>
    </w:p>
    <w:p>
      <w:pPr>
        <w:widowControl w:val="0"/>
        <w:numPr>
          <w:ilvl w:val="4"/>
          <w:numId w:val="68"/>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布线要求：所有通信线缆应使用屏蔽电缆，敷设在桥架或穿管中，防止电磁干扰。</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硬件性能</w:t>
      </w:r>
    </w:p>
    <w:p>
      <w:pPr>
        <w:widowControl w:val="0"/>
        <w:numPr>
          <w:ilvl w:val="4"/>
          <w:numId w:val="69"/>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电子标签硬件要求</w:t>
      </w:r>
    </w:p>
    <w:p>
      <w:pPr>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显示方式</w:t>
      </w:r>
      <w:r>
        <w:rPr>
          <w:rFonts w:ascii="仿宋_GB2312" w:eastAsia="仿宋_GB2312" w:cs="仿宋_GB2312"/>
          <w:color w:val="auto"/>
          <w:sz w:val="24"/>
          <w:szCs w:val="24"/>
          <w:lang w:bidi="ar"/>
        </w:rPr>
        <w:t>：采用LED屏幕，支持多行文字显示，字体清晰可读。</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显示内容：可显示中文、英文、数字及特殊符号，支持自定义显示格式。</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指示灯功能：</w:t>
      </w:r>
      <w:r>
        <w:rPr>
          <w:rFonts w:hint="eastAsia" w:ascii="仿宋_GB2312" w:eastAsia="仿宋_GB2312" w:cs="仿宋_GB2312"/>
          <w:color w:val="auto"/>
          <w:sz w:val="24"/>
          <w:szCs w:val="24"/>
          <w:lang w:bidi="ar"/>
        </w:rPr>
        <w:t>至少</w:t>
      </w:r>
      <w:r>
        <w:rPr>
          <w:rFonts w:ascii="仿宋_GB2312" w:eastAsia="仿宋_GB2312" w:cs="仿宋_GB2312"/>
          <w:color w:val="auto"/>
          <w:sz w:val="24"/>
          <w:szCs w:val="24"/>
          <w:lang w:bidi="ar"/>
        </w:rPr>
        <w:t>具备红、绿、黄三色LED指示灯，用于任务状态提示（如待执行、进行中、已完成、异常等）。</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操作按钮：每个电子标签应配备物理确认按钮，用于操作人员反馈任务完成状态。</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防护等级：IP5</w:t>
      </w:r>
      <w:r>
        <w:rPr>
          <w:rFonts w:hint="eastAsia" w:ascii="仿宋_GB2312" w:eastAsia="仿宋_GB2312" w:cs="仿宋_GB2312"/>
          <w:color w:val="auto"/>
          <w:sz w:val="24"/>
          <w:szCs w:val="24"/>
          <w:lang w:bidi="ar"/>
        </w:rPr>
        <w:t>5</w:t>
      </w:r>
      <w:r>
        <w:rPr>
          <w:rFonts w:ascii="仿宋_GB2312" w:eastAsia="仿宋_GB2312" w:cs="仿宋_GB2312"/>
          <w:color w:val="auto"/>
          <w:sz w:val="24"/>
          <w:szCs w:val="24"/>
          <w:lang w:bidi="ar"/>
        </w:rPr>
        <w:t>及以上，适应仓库环境（防尘、防潮）。</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安装方式：支持壁挂式或货位卡槽式安装，便于更换与维护。</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供电方式：采用集中供电方式，确保系统稳定运行。</w:t>
      </w:r>
    </w:p>
    <w:p>
      <w:pPr>
        <w:widowControl w:val="0"/>
        <w:numPr>
          <w:ilvl w:val="4"/>
          <w:numId w:val="69"/>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主控模块技术要求</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处理能力：主控模块应具备足够的处理能力，支持多路电子标签同时通信与控制。</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接口配置：提供多个RS485或以太网接口，支持与WCS</w:t>
      </w:r>
      <w:r>
        <w:rPr>
          <w:rFonts w:hint="eastAsia" w:ascii="仿宋_GB2312" w:eastAsia="仿宋_GB2312" w:cs="仿宋_GB2312"/>
          <w:color w:val="auto"/>
          <w:sz w:val="24"/>
          <w:szCs w:val="24"/>
          <w:lang w:bidi="ar"/>
        </w:rPr>
        <w:t>系统、WMS系统等上位</w:t>
      </w:r>
      <w:r>
        <w:rPr>
          <w:rFonts w:ascii="仿宋_GB2312" w:eastAsia="仿宋_GB2312" w:cs="仿宋_GB2312"/>
          <w:color w:val="auto"/>
          <w:sz w:val="24"/>
          <w:szCs w:val="24"/>
          <w:lang w:bidi="ar"/>
        </w:rPr>
        <w:t>系统连接。</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系统集成</w:t>
      </w:r>
    </w:p>
    <w:p>
      <w:pPr>
        <w:widowControl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与WCS</w:t>
      </w:r>
      <w:r>
        <w:rPr>
          <w:rFonts w:hint="eastAsia" w:ascii="仿宋_GB2312" w:eastAsia="仿宋_GB2312" w:cs="仿宋_GB2312"/>
          <w:color w:val="auto"/>
          <w:sz w:val="24"/>
          <w:szCs w:val="24"/>
          <w:lang w:bidi="ar"/>
        </w:rPr>
        <w:t>系统、WMS系统等上位</w:t>
      </w:r>
      <w:r>
        <w:rPr>
          <w:rFonts w:ascii="仿宋_GB2312" w:eastAsia="仿宋_GB2312" w:cs="仿宋_GB2312"/>
          <w:color w:val="auto"/>
          <w:sz w:val="24"/>
          <w:szCs w:val="24"/>
          <w:lang w:bidi="ar"/>
        </w:rPr>
        <w:t>系统集成进行数据交互，接收任务指令并反馈执行状态。</w:t>
      </w:r>
      <w:r>
        <w:rPr>
          <w:rFonts w:hint="eastAsia" w:ascii="仿宋_GB2312" w:eastAsia="仿宋_GB2312" w:cs="仿宋_GB2312"/>
          <w:color w:val="auto"/>
          <w:sz w:val="24"/>
          <w:szCs w:val="24"/>
          <w:lang w:bidi="ar"/>
        </w:rPr>
        <w:t>实现</w:t>
      </w:r>
      <w:r>
        <w:rPr>
          <w:rFonts w:ascii="仿宋_GB2312" w:eastAsia="仿宋_GB2312" w:cs="仿宋_GB2312"/>
          <w:color w:val="auto"/>
          <w:sz w:val="24"/>
          <w:szCs w:val="24"/>
          <w:lang w:bidi="ar"/>
        </w:rPr>
        <w:t>WMS系统的数据同步，包括库存信息、任务分配、状态更新等</w:t>
      </w:r>
      <w:r>
        <w:rPr>
          <w:rFonts w:hint="eastAsia" w:ascii="仿宋_GB2312" w:eastAsia="仿宋_GB2312" w:cs="仿宋_GB2312"/>
          <w:color w:val="auto"/>
          <w:sz w:val="24"/>
          <w:szCs w:val="24"/>
          <w:lang w:bidi="ar"/>
        </w:rPr>
        <w:t>。通过WMS系统</w:t>
      </w:r>
      <w:r>
        <w:rPr>
          <w:rFonts w:ascii="仿宋_GB2312" w:eastAsia="仿宋_GB2312" w:cs="仿宋_GB2312"/>
          <w:color w:val="auto"/>
          <w:sz w:val="24"/>
          <w:szCs w:val="24"/>
          <w:lang w:bidi="ar"/>
        </w:rPr>
        <w:t>下发任务至电子标签系统，实现可视化拣选与补货。提供标准API接口或OPC UA协议，便于系统集成与调试。</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安全兼容</w:t>
      </w:r>
    </w:p>
    <w:p>
      <w:pPr>
        <w:widowControl w:val="0"/>
        <w:numPr>
          <w:ilvl w:val="4"/>
          <w:numId w:val="70"/>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通信安全</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通信协议应具备数据校验与重传机制，确保数据传输的完整性与可靠性。</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所有通信线缆应具有防静电措施，保障系统在复杂环境下的稳定运行。</w:t>
      </w:r>
    </w:p>
    <w:p>
      <w:pPr>
        <w:widowControl w:val="0"/>
        <w:numPr>
          <w:ilvl w:val="4"/>
          <w:numId w:val="70"/>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系统冗余与故障恢复</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电子标签系统应具备断电记忆功能，恢复供电后能自动恢复到断电前状态。</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主控系统应具备故障自诊断功能，可记录并上传系统运行日志与错误信息。</w:t>
      </w:r>
    </w:p>
    <w:p>
      <w:pPr>
        <w:widowControl w:val="0"/>
        <w:numPr>
          <w:ilvl w:val="4"/>
          <w:numId w:val="70"/>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防静电与接地保护</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所有设备应满足防静电要求，接地电阻</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4Ω，对地电阻10⁵～10⁹Ω，表面电阻10⁵～10⁹Ω。</w:t>
      </w:r>
    </w:p>
    <w:p>
      <w:pPr>
        <w:widowControl w:val="0"/>
        <w:adjustRightInd w:val="0"/>
        <w:snapToGrid w:val="0"/>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电子标签及主控模块应具备良好的电磁兼容性（EMC），符合国家相关标准。</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w:t>
      </w:r>
    </w:p>
    <w:p>
      <w:pPr>
        <w:widowControl w:val="0"/>
        <w:numPr>
          <w:ilvl w:val="4"/>
          <w:numId w:val="7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安装要求</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电子标签应安装在货架正面可视位置，高度适中，便于操作人员查看与操作。</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线缆应整齐布设，避免交叉干扰，线缆标识清晰可辨。</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所有接线应牢固可靠，防止松动导致通信中断。</w:t>
      </w:r>
    </w:p>
    <w:p>
      <w:pPr>
        <w:widowControl w:val="0"/>
        <w:numPr>
          <w:ilvl w:val="4"/>
          <w:numId w:val="7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环保节能</w:t>
      </w:r>
    </w:p>
    <w:p>
      <w:pPr>
        <w:spacing w:after="0" w:line="360" w:lineRule="auto"/>
        <w:rPr>
          <w:rFonts w:ascii="仿宋_GB2312" w:eastAsia="仿宋_GB2312" w:cs="仿宋_GB2312"/>
          <w:color w:val="auto"/>
          <w:sz w:val="24"/>
          <w:szCs w:val="24"/>
          <w:lang w:bidi="ar"/>
        </w:rPr>
      </w:pPr>
      <w:r>
        <w:rPr>
          <w:rFonts w:ascii="仿宋_GB2312" w:eastAsia="仿宋_GB2312" w:cs="仿宋_GB2312"/>
          <w:color w:val="auto"/>
          <w:sz w:val="24"/>
          <w:szCs w:val="24"/>
          <w:lang w:bidi="ar"/>
        </w:rPr>
        <w:t>电子标签应采用低功耗设计，支持节能模式，在无任务时自动进入低功耗状态。</w:t>
      </w:r>
    </w:p>
    <w:p>
      <w:pPr>
        <w:widowControl w:val="0"/>
        <w:numPr>
          <w:ilvl w:val="4"/>
          <w:numId w:val="7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网络拓扑</w:t>
      </w:r>
    </w:p>
    <w:p>
      <w:pPr>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采用便于后期扩展的网络拓扑结构，避免环网冲突。</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仓库设备管理系统（WCS）(WCS)</w:t>
      </w:r>
    </w:p>
    <w:p>
      <w:pPr>
        <w:widowControl w:val="0"/>
        <w:adjustRightInd w:val="0"/>
        <w:snapToGrid w:val="0"/>
        <w:spacing w:after="0" w:line="360" w:lineRule="auto"/>
        <w:contextualSpacing/>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WCS系统是设备的中央调度和监控系统，是介于WMS系统和电气控制系统之间的管理控制系统。一方面，它与WMS系统进行信息交互，接受WMS系统的指令，并将其发送给电气控制系统，从而驱动仓储设备产生相应机械动作。另一方面，它将电气控制系统的状态及数据实时反映在界面上，并提供对电气控制系统和仓储设备的手动控制接口。其具备设备监控、作业调度、任务分配与执行、异常处理、日志记录等功能。</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设备监控</w:t>
      </w:r>
      <w:r>
        <w:rPr>
          <w:rFonts w:ascii="仿宋_GB2312" w:eastAsia="仿宋_GB2312" w:cs="仿宋_GB2312"/>
          <w:color w:val="auto"/>
          <w:sz w:val="24"/>
          <w:szCs w:val="24"/>
          <w:lang w:bidi="ar"/>
        </w:rPr>
        <w:t>：实时监测各类物流设备（如堆垛机、</w:t>
      </w:r>
      <w:r>
        <w:rPr>
          <w:rFonts w:hint="eastAsia" w:ascii="仿宋_GB2312" w:eastAsia="仿宋_GB2312" w:cs="仿宋_GB2312"/>
          <w:color w:val="auto"/>
          <w:sz w:val="24"/>
          <w:szCs w:val="24"/>
          <w:lang w:bidi="ar"/>
        </w:rPr>
        <w:t>输送装置</w:t>
      </w:r>
      <w:r>
        <w:rPr>
          <w:rFonts w:ascii="仿宋_GB2312" w:eastAsia="仿宋_GB2312" w:cs="仿宋_GB2312"/>
          <w:color w:val="auto"/>
          <w:sz w:val="24"/>
          <w:szCs w:val="24"/>
          <w:lang w:bidi="ar"/>
        </w:rPr>
        <w:t>、机器人等）的工作状态和位置，支持全面画面显示、局部画面显示、实时动态画面显示等，能呈现设备的停止状态、运行状态、禁用状态、故障状态等，依照不同的动画或者颜色来显示，确保设备正常运行，并及时发现异常情况。</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ascii="仿宋_GB2312" w:eastAsia="仿宋_GB2312" w:cs="仿宋_GB2312"/>
          <w:color w:val="auto"/>
          <w:sz w:val="24"/>
          <w:szCs w:val="24"/>
          <w:lang w:bidi="ar"/>
        </w:rPr>
        <w:t>作业调度：WCS</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支持对WMS</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下达的入库、出库、盘点等任务进行管理，根据仓库的作业需求和设备状态，合理调度设备的工作任务，优化作业流程。</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ascii="仿宋_GB2312" w:eastAsia="仿宋_GB2312" w:cs="仿宋_GB2312"/>
          <w:color w:val="auto"/>
          <w:sz w:val="24"/>
          <w:szCs w:val="24"/>
          <w:lang w:bidi="ar"/>
        </w:rPr>
        <w:t>任务分配与执行：WCS系统通过TCP/IP主流通讯方式与输送线</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堆垛机等设备进行信息交互，集成各设备系统模块</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接受WMS系统的指令，将任务拆分成若干部分，以区分不同的物流设备，完成物流控制操作。再分发给对应的设备，协调各个设备有序流程的完成出入库操作。</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异常处理：</w:t>
      </w:r>
      <w:r>
        <w:rPr>
          <w:rFonts w:ascii="仿宋_GB2312" w:eastAsia="仿宋_GB2312" w:cs="仿宋_GB2312"/>
          <w:color w:val="auto"/>
          <w:sz w:val="24"/>
          <w:szCs w:val="24"/>
          <w:lang w:bidi="ar"/>
        </w:rPr>
        <w:t>在设备故障时，用户可以通过异常提示定位该位置的异常原因</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待异常恢复后通过清除当前设备任务，WCS系统自动让设备执行任务，使作业不受影响。如果巷道长时间没法修复，操作员可在设备界面禁用此设备，支持将正在执行的任务重新分配，选择设备正常的巷道。</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故障报警：提供各种故障报警指示，方便维护和操作人员快捷的查找故障原因，常见故障如急停故障、运行超时故障、光电传感器异常故障、变频器故障。</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日志记录：</w:t>
      </w:r>
      <w:r>
        <w:rPr>
          <w:rFonts w:ascii="仿宋_GB2312" w:eastAsia="仿宋_GB2312" w:cs="仿宋_GB2312"/>
          <w:color w:val="auto"/>
          <w:sz w:val="24"/>
          <w:szCs w:val="24"/>
          <w:lang w:bidi="ar"/>
        </w:rPr>
        <w:t>WCS系统实时</w:t>
      </w:r>
      <w:r>
        <w:rPr>
          <w:rFonts w:hint="eastAsia" w:ascii="仿宋_GB2312" w:eastAsia="仿宋_GB2312" w:cs="仿宋_GB2312"/>
          <w:color w:val="auto"/>
          <w:sz w:val="24"/>
          <w:szCs w:val="24"/>
          <w:lang w:bidi="ar"/>
        </w:rPr>
        <w:t>详细</w:t>
      </w:r>
      <w:r>
        <w:rPr>
          <w:rFonts w:ascii="仿宋_GB2312" w:eastAsia="仿宋_GB2312" w:cs="仿宋_GB2312"/>
          <w:color w:val="auto"/>
          <w:sz w:val="24"/>
          <w:szCs w:val="24"/>
          <w:lang w:bidi="ar"/>
        </w:rPr>
        <w:t>记录设备的实时状态，包括对设备通讯内容的记录、设备的故障记录以及人为对设备的操作记录。所有的交互产生的日志均会储存在数据库内，方便查询和计算设备的故障率，为后期的设备和系统的维护提供保障，同时支持导出和打印。</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数据分析：收集设备的工作数据，进行分析和评估，为设备的维护、改进和性能优化提供依据。</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安全控制：设定设备的安全操作规范和参数，防止因操作不当导致的安全事故。当设备出现异常或违反安全规则时，及时发出警报并采取相应的措施。</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数据接口：与WMS</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进行数据交换，实现信息的共享和传递；同时，也能与</w:t>
      </w:r>
      <w:r>
        <w:rPr>
          <w:rFonts w:hint="eastAsia" w:ascii="仿宋_GB2312" w:eastAsia="仿宋_GB2312" w:cs="仿宋_GB2312"/>
          <w:color w:val="auto"/>
          <w:sz w:val="24"/>
          <w:szCs w:val="24"/>
          <w:lang w:bidi="ar"/>
        </w:rPr>
        <w:t>电气控制</w:t>
      </w:r>
      <w:r>
        <w:rPr>
          <w:rFonts w:ascii="仿宋_GB2312" w:eastAsia="仿宋_GB2312" w:cs="仿宋_GB2312"/>
          <w:color w:val="auto"/>
          <w:sz w:val="24"/>
          <w:szCs w:val="24"/>
          <w:lang w:bidi="ar"/>
        </w:rPr>
        <w:t>系统进行交互，将WMS</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的指令传达给</w:t>
      </w:r>
      <w:r>
        <w:rPr>
          <w:rFonts w:hint="eastAsia" w:ascii="仿宋_GB2312" w:eastAsia="仿宋_GB2312" w:cs="仿宋_GB2312"/>
          <w:color w:val="auto"/>
          <w:sz w:val="24"/>
          <w:szCs w:val="24"/>
          <w:lang w:bidi="ar"/>
        </w:rPr>
        <w:t>电气控制</w:t>
      </w:r>
      <w:r>
        <w:rPr>
          <w:rFonts w:ascii="仿宋_GB2312" w:eastAsia="仿宋_GB2312" w:cs="仿宋_GB2312"/>
          <w:color w:val="auto"/>
          <w:sz w:val="24"/>
          <w:szCs w:val="24"/>
          <w:lang w:bidi="ar"/>
        </w:rPr>
        <w:t>系统，驱动设备运行，并实时把</w:t>
      </w:r>
      <w:r>
        <w:rPr>
          <w:rFonts w:hint="eastAsia" w:ascii="仿宋_GB2312" w:eastAsia="仿宋_GB2312" w:cs="仿宋_GB2312"/>
          <w:color w:val="auto"/>
          <w:sz w:val="24"/>
          <w:szCs w:val="24"/>
          <w:lang w:bidi="ar"/>
        </w:rPr>
        <w:t>电气控制</w:t>
      </w:r>
      <w:r>
        <w:rPr>
          <w:rFonts w:ascii="仿宋_GB2312" w:eastAsia="仿宋_GB2312" w:cs="仿宋_GB2312"/>
          <w:color w:val="auto"/>
          <w:sz w:val="24"/>
          <w:szCs w:val="24"/>
          <w:lang w:bidi="ar"/>
        </w:rPr>
        <w:t>系统的状态以及数据反馈到界面上。</w:t>
      </w:r>
    </w:p>
    <w:p>
      <w:pPr>
        <w:widowControl w:val="0"/>
        <w:numPr>
          <w:ilvl w:val="4"/>
          <w:numId w:val="72"/>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手动</w:t>
      </w:r>
      <w:r>
        <w:rPr>
          <w:rFonts w:hint="eastAsia" w:ascii="仿宋_GB2312" w:eastAsia="仿宋_GB2312" w:cs="仿宋_GB2312"/>
          <w:color w:val="auto"/>
          <w:sz w:val="24"/>
          <w:szCs w:val="24"/>
          <w:lang w:bidi="ar"/>
        </w:rPr>
        <w:t>控制</w:t>
      </w:r>
      <w:r>
        <w:rPr>
          <w:rFonts w:ascii="仿宋_GB2312" w:eastAsia="仿宋_GB2312" w:cs="仿宋_GB2312"/>
          <w:color w:val="auto"/>
          <w:sz w:val="24"/>
          <w:szCs w:val="24"/>
          <w:lang w:bidi="ar"/>
        </w:rPr>
        <w:t>接口：提供对</w:t>
      </w:r>
      <w:r>
        <w:rPr>
          <w:rFonts w:hint="eastAsia" w:ascii="仿宋_GB2312" w:eastAsia="仿宋_GB2312" w:cs="仿宋_GB2312"/>
          <w:color w:val="auto"/>
          <w:sz w:val="24"/>
          <w:szCs w:val="24"/>
          <w:lang w:bidi="ar"/>
        </w:rPr>
        <w:t>仓储设备</w:t>
      </w:r>
      <w:r>
        <w:rPr>
          <w:rFonts w:ascii="仿宋_GB2312" w:eastAsia="仿宋_GB2312" w:cs="仿宋_GB2312"/>
          <w:color w:val="auto"/>
          <w:sz w:val="24"/>
          <w:szCs w:val="24"/>
          <w:lang w:bidi="ar"/>
        </w:rPr>
        <w:t>和</w:t>
      </w:r>
      <w:r>
        <w:rPr>
          <w:rFonts w:hint="eastAsia" w:ascii="仿宋_GB2312" w:eastAsia="仿宋_GB2312" w:cs="仿宋_GB2312"/>
          <w:color w:val="auto"/>
          <w:sz w:val="24"/>
          <w:szCs w:val="24"/>
          <w:lang w:bidi="ar"/>
        </w:rPr>
        <w:t>电气控制</w:t>
      </w:r>
      <w:r>
        <w:rPr>
          <w:rFonts w:ascii="仿宋_GB2312" w:eastAsia="仿宋_GB2312" w:cs="仿宋_GB2312"/>
          <w:color w:val="auto"/>
          <w:sz w:val="24"/>
          <w:szCs w:val="24"/>
          <w:lang w:bidi="ar"/>
        </w:rPr>
        <w:t>系统的手动</w:t>
      </w:r>
      <w:r>
        <w:rPr>
          <w:rFonts w:hint="eastAsia" w:ascii="仿宋_GB2312" w:eastAsia="仿宋_GB2312" w:cs="仿宋_GB2312"/>
          <w:color w:val="auto"/>
          <w:sz w:val="24"/>
          <w:szCs w:val="24"/>
          <w:lang w:bidi="ar"/>
        </w:rPr>
        <w:t>控制</w:t>
      </w:r>
      <w:r>
        <w:rPr>
          <w:rFonts w:ascii="仿宋_GB2312" w:eastAsia="仿宋_GB2312" w:cs="仿宋_GB2312"/>
          <w:color w:val="auto"/>
          <w:sz w:val="24"/>
          <w:szCs w:val="24"/>
          <w:lang w:bidi="ar"/>
        </w:rPr>
        <w:t>接口，方便技术人员进行设备的调试、维护</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故障排除</w:t>
      </w:r>
      <w:r>
        <w:rPr>
          <w:rFonts w:hint="eastAsia" w:ascii="仿宋_GB2312" w:eastAsia="仿宋_GB2312" w:cs="仿宋_GB2312"/>
          <w:color w:val="auto"/>
          <w:sz w:val="24"/>
          <w:szCs w:val="24"/>
          <w:lang w:bidi="ar"/>
        </w:rPr>
        <w:t>、设备运行方向控制等</w:t>
      </w:r>
      <w:r>
        <w:rPr>
          <w:rFonts w:ascii="仿宋_GB2312" w:eastAsia="仿宋_GB2312" w:cs="仿宋_GB2312"/>
          <w:color w:val="auto"/>
          <w:sz w:val="24"/>
          <w:szCs w:val="24"/>
          <w:lang w:bidi="ar"/>
        </w:rPr>
        <w:t>。</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电气控制系统</w:t>
      </w:r>
    </w:p>
    <w:p>
      <w:pPr>
        <w:widowControl w:val="0"/>
        <w:numPr>
          <w:ilvl w:val="3"/>
          <w:numId w:val="54"/>
        </w:numPr>
        <w:adjustRightInd w:val="0"/>
        <w:snapToGrid w:val="0"/>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现场元件</w:t>
      </w:r>
    </w:p>
    <w:p>
      <w:pPr>
        <w:widowControl w:val="0"/>
        <w:numPr>
          <w:ilvl w:val="255"/>
          <w:numId w:val="0"/>
        </w:numPr>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现场元件包括但不限于：</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光电开关，用于货物检测。</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接近开关，用于可移动的机械设备位置检测。</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报警灯，在人员操作区域配备报警灯用于提示系统当前状态，保证人员操作安全，需明确报警灯柱不同颜色的定义。</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读码器，用于条码信息采集，</w:t>
      </w:r>
      <w:r>
        <w:rPr>
          <w:rFonts w:hint="eastAsia" w:ascii="仿宋_GB2312" w:eastAsia="仿宋_GB2312" w:cs="仿宋_GB2312"/>
          <w:color w:val="auto"/>
          <w:sz w:val="24"/>
          <w:szCs w:val="24"/>
          <w:lang w:val="zh-CN" w:bidi="ar"/>
        </w:rPr>
        <w:t>正确读取率不低于99.9%</w:t>
      </w:r>
      <w:r>
        <w:rPr>
          <w:rFonts w:hint="eastAsia" w:ascii="仿宋_GB2312" w:eastAsia="仿宋_GB2312" w:cs="仿宋_GB2312"/>
          <w:color w:val="auto"/>
          <w:sz w:val="24"/>
          <w:szCs w:val="24"/>
          <w:lang w:bidi="ar"/>
        </w:rPr>
        <w:t>。</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塔灯，用于输送系统状态显示。</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按钮，用于输送系统的启动、停止、故障复位等，在控制柜门、出入库口、人工操作位等合理布置，并配标签显示对应功能。</w:t>
      </w:r>
    </w:p>
    <w:p>
      <w:pPr>
        <w:widowControl w:val="0"/>
        <w:spacing w:after="0" w:line="360" w:lineRule="auto"/>
        <w:ind w:firstLine="420"/>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电气元件固定安装，不可悬吊。安装时要保证允许的最小距离，留有足够的空气流动空间。电控柜、输送机、按钮、指示灯、开关等均配有识别标签。</w:t>
      </w:r>
    </w:p>
    <w:p>
      <w:pPr>
        <w:widowControl w:val="0"/>
        <w:numPr>
          <w:ilvl w:val="3"/>
          <w:numId w:val="54"/>
        </w:numPr>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PLC电控柜</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PLC电控柜由空气开关、电源、PLC、继电器、接线端子、汇线槽、信号隔离器和配电器、安全栅、其他设备组成。具体要求如下：</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开关、断路器、接触器和电动机综合保护装置等电气元件均采用容量及型号规格应冗余设计及选择，以满足电气系统可靠运行要求。</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所有控制柜均应安装在各自的控制区域附近，排列整齐，固定牢靠，安放位置便于操作和维护，柜门必须能完全打开。</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控制柜内设总电源断路器，每一路负荷及控制电源均设分电源断路器，电源进出线设端子排，控制柜内设零排及地排。</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一次设备间连接电缆应采用国标导线，绑扎整齐并敷设在电缆槽盒中。</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一次设备连线应用相色区别并穿号头。</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箱体颜色采用全国涂料和颜色标准化技术委员会GSB05-1426-2001《漆膜颜色标准色卡》中规定的RAL 7035淡灰色，并且要求内外一致。</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控制柜具备动力分配、设备控制和信号采集的功能。柜体防护等级最低为IP55。</w:t>
      </w:r>
    </w:p>
    <w:p>
      <w:pPr>
        <w:widowControl w:val="0"/>
        <w:numPr>
          <w:ilvl w:val="4"/>
          <w:numId w:val="73"/>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控制柜要有标牌，标明设备型号、电气容量等技术参数。</w:t>
      </w:r>
    </w:p>
    <w:p>
      <w:pPr>
        <w:widowControl w:val="0"/>
        <w:numPr>
          <w:ilvl w:val="3"/>
          <w:numId w:val="54"/>
        </w:numPr>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急停系统</w:t>
      </w:r>
    </w:p>
    <w:p>
      <w:pPr>
        <w:widowControl w:val="0"/>
        <w:numPr>
          <w:ilvl w:val="4"/>
          <w:numId w:val="74"/>
        </w:numPr>
        <w:spacing w:after="0" w:line="360" w:lineRule="auto"/>
        <w:jc w:val="both"/>
        <w:outlineLvl w:val="4"/>
        <w:rPr>
          <w:rFonts w:ascii="仿宋_GB2312" w:eastAsia="仿宋_GB2312" w:cs="仿宋_GB2312"/>
          <w:color w:val="auto"/>
          <w:sz w:val="24"/>
          <w:szCs w:val="24"/>
          <w:lang w:bidi="ar"/>
        </w:rPr>
      </w:pPr>
      <w:bookmarkStart w:id="150" w:name="_Toc390689202"/>
      <w:r>
        <w:rPr>
          <w:rFonts w:hint="eastAsia" w:ascii="仿宋_GB2312" w:eastAsia="仿宋_GB2312" w:cs="仿宋_GB2312"/>
          <w:color w:val="auto"/>
          <w:sz w:val="24"/>
          <w:szCs w:val="24"/>
          <w:lang w:bidi="ar"/>
        </w:rPr>
        <w:t>急停按钮</w:t>
      </w:r>
      <w:bookmarkEnd w:id="150"/>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紧急停止按钮位于整个系统的控制柜门、本地操作员控制站，覆盖面包括了操作者的工作区域、必要的远程操作控制区和部分电气设备。</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紧急停止装置由蘑菇头按钮和按钮触点组成。按钮按下时触发急停按钮并自锁。</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当急停装置触发时，急停区内所有的单位设备停机及相关区域的设备单元也将停止。急停装置动作时，塔灯上的红色灯亮起。</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急停的动作之后，首要任务是确定紧急情况的性质和再重新启动设备前完成纠正。操作人员必须向外旋转蘑菇头按钮复位，并按下复位按钮重设，塔灯红色指示灯熄灭，该区域设备可以通过正常启动程序重新启动。</w:t>
      </w:r>
    </w:p>
    <w:p>
      <w:pPr>
        <w:widowControl w:val="0"/>
        <w:spacing w:after="0" w:line="360" w:lineRule="auto"/>
        <w:jc w:val="center"/>
        <w:rPr>
          <w:rFonts w:ascii="仿宋_GB2312" w:eastAsia="仿宋_GB2312" w:cs="仿宋_GB2312"/>
          <w:color w:val="auto"/>
          <w:sz w:val="24"/>
          <w:szCs w:val="24"/>
          <w:lang w:bidi="ar"/>
        </w:rPr>
      </w:pPr>
      <w:r>
        <w:rPr>
          <w:rFonts w:ascii="仿宋_GB2312" w:eastAsia="仿宋_GB2312" w:cs="仿宋_GB2312"/>
          <w:color w:val="auto"/>
          <w:sz w:val="24"/>
          <w:szCs w:val="24"/>
          <w:lang w:bidi="ar"/>
        </w:rPr>
        <w:t xml:space="preserve">图 </w:t>
      </w:r>
      <w:r>
        <w:rPr>
          <w:rFonts w:hint="eastAsia" w:ascii="仿宋_GB2312" w:eastAsia="仿宋_GB2312" w:cs="仿宋_GB2312"/>
          <w:color w:val="auto"/>
          <w:sz w:val="24"/>
          <w:szCs w:val="24"/>
          <w:lang w:bidi="ar"/>
        </w:rPr>
        <w:t xml:space="preserve">2 </w:t>
      </w:r>
      <w:r>
        <w:rPr>
          <w:rFonts w:hint="eastAsia" w:ascii="仿宋_GB2312" w:eastAsia="仿宋_GB2312" w:cs="仿宋_GB2312"/>
          <w:color w:val="auto"/>
          <w:sz w:val="24"/>
          <w:szCs w:val="24"/>
          <w:lang w:bidi="ar"/>
        </w:rPr>
        <w:drawing>
          <wp:anchor distT="0" distB="0" distL="0" distR="0" simplePos="0" relativeHeight="251660288" behindDoc="0" locked="0" layoutInCell="1" allowOverlap="1">
            <wp:simplePos x="0" y="0"/>
            <wp:positionH relativeFrom="column">
              <wp:posOffset>2056130</wp:posOffset>
            </wp:positionH>
            <wp:positionV relativeFrom="paragraph">
              <wp:posOffset>176530</wp:posOffset>
            </wp:positionV>
            <wp:extent cx="1543050" cy="1117600"/>
            <wp:effectExtent l="0" t="0" r="0" b="6350"/>
            <wp:wrapTopAndBottom/>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546854" cy="1120424"/>
                    </a:xfrm>
                    <a:prstGeom prst="rect">
                      <a:avLst/>
                    </a:prstGeom>
                    <a:noFill/>
                    <a:ln>
                      <a:noFill/>
                    </a:ln>
                  </pic:spPr>
                </pic:pic>
              </a:graphicData>
            </a:graphic>
          </wp:anchor>
        </w:drawing>
      </w:r>
      <w:r>
        <w:rPr>
          <w:rFonts w:hint="eastAsia" w:ascii="仿宋_GB2312" w:eastAsia="仿宋_GB2312" w:cs="仿宋_GB2312"/>
          <w:color w:val="auto"/>
          <w:sz w:val="24"/>
          <w:szCs w:val="24"/>
          <w:lang w:bidi="ar"/>
        </w:rPr>
        <w:t>急停按钮</w:t>
      </w:r>
    </w:p>
    <w:p>
      <w:pPr>
        <w:widowControl w:val="0"/>
        <w:numPr>
          <w:ilvl w:val="4"/>
          <w:numId w:val="74"/>
        </w:numPr>
        <w:spacing w:after="0" w:line="360" w:lineRule="auto"/>
        <w:jc w:val="both"/>
        <w:outlineLvl w:val="4"/>
        <w:rPr>
          <w:rFonts w:ascii="仿宋_GB2312" w:eastAsia="仿宋_GB2312" w:cs="仿宋_GB2312"/>
          <w:color w:val="auto"/>
          <w:sz w:val="24"/>
          <w:szCs w:val="24"/>
          <w:lang w:bidi="ar"/>
        </w:rPr>
      </w:pPr>
      <w:bookmarkStart w:id="151" w:name="_Toc390689204"/>
      <w:bookmarkStart w:id="152" w:name="_Toc487529690"/>
      <w:r>
        <w:rPr>
          <w:rFonts w:hint="eastAsia" w:ascii="仿宋_GB2312" w:eastAsia="仿宋_GB2312" w:cs="仿宋_GB2312"/>
          <w:color w:val="auto"/>
          <w:sz w:val="24"/>
          <w:szCs w:val="24"/>
          <w:lang w:bidi="ar"/>
        </w:rPr>
        <w:t>急停的分区和连锁</w:t>
      </w:r>
      <w:bookmarkEnd w:id="151"/>
      <w:bookmarkEnd w:id="152"/>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整体的急停系统被分成多个紧急停止区和子区，相邻功能组可以在紧急停止时互锁。</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一个主急停区可进一步划分为多个子区域。当主区有一个紧急停止，所有子区也将进入紧急停止，但反之则不行。</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当一个子区域中启动紧急停止造成其他子区域发生同样的危险时，邻近的急停子区域联锁。</w:t>
      </w:r>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主控制柜上的急停按钮可停止所有由主控柜控制的设备。</w:t>
      </w:r>
    </w:p>
    <w:p>
      <w:pPr>
        <w:widowControl w:val="0"/>
        <w:numPr>
          <w:ilvl w:val="4"/>
          <w:numId w:val="74"/>
        </w:numPr>
        <w:spacing w:after="0" w:line="360" w:lineRule="auto"/>
        <w:jc w:val="both"/>
        <w:outlineLvl w:val="4"/>
        <w:rPr>
          <w:rFonts w:ascii="仿宋_GB2312" w:eastAsia="仿宋_GB2312" w:cs="仿宋_GB2312"/>
          <w:color w:val="auto"/>
          <w:sz w:val="24"/>
          <w:szCs w:val="24"/>
          <w:lang w:bidi="ar"/>
        </w:rPr>
      </w:pPr>
      <w:bookmarkStart w:id="153" w:name="_Toc390689206"/>
      <w:bookmarkStart w:id="154" w:name="_Toc487529692"/>
      <w:r>
        <w:rPr>
          <w:rFonts w:hint="eastAsia" w:ascii="仿宋_GB2312" w:eastAsia="仿宋_GB2312" w:cs="仿宋_GB2312"/>
          <w:color w:val="auto"/>
          <w:sz w:val="24"/>
          <w:szCs w:val="24"/>
          <w:lang w:bidi="ar"/>
        </w:rPr>
        <w:t>急停设备的复位</w:t>
      </w:r>
      <w:bookmarkEnd w:id="153"/>
      <w:bookmarkEnd w:id="154"/>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复位必须在故障确定之后，由检查人员在本地急停装置上手动复位操作，在相关控制柜上按下复位按钮，才能解除急停信号。此时，设备方可重新启动。</w:t>
      </w:r>
    </w:p>
    <w:p>
      <w:pPr>
        <w:widowControl w:val="0"/>
        <w:numPr>
          <w:ilvl w:val="3"/>
          <w:numId w:val="54"/>
        </w:numPr>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系统功能</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精准定位与运动控制</w:t>
      </w:r>
      <w:r>
        <w:rPr>
          <w:rFonts w:hint="eastAsia" w:ascii="仿宋_GB2312" w:eastAsia="仿宋_GB2312" w:cs="仿宋_GB2312"/>
          <w:color w:val="auto"/>
          <w:sz w:val="24"/>
          <w:szCs w:val="24"/>
          <w:lang w:bidi="ar"/>
        </w:rPr>
        <w:t>：质保期内</w:t>
      </w:r>
      <w:r>
        <w:rPr>
          <w:rFonts w:ascii="仿宋_GB2312" w:eastAsia="仿宋_GB2312" w:cs="仿宋_GB2312"/>
          <w:color w:val="auto"/>
          <w:sz w:val="24"/>
          <w:szCs w:val="24"/>
          <w:lang w:bidi="ar"/>
        </w:rPr>
        <w:t>重复定位精度</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1mm（采用绝对值编码器+激光测距复合定位）</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支持S型加减速算法</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可同时控制提升电机（伺服）和行走电机（变频），实现复合动作。</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智能调度与容错</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通过接收WMS指令，动态调整任务优先级</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紧急订单可插队处理</w:t>
      </w:r>
      <w:r>
        <w:rPr>
          <w:rFonts w:hint="eastAsia" w:ascii="仿宋_GB2312" w:eastAsia="仿宋_GB2312" w:cs="仿宋_GB2312"/>
          <w:color w:val="auto"/>
          <w:sz w:val="24"/>
          <w:szCs w:val="24"/>
          <w:lang w:bidi="ar"/>
        </w:rPr>
        <w:t>；可</w:t>
      </w:r>
      <w:r>
        <w:rPr>
          <w:rFonts w:ascii="仿宋_GB2312" w:eastAsia="仿宋_GB2312" w:cs="仿宋_GB2312"/>
          <w:color w:val="auto"/>
          <w:sz w:val="24"/>
          <w:szCs w:val="24"/>
          <w:lang w:bidi="ar"/>
        </w:rPr>
        <w:t>故障自恢复</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短暂断电后自动回零，网络中断时本地缓存</w:t>
      </w:r>
      <w:r>
        <w:rPr>
          <w:rFonts w:hint="eastAsia" w:ascii="仿宋_GB2312" w:eastAsia="仿宋_GB2312" w:cs="仿宋_GB2312"/>
          <w:color w:val="auto"/>
          <w:sz w:val="24"/>
          <w:szCs w:val="24"/>
          <w:lang w:bidi="ar"/>
        </w:rPr>
        <w:t>三个月</w:t>
      </w:r>
      <w:r>
        <w:rPr>
          <w:rFonts w:ascii="仿宋_GB2312" w:eastAsia="仿宋_GB2312" w:cs="仿宋_GB2312"/>
          <w:color w:val="auto"/>
          <w:sz w:val="24"/>
          <w:szCs w:val="24"/>
          <w:lang w:bidi="ar"/>
        </w:rPr>
        <w:t>。</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驱动与传感系统</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选用</w:t>
      </w:r>
      <w:r>
        <w:rPr>
          <w:rFonts w:hint="eastAsia" w:ascii="仿宋_GB2312" w:eastAsia="仿宋_GB2312" w:cs="仿宋_GB2312"/>
          <w:color w:val="auto"/>
          <w:sz w:val="24"/>
          <w:szCs w:val="24"/>
          <w:lang w:bidi="ar"/>
        </w:rPr>
        <w:t>国际一线品牌的</w:t>
      </w:r>
      <w:r>
        <w:rPr>
          <w:rFonts w:ascii="仿宋_GB2312" w:eastAsia="仿宋_GB2312" w:cs="仿宋_GB2312"/>
          <w:color w:val="auto"/>
          <w:sz w:val="24"/>
          <w:szCs w:val="24"/>
          <w:lang w:bidi="ar"/>
        </w:rPr>
        <w:t>伺服驱动，支持EtherCAT总线通讯</w:t>
      </w:r>
      <w:r>
        <w:rPr>
          <w:rFonts w:hint="eastAsia" w:ascii="仿宋_GB2312" w:eastAsia="仿宋_GB2312" w:cs="仿宋_GB2312"/>
          <w:color w:val="auto"/>
          <w:sz w:val="24"/>
          <w:szCs w:val="24"/>
          <w:lang w:bidi="ar"/>
        </w:rPr>
        <w:t>；安装</w:t>
      </w:r>
      <w:r>
        <w:rPr>
          <w:rFonts w:ascii="仿宋_GB2312" w:eastAsia="仿宋_GB2312" w:cs="仿宋_GB2312"/>
          <w:color w:val="auto"/>
          <w:sz w:val="24"/>
          <w:szCs w:val="24"/>
          <w:lang w:bidi="ar"/>
        </w:rPr>
        <w:t>安全传感器</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货叉末端</w:t>
      </w:r>
      <w:r>
        <w:rPr>
          <w:rFonts w:hint="eastAsia" w:ascii="仿宋_GB2312" w:eastAsia="仿宋_GB2312" w:cs="仿宋_GB2312"/>
          <w:color w:val="auto"/>
          <w:sz w:val="24"/>
          <w:szCs w:val="24"/>
          <w:lang w:bidi="ar"/>
        </w:rPr>
        <w:t>通过</w:t>
      </w:r>
      <w:r>
        <w:rPr>
          <w:rFonts w:ascii="仿宋_GB2312" w:eastAsia="仿宋_GB2312" w:cs="仿宋_GB2312"/>
          <w:color w:val="auto"/>
          <w:sz w:val="24"/>
          <w:szCs w:val="24"/>
          <w:lang w:bidi="ar"/>
        </w:rPr>
        <w:t>光电开关检测料箱到位</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防撞激光雷达扫描范围</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3m，响应时间</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50ms</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条码读写头集成在货叉，用于料箱身份校验（读</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30cm）。</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PLC主控支持IEC 61131-3标准。</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能耗优化模块：空闲时自动切换至低功耗模式。</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所有线缆带屏蔽层，抗电磁干扰等级</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EMC Directive 2014/30/EU。</w:t>
      </w:r>
    </w:p>
    <w:p>
      <w:pPr>
        <w:widowControl w:val="0"/>
        <w:numPr>
          <w:ilvl w:val="4"/>
          <w:numId w:val="7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ascii="仿宋_GB2312" w:eastAsia="仿宋_GB2312" w:cs="仿宋_GB2312"/>
          <w:color w:val="auto"/>
          <w:sz w:val="24"/>
          <w:szCs w:val="24"/>
          <w:lang w:bidi="ar"/>
        </w:rPr>
        <w:t>功能安全</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通过光栅+安全继电器实现安全等级SIL2</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防坠落保护</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配备机械抱闸+动态制动电阻，断电后悬停时间</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30分钟。</w:t>
      </w:r>
    </w:p>
    <w:p>
      <w:pPr>
        <w:widowControl w:val="0"/>
        <w:numPr>
          <w:ilvl w:val="3"/>
          <w:numId w:val="54"/>
        </w:numPr>
        <w:spacing w:after="0" w:line="360" w:lineRule="auto"/>
        <w:contextualSpacing/>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电气要求</w:t>
      </w:r>
    </w:p>
    <w:p>
      <w:pPr>
        <w:widowControl w:val="0"/>
        <w:numPr>
          <w:ilvl w:val="4"/>
          <w:numId w:val="7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ascii="仿宋_GB2312" w:eastAsia="仿宋_GB2312" w:cs="仿宋_GB2312"/>
          <w:color w:val="auto"/>
          <w:sz w:val="24"/>
          <w:szCs w:val="24"/>
          <w:lang w:bidi="ar"/>
        </w:rPr>
        <w:t>电气控制系统设计符合《GB/T 16855.1-1997机械安全 控制系统有关安全控制部件 第1部分：设计通则》、《GB/T 16895.3</w:t>
      </w:r>
      <w:r>
        <w:rPr>
          <w:rFonts w:hint="eastAsia" w:ascii="仿宋_GB2312" w:eastAsia="仿宋_GB2312" w:cs="仿宋_GB2312"/>
          <w:color w:val="auto"/>
          <w:sz w:val="24"/>
          <w:szCs w:val="24"/>
          <w:lang w:bidi="ar"/>
        </w:rPr>
        <w:t>-2024</w:t>
      </w:r>
      <w:r>
        <w:rPr>
          <w:rFonts w:ascii="仿宋_GB2312" w:eastAsia="仿宋_GB2312" w:cs="仿宋_GB2312"/>
          <w:color w:val="auto"/>
          <w:sz w:val="24"/>
          <w:szCs w:val="24"/>
          <w:lang w:bidi="ar"/>
        </w:rPr>
        <w:t>低压电气装置》等相关标准</w:t>
      </w:r>
      <w:r>
        <w:rPr>
          <w:rFonts w:hint="eastAsia" w:ascii="仿宋_GB2312" w:eastAsia="仿宋_GB2312" w:cs="仿宋_GB2312"/>
          <w:color w:val="auto"/>
          <w:sz w:val="24"/>
          <w:szCs w:val="24"/>
          <w:lang w:bidi="ar"/>
        </w:rPr>
        <w:t>。</w:t>
      </w:r>
    </w:p>
    <w:p>
      <w:pPr>
        <w:widowControl w:val="0"/>
        <w:numPr>
          <w:ilvl w:val="4"/>
          <w:numId w:val="7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配备电气保护回路：过载、过压、过流、短路以及缺相、浪涌保护及谐波消除。</w:t>
      </w:r>
    </w:p>
    <w:p>
      <w:pPr>
        <w:widowControl w:val="0"/>
        <w:numPr>
          <w:ilvl w:val="4"/>
          <w:numId w:val="76"/>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电气控制柜内配置冷却单元，冷却单元控制设备的热稳定性。柜内所有导线颜色区分交流、直流、动力和保护接地线，并安装有维修用照明灯和交流220V工业电源插座（二芯、三芯插座）</w:t>
      </w:r>
      <w:r>
        <w:rPr>
          <w:rFonts w:hint="eastAsia" w:ascii="仿宋_GB2312" w:eastAsia="仿宋_GB2312" w:cs="仿宋_GB2312"/>
          <w:color w:val="auto"/>
          <w:sz w:val="24"/>
          <w:szCs w:val="24"/>
          <w:lang w:bidi="ar"/>
        </w:rPr>
        <w:t>。</w:t>
      </w:r>
    </w:p>
    <w:p>
      <w:pPr>
        <w:widowControl w:val="0"/>
        <w:numPr>
          <w:ilvl w:val="4"/>
          <w:numId w:val="76"/>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电柜内及设备上电气安装符合EMC(电磁兼容)标准，设备移动部分</w:t>
      </w:r>
      <w:r>
        <w:rPr>
          <w:rFonts w:hint="eastAsia" w:ascii="仿宋_GB2312" w:eastAsia="仿宋_GB2312" w:cs="仿宋_GB2312"/>
          <w:color w:val="auto"/>
          <w:sz w:val="24"/>
          <w:szCs w:val="24"/>
          <w:lang w:bidi="ar"/>
        </w:rPr>
        <w:t>若存在</w:t>
      </w:r>
      <w:r>
        <w:rPr>
          <w:rFonts w:ascii="仿宋_GB2312" w:eastAsia="仿宋_GB2312" w:cs="仿宋_GB2312"/>
          <w:color w:val="auto"/>
          <w:sz w:val="24"/>
          <w:szCs w:val="24"/>
          <w:lang w:bidi="ar"/>
        </w:rPr>
        <w:t>电缆</w:t>
      </w:r>
      <w:r>
        <w:rPr>
          <w:rFonts w:hint="eastAsia" w:ascii="仿宋_GB2312" w:eastAsia="仿宋_GB2312" w:cs="仿宋_GB2312"/>
          <w:color w:val="auto"/>
          <w:sz w:val="24"/>
          <w:szCs w:val="24"/>
          <w:lang w:bidi="ar"/>
        </w:rPr>
        <w:t>则</w:t>
      </w:r>
      <w:r>
        <w:rPr>
          <w:rFonts w:ascii="仿宋_GB2312" w:eastAsia="仿宋_GB2312" w:cs="仿宋_GB2312"/>
          <w:color w:val="auto"/>
          <w:sz w:val="24"/>
          <w:szCs w:val="24"/>
          <w:lang w:bidi="ar"/>
        </w:rPr>
        <w:t>采用拖链安装，拖链内电缆采用专用柔性电缆，动力电缆和控制电缆分开布置；电缆要求防护，设备线号、电缆应标识清晰，电气件代号标牌齐全，易于维修</w:t>
      </w:r>
      <w:r>
        <w:rPr>
          <w:rFonts w:hint="eastAsia" w:ascii="仿宋_GB2312" w:eastAsia="仿宋_GB2312" w:cs="仿宋_GB2312"/>
          <w:color w:val="auto"/>
          <w:sz w:val="24"/>
          <w:szCs w:val="24"/>
          <w:lang w:bidi="ar"/>
        </w:rPr>
        <w:t>。</w:t>
      </w:r>
    </w:p>
    <w:p>
      <w:pPr>
        <w:widowControl w:val="0"/>
        <w:numPr>
          <w:ilvl w:val="4"/>
          <w:numId w:val="7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在进入控制柜、机柜、出线盒、控制站、接线盒/分线盒的所有线管及线缆配件上安装适当大小的软管接头。金属软管需在软管两端加护口防止电缆划伤。</w:t>
      </w:r>
    </w:p>
    <w:p>
      <w:pPr>
        <w:widowControl w:val="0"/>
        <w:numPr>
          <w:ilvl w:val="4"/>
          <w:numId w:val="76"/>
        </w:numPr>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各设备</w:t>
      </w:r>
      <w:r>
        <w:rPr>
          <w:rFonts w:hint="eastAsia" w:ascii="仿宋_GB2312" w:eastAsia="仿宋_GB2312" w:cs="仿宋_GB2312"/>
          <w:color w:val="auto"/>
          <w:sz w:val="24"/>
          <w:szCs w:val="24"/>
          <w:lang w:bidi="ar"/>
        </w:rPr>
        <w:t>配置</w:t>
      </w:r>
      <w:r>
        <w:rPr>
          <w:rFonts w:ascii="仿宋_GB2312" w:eastAsia="仿宋_GB2312" w:cs="仿宋_GB2312"/>
          <w:color w:val="auto"/>
          <w:sz w:val="24"/>
          <w:szCs w:val="24"/>
          <w:lang w:bidi="ar"/>
        </w:rPr>
        <w:t>保护接地装置，设备总接地点在电气控制柜底板的接地铜排上，使用专用地线。</w:t>
      </w:r>
    </w:p>
    <w:p>
      <w:pPr>
        <w:widowControl w:val="0"/>
        <w:numPr>
          <w:ilvl w:val="4"/>
          <w:numId w:val="76"/>
        </w:numPr>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强弱电分离：</w:t>
      </w:r>
      <w:r>
        <w:rPr>
          <w:rFonts w:ascii="仿宋_GB2312" w:eastAsia="仿宋_GB2312" w:cs="仿宋_GB2312"/>
          <w:color w:val="auto"/>
          <w:sz w:val="24"/>
          <w:szCs w:val="24"/>
          <w:lang w:bidi="ar"/>
        </w:rPr>
        <w:t>强弱电桥架分层/分槽、最小净距（≥300mm）</w:t>
      </w:r>
      <w:r>
        <w:rPr>
          <w:rFonts w:hint="eastAsia" w:ascii="仿宋_GB2312" w:eastAsia="仿宋_GB2312" w:cs="仿宋_GB2312"/>
          <w:color w:val="auto"/>
          <w:sz w:val="24"/>
          <w:szCs w:val="24"/>
          <w:lang w:bidi="ar"/>
        </w:rPr>
        <w:t>。</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温湿度控制系统</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软件主要功能</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温湿度检测</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系统能够实时检测仓库内部的温湿度变化，并对异常温湿度进行预警和警报。</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w:t>
      </w:r>
      <w:r>
        <w:rPr>
          <w:rFonts w:ascii="仿宋_GB2312" w:eastAsia="仿宋_GB2312" w:cs="仿宋_GB2312"/>
          <w:color w:val="auto"/>
          <w:sz w:val="24"/>
          <w:szCs w:val="24"/>
          <w:lang w:bidi="ar"/>
        </w:rPr>
        <w:t>记录和分析</w:t>
      </w:r>
      <w:r>
        <w:rPr>
          <w:rFonts w:hint="eastAsia" w:ascii="仿宋_GB2312" w:eastAsia="仿宋_GB2312" w:cs="仿宋_GB2312"/>
          <w:color w:val="auto"/>
          <w:sz w:val="24"/>
          <w:szCs w:val="24"/>
          <w:lang w:bidi="ar"/>
        </w:rPr>
        <w:t>：</w:t>
      </w:r>
      <w:r>
        <w:rPr>
          <w:rFonts w:ascii="仿宋_GB2312" w:eastAsia="仿宋_GB2312" w:cs="仿宋_GB2312"/>
          <w:color w:val="auto"/>
          <w:sz w:val="24"/>
          <w:szCs w:val="24"/>
          <w:lang w:bidi="ar"/>
        </w:rPr>
        <w:t>系统能够记录仓库内部温湿度数据，并进行分析，提供历史数据和趋势分析，帮助仓库管理人员评估温湿度变化的趋势，</w:t>
      </w:r>
      <w:r>
        <w:rPr>
          <w:rFonts w:hint="eastAsia" w:ascii="仿宋_GB2312" w:eastAsia="仿宋_GB2312" w:cs="仿宋_GB2312"/>
          <w:color w:val="auto"/>
          <w:sz w:val="24"/>
          <w:szCs w:val="24"/>
          <w:lang w:bidi="ar"/>
        </w:rPr>
        <w:t>并</w:t>
      </w:r>
      <w:r>
        <w:rPr>
          <w:rFonts w:ascii="仿宋_GB2312" w:eastAsia="仿宋_GB2312" w:cs="仿宋_GB2312"/>
          <w:color w:val="auto"/>
          <w:sz w:val="24"/>
          <w:szCs w:val="24"/>
          <w:lang w:bidi="ar"/>
        </w:rPr>
        <w:t>作出相应的决策。</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ascii="仿宋_GB2312" w:eastAsia="仿宋_GB2312" w:cs="仿宋_GB2312"/>
          <w:color w:val="auto"/>
          <w:sz w:val="24"/>
          <w:szCs w:val="24"/>
          <w:lang w:bidi="ar"/>
        </w:rPr>
        <w:t>监</w:t>
      </w:r>
      <w:r>
        <w:rPr>
          <w:rFonts w:hint="eastAsia" w:ascii="仿宋_GB2312" w:eastAsia="仿宋_GB2312" w:cs="仿宋_GB2312"/>
          <w:color w:val="auto"/>
          <w:sz w:val="24"/>
          <w:szCs w:val="24"/>
          <w:lang w:bidi="ar"/>
        </w:rPr>
        <w:t>测</w:t>
      </w:r>
      <w:r>
        <w:rPr>
          <w:rFonts w:ascii="仿宋_GB2312" w:eastAsia="仿宋_GB2312" w:cs="仿宋_GB2312"/>
          <w:color w:val="auto"/>
          <w:sz w:val="24"/>
          <w:szCs w:val="24"/>
          <w:lang w:bidi="ar"/>
        </w:rPr>
        <w:t>与控制：</w:t>
      </w:r>
      <w:r>
        <w:rPr>
          <w:rFonts w:hint="eastAsia" w:ascii="仿宋_GB2312" w:eastAsia="仿宋_GB2312" w:cs="仿宋_GB2312"/>
          <w:color w:val="auto"/>
          <w:sz w:val="24"/>
          <w:szCs w:val="24"/>
          <w:lang w:bidi="ar"/>
        </w:rPr>
        <w:t>实时</w:t>
      </w:r>
      <w:r>
        <w:rPr>
          <w:rFonts w:ascii="仿宋_GB2312" w:eastAsia="仿宋_GB2312" w:cs="仿宋_GB2312"/>
          <w:color w:val="auto"/>
          <w:sz w:val="24"/>
          <w:szCs w:val="24"/>
          <w:lang w:bidi="ar"/>
        </w:rPr>
        <w:t>监</w:t>
      </w:r>
      <w:r>
        <w:rPr>
          <w:rFonts w:hint="eastAsia" w:ascii="仿宋_GB2312" w:eastAsia="仿宋_GB2312" w:cs="仿宋_GB2312"/>
          <w:color w:val="auto"/>
          <w:sz w:val="24"/>
          <w:szCs w:val="24"/>
          <w:lang w:bidi="ar"/>
        </w:rPr>
        <w:t>测和</w:t>
      </w:r>
      <w:r>
        <w:rPr>
          <w:rFonts w:ascii="仿宋_GB2312" w:eastAsia="仿宋_GB2312" w:cs="仿宋_GB2312"/>
          <w:color w:val="auto"/>
          <w:sz w:val="24"/>
          <w:szCs w:val="24"/>
          <w:lang w:bidi="ar"/>
        </w:rPr>
        <w:t>控制</w:t>
      </w:r>
      <w:r>
        <w:rPr>
          <w:rFonts w:hint="eastAsia" w:ascii="仿宋_GB2312" w:eastAsia="仿宋_GB2312" w:cs="仿宋_GB2312"/>
          <w:color w:val="auto"/>
          <w:sz w:val="24"/>
          <w:szCs w:val="24"/>
          <w:lang w:bidi="ar"/>
        </w:rPr>
        <w:t>仓库</w:t>
      </w:r>
      <w:r>
        <w:rPr>
          <w:rFonts w:ascii="仿宋_GB2312" w:eastAsia="仿宋_GB2312" w:cs="仿宋_GB2312"/>
          <w:color w:val="auto"/>
          <w:sz w:val="24"/>
          <w:szCs w:val="24"/>
          <w:lang w:bidi="ar"/>
        </w:rPr>
        <w:t>温湿度情况，</w:t>
      </w:r>
      <w:r>
        <w:rPr>
          <w:rFonts w:hint="eastAsia" w:ascii="仿宋_GB2312" w:eastAsia="仿宋_GB2312" w:cs="仿宋_GB2312"/>
          <w:color w:val="auto"/>
          <w:sz w:val="24"/>
          <w:szCs w:val="24"/>
          <w:lang w:bidi="ar"/>
        </w:rPr>
        <w:t>当仓库内环境温湿度指标出现偏离时，系统自动及时做出响应，</w:t>
      </w:r>
      <w:r>
        <w:rPr>
          <w:rFonts w:ascii="仿宋_GB2312" w:eastAsia="仿宋_GB2312" w:cs="仿宋_GB2312"/>
          <w:color w:val="auto"/>
          <w:sz w:val="24"/>
          <w:szCs w:val="24"/>
          <w:lang w:bidi="ar"/>
        </w:rPr>
        <w:t>以保持仓库内部的温湿度在</w:t>
      </w:r>
      <w:r>
        <w:rPr>
          <w:rFonts w:hint="eastAsia" w:ascii="仿宋_GB2312" w:eastAsia="仿宋_GB2312" w:cs="仿宋_GB2312"/>
          <w:color w:val="auto"/>
          <w:sz w:val="24"/>
          <w:szCs w:val="24"/>
          <w:lang w:bidi="ar"/>
        </w:rPr>
        <w:t>要求</w:t>
      </w:r>
      <w:r>
        <w:rPr>
          <w:rFonts w:ascii="仿宋_GB2312" w:eastAsia="仿宋_GB2312" w:cs="仿宋_GB2312"/>
          <w:color w:val="auto"/>
          <w:sz w:val="24"/>
          <w:szCs w:val="24"/>
          <w:lang w:bidi="ar"/>
        </w:rPr>
        <w:t>的范围内。</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报警</w:t>
      </w:r>
      <w:r>
        <w:rPr>
          <w:rFonts w:ascii="仿宋_GB2312" w:eastAsia="仿宋_GB2312" w:cs="仿宋_GB2312"/>
          <w:color w:val="auto"/>
          <w:sz w:val="24"/>
          <w:szCs w:val="24"/>
          <w:lang w:bidi="ar"/>
        </w:rPr>
        <w:t>和推送</w:t>
      </w:r>
      <w:r>
        <w:rPr>
          <w:rFonts w:hint="eastAsia" w:ascii="仿宋_GB2312" w:eastAsia="仿宋_GB2312" w:cs="仿宋_GB2312"/>
          <w:color w:val="auto"/>
          <w:sz w:val="24"/>
          <w:szCs w:val="24"/>
          <w:lang w:bidi="ar"/>
        </w:rPr>
        <w:t>：当系统出现故障时，能</w:t>
      </w:r>
      <w:r>
        <w:rPr>
          <w:rFonts w:ascii="仿宋_GB2312" w:eastAsia="仿宋_GB2312" w:cs="仿宋_GB2312"/>
          <w:color w:val="auto"/>
          <w:sz w:val="24"/>
          <w:szCs w:val="24"/>
          <w:lang w:bidi="ar"/>
        </w:rPr>
        <w:t>及时</w:t>
      </w:r>
      <w:r>
        <w:rPr>
          <w:rFonts w:hint="eastAsia" w:ascii="仿宋_GB2312" w:eastAsia="仿宋_GB2312" w:cs="仿宋_GB2312"/>
          <w:color w:val="auto"/>
          <w:sz w:val="24"/>
          <w:szCs w:val="24"/>
          <w:lang w:bidi="ar"/>
        </w:rPr>
        <w:t>管理员</w:t>
      </w:r>
      <w:r>
        <w:rPr>
          <w:rFonts w:ascii="仿宋_GB2312" w:eastAsia="仿宋_GB2312" w:cs="仿宋_GB2312"/>
          <w:color w:val="auto"/>
          <w:sz w:val="24"/>
          <w:szCs w:val="24"/>
          <w:lang w:bidi="ar"/>
        </w:rPr>
        <w:t>能够及时采取措施避免损失。</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故障</w:t>
      </w:r>
      <w:r>
        <w:rPr>
          <w:rFonts w:ascii="仿宋_GB2312" w:eastAsia="仿宋_GB2312" w:cs="仿宋_GB2312"/>
          <w:color w:val="auto"/>
          <w:sz w:val="24"/>
          <w:szCs w:val="24"/>
          <w:lang w:bidi="ar"/>
        </w:rPr>
        <w:t>诊断及预警：</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能够诊断温湿度监测设备故障并进行预警，</w:t>
      </w:r>
      <w:r>
        <w:rPr>
          <w:rFonts w:hint="eastAsia" w:ascii="仿宋_GB2312" w:eastAsia="仿宋_GB2312" w:cs="仿宋_GB2312"/>
          <w:color w:val="auto"/>
          <w:sz w:val="24"/>
          <w:szCs w:val="24"/>
          <w:lang w:bidi="ar"/>
        </w:rPr>
        <w:t>及时显示并发送故障</w:t>
      </w:r>
      <w:r>
        <w:rPr>
          <w:rFonts w:ascii="仿宋_GB2312" w:eastAsia="仿宋_GB2312" w:cs="仿宋_GB2312"/>
          <w:color w:val="auto"/>
          <w:sz w:val="24"/>
          <w:szCs w:val="24"/>
          <w:lang w:bidi="ar"/>
        </w:rPr>
        <w:t>信息，以便及时进行检修和维护，保证</w:t>
      </w:r>
      <w:r>
        <w:rPr>
          <w:rFonts w:hint="eastAsia" w:ascii="仿宋_GB2312" w:eastAsia="仿宋_GB2312" w:cs="仿宋_GB2312"/>
          <w:color w:val="auto"/>
          <w:sz w:val="24"/>
          <w:szCs w:val="24"/>
          <w:lang w:bidi="ar"/>
        </w:rPr>
        <w:t>系统</w:t>
      </w:r>
      <w:r>
        <w:rPr>
          <w:rFonts w:ascii="仿宋_GB2312" w:eastAsia="仿宋_GB2312" w:cs="仿宋_GB2312"/>
          <w:color w:val="auto"/>
          <w:sz w:val="24"/>
          <w:szCs w:val="24"/>
          <w:lang w:bidi="ar"/>
        </w:rPr>
        <w:t>的</w:t>
      </w:r>
      <w:r>
        <w:rPr>
          <w:rFonts w:hint="eastAsia" w:ascii="仿宋_GB2312" w:eastAsia="仿宋_GB2312" w:cs="仿宋_GB2312"/>
          <w:color w:val="auto"/>
          <w:sz w:val="24"/>
          <w:szCs w:val="24"/>
          <w:lang w:bidi="ar"/>
        </w:rPr>
        <w:t>持续</w:t>
      </w:r>
      <w:r>
        <w:rPr>
          <w:rFonts w:ascii="仿宋_GB2312" w:eastAsia="仿宋_GB2312" w:cs="仿宋_GB2312"/>
          <w:color w:val="auto"/>
          <w:sz w:val="24"/>
          <w:szCs w:val="24"/>
          <w:lang w:bidi="ar"/>
        </w:rPr>
        <w:t>正常运行。</w:t>
      </w:r>
    </w:p>
    <w:p>
      <w:pPr>
        <w:widowControl w:val="0"/>
        <w:numPr>
          <w:ilvl w:val="4"/>
          <w:numId w:val="7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可靠性要求：应用软件应确保系统运行顺畅、数据传输准确及时、智能设备调控及时有效。</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硬件基本配置</w:t>
      </w:r>
    </w:p>
    <w:p>
      <w:pPr>
        <w:widowControl w:val="0"/>
        <w:adjustRightInd w:val="0"/>
        <w:snapToGrid w:val="0"/>
        <w:spacing w:after="0" w:line="360" w:lineRule="auto"/>
        <w:rPr>
          <w:rFonts w:hint="eastAsia" w:ascii="仿宋" w:hAnsi="仿宋" w:eastAsia="仿宋" w:cs="Times New Roman"/>
          <w:color w:val="auto"/>
          <w:sz w:val="24"/>
          <w:szCs w:val="24"/>
        </w:rPr>
      </w:pPr>
      <w:r>
        <w:rPr>
          <w:rFonts w:hint="eastAsia" w:ascii="仿宋_GB2312" w:eastAsia="仿宋_GB2312" w:cs="仿宋_GB2312"/>
          <w:color w:val="auto"/>
          <w:sz w:val="24"/>
          <w:szCs w:val="24"/>
          <w:lang w:bidi="ar"/>
        </w:rPr>
        <w:t>根据不同楼层温湿度环境监测与控制功能需要实施硬件配置，具体型号及数量根据实施楼层面积及功能需求进行配置，详见下表。</w:t>
      </w:r>
    </w:p>
    <w:tbl>
      <w:tblPr>
        <w:tblStyle w:val="31"/>
        <w:tblW w:w="10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964"/>
        <w:gridCol w:w="1584"/>
        <w:gridCol w:w="2957"/>
        <w:gridCol w:w="1551"/>
        <w:gridCol w:w="1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序号</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位置</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面积（㎡）</w:t>
            </w:r>
          </w:p>
        </w:tc>
        <w:tc>
          <w:tcPr>
            <w:tcW w:w="2957"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温湿度控制范围</w:t>
            </w:r>
          </w:p>
        </w:tc>
        <w:tc>
          <w:tcPr>
            <w:tcW w:w="1551"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功能描述</w:t>
            </w:r>
          </w:p>
        </w:tc>
        <w:tc>
          <w:tcPr>
            <w:tcW w:w="1551" w:type="dxa"/>
            <w:vAlign w:val="center"/>
          </w:tcPr>
          <w:p>
            <w:pPr>
              <w:widowControl w:val="0"/>
              <w:adjustRightInd w:val="0"/>
              <w:snapToGrid w:val="0"/>
              <w:spacing w:after="0" w:line="360" w:lineRule="auto"/>
              <w:jc w:val="center"/>
              <w:rPr>
                <w:rFonts w:ascii="仿宋_GB2312" w:eastAsia="仿宋_GB2312" w:cs="仿宋_GB2312"/>
                <w:b/>
                <w:bCs/>
                <w:color w:val="auto"/>
                <w:sz w:val="24"/>
                <w:szCs w:val="24"/>
                <w:lang w:bidi="ar"/>
              </w:rPr>
            </w:pPr>
            <w:r>
              <w:rPr>
                <w:rFonts w:hint="eastAsia" w:ascii="仿宋_GB2312" w:eastAsia="仿宋_GB2312" w:cs="仿宋_GB2312"/>
                <w:color w:val="auto"/>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206#-C一层收货待验区、质检区</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190</w:t>
            </w:r>
          </w:p>
        </w:tc>
        <w:tc>
          <w:tcPr>
            <w:tcW w:w="2957"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温度控制范围：16～25℃；</w:t>
            </w:r>
          </w:p>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湿度控制范围：45～60%</w:t>
            </w:r>
          </w:p>
        </w:tc>
        <w:tc>
          <w:tcPr>
            <w:tcW w:w="1551"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实现5.2.7.1中的1）-6）</w:t>
            </w:r>
          </w:p>
        </w:tc>
        <w:tc>
          <w:tcPr>
            <w:tcW w:w="1551"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已配备</w:t>
            </w:r>
            <w:r>
              <w:rPr>
                <w:rFonts w:hint="eastAsia" w:ascii="仿宋_GB2312" w:eastAsia="仿宋_GB2312" w:cs="仿宋_GB2312"/>
                <w:color w:val="auto"/>
                <w:sz w:val="24"/>
                <w:szCs w:val="24"/>
                <w:lang w:val="zh-CN" w:bidi="ar"/>
              </w:rPr>
              <w:t>柜式恒温恒湿空调系统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206#-C一层存储区</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1210（其中穿层区300）</w:t>
            </w:r>
          </w:p>
        </w:tc>
        <w:tc>
          <w:tcPr>
            <w:tcW w:w="2957" w:type="dxa"/>
            <w:vAlign w:val="center"/>
          </w:tcPr>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温度控制范围：16～25℃；</w:t>
            </w:r>
          </w:p>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湿度控制范围：30～75%</w:t>
            </w: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已配置</w:t>
            </w:r>
            <w:r>
              <w:rPr>
                <w:rFonts w:hint="eastAsia" w:ascii="仿宋_GB2312" w:eastAsia="仿宋_GB2312" w:cs="仿宋_GB2312"/>
                <w:color w:val="auto"/>
                <w:sz w:val="24"/>
                <w:szCs w:val="24"/>
                <w:lang w:val="zh-CN" w:bidi="ar"/>
              </w:rPr>
              <w:t>变制冷剂流量多联空调系统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3</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206#-C三层（不含洁净车间）</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900</w:t>
            </w:r>
          </w:p>
        </w:tc>
        <w:tc>
          <w:tcPr>
            <w:tcW w:w="2957"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温度控制范围：16～28℃；</w:t>
            </w:r>
          </w:p>
          <w:p>
            <w:pPr>
              <w:widowControl w:val="0"/>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湿度控制范围：30～75%</w:t>
            </w: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4</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206#-C四层</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1700</w:t>
            </w:r>
          </w:p>
        </w:tc>
        <w:tc>
          <w:tcPr>
            <w:tcW w:w="2957"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5</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206#-B一层</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570（试验间）</w:t>
            </w:r>
          </w:p>
        </w:tc>
        <w:tc>
          <w:tcPr>
            <w:tcW w:w="2957"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湿度控制范围：30～75%</w:t>
            </w:r>
          </w:p>
        </w:tc>
        <w:tc>
          <w:tcPr>
            <w:tcW w:w="1551"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实现5.2.7.1中的1）、2）、4）、5）、6）</w:t>
            </w:r>
          </w:p>
        </w:tc>
        <w:tc>
          <w:tcPr>
            <w:tcW w:w="1551"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对该区域的湿度进行控制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6</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206#-B三层</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2500</w:t>
            </w:r>
          </w:p>
        </w:tc>
        <w:tc>
          <w:tcPr>
            <w:tcW w:w="2957"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7</w:t>
            </w:r>
          </w:p>
        </w:tc>
        <w:tc>
          <w:tcPr>
            <w:tcW w:w="196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206#-B四层</w:t>
            </w:r>
          </w:p>
        </w:tc>
        <w:tc>
          <w:tcPr>
            <w:tcW w:w="1584"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2500</w:t>
            </w:r>
          </w:p>
        </w:tc>
        <w:tc>
          <w:tcPr>
            <w:tcW w:w="2957"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551" w:type="dxa"/>
            <w:vMerge w:val="continue"/>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bl>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须列出设备配置清单并明确：1）设备主要功能参数及能耗指标；2）设备品牌、型号、单价、数量及选用必要性简单说明。</w:t>
      </w:r>
    </w:p>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选用的相关设备搭建的硬件系统和运行应符合相关行业标准和法律法规要求。</w:t>
      </w:r>
    </w:p>
    <w:p>
      <w:pPr>
        <w:widowControl w:val="0"/>
        <w:adjustRightInd w:val="0"/>
        <w:snapToGrid w:val="0"/>
        <w:spacing w:after="0" w:line="360" w:lineRule="auto"/>
        <w:contextualSpacing/>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根据GB50736-2012《民用建筑供热通风与空气调节设计规范》，绵阳地区室外设计参数见下表。</w:t>
      </w:r>
    </w:p>
    <w:tbl>
      <w:tblPr>
        <w:tblStyle w:val="31"/>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1197"/>
        <w:gridCol w:w="3203"/>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夏季空调室外计算干球温度</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32.6℃</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冬季空调室外计算干球温度</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夏季空调室外计算湿球温度</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26.4℃</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冬季空调室外计算相对湿度</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夏季空调计算日均温度</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29.2℃</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夏季通风室外计算相对湿度</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夏季通风室外计算干球温度</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28.5℃</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冬季通风室外计算干球温度</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夏季室外平均风速</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1.1m/s</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冬</w:t>
            </w:r>
            <w:r>
              <w:rPr>
                <w:rFonts w:hint="eastAsia" w:ascii="仿宋_GB2312" w:eastAsia="仿宋_GB2312" w:cs="仿宋_GB2312"/>
                <w:color w:val="auto"/>
                <w:sz w:val="24"/>
                <w:szCs w:val="24"/>
                <w:lang w:val="zh-CN" w:bidi="ar"/>
              </w:rPr>
              <w:t>季室外平均风速</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0.9m/s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夏季主导风向</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C ENE</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冬</w:t>
            </w:r>
            <w:r>
              <w:rPr>
                <w:rFonts w:hint="eastAsia" w:ascii="仿宋_GB2312" w:eastAsia="仿宋_GB2312" w:cs="仿宋_GB2312"/>
                <w:color w:val="auto"/>
                <w:sz w:val="24"/>
                <w:szCs w:val="24"/>
                <w:lang w:val="zh-CN" w:bidi="ar"/>
              </w:rPr>
              <w:t>季主导风向</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5"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val="zh-CN" w:bidi="ar"/>
              </w:rPr>
              <w:t>夏季大气压力</w:t>
            </w:r>
          </w:p>
        </w:tc>
        <w:tc>
          <w:tcPr>
            <w:tcW w:w="1197"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951.2hPa</w:t>
            </w:r>
          </w:p>
        </w:tc>
        <w:tc>
          <w:tcPr>
            <w:tcW w:w="3203"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冬</w:t>
            </w:r>
            <w:r>
              <w:rPr>
                <w:rFonts w:hint="eastAsia" w:ascii="仿宋_GB2312" w:eastAsia="仿宋_GB2312" w:cs="仿宋_GB2312"/>
                <w:color w:val="auto"/>
                <w:sz w:val="24"/>
                <w:szCs w:val="24"/>
                <w:lang w:val="zh-CN" w:bidi="ar"/>
              </w:rPr>
              <w:t>季大气压力</w:t>
            </w:r>
          </w:p>
        </w:tc>
        <w:tc>
          <w:tcPr>
            <w:tcW w:w="1212" w:type="dxa"/>
          </w:tcPr>
          <w:p>
            <w:pPr>
              <w:widowControl w:val="0"/>
              <w:adjustRightInd w:val="0"/>
              <w:snapToGrid w:val="0"/>
              <w:spacing w:after="0" w:line="360" w:lineRule="auto"/>
              <w:jc w:val="center"/>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967.3hPa</w:t>
            </w:r>
          </w:p>
        </w:tc>
      </w:tr>
    </w:tbl>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该系统中空调由招标方另行配置。</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能源消耗和节能</w:t>
      </w:r>
    </w:p>
    <w:p>
      <w:pPr>
        <w:widowControl w:val="0"/>
        <w:numPr>
          <w:ilvl w:val="0"/>
          <w:numId w:val="78"/>
        </w:numPr>
        <w:adjustRightInd w:val="0"/>
        <w:snapToGrid w:val="0"/>
        <w:spacing w:after="0" w:line="360" w:lineRule="auto"/>
        <w:ind w:firstLine="640"/>
        <w:jc w:val="both"/>
        <w:rPr>
          <w:rFonts w:hint="eastAsia" w:ascii="仿宋" w:hAnsi="仿宋" w:eastAsia="仿宋" w:cs="Times New Roman"/>
          <w:b/>
          <w:bCs/>
          <w:color w:val="auto"/>
          <w:sz w:val="24"/>
          <w:szCs w:val="24"/>
        </w:rPr>
      </w:pPr>
      <w:r>
        <w:rPr>
          <w:rFonts w:hint="eastAsia" w:ascii="仿宋_GB2312" w:eastAsia="仿宋_GB2312" w:cs="仿宋_GB2312"/>
          <w:color w:val="auto"/>
          <w:sz w:val="24"/>
          <w:szCs w:val="24"/>
          <w:lang w:bidi="ar"/>
        </w:rPr>
        <w:t>温湿度控制系统的建设在软件设计和硬件配置方面，应兼顾系统功能和节能。</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性能指标</w:t>
      </w:r>
    </w:p>
    <w:p>
      <w:pPr>
        <w:widowControl w:val="0"/>
        <w:adjustRightInd w:val="0"/>
        <w:snapToGrid w:val="0"/>
        <w:spacing w:after="0" w:line="360" w:lineRule="auto"/>
        <w:ind w:left="420" w:firstLine="42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控制器：PLC 智能触摸屏</w:t>
      </w:r>
    </w:p>
    <w:p>
      <w:pPr>
        <w:widowControl w:val="0"/>
        <w:adjustRightInd w:val="0"/>
        <w:snapToGrid w:val="0"/>
        <w:spacing w:after="0" w:line="360" w:lineRule="auto"/>
        <w:contextualSpacing/>
        <w:jc w:val="both"/>
        <w:rPr>
          <w:rFonts w:hint="eastAsia" w:ascii="仿宋" w:hAnsi="仿宋" w:eastAsia="仿宋"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通过具备校准资质的机构校准并提供证书。</w:t>
      </w:r>
    </w:p>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bookmarkStart w:id="155" w:name="_Toc50973249"/>
      <w:bookmarkEnd w:id="155"/>
      <w:r>
        <w:rPr>
          <w:rFonts w:hint="eastAsia" w:ascii="仿宋_GB2312" w:eastAsia="仿宋_GB2312" w:cs="仿宋_GB2312"/>
          <w:color w:val="auto"/>
          <w:sz w:val="24"/>
          <w:szCs w:val="24"/>
          <w:lang w:bidi="ar"/>
        </w:rPr>
        <w:t>基本配置</w:t>
      </w:r>
    </w:p>
    <w:p>
      <w:pPr>
        <w:widowControl w:val="0"/>
        <w:adjustRightInd w:val="0"/>
        <w:snapToGrid w:val="0"/>
        <w:spacing w:after="0" w:line="360" w:lineRule="auto"/>
        <w:ind w:left="420" w:firstLine="420"/>
        <w:jc w:val="both"/>
        <w:rPr>
          <w:rFonts w:hint="eastAsia" w:ascii="仿宋" w:hAnsi="仿宋" w:eastAsia="仿宋" w:cs="Times New Roman"/>
          <w:color w:val="auto"/>
          <w:sz w:val="24"/>
          <w:szCs w:val="24"/>
        </w:rPr>
      </w:pPr>
      <w:r>
        <w:rPr>
          <w:rFonts w:hint="eastAsia" w:ascii="仿宋_GB2312" w:eastAsia="仿宋_GB2312" w:cs="仿宋_GB2312"/>
          <w:color w:val="auto"/>
          <w:sz w:val="24"/>
          <w:szCs w:val="24"/>
          <w:lang w:bidi="ar"/>
        </w:rPr>
        <w:t>系统的基本配置见下表。</w:t>
      </w:r>
    </w:p>
    <w:tbl>
      <w:tblPr>
        <w:tblStyle w:val="30"/>
        <w:tblW w:w="8404" w:type="dxa"/>
        <w:jc w:val="center"/>
        <w:tblLayout w:type="fixed"/>
        <w:tblCellMar>
          <w:top w:w="0" w:type="dxa"/>
          <w:left w:w="108" w:type="dxa"/>
          <w:bottom w:w="0" w:type="dxa"/>
          <w:right w:w="108" w:type="dxa"/>
        </w:tblCellMar>
      </w:tblPr>
      <w:tblGrid>
        <w:gridCol w:w="984"/>
        <w:gridCol w:w="1067"/>
        <w:gridCol w:w="2463"/>
        <w:gridCol w:w="1173"/>
        <w:gridCol w:w="2717"/>
      </w:tblGrid>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shd w:val="clear" w:color="000000" w:fill="B4C6E7"/>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序号</w:t>
            </w:r>
          </w:p>
        </w:tc>
        <w:tc>
          <w:tcPr>
            <w:tcW w:w="1067" w:type="dxa"/>
            <w:tcBorders>
              <w:top w:val="single" w:color="auto" w:sz="4" w:space="0"/>
              <w:left w:val="single" w:color="auto" w:sz="4" w:space="0"/>
              <w:bottom w:val="single" w:color="auto" w:sz="4" w:space="0"/>
              <w:right w:val="single" w:color="auto" w:sz="4" w:space="0"/>
            </w:tcBorders>
            <w:shd w:val="clear" w:color="000000" w:fill="B4C6E7"/>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类别</w:t>
            </w:r>
          </w:p>
        </w:tc>
        <w:tc>
          <w:tcPr>
            <w:tcW w:w="2463" w:type="dxa"/>
            <w:tcBorders>
              <w:top w:val="single" w:color="auto" w:sz="4" w:space="0"/>
              <w:left w:val="single" w:color="auto" w:sz="4" w:space="0"/>
              <w:bottom w:val="single" w:color="auto" w:sz="4" w:space="0"/>
              <w:right w:val="single" w:color="auto" w:sz="4" w:space="0"/>
            </w:tcBorders>
            <w:shd w:val="clear" w:color="000000" w:fill="B4C6E7"/>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名称</w:t>
            </w:r>
          </w:p>
        </w:tc>
        <w:tc>
          <w:tcPr>
            <w:tcW w:w="1173" w:type="dxa"/>
            <w:tcBorders>
              <w:top w:val="single" w:color="auto" w:sz="4" w:space="0"/>
              <w:left w:val="single" w:color="auto" w:sz="4" w:space="0"/>
              <w:bottom w:val="single" w:color="auto" w:sz="4" w:space="0"/>
              <w:right w:val="single" w:color="auto" w:sz="4" w:space="0"/>
            </w:tcBorders>
            <w:shd w:val="clear" w:color="000000" w:fill="B4C6E7"/>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单位</w:t>
            </w:r>
          </w:p>
        </w:tc>
        <w:tc>
          <w:tcPr>
            <w:tcW w:w="2717" w:type="dxa"/>
            <w:tcBorders>
              <w:top w:val="single" w:color="auto" w:sz="4" w:space="0"/>
              <w:left w:val="single" w:color="auto" w:sz="4" w:space="0"/>
              <w:bottom w:val="single" w:color="auto" w:sz="4" w:space="0"/>
              <w:right w:val="single" w:color="auto" w:sz="4" w:space="0"/>
            </w:tcBorders>
            <w:shd w:val="clear" w:color="000000" w:fill="B4C6E7"/>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数量</w:t>
            </w: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w:t>
            </w:r>
          </w:p>
        </w:tc>
        <w:tc>
          <w:tcPr>
            <w:tcW w:w="1067" w:type="dxa"/>
            <w:vMerge w:val="restart"/>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软件</w:t>
            </w: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温湿度检测</w:t>
            </w:r>
          </w:p>
        </w:tc>
        <w:tc>
          <w:tcPr>
            <w:tcW w:w="1173" w:type="dxa"/>
            <w:vMerge w:val="restart"/>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套</w:t>
            </w:r>
          </w:p>
        </w:tc>
        <w:tc>
          <w:tcPr>
            <w:tcW w:w="2717" w:type="dxa"/>
            <w:vMerge w:val="restart"/>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w:t>
            </w: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w:t>
            </w:r>
          </w:p>
        </w:tc>
        <w:tc>
          <w:tcPr>
            <w:tcW w:w="106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数据分析</w:t>
            </w:r>
          </w:p>
        </w:tc>
        <w:tc>
          <w:tcPr>
            <w:tcW w:w="1173"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3</w:t>
            </w:r>
          </w:p>
        </w:tc>
        <w:tc>
          <w:tcPr>
            <w:tcW w:w="106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数据记录</w:t>
            </w:r>
          </w:p>
        </w:tc>
        <w:tc>
          <w:tcPr>
            <w:tcW w:w="1173"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4</w:t>
            </w:r>
          </w:p>
        </w:tc>
        <w:tc>
          <w:tcPr>
            <w:tcW w:w="106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监控和控制</w:t>
            </w:r>
          </w:p>
        </w:tc>
        <w:tc>
          <w:tcPr>
            <w:tcW w:w="1173"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5</w:t>
            </w:r>
          </w:p>
        </w:tc>
        <w:tc>
          <w:tcPr>
            <w:tcW w:w="106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报警和信息推送</w:t>
            </w:r>
          </w:p>
        </w:tc>
        <w:tc>
          <w:tcPr>
            <w:tcW w:w="1173"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6</w:t>
            </w:r>
          </w:p>
        </w:tc>
        <w:tc>
          <w:tcPr>
            <w:tcW w:w="106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故障诊断及预警</w:t>
            </w:r>
          </w:p>
        </w:tc>
        <w:tc>
          <w:tcPr>
            <w:tcW w:w="1173"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7</w:t>
            </w:r>
          </w:p>
        </w:tc>
        <w:tc>
          <w:tcPr>
            <w:tcW w:w="1067" w:type="dxa"/>
            <w:vMerge w:val="restart"/>
            <w:tcBorders>
              <w:top w:val="single" w:color="auto" w:sz="4" w:space="0"/>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硬件</w:t>
            </w: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服务器</w:t>
            </w:r>
          </w:p>
        </w:tc>
        <w:tc>
          <w:tcPr>
            <w:tcW w:w="117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个</w:t>
            </w:r>
          </w:p>
        </w:tc>
        <w:tc>
          <w:tcPr>
            <w:tcW w:w="2717" w:type="dxa"/>
            <w:vMerge w:val="restart"/>
            <w:tcBorders>
              <w:top w:val="single" w:color="auto" w:sz="4" w:space="0"/>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根据实施情况进行配置</w:t>
            </w:r>
          </w:p>
        </w:tc>
      </w:tr>
      <w:tr>
        <w:tblPrEx>
          <w:tblCellMar>
            <w:top w:w="0" w:type="dxa"/>
            <w:left w:w="108" w:type="dxa"/>
            <w:bottom w:w="0" w:type="dxa"/>
            <w:right w:w="108" w:type="dxa"/>
          </w:tblCellMar>
        </w:tblPrEx>
        <w:trPr>
          <w:trHeight w:val="50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8</w:t>
            </w:r>
          </w:p>
        </w:tc>
        <w:tc>
          <w:tcPr>
            <w:tcW w:w="106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交换机</w:t>
            </w:r>
          </w:p>
        </w:tc>
        <w:tc>
          <w:tcPr>
            <w:tcW w:w="117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个</w:t>
            </w:r>
          </w:p>
        </w:tc>
        <w:tc>
          <w:tcPr>
            <w:tcW w:w="271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539"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9</w:t>
            </w:r>
          </w:p>
        </w:tc>
        <w:tc>
          <w:tcPr>
            <w:tcW w:w="106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加湿设备</w:t>
            </w:r>
          </w:p>
        </w:tc>
        <w:tc>
          <w:tcPr>
            <w:tcW w:w="1173"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套</w:t>
            </w:r>
          </w:p>
        </w:tc>
        <w:tc>
          <w:tcPr>
            <w:tcW w:w="271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498"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10</w:t>
            </w:r>
          </w:p>
        </w:tc>
        <w:tc>
          <w:tcPr>
            <w:tcW w:w="106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除湿设备</w:t>
            </w:r>
          </w:p>
        </w:tc>
        <w:tc>
          <w:tcPr>
            <w:tcW w:w="117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套</w:t>
            </w:r>
          </w:p>
        </w:tc>
        <w:tc>
          <w:tcPr>
            <w:tcW w:w="271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498"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11</w:t>
            </w:r>
          </w:p>
        </w:tc>
        <w:tc>
          <w:tcPr>
            <w:tcW w:w="106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传感器</w:t>
            </w:r>
          </w:p>
        </w:tc>
        <w:tc>
          <w:tcPr>
            <w:tcW w:w="117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个</w:t>
            </w:r>
          </w:p>
        </w:tc>
        <w:tc>
          <w:tcPr>
            <w:tcW w:w="2717" w:type="dxa"/>
            <w:vMerge w:val="continue"/>
            <w:tcBorders>
              <w:left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r>
        <w:tblPrEx>
          <w:tblCellMar>
            <w:top w:w="0" w:type="dxa"/>
            <w:left w:w="108" w:type="dxa"/>
            <w:bottom w:w="0" w:type="dxa"/>
            <w:right w:w="108" w:type="dxa"/>
          </w:tblCellMar>
        </w:tblPrEx>
        <w:trPr>
          <w:trHeight w:val="498"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12</w:t>
            </w:r>
          </w:p>
        </w:tc>
        <w:tc>
          <w:tcPr>
            <w:tcW w:w="1067" w:type="dxa"/>
            <w:vMerge w:val="continue"/>
            <w:tcBorders>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46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w:t>
            </w:r>
          </w:p>
        </w:tc>
        <w:tc>
          <w:tcPr>
            <w:tcW w:w="1173" w:type="dxa"/>
            <w:tcBorders>
              <w:top w:val="single" w:color="auto" w:sz="4" w:space="0"/>
              <w:left w:val="nil"/>
              <w:bottom w:val="single" w:color="auto" w:sz="4" w:space="0"/>
              <w:right w:val="single" w:color="auto" w:sz="4" w:space="0"/>
            </w:tcBorders>
            <w:noWrap/>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717" w:type="dxa"/>
            <w:vMerge w:val="continue"/>
            <w:tcBorders>
              <w:left w:val="single" w:color="auto" w:sz="4" w:space="0"/>
              <w:bottom w:val="single" w:color="auto" w:sz="4" w:space="0"/>
              <w:right w:val="single" w:color="auto" w:sz="4" w:space="0"/>
            </w:tcBorders>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p>
        </w:tc>
      </w:tr>
    </w:tbl>
    <w:p>
      <w:pPr>
        <w:widowControl w:val="0"/>
        <w:numPr>
          <w:ilvl w:val="3"/>
          <w:numId w:val="54"/>
        </w:numPr>
        <w:adjustRightInd w:val="0"/>
        <w:snapToGrid w:val="0"/>
        <w:spacing w:after="0" w:line="360" w:lineRule="auto"/>
        <w:jc w:val="both"/>
        <w:outlineLvl w:val="3"/>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可靠性及维修性要求</w:t>
      </w:r>
    </w:p>
    <w:p>
      <w:pPr>
        <w:widowControl w:val="0"/>
        <w:numPr>
          <w:ilvl w:val="4"/>
          <w:numId w:val="54"/>
        </w:numPr>
        <w:adjustRightInd w:val="0"/>
        <w:snapToGrid w:val="0"/>
        <w:spacing w:after="0" w:line="360" w:lineRule="auto"/>
        <w:jc w:val="both"/>
        <w:outlineLvl w:val="4"/>
        <w:rPr>
          <w:rFonts w:hint="eastAsia" w:ascii="仿宋" w:hAnsi="仿宋" w:eastAsia="仿宋" w:cs="Times New Roman"/>
          <w:b/>
          <w:bCs/>
          <w:color w:val="auto"/>
          <w:sz w:val="24"/>
          <w:szCs w:val="24"/>
        </w:rPr>
      </w:pPr>
      <w:r>
        <w:rPr>
          <w:rFonts w:hint="eastAsia" w:ascii="仿宋_GB2312" w:eastAsia="仿宋_GB2312" w:cs="仿宋_GB2312"/>
          <w:color w:val="auto"/>
          <w:sz w:val="24"/>
          <w:szCs w:val="24"/>
          <w:lang w:bidi="ar"/>
        </w:rPr>
        <w:t xml:space="preserve"> 可靠性</w:t>
      </w:r>
    </w:p>
    <w:p>
      <w:pPr>
        <w:widowControl w:val="0"/>
        <w:numPr>
          <w:ilvl w:val="4"/>
          <w:numId w:val="7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硬件质量标准：关键组件（如温湿度传感器、控制器）需采用高精度、长寿命设计；采用标准 TCP/IP 通信协议，保证传输的快速稳定、可靠。</w:t>
      </w:r>
    </w:p>
    <w:p>
      <w:pPr>
        <w:widowControl w:val="0"/>
        <w:numPr>
          <w:ilvl w:val="4"/>
          <w:numId w:val="7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冗余与容错机制：关键点位支持双传感器冗余配置，当主传感器故障时自动切换备用设备，避免监测中断。系统需具备断点续传功能，在通信中断时缓存数据，恢复后自动上传，防止数据丢失。</w:t>
      </w:r>
    </w:p>
    <w:p>
      <w:pPr>
        <w:widowControl w:val="0"/>
        <w:numPr>
          <w:ilvl w:val="4"/>
          <w:numId w:val="7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智能诊断与预警：实时监测设备状态，异常时触发声光报警（同时放置在库房内外区域）等多级预警机制（如温湿度超标、传感器断线等）。内置自检程序，定期校准传感器精度，确保长期运行的准确性。</w:t>
      </w:r>
    </w:p>
    <w:p>
      <w:pPr>
        <w:widowControl w:val="0"/>
        <w:numPr>
          <w:ilvl w:val="4"/>
          <w:numId w:val="79"/>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_GB2312" w:eastAsia="仿宋_GB2312" w:cs="仿宋_GB2312"/>
          <w:color w:val="auto"/>
          <w:sz w:val="24"/>
          <w:szCs w:val="24"/>
          <w:lang w:bidi="ar"/>
        </w:rPr>
        <w:t>环境适应性：需覆盖宽范围温湿度控制。</w:t>
      </w:r>
    </w:p>
    <w:p>
      <w:pPr>
        <w:widowControl w:val="0"/>
        <w:numPr>
          <w:ilvl w:val="4"/>
          <w:numId w:val="54"/>
        </w:numPr>
        <w:adjustRightInd w:val="0"/>
        <w:snapToGrid w:val="0"/>
        <w:spacing w:after="0" w:line="360" w:lineRule="auto"/>
        <w:jc w:val="both"/>
        <w:outlineLvl w:val="4"/>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维修性</w:t>
      </w:r>
    </w:p>
    <w:p>
      <w:pPr>
        <w:widowControl w:val="0"/>
        <w:numPr>
          <w:ilvl w:val="4"/>
          <w:numId w:val="8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模块化与标准化设计：控制器、传感器、执行机构采用模块化设计，支持快速插拔更换，减少停机时间。</w:t>
      </w:r>
    </w:p>
    <w:p>
      <w:pPr>
        <w:widowControl w:val="0"/>
        <w:numPr>
          <w:ilvl w:val="4"/>
          <w:numId w:val="8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接口标准化，便于与其他系统集成和维护。</w:t>
      </w:r>
    </w:p>
    <w:p>
      <w:pPr>
        <w:widowControl w:val="0"/>
        <w:numPr>
          <w:ilvl w:val="4"/>
          <w:numId w:val="8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远程维护与诊断：支持远程监控和参数调整（通过上位机软件），降低现场维护频率。提供故障日志记录功能，便于定位问题根源（如传感器偏移、通信故障等）。</w:t>
      </w:r>
    </w:p>
    <w:p>
      <w:pPr>
        <w:widowControl w:val="0"/>
        <w:numPr>
          <w:ilvl w:val="4"/>
          <w:numId w:val="8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维护周期与备件管理：明确关键部件的维护周期。选择延续性供货周期长的设备，确保备件可及时更换。</w:t>
      </w:r>
    </w:p>
    <w:p>
      <w:pPr>
        <w:widowControl w:val="0"/>
        <w:numPr>
          <w:ilvl w:val="4"/>
          <w:numId w:val="80"/>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人机交互优化：配备直观的触控屏或LED界面，便于现场参数设置和状态查询。提供详细的操作手册和故障代码说明，详细、准确地描述产品的构造、维修方法和维修技巧，缩短维修人员培训周期。</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工作台</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收货待验区工位数量总需求2个，质检区工位数量总需求5个，存储区工位数量总需求3个。每个工位设置1个工作台及1套附属设备（附带防静电坐凳、灯光指示装置、台式机、工业插座、网口、置物架等配置)。</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作业工位采用防静电工作台，工作台整体承重可达100kg。</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每个工位配置1套台式机、1把扫码枪,满足工位扫码报工需求，具备作业信息查询功能。</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工作台规格满足作业需求（参考尺寸：收货待验区1200mm（长）×800mm（宽）×800mm（桌面高）1台，900mm（长）×800mm（宽）×800mm（桌面高）1台；质检区2000mm（长）×1000mm（宽）×800mm（桌面高）5台；存储区900mm（长）×800mm（宽）×800mm（桌面高）3台。）</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每个工作台五孔工业插座数量≥4个，网口2个。</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每个工作台配备LED照明灯1个，灯光照度满足生产作业照明要求，</w:t>
      </w:r>
      <w:r>
        <w:rPr>
          <w:rFonts w:hint="eastAsia" w:ascii="仿宋" w:hAnsi="仿宋" w:eastAsia="仿宋" w:cs="Times New Roman"/>
          <w:color w:val="auto"/>
          <w:sz w:val="24"/>
          <w:szCs w:val="24"/>
        </w:rPr>
        <w:t>垂直作业面避免强光直射或阴影。</w:t>
      </w:r>
      <w:r>
        <w:rPr>
          <w:rFonts w:hint="eastAsia" w:ascii="仿宋_GB2312" w:eastAsia="仿宋_GB2312" w:cs="仿宋_GB2312"/>
          <w:color w:val="auto"/>
          <w:sz w:val="24"/>
          <w:szCs w:val="24"/>
          <w:lang w:bidi="ar"/>
        </w:rPr>
        <w:t>工位配备三色指示灯用于报故、物料到位提醒等，符合国家相关标准。</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工作台需与辊筒线无缝对接，需考虑人工取送产品方式，充分考虑人工学因素，人员可在舒适的角度及范围内完成器件的拣选作业。</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激光条码扫描枪扫描模式：二维影像扫描(838×640像素)；运动容差：高达1500mm/s。型号规格为市面常见品牌的型号规格。</w:t>
      </w:r>
    </w:p>
    <w:p>
      <w:pPr>
        <w:widowControl w:val="0"/>
        <w:numPr>
          <w:ilvl w:val="4"/>
          <w:numId w:val="81"/>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台式机：14代i5/16GB DDR4/512G固态硬盘+2T机械硬盘/23.8英寸触摸屏/有线键鼠套装。</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看板</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配置3台看板，尺寸不小于55寸，可视角度不小于175°。</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内存不低于8G，硬盘不低于256G。</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支持HDMI、USB、VGA等多种接口类型。支持OPS电脑插槽、Type-c接口等扩展功能。</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具备高分辨率（4K及以上）与清晰度，亮度不小于300cd/m</w:t>
      </w:r>
      <w:r>
        <w:rPr>
          <w:rFonts w:eastAsia="仿宋_GB2312"/>
          <w:color w:val="auto"/>
          <w:sz w:val="24"/>
          <w:szCs w:val="24"/>
          <w:lang w:bidi="ar"/>
        </w:rPr>
        <w:t>²</w:t>
      </w:r>
      <w:r>
        <w:rPr>
          <w:rFonts w:hint="eastAsia" w:ascii="仿宋" w:hAnsi="仿宋" w:eastAsia="仿宋" w:cs="仿宋"/>
          <w:color w:val="auto"/>
          <w:sz w:val="24"/>
          <w:szCs w:val="24"/>
          <w:lang w:bidi="ar"/>
        </w:rPr>
        <w:t>，对比度不小于</w:t>
      </w:r>
      <w:r>
        <w:rPr>
          <w:rFonts w:hint="eastAsia" w:ascii="仿宋_GB2312" w:eastAsia="仿宋_GB2312" w:cs="仿宋_GB2312"/>
          <w:color w:val="auto"/>
          <w:sz w:val="24"/>
          <w:szCs w:val="24"/>
          <w:lang w:bidi="ar"/>
        </w:rPr>
        <w:t>3000:1。</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动态显示仓储关键指标，如出入库数量、待处理物料状态、设备状态等，并可根据需求制定对应内容与展示样式。</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支持多维度数据呈现，柱状图、热力图、甘特图等，支持自定义报表和看板，需适配不同岗位需求，如管理层看宏观指标，操作层看任务明细。</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设备故障、库存短缺或积压等场景自动触发警报。</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数据可实时更新，避免画面卡顿和延迟，刷新率不小于60Hz，快速响应用户操作。</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支持与生产其它系统的数据API对接和集成。</w:t>
      </w:r>
    </w:p>
    <w:p>
      <w:pPr>
        <w:widowControl w:val="0"/>
        <w:numPr>
          <w:ilvl w:val="4"/>
          <w:numId w:val="82"/>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选择市面知名品牌。</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数据接口、数据访问要求</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接口总体要求：</w:t>
      </w:r>
    </w:p>
    <w:p>
      <w:pPr>
        <w:widowControl w:val="0"/>
        <w:numPr>
          <w:ilvl w:val="4"/>
          <w:numId w:val="83"/>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数据传输要求：数据传输需保证100%准确性；实时性方面，数据传输响应时间应不超过1秒，关键任务数据响应时间不超过0.5秒。</w:t>
      </w:r>
      <w:r>
        <w:rPr>
          <w:rFonts w:ascii="Cambria Math" w:hAnsi="Cambria Math" w:eastAsia="仿宋_GB2312" w:cs="Cambria Math"/>
          <w:color w:val="auto"/>
          <w:sz w:val="24"/>
          <w:szCs w:val="24"/>
          <w:lang w:bidi="ar"/>
        </w:rPr>
        <w:t>​</w:t>
      </w:r>
    </w:p>
    <w:p>
      <w:pPr>
        <w:widowControl w:val="0"/>
        <w:numPr>
          <w:ilvl w:val="4"/>
          <w:numId w:val="83"/>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安全要求：采用身份认证机制，对访问接口的系统进行身份验证，只有通过验证的系统才能进行数据交互；同时对传输的数据进行加密处理，可采用 SSL/TLS 等加密协议，防止数据泄露或被篡改。</w:t>
      </w:r>
      <w:r>
        <w:rPr>
          <w:rFonts w:ascii="Cambria Math" w:hAnsi="Cambria Math" w:eastAsia="仿宋_GB2312" w:cs="Cambria Math"/>
          <w:color w:val="auto"/>
          <w:sz w:val="24"/>
          <w:szCs w:val="24"/>
          <w:lang w:bidi="ar"/>
        </w:rPr>
        <w:t>​</w:t>
      </w:r>
    </w:p>
    <w:p>
      <w:pPr>
        <w:widowControl w:val="0"/>
        <w:numPr>
          <w:ilvl w:val="4"/>
          <w:numId w:val="83"/>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接口协议：优先采用行业通用的TCP/IP标准化协议，确保不同厂商系统之间的兼容性，具有本地和远程通讯、控制功能。</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接口测试要求</w:t>
      </w:r>
      <w:r>
        <w:rPr>
          <w:rFonts w:ascii="Cambria Math" w:hAnsi="Cambria Math" w:eastAsia="仿宋_GB2312" w:cs="Cambria Math"/>
          <w:color w:val="auto"/>
          <w:sz w:val="24"/>
          <w:szCs w:val="24"/>
          <w:lang w:bidi="ar"/>
        </w:rPr>
        <w:t>​</w:t>
      </w:r>
    </w:p>
    <w:p>
      <w:pPr>
        <w:widowControl w:val="0"/>
        <w:numPr>
          <w:ilvl w:val="4"/>
          <w:numId w:val="8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测试方法：采用黑盒测试方法，模拟各系统之间的正常数据交互和异常情况，验证接口的功能正确性、数据准确性、实时性和安全性。</w:t>
      </w:r>
      <w:r>
        <w:rPr>
          <w:rFonts w:ascii="Cambria Math" w:hAnsi="Cambria Math" w:eastAsia="仿宋_GB2312" w:cs="Cambria Math"/>
          <w:color w:val="auto"/>
          <w:sz w:val="24"/>
          <w:szCs w:val="24"/>
          <w:lang w:bidi="ar"/>
        </w:rPr>
        <w:t>​</w:t>
      </w:r>
    </w:p>
    <w:p>
      <w:pPr>
        <w:widowControl w:val="0"/>
        <w:numPr>
          <w:ilvl w:val="4"/>
          <w:numId w:val="8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测试指标：接口调用成功率应达到100%；数据传输准确率100%；响应时间符合总体要求中的实时性规定；安全机制有效，无数据泄露和被篡改情况。</w:t>
      </w:r>
      <w:r>
        <w:rPr>
          <w:rFonts w:ascii="Cambria Math" w:hAnsi="Cambria Math" w:eastAsia="仿宋_GB2312" w:cs="Cambria Math"/>
          <w:color w:val="auto"/>
          <w:sz w:val="24"/>
          <w:szCs w:val="24"/>
          <w:lang w:bidi="ar"/>
        </w:rPr>
        <w:t>​</w:t>
      </w:r>
    </w:p>
    <w:p>
      <w:pPr>
        <w:widowControl w:val="0"/>
        <w:numPr>
          <w:ilvl w:val="4"/>
          <w:numId w:val="8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测试环境：搭建与实际生产环境一致的测试环境，包括各系统的硬件设备、软件版本和网络环境。</w:t>
      </w:r>
      <w:r>
        <w:rPr>
          <w:rFonts w:ascii="Cambria Math" w:hAnsi="Cambria Math" w:eastAsia="仿宋_GB2312" w:cs="Cambria Math"/>
          <w:color w:val="auto"/>
          <w:sz w:val="24"/>
          <w:szCs w:val="24"/>
          <w:lang w:bidi="ar"/>
        </w:rPr>
        <w:t>​</w:t>
      </w:r>
    </w:p>
    <w:p>
      <w:pPr>
        <w:widowControl w:val="0"/>
        <w:numPr>
          <w:ilvl w:val="4"/>
          <w:numId w:val="84"/>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测试报告：测试完成后，应生成详细的测试报告，包含测试用例、测试结果、问题清单及整改建议。</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接口验收要求</w:t>
      </w:r>
      <w:r>
        <w:rPr>
          <w:rFonts w:ascii="Cambria Math" w:hAnsi="Cambria Math" w:eastAsia="仿宋_GB2312" w:cs="Cambria Math"/>
          <w:color w:val="auto"/>
          <w:sz w:val="24"/>
          <w:szCs w:val="24"/>
          <w:lang w:bidi="ar"/>
        </w:rPr>
        <w:t>​</w:t>
      </w:r>
    </w:p>
    <w:p>
      <w:pPr>
        <w:widowControl w:val="0"/>
        <w:numPr>
          <w:ilvl w:val="4"/>
          <w:numId w:val="8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验收标准：接口功能满足本协议中的各项要求；测试指标达到规定标准；接口运行稳定，连续 72 小时无故障。</w:t>
      </w:r>
    </w:p>
    <w:p>
      <w:pPr>
        <w:widowControl w:val="0"/>
        <w:numPr>
          <w:ilvl w:val="4"/>
          <w:numId w:val="8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验收流程：投标方完成接口开发和测试后，向招标方提交验收申请和相关文档；招标方组织技术人员进行验收测试；测试通过后，双方签署验收报告。</w:t>
      </w:r>
      <w:r>
        <w:rPr>
          <w:rFonts w:ascii="Cambria Math" w:hAnsi="Cambria Math" w:eastAsia="仿宋_GB2312" w:cs="Cambria Math"/>
          <w:color w:val="auto"/>
          <w:sz w:val="24"/>
          <w:szCs w:val="24"/>
          <w:lang w:bidi="ar"/>
        </w:rPr>
        <w:t>​</w:t>
      </w:r>
    </w:p>
    <w:p>
      <w:pPr>
        <w:widowControl w:val="0"/>
        <w:numPr>
          <w:ilvl w:val="4"/>
          <w:numId w:val="85"/>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争议解决：验收过程中如出现争议，双方应友好协商解决，协商不成的，按照相关法律法规处理。</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接口维护要求</w:t>
      </w:r>
      <w:r>
        <w:rPr>
          <w:rFonts w:ascii="Cambria Math" w:hAnsi="Cambria Math" w:eastAsia="仿宋_GB2312" w:cs="Cambria Math"/>
          <w:color w:val="auto"/>
          <w:sz w:val="24"/>
          <w:szCs w:val="24"/>
          <w:lang w:bidi="ar"/>
        </w:rPr>
        <w:t>​</w:t>
      </w:r>
    </w:p>
    <w:p>
      <w:pPr>
        <w:widowControl w:val="0"/>
        <w:numPr>
          <w:ilvl w:val="4"/>
          <w:numId w:val="8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责任划分：接口的日常维护由双方指定的技术人员负责，乙方负责接口的技术支持和故障修复，甲方配合进行相关测试和验证。</w:t>
      </w:r>
      <w:r>
        <w:rPr>
          <w:rFonts w:ascii="Cambria Math" w:hAnsi="Cambria Math" w:eastAsia="仿宋_GB2312" w:cs="Cambria Math"/>
          <w:color w:val="auto"/>
          <w:sz w:val="24"/>
          <w:szCs w:val="24"/>
          <w:lang w:bidi="ar"/>
        </w:rPr>
        <w:t>​</w:t>
      </w:r>
    </w:p>
    <w:p>
      <w:pPr>
        <w:widowControl w:val="0"/>
        <w:numPr>
          <w:ilvl w:val="4"/>
          <w:numId w:val="8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故障处理：当接口出现故障时，维护人员应在30分钟内响应，2小时内查明原因，4小时内解决一般故障，重大故障应在24小时内解决。</w:t>
      </w:r>
      <w:r>
        <w:rPr>
          <w:rFonts w:ascii="Cambria Math" w:hAnsi="Cambria Math" w:eastAsia="仿宋_GB2312" w:cs="Cambria Math"/>
          <w:color w:val="auto"/>
          <w:sz w:val="24"/>
          <w:szCs w:val="24"/>
          <w:lang w:bidi="ar"/>
        </w:rPr>
        <w:t>​</w:t>
      </w:r>
    </w:p>
    <w:p>
      <w:pPr>
        <w:widowControl w:val="0"/>
        <w:numPr>
          <w:ilvl w:val="4"/>
          <w:numId w:val="8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版本管理：接口版本发生变更时，应提前通知相关方，进行兼容性测试，确保各系统正常运行后再进行版本更新。</w:t>
      </w:r>
    </w:p>
    <w:p>
      <w:pPr>
        <w:widowControl w:val="0"/>
        <w:numPr>
          <w:ilvl w:val="4"/>
          <w:numId w:val="86"/>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日志管理：各系统应详细记录接口的调用日志，包括调用时间、调用方、接口名称、请求参数、响应结果等，日志保存时间不少于36个月。</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数据共享</w:t>
      </w:r>
    </w:p>
    <w:p>
      <w:pPr>
        <w:widowControl w:val="0"/>
        <w:numPr>
          <w:ilvl w:val="255"/>
          <w:numId w:val="0"/>
        </w:numPr>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支持多种标准接口接入（如RS232,RS422,RS485，RJ45等）配置并开放计算机通讯接口，通过标准通讯接口，实现实时测试数据和测试报告的数据共享。</w:t>
      </w:r>
    </w:p>
    <w:p>
      <w:pPr>
        <w:widowControl w:val="0"/>
        <w:numPr>
          <w:ilvl w:val="3"/>
          <w:numId w:val="54"/>
        </w:numPr>
        <w:spacing w:after="0" w:line="360" w:lineRule="auto"/>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数据接口要求</w:t>
      </w:r>
    </w:p>
    <w:p>
      <w:pPr>
        <w:widowControl w:val="0"/>
        <w:numPr>
          <w:ilvl w:val="4"/>
          <w:numId w:val="8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WCS系统：接收WMS系统系统下发的入库、出库、盘点、移库、自检、复位等指令并执行；向WMS系统反馈任务的执行状态；根据货位信息反馈货位实时占用状态；向WMS系统反馈设备状态等数据；向WMS系统反馈设备故障、货位异常等异常信息并触发声光警报等。</w:t>
      </w:r>
    </w:p>
    <w:p>
      <w:pPr>
        <w:widowControl w:val="0"/>
        <w:numPr>
          <w:ilvl w:val="4"/>
          <w:numId w:val="8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温湿度系统：接收WMS系统/MES系统下发温湿度设定、自检等指令并执行；向WMS系统/MES系统/反馈任务执行结果；向WMS系统/MES系统等系统反馈温湿度异常信息并触发声光警报等。</w:t>
      </w:r>
    </w:p>
    <w:p>
      <w:pPr>
        <w:widowControl w:val="0"/>
        <w:numPr>
          <w:ilvl w:val="4"/>
          <w:numId w:val="87"/>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其他：根据WMS系统、MES系统等系统业务需要提供相应的接口。</w:t>
      </w:r>
    </w:p>
    <w:p>
      <w:pPr>
        <w:widowControl w:val="0"/>
        <w:numPr>
          <w:ilvl w:val="3"/>
          <w:numId w:val="54"/>
        </w:numPr>
        <w:spacing w:after="0" w:line="360" w:lineRule="auto"/>
        <w:ind w:left="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免费开放数据协议：若采用标准通信协议，则甲方可通过标准协议实现数据的实时采集；若采用数据库软件，则乙方免费提供软件接口协议，配合甲方完成数据的获取，必要时可到甲方现场联合调试。</w:t>
      </w:r>
    </w:p>
    <w:p>
      <w:pPr>
        <w:widowControl w:val="0"/>
        <w:numPr>
          <w:ilvl w:val="3"/>
          <w:numId w:val="54"/>
        </w:numPr>
        <w:spacing w:after="0" w:line="360" w:lineRule="auto"/>
        <w:ind w:left="0"/>
        <w:contextualSpacing/>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操作系统：中文；优先选用 win10 或国产操作系统。</w:t>
      </w:r>
    </w:p>
    <w:p>
      <w:pPr>
        <w:widowControl w:val="0"/>
        <w:numPr>
          <w:ilvl w:val="2"/>
          <w:numId w:val="54"/>
        </w:numPr>
        <w:adjustRightInd w:val="0"/>
        <w:snapToGrid w:val="0"/>
        <w:spacing w:after="0" w:line="360" w:lineRule="auto"/>
        <w:jc w:val="both"/>
        <w:outlineLvl w:val="2"/>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收货待验区、存储区各配1台单室真空包装机，抽真空能力20 m</w:t>
      </w:r>
      <w:r>
        <w:rPr>
          <w:rFonts w:eastAsia="仿宋_GB2312"/>
          <w:color w:val="auto"/>
          <w:sz w:val="24"/>
          <w:szCs w:val="24"/>
          <w:lang w:bidi="ar"/>
        </w:rPr>
        <w:t>³</w:t>
      </w:r>
      <w:r>
        <w:rPr>
          <w:rFonts w:hint="eastAsia" w:ascii="仿宋_GB2312" w:eastAsia="仿宋_GB2312" w:cs="仿宋_GB2312"/>
          <w:color w:val="auto"/>
          <w:sz w:val="24"/>
          <w:szCs w:val="24"/>
          <w:lang w:bidi="ar"/>
        </w:rPr>
        <w:t>/h，工作循环40-60秒/次。</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根据仓储生产流程提供详细的全流程解决方案。</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仓储布局需考虑厂房内的柱子，实际实施前需实地测量确认。</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详细设计后需提供三维动画展示。</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提供至少3年免费质保期，质保期内免费进行系统维护、升级；设立7×24小时售后服务热线，接到故障报修后在规定响应时间内响应，在规定的故障解决时间内解决问题；定期回访客户，收集使用反馈，持续优化系统性能。</w:t>
      </w:r>
    </w:p>
    <w:p>
      <w:pPr>
        <w:widowControl w:val="0"/>
        <w:numPr>
          <w:ilvl w:val="4"/>
          <w:numId w:val="88"/>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实施中标投标方需制定详细项目实施计划，明确各阶段任务、时间节点和责任人；在规定时间内完成蓝图设计、详细设计工作；设备硬件安装、调试；系统集成、测试、上线工作；提供项目安装、调试、培训服务，确保公司相关人员熟练使用相关设备及系统。</w:t>
      </w:r>
    </w:p>
    <w:p>
      <w:pPr>
        <w:widowControl w:val="0"/>
        <w:numPr>
          <w:ilvl w:val="4"/>
          <w:numId w:val="88"/>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_GB2312" w:eastAsia="仿宋_GB2312" w:cs="仿宋_GB2312"/>
          <w:b/>
          <w:bCs/>
          <w:color w:val="auto"/>
          <w:sz w:val="24"/>
          <w:szCs w:val="24"/>
          <w:lang w:bidi="ar"/>
        </w:rPr>
        <w:t>★</w:t>
      </w:r>
      <w:r>
        <w:rPr>
          <w:rFonts w:hint="eastAsia" w:ascii="仿宋_GB2312" w:eastAsia="仿宋_GB2312" w:cs="仿宋_GB2312"/>
          <w:color w:val="auto"/>
          <w:sz w:val="24"/>
          <w:szCs w:val="24"/>
          <w:lang w:bidi="ar"/>
        </w:rPr>
        <w:t>本项目信息化系统和控制系统软件需拥有国内自主知识产权，软件著作权登记证为证明文件。</w:t>
      </w:r>
    </w:p>
    <w:p>
      <w:pPr>
        <w:widowControl w:val="0"/>
        <w:adjustRightInd w:val="0"/>
        <w:snapToGrid w:val="0"/>
        <w:spacing w:after="0" w:line="360" w:lineRule="auto"/>
        <w:rPr>
          <w:rFonts w:hint="eastAsia" w:ascii="仿宋" w:hAnsi="仿宋" w:eastAsia="仿宋" w:cs="Times New Roman"/>
          <w:color w:val="auto"/>
          <w:sz w:val="24"/>
          <w:szCs w:val="24"/>
        </w:rPr>
      </w:pPr>
      <w:r>
        <w:rPr>
          <w:rFonts w:hint="eastAsia" w:ascii="仿宋_GB2312" w:eastAsia="仿宋_GB2312" w:cs="仿宋_GB2312"/>
          <w:color w:val="auto"/>
          <w:sz w:val="24"/>
          <w:szCs w:val="24"/>
          <w:lang w:bidi="ar"/>
        </w:rPr>
        <w:t>关键设备、元件应选用知名品牌或同等级技术标准的替代品牌，详细品类、要求、名称、品牌见下表。</w:t>
      </w:r>
    </w:p>
    <w:tbl>
      <w:tblPr>
        <w:tblStyle w:val="31"/>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350"/>
        <w:gridCol w:w="2567"/>
        <w:gridCol w:w="1922"/>
        <w:gridCol w:w="3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序号</w:t>
            </w:r>
          </w:p>
        </w:tc>
        <w:tc>
          <w:tcPr>
            <w:tcW w:w="1350"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品类</w:t>
            </w:r>
          </w:p>
        </w:tc>
        <w:tc>
          <w:tcPr>
            <w:tcW w:w="2567"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要求</w:t>
            </w: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名称</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w:t>
            </w:r>
          </w:p>
        </w:tc>
        <w:tc>
          <w:tcPr>
            <w:tcW w:w="1350" w:type="dxa"/>
            <w:vMerge w:val="restart"/>
            <w:vAlign w:val="center"/>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r>
              <w:rPr>
                <w:rFonts w:hint="eastAsia" w:ascii="仿宋_GB2312" w:eastAsia="仿宋_GB2312" w:cs="仿宋_GB2312"/>
                <w:color w:val="auto"/>
                <w:spacing w:val="-11"/>
                <w:sz w:val="24"/>
                <w:szCs w:val="24"/>
                <w:lang w:bidi="ar"/>
              </w:rPr>
              <w:t>电气元器件</w:t>
            </w:r>
          </w:p>
        </w:tc>
        <w:tc>
          <w:tcPr>
            <w:tcW w:w="2567" w:type="dxa"/>
            <w:vMerge w:val="restart"/>
            <w:vAlign w:val="center"/>
          </w:tcPr>
          <w:p>
            <w:pPr>
              <w:widowControl w:val="0"/>
              <w:adjustRightInd w:val="0"/>
              <w:snapToGrid w:val="0"/>
              <w:spacing w:after="0" w:line="360" w:lineRule="auto"/>
              <w:rPr>
                <w:rFonts w:ascii="仿宋_GB2312" w:eastAsia="仿宋_GB2312" w:cs="仿宋_GB2312"/>
                <w:color w:val="auto"/>
                <w:spacing w:val="-11"/>
                <w:sz w:val="24"/>
                <w:szCs w:val="24"/>
                <w:lang w:bidi="ar"/>
              </w:rPr>
            </w:pPr>
            <w:r>
              <w:rPr>
                <w:rFonts w:hint="eastAsia" w:ascii="仿宋_GB2312" w:eastAsia="仿宋_GB2312" w:cs="仿宋_GB2312"/>
                <w:color w:val="auto"/>
                <w:spacing w:val="-11"/>
                <w:sz w:val="24"/>
                <w:szCs w:val="24"/>
                <w:lang w:bidi="ar"/>
              </w:rPr>
              <w:t>选用国际或国内一线品牌，保证长期供货和稳定性</w:t>
            </w: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断路器/接触器/继电器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施耐德/西门子/欧姆龙或同等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pacing w:val="-11"/>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PLC/安全PLC</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西门子/三菱/ABB或同等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3</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pacing w:val="-11"/>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安全继电器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欧姆龙/施耐德/皮扎托或同等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4</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pacing w:val="-11"/>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限位开关/磁开关/门锁开关</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Azbil/SCHMERSAL/施迈赛或同等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5</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pacing w:val="-11"/>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highlight w:val="yellow"/>
                <w:lang w:bidi="ar"/>
              </w:rPr>
            </w:pPr>
            <w:r>
              <w:rPr>
                <w:rFonts w:hint="eastAsia" w:ascii="仿宋_GB2312" w:eastAsia="仿宋_GB2312" w:cs="仿宋_GB2312"/>
                <w:color w:val="auto"/>
                <w:sz w:val="24"/>
                <w:szCs w:val="24"/>
                <w:lang w:bidi="ar"/>
              </w:rPr>
              <w:t>变频器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highlight w:val="yellow"/>
                <w:lang w:bidi="ar"/>
              </w:rPr>
            </w:pPr>
            <w:r>
              <w:rPr>
                <w:rFonts w:hint="eastAsia" w:ascii="仿宋_GB2312" w:eastAsia="仿宋_GB2312" w:cs="仿宋_GB2312"/>
                <w:color w:val="auto"/>
                <w:sz w:val="24"/>
                <w:szCs w:val="24"/>
                <w:lang w:bidi="ar"/>
              </w:rPr>
              <w:t>施耐德/西门子/ABB或同等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6</w:t>
            </w:r>
          </w:p>
        </w:tc>
        <w:tc>
          <w:tcPr>
            <w:tcW w:w="1350" w:type="dxa"/>
            <w:vMerge w:val="restart"/>
            <w:vAlign w:val="center"/>
          </w:tcPr>
          <w:p>
            <w:pPr>
              <w:widowControl w:val="0"/>
              <w:adjustRightInd w:val="0"/>
              <w:snapToGrid w:val="0"/>
              <w:spacing w:after="0" w:line="360" w:lineRule="auto"/>
              <w:jc w:val="center"/>
              <w:rPr>
                <w:rFonts w:ascii="仿宋_GB2312" w:eastAsia="仿宋_GB2312" w:cs="仿宋_GB2312"/>
                <w:color w:val="auto"/>
                <w:spacing w:val="-11"/>
                <w:sz w:val="24"/>
                <w:szCs w:val="24"/>
                <w:lang w:bidi="ar"/>
              </w:rPr>
            </w:pPr>
            <w:r>
              <w:rPr>
                <w:rFonts w:hint="eastAsia" w:ascii="仿宋_GB2312" w:eastAsia="仿宋_GB2312" w:cs="仿宋_GB2312"/>
                <w:color w:val="auto"/>
                <w:spacing w:val="-11"/>
                <w:sz w:val="24"/>
                <w:szCs w:val="24"/>
                <w:lang w:bidi="ar"/>
              </w:rPr>
              <w:t>驱动与电机</w:t>
            </w:r>
          </w:p>
        </w:tc>
        <w:tc>
          <w:tcPr>
            <w:tcW w:w="2567" w:type="dxa"/>
            <w:vMerge w:val="restart"/>
            <w:vAlign w:val="center"/>
          </w:tcPr>
          <w:p>
            <w:pPr>
              <w:widowControl w:val="0"/>
              <w:adjustRightInd w:val="0"/>
              <w:snapToGrid w:val="0"/>
              <w:spacing w:after="0" w:line="360" w:lineRule="auto"/>
              <w:rPr>
                <w:rFonts w:ascii="仿宋_GB2312" w:eastAsia="仿宋_GB2312" w:cs="仿宋_GB2312"/>
                <w:color w:val="auto"/>
                <w:spacing w:val="-11"/>
                <w:sz w:val="24"/>
                <w:szCs w:val="24"/>
                <w:lang w:bidi="ar"/>
              </w:rPr>
            </w:pPr>
            <w:r>
              <w:rPr>
                <w:rFonts w:hint="eastAsia" w:ascii="仿宋_GB2312" w:eastAsia="仿宋_GB2312" w:cs="仿宋_GB2312"/>
                <w:color w:val="auto"/>
                <w:spacing w:val="-11"/>
                <w:sz w:val="24"/>
                <w:szCs w:val="24"/>
                <w:lang w:bidi="ar"/>
              </w:rPr>
              <w:t>能效 ≥ IE4，防护等级 ≥ IP55，并提供原厂能效检测报告、防护认证报告，支持长周期运行。</w:t>
            </w: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11"/>
                <w:sz w:val="24"/>
                <w:szCs w:val="24"/>
                <w:lang w:bidi="ar"/>
              </w:rPr>
              <w:t>伺服电机/驱动器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西门子/汇川/SEW/NORD或同等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7</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减速机</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西门子/SEW/NORD/杰牌或同等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8</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变频电机</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西门子/SEW/NORD/ABB或同等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9</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电动辊筒</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德马/因特诺/胜牌或同等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10</w:t>
            </w:r>
          </w:p>
        </w:tc>
        <w:tc>
          <w:tcPr>
            <w:tcW w:w="1350"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传感器与识别设备</w:t>
            </w:r>
          </w:p>
        </w:tc>
        <w:tc>
          <w:tcPr>
            <w:tcW w:w="2567" w:type="dxa"/>
            <w:vMerge w:val="restart"/>
            <w:vAlign w:val="center"/>
          </w:tcPr>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精度高、寿命长、抗干扰，必须提供原厂认证报告</w:t>
            </w: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光电/接近开关</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SICK/OMRON/LEUZE/P+F或同等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11</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20"/>
                <w:sz w:val="24"/>
                <w:szCs w:val="24"/>
                <w:lang w:bidi="ar"/>
              </w:rPr>
              <w:t>条码/二维码读码器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17"/>
                <w:sz w:val="24"/>
                <w:szCs w:val="24"/>
                <w:lang w:bidi="ar"/>
              </w:rPr>
              <w:t>SICK/LEUZE/P+F/海康威视或同等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12</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安全光栅</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20"/>
                <w:sz w:val="24"/>
                <w:szCs w:val="24"/>
                <w:lang w:bidi="ar"/>
              </w:rPr>
              <w:t>SICK/LEUZE/基恩士/意普/明治或同等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13</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激光测距/雷达</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SICK/LEUZE/OMRON或同等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14</w:t>
            </w:r>
          </w:p>
        </w:tc>
        <w:tc>
          <w:tcPr>
            <w:tcW w:w="1350"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结构件与仓储货架</w:t>
            </w:r>
          </w:p>
        </w:tc>
        <w:tc>
          <w:tcPr>
            <w:tcW w:w="2567" w:type="dxa"/>
            <w:vMerge w:val="restart"/>
            <w:vAlign w:val="center"/>
          </w:tcPr>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符合 GB/EN 标准，需第三方检测（载荷、焊接、抗震）</w:t>
            </w: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立库货架钢材</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鞍钢/武钢/宝钢或同等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15</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11"/>
                <w:sz w:val="24"/>
                <w:szCs w:val="24"/>
                <w:lang w:bidi="ar"/>
              </w:rPr>
              <w:t>输送机辊筒/托辊</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德马/瑞特/胜牌/兆威或同等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16</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链条/导轨</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东华/天时/盾牌/环球或同等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17</w:t>
            </w:r>
          </w:p>
        </w:tc>
        <w:tc>
          <w:tcPr>
            <w:tcW w:w="1350" w:type="dxa"/>
            <w:vMerge w:val="restart"/>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11"/>
                <w:sz w:val="24"/>
                <w:szCs w:val="24"/>
                <w:lang w:bidi="ar"/>
              </w:rPr>
              <w:t>其他关键件</w:t>
            </w:r>
          </w:p>
        </w:tc>
        <w:tc>
          <w:tcPr>
            <w:tcW w:w="2567" w:type="dxa"/>
            <w:vMerge w:val="restart"/>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电源/UPS</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山特/APC/MEANWVELL或同等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18</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工业交换机</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华为/新华三/中兴或同等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19</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连接器/端子</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pacing w:val="-17"/>
                <w:sz w:val="24"/>
                <w:szCs w:val="24"/>
                <w:lang w:bidi="ar"/>
              </w:rPr>
              <w:t>菲尼克斯/万可/TE/魏德米勒或同等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20</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货叉</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米亚斯/长臂猿或同等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vAlign w:val="center"/>
          </w:tcPr>
          <w:p>
            <w:pPr>
              <w:spacing w:after="0" w:line="360" w:lineRule="auto"/>
              <w:jc w:val="center"/>
              <w:textAlignment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21</w:t>
            </w:r>
          </w:p>
        </w:tc>
        <w:tc>
          <w:tcPr>
            <w:tcW w:w="1350"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2567" w:type="dxa"/>
            <w:vMerge w:val="continue"/>
          </w:tcPr>
          <w:p>
            <w:pPr>
              <w:widowControl w:val="0"/>
              <w:adjustRightInd w:val="0"/>
              <w:snapToGrid w:val="0"/>
              <w:spacing w:after="0" w:line="360" w:lineRule="auto"/>
              <w:jc w:val="center"/>
              <w:rPr>
                <w:rFonts w:ascii="仿宋_GB2312" w:eastAsia="仿宋_GB2312" w:cs="仿宋_GB2312"/>
                <w:color w:val="auto"/>
                <w:sz w:val="24"/>
                <w:szCs w:val="24"/>
                <w:lang w:bidi="ar"/>
              </w:rPr>
            </w:pPr>
          </w:p>
        </w:tc>
        <w:tc>
          <w:tcPr>
            <w:tcW w:w="1922"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滑触线</w:t>
            </w:r>
          </w:p>
        </w:tc>
        <w:tc>
          <w:tcPr>
            <w:tcW w:w="3629" w:type="dxa"/>
            <w:vAlign w:val="center"/>
          </w:tcPr>
          <w:p>
            <w:pPr>
              <w:widowControl w:val="0"/>
              <w:adjustRightInd w:val="0"/>
              <w:snapToGrid w:val="0"/>
              <w:spacing w:after="0" w:line="360" w:lineRule="auto"/>
              <w:jc w:val="center"/>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松下/法勒/瑞能或同等</w:t>
            </w:r>
          </w:p>
        </w:tc>
      </w:tr>
    </w:tbl>
    <w:p>
      <w:pPr>
        <w:widowControl w:val="0"/>
        <w:numPr>
          <w:ilvl w:val="0"/>
          <w:numId w:val="54"/>
        </w:numPr>
        <w:adjustRightInd w:val="0"/>
        <w:snapToGrid w:val="0"/>
        <w:spacing w:after="0" w:line="360" w:lineRule="auto"/>
        <w:jc w:val="both"/>
        <w:outlineLvl w:val="0"/>
        <w:rPr>
          <w:rFonts w:hint="eastAsia" w:ascii="仿宋" w:hAnsi="仿宋" w:eastAsia="仿宋" w:cs="Times New Roman"/>
          <w:color w:val="auto"/>
          <w:sz w:val="24"/>
          <w:szCs w:val="24"/>
        </w:rPr>
      </w:pPr>
      <w:bookmarkStart w:id="156" w:name="_Toc32103"/>
      <w:r>
        <w:rPr>
          <w:rFonts w:hint="eastAsia" w:ascii="仿宋" w:hAnsi="仿宋" w:eastAsia="仿宋" w:cs="Times New Roman"/>
          <w:b/>
          <w:bCs/>
          <w:color w:val="auto"/>
          <w:sz w:val="24"/>
          <w:szCs w:val="24"/>
        </w:rPr>
        <w:t>技术资料</w:t>
      </w:r>
      <w:bookmarkEnd w:id="156"/>
    </w:p>
    <w:p>
      <w:pPr>
        <w:widowControl w:val="0"/>
        <w:adjustRightInd w:val="0"/>
        <w:snapToGrid w:val="0"/>
        <w:spacing w:after="0" w:line="360"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项目交付时，投标方须提供下列资料：</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设备出厂合格证、测试记录、安装使用说明书与维护手册；</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竣工图；</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有关设计修改的文件；</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安装过程中的各种重要记录；</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备品备件清单/易损件清单；</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项目相关系统安装光盘一张；</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项目相关系统管理员手册一套并提供电子版光盘；</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技术白皮书一套（电子版光盘）；</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用户手册（含操作、维护、保养、原理）、产品合格证、质量保证书、产品检验报告、风险应急预案等随机技术资料提供纸质版及其电子版；</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具有相应资质第三方检定机构出具校准证书（检定费用由投标方承担）；</w:t>
      </w:r>
    </w:p>
    <w:p>
      <w:pPr>
        <w:widowControl w:val="0"/>
        <w:numPr>
          <w:ilvl w:val="4"/>
          <w:numId w:val="89"/>
        </w:numPr>
        <w:adjustRightInd w:val="0"/>
        <w:snapToGrid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其他随机资料。</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57" w:name="_Toc20663"/>
      <w:r>
        <w:rPr>
          <w:rFonts w:hint="eastAsia" w:ascii="仿宋" w:hAnsi="仿宋" w:eastAsia="仿宋" w:cs="Times New Roman"/>
          <w:b/>
          <w:bCs/>
          <w:color w:val="auto"/>
          <w:sz w:val="24"/>
          <w:szCs w:val="24"/>
        </w:rPr>
        <w:t>安全防护</w:t>
      </w:r>
      <w:bookmarkEnd w:id="157"/>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系统授权机制需严谨，授权工具简单直观；采用管理员－模块管理员的分级授权体系；实现单独授权、组（角色）授权等多种灵活的授权方式；</w:t>
      </w:r>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系统应具有日志审计功能，可记录系统用户登录时间、IP 地址、功能 模块、权限变动、数据库字段级操作等数据安全敏感信息。</w:t>
      </w:r>
    </w:p>
    <w:p>
      <w:pPr>
        <w:widowControl w:val="0"/>
        <w:numPr>
          <w:ilvl w:val="1"/>
          <w:numId w:val="54"/>
        </w:numPr>
        <w:adjustRightInd w:val="0"/>
        <w:snapToGrid w:val="0"/>
        <w:spacing w:after="0" w:line="360" w:lineRule="auto"/>
        <w:ind w:left="0" w:firstLine="198"/>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所有设备都必须实现可靠接地。接地线材应保证优质，线头接触良好，避免湿度不足（&lt;40%）引发静电损坏敏感元件，以确保设备的安全运行。</w:t>
      </w:r>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电气设备配电箱箱体有良好的防护性能，它的外壳可设置锁孔，以限制非工作人员的使用。</w:t>
      </w:r>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设备高处若有需要调整、维护的部件，需设置平台、防护栏和梯子。</w:t>
      </w:r>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在人员和物流通道位置处加装安全护网和护栏。</w:t>
      </w:r>
    </w:p>
    <w:p>
      <w:pPr>
        <w:widowControl w:val="0"/>
        <w:numPr>
          <w:ilvl w:val="1"/>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安全设计内容按GB 5083-1999《生产设备安全卫生设计总则》执行。</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58" w:name="_Toc29897"/>
      <w:r>
        <w:rPr>
          <w:rFonts w:hint="eastAsia" w:ascii="仿宋" w:hAnsi="仿宋" w:eastAsia="仿宋" w:cs="Times New Roman"/>
          <w:b/>
          <w:bCs/>
          <w:color w:val="auto"/>
          <w:sz w:val="24"/>
          <w:szCs w:val="24"/>
        </w:rPr>
        <w:t>产品包装、贮运要求</w:t>
      </w:r>
      <w:bookmarkEnd w:id="158"/>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投标方提供设备运至合同规定的最终目的地所需要的包装，以防止设备在转运中损坏。设备包装应采取国家或专业标准，包括防潮、防晒、防锈、防腐蚀、防震动及防止其他损坏的必要措施，适于长途运输。</w:t>
      </w:r>
      <w:r>
        <w:rPr>
          <w:rFonts w:hint="eastAsia" w:ascii="仿宋" w:hAnsi="仿宋" w:eastAsia="仿宋" w:cs="Times New Roman"/>
          <w:color w:val="auto"/>
          <w:sz w:val="24"/>
          <w:szCs w:val="24"/>
          <w:lang w:val="zh-CN"/>
        </w:rPr>
        <w:t>所有设备包装牢固，便于运输和起吊。所有发货的设备都有对应的发货清单，以利于现场的点收和复核，且附有出厂合格证。</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59" w:name="_Toc19970"/>
      <w:r>
        <w:rPr>
          <w:rFonts w:hint="eastAsia" w:ascii="仿宋" w:hAnsi="仿宋" w:eastAsia="仿宋" w:cs="Times New Roman"/>
          <w:b/>
          <w:bCs/>
          <w:color w:val="auto"/>
          <w:sz w:val="24"/>
          <w:szCs w:val="24"/>
        </w:rPr>
        <w:t>运行环境</w:t>
      </w:r>
      <w:bookmarkEnd w:id="159"/>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操作系统：使用Windows 10及以上版本的操作系统</w:t>
      </w:r>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环境控制要求：详见5.2.7.2表格。</w:t>
      </w:r>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工作电压：交流380V（±10%），三相，50Hz(±1%)</w:t>
      </w:r>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控制电压：交流220V ～240 V /直流24V</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60" w:name="_Toc21441"/>
      <w:r>
        <w:rPr>
          <w:rFonts w:hint="eastAsia" w:ascii="仿宋" w:hAnsi="仿宋" w:eastAsia="仿宋" w:cs="Times New Roman"/>
          <w:b/>
          <w:bCs/>
          <w:color w:val="auto"/>
          <w:sz w:val="24"/>
          <w:szCs w:val="24"/>
        </w:rPr>
        <w:t>安装、维护</w:t>
      </w:r>
      <w:bookmarkEnd w:id="160"/>
    </w:p>
    <w:p>
      <w:pPr>
        <w:widowControl w:val="0"/>
        <w:numPr>
          <w:ilvl w:val="255"/>
          <w:numId w:val="0"/>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自动化立体仓库的安装、维护须满足GB/T 30673-2014《自动化立体仓库的安装与维护规范》的要求，其中包含现场安装、调试、培训、试运行、验收、记录、维护等过程。</w:t>
      </w:r>
    </w:p>
    <w:p>
      <w:pPr>
        <w:widowControl w:val="0"/>
        <w:numPr>
          <w:ilvl w:val="255"/>
          <w:numId w:val="0"/>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投标方按照合同约定完成合同设备的安装、维护工作。投标方自行组织人财物，完成设备卸车、转运、就位安装、二次配接、调试。除专用合同条款另有约定外，安装、维护过程所需的基本条件由招标方完成，如所需的用水、用电、其他动力（如需要）等。</w:t>
      </w:r>
    </w:p>
    <w:p>
      <w:pPr>
        <w:widowControl w:val="0"/>
        <w:adjustRightInd w:val="0"/>
        <w:snapToGrid w:val="0"/>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主要的自动化立体仓库的安装流程见下图。</w:t>
      </w:r>
    </w:p>
    <w:p>
      <w:pPr>
        <w:widowControl w:val="0"/>
        <w:adjustRightInd w:val="0"/>
        <w:snapToGrid w:val="0"/>
        <w:spacing w:after="0" w:line="360" w:lineRule="auto"/>
        <w:jc w:val="center"/>
        <w:rPr>
          <w:rFonts w:hint="eastAsia" w:ascii="仿宋" w:hAnsi="仿宋" w:eastAsia="仿宋" w:cs="Times New Roman"/>
          <w:color w:val="auto"/>
          <w:sz w:val="24"/>
          <w:szCs w:val="24"/>
        </w:rPr>
      </w:pPr>
      <w:r>
        <w:rPr>
          <w:rFonts w:ascii="仿宋_GB2312" w:eastAsia="仿宋_GB2312" w:cs="仿宋_GB2312"/>
          <w:color w:val="auto"/>
          <w:sz w:val="24"/>
          <w:szCs w:val="24"/>
          <w:lang w:bidi="ar"/>
        </w:rPr>
        <w:drawing>
          <wp:anchor distT="0" distB="0" distL="114300" distR="114300" simplePos="0" relativeHeight="251659264" behindDoc="0" locked="0" layoutInCell="1" allowOverlap="1">
            <wp:simplePos x="0" y="0"/>
            <wp:positionH relativeFrom="column">
              <wp:posOffset>1743075</wp:posOffset>
            </wp:positionH>
            <wp:positionV relativeFrom="paragraph">
              <wp:posOffset>26670</wp:posOffset>
            </wp:positionV>
            <wp:extent cx="1824990" cy="3776980"/>
            <wp:effectExtent l="0" t="0" r="3810" b="13970"/>
            <wp:wrapTopAndBottom/>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8"/>
                    <a:srcRect l="48758" t="12195" r="29395" b="7437"/>
                    <a:stretch>
                      <a:fillRect/>
                    </a:stretch>
                  </pic:blipFill>
                  <pic:spPr>
                    <a:xfrm>
                      <a:off x="0" y="0"/>
                      <a:ext cx="1824990" cy="3776980"/>
                    </a:xfrm>
                    <a:prstGeom prst="rect">
                      <a:avLst/>
                    </a:prstGeom>
                    <a:noFill/>
                    <a:ln>
                      <a:noFill/>
                    </a:ln>
                  </pic:spPr>
                </pic:pic>
              </a:graphicData>
            </a:graphic>
          </wp:anchor>
        </w:drawing>
      </w:r>
      <w:r>
        <w:rPr>
          <w:rFonts w:ascii="仿宋_GB2312" w:eastAsia="仿宋_GB2312" w:cs="仿宋_GB2312"/>
          <w:color w:val="auto"/>
          <w:sz w:val="24"/>
          <w:szCs w:val="24"/>
          <w:lang w:bidi="ar"/>
        </w:rPr>
        <w:t>图</w:t>
      </w:r>
      <w:r>
        <w:rPr>
          <w:rFonts w:hint="eastAsia" w:ascii="仿宋_GB2312" w:eastAsia="仿宋_GB2312" w:cs="仿宋_GB2312"/>
          <w:color w:val="auto"/>
          <w:sz w:val="24"/>
          <w:szCs w:val="24"/>
          <w:lang w:bidi="ar"/>
        </w:rPr>
        <w:t>3</w:t>
      </w:r>
      <w:r>
        <w:rPr>
          <w:rFonts w:ascii="仿宋_GB2312" w:eastAsia="仿宋_GB2312" w:cs="仿宋_GB2312"/>
          <w:color w:val="auto"/>
          <w:sz w:val="24"/>
          <w:szCs w:val="24"/>
          <w:lang w:bidi="ar"/>
        </w:rPr>
        <w:t>自动化立体仓库的安装流程图</w:t>
      </w:r>
      <w:r>
        <w:rPr>
          <w:rFonts w:hint="eastAsia" w:ascii="仿宋_GB2312" w:eastAsia="仿宋_GB2312" w:cs="仿宋_GB2312"/>
          <w:color w:val="auto"/>
          <w:sz w:val="24"/>
          <w:szCs w:val="24"/>
          <w:lang w:bidi="ar"/>
        </w:rPr>
        <w:t xml:space="preserve"> </w:t>
      </w:r>
    </w:p>
    <w:p>
      <w:pPr>
        <w:widowControl w:val="0"/>
        <w:numPr>
          <w:ilvl w:val="1"/>
          <w:numId w:val="54"/>
        </w:numPr>
        <w:adjustRightInd w:val="0"/>
        <w:snapToGrid w:val="0"/>
        <w:spacing w:after="0" w:line="360" w:lineRule="auto"/>
        <w:ind w:left="0" w:firstLine="170"/>
        <w:jc w:val="both"/>
        <w:outlineLvl w:val="1"/>
        <w:rPr>
          <w:rFonts w:hint="eastAsia" w:ascii="仿宋" w:hAnsi="仿宋" w:eastAsia="仿宋" w:cs="Times New Roman"/>
          <w:b/>
          <w:bCs/>
          <w:color w:val="auto"/>
          <w:sz w:val="24"/>
          <w:szCs w:val="24"/>
        </w:rPr>
      </w:pPr>
      <w:bookmarkStart w:id="161" w:name="_Toc10550"/>
      <w:r>
        <w:rPr>
          <w:rFonts w:hint="eastAsia" w:ascii="仿宋" w:hAnsi="仿宋" w:eastAsia="仿宋" w:cs="Times New Roman"/>
          <w:b/>
          <w:bCs/>
          <w:color w:val="auto"/>
          <w:sz w:val="24"/>
          <w:szCs w:val="24"/>
        </w:rPr>
        <w:t>安装的基本要求</w:t>
      </w:r>
      <w:bookmarkEnd w:id="161"/>
    </w:p>
    <w:p>
      <w:pPr>
        <w:widowControl w:val="0"/>
        <w:numPr>
          <w:ilvl w:val="2"/>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建筑主体达到设备进场之前完成安装前的技术准备，如施工方案（机械设计、电气设计）、施工图、验收规范、应急预案的编制、评审和确认及施工人员安装、安全培训等其他准备工作。机械设计由所有的3D图设计和爆炸图组成，电气设计满足设备运行逻辑。</w:t>
      </w:r>
    </w:p>
    <w:p>
      <w:pPr>
        <w:widowControl w:val="0"/>
        <w:numPr>
          <w:ilvl w:val="2"/>
          <w:numId w:val="54"/>
        </w:numPr>
        <w:adjustRightInd w:val="0"/>
        <w:snapToGrid w:val="0"/>
        <w:spacing w:after="0" w:line="360" w:lineRule="auto"/>
        <w:ind w:left="0" w:firstLine="17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安装前，对包装、设备型号、规格、安装使用说明书、备品备件进行开箱检查。</w:t>
      </w:r>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62" w:name="_Toc25585"/>
      <w:r>
        <w:rPr>
          <w:rFonts w:hint="eastAsia" w:ascii="仿宋" w:hAnsi="仿宋" w:eastAsia="仿宋" w:cs="Times New Roman"/>
          <w:b/>
          <w:bCs/>
          <w:color w:val="auto"/>
          <w:sz w:val="24"/>
          <w:szCs w:val="24"/>
        </w:rPr>
        <w:t>现场安装</w:t>
      </w:r>
      <w:bookmarkEnd w:id="162"/>
    </w:p>
    <w:p>
      <w:pPr>
        <w:widowControl w:val="0"/>
        <w:numPr>
          <w:ilvl w:val="255"/>
          <w:numId w:val="0"/>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确定安装基准，按照相关的国标、行标进行货架、轨道、堆垛机、输送设备、电气系统、信息化系统的安装工作。</w:t>
      </w:r>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63" w:name="_Toc29922"/>
      <w:r>
        <w:rPr>
          <w:rFonts w:hint="eastAsia" w:ascii="仿宋" w:hAnsi="仿宋" w:eastAsia="仿宋" w:cs="Times New Roman"/>
          <w:b/>
          <w:bCs/>
          <w:color w:val="auto"/>
          <w:sz w:val="24"/>
          <w:szCs w:val="24"/>
        </w:rPr>
        <w:t>调试</w:t>
      </w:r>
      <w:bookmarkEnd w:id="163"/>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进行调试前的准备工作，确保所需要的能源、设施、器具、设备及环境满足运行要求。</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按照要求进行单机手动自动调试、子系统联机调试、全系统联机调试。调试阶段需模拟峰值负载测试（≥8小时）。</w:t>
      </w:r>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64" w:name="_Toc26456"/>
      <w:r>
        <w:rPr>
          <w:rFonts w:hint="eastAsia" w:ascii="仿宋" w:hAnsi="仿宋" w:eastAsia="仿宋" w:cs="Times New Roman"/>
          <w:b/>
          <w:bCs/>
          <w:color w:val="auto"/>
          <w:sz w:val="24"/>
          <w:szCs w:val="24"/>
        </w:rPr>
        <w:t>培训</w:t>
      </w:r>
      <w:bookmarkEnd w:id="164"/>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设备安装调试结束后，投标方应进行不少于3次的使用及维护培训，每次培训时间不少于1天，直至招标方人员能独立操作为止。设备使用三个月后，投标方应再进行不少于1次的现场操作及维护培训。</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_GB2312" w:eastAsia="仿宋_GB2312" w:cs="仿宋_GB2312"/>
          <w:b/>
          <w:bCs/>
          <w:color w:val="auto"/>
          <w:sz w:val="24"/>
          <w:szCs w:val="24"/>
          <w:lang w:bidi="ar"/>
        </w:rPr>
        <w:t>★</w:t>
      </w:r>
      <w:r>
        <w:rPr>
          <w:rFonts w:hint="eastAsia" w:ascii="仿宋" w:hAnsi="仿宋" w:eastAsia="仿宋" w:cs="Times New Roman"/>
          <w:color w:val="auto"/>
          <w:sz w:val="24"/>
          <w:szCs w:val="24"/>
        </w:rPr>
        <w:t>投标方应提供专业技术人员进行免费的技术培训，包含设备操作、软件操作和设备维护保养、设备维修以及常见故障处理培训等内容，并同时提供全套培训资料。</w:t>
      </w:r>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65" w:name="_Toc9739"/>
      <w:r>
        <w:rPr>
          <w:rFonts w:hint="eastAsia" w:ascii="仿宋" w:hAnsi="仿宋" w:eastAsia="仿宋" w:cs="Times New Roman"/>
          <w:b/>
          <w:bCs/>
          <w:color w:val="auto"/>
          <w:sz w:val="24"/>
          <w:szCs w:val="24"/>
        </w:rPr>
        <w:t>试运行</w:t>
      </w:r>
      <w:bookmarkEnd w:id="165"/>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试运行的操作应由经培训合格的人员进行。</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复查货架、堆垛机、输送机等设备的几何精度；复紧各联接件；复查活动部件的灵活性，联锁传动装置动作的正确性。</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在WMS系统和WCS系统的管理及调度下，按流程要求对自动化立体仓库中的信息采集、传输、处理、执行、显示等功能进行大批量、多种作业方式的联合试运行，发现问题应及时处理。</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调整机械设备，完善电气控制系统、WMS系统和WCS系统软件，完善用户文档及安装使用说明书。</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试运行时间周期至少为四个月。</w:t>
      </w:r>
    </w:p>
    <w:p>
      <w:pPr>
        <w:widowControl w:val="0"/>
        <w:numPr>
          <w:ilvl w:val="1"/>
          <w:numId w:val="54"/>
        </w:numPr>
        <w:adjustRightInd w:val="0"/>
        <w:snapToGrid w:val="0"/>
        <w:spacing w:after="0" w:line="360" w:lineRule="auto"/>
        <w:ind w:left="0" w:firstLine="482" w:firstLineChars="200"/>
        <w:jc w:val="both"/>
        <w:outlineLvl w:val="1"/>
        <w:rPr>
          <w:rFonts w:hint="eastAsia" w:ascii="仿宋" w:hAnsi="仿宋" w:eastAsia="仿宋" w:cs="Times New Roman"/>
          <w:b/>
          <w:bCs/>
          <w:color w:val="auto"/>
          <w:sz w:val="24"/>
          <w:szCs w:val="24"/>
        </w:rPr>
      </w:pPr>
      <w:bookmarkStart w:id="166" w:name="_Toc21983"/>
      <w:r>
        <w:rPr>
          <w:rFonts w:hint="eastAsia" w:ascii="仿宋" w:hAnsi="仿宋" w:eastAsia="仿宋" w:cs="Times New Roman"/>
          <w:b/>
          <w:bCs/>
          <w:color w:val="auto"/>
          <w:sz w:val="24"/>
          <w:szCs w:val="24"/>
        </w:rPr>
        <w:t>验收</w:t>
      </w:r>
      <w:bookmarkEnd w:id="166"/>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试运行完成后，按照双方签订的技术协议、验收规范及相关标准进行验收。</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验收前，投标方</w:t>
      </w:r>
      <w:r>
        <w:rPr>
          <w:rFonts w:ascii="仿宋" w:hAnsi="仿宋" w:eastAsia="仿宋" w:cs="Times New Roman"/>
          <w:color w:val="auto"/>
          <w:sz w:val="24"/>
          <w:szCs w:val="24"/>
        </w:rPr>
        <w:t>应提供产品合格证</w:t>
      </w:r>
      <w:r>
        <w:rPr>
          <w:rFonts w:hint="eastAsia" w:ascii="仿宋" w:hAnsi="仿宋" w:eastAsia="仿宋" w:cs="Times New Roman"/>
          <w:color w:val="auto"/>
          <w:sz w:val="24"/>
          <w:szCs w:val="24"/>
        </w:rPr>
        <w:t>以</w:t>
      </w:r>
      <w:r>
        <w:rPr>
          <w:rFonts w:ascii="仿宋" w:hAnsi="仿宋" w:eastAsia="仿宋" w:cs="Times New Roman"/>
          <w:color w:val="auto"/>
          <w:sz w:val="24"/>
          <w:szCs w:val="24"/>
        </w:rPr>
        <w:t>及操作规范和使用维护说明等验收材料</w:t>
      </w:r>
      <w:r>
        <w:rPr>
          <w:rFonts w:hint="eastAsia" w:ascii="仿宋" w:hAnsi="仿宋" w:eastAsia="仿宋" w:cs="Times New Roman"/>
          <w:color w:val="auto"/>
          <w:sz w:val="24"/>
          <w:szCs w:val="24"/>
        </w:rPr>
        <w:t>，并出具原厂设备出厂检测报告一份。</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b/>
          <w:bCs/>
          <w:color w:val="auto"/>
          <w:sz w:val="24"/>
          <w:szCs w:val="24"/>
        </w:rPr>
      </w:pPr>
      <w:r>
        <w:rPr>
          <w:rFonts w:hint="eastAsia" w:ascii="仿宋" w:hAnsi="仿宋" w:eastAsia="仿宋" w:cs="Times New Roman"/>
          <w:color w:val="auto"/>
          <w:sz w:val="24"/>
          <w:szCs w:val="24"/>
        </w:rPr>
        <w:t>验收测试</w:t>
      </w:r>
    </w:p>
    <w:p>
      <w:pPr>
        <w:widowControl w:val="0"/>
        <w:adjustRightInd w:val="0"/>
        <w:snapToGrid w:val="0"/>
        <w:spacing w:after="0" w:line="360" w:lineRule="auto"/>
        <w:ind w:firstLine="480" w:firstLineChars="200"/>
        <w:jc w:val="both"/>
        <w:rPr>
          <w:rFonts w:hint="eastAsia" w:ascii="仿宋" w:hAnsi="仿宋" w:eastAsia="仿宋" w:cs="Times New Roman"/>
          <w:b/>
          <w:bCs/>
          <w:color w:val="auto"/>
          <w:sz w:val="24"/>
          <w:szCs w:val="24"/>
        </w:rPr>
      </w:pPr>
      <w:r>
        <w:rPr>
          <w:rFonts w:ascii="仿宋" w:hAnsi="仿宋" w:eastAsia="仿宋" w:cs="Times New Roman"/>
          <w:color w:val="auto"/>
          <w:sz w:val="24"/>
          <w:szCs w:val="24"/>
        </w:rPr>
        <w:t>项目完成调试运行后，由</w:t>
      </w:r>
      <w:r>
        <w:rPr>
          <w:rFonts w:hint="eastAsia" w:ascii="仿宋" w:hAnsi="仿宋" w:eastAsia="仿宋" w:cs="Times New Roman"/>
          <w:color w:val="auto"/>
          <w:sz w:val="24"/>
          <w:szCs w:val="24"/>
        </w:rPr>
        <w:t>投标方</w:t>
      </w:r>
      <w:r>
        <w:rPr>
          <w:rFonts w:ascii="仿宋" w:hAnsi="仿宋" w:eastAsia="仿宋" w:cs="Times New Roman"/>
          <w:color w:val="auto"/>
          <w:sz w:val="24"/>
          <w:szCs w:val="24"/>
        </w:rPr>
        <w:t>负责组织、实施</w:t>
      </w:r>
      <w:r>
        <w:rPr>
          <w:rFonts w:hint="eastAsia" w:ascii="仿宋" w:hAnsi="仿宋" w:eastAsia="仿宋" w:cs="Times New Roman"/>
          <w:color w:val="auto"/>
          <w:sz w:val="24"/>
          <w:szCs w:val="24"/>
        </w:rPr>
        <w:t>项目</w:t>
      </w:r>
      <w:r>
        <w:rPr>
          <w:rFonts w:ascii="仿宋" w:hAnsi="仿宋" w:eastAsia="仿宋" w:cs="Times New Roman"/>
          <w:color w:val="auto"/>
          <w:sz w:val="24"/>
          <w:szCs w:val="24"/>
        </w:rPr>
        <w:t>建成后的</w:t>
      </w:r>
      <w:r>
        <w:rPr>
          <w:rFonts w:hint="eastAsia" w:ascii="仿宋" w:hAnsi="仿宋" w:eastAsia="仿宋" w:cs="Times New Roman"/>
          <w:color w:val="auto"/>
          <w:sz w:val="24"/>
          <w:szCs w:val="24"/>
        </w:rPr>
        <w:t>功能、</w:t>
      </w:r>
      <w:r>
        <w:rPr>
          <w:rFonts w:ascii="仿宋" w:hAnsi="仿宋" w:eastAsia="仿宋" w:cs="Times New Roman"/>
          <w:color w:val="auto"/>
          <w:sz w:val="24"/>
          <w:szCs w:val="24"/>
        </w:rPr>
        <w:t>指标验收测试工作</w:t>
      </w:r>
      <w:r>
        <w:rPr>
          <w:rFonts w:hint="eastAsia" w:ascii="仿宋" w:hAnsi="仿宋" w:eastAsia="仿宋" w:cs="Times New Roman"/>
          <w:color w:val="auto"/>
          <w:sz w:val="24"/>
          <w:szCs w:val="24"/>
        </w:rPr>
        <w:t>。按照技术协议规定的配套、资料、指标等要求进行验收检测，</w:t>
      </w:r>
      <w:r>
        <w:rPr>
          <w:rFonts w:ascii="仿宋" w:hAnsi="仿宋" w:eastAsia="仿宋" w:cs="Times New Roman"/>
          <w:color w:val="auto"/>
          <w:sz w:val="24"/>
          <w:szCs w:val="24"/>
        </w:rPr>
        <w:t>证明各个功能得到验证，技术指标符合要求，整个过程</w:t>
      </w:r>
      <w:r>
        <w:rPr>
          <w:rFonts w:hint="eastAsia" w:ascii="仿宋" w:hAnsi="仿宋" w:eastAsia="仿宋" w:cs="Times New Roman"/>
          <w:color w:val="auto"/>
          <w:sz w:val="24"/>
          <w:szCs w:val="24"/>
        </w:rPr>
        <w:t>招标方</w:t>
      </w:r>
      <w:r>
        <w:rPr>
          <w:rFonts w:ascii="仿宋" w:hAnsi="仿宋" w:eastAsia="仿宋" w:cs="Times New Roman"/>
          <w:color w:val="auto"/>
          <w:sz w:val="24"/>
          <w:szCs w:val="24"/>
        </w:rPr>
        <w:t>全程参与</w:t>
      </w:r>
      <w:r>
        <w:rPr>
          <w:rFonts w:hint="eastAsia" w:ascii="仿宋" w:hAnsi="仿宋" w:eastAsia="仿宋" w:cs="Times New Roman"/>
          <w:color w:val="auto"/>
          <w:sz w:val="24"/>
          <w:szCs w:val="24"/>
        </w:rPr>
        <w:t>。</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ascii="仿宋" w:hAnsi="仿宋" w:eastAsia="仿宋" w:cs="Times New Roman"/>
          <w:color w:val="auto"/>
          <w:sz w:val="24"/>
          <w:szCs w:val="24"/>
        </w:rPr>
        <w:t>按照相关标准要求，</w:t>
      </w:r>
      <w:r>
        <w:rPr>
          <w:rFonts w:hint="eastAsia" w:ascii="仿宋" w:hAnsi="仿宋" w:eastAsia="仿宋" w:cs="Times New Roman"/>
          <w:color w:val="auto"/>
          <w:sz w:val="24"/>
          <w:szCs w:val="24"/>
        </w:rPr>
        <w:t>投标方</w:t>
      </w:r>
      <w:r>
        <w:rPr>
          <w:rFonts w:ascii="仿宋" w:hAnsi="仿宋" w:eastAsia="仿宋" w:cs="Times New Roman"/>
          <w:color w:val="auto"/>
          <w:sz w:val="24"/>
          <w:szCs w:val="24"/>
        </w:rPr>
        <w:t>应提供详细、完整的</w:t>
      </w:r>
      <w:r>
        <w:rPr>
          <w:rFonts w:hint="eastAsia" w:ascii="仿宋" w:hAnsi="仿宋" w:eastAsia="仿宋" w:cs="Times New Roman"/>
          <w:color w:val="auto"/>
          <w:sz w:val="24"/>
          <w:szCs w:val="24"/>
        </w:rPr>
        <w:t>项目验收规范</w:t>
      </w:r>
      <w:r>
        <w:rPr>
          <w:rFonts w:ascii="仿宋" w:hAnsi="仿宋" w:eastAsia="仿宋" w:cs="Times New Roman"/>
          <w:color w:val="auto"/>
          <w:sz w:val="24"/>
          <w:szCs w:val="24"/>
        </w:rPr>
        <w:t>，</w:t>
      </w:r>
      <w:r>
        <w:rPr>
          <w:rFonts w:hint="eastAsia" w:ascii="仿宋" w:hAnsi="仿宋" w:eastAsia="仿宋" w:cs="Times New Roman"/>
          <w:color w:val="auto"/>
          <w:sz w:val="24"/>
          <w:szCs w:val="24"/>
        </w:rPr>
        <w:t>验收规范</w:t>
      </w:r>
      <w:r>
        <w:rPr>
          <w:rFonts w:ascii="仿宋" w:hAnsi="仿宋" w:eastAsia="仿宋" w:cs="Times New Roman"/>
          <w:color w:val="auto"/>
          <w:sz w:val="24"/>
          <w:szCs w:val="24"/>
        </w:rPr>
        <w:t>应包括</w:t>
      </w:r>
      <w:r>
        <w:rPr>
          <w:rFonts w:hint="eastAsia" w:ascii="仿宋" w:hAnsi="仿宋" w:eastAsia="仿宋" w:cs="Times New Roman"/>
          <w:color w:val="auto"/>
          <w:sz w:val="24"/>
          <w:szCs w:val="24"/>
        </w:rPr>
        <w:t>项目</w:t>
      </w:r>
      <w:r>
        <w:rPr>
          <w:rFonts w:ascii="仿宋" w:hAnsi="仿宋" w:eastAsia="仿宋" w:cs="Times New Roman"/>
          <w:color w:val="auto"/>
          <w:sz w:val="24"/>
          <w:szCs w:val="24"/>
        </w:rPr>
        <w:t>的验收的内容，经</w:t>
      </w:r>
      <w:r>
        <w:rPr>
          <w:rFonts w:hint="eastAsia" w:ascii="仿宋" w:hAnsi="仿宋" w:eastAsia="仿宋" w:cs="Times New Roman"/>
          <w:color w:val="auto"/>
          <w:sz w:val="24"/>
          <w:szCs w:val="24"/>
        </w:rPr>
        <w:t>招标方</w:t>
      </w:r>
      <w:r>
        <w:rPr>
          <w:rFonts w:ascii="仿宋" w:hAnsi="仿宋" w:eastAsia="仿宋" w:cs="Times New Roman"/>
          <w:color w:val="auto"/>
          <w:sz w:val="24"/>
          <w:szCs w:val="24"/>
        </w:rPr>
        <w:t>签字确认，作为</w:t>
      </w:r>
      <w:r>
        <w:rPr>
          <w:rFonts w:hint="eastAsia" w:ascii="仿宋" w:hAnsi="仿宋" w:eastAsia="仿宋" w:cs="Times New Roman"/>
          <w:color w:val="auto"/>
          <w:sz w:val="24"/>
          <w:szCs w:val="24"/>
        </w:rPr>
        <w:t>项目</w:t>
      </w:r>
      <w:r>
        <w:rPr>
          <w:rFonts w:ascii="仿宋" w:hAnsi="仿宋" w:eastAsia="仿宋" w:cs="Times New Roman"/>
          <w:color w:val="auto"/>
          <w:sz w:val="24"/>
          <w:szCs w:val="24"/>
        </w:rPr>
        <w:t>建成后的验收依据。</w:t>
      </w:r>
    </w:p>
    <w:p>
      <w:pPr>
        <w:widowControl w:val="0"/>
        <w:numPr>
          <w:ilvl w:val="2"/>
          <w:numId w:val="54"/>
        </w:numPr>
        <w:adjustRightInd w:val="0"/>
        <w:snapToGrid w:val="0"/>
        <w:spacing w:after="0" w:line="360" w:lineRule="auto"/>
        <w:ind w:left="0" w:firstLine="480" w:firstLineChars="200"/>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终验收</w:t>
      </w:r>
    </w:p>
    <w:p>
      <w:pPr>
        <w:widowControl w:val="0"/>
        <w:spacing w:after="0" w:line="360" w:lineRule="auto"/>
        <w:ind w:firstLine="480" w:firstLineChars="200"/>
        <w:jc w:val="both"/>
        <w:rPr>
          <w:rFonts w:hint="eastAsia" w:ascii="仿宋" w:hAnsi="仿宋" w:eastAsia="仿宋" w:cs="Times New Roman"/>
          <w:b/>
          <w:bCs/>
          <w:color w:val="auto"/>
          <w:sz w:val="24"/>
          <w:szCs w:val="24"/>
        </w:rPr>
      </w:pPr>
      <w:r>
        <w:rPr>
          <w:rFonts w:hint="eastAsia" w:ascii="仿宋" w:hAnsi="仿宋" w:eastAsia="仿宋" w:cs="Times New Roman"/>
          <w:color w:val="auto"/>
          <w:sz w:val="24"/>
          <w:szCs w:val="24"/>
        </w:rPr>
        <w:t>完成安装、调试后（在招标方工厂），进行操作、维修等技术培训，完成培训后进行最终验收。招标方</w:t>
      </w:r>
      <w:r>
        <w:rPr>
          <w:rFonts w:ascii="仿宋" w:hAnsi="仿宋" w:eastAsia="仿宋" w:cs="Times New Roman"/>
          <w:color w:val="auto"/>
          <w:sz w:val="24"/>
          <w:szCs w:val="24"/>
        </w:rPr>
        <w:t>负责组织系统建成后的验收评审，以评审组形成的评审结论作为系统的验收依据。</w:t>
      </w:r>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67" w:name="_Toc14344"/>
      <w:r>
        <w:rPr>
          <w:rFonts w:hint="eastAsia" w:ascii="仿宋" w:hAnsi="仿宋" w:eastAsia="仿宋" w:cs="Times New Roman"/>
          <w:b/>
          <w:bCs/>
          <w:color w:val="auto"/>
          <w:sz w:val="24"/>
          <w:szCs w:val="24"/>
        </w:rPr>
        <w:t>记录</w:t>
      </w:r>
      <w:bookmarkEnd w:id="167"/>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安装记录应包含轨道、导轨、货架、堆垛机、输送机的安装记录。</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调试记录应包含设备几何精度、定位精度、性能及功能的调试记录；故障及排除情况记录。</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试运行记录应包含系统作业效率、故障记录、故障原因及排除方法、试运行评定结论。</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验收记录应包含双方约定的验收项目及结果、验收时间、参加单位、验收结论。</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68" w:name="_Toc23634"/>
      <w:r>
        <w:rPr>
          <w:rFonts w:hint="eastAsia" w:ascii="仿宋" w:hAnsi="仿宋" w:eastAsia="仿宋" w:cs="Times New Roman"/>
          <w:b/>
          <w:bCs/>
          <w:color w:val="auto"/>
          <w:sz w:val="24"/>
          <w:szCs w:val="24"/>
        </w:rPr>
        <w:t>建设周期</w:t>
      </w:r>
      <w:bookmarkEnd w:id="168"/>
    </w:p>
    <w:p>
      <w:pPr>
        <w:widowControl w:val="0"/>
        <w:spacing w:after="0" w:line="360" w:lineRule="auto"/>
        <w:jc w:val="both"/>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具体实施计划以实际为准，需满足的里程碑节点为2026/1/31前</w:t>
      </w:r>
      <w:r>
        <w:rPr>
          <w:rFonts w:hint="eastAsia" w:ascii="仿宋" w:hAnsi="仿宋" w:eastAsia="仿宋" w:cs="Times New Roman"/>
          <w:color w:val="auto"/>
          <w:sz w:val="24"/>
          <w:szCs w:val="24"/>
        </w:rPr>
        <w:t>完成安装前的技术准备，如施工方案、施工图、验收规范、应急预案的编制和确认及施工人员安装、安全培训等其他准备工作</w:t>
      </w:r>
      <w:r>
        <w:rPr>
          <w:rFonts w:hint="eastAsia" w:ascii="仿宋_GB2312" w:eastAsia="仿宋_GB2312" w:cs="仿宋_GB2312"/>
          <w:color w:val="auto"/>
          <w:sz w:val="24"/>
          <w:szCs w:val="24"/>
          <w:lang w:bidi="ar"/>
        </w:rPr>
        <w:t>，2026/4/25前达到系统试运行状态，2026/9/15前完成项目验收。</w:t>
      </w:r>
    </w:p>
    <w:tbl>
      <w:tblPr>
        <w:tblStyle w:val="30"/>
        <w:tblpPr w:leftFromText="180" w:rightFromText="180" w:vertAnchor="text" w:horzAnchor="page" w:tblpX="1147" w:tblpY="561"/>
        <w:tblOverlap w:val="never"/>
        <w:tblW w:w="54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gridCol w:w="1632"/>
        <w:gridCol w:w="1649"/>
        <w:gridCol w:w="1615"/>
        <w:gridCol w:w="5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blHeader/>
        </w:trPr>
        <w:tc>
          <w:tcPr>
            <w:tcW w:w="263" w:type="pct"/>
            <w:shd w:val="clear" w:color="auto" w:fill="D0CECE" w:themeFill="background2" w:themeFillShade="E6"/>
            <w:noWrap/>
            <w:vAlign w:val="center"/>
          </w:tcPr>
          <w:p>
            <w:pPr>
              <w:widowControl w:val="0"/>
              <w:tabs>
                <w:tab w:val="left" w:pos="225"/>
              </w:tabs>
              <w:spacing w:after="0" w:line="360" w:lineRule="auto"/>
              <w:rPr>
                <w:rFonts w:hint="eastAsia" w:ascii="仿宋" w:hAnsi="仿宋" w:eastAsia="仿宋" w:cs="Times New Roman"/>
                <w:color w:val="auto"/>
                <w:sz w:val="24"/>
                <w:szCs w:val="24"/>
              </w:rPr>
            </w:pPr>
            <w:r>
              <w:rPr>
                <w:rFonts w:hint="eastAsia" w:ascii="仿宋" w:hAnsi="仿宋" w:eastAsia="仿宋" w:cs="Times New Roman"/>
                <w:color w:val="auto"/>
                <w:sz w:val="24"/>
                <w:szCs w:val="24"/>
              </w:rPr>
              <w:t>序号</w:t>
            </w:r>
          </w:p>
        </w:tc>
        <w:tc>
          <w:tcPr>
            <w:tcW w:w="776" w:type="pct"/>
            <w:shd w:val="clear" w:color="auto" w:fill="D0CECE" w:themeFill="background2" w:themeFillShade="E6"/>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阶段</w:t>
            </w:r>
          </w:p>
        </w:tc>
        <w:tc>
          <w:tcPr>
            <w:tcW w:w="784" w:type="pct"/>
            <w:shd w:val="clear" w:color="auto" w:fill="D0CECE" w:themeFill="background2" w:themeFillShade="E6"/>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预计</w:t>
            </w:r>
          </w:p>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开始时间</w:t>
            </w:r>
          </w:p>
        </w:tc>
        <w:tc>
          <w:tcPr>
            <w:tcW w:w="768" w:type="pct"/>
            <w:shd w:val="clear" w:color="auto" w:fill="D0CECE" w:themeFill="background2" w:themeFillShade="E6"/>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预计</w:t>
            </w:r>
          </w:p>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结束时间</w:t>
            </w:r>
          </w:p>
        </w:tc>
        <w:tc>
          <w:tcPr>
            <w:tcW w:w="2405" w:type="pct"/>
            <w:shd w:val="clear" w:color="auto" w:fill="D0CECE" w:themeFill="background2" w:themeFillShade="E6"/>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1</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启动阶段</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2025-10-20</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2025-11-10</w:t>
            </w:r>
          </w:p>
        </w:tc>
        <w:tc>
          <w:tcPr>
            <w:tcW w:w="2405" w:type="pct"/>
            <w:vAlign w:val="center"/>
          </w:tcPr>
          <w:p>
            <w:pPr>
              <w:widowControl w:val="0"/>
              <w:numPr>
                <w:ilvl w:val="0"/>
                <w:numId w:val="90"/>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项目成员入场，项目启动</w:t>
            </w:r>
          </w:p>
          <w:p>
            <w:pPr>
              <w:widowControl w:val="0"/>
              <w:numPr>
                <w:ilvl w:val="0"/>
                <w:numId w:val="90"/>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明确项目主计划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规划设计</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2025-11-11</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2025-12-15</w:t>
            </w:r>
          </w:p>
        </w:tc>
        <w:tc>
          <w:tcPr>
            <w:tcW w:w="2405" w:type="pct"/>
            <w:vAlign w:val="center"/>
          </w:tcPr>
          <w:p>
            <w:pPr>
              <w:widowControl w:val="0"/>
              <w:numPr>
                <w:ilvl w:val="0"/>
                <w:numId w:val="91"/>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规划布局方案</w:t>
            </w:r>
          </w:p>
          <w:p>
            <w:pPr>
              <w:widowControl w:val="0"/>
              <w:numPr>
                <w:ilvl w:val="0"/>
                <w:numId w:val="91"/>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确定施工方案、施工图</w:t>
            </w:r>
          </w:p>
          <w:p>
            <w:pPr>
              <w:widowControl w:val="0"/>
              <w:numPr>
                <w:ilvl w:val="0"/>
                <w:numId w:val="91"/>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验收规范、应急预案的编制和确认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3</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安装前准备</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2025-12-16</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2026-1-31</w:t>
            </w:r>
          </w:p>
        </w:tc>
        <w:tc>
          <w:tcPr>
            <w:tcW w:w="2405" w:type="pct"/>
            <w:vAlign w:val="center"/>
          </w:tcPr>
          <w:p>
            <w:pPr>
              <w:widowControl w:val="0"/>
              <w:numPr>
                <w:ilvl w:val="0"/>
                <w:numId w:val="92"/>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材料、设备的发货确认</w:t>
            </w:r>
          </w:p>
          <w:p>
            <w:pPr>
              <w:widowControl w:val="0"/>
              <w:numPr>
                <w:ilvl w:val="0"/>
                <w:numId w:val="92"/>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施工人员安装、安全培训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4</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现场安装</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2026-2-1</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2026-3-31</w:t>
            </w:r>
          </w:p>
        </w:tc>
        <w:tc>
          <w:tcPr>
            <w:tcW w:w="2405" w:type="pct"/>
            <w:vAlign w:val="center"/>
          </w:tcPr>
          <w:p>
            <w:pPr>
              <w:widowControl w:val="0"/>
              <w:tabs>
                <w:tab w:val="left" w:pos="0"/>
              </w:tabs>
              <w:spacing w:after="0" w:line="360" w:lineRule="auto"/>
              <w:contextualSpacing/>
              <w:rPr>
                <w:rFonts w:hint="eastAsia" w:ascii="仿宋" w:hAnsi="仿宋" w:eastAsia="仿宋" w:cs="Times New Roman"/>
                <w:color w:val="auto"/>
                <w:sz w:val="24"/>
                <w:szCs w:val="24"/>
              </w:rPr>
            </w:pPr>
            <w:r>
              <w:rPr>
                <w:rFonts w:hint="eastAsia" w:ascii="仿宋" w:hAnsi="仿宋" w:eastAsia="仿宋" w:cs="Times New Roman"/>
                <w:color w:val="auto"/>
                <w:sz w:val="24"/>
                <w:szCs w:val="24"/>
              </w:rPr>
              <w:t>货架、轨道、堆垛机、输送设备、电气系统、信息化系统的安装工作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5</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调试上线</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2026-4-1</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2026-4-24</w:t>
            </w:r>
          </w:p>
        </w:tc>
        <w:tc>
          <w:tcPr>
            <w:tcW w:w="2405" w:type="pct"/>
            <w:vAlign w:val="center"/>
          </w:tcPr>
          <w:p>
            <w:pPr>
              <w:widowControl w:val="0"/>
              <w:numPr>
                <w:ilvl w:val="0"/>
                <w:numId w:val="93"/>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单机手动自动调试</w:t>
            </w:r>
          </w:p>
          <w:p>
            <w:pPr>
              <w:widowControl w:val="0"/>
              <w:numPr>
                <w:ilvl w:val="0"/>
                <w:numId w:val="93"/>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子系统联机调试</w:t>
            </w:r>
          </w:p>
          <w:p>
            <w:pPr>
              <w:widowControl w:val="0"/>
              <w:numPr>
                <w:ilvl w:val="0"/>
                <w:numId w:val="93"/>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全系统联机调试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6</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试运行</w:t>
            </w:r>
          </w:p>
        </w:tc>
        <w:tc>
          <w:tcPr>
            <w:tcW w:w="784"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2026-4-25</w:t>
            </w:r>
          </w:p>
        </w:tc>
        <w:tc>
          <w:tcPr>
            <w:tcW w:w="768"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2026-8-31</w:t>
            </w:r>
          </w:p>
        </w:tc>
        <w:tc>
          <w:tcPr>
            <w:tcW w:w="2405" w:type="pct"/>
            <w:vAlign w:val="center"/>
          </w:tcPr>
          <w:p>
            <w:pPr>
              <w:widowControl w:val="0"/>
              <w:numPr>
                <w:ilvl w:val="0"/>
                <w:numId w:val="94"/>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复查设备的几何精度；复紧各联接件；复查活动部件的灵活性，联锁传动装置动作的正确性。</w:t>
            </w:r>
          </w:p>
          <w:p>
            <w:pPr>
              <w:widowControl w:val="0"/>
              <w:numPr>
                <w:ilvl w:val="0"/>
                <w:numId w:val="94"/>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系统设备联合试运行，发现问题应及时处理。</w:t>
            </w:r>
          </w:p>
          <w:p>
            <w:pPr>
              <w:widowControl w:val="0"/>
              <w:numPr>
                <w:ilvl w:val="0"/>
                <w:numId w:val="94"/>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调整机械设备，完善电气控制系统、WMS系统和WCS系统软件，完善用户文档及安装使用说明书。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63"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7</w:t>
            </w:r>
          </w:p>
        </w:tc>
        <w:tc>
          <w:tcPr>
            <w:tcW w:w="776" w:type="pct"/>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验收</w:t>
            </w:r>
          </w:p>
        </w:tc>
        <w:tc>
          <w:tcPr>
            <w:tcW w:w="784"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2026-9-1</w:t>
            </w:r>
          </w:p>
        </w:tc>
        <w:tc>
          <w:tcPr>
            <w:tcW w:w="768" w:type="pct"/>
            <w:noWrap/>
            <w:vAlign w:val="center"/>
          </w:tcPr>
          <w:p>
            <w:pPr>
              <w:widowControl w:val="0"/>
              <w:tabs>
                <w:tab w:val="left" w:pos="0"/>
              </w:tabs>
              <w:spacing w:after="0" w:line="360" w:lineRule="auto"/>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2026-9-15</w:t>
            </w:r>
          </w:p>
        </w:tc>
        <w:tc>
          <w:tcPr>
            <w:tcW w:w="2405" w:type="pct"/>
            <w:vAlign w:val="center"/>
          </w:tcPr>
          <w:p>
            <w:pPr>
              <w:widowControl w:val="0"/>
              <w:numPr>
                <w:ilvl w:val="0"/>
                <w:numId w:val="95"/>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文档交接</w:t>
            </w:r>
          </w:p>
          <w:p>
            <w:pPr>
              <w:widowControl w:val="0"/>
              <w:numPr>
                <w:ilvl w:val="0"/>
                <w:numId w:val="95"/>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验收测试</w:t>
            </w:r>
          </w:p>
          <w:p>
            <w:pPr>
              <w:widowControl w:val="0"/>
              <w:numPr>
                <w:ilvl w:val="0"/>
                <w:numId w:val="95"/>
              </w:numPr>
              <w:tabs>
                <w:tab w:val="left" w:pos="0"/>
              </w:tabs>
              <w:spacing w:after="0" w:line="360" w:lineRule="auto"/>
              <w:ind w:firstLine="0"/>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终验收</w:t>
            </w:r>
          </w:p>
        </w:tc>
      </w:tr>
    </w:tbl>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69" w:name="_Toc28697"/>
      <w:r>
        <w:rPr>
          <w:rFonts w:hint="eastAsia" w:ascii="仿宋" w:hAnsi="仿宋" w:eastAsia="仿宋" w:cs="Times New Roman"/>
          <w:b/>
          <w:bCs/>
          <w:color w:val="auto"/>
          <w:sz w:val="24"/>
          <w:szCs w:val="24"/>
        </w:rPr>
        <w:t>质量保证及维修服务</w:t>
      </w:r>
      <w:bookmarkEnd w:id="169"/>
    </w:p>
    <w:p>
      <w:pPr>
        <w:widowControl w:val="0"/>
        <w:numPr>
          <w:ilvl w:val="1"/>
          <w:numId w:val="54"/>
        </w:numPr>
        <w:adjustRightInd w:val="0"/>
        <w:snapToGrid w:val="0"/>
        <w:spacing w:after="0" w:line="360" w:lineRule="auto"/>
        <w:jc w:val="both"/>
        <w:outlineLvl w:val="1"/>
        <w:rPr>
          <w:rFonts w:hint="eastAsia" w:ascii="仿宋" w:hAnsi="仿宋" w:eastAsia="仿宋" w:cs="Times New Roman"/>
          <w:b/>
          <w:bCs/>
          <w:color w:val="auto"/>
          <w:sz w:val="24"/>
          <w:szCs w:val="24"/>
        </w:rPr>
      </w:pPr>
      <w:bookmarkStart w:id="170" w:name="_Toc20482"/>
      <w:r>
        <w:rPr>
          <w:rFonts w:hint="eastAsia" w:ascii="仿宋" w:hAnsi="仿宋" w:eastAsia="仿宋" w:cs="Times New Roman"/>
          <w:b/>
          <w:bCs/>
          <w:color w:val="auto"/>
          <w:sz w:val="24"/>
          <w:szCs w:val="24"/>
        </w:rPr>
        <w:t>质量保证</w:t>
      </w:r>
      <w:bookmarkEnd w:id="170"/>
    </w:p>
    <w:p>
      <w:pPr>
        <w:widowControl w:val="0"/>
        <w:numPr>
          <w:ilvl w:val="2"/>
          <w:numId w:val="54"/>
        </w:numPr>
        <w:adjustRightInd w:val="0"/>
        <w:snapToGrid w:val="0"/>
        <w:spacing w:after="0" w:line="360" w:lineRule="auto"/>
        <w:contextualSpacing/>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在系统试运行期和项目质量保证期内，负责对其在本项目实施完成后所交付的产品（系统）进行运行维护。服务范围包括但不限于：在系统试运行期间负责承担用户技术支持、问题跟踪处理、系统优化完善等现场运维服务工作，提供各种突发事件的应急策略（包括具体响应时间），在系统质量保证期内负责承担系统升级和功能完善等服务工作。</w:t>
      </w:r>
    </w:p>
    <w:p>
      <w:pPr>
        <w:widowControl w:val="0"/>
        <w:numPr>
          <w:ilvl w:val="2"/>
          <w:numId w:val="54"/>
        </w:numPr>
        <w:adjustRightInd w:val="0"/>
        <w:snapToGrid w:val="0"/>
        <w:spacing w:after="0" w:line="360" w:lineRule="auto"/>
        <w:contextualSpacing/>
        <w:jc w:val="both"/>
        <w:rPr>
          <w:rFonts w:hint="eastAsia" w:ascii="仿宋" w:hAnsi="仿宋" w:eastAsia="仿宋" w:cs="Times New Roman"/>
          <w:color w:val="auto"/>
          <w:sz w:val="24"/>
          <w:szCs w:val="24"/>
        </w:rPr>
      </w:pPr>
      <w:r>
        <w:rPr>
          <w:rFonts w:hint="eastAsia" w:ascii="仿宋_GB2312" w:eastAsia="仿宋_GB2312" w:cs="仿宋_GB2312"/>
          <w:b/>
          <w:bCs/>
          <w:color w:val="auto"/>
          <w:sz w:val="24"/>
          <w:szCs w:val="24"/>
          <w:lang w:bidi="ar"/>
        </w:rPr>
        <w:t>★</w:t>
      </w:r>
      <w:r>
        <w:rPr>
          <w:rFonts w:hint="eastAsia" w:ascii="仿宋" w:hAnsi="仿宋" w:eastAsia="仿宋" w:cs="Times New Roman"/>
          <w:color w:val="auto"/>
          <w:sz w:val="24"/>
          <w:szCs w:val="24"/>
        </w:rPr>
        <w:t>设备整机</w:t>
      </w:r>
      <w:r>
        <w:rPr>
          <w:rFonts w:hint="eastAsia" w:ascii="仿宋_GB2312" w:eastAsia="仿宋_GB2312" w:cs="仿宋_GB2312"/>
          <w:color w:val="auto"/>
          <w:sz w:val="24"/>
          <w:szCs w:val="24"/>
          <w:lang w:bidi="ar"/>
        </w:rPr>
        <w:t>提供至少3年免费质保期，质保期内免费进行系统维护、升级；设立7×24小时售后服务热线，接到故障报修后在规定响应时间内响应，在规定的故障解决时间内解决问题；定期回访客户，收集使用反馈，持续优化系统性能；</w:t>
      </w:r>
      <w:r>
        <w:rPr>
          <w:rFonts w:hint="eastAsia" w:ascii="仿宋" w:hAnsi="仿宋" w:eastAsia="仿宋" w:cs="Times New Roman"/>
          <w:color w:val="auto"/>
          <w:sz w:val="24"/>
          <w:szCs w:val="24"/>
        </w:rPr>
        <w:t>在质保期内投标方提供免费的保修服务。</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质保期满后，投标方应提供设备的终身技术支持、维修保养服务和备件供应。</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提供系统软件升级服务。</w:t>
      </w:r>
    </w:p>
    <w:p>
      <w:pPr>
        <w:widowControl w:val="0"/>
        <w:numPr>
          <w:ilvl w:val="1"/>
          <w:numId w:val="54"/>
        </w:numPr>
        <w:adjustRightInd w:val="0"/>
        <w:snapToGrid w:val="0"/>
        <w:spacing w:after="0" w:line="360" w:lineRule="auto"/>
        <w:ind w:left="0" w:firstLine="0"/>
        <w:jc w:val="both"/>
        <w:outlineLvl w:val="1"/>
        <w:rPr>
          <w:rFonts w:hint="eastAsia" w:ascii="仿宋" w:hAnsi="仿宋" w:eastAsia="仿宋" w:cs="Times New Roman"/>
          <w:b/>
          <w:bCs/>
          <w:color w:val="auto"/>
          <w:sz w:val="24"/>
          <w:szCs w:val="24"/>
        </w:rPr>
      </w:pPr>
      <w:bookmarkStart w:id="171" w:name="_Toc18171"/>
      <w:r>
        <w:rPr>
          <w:rFonts w:hint="eastAsia" w:ascii="仿宋" w:hAnsi="仿宋" w:eastAsia="仿宋" w:cs="Times New Roman"/>
          <w:b/>
          <w:bCs/>
          <w:color w:val="auto"/>
          <w:sz w:val="24"/>
          <w:szCs w:val="24"/>
        </w:rPr>
        <w:t>维修服务</w:t>
      </w:r>
      <w:bookmarkEnd w:id="171"/>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硬件设备验收合格后，质量保证期内，在收到用户故障信息（电话或传真）后，投标方在24小时内给予答复，在2 个工作日内排除故障或上门服务。</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如属设备自身问题（非人为造成），由投标方负责对相关部件进行维修或更换，由此所发生的费用由投标方承担。投标方未及时按照招标方的要求进行更换或修理的，招标方有权委托第三方进行更换或修理，由此产生的费用由投标方承担，招标方有权向投标方追索。设备保修期过后，投标方必须终身提供技术支持及备件供应，并保证备件供应周期不超过30个工作日。</w:t>
      </w:r>
    </w:p>
    <w:p>
      <w:pPr>
        <w:widowControl w:val="0"/>
        <w:numPr>
          <w:ilvl w:val="2"/>
          <w:numId w:val="54"/>
        </w:numPr>
        <w:adjustRightInd w:val="0"/>
        <w:snapToGrid w:val="0"/>
        <w:spacing w:after="0" w:line="360" w:lineRule="auto"/>
        <w:jc w:val="both"/>
        <w:rPr>
          <w:rFonts w:hint="eastAsia" w:ascii="仿宋" w:hAnsi="仿宋" w:eastAsia="仿宋" w:cs="Times New Roman"/>
          <w:color w:val="auto"/>
          <w:sz w:val="24"/>
          <w:szCs w:val="24"/>
        </w:rPr>
      </w:pPr>
      <w:r>
        <w:rPr>
          <w:rFonts w:hint="eastAsia" w:ascii="仿宋_GB2312" w:eastAsia="仿宋_GB2312" w:cs="仿宋_GB2312"/>
          <w:b/>
          <w:bCs/>
          <w:color w:val="auto"/>
          <w:sz w:val="24"/>
          <w:szCs w:val="24"/>
          <w:lang w:bidi="ar"/>
        </w:rPr>
        <w:t>★</w:t>
      </w:r>
      <w:r>
        <w:rPr>
          <w:rFonts w:hint="eastAsia" w:ascii="仿宋" w:hAnsi="仿宋" w:eastAsia="仿宋" w:cs="Times New Roman"/>
          <w:color w:val="auto"/>
          <w:sz w:val="24"/>
          <w:szCs w:val="24"/>
        </w:rPr>
        <w:t>形成维保计划，明确维保清单及备品备件价格。</w:t>
      </w:r>
    </w:p>
    <w:p>
      <w:pPr>
        <w:widowControl w:val="0"/>
        <w:numPr>
          <w:ilvl w:val="0"/>
          <w:numId w:val="54"/>
        </w:numPr>
        <w:adjustRightInd w:val="0"/>
        <w:snapToGrid w:val="0"/>
        <w:spacing w:after="0" w:line="360" w:lineRule="auto"/>
        <w:jc w:val="both"/>
        <w:outlineLvl w:val="0"/>
        <w:rPr>
          <w:rFonts w:hint="eastAsia" w:ascii="仿宋" w:hAnsi="仿宋" w:eastAsia="仿宋" w:cs="Times New Roman"/>
          <w:b/>
          <w:bCs/>
          <w:color w:val="auto"/>
          <w:sz w:val="24"/>
          <w:szCs w:val="24"/>
        </w:rPr>
      </w:pPr>
      <w:bookmarkStart w:id="172" w:name="_Toc9386"/>
      <w:r>
        <w:rPr>
          <w:rFonts w:hint="eastAsia" w:ascii="仿宋" w:hAnsi="仿宋" w:eastAsia="仿宋" w:cs="Times New Roman"/>
          <w:b/>
          <w:bCs/>
          <w:color w:val="auto"/>
          <w:sz w:val="24"/>
          <w:szCs w:val="24"/>
        </w:rPr>
        <w:t>其他</w:t>
      </w:r>
      <w:bookmarkEnd w:id="172"/>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color w:val="auto"/>
          <w:sz w:val="24"/>
          <w:szCs w:val="24"/>
        </w:rPr>
        <w:t>无</w:t>
      </w:r>
    </w:p>
    <w:p>
      <w:pPr>
        <w:widowControl w:val="0"/>
        <w:adjustRightInd w:val="0"/>
        <w:snapToGrid w:val="0"/>
        <w:spacing w:after="0" w:line="360" w:lineRule="auto"/>
        <w:jc w:val="both"/>
        <w:rPr>
          <w:rFonts w:hint="eastAsia" w:ascii="仿宋" w:hAnsi="仿宋" w:eastAsia="仿宋" w:cs="Times New Roman"/>
          <w:color w:val="auto"/>
          <w:sz w:val="24"/>
          <w:szCs w:val="24"/>
        </w:rPr>
      </w:pPr>
      <w:r>
        <w:rPr>
          <w:rFonts w:hint="eastAsia" w:ascii="仿宋" w:hAnsi="仿宋" w:eastAsia="仿宋" w:cs="Times New Roman"/>
          <w:b/>
          <w:color w:val="auto"/>
          <w:sz w:val="24"/>
          <w:szCs w:val="24"/>
          <w:u w:val="single"/>
        </w:rPr>
        <w:t>注：星号条款</w:t>
      </w:r>
      <w:r>
        <w:rPr>
          <w:rFonts w:hint="eastAsia" w:ascii="仿宋_GB2312" w:eastAsia="仿宋_GB2312" w:cs="仿宋_GB2312"/>
          <w:b/>
          <w:bCs/>
          <w:color w:val="auto"/>
          <w:sz w:val="24"/>
          <w:szCs w:val="24"/>
          <w:u w:val="single"/>
          <w:lang w:bidi="ar"/>
        </w:rPr>
        <w:t>★</w:t>
      </w:r>
      <w:r>
        <w:rPr>
          <w:rFonts w:hint="eastAsia" w:ascii="仿宋" w:hAnsi="仿宋" w:eastAsia="仿宋" w:cs="Times New Roman"/>
          <w:b/>
          <w:color w:val="auto"/>
          <w:sz w:val="24"/>
          <w:szCs w:val="24"/>
          <w:u w:val="single"/>
        </w:rPr>
        <w:t>为实质性响应条款，负偏离将导致无效投标。</w:t>
      </w:r>
    </w:p>
    <w:p>
      <w:pPr>
        <w:widowControl w:val="0"/>
        <w:spacing w:after="0" w:line="240" w:lineRule="auto"/>
        <w:jc w:val="both"/>
        <w:rPr>
          <w:rFonts w:eastAsia="宋体" w:cs="Times New Roman"/>
          <w:color w:val="auto"/>
          <w:sz w:val="21"/>
          <w:szCs w:val="24"/>
        </w:rPr>
      </w:pPr>
    </w:p>
    <w:p>
      <w:pPr>
        <w:rPr>
          <w:lang w:bidi="ar"/>
        </w:rPr>
      </w:pPr>
    </w:p>
    <w:p>
      <w:pPr>
        <w:rPr>
          <w:rFonts w:eastAsiaTheme="minorEastAsia"/>
          <w:lang w:bidi="ar"/>
        </w:rPr>
      </w:pPr>
    </w:p>
    <w:p>
      <w:pPr>
        <w:widowControl w:val="0"/>
        <w:spacing w:after="0" w:line="240" w:lineRule="auto"/>
        <w:jc w:val="both"/>
        <w:rPr>
          <w:rFonts w:eastAsia="宋体" w:cs="Times New Roman"/>
          <w:color w:val="auto"/>
          <w:sz w:val="21"/>
          <w:szCs w:val="24"/>
        </w:rPr>
      </w:pPr>
    </w:p>
    <w:p>
      <w:pPr>
        <w:widowControl w:val="0"/>
        <w:spacing w:after="0" w:line="560" w:lineRule="exact"/>
        <w:ind w:firstLine="640" w:firstLineChars="200"/>
        <w:jc w:val="both"/>
        <w:rPr>
          <w:rFonts w:ascii="仿宋_GB2312" w:eastAsia="仿宋_GB2312" w:cs="仿宋_GB2312"/>
          <w:color w:val="auto"/>
          <w:sz w:val="32"/>
          <w:szCs w:val="32"/>
          <w:lang w:bidi="ar"/>
        </w:rPr>
      </w:pPr>
    </w:p>
    <w:p>
      <w:pPr>
        <w:widowControl w:val="0"/>
        <w:spacing w:after="0" w:line="240" w:lineRule="auto"/>
        <w:jc w:val="both"/>
        <w:rPr>
          <w:rFonts w:eastAsia="宋体" w:cs="Times New Roman"/>
          <w:color w:val="auto"/>
          <w:sz w:val="21"/>
          <w:szCs w:val="24"/>
        </w:rPr>
      </w:pPr>
    </w:p>
    <w:p>
      <w:pPr>
        <w:rPr>
          <w:rFonts w:eastAsiaTheme="minorEastAsia"/>
        </w:rPr>
      </w:pPr>
    </w:p>
    <w:p>
      <w:pPr>
        <w:jc w:val="center"/>
        <w:rPr>
          <w:rFonts w:ascii="Times New Roman" w:hAnsi="Times New Roman" w:cs="Times New Roman" w:eastAsiaTheme="minorEastAsia"/>
          <w:bCs/>
          <w:color w:val="auto"/>
          <w:sz w:val="44"/>
        </w:rPr>
      </w:pPr>
      <w:r>
        <w:rPr>
          <w:rFonts w:hint="eastAsia" w:ascii="宋体" w:hAnsi="宋体" w:eastAsia="宋体" w:cs="宋体"/>
          <w:bCs/>
          <w:color w:val="auto"/>
          <w:sz w:val="44"/>
        </w:rPr>
        <w:br w:type="page"/>
      </w:r>
      <w:r>
        <w:rPr>
          <w:rFonts w:ascii="宋体" w:hAnsi="宋体" w:eastAsia="宋体" w:cs="宋体"/>
          <w:bCs/>
          <w:color w:val="auto"/>
          <w:sz w:val="44"/>
        </w:rPr>
        <w:t>第三卷</w:t>
      </w: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spacing w:after="0" w:line="240" w:lineRule="auto"/>
        <w:rPr>
          <w:rFonts w:hint="eastAsia" w:ascii="宋体" w:hAnsi="宋体" w:eastAsia="宋体" w:cs="宋体"/>
          <w:b/>
          <w:color w:val="auto"/>
          <w:sz w:val="44"/>
        </w:rPr>
      </w:pPr>
      <w:r>
        <w:rPr>
          <w:rFonts w:ascii="宋体" w:hAnsi="宋体" w:eastAsia="宋体" w:cs="宋体"/>
          <w:b/>
          <w:color w:val="auto"/>
          <w:sz w:val="44"/>
        </w:rPr>
        <w:br w:type="page"/>
      </w:r>
    </w:p>
    <w:p>
      <w:pPr>
        <w:pStyle w:val="2"/>
        <w:spacing w:after="983"/>
        <w:ind w:right="0"/>
        <w:rPr>
          <w:rFonts w:hint="eastAsia"/>
          <w:bCs/>
          <w:color w:val="auto"/>
        </w:rPr>
      </w:pPr>
      <w:bookmarkStart w:id="173" w:name="_Toc195390920"/>
      <w:r>
        <w:rPr>
          <w:rFonts w:ascii="宋体" w:hAnsi="宋体" w:eastAsia="宋体" w:cs="宋体"/>
          <w:bCs/>
          <w:color w:val="auto"/>
          <w:sz w:val="44"/>
        </w:rPr>
        <w:t>第六章</w:t>
      </w:r>
      <w:r>
        <w:rPr>
          <w:rFonts w:hint="eastAsia" w:ascii="宋体" w:hAnsi="宋体" w:eastAsia="宋体" w:cs="宋体"/>
          <w:bCs/>
          <w:color w:val="auto"/>
          <w:sz w:val="44"/>
        </w:rPr>
        <w:t xml:space="preserve"> </w:t>
      </w:r>
      <w:r>
        <w:rPr>
          <w:rFonts w:ascii="宋体" w:hAnsi="宋体" w:eastAsia="宋体" w:cs="宋体"/>
          <w:bCs/>
          <w:color w:val="auto"/>
          <w:sz w:val="44"/>
        </w:rPr>
        <w:t>投标文件格式</w:t>
      </w:r>
      <w:bookmarkEnd w:id="173"/>
    </w:p>
    <w:p>
      <w:pPr>
        <w:spacing w:after="137"/>
        <w:rPr>
          <w:b/>
          <w:color w:val="auto"/>
        </w:rPr>
      </w:pPr>
    </w:p>
    <w:p>
      <w:pPr>
        <w:spacing w:after="0"/>
        <w:rPr>
          <w:b/>
          <w:color w:val="auto"/>
        </w:rPr>
      </w:pPr>
      <w:r>
        <w:rPr>
          <w:rFonts w:ascii="Times New Roman" w:hAnsi="Times New Roman" w:eastAsia="Times New Roman" w:cs="Times New Roman"/>
          <w:b/>
          <w:color w:val="auto"/>
          <w:sz w:val="21"/>
        </w:rPr>
        <w:tab/>
      </w:r>
      <w:r>
        <w:rPr>
          <w:b/>
          <w:color w:val="auto"/>
        </w:rPr>
        <w:br w:type="page"/>
      </w:r>
    </w:p>
    <w:p>
      <w:pPr>
        <w:spacing w:after="137"/>
        <w:rPr>
          <w:b/>
          <w:color w:val="auto"/>
        </w:rPr>
      </w:pPr>
    </w:p>
    <w:p>
      <w:pPr>
        <w:spacing w:after="0" w:line="265" w:lineRule="auto"/>
        <w:ind w:left="10" w:right="702" w:hanging="10"/>
        <w:jc w:val="center"/>
        <w:rPr>
          <w:b/>
          <w:color w:val="auto"/>
        </w:rPr>
      </w:pPr>
    </w:p>
    <w:p>
      <w:pPr>
        <w:spacing w:after="0"/>
        <w:rPr>
          <w:b/>
          <w:color w:val="auto"/>
        </w:rPr>
      </w:pPr>
    </w:p>
    <w:p>
      <w:pPr>
        <w:spacing w:after="254"/>
        <w:rPr>
          <w:b/>
          <w:color w:val="auto"/>
        </w:rPr>
      </w:pPr>
    </w:p>
    <w:p>
      <w:pPr>
        <w:spacing w:after="0"/>
        <w:ind w:left="10" w:right="701" w:hanging="10"/>
        <w:jc w:val="center"/>
        <w:rPr>
          <w:bCs/>
          <w:color w:val="auto"/>
        </w:rPr>
      </w:pPr>
      <w:r>
        <w:rPr>
          <w:rFonts w:ascii="黑体" w:hAnsi="黑体" w:eastAsia="黑体" w:cs="黑体"/>
          <w:bCs/>
          <w:color w:val="auto"/>
          <w:sz w:val="44"/>
        </w:rPr>
        <w:t>投标文件</w:t>
      </w:r>
    </w:p>
    <w:p>
      <w:pPr>
        <w:spacing w:after="0"/>
        <w:ind w:right="591"/>
        <w:jc w:val="center"/>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tbl>
      <w:tblPr>
        <w:tblStyle w:val="31"/>
        <w:tblpPr w:leftFromText="180" w:rightFromText="180" w:vertAnchor="text" w:horzAnchor="margin" w:tblpXSpec="right" w:tblpY="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7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6" w:type="pct"/>
          </w:tcPr>
          <w:p>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招标编号：</w:t>
            </w:r>
          </w:p>
        </w:tc>
        <w:tc>
          <w:tcPr>
            <w:tcW w:w="4064" w:type="pct"/>
          </w:tcPr>
          <w:p>
            <w:pPr>
              <w:spacing w:line="480" w:lineRule="exact"/>
              <w:rPr>
                <w:rFonts w:hint="eastAsia" w:ascii="黑体" w:hAnsi="黑体" w:eastAsia="黑体" w:cs="黑体"/>
                <w:bCs/>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项目名称：</w:t>
            </w:r>
          </w:p>
        </w:tc>
        <w:tc>
          <w:tcPr>
            <w:tcW w:w="4064" w:type="pct"/>
          </w:tcPr>
          <w:p>
            <w:pPr>
              <w:spacing w:line="480" w:lineRule="exact"/>
              <w:rPr>
                <w:rFonts w:hint="eastAsia" w:ascii="黑体" w:hAnsi="黑体" w:eastAsia="黑体" w:cs="黑体"/>
                <w:bCs/>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设备名称：</w:t>
            </w:r>
          </w:p>
        </w:tc>
        <w:tc>
          <w:tcPr>
            <w:tcW w:w="4064" w:type="pct"/>
          </w:tcPr>
          <w:p>
            <w:pPr>
              <w:spacing w:line="480" w:lineRule="exact"/>
              <w:rPr>
                <w:rFonts w:hint="eastAsia" w:ascii="黑体" w:hAnsi="黑体" w:eastAsia="黑体" w:cs="黑体"/>
                <w:bCs/>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36" w:type="pct"/>
          </w:tcPr>
          <w:p>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 xml:space="preserve">数    量：                                             </w:t>
            </w:r>
          </w:p>
        </w:tc>
        <w:tc>
          <w:tcPr>
            <w:tcW w:w="4064" w:type="pct"/>
          </w:tcPr>
          <w:p>
            <w:pPr>
              <w:spacing w:line="480" w:lineRule="exact"/>
              <w:rPr>
                <w:rFonts w:hint="eastAsia" w:ascii="黑体" w:hAnsi="黑体" w:eastAsia="黑体" w:cs="黑体"/>
                <w:bCs/>
                <w:color w:val="auto"/>
                <w:sz w:val="28"/>
              </w:rPr>
            </w:pPr>
          </w:p>
        </w:tc>
      </w:tr>
    </w:tbl>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0"/>
        <w:rPr>
          <w:bCs/>
          <w:color w:val="auto"/>
        </w:rPr>
      </w:pPr>
    </w:p>
    <w:p>
      <w:pPr>
        <w:spacing w:after="196"/>
        <w:rPr>
          <w:bCs/>
          <w:color w:val="auto"/>
        </w:rPr>
      </w:pPr>
    </w:p>
    <w:p>
      <w:pPr>
        <w:spacing w:after="0" w:line="378" w:lineRule="auto"/>
        <w:ind w:left="1131" w:hanging="10"/>
        <w:rPr>
          <w:rFonts w:hint="eastAsia" w:ascii="黑体" w:hAnsi="黑体" w:eastAsia="黑体" w:cs="黑体"/>
          <w:bCs/>
          <w:color w:val="auto"/>
          <w:sz w:val="28"/>
        </w:rPr>
      </w:pPr>
      <w:r>
        <w:rPr>
          <w:rFonts w:ascii="黑体" w:hAnsi="黑体" w:eastAsia="黑体" w:cs="黑体"/>
          <w:bCs/>
          <w:color w:val="auto"/>
          <w:sz w:val="28"/>
        </w:rPr>
        <w:t>投标人：（盖单位章）</w:t>
      </w:r>
    </w:p>
    <w:p>
      <w:pPr>
        <w:spacing w:after="0" w:line="378" w:lineRule="auto"/>
        <w:ind w:left="1131" w:hanging="10"/>
        <w:rPr>
          <w:bCs/>
          <w:color w:val="auto"/>
        </w:rPr>
      </w:pPr>
      <w:r>
        <w:rPr>
          <w:rFonts w:ascii="黑体" w:hAnsi="黑体" w:eastAsia="黑体" w:cs="黑体"/>
          <w:bCs/>
          <w:color w:val="auto"/>
          <w:sz w:val="28"/>
        </w:rPr>
        <w:t>法定代表人（单位负责人）或其委托代理人：（签字</w:t>
      </w:r>
      <w:r>
        <w:rPr>
          <w:rFonts w:hint="eastAsia" w:ascii="黑体" w:hAnsi="黑体" w:eastAsia="黑体" w:cs="黑体"/>
          <w:bCs/>
          <w:color w:val="auto"/>
          <w:sz w:val="28"/>
        </w:rPr>
        <w:t>或盖章</w:t>
      </w:r>
      <w:r>
        <w:rPr>
          <w:rFonts w:ascii="黑体" w:hAnsi="黑体" w:eastAsia="黑体" w:cs="黑体"/>
          <w:bCs/>
          <w:color w:val="auto"/>
          <w:sz w:val="28"/>
        </w:rPr>
        <w:t>）</w:t>
      </w:r>
    </w:p>
    <w:p>
      <w:pPr>
        <w:spacing w:after="73"/>
        <w:ind w:right="631"/>
        <w:jc w:val="center"/>
        <w:rPr>
          <w:bCs/>
          <w:color w:val="auto"/>
        </w:rPr>
      </w:pPr>
    </w:p>
    <w:p>
      <w:pPr>
        <w:tabs>
          <w:tab w:val="center" w:pos="4320"/>
          <w:tab w:val="center" w:pos="8723"/>
        </w:tabs>
        <w:spacing w:after="0"/>
        <w:rPr>
          <w:b/>
          <w:color w:val="auto"/>
        </w:rPr>
      </w:pPr>
      <w:r>
        <w:rPr>
          <w:bCs/>
          <w:color w:val="auto"/>
        </w:rPr>
        <w:tab/>
      </w:r>
      <w:r>
        <w:rPr>
          <w:rFonts w:ascii="黑体" w:hAnsi="黑体" w:eastAsia="黑体" w:cs="黑体"/>
          <w:bCs/>
          <w:color w:val="auto"/>
          <w:sz w:val="28"/>
        </w:rPr>
        <w:t>年</w:t>
      </w:r>
      <w:r>
        <w:rPr>
          <w:rFonts w:hint="eastAsia" w:ascii="黑体" w:hAnsi="黑体" w:eastAsia="黑体" w:cs="黑体"/>
          <w:bCs/>
          <w:color w:val="auto"/>
          <w:sz w:val="28"/>
        </w:rPr>
        <w:t xml:space="preserve">   </w:t>
      </w:r>
      <w:r>
        <w:rPr>
          <w:rFonts w:ascii="黑体" w:hAnsi="黑体" w:eastAsia="黑体" w:cs="黑体"/>
          <w:bCs/>
          <w:color w:val="auto"/>
          <w:sz w:val="28"/>
        </w:rPr>
        <w:t>月</w:t>
      </w:r>
      <w:r>
        <w:rPr>
          <w:rFonts w:hint="eastAsia" w:ascii="黑体" w:hAnsi="黑体" w:eastAsia="黑体" w:cs="黑体"/>
          <w:bCs/>
          <w:color w:val="auto"/>
          <w:sz w:val="28"/>
        </w:rPr>
        <w:t xml:space="preserve">   </w:t>
      </w:r>
      <w:r>
        <w:rPr>
          <w:rFonts w:ascii="黑体" w:hAnsi="黑体" w:eastAsia="黑体" w:cs="黑体"/>
          <w:bCs/>
          <w:color w:val="auto"/>
          <w:sz w:val="28"/>
        </w:rPr>
        <w:t>日</w:t>
      </w:r>
      <w:r>
        <w:rPr>
          <w:rFonts w:ascii="Times New Roman" w:hAnsi="Times New Roman" w:eastAsia="Times New Roman" w:cs="Times New Roman"/>
          <w:b/>
          <w:color w:val="auto"/>
          <w:sz w:val="21"/>
        </w:rPr>
        <w:tab/>
      </w:r>
    </w:p>
    <w:p>
      <w:pPr>
        <w:pStyle w:val="3"/>
        <w:spacing w:after="647"/>
        <w:ind w:right="704"/>
        <w:jc w:val="center"/>
        <w:rPr>
          <w:rFonts w:hint="eastAsia"/>
          <w:bCs/>
          <w:color w:val="auto"/>
        </w:rPr>
      </w:pPr>
      <w:bookmarkStart w:id="174" w:name="_Toc195390921"/>
      <w:r>
        <w:rPr>
          <w:bCs/>
          <w:color w:val="auto"/>
        </w:rPr>
        <w:t>目录</w:t>
      </w:r>
      <w:bookmarkEnd w:id="174"/>
    </w:p>
    <w:p>
      <w:pPr>
        <w:spacing w:after="282"/>
        <w:rPr>
          <w:bCs/>
          <w:color w:val="auto"/>
        </w:rPr>
      </w:pPr>
    </w:p>
    <w:p>
      <w:pPr>
        <w:spacing w:after="5" w:line="491" w:lineRule="auto"/>
        <w:ind w:left="-5" w:right="2616" w:hanging="10"/>
        <w:rPr>
          <w:rFonts w:hint="eastAsia" w:ascii="宋体" w:hAnsi="宋体" w:eastAsia="宋体" w:cs="宋体"/>
          <w:bCs/>
          <w:color w:val="auto"/>
          <w:sz w:val="21"/>
        </w:rPr>
      </w:pPr>
      <w:r>
        <w:rPr>
          <w:rFonts w:ascii="宋体" w:hAnsi="宋体" w:eastAsia="宋体" w:cs="宋体"/>
          <w:bCs/>
          <w:color w:val="auto"/>
          <w:sz w:val="21"/>
        </w:rPr>
        <w:t>一、投标函</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二、开标一览表</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三</w:t>
      </w:r>
      <w:r>
        <w:rPr>
          <w:rFonts w:ascii="宋体" w:hAnsi="宋体" w:eastAsia="宋体" w:cs="宋体"/>
          <w:bCs/>
          <w:color w:val="auto"/>
          <w:sz w:val="21"/>
        </w:rPr>
        <w:t>、法定代表人（单位负责人）身份证明（适用于无委托代理人的情况）</w:t>
      </w:r>
      <w:r>
        <w:rPr>
          <w:rFonts w:hint="eastAsia" w:ascii="宋体" w:hAnsi="宋体" w:eastAsia="宋体" w:cs="宋体"/>
          <w:bCs/>
          <w:color w:val="auto"/>
          <w:sz w:val="21"/>
        </w:rPr>
        <w:t>四</w:t>
      </w:r>
      <w:r>
        <w:rPr>
          <w:rFonts w:ascii="宋体" w:hAnsi="宋体" w:eastAsia="宋体" w:cs="宋体"/>
          <w:bCs/>
          <w:color w:val="auto"/>
          <w:sz w:val="21"/>
        </w:rPr>
        <w:t>、授权委托书（适用于有委托代理人的情况）</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五</w:t>
      </w:r>
      <w:r>
        <w:rPr>
          <w:rFonts w:ascii="宋体" w:hAnsi="宋体" w:eastAsia="宋体" w:cs="宋体"/>
          <w:bCs/>
          <w:color w:val="auto"/>
          <w:sz w:val="21"/>
        </w:rPr>
        <w:t>、联合体协议书</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六</w:t>
      </w:r>
      <w:r>
        <w:rPr>
          <w:rFonts w:ascii="宋体" w:hAnsi="宋体" w:eastAsia="宋体" w:cs="宋体"/>
          <w:bCs/>
          <w:color w:val="auto"/>
          <w:sz w:val="21"/>
        </w:rPr>
        <w:t>、投标保证金</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七</w:t>
      </w:r>
      <w:r>
        <w:rPr>
          <w:rFonts w:ascii="宋体" w:hAnsi="宋体" w:eastAsia="宋体" w:cs="宋体"/>
          <w:bCs/>
          <w:color w:val="auto"/>
          <w:sz w:val="21"/>
        </w:rPr>
        <w:t>、商务偏差表</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八、技术偏离表</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九</w:t>
      </w:r>
      <w:r>
        <w:rPr>
          <w:rFonts w:ascii="宋体" w:hAnsi="宋体" w:eastAsia="宋体" w:cs="宋体"/>
          <w:bCs/>
          <w:color w:val="auto"/>
          <w:sz w:val="21"/>
        </w:rPr>
        <w:t>、分项报价表</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w:t>
      </w:r>
      <w:r>
        <w:rPr>
          <w:rFonts w:ascii="宋体" w:hAnsi="宋体" w:eastAsia="宋体" w:cs="宋体"/>
          <w:bCs/>
          <w:color w:val="auto"/>
          <w:sz w:val="21"/>
        </w:rPr>
        <w:t>、资格审查资料</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十一</w:t>
      </w:r>
      <w:r>
        <w:rPr>
          <w:rFonts w:ascii="宋体" w:hAnsi="宋体" w:eastAsia="宋体" w:cs="宋体"/>
          <w:bCs/>
          <w:color w:val="auto"/>
          <w:sz w:val="21"/>
        </w:rPr>
        <w:t>、投标设备技术性能指标的详细描述</w:t>
      </w:r>
    </w:p>
    <w:p>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十二</w:t>
      </w:r>
      <w:r>
        <w:rPr>
          <w:rFonts w:ascii="宋体" w:hAnsi="宋体" w:eastAsia="宋体" w:cs="宋体"/>
          <w:bCs/>
          <w:color w:val="auto"/>
          <w:sz w:val="21"/>
        </w:rPr>
        <w:t>、技术支持资料</w:t>
      </w:r>
    </w:p>
    <w:p>
      <w:pPr>
        <w:spacing w:after="5" w:line="491" w:lineRule="auto"/>
        <w:ind w:left="-5" w:right="2616" w:hanging="10"/>
        <w:rPr>
          <w:bCs/>
          <w:color w:val="auto"/>
        </w:rPr>
      </w:pPr>
      <w:r>
        <w:rPr>
          <w:rFonts w:hint="eastAsia" w:ascii="宋体" w:hAnsi="宋体" w:eastAsia="宋体" w:cs="宋体"/>
          <w:bCs/>
          <w:color w:val="auto"/>
          <w:sz w:val="21"/>
        </w:rPr>
        <w:t>十三</w:t>
      </w:r>
      <w:r>
        <w:rPr>
          <w:rFonts w:ascii="宋体" w:hAnsi="宋体" w:eastAsia="宋体" w:cs="宋体"/>
          <w:bCs/>
          <w:color w:val="auto"/>
          <w:sz w:val="21"/>
        </w:rPr>
        <w:t>、技术服务和质保期服务计划</w:t>
      </w:r>
    </w:p>
    <w:p>
      <w:pPr>
        <w:spacing w:after="258" w:line="265" w:lineRule="auto"/>
        <w:ind w:left="-5" w:right="590" w:hanging="10"/>
        <w:rPr>
          <w:rFonts w:ascii="Times New Roman" w:hAnsi="Times New Roman" w:cs="Times New Roman" w:eastAsiaTheme="minorEastAsia"/>
          <w:bCs/>
          <w:color w:val="auto"/>
          <w:sz w:val="21"/>
        </w:rPr>
      </w:pPr>
      <w:r>
        <w:rPr>
          <w:rFonts w:ascii="宋体" w:hAnsi="宋体" w:eastAsia="宋体" w:cs="宋体"/>
          <w:bCs/>
          <w:color w:val="auto"/>
          <w:sz w:val="21"/>
        </w:rPr>
        <w:t>十</w:t>
      </w:r>
      <w:r>
        <w:rPr>
          <w:rFonts w:hint="eastAsia" w:ascii="宋体" w:hAnsi="宋体" w:eastAsia="宋体" w:cs="宋体"/>
          <w:bCs/>
          <w:color w:val="auto"/>
          <w:sz w:val="21"/>
        </w:rPr>
        <w:t>四</w:t>
      </w:r>
      <w:r>
        <w:rPr>
          <w:rFonts w:ascii="宋体" w:hAnsi="宋体" w:eastAsia="宋体" w:cs="宋体"/>
          <w:bCs/>
          <w:color w:val="auto"/>
          <w:sz w:val="21"/>
        </w:rPr>
        <w:t>、其他资料</w:t>
      </w:r>
    </w:p>
    <w:p>
      <w:pPr>
        <w:spacing w:after="258" w:line="265" w:lineRule="auto"/>
        <w:ind w:left="-5" w:right="590" w:hanging="10"/>
        <w:rPr>
          <w:rFonts w:eastAsiaTheme="minorEastAsia"/>
          <w:bCs/>
          <w:color w:val="auto"/>
        </w:rPr>
      </w:pPr>
      <w:r>
        <w:rPr>
          <w:rFonts w:hint="eastAsia" w:ascii="Times New Roman" w:hAnsi="Times New Roman" w:cs="Times New Roman" w:eastAsiaTheme="minorEastAsia"/>
          <w:bCs/>
          <w:color w:val="auto"/>
          <w:sz w:val="21"/>
        </w:rPr>
        <w:t>十五、中标服务费承诺书</w:t>
      </w:r>
    </w:p>
    <w:p>
      <w:pPr>
        <w:spacing w:after="0"/>
        <w:rPr>
          <w:rFonts w:ascii="Times New Roman" w:hAnsi="Times New Roman" w:eastAsia="Times New Roman" w:cs="Times New Roman"/>
          <w:b/>
          <w:color w:val="auto"/>
          <w:sz w:val="20"/>
        </w:rPr>
        <w:sectPr>
          <w:pgSz w:w="12240" w:h="15840"/>
          <w:pgMar w:top="1445" w:right="1097" w:bottom="1466" w:left="1800" w:header="720" w:footer="720" w:gutter="0"/>
          <w:cols w:space="720" w:num="1"/>
        </w:sectPr>
      </w:pPr>
      <w:r>
        <w:rPr>
          <w:rFonts w:ascii="Times New Roman" w:hAnsi="Times New Roman" w:eastAsia="Times New Roman" w:cs="Times New Roman"/>
          <w:b/>
          <w:color w:val="auto"/>
          <w:sz w:val="21"/>
        </w:rPr>
        <w:tab/>
      </w:r>
    </w:p>
    <w:p>
      <w:pPr>
        <w:spacing w:after="0"/>
        <w:rPr>
          <w:b/>
          <w:color w:val="auto"/>
        </w:rPr>
      </w:pPr>
    </w:p>
    <w:p>
      <w:pPr>
        <w:pStyle w:val="3"/>
        <w:spacing w:after="573"/>
        <w:ind w:right="704"/>
        <w:jc w:val="center"/>
        <w:rPr>
          <w:rFonts w:hint="eastAsia"/>
          <w:bCs/>
          <w:color w:val="auto"/>
        </w:rPr>
      </w:pPr>
      <w:bookmarkStart w:id="175" w:name="_Toc195390922"/>
      <w:r>
        <w:rPr>
          <w:bCs/>
          <w:color w:val="auto"/>
        </w:rPr>
        <w:t>一、投标函</w:t>
      </w:r>
      <w:bookmarkEnd w:id="175"/>
    </w:p>
    <w:p>
      <w:pPr>
        <w:spacing w:after="152" w:line="265" w:lineRule="auto"/>
        <w:ind w:left="-5" w:right="590" w:hanging="10"/>
        <w:rPr>
          <w:bCs/>
          <w:color w:val="auto"/>
        </w:rPr>
      </w:pPr>
      <w:r>
        <w:rPr>
          <w:rFonts w:ascii="宋体" w:hAnsi="宋体" w:eastAsia="宋体" w:cs="宋体"/>
          <w:bCs/>
          <w:color w:val="auto"/>
          <w:sz w:val="21"/>
        </w:rPr>
        <w:t>（招标人名称）：</w:t>
      </w:r>
    </w:p>
    <w:p>
      <w:pPr>
        <w:spacing w:after="35" w:line="370" w:lineRule="auto"/>
        <w:ind w:left="-15" w:right="684" w:firstLine="410"/>
        <w:jc w:val="both"/>
        <w:rPr>
          <w:bCs/>
          <w:color w:val="auto"/>
        </w:rPr>
      </w:pPr>
      <w:r>
        <w:rPr>
          <w:rFonts w:ascii="Times New Roman" w:hAnsi="Times New Roman" w:eastAsia="Times New Roman" w:cs="Times New Roman"/>
          <w:bCs/>
          <w:color w:val="auto"/>
          <w:sz w:val="21"/>
        </w:rPr>
        <w:t>1</w:t>
      </w:r>
      <w:r>
        <w:rPr>
          <w:rFonts w:ascii="宋体" w:hAnsi="宋体" w:eastAsia="宋体" w:cs="宋体"/>
          <w:bCs/>
          <w:color w:val="auto"/>
          <w:sz w:val="21"/>
        </w:rPr>
        <w:t>．我方已仔细研究了（项目名称）设备采购招标项目招标文件的全部内容，愿意以人民币</w:t>
      </w:r>
      <w:r>
        <w:rPr>
          <w:rFonts w:ascii="宋体" w:hAnsi="宋体" w:eastAsia="宋体" w:cs="宋体"/>
          <w:bCs/>
          <w:color w:val="auto"/>
          <w:sz w:val="21"/>
          <w:u w:val="single"/>
        </w:rPr>
        <w:t>（大写）（</w:t>
      </w:r>
      <w:r>
        <w:rPr>
          <w:rFonts w:ascii="Times New Roman" w:hAnsi="Times New Roman" w:eastAsia="Times New Roman" w:cs="Times New Roman"/>
          <w:bCs/>
          <w:color w:val="auto"/>
          <w:sz w:val="21"/>
          <w:u w:val="single"/>
        </w:rPr>
        <w:t>¥</w:t>
      </w:r>
      <w:r>
        <w:rPr>
          <w:rFonts w:ascii="宋体" w:hAnsi="宋体" w:eastAsia="宋体" w:cs="宋体"/>
          <w:bCs/>
          <w:color w:val="auto"/>
          <w:sz w:val="21"/>
          <w:u w:val="single"/>
        </w:rPr>
        <w:t>）</w:t>
      </w:r>
      <w:r>
        <w:rPr>
          <w:rFonts w:hint="eastAsia" w:ascii="宋体" w:hAnsi="宋体" w:eastAsia="宋体" w:cs="宋体"/>
          <w:bCs/>
          <w:color w:val="auto"/>
          <w:sz w:val="21"/>
          <w:u w:val="single"/>
        </w:rPr>
        <w:t xml:space="preserve">  </w:t>
      </w:r>
      <w:r>
        <w:rPr>
          <w:rFonts w:ascii="宋体" w:hAnsi="宋体" w:eastAsia="宋体" w:cs="宋体"/>
          <w:bCs/>
          <w:color w:val="auto"/>
          <w:sz w:val="21"/>
        </w:rPr>
        <w:t>的投标总报价（其中，增值税税率为</w:t>
      </w:r>
      <w:r>
        <w:rPr>
          <w:rFonts w:hint="eastAsia" w:ascii="宋体" w:hAnsi="宋体" w:eastAsia="宋体" w:cs="宋体"/>
          <w:bCs/>
          <w:color w:val="auto"/>
          <w:sz w:val="21"/>
        </w:rPr>
        <w:t xml:space="preserve">  ）</w:t>
      </w:r>
      <w:r>
        <w:rPr>
          <w:rFonts w:ascii="宋体" w:hAnsi="宋体" w:eastAsia="宋体" w:cs="宋体"/>
          <w:bCs/>
          <w:color w:val="auto"/>
          <w:sz w:val="21"/>
        </w:rPr>
        <w:t>提供（设备名称及技术服务和质保期服务），并按合同约定履行义务。</w:t>
      </w:r>
    </w:p>
    <w:p>
      <w:pPr>
        <w:spacing w:after="124" w:line="265" w:lineRule="auto"/>
        <w:ind w:left="430" w:right="590" w:hanging="10"/>
        <w:rPr>
          <w:bCs/>
          <w:color w:val="auto"/>
        </w:rPr>
      </w:pPr>
      <w:r>
        <w:rPr>
          <w:rFonts w:ascii="Times New Roman" w:hAnsi="Times New Roman" w:eastAsia="Times New Roman" w:cs="Times New Roman"/>
          <w:bCs/>
          <w:color w:val="auto"/>
          <w:sz w:val="21"/>
        </w:rPr>
        <w:t xml:space="preserve">2. </w:t>
      </w:r>
      <w:r>
        <w:rPr>
          <w:rFonts w:ascii="宋体" w:hAnsi="宋体" w:eastAsia="宋体" w:cs="宋体"/>
          <w:bCs/>
          <w:color w:val="auto"/>
          <w:sz w:val="21"/>
        </w:rPr>
        <w:t>我方的投标文件包括下列内容：</w:t>
      </w:r>
    </w:p>
    <w:p>
      <w:pPr>
        <w:numPr>
          <w:ilvl w:val="0"/>
          <w:numId w:val="96"/>
        </w:numPr>
        <w:spacing w:after="119" w:line="265" w:lineRule="auto"/>
        <w:ind w:right="590" w:hanging="631"/>
        <w:rPr>
          <w:bCs/>
          <w:color w:val="auto"/>
        </w:rPr>
      </w:pPr>
      <w:r>
        <w:rPr>
          <w:rFonts w:ascii="宋体" w:hAnsi="宋体" w:eastAsia="宋体" w:cs="宋体"/>
          <w:bCs/>
          <w:color w:val="auto"/>
          <w:sz w:val="21"/>
        </w:rPr>
        <w:t>投标函；</w:t>
      </w:r>
    </w:p>
    <w:p>
      <w:pPr>
        <w:numPr>
          <w:ilvl w:val="0"/>
          <w:numId w:val="96"/>
        </w:numPr>
        <w:spacing w:after="119" w:line="265" w:lineRule="auto"/>
        <w:ind w:right="590" w:hanging="631"/>
        <w:rPr>
          <w:bCs/>
          <w:color w:val="auto"/>
        </w:rPr>
      </w:pPr>
      <w:r>
        <w:rPr>
          <w:rFonts w:hint="eastAsia" w:eastAsiaTheme="minorEastAsia"/>
          <w:bCs/>
          <w:color w:val="auto"/>
        </w:rPr>
        <w:t>开标一览表</w:t>
      </w:r>
    </w:p>
    <w:p>
      <w:pPr>
        <w:numPr>
          <w:ilvl w:val="0"/>
          <w:numId w:val="96"/>
        </w:numPr>
        <w:spacing w:after="120" w:line="265" w:lineRule="auto"/>
        <w:ind w:right="590" w:hanging="631"/>
        <w:rPr>
          <w:bCs/>
          <w:color w:val="auto"/>
        </w:rPr>
      </w:pPr>
      <w:r>
        <w:rPr>
          <w:rFonts w:ascii="宋体" w:hAnsi="宋体" w:eastAsia="宋体" w:cs="宋体"/>
          <w:bCs/>
          <w:color w:val="auto"/>
          <w:sz w:val="21"/>
        </w:rPr>
        <w:t>法定代表人（单位负责人）身份证明或授权委托书；</w:t>
      </w:r>
    </w:p>
    <w:p>
      <w:pPr>
        <w:numPr>
          <w:ilvl w:val="0"/>
          <w:numId w:val="96"/>
        </w:numPr>
        <w:spacing w:after="118" w:line="265" w:lineRule="auto"/>
        <w:ind w:right="590" w:hanging="631"/>
        <w:rPr>
          <w:bCs/>
          <w:color w:val="auto"/>
        </w:rPr>
      </w:pPr>
      <w:r>
        <w:rPr>
          <w:rFonts w:ascii="宋体" w:hAnsi="宋体" w:eastAsia="宋体" w:cs="宋体"/>
          <w:bCs/>
          <w:color w:val="auto"/>
          <w:sz w:val="21"/>
        </w:rPr>
        <w:t>联合体协议书（如有）；</w:t>
      </w:r>
    </w:p>
    <w:p>
      <w:pPr>
        <w:numPr>
          <w:ilvl w:val="0"/>
          <w:numId w:val="96"/>
        </w:numPr>
        <w:spacing w:after="120" w:line="265" w:lineRule="auto"/>
        <w:ind w:right="590" w:hanging="631"/>
        <w:rPr>
          <w:bCs/>
          <w:color w:val="auto"/>
        </w:rPr>
      </w:pPr>
      <w:r>
        <w:rPr>
          <w:rFonts w:ascii="宋体" w:hAnsi="宋体" w:eastAsia="宋体" w:cs="宋体"/>
          <w:bCs/>
          <w:color w:val="auto"/>
          <w:sz w:val="21"/>
        </w:rPr>
        <w:t>投标保证金（如有）；</w:t>
      </w:r>
    </w:p>
    <w:p>
      <w:pPr>
        <w:numPr>
          <w:ilvl w:val="0"/>
          <w:numId w:val="96"/>
        </w:numPr>
        <w:spacing w:after="120" w:line="265" w:lineRule="auto"/>
        <w:ind w:right="590" w:hanging="631"/>
        <w:rPr>
          <w:bCs/>
          <w:color w:val="auto"/>
        </w:rPr>
      </w:pPr>
      <w:r>
        <w:rPr>
          <w:rFonts w:ascii="宋体" w:hAnsi="宋体" w:eastAsia="宋体" w:cs="宋体"/>
          <w:bCs/>
          <w:color w:val="auto"/>
          <w:sz w:val="21"/>
        </w:rPr>
        <w:t>商务偏差表；</w:t>
      </w:r>
    </w:p>
    <w:p>
      <w:pPr>
        <w:numPr>
          <w:ilvl w:val="0"/>
          <w:numId w:val="96"/>
        </w:numPr>
        <w:spacing w:after="120" w:line="265" w:lineRule="auto"/>
        <w:ind w:right="590" w:hanging="631"/>
        <w:rPr>
          <w:bCs/>
          <w:color w:val="auto"/>
        </w:rPr>
      </w:pPr>
      <w:r>
        <w:rPr>
          <w:rFonts w:ascii="宋体" w:hAnsi="宋体" w:eastAsia="宋体" w:cs="宋体"/>
          <w:bCs/>
          <w:color w:val="auto"/>
          <w:sz w:val="21"/>
        </w:rPr>
        <w:t>技术偏差表；</w:t>
      </w:r>
    </w:p>
    <w:p>
      <w:pPr>
        <w:numPr>
          <w:ilvl w:val="0"/>
          <w:numId w:val="96"/>
        </w:numPr>
        <w:spacing w:after="117" w:line="265" w:lineRule="auto"/>
        <w:ind w:right="590" w:hanging="631"/>
        <w:rPr>
          <w:bCs/>
          <w:color w:val="auto"/>
        </w:rPr>
      </w:pPr>
      <w:r>
        <w:rPr>
          <w:rFonts w:ascii="宋体" w:hAnsi="宋体" w:eastAsia="宋体" w:cs="宋体"/>
          <w:bCs/>
          <w:color w:val="auto"/>
          <w:sz w:val="21"/>
        </w:rPr>
        <w:t>分项报价表；</w:t>
      </w:r>
    </w:p>
    <w:p>
      <w:pPr>
        <w:numPr>
          <w:ilvl w:val="0"/>
          <w:numId w:val="96"/>
        </w:numPr>
        <w:spacing w:after="120" w:line="265" w:lineRule="auto"/>
        <w:ind w:right="590" w:hanging="631"/>
        <w:rPr>
          <w:bCs/>
          <w:color w:val="auto"/>
        </w:rPr>
      </w:pPr>
      <w:r>
        <w:rPr>
          <w:rFonts w:ascii="宋体" w:hAnsi="宋体" w:eastAsia="宋体" w:cs="宋体"/>
          <w:bCs/>
          <w:color w:val="auto"/>
          <w:sz w:val="21"/>
        </w:rPr>
        <w:t>资格审查资料；</w:t>
      </w:r>
    </w:p>
    <w:p>
      <w:pPr>
        <w:numPr>
          <w:ilvl w:val="0"/>
          <w:numId w:val="96"/>
        </w:numPr>
        <w:spacing w:after="120" w:line="265" w:lineRule="auto"/>
        <w:ind w:right="590" w:hanging="631"/>
        <w:rPr>
          <w:bCs/>
          <w:color w:val="auto"/>
        </w:rPr>
      </w:pPr>
      <w:r>
        <w:rPr>
          <w:rFonts w:ascii="宋体" w:hAnsi="宋体" w:eastAsia="宋体" w:cs="宋体"/>
          <w:bCs/>
          <w:color w:val="auto"/>
          <w:sz w:val="21"/>
        </w:rPr>
        <w:t>投标设备技术性能指标的详细描述；</w:t>
      </w:r>
    </w:p>
    <w:p>
      <w:pPr>
        <w:numPr>
          <w:ilvl w:val="0"/>
          <w:numId w:val="96"/>
        </w:numPr>
        <w:spacing w:after="117" w:line="265" w:lineRule="auto"/>
        <w:ind w:right="590" w:hanging="631"/>
        <w:rPr>
          <w:bCs/>
          <w:color w:val="auto"/>
        </w:rPr>
      </w:pPr>
      <w:r>
        <w:rPr>
          <w:rFonts w:ascii="宋体" w:hAnsi="宋体" w:eastAsia="宋体" w:cs="宋体"/>
          <w:bCs/>
          <w:color w:val="auto"/>
          <w:sz w:val="21"/>
        </w:rPr>
        <w:t>技术支持资料；</w:t>
      </w:r>
    </w:p>
    <w:p>
      <w:pPr>
        <w:numPr>
          <w:ilvl w:val="0"/>
          <w:numId w:val="96"/>
        </w:numPr>
        <w:spacing w:after="158" w:line="265" w:lineRule="auto"/>
        <w:ind w:right="590" w:hanging="631"/>
        <w:rPr>
          <w:bCs/>
          <w:color w:val="auto"/>
        </w:rPr>
      </w:pPr>
      <w:r>
        <w:rPr>
          <w:rFonts w:ascii="宋体" w:hAnsi="宋体" w:eastAsia="宋体" w:cs="宋体"/>
          <w:bCs/>
          <w:color w:val="auto"/>
          <w:sz w:val="21"/>
        </w:rPr>
        <w:t>技术服务和质保</w:t>
      </w:r>
      <w:r>
        <w:rPr>
          <w:rFonts w:hint="eastAsia" w:ascii="宋体" w:hAnsi="宋体" w:eastAsia="宋体" w:cs="宋体"/>
          <w:bCs/>
          <w:color w:val="auto"/>
          <w:sz w:val="21"/>
        </w:rPr>
        <w:t>及维保</w:t>
      </w:r>
      <w:r>
        <w:rPr>
          <w:rFonts w:ascii="宋体" w:hAnsi="宋体" w:eastAsia="宋体" w:cs="宋体"/>
          <w:bCs/>
          <w:color w:val="auto"/>
          <w:sz w:val="21"/>
        </w:rPr>
        <w:t>服务计划；</w:t>
      </w:r>
    </w:p>
    <w:p>
      <w:pPr>
        <w:spacing w:after="167"/>
        <w:ind w:left="415" w:hanging="10"/>
        <w:rPr>
          <w:bCs/>
          <w:color w:val="auto"/>
        </w:rPr>
      </w:pPr>
      <w:r>
        <w:rPr>
          <w:rFonts w:ascii="Times New Roman" w:hAnsi="Times New Roman" w:eastAsia="Times New Roman" w:cs="Times New Roman"/>
          <w:bCs/>
          <w:color w:val="auto"/>
          <w:sz w:val="21"/>
        </w:rPr>
        <w:t>……</w:t>
      </w:r>
    </w:p>
    <w:p>
      <w:pPr>
        <w:spacing w:line="265" w:lineRule="auto"/>
        <w:ind w:left="430" w:right="590" w:hanging="10"/>
        <w:rPr>
          <w:bCs/>
          <w:color w:val="auto"/>
        </w:rPr>
      </w:pPr>
      <w:r>
        <w:rPr>
          <w:rFonts w:ascii="宋体" w:hAnsi="宋体" w:eastAsia="宋体" w:cs="宋体"/>
          <w:bCs/>
          <w:color w:val="auto"/>
          <w:sz w:val="21"/>
        </w:rPr>
        <w:t>投标文件的上述组成部分如存在内容不一致的，以投标函为准。</w:t>
      </w:r>
    </w:p>
    <w:p>
      <w:pPr>
        <w:spacing w:after="146" w:line="265" w:lineRule="auto"/>
        <w:ind w:left="430" w:right="590" w:hanging="10"/>
        <w:rPr>
          <w:bCs/>
          <w:color w:val="auto"/>
        </w:rPr>
      </w:pPr>
      <w:r>
        <w:rPr>
          <w:rFonts w:ascii="Times New Roman" w:hAnsi="Times New Roman" w:eastAsia="Times New Roman" w:cs="Times New Roman"/>
          <w:bCs/>
          <w:color w:val="auto"/>
          <w:sz w:val="21"/>
        </w:rPr>
        <w:t>3</w:t>
      </w:r>
      <w:r>
        <w:rPr>
          <w:rFonts w:ascii="宋体" w:hAnsi="宋体" w:eastAsia="宋体" w:cs="宋体"/>
          <w:bCs/>
          <w:color w:val="auto"/>
          <w:sz w:val="21"/>
        </w:rPr>
        <w:t>．我方承诺除</w:t>
      </w:r>
      <w:r>
        <w:rPr>
          <w:rFonts w:ascii="宋体" w:hAnsi="宋体" w:eastAsia="宋体" w:cs="宋体"/>
          <w:bCs/>
          <w:color w:val="auto"/>
        </w:rPr>
        <w:t>商务和技术</w:t>
      </w:r>
      <w:r>
        <w:rPr>
          <w:rFonts w:ascii="宋体" w:hAnsi="宋体" w:eastAsia="宋体" w:cs="宋体"/>
          <w:bCs/>
          <w:color w:val="auto"/>
          <w:sz w:val="21"/>
        </w:rPr>
        <w:t>偏差表列出的偏差外，我方响应招标文件的全部要求。</w:t>
      </w:r>
    </w:p>
    <w:p>
      <w:pPr>
        <w:spacing w:after="161" w:line="265" w:lineRule="auto"/>
        <w:ind w:left="430" w:right="590" w:hanging="10"/>
        <w:rPr>
          <w:bCs/>
          <w:color w:val="auto"/>
        </w:rPr>
      </w:pPr>
      <w:r>
        <w:rPr>
          <w:rFonts w:ascii="Times New Roman" w:hAnsi="Times New Roman" w:eastAsia="Times New Roman" w:cs="Times New Roman"/>
          <w:bCs/>
          <w:color w:val="auto"/>
          <w:sz w:val="21"/>
        </w:rPr>
        <w:t>4</w:t>
      </w:r>
      <w:r>
        <w:rPr>
          <w:rFonts w:ascii="宋体" w:hAnsi="宋体" w:eastAsia="宋体" w:cs="宋体"/>
          <w:bCs/>
          <w:color w:val="auto"/>
          <w:sz w:val="21"/>
        </w:rPr>
        <w:t>．我方承诺在招标文件规定的投标有效期内不撤销投标文件。</w:t>
      </w:r>
    </w:p>
    <w:p>
      <w:pPr>
        <w:spacing w:after="159" w:line="265" w:lineRule="auto"/>
        <w:ind w:left="430" w:right="590" w:hanging="10"/>
        <w:rPr>
          <w:bCs/>
          <w:color w:val="auto"/>
        </w:rPr>
      </w:pPr>
      <w:r>
        <w:rPr>
          <w:rFonts w:ascii="Times New Roman" w:hAnsi="Times New Roman" w:eastAsia="Times New Roman" w:cs="Times New Roman"/>
          <w:bCs/>
          <w:color w:val="auto"/>
          <w:sz w:val="21"/>
        </w:rPr>
        <w:t>5</w:t>
      </w:r>
      <w:r>
        <w:rPr>
          <w:rFonts w:ascii="宋体" w:hAnsi="宋体" w:eastAsia="宋体" w:cs="宋体"/>
          <w:bCs/>
          <w:color w:val="auto"/>
          <w:sz w:val="21"/>
        </w:rPr>
        <w:t>．如我方中标，我方承诺：</w:t>
      </w:r>
    </w:p>
    <w:p>
      <w:pPr>
        <w:numPr>
          <w:ilvl w:val="1"/>
          <w:numId w:val="96"/>
        </w:numPr>
        <w:spacing w:after="164"/>
        <w:ind w:right="590" w:hanging="526"/>
        <w:rPr>
          <w:bCs/>
          <w:color w:val="auto"/>
        </w:rPr>
      </w:pPr>
      <w:r>
        <w:rPr>
          <w:rFonts w:ascii="宋体" w:hAnsi="宋体" w:eastAsia="宋体" w:cs="宋体"/>
          <w:bCs/>
          <w:color w:val="auto"/>
          <w:sz w:val="21"/>
        </w:rPr>
        <w:t>在收到中标通知书后，在中标通知书规定的期限内与你方签订合同；</w:t>
      </w:r>
    </w:p>
    <w:p>
      <w:pPr>
        <w:numPr>
          <w:ilvl w:val="1"/>
          <w:numId w:val="96"/>
        </w:numPr>
        <w:spacing w:after="161" w:line="265" w:lineRule="auto"/>
        <w:ind w:right="590" w:hanging="526"/>
        <w:rPr>
          <w:bCs/>
          <w:color w:val="auto"/>
        </w:rPr>
      </w:pPr>
      <w:r>
        <w:rPr>
          <w:rFonts w:ascii="宋体" w:hAnsi="宋体" w:eastAsia="宋体" w:cs="宋体"/>
          <w:bCs/>
          <w:color w:val="auto"/>
          <w:sz w:val="21"/>
        </w:rPr>
        <w:t>在签订合同时不向你方提出附加条件；</w:t>
      </w:r>
    </w:p>
    <w:p>
      <w:pPr>
        <w:numPr>
          <w:ilvl w:val="1"/>
          <w:numId w:val="96"/>
        </w:numPr>
        <w:spacing w:after="159" w:line="265" w:lineRule="auto"/>
        <w:ind w:right="590" w:hanging="526"/>
        <w:rPr>
          <w:bCs/>
          <w:color w:val="auto"/>
        </w:rPr>
      </w:pPr>
      <w:r>
        <w:rPr>
          <w:rFonts w:ascii="宋体" w:hAnsi="宋体" w:eastAsia="宋体" w:cs="宋体"/>
          <w:bCs/>
          <w:color w:val="auto"/>
          <w:sz w:val="21"/>
        </w:rPr>
        <w:t>按照招标文件要求提交履约保证金；</w:t>
      </w:r>
    </w:p>
    <w:p>
      <w:pPr>
        <w:numPr>
          <w:ilvl w:val="1"/>
          <w:numId w:val="96"/>
        </w:numPr>
        <w:spacing w:after="159" w:line="265" w:lineRule="auto"/>
        <w:ind w:right="590" w:hanging="526"/>
        <w:rPr>
          <w:bCs/>
          <w:color w:val="auto"/>
        </w:rPr>
      </w:pPr>
      <w:r>
        <w:rPr>
          <w:rFonts w:ascii="宋体" w:hAnsi="宋体" w:eastAsia="宋体" w:cs="宋体"/>
          <w:bCs/>
          <w:color w:val="auto"/>
          <w:sz w:val="21"/>
        </w:rPr>
        <w:t>在合同约定的期限内完成合同规定的全部义务。</w:t>
      </w:r>
    </w:p>
    <w:p>
      <w:pPr>
        <w:spacing w:after="163" w:line="265" w:lineRule="auto"/>
        <w:ind w:left="430" w:right="590" w:hanging="10"/>
        <w:rPr>
          <w:bCs/>
          <w:color w:val="auto"/>
        </w:rPr>
      </w:pPr>
      <w:r>
        <w:rPr>
          <w:rFonts w:ascii="Times New Roman" w:hAnsi="Times New Roman" w:eastAsia="Times New Roman" w:cs="Times New Roman"/>
          <w:bCs/>
          <w:color w:val="auto"/>
          <w:sz w:val="21"/>
        </w:rPr>
        <w:t>6</w:t>
      </w:r>
      <w:r>
        <w:rPr>
          <w:rFonts w:ascii="宋体" w:hAnsi="宋体" w:eastAsia="宋体" w:cs="宋体"/>
          <w:bCs/>
          <w:color w:val="auto"/>
          <w:sz w:val="21"/>
        </w:rPr>
        <w:t>．我方在此声明，所递交的投标文件及有关资料内容完整、真实和准确，且不存在第二章</w:t>
      </w:r>
    </w:p>
    <w:p>
      <w:pPr>
        <w:spacing w:after="159" w:line="265" w:lineRule="auto"/>
        <w:ind w:left="-5" w:right="590" w:hanging="10"/>
        <w:rPr>
          <w:bCs/>
          <w:color w:val="auto"/>
        </w:rPr>
      </w:pP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 xml:space="preserve">第 </w:t>
      </w:r>
      <w:r>
        <w:rPr>
          <w:rFonts w:ascii="Times New Roman" w:hAnsi="Times New Roman" w:eastAsia="Times New Roman" w:cs="Times New Roman"/>
          <w:bCs/>
          <w:color w:val="auto"/>
          <w:sz w:val="21"/>
        </w:rPr>
        <w:t xml:space="preserve">1.4.3 </w:t>
      </w:r>
      <w:r>
        <w:rPr>
          <w:rFonts w:ascii="宋体" w:hAnsi="宋体" w:eastAsia="宋体" w:cs="宋体"/>
          <w:bCs/>
          <w:color w:val="auto"/>
          <w:sz w:val="21"/>
        </w:rPr>
        <w:t>项规定的任何一种情形。</w:t>
      </w:r>
    </w:p>
    <w:p>
      <w:pPr>
        <w:spacing w:after="5" w:line="265" w:lineRule="auto"/>
        <w:ind w:left="430" w:right="590" w:hanging="10"/>
        <w:rPr>
          <w:bCs/>
          <w:color w:val="auto"/>
        </w:rPr>
      </w:pPr>
      <w:r>
        <w:rPr>
          <w:rFonts w:ascii="Times New Roman" w:hAnsi="Times New Roman" w:eastAsia="Times New Roman" w:cs="Times New Roman"/>
          <w:bCs/>
          <w:color w:val="auto"/>
          <w:sz w:val="21"/>
        </w:rPr>
        <w:t>7</w:t>
      </w:r>
      <w:r>
        <w:rPr>
          <w:rFonts w:ascii="宋体" w:hAnsi="宋体" w:eastAsia="宋体" w:cs="宋体"/>
          <w:bCs/>
          <w:color w:val="auto"/>
          <w:sz w:val="21"/>
        </w:rPr>
        <w:t>．（其他补充说明）。</w:t>
      </w:r>
    </w:p>
    <w:p>
      <w:pPr>
        <w:spacing w:after="177"/>
        <w:ind w:left="420"/>
        <w:rPr>
          <w:bCs/>
          <w:color w:val="auto"/>
        </w:rPr>
      </w:pPr>
    </w:p>
    <w:p>
      <w:pPr>
        <w:jc w:val="both"/>
        <w:rPr>
          <w:rFonts w:hint="eastAsia" w:ascii="宋体" w:hAnsi="宋体" w:eastAsia="宋体" w:cs="宋体"/>
          <w:bCs/>
          <w:color w:val="auto"/>
          <w:sz w:val="21"/>
        </w:rPr>
      </w:pPr>
      <w:r>
        <w:rPr>
          <w:rFonts w:hint="eastAsia" w:ascii="宋体" w:hAnsi="宋体" w:eastAsia="宋体" w:cs="宋体"/>
          <w:bCs/>
          <w:color w:val="auto"/>
          <w:sz w:val="21"/>
        </w:rPr>
        <w:t>投标人：（盖单位章）</w:t>
      </w:r>
    </w:p>
    <w:p>
      <w:pPr>
        <w:jc w:val="both"/>
        <w:rPr>
          <w:rFonts w:hint="eastAsia" w:ascii="宋体" w:hAnsi="宋体" w:eastAsia="宋体" w:cs="宋体"/>
          <w:bCs/>
          <w:color w:val="auto"/>
          <w:sz w:val="21"/>
        </w:rPr>
      </w:pPr>
      <w:r>
        <w:rPr>
          <w:rFonts w:hint="eastAsia" w:ascii="宋体" w:hAnsi="宋体" w:eastAsia="宋体" w:cs="宋体"/>
          <w:bCs/>
          <w:color w:val="auto"/>
          <w:sz w:val="21"/>
        </w:rPr>
        <w:t>法定代表人（单位负责人）或其委托代理人：（签字或盖章）</w:t>
      </w:r>
    </w:p>
    <w:p>
      <w:pPr>
        <w:jc w:val="both"/>
        <w:rPr>
          <w:rFonts w:hint="eastAsia" w:ascii="宋体" w:hAnsi="宋体" w:eastAsia="宋体" w:cs="宋体"/>
          <w:bCs/>
          <w:color w:val="auto"/>
          <w:sz w:val="21"/>
          <w:u w:val="single"/>
        </w:rPr>
      </w:pPr>
      <w:r>
        <w:rPr>
          <w:rFonts w:hint="eastAsia" w:ascii="宋体" w:hAnsi="宋体" w:eastAsia="宋体" w:cs="宋体"/>
          <w:bCs/>
          <w:color w:val="auto"/>
          <w:sz w:val="21"/>
        </w:rPr>
        <w:t>地址：</w:t>
      </w:r>
    </w:p>
    <w:p>
      <w:pPr>
        <w:jc w:val="both"/>
        <w:rPr>
          <w:rFonts w:hint="eastAsia" w:ascii="宋体" w:hAnsi="宋体" w:eastAsia="宋体" w:cs="宋体"/>
          <w:bCs/>
          <w:color w:val="auto"/>
          <w:sz w:val="21"/>
        </w:rPr>
      </w:pPr>
      <w:r>
        <w:rPr>
          <w:rFonts w:hint="eastAsia" w:ascii="宋体" w:hAnsi="宋体" w:eastAsia="宋体" w:cs="宋体"/>
          <w:bCs/>
          <w:color w:val="auto"/>
          <w:sz w:val="21"/>
        </w:rPr>
        <w:t>网址：</w:t>
      </w:r>
    </w:p>
    <w:p>
      <w:pPr>
        <w:jc w:val="both"/>
        <w:rPr>
          <w:rFonts w:hint="eastAsia" w:ascii="宋体" w:hAnsi="宋体" w:eastAsia="宋体" w:cs="宋体"/>
          <w:bCs/>
          <w:color w:val="auto"/>
          <w:sz w:val="21"/>
          <w:u w:val="single"/>
        </w:rPr>
      </w:pPr>
      <w:r>
        <w:rPr>
          <w:rFonts w:hint="eastAsia" w:ascii="宋体" w:hAnsi="宋体" w:eastAsia="宋体" w:cs="宋体"/>
          <w:bCs/>
          <w:color w:val="auto"/>
          <w:sz w:val="21"/>
        </w:rPr>
        <w:t>电话：</w:t>
      </w:r>
    </w:p>
    <w:p>
      <w:pPr>
        <w:jc w:val="both"/>
        <w:rPr>
          <w:rFonts w:hint="eastAsia" w:ascii="宋体" w:hAnsi="宋体" w:eastAsia="宋体" w:cs="宋体"/>
          <w:bCs/>
          <w:color w:val="auto"/>
          <w:sz w:val="21"/>
          <w:u w:val="single"/>
        </w:rPr>
      </w:pPr>
      <w:r>
        <w:rPr>
          <w:rFonts w:hint="eastAsia" w:ascii="宋体" w:hAnsi="宋体" w:eastAsia="宋体" w:cs="宋体"/>
          <w:bCs/>
          <w:color w:val="auto"/>
          <w:sz w:val="21"/>
        </w:rPr>
        <w:t>传真：</w:t>
      </w:r>
    </w:p>
    <w:p>
      <w:pPr>
        <w:jc w:val="both"/>
        <w:rPr>
          <w:rFonts w:hint="eastAsia" w:ascii="宋体" w:hAnsi="宋体" w:eastAsia="宋体" w:cs="宋体"/>
          <w:bCs/>
          <w:color w:val="auto"/>
          <w:sz w:val="21"/>
        </w:rPr>
      </w:pPr>
      <w:r>
        <w:rPr>
          <w:rFonts w:hint="eastAsia" w:ascii="宋体" w:hAnsi="宋体" w:eastAsia="宋体" w:cs="宋体"/>
          <w:bCs/>
          <w:color w:val="auto"/>
          <w:sz w:val="21"/>
        </w:rPr>
        <w:t>邮政编码：</w:t>
      </w:r>
    </w:p>
    <w:p>
      <w:pPr>
        <w:spacing w:after="175"/>
        <w:jc w:val="both"/>
        <w:rPr>
          <w:rFonts w:hint="eastAsia" w:ascii="宋体" w:hAnsi="宋体" w:eastAsia="宋体" w:cs="宋体"/>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ascii="Times New Roman" w:hAnsi="Times New Roman" w:cs="Times New Roman" w:eastAsiaTheme="minorEastAsia"/>
          <w:b/>
          <w:color w:val="auto"/>
          <w:sz w:val="21"/>
        </w:rPr>
      </w:pPr>
    </w:p>
    <w:p>
      <w:pPr>
        <w:spacing w:after="177"/>
        <w:rPr>
          <w:rFonts w:eastAsiaTheme="minorEastAsia"/>
          <w:b/>
          <w:color w:val="auto"/>
        </w:rPr>
      </w:pPr>
    </w:p>
    <w:p>
      <w:pPr>
        <w:pStyle w:val="3"/>
        <w:spacing w:after="573" w:line="264" w:lineRule="auto"/>
        <w:ind w:left="0" w:right="0" w:firstLine="0"/>
        <w:jc w:val="center"/>
        <w:rPr>
          <w:rFonts w:hint="eastAsia"/>
          <w:bCs/>
          <w:color w:val="auto"/>
        </w:rPr>
      </w:pPr>
      <w:bookmarkStart w:id="176" w:name="_Toc195390923"/>
      <w:r>
        <w:rPr>
          <w:rFonts w:hint="eastAsia"/>
          <w:bCs/>
          <w:color w:val="auto"/>
        </w:rPr>
        <w:t>二、开标一览表</w:t>
      </w:r>
      <w:bookmarkEnd w:id="176"/>
    </w:p>
    <w:p>
      <w:pPr>
        <w:rPr>
          <w:rFonts w:eastAsiaTheme="minorEastAsia"/>
          <w:bCs/>
          <w:color w:val="auto"/>
        </w:rPr>
      </w:pPr>
      <w:r>
        <w:rPr>
          <w:rFonts w:hint="eastAsia" w:eastAsiaTheme="minorEastAsia"/>
          <w:bCs/>
          <w:color w:val="auto"/>
        </w:rPr>
        <w:t>项目编号：</w:t>
      </w:r>
    </w:p>
    <w:p>
      <w:pPr>
        <w:rPr>
          <w:rFonts w:eastAsiaTheme="minorEastAsia"/>
          <w:bCs/>
          <w:color w:val="auto"/>
        </w:rPr>
      </w:pPr>
      <w:r>
        <w:rPr>
          <w:rFonts w:hint="eastAsia" w:eastAsiaTheme="minorEastAsia"/>
          <w:bCs/>
          <w:color w:val="auto"/>
        </w:rPr>
        <w:t>项目名称：                                                          单位：人民币万元</w:t>
      </w:r>
    </w:p>
    <w:tbl>
      <w:tblPr>
        <w:tblStyle w:val="38"/>
        <w:tblW w:w="4961" w:type="pct"/>
        <w:jc w:val="center"/>
        <w:tblLayout w:type="autofit"/>
        <w:tblCellMar>
          <w:top w:w="0" w:type="dxa"/>
          <w:left w:w="106" w:type="dxa"/>
          <w:bottom w:w="58" w:type="dxa"/>
          <w:right w:w="99" w:type="dxa"/>
        </w:tblCellMar>
      </w:tblPr>
      <w:tblGrid>
        <w:gridCol w:w="1057"/>
        <w:gridCol w:w="849"/>
        <w:gridCol w:w="887"/>
        <w:gridCol w:w="983"/>
        <w:gridCol w:w="756"/>
        <w:gridCol w:w="1018"/>
        <w:gridCol w:w="1018"/>
        <w:gridCol w:w="1012"/>
        <w:gridCol w:w="610"/>
        <w:gridCol w:w="716"/>
        <w:gridCol w:w="568"/>
      </w:tblGrid>
      <w:tr>
        <w:tblPrEx>
          <w:tblCellMar>
            <w:top w:w="0" w:type="dxa"/>
            <w:left w:w="106" w:type="dxa"/>
            <w:bottom w:w="58" w:type="dxa"/>
            <w:right w:w="99" w:type="dxa"/>
          </w:tblCellMar>
        </w:tblPrEx>
        <w:trPr>
          <w:trHeight w:val="1017"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ascii="宋体" w:hAnsi="宋体" w:eastAsia="宋体" w:cs="宋体"/>
                <w:bCs/>
                <w:color w:val="auto"/>
                <w:sz w:val="18"/>
              </w:rPr>
              <w:t>投标人</w:t>
            </w:r>
          </w:p>
        </w:tc>
        <w:tc>
          <w:tcPr>
            <w:tcW w:w="448" w:type="pct"/>
            <w:tcBorders>
              <w:top w:val="single" w:color="000000" w:sz="4" w:space="0"/>
              <w:left w:val="single" w:color="auto"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制造商</w:t>
            </w:r>
          </w:p>
        </w:tc>
        <w:tc>
          <w:tcPr>
            <w:tcW w:w="468" w:type="pct"/>
            <w:tcBorders>
              <w:top w:val="single" w:color="000000" w:sz="4" w:space="0"/>
              <w:left w:val="single" w:color="000000"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ascii="宋体" w:hAnsi="宋体" w:eastAsia="宋体" w:cs="宋体"/>
                <w:bCs/>
                <w:color w:val="auto"/>
                <w:sz w:val="18"/>
              </w:rPr>
              <w:t>投标保证金</w:t>
            </w:r>
          </w:p>
        </w:tc>
        <w:tc>
          <w:tcPr>
            <w:tcW w:w="519" w:type="pct"/>
            <w:tcBorders>
              <w:top w:val="single" w:color="000000" w:sz="4" w:space="0"/>
              <w:left w:val="single" w:color="000000"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报价方式</w:t>
            </w:r>
          </w:p>
        </w:tc>
        <w:tc>
          <w:tcPr>
            <w:tcW w:w="399" w:type="pct"/>
            <w:tcBorders>
              <w:top w:val="single" w:color="000000" w:sz="4" w:space="0"/>
              <w:left w:val="single" w:color="auto"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税率</w:t>
            </w:r>
          </w:p>
        </w:tc>
        <w:tc>
          <w:tcPr>
            <w:tcW w:w="537" w:type="pct"/>
            <w:tcBorders>
              <w:top w:val="single" w:color="000000" w:sz="4" w:space="0"/>
              <w:left w:val="single" w:color="auto"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不含税</w:t>
            </w:r>
            <w:r>
              <w:rPr>
                <w:rFonts w:ascii="宋体" w:hAnsi="宋体" w:eastAsia="宋体" w:cs="宋体"/>
                <w:bCs/>
                <w:color w:val="auto"/>
                <w:sz w:val="18"/>
              </w:rPr>
              <w:t>投标报价</w:t>
            </w:r>
          </w:p>
        </w:tc>
        <w:tc>
          <w:tcPr>
            <w:tcW w:w="537" w:type="pct"/>
            <w:tcBorders>
              <w:top w:val="single" w:color="000000" w:sz="4" w:space="0"/>
              <w:left w:val="single" w:color="auto"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税额</w:t>
            </w:r>
          </w:p>
        </w:tc>
        <w:tc>
          <w:tcPr>
            <w:tcW w:w="534" w:type="pct"/>
            <w:tcBorders>
              <w:top w:val="single" w:color="000000" w:sz="4" w:space="0"/>
              <w:left w:val="single" w:color="auto"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含税</w:t>
            </w:r>
            <w:r>
              <w:rPr>
                <w:rFonts w:ascii="宋体" w:hAnsi="宋体" w:eastAsia="宋体" w:cs="宋体"/>
                <w:bCs/>
                <w:color w:val="auto"/>
                <w:sz w:val="18"/>
              </w:rPr>
              <w:t>投标报价</w:t>
            </w:r>
          </w:p>
        </w:tc>
        <w:tc>
          <w:tcPr>
            <w:tcW w:w="322" w:type="pct"/>
            <w:tcBorders>
              <w:top w:val="single" w:color="000000" w:sz="4" w:space="0"/>
              <w:left w:val="single" w:color="000000"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ascii="宋体" w:hAnsi="宋体" w:eastAsia="宋体" w:cs="宋体"/>
                <w:bCs/>
                <w:color w:val="auto"/>
                <w:sz w:val="18"/>
              </w:rPr>
              <w:t>交货期</w:t>
            </w:r>
          </w:p>
        </w:tc>
        <w:tc>
          <w:tcPr>
            <w:tcW w:w="378" w:type="pct"/>
            <w:tcBorders>
              <w:top w:val="single" w:color="000000" w:sz="4" w:space="0"/>
              <w:left w:val="single" w:color="000000"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ascii="宋体" w:hAnsi="宋体" w:eastAsia="宋体" w:cs="宋体"/>
                <w:bCs/>
                <w:color w:val="auto"/>
                <w:sz w:val="18"/>
              </w:rPr>
              <w:t>交货地点</w:t>
            </w:r>
          </w:p>
        </w:tc>
        <w:tc>
          <w:tcPr>
            <w:tcW w:w="300" w:type="pct"/>
            <w:tcBorders>
              <w:top w:val="single" w:color="000000" w:sz="4" w:space="0"/>
              <w:left w:val="single" w:color="000000" w:sz="4" w:space="0"/>
              <w:bottom w:val="single" w:color="000000" w:sz="4" w:space="0"/>
              <w:right w:val="single" w:color="000000" w:sz="4" w:space="0"/>
            </w:tcBorders>
            <w:vAlign w:val="center"/>
          </w:tcPr>
          <w:p>
            <w:pPr>
              <w:spacing w:after="0"/>
              <w:jc w:val="center"/>
              <w:rPr>
                <w:rFonts w:hint="eastAsia" w:ascii="宋体" w:hAnsi="宋体" w:eastAsia="宋体" w:cs="宋体"/>
                <w:bCs/>
                <w:color w:val="auto"/>
                <w:sz w:val="18"/>
              </w:rPr>
            </w:pPr>
            <w:r>
              <w:rPr>
                <w:rFonts w:ascii="宋体" w:hAnsi="宋体" w:eastAsia="宋体" w:cs="宋体"/>
                <w:bCs/>
                <w:color w:val="auto"/>
                <w:sz w:val="18"/>
              </w:rPr>
              <w:t>备注</w:t>
            </w:r>
          </w:p>
        </w:tc>
      </w:tr>
      <w:tr>
        <w:tblPrEx>
          <w:tblCellMar>
            <w:top w:w="0" w:type="dxa"/>
            <w:left w:w="106" w:type="dxa"/>
            <w:bottom w:w="58" w:type="dxa"/>
            <w:right w:w="99" w:type="dxa"/>
          </w:tblCellMar>
        </w:tblPrEx>
        <w:trPr>
          <w:trHeight w:val="1581"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智能仓储建设（智能仓库管理系统）</w:t>
            </w:r>
          </w:p>
        </w:tc>
        <w:tc>
          <w:tcPr>
            <w:tcW w:w="448" w:type="pct"/>
            <w:tcBorders>
              <w:top w:val="single" w:color="000000" w:sz="4" w:space="0"/>
              <w:left w:val="single" w:color="auto" w:sz="4" w:space="0"/>
              <w:bottom w:val="single" w:color="000000" w:sz="4" w:space="0"/>
              <w:right w:val="single" w:color="000000" w:sz="4" w:space="0"/>
            </w:tcBorders>
            <w:vAlign w:val="center"/>
          </w:tcPr>
          <w:p>
            <w:pPr>
              <w:spacing w:after="0"/>
              <w:rPr>
                <w:bCs/>
                <w:color w:val="auto"/>
              </w:rPr>
            </w:pPr>
          </w:p>
        </w:tc>
        <w:tc>
          <w:tcPr>
            <w:tcW w:w="468" w:type="pct"/>
            <w:tcBorders>
              <w:top w:val="single" w:color="000000" w:sz="4" w:space="0"/>
              <w:left w:val="single" w:color="000000" w:sz="4" w:space="0"/>
              <w:bottom w:val="single" w:color="000000" w:sz="4" w:space="0"/>
              <w:right w:val="single" w:color="000000" w:sz="4" w:space="0"/>
            </w:tcBorders>
            <w:vAlign w:val="center"/>
          </w:tcPr>
          <w:p>
            <w:pPr>
              <w:spacing w:after="0"/>
              <w:rPr>
                <w:rFonts w:hint="eastAsia" w:ascii="宋体" w:hAnsi="宋体" w:eastAsia="宋体" w:cs="宋体"/>
                <w:bCs/>
                <w:color w:val="000000" w:themeColor="text1"/>
                <w:sz w:val="18"/>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auto" w:sz="4" w:space="0"/>
            </w:tcBorders>
            <w:vAlign w:val="center"/>
          </w:tcPr>
          <w:p>
            <w:pPr>
              <w:spacing w:after="0"/>
              <w:rPr>
                <w:rFonts w:hint="eastAsia" w:ascii="宋体" w:hAnsi="宋体" w:eastAsia="宋体" w:cs="宋体"/>
                <w:bCs/>
                <w:color w:val="000000" w:themeColor="text1"/>
                <w:sz w:val="18"/>
                <w14:textFill>
                  <w14:solidFill>
                    <w14:schemeClr w14:val="tx1"/>
                  </w14:solidFill>
                </w14:textFill>
              </w:rPr>
            </w:pPr>
            <w:r>
              <w:rPr>
                <w:rFonts w:hint="eastAsia" w:ascii="宋体" w:hAnsi="宋体" w:eastAsia="宋体" w:cs="宋体"/>
                <w:bCs/>
                <w:color w:val="000000" w:themeColor="text1"/>
                <w:sz w:val="18"/>
                <w14:textFill>
                  <w14:solidFill>
                    <w14:schemeClr w14:val="tx1"/>
                  </w14:solidFill>
                </w14:textFill>
              </w:rPr>
              <w:t>招标方现场价（包含一切税费）</w:t>
            </w:r>
          </w:p>
        </w:tc>
        <w:tc>
          <w:tcPr>
            <w:tcW w:w="399"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4" w:type="pct"/>
            <w:tcBorders>
              <w:top w:val="single" w:color="000000" w:sz="4" w:space="0"/>
              <w:left w:val="single" w:color="auto" w:sz="4" w:space="0"/>
              <w:bottom w:val="single" w:color="000000" w:sz="4" w:space="0"/>
              <w:right w:val="single" w:color="000000" w:sz="4" w:space="0"/>
            </w:tcBorders>
            <w:vAlign w:val="center"/>
          </w:tcPr>
          <w:p>
            <w:pPr>
              <w:spacing w:after="0"/>
              <w:rPr>
                <w:bCs/>
                <w:color w:val="auto"/>
              </w:rPr>
            </w:pPr>
          </w:p>
        </w:tc>
        <w:tc>
          <w:tcPr>
            <w:tcW w:w="322" w:type="pct"/>
            <w:tcBorders>
              <w:top w:val="single" w:color="000000" w:sz="4" w:space="0"/>
              <w:left w:val="single" w:color="000000" w:sz="4" w:space="0"/>
              <w:bottom w:val="single" w:color="000000" w:sz="4" w:space="0"/>
              <w:right w:val="single" w:color="000000" w:sz="4" w:space="0"/>
            </w:tcBorders>
            <w:vAlign w:val="center"/>
          </w:tcPr>
          <w:p>
            <w:pPr>
              <w:spacing w:after="0"/>
              <w:ind w:left="2"/>
              <w:rPr>
                <w:bCs/>
                <w:color w:val="auto"/>
              </w:rPr>
            </w:pPr>
          </w:p>
        </w:tc>
        <w:tc>
          <w:tcPr>
            <w:tcW w:w="378" w:type="pct"/>
            <w:tcBorders>
              <w:top w:val="single" w:color="000000" w:sz="4" w:space="0"/>
              <w:left w:val="single" w:color="000000" w:sz="4" w:space="0"/>
              <w:bottom w:val="single" w:color="000000" w:sz="4" w:space="0"/>
              <w:right w:val="single" w:color="000000" w:sz="4" w:space="0"/>
            </w:tcBorders>
            <w:vAlign w:val="center"/>
          </w:tcPr>
          <w:p>
            <w:pPr>
              <w:spacing w:after="0"/>
              <w:ind w:left="2"/>
              <w:rPr>
                <w:rFonts w:ascii="Times New Roman" w:hAnsi="Times New Roman" w:eastAsia="Times New Roman" w:cs="Times New Roman"/>
                <w:bCs/>
                <w:color w:val="auto"/>
                <w:sz w:val="21"/>
              </w:rPr>
            </w:pPr>
          </w:p>
        </w:tc>
        <w:tc>
          <w:tcPr>
            <w:tcW w:w="300" w:type="pct"/>
            <w:tcBorders>
              <w:top w:val="single" w:color="000000" w:sz="4" w:space="0"/>
              <w:left w:val="single" w:color="000000" w:sz="4" w:space="0"/>
              <w:bottom w:val="single" w:color="000000" w:sz="4" w:space="0"/>
              <w:right w:val="single" w:color="000000" w:sz="4" w:space="0"/>
            </w:tcBorders>
            <w:vAlign w:val="center"/>
          </w:tcPr>
          <w:p>
            <w:pPr>
              <w:spacing w:after="0"/>
              <w:ind w:left="2"/>
              <w:rPr>
                <w:bCs/>
                <w:color w:val="auto"/>
              </w:rPr>
            </w:pPr>
          </w:p>
        </w:tc>
      </w:tr>
      <w:tr>
        <w:tblPrEx>
          <w:tblCellMar>
            <w:top w:w="0" w:type="dxa"/>
            <w:left w:w="106" w:type="dxa"/>
            <w:bottom w:w="58" w:type="dxa"/>
            <w:right w:w="99" w:type="dxa"/>
          </w:tblCellMar>
        </w:tblPrEx>
        <w:trPr>
          <w:trHeight w:val="1581"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智能仓储建设（自动化立体仓库）</w:t>
            </w:r>
          </w:p>
        </w:tc>
        <w:tc>
          <w:tcPr>
            <w:tcW w:w="448" w:type="pct"/>
            <w:tcBorders>
              <w:top w:val="single" w:color="000000" w:sz="4" w:space="0"/>
              <w:left w:val="single" w:color="auto" w:sz="4" w:space="0"/>
              <w:bottom w:val="single" w:color="000000" w:sz="4" w:space="0"/>
              <w:right w:val="single" w:color="000000" w:sz="4" w:space="0"/>
            </w:tcBorders>
            <w:vAlign w:val="center"/>
          </w:tcPr>
          <w:p>
            <w:pPr>
              <w:spacing w:after="0"/>
              <w:rPr>
                <w:bCs/>
                <w:color w:val="auto"/>
              </w:rPr>
            </w:pPr>
          </w:p>
        </w:tc>
        <w:tc>
          <w:tcPr>
            <w:tcW w:w="468" w:type="pct"/>
            <w:tcBorders>
              <w:top w:val="single" w:color="000000" w:sz="4" w:space="0"/>
              <w:left w:val="single" w:color="000000" w:sz="4" w:space="0"/>
              <w:bottom w:val="single" w:color="000000" w:sz="4" w:space="0"/>
              <w:right w:val="single" w:color="000000" w:sz="4" w:space="0"/>
            </w:tcBorders>
            <w:vAlign w:val="center"/>
          </w:tcPr>
          <w:p>
            <w:pPr>
              <w:spacing w:after="0"/>
              <w:rPr>
                <w:rFonts w:hint="eastAsia" w:ascii="宋体" w:hAnsi="宋体" w:eastAsia="宋体" w:cs="宋体"/>
                <w:bCs/>
                <w:color w:val="000000" w:themeColor="text1"/>
                <w:sz w:val="18"/>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auto" w:sz="4" w:space="0"/>
            </w:tcBorders>
            <w:vAlign w:val="center"/>
          </w:tcPr>
          <w:p>
            <w:pPr>
              <w:spacing w:after="0"/>
              <w:rPr>
                <w:rFonts w:hint="eastAsia" w:ascii="宋体" w:hAnsi="宋体" w:eastAsia="宋体" w:cs="宋体"/>
                <w:bCs/>
                <w:color w:val="000000" w:themeColor="text1"/>
                <w:sz w:val="18"/>
                <w14:textFill>
                  <w14:solidFill>
                    <w14:schemeClr w14:val="tx1"/>
                  </w14:solidFill>
                </w14:textFill>
              </w:rPr>
            </w:pPr>
            <w:r>
              <w:rPr>
                <w:rFonts w:hint="eastAsia" w:ascii="宋体" w:hAnsi="宋体" w:eastAsia="宋体" w:cs="宋体"/>
                <w:bCs/>
                <w:color w:val="000000" w:themeColor="text1"/>
                <w:sz w:val="18"/>
                <w14:textFill>
                  <w14:solidFill>
                    <w14:schemeClr w14:val="tx1"/>
                  </w14:solidFill>
                </w14:textFill>
              </w:rPr>
              <w:t>招标方现场价（包含一切税费）</w:t>
            </w:r>
          </w:p>
        </w:tc>
        <w:tc>
          <w:tcPr>
            <w:tcW w:w="399"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pPr>
              <w:spacing w:after="0"/>
              <w:rPr>
                <w:bCs/>
                <w:color w:val="auto"/>
              </w:rPr>
            </w:pPr>
          </w:p>
        </w:tc>
        <w:tc>
          <w:tcPr>
            <w:tcW w:w="534" w:type="pct"/>
            <w:tcBorders>
              <w:top w:val="single" w:color="000000" w:sz="4" w:space="0"/>
              <w:left w:val="single" w:color="auto" w:sz="4" w:space="0"/>
              <w:bottom w:val="single" w:color="000000" w:sz="4" w:space="0"/>
              <w:right w:val="single" w:color="000000" w:sz="4" w:space="0"/>
            </w:tcBorders>
            <w:vAlign w:val="center"/>
          </w:tcPr>
          <w:p>
            <w:pPr>
              <w:spacing w:after="0"/>
              <w:rPr>
                <w:bCs/>
                <w:color w:val="auto"/>
              </w:rPr>
            </w:pPr>
          </w:p>
        </w:tc>
        <w:tc>
          <w:tcPr>
            <w:tcW w:w="322" w:type="pct"/>
            <w:tcBorders>
              <w:top w:val="single" w:color="000000" w:sz="4" w:space="0"/>
              <w:left w:val="single" w:color="000000" w:sz="4" w:space="0"/>
              <w:bottom w:val="single" w:color="000000" w:sz="4" w:space="0"/>
              <w:right w:val="single" w:color="000000" w:sz="4" w:space="0"/>
            </w:tcBorders>
            <w:vAlign w:val="center"/>
          </w:tcPr>
          <w:p>
            <w:pPr>
              <w:spacing w:after="0"/>
              <w:ind w:left="2"/>
              <w:rPr>
                <w:bCs/>
                <w:color w:val="auto"/>
              </w:rPr>
            </w:pPr>
          </w:p>
        </w:tc>
        <w:tc>
          <w:tcPr>
            <w:tcW w:w="378" w:type="pct"/>
            <w:tcBorders>
              <w:top w:val="single" w:color="000000" w:sz="4" w:space="0"/>
              <w:left w:val="single" w:color="000000" w:sz="4" w:space="0"/>
              <w:bottom w:val="single" w:color="000000" w:sz="4" w:space="0"/>
              <w:right w:val="single" w:color="000000" w:sz="4" w:space="0"/>
            </w:tcBorders>
            <w:vAlign w:val="center"/>
          </w:tcPr>
          <w:p>
            <w:pPr>
              <w:spacing w:after="0"/>
              <w:ind w:left="2"/>
              <w:rPr>
                <w:rFonts w:ascii="Times New Roman" w:hAnsi="Times New Roman" w:eastAsia="Times New Roman" w:cs="Times New Roman"/>
                <w:bCs/>
                <w:color w:val="auto"/>
                <w:sz w:val="21"/>
              </w:rPr>
            </w:pPr>
          </w:p>
        </w:tc>
        <w:tc>
          <w:tcPr>
            <w:tcW w:w="300" w:type="pct"/>
            <w:tcBorders>
              <w:top w:val="single" w:color="000000" w:sz="4" w:space="0"/>
              <w:left w:val="single" w:color="000000" w:sz="4" w:space="0"/>
              <w:bottom w:val="single" w:color="000000" w:sz="4" w:space="0"/>
              <w:right w:val="single" w:color="000000" w:sz="4" w:space="0"/>
            </w:tcBorders>
            <w:vAlign w:val="center"/>
          </w:tcPr>
          <w:p>
            <w:pPr>
              <w:spacing w:after="0"/>
              <w:ind w:left="2"/>
              <w:rPr>
                <w:bCs/>
                <w:color w:val="auto"/>
              </w:rPr>
            </w:pPr>
          </w:p>
        </w:tc>
      </w:tr>
    </w:tbl>
    <w:p>
      <w:pPr>
        <w:rPr>
          <w:rFonts w:eastAsiaTheme="minorEastAsia"/>
          <w:b/>
          <w:color w:val="auto"/>
        </w:rPr>
      </w:pPr>
    </w:p>
    <w:p>
      <w:pPr>
        <w:rPr>
          <w:rFonts w:eastAsiaTheme="minorEastAsia"/>
          <w:b/>
          <w:color w:val="auto"/>
        </w:rPr>
      </w:pPr>
    </w:p>
    <w:p>
      <w:pPr>
        <w:tabs>
          <w:tab w:val="center" w:pos="2956"/>
          <w:tab w:val="center" w:pos="7052"/>
        </w:tabs>
        <w:spacing w:after="151" w:line="265" w:lineRule="auto"/>
      </w:pPr>
      <w:r>
        <w:rPr>
          <w:rFonts w:ascii="宋体" w:hAnsi="宋体" w:eastAsia="宋体" w:cs="宋体"/>
          <w:sz w:val="21"/>
        </w:rPr>
        <w:t>投标人：</w:t>
      </w:r>
      <w:r>
        <w:rPr>
          <w:rFonts w:ascii="Times New Roman" w:hAnsi="Times New Roman" w:eastAsia="Times New Roman" w:cs="Times New Roman"/>
          <w:sz w:val="21"/>
          <w:u w:val="single" w:color="000000"/>
        </w:rPr>
        <w:tab/>
      </w:r>
      <w:r>
        <w:rPr>
          <w:rFonts w:ascii="宋体" w:hAnsi="宋体" w:eastAsia="宋体" w:cs="宋体"/>
          <w:sz w:val="21"/>
        </w:rPr>
        <w:t>（单位公章）</w:t>
      </w:r>
    </w:p>
    <w:p>
      <w:pPr>
        <w:spacing w:after="177"/>
      </w:pPr>
    </w:p>
    <w:p>
      <w:pPr>
        <w:spacing w:after="125" w:line="265" w:lineRule="auto"/>
        <w:ind w:right="3039" w:firstLine="630" w:firstLineChars="300"/>
      </w:pPr>
      <w:r>
        <w:rPr>
          <w:rFonts w:ascii="宋体" w:hAnsi="宋体" w:eastAsia="宋体" w:cs="宋体"/>
          <w:sz w:val="21"/>
        </w:rPr>
        <w:t>年</w:t>
      </w:r>
      <w:r>
        <w:rPr>
          <w:rFonts w:hint="eastAsia" w:ascii="宋体" w:hAnsi="宋体" w:eastAsia="宋体" w:cs="宋体"/>
          <w:sz w:val="21"/>
        </w:rPr>
        <w:t xml:space="preserve">  </w:t>
      </w:r>
      <w:r>
        <w:rPr>
          <w:rFonts w:ascii="宋体" w:hAnsi="宋体" w:eastAsia="宋体" w:cs="宋体"/>
          <w:sz w:val="21"/>
        </w:rPr>
        <w:t>月</w:t>
      </w:r>
      <w:r>
        <w:rPr>
          <w:rFonts w:hint="eastAsia" w:ascii="宋体" w:hAnsi="宋体" w:eastAsia="宋体" w:cs="宋体"/>
          <w:sz w:val="21"/>
        </w:rPr>
        <w:t xml:space="preserve">  </w:t>
      </w:r>
      <w:r>
        <w:rPr>
          <w:rFonts w:ascii="宋体" w:hAnsi="宋体" w:eastAsia="宋体" w:cs="宋体"/>
          <w:sz w:val="21"/>
        </w:rPr>
        <w:t>日</w:t>
      </w: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spacing w:after="195"/>
        <w:rPr>
          <w:b/>
          <w:color w:val="auto"/>
        </w:rPr>
      </w:pPr>
    </w:p>
    <w:p>
      <w:pPr>
        <w:spacing w:after="0"/>
        <w:rPr>
          <w:b/>
          <w:color w:val="auto"/>
        </w:rPr>
      </w:pPr>
      <w:r>
        <w:rPr>
          <w:rFonts w:ascii="Times New Roman" w:hAnsi="Times New Roman" w:eastAsia="Times New Roman" w:cs="Times New Roman"/>
          <w:b/>
          <w:color w:val="auto"/>
          <w:sz w:val="21"/>
        </w:rPr>
        <w:tab/>
      </w:r>
      <w:r>
        <w:rPr>
          <w:b/>
          <w:color w:val="auto"/>
        </w:rPr>
        <w:br w:type="page"/>
      </w:r>
    </w:p>
    <w:p>
      <w:pPr>
        <w:pStyle w:val="3"/>
        <w:spacing w:after="570"/>
        <w:ind w:left="1438" w:right="0"/>
        <w:rPr>
          <w:rFonts w:hint="eastAsia"/>
          <w:bCs/>
          <w:color w:val="auto"/>
        </w:rPr>
      </w:pPr>
      <w:bookmarkStart w:id="177" w:name="_Toc195390924"/>
      <w:r>
        <w:rPr>
          <w:rFonts w:hint="eastAsia"/>
          <w:bCs/>
          <w:color w:val="auto"/>
        </w:rPr>
        <w:t>三</w:t>
      </w:r>
      <w:r>
        <w:rPr>
          <w:bCs/>
          <w:color w:val="auto"/>
        </w:rPr>
        <w:t>、法定代表人（单位负责人）身份证明</w:t>
      </w:r>
      <w:bookmarkEnd w:id="177"/>
    </w:p>
    <w:p>
      <w:pPr>
        <w:spacing w:after="0" w:line="433" w:lineRule="auto"/>
        <w:ind w:right="9290"/>
        <w:rPr>
          <w:bCs/>
          <w:color w:val="auto"/>
        </w:rPr>
      </w:pPr>
    </w:p>
    <w:p>
      <w:pPr>
        <w:spacing w:after="145" w:line="265" w:lineRule="auto"/>
        <w:ind w:left="-5" w:right="590" w:hanging="10"/>
        <w:rPr>
          <w:bCs/>
          <w:color w:val="auto"/>
        </w:rPr>
      </w:pPr>
      <w:r>
        <w:rPr>
          <w:rFonts w:ascii="宋体" w:hAnsi="宋体" w:eastAsia="宋体" w:cs="宋体"/>
          <w:bCs/>
          <w:color w:val="auto"/>
          <w:sz w:val="21"/>
        </w:rPr>
        <w:t>投标人名称：</w:t>
      </w:r>
    </w:p>
    <w:p>
      <w:pPr>
        <w:spacing w:after="6" w:line="370" w:lineRule="auto"/>
        <w:ind w:left="-15" w:right="2304"/>
        <w:jc w:val="both"/>
        <w:rPr>
          <w:bCs/>
          <w:color w:val="auto"/>
        </w:rPr>
      </w:pPr>
      <w:r>
        <w:rPr>
          <w:rFonts w:ascii="宋体" w:hAnsi="宋体" w:eastAsia="宋体" w:cs="宋体"/>
          <w:bCs/>
          <w:color w:val="auto"/>
          <w:sz w:val="21"/>
        </w:rPr>
        <w:t>姓名：性别：年龄：职务：系（投标人名称）的法定代表人（单位负责人）。特此证明。</w:t>
      </w:r>
    </w:p>
    <w:p>
      <w:pPr>
        <w:spacing w:after="184"/>
        <w:rPr>
          <w:bCs/>
          <w:color w:val="auto"/>
        </w:rPr>
      </w:pPr>
    </w:p>
    <w:p>
      <w:pPr>
        <w:spacing w:after="153" w:line="265" w:lineRule="auto"/>
        <w:ind w:left="-5" w:right="590" w:hanging="10"/>
        <w:rPr>
          <w:bCs/>
          <w:color w:val="auto"/>
        </w:rPr>
      </w:pPr>
      <w:r>
        <w:rPr>
          <w:rFonts w:ascii="宋体" w:hAnsi="宋体" w:eastAsia="宋体" w:cs="宋体"/>
          <w:bCs/>
          <w:color w:val="auto"/>
          <w:sz w:val="21"/>
        </w:rPr>
        <w:t>附：法定代表人（单位负责人）身份证复印件。</w:t>
      </w:r>
    </w:p>
    <w:p>
      <w:pPr>
        <w:spacing w:after="182"/>
        <w:rPr>
          <w:bCs/>
          <w:color w:val="auto"/>
        </w:rPr>
      </w:pPr>
    </w:p>
    <w:p>
      <w:pPr>
        <w:spacing w:after="155" w:line="265" w:lineRule="auto"/>
        <w:ind w:left="-5" w:right="590" w:hanging="10"/>
        <w:rPr>
          <w:bCs/>
          <w:color w:val="auto"/>
        </w:rPr>
      </w:pPr>
      <w:r>
        <w:rPr>
          <w:rFonts w:ascii="宋体" w:hAnsi="宋体" w:eastAsia="宋体" w:cs="宋体"/>
          <w:bCs/>
          <w:color w:val="auto"/>
          <w:sz w:val="21"/>
        </w:rPr>
        <w:t>注：本身份证明需由投标人加盖单位公章。</w:t>
      </w:r>
    </w:p>
    <w:p>
      <w:pPr>
        <w:spacing w:after="175"/>
        <w:rPr>
          <w:bCs/>
          <w:color w:val="auto"/>
        </w:rPr>
      </w:pPr>
    </w:p>
    <w:p>
      <w:pPr>
        <w:spacing w:after="177"/>
        <w:rPr>
          <w:bCs/>
          <w:color w:val="auto"/>
        </w:rPr>
      </w:pPr>
    </w:p>
    <w:p>
      <w:pPr>
        <w:tabs>
          <w:tab w:val="center" w:pos="2956"/>
          <w:tab w:val="center" w:pos="7052"/>
        </w:tabs>
        <w:spacing w:after="151" w:line="265" w:lineRule="auto"/>
        <w:rPr>
          <w:bCs/>
          <w:color w:val="auto"/>
        </w:rPr>
      </w:pPr>
      <w:r>
        <w:rPr>
          <w:bCs/>
          <w:color w:val="auto"/>
        </w:rPr>
        <w:tab/>
      </w:r>
      <w:r>
        <w:rPr>
          <w:rFonts w:ascii="宋体" w:hAnsi="宋体" w:eastAsia="宋体" w:cs="宋体"/>
          <w:bCs/>
          <w:color w:val="auto"/>
          <w:sz w:val="21"/>
        </w:rPr>
        <w:t>投标人：</w:t>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（单位公章）</w:t>
      </w:r>
    </w:p>
    <w:p>
      <w:pPr>
        <w:spacing w:after="177"/>
        <w:rPr>
          <w:bCs/>
          <w:color w:val="auto"/>
        </w:rPr>
      </w:pPr>
    </w:p>
    <w:p>
      <w:pPr>
        <w:spacing w:after="125" w:line="265" w:lineRule="auto"/>
        <w:ind w:left="10" w:right="2199" w:hanging="10"/>
        <w:jc w:val="right"/>
        <w:rPr>
          <w:bCs/>
          <w:color w:val="auto"/>
        </w:rPr>
      </w:pPr>
      <w:r>
        <w:rPr>
          <w:rFonts w:ascii="宋体" w:hAnsi="宋体" w:eastAsia="宋体" w:cs="宋体"/>
          <w:bCs/>
          <w:color w:val="auto"/>
          <w:sz w:val="21"/>
        </w:rPr>
        <w:t>年</w:t>
      </w:r>
      <w:r>
        <w:rPr>
          <w:rFonts w:hint="eastAsia" w:ascii="宋体" w:hAnsi="宋体" w:eastAsia="宋体" w:cs="宋体"/>
          <w:bCs/>
          <w:color w:val="auto"/>
          <w:sz w:val="21"/>
        </w:rPr>
        <w:t xml:space="preserve">   </w:t>
      </w:r>
      <w:r>
        <w:rPr>
          <w:rFonts w:ascii="宋体" w:hAnsi="宋体" w:eastAsia="宋体" w:cs="宋体"/>
          <w:bCs/>
          <w:color w:val="auto"/>
          <w:sz w:val="21"/>
        </w:rPr>
        <w:t>月</w:t>
      </w:r>
      <w:r>
        <w:rPr>
          <w:rFonts w:hint="eastAsia" w:ascii="宋体" w:hAnsi="宋体" w:eastAsia="宋体" w:cs="宋体"/>
          <w:bCs/>
          <w:color w:val="auto"/>
          <w:sz w:val="21"/>
        </w:rPr>
        <w:t xml:space="preserve">   </w:t>
      </w:r>
      <w:r>
        <w:rPr>
          <w:rFonts w:ascii="宋体" w:hAnsi="宋体" w:eastAsia="宋体" w:cs="宋体"/>
          <w:bCs/>
          <w:color w:val="auto"/>
          <w:sz w:val="21"/>
        </w:rPr>
        <w:t>日</w:t>
      </w:r>
    </w:p>
    <w:p>
      <w:pPr>
        <w:spacing w:after="192"/>
        <w:rPr>
          <w:b/>
          <w:color w:val="auto"/>
        </w:rPr>
      </w:pPr>
    </w:p>
    <w:p>
      <w:pPr>
        <w:spacing w:after="0"/>
        <w:ind w:right="2092"/>
        <w:jc w:val="right"/>
        <w:rPr>
          <w:b/>
          <w:color w:val="auto"/>
        </w:rPr>
      </w:pPr>
      <w:r>
        <w:rPr>
          <w:rFonts w:ascii="Times New Roman" w:hAnsi="Times New Roman" w:eastAsia="Times New Roman" w:cs="Times New Roman"/>
          <w:b/>
          <w:color w:val="auto"/>
          <w:sz w:val="20"/>
        </w:rPr>
        <w:tab/>
      </w:r>
    </w:p>
    <w:p>
      <w:pPr>
        <w:pStyle w:val="3"/>
        <w:spacing w:after="550"/>
        <w:ind w:right="703"/>
        <w:jc w:val="center"/>
        <w:rPr>
          <w:rFonts w:hint="eastAsia"/>
          <w:b/>
          <w:color w:val="auto"/>
        </w:rPr>
        <w:sectPr>
          <w:pgSz w:w="12240" w:h="15840"/>
          <w:pgMar w:top="1445" w:right="1097" w:bottom="1466" w:left="1800" w:header="720" w:footer="720" w:gutter="0"/>
          <w:cols w:space="720" w:num="1"/>
        </w:sectPr>
      </w:pPr>
    </w:p>
    <w:p>
      <w:pPr>
        <w:pStyle w:val="3"/>
        <w:spacing w:after="550"/>
        <w:ind w:right="703"/>
        <w:jc w:val="center"/>
        <w:rPr>
          <w:rFonts w:hint="eastAsia"/>
          <w:bCs/>
          <w:color w:val="auto"/>
        </w:rPr>
      </w:pPr>
      <w:bookmarkStart w:id="178" w:name="_Toc195390925"/>
      <w:r>
        <w:rPr>
          <w:rFonts w:hint="eastAsia"/>
          <w:bCs/>
          <w:color w:val="auto"/>
        </w:rPr>
        <w:t>四</w:t>
      </w:r>
      <w:r>
        <w:rPr>
          <w:bCs/>
          <w:color w:val="auto"/>
        </w:rPr>
        <w:t>、授权委托书</w:t>
      </w:r>
      <w:bookmarkEnd w:id="178"/>
    </w:p>
    <w:p>
      <w:pPr>
        <w:spacing w:after="181"/>
        <w:rPr>
          <w:bCs/>
          <w:color w:val="auto"/>
        </w:rPr>
      </w:pPr>
    </w:p>
    <w:p>
      <w:pPr>
        <w:spacing w:after="27" w:line="370" w:lineRule="auto"/>
        <w:ind w:left="-15" w:right="596" w:firstLine="410"/>
        <w:jc w:val="both"/>
        <w:rPr>
          <w:bCs/>
          <w:color w:val="auto"/>
        </w:rPr>
      </w:pPr>
      <w:r>
        <w:rPr>
          <w:rFonts w:ascii="宋体" w:hAnsi="宋体" w:eastAsia="宋体" w:cs="宋体"/>
          <w:bCs/>
          <w:color w:val="auto"/>
          <w:sz w:val="21"/>
        </w:rPr>
        <w:t>本人（姓名）系（投标人名称）的法定代表人（单位负责人），现委托（姓名）为我方代理人。代理人根据授权，以我方名义签署、澄清确认、递交、撤回、修改设备采购招标项目投标文件、签订合同和处理有关事宜，其法律后果由我方承担。</w:t>
      </w:r>
    </w:p>
    <w:p>
      <w:pPr>
        <w:spacing w:after="149" w:line="265" w:lineRule="auto"/>
        <w:ind w:left="-5" w:right="590" w:hanging="10"/>
        <w:rPr>
          <w:bCs/>
          <w:color w:val="auto"/>
        </w:rPr>
      </w:pPr>
      <w:r>
        <w:rPr>
          <w:rFonts w:ascii="宋体" w:hAnsi="宋体" w:eastAsia="宋体" w:cs="宋体"/>
          <w:bCs/>
          <w:color w:val="auto"/>
          <w:sz w:val="21"/>
        </w:rPr>
        <w:t>委托期限：</w:t>
      </w:r>
    </w:p>
    <w:p>
      <w:pPr>
        <w:spacing w:after="155" w:line="265" w:lineRule="auto"/>
        <w:ind w:left="430" w:right="590" w:hanging="10"/>
        <w:rPr>
          <w:rFonts w:hint="eastAsia" w:ascii="宋体" w:hAnsi="宋体" w:eastAsia="宋体" w:cs="宋体"/>
          <w:bCs/>
          <w:color w:val="auto"/>
          <w:sz w:val="21"/>
        </w:rPr>
      </w:pPr>
      <w:r>
        <w:rPr>
          <w:rFonts w:ascii="宋体" w:hAnsi="宋体" w:eastAsia="宋体" w:cs="宋体"/>
          <w:bCs/>
          <w:color w:val="auto"/>
          <w:sz w:val="21"/>
        </w:rPr>
        <w:t>代理人无转委托权。</w:t>
      </w:r>
    </w:p>
    <w:p>
      <w:pPr>
        <w:spacing w:after="155" w:line="265" w:lineRule="auto"/>
        <w:ind w:left="430" w:right="590" w:hanging="10"/>
        <w:rPr>
          <w:rFonts w:hint="eastAsia" w:ascii="宋体" w:hAnsi="宋体" w:eastAsia="宋体" w:cs="宋体"/>
          <w:bCs/>
          <w:color w:val="auto"/>
          <w:sz w:val="21"/>
        </w:rPr>
      </w:pPr>
    </w:p>
    <w:p>
      <w:pPr>
        <w:spacing w:after="155" w:line="265" w:lineRule="auto"/>
        <w:ind w:left="430" w:right="590" w:hanging="10"/>
        <w:rPr>
          <w:bCs/>
          <w:color w:val="auto"/>
        </w:rPr>
      </w:pPr>
      <w:r>
        <w:rPr>
          <w:rFonts w:hint="eastAsia" w:ascii="宋体" w:hAnsi="宋体" w:eastAsia="宋体" w:cs="宋体"/>
          <w:bCs/>
          <w:color w:val="auto"/>
          <w:sz w:val="21"/>
        </w:rPr>
        <w:t xml:space="preserve">委托有效期自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日起至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日止</w:t>
      </w:r>
    </w:p>
    <w:p>
      <w:pPr>
        <w:spacing w:after="182"/>
        <w:ind w:left="420"/>
        <w:rPr>
          <w:bCs/>
          <w:color w:val="auto"/>
        </w:rPr>
      </w:pPr>
    </w:p>
    <w:p>
      <w:pPr>
        <w:spacing w:after="153" w:line="265" w:lineRule="auto"/>
        <w:ind w:left="-5" w:right="590" w:hanging="10"/>
        <w:rPr>
          <w:bCs/>
          <w:color w:val="auto"/>
        </w:rPr>
      </w:pPr>
      <w:r>
        <w:rPr>
          <w:rFonts w:ascii="宋体" w:hAnsi="宋体" w:eastAsia="宋体" w:cs="宋体"/>
          <w:bCs/>
          <w:color w:val="auto"/>
          <w:sz w:val="21"/>
        </w:rPr>
        <w:t>附：法定代表人（单位负责人）身份证复印件及委托代理人身份证复印件</w:t>
      </w:r>
    </w:p>
    <w:p>
      <w:pPr>
        <w:spacing w:after="177"/>
        <w:rPr>
          <w:bCs/>
          <w:color w:val="auto"/>
        </w:rPr>
      </w:pPr>
    </w:p>
    <w:p>
      <w:pPr>
        <w:spacing w:after="5" w:line="389" w:lineRule="auto"/>
        <w:ind w:left="-5" w:right="590" w:hanging="10"/>
        <w:rPr>
          <w:bCs/>
          <w:color w:val="auto"/>
        </w:rPr>
      </w:pPr>
      <w:r>
        <w:rPr>
          <w:rFonts w:ascii="宋体" w:hAnsi="宋体" w:eastAsia="宋体" w:cs="宋体"/>
          <w:bCs/>
          <w:color w:val="auto"/>
          <w:sz w:val="21"/>
        </w:rPr>
        <w:t>注：本授权委托书需由投标人加盖单位公章并由其法定代表人（单位负责人）和委托代理人签字。</w:t>
      </w:r>
    </w:p>
    <w:p>
      <w:pPr>
        <w:spacing w:after="180"/>
        <w:rPr>
          <w:bCs/>
          <w:color w:val="auto"/>
        </w:rPr>
      </w:pPr>
    </w:p>
    <w:p>
      <w:pPr>
        <w:tabs>
          <w:tab w:val="center" w:pos="3325"/>
          <w:tab w:val="center" w:pos="4201"/>
          <w:tab w:val="center" w:pos="4621"/>
          <w:tab w:val="center" w:pos="6722"/>
        </w:tabs>
        <w:spacing w:after="150" w:line="265" w:lineRule="auto"/>
        <w:ind w:firstLine="2730" w:firstLineChars="1300"/>
        <w:rPr>
          <w:bCs/>
          <w:color w:val="auto"/>
        </w:rPr>
      </w:pPr>
      <w:r>
        <w:rPr>
          <w:rFonts w:ascii="宋体" w:hAnsi="宋体" w:eastAsia="宋体" w:cs="宋体"/>
          <w:bCs/>
          <w:color w:val="auto"/>
          <w:sz w:val="21"/>
        </w:rPr>
        <w:t>投标人：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（单位公章）</w:t>
      </w:r>
    </w:p>
    <w:p>
      <w:pPr>
        <w:spacing w:after="180"/>
        <w:ind w:left="2693"/>
        <w:rPr>
          <w:bCs/>
          <w:color w:val="auto"/>
        </w:rPr>
      </w:pPr>
    </w:p>
    <w:p>
      <w:pPr>
        <w:tabs>
          <w:tab w:val="center" w:pos="4004"/>
          <w:tab w:val="center" w:pos="5881"/>
          <w:tab w:val="center" w:pos="6301"/>
          <w:tab w:val="center" w:pos="7982"/>
        </w:tabs>
        <w:spacing w:after="157" w:line="265" w:lineRule="auto"/>
        <w:rPr>
          <w:bCs/>
          <w:color w:val="auto"/>
        </w:rPr>
      </w:pPr>
      <w:r>
        <w:rPr>
          <w:bCs/>
          <w:color w:val="auto"/>
        </w:rPr>
        <w:tab/>
      </w:r>
      <w:r>
        <w:rPr>
          <w:rFonts w:ascii="宋体" w:hAnsi="宋体" w:eastAsia="宋体" w:cs="宋体"/>
          <w:bCs/>
          <w:color w:val="auto"/>
          <w:sz w:val="21"/>
        </w:rPr>
        <w:t>法定代表人（单位负责人）：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（签字或盖章）</w:t>
      </w:r>
    </w:p>
    <w:p>
      <w:pPr>
        <w:spacing w:after="177"/>
        <w:ind w:left="2693"/>
        <w:rPr>
          <w:bCs/>
          <w:color w:val="auto"/>
        </w:rPr>
      </w:pPr>
    </w:p>
    <w:p>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pPr>
        <w:spacing w:after="180"/>
        <w:ind w:left="2693"/>
        <w:rPr>
          <w:bCs/>
          <w:color w:val="auto"/>
        </w:rPr>
      </w:pPr>
    </w:p>
    <w:p>
      <w:pPr>
        <w:tabs>
          <w:tab w:val="center" w:pos="3325"/>
          <w:tab w:val="center" w:pos="4201"/>
          <w:tab w:val="center" w:pos="4621"/>
          <w:tab w:val="center" w:pos="6722"/>
        </w:tabs>
        <w:spacing w:after="150" w:line="265" w:lineRule="auto"/>
        <w:rPr>
          <w:bCs/>
          <w:color w:val="auto"/>
        </w:rPr>
      </w:pPr>
      <w:r>
        <w:rPr>
          <w:bCs/>
          <w:color w:val="auto"/>
        </w:rPr>
        <w:tab/>
      </w:r>
      <w:r>
        <w:rPr>
          <w:rFonts w:ascii="宋体" w:hAnsi="宋体" w:eastAsia="宋体" w:cs="宋体"/>
          <w:bCs/>
          <w:color w:val="auto"/>
          <w:sz w:val="21"/>
        </w:rPr>
        <w:t>委托代理人：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w:t>
      </w:r>
    </w:p>
    <w:p>
      <w:pPr>
        <w:spacing w:after="177"/>
        <w:ind w:left="2693"/>
        <w:rPr>
          <w:bCs/>
          <w:color w:val="auto"/>
        </w:rPr>
      </w:pPr>
    </w:p>
    <w:p>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pPr>
        <w:spacing w:after="175"/>
        <w:ind w:left="2693"/>
        <w:rPr>
          <w:bCs/>
          <w:color w:val="auto"/>
        </w:rPr>
      </w:pPr>
    </w:p>
    <w:p>
      <w:pPr>
        <w:spacing w:after="176"/>
        <w:ind w:left="2693"/>
        <w:rPr>
          <w:bCs/>
          <w:color w:val="auto"/>
        </w:rPr>
      </w:pPr>
    </w:p>
    <w:p>
      <w:pPr>
        <w:spacing w:after="125" w:line="265" w:lineRule="auto"/>
        <w:ind w:left="10" w:right="710" w:hanging="10"/>
        <w:jc w:val="right"/>
        <w:rPr>
          <w:rFonts w:hint="eastAsia" w:ascii="宋体" w:hAnsi="宋体" w:eastAsia="宋体" w:cs="宋体"/>
          <w:bCs/>
          <w:color w:val="auto"/>
          <w:sz w:val="21"/>
        </w:rPr>
      </w:pPr>
      <w:r>
        <w:rPr>
          <w:rFonts w:ascii="宋体" w:hAnsi="宋体" w:eastAsia="宋体" w:cs="宋体"/>
          <w:bCs/>
          <w:color w:val="auto"/>
          <w:sz w:val="21"/>
        </w:rPr>
        <w:t>年</w:t>
      </w:r>
      <w:r>
        <w:rPr>
          <w:rFonts w:hint="eastAsia" w:ascii="宋体" w:hAnsi="宋体" w:eastAsia="宋体" w:cs="宋体"/>
          <w:bCs/>
          <w:color w:val="auto"/>
          <w:sz w:val="21"/>
        </w:rPr>
        <w:t xml:space="preserve">   </w:t>
      </w:r>
      <w:r>
        <w:rPr>
          <w:rFonts w:ascii="宋体" w:hAnsi="宋体" w:eastAsia="宋体" w:cs="宋体"/>
          <w:bCs/>
          <w:color w:val="auto"/>
          <w:sz w:val="21"/>
        </w:rPr>
        <w:t>月</w:t>
      </w:r>
      <w:r>
        <w:rPr>
          <w:rFonts w:hint="eastAsia" w:ascii="宋体" w:hAnsi="宋体" w:eastAsia="宋体" w:cs="宋体"/>
          <w:bCs/>
          <w:color w:val="auto"/>
          <w:sz w:val="21"/>
        </w:rPr>
        <w:t xml:space="preserve">   </w:t>
      </w:r>
      <w:r>
        <w:rPr>
          <w:rFonts w:ascii="宋体" w:hAnsi="宋体" w:eastAsia="宋体" w:cs="宋体"/>
          <w:bCs/>
          <w:color w:val="auto"/>
          <w:sz w:val="21"/>
        </w:rPr>
        <w:t>日</w:t>
      </w:r>
    </w:p>
    <w:p>
      <w:pPr>
        <w:spacing w:after="125" w:line="265" w:lineRule="auto"/>
        <w:ind w:left="10" w:right="710" w:hanging="10"/>
        <w:jc w:val="right"/>
        <w:rPr>
          <w:rFonts w:hint="eastAsia" w:ascii="宋体" w:hAnsi="宋体" w:eastAsia="宋体" w:cs="宋体"/>
          <w:bCs/>
          <w:color w:val="auto"/>
          <w:sz w:val="21"/>
        </w:rPr>
      </w:pPr>
    </w:p>
    <w:p>
      <w:pPr>
        <w:spacing w:after="125" w:line="265" w:lineRule="auto"/>
        <w:ind w:left="10" w:right="710" w:hanging="10"/>
        <w:jc w:val="center"/>
        <w:rPr>
          <w:rFonts w:hint="eastAsia" w:ascii="黑体" w:hAnsi="黑体" w:eastAsia="黑体" w:cs="黑体"/>
          <w:bCs/>
          <w:color w:val="auto"/>
          <w:sz w:val="32"/>
        </w:rPr>
      </w:pPr>
      <w:r>
        <w:rPr>
          <w:rFonts w:hint="eastAsia" w:ascii="黑体" w:hAnsi="黑体" w:eastAsia="黑体" w:cs="黑体"/>
          <w:bCs/>
          <w:color w:val="auto"/>
          <w:sz w:val="32"/>
        </w:rPr>
        <w:t>现场述标演示人员授权书</w:t>
      </w:r>
    </w:p>
    <w:p>
      <w:pPr>
        <w:spacing w:after="181"/>
        <w:rPr>
          <w:bCs/>
          <w:color w:val="auto"/>
        </w:rPr>
      </w:pPr>
    </w:p>
    <w:p>
      <w:pPr>
        <w:spacing w:after="27" w:line="370" w:lineRule="auto"/>
        <w:ind w:left="-15" w:right="596" w:firstLine="410"/>
        <w:jc w:val="both"/>
        <w:rPr>
          <w:bCs/>
          <w:color w:val="auto"/>
        </w:rPr>
      </w:pPr>
      <w:r>
        <w:rPr>
          <w:rFonts w:ascii="宋体" w:hAnsi="宋体" w:eastAsia="宋体" w:cs="宋体"/>
          <w:bCs/>
          <w:color w:val="auto"/>
          <w:sz w:val="21"/>
        </w:rPr>
        <w:t>本人（姓名）系（投标人名称）的法定代表人（单位负责人），现委托（姓名）为我方代理人。代理人根据授权，以我方名义</w:t>
      </w:r>
      <w:r>
        <w:rPr>
          <w:rFonts w:hint="eastAsia" w:ascii="宋体" w:hAnsi="宋体" w:eastAsia="宋体" w:cs="宋体"/>
          <w:bCs/>
          <w:color w:val="auto"/>
          <w:sz w:val="21"/>
        </w:rPr>
        <w:t>进行演示述标</w:t>
      </w:r>
      <w:r>
        <w:rPr>
          <w:rFonts w:ascii="宋体" w:hAnsi="宋体" w:eastAsia="宋体" w:cs="宋体"/>
          <w:bCs/>
          <w:color w:val="auto"/>
          <w:sz w:val="21"/>
        </w:rPr>
        <w:t>和处理有关事宜，其法律后果由我方承担。</w:t>
      </w:r>
    </w:p>
    <w:p>
      <w:pPr>
        <w:spacing w:after="149" w:line="265" w:lineRule="auto"/>
        <w:ind w:left="-5" w:right="590" w:hanging="10"/>
        <w:rPr>
          <w:bCs/>
          <w:color w:val="auto"/>
        </w:rPr>
      </w:pPr>
      <w:r>
        <w:rPr>
          <w:rFonts w:ascii="宋体" w:hAnsi="宋体" w:eastAsia="宋体" w:cs="宋体"/>
          <w:bCs/>
          <w:color w:val="auto"/>
          <w:sz w:val="21"/>
        </w:rPr>
        <w:t>委托期限：</w:t>
      </w:r>
    </w:p>
    <w:p>
      <w:pPr>
        <w:spacing w:after="155" w:line="265" w:lineRule="auto"/>
        <w:ind w:left="430" w:right="590" w:hanging="10"/>
        <w:rPr>
          <w:rFonts w:hint="eastAsia" w:ascii="宋体" w:hAnsi="宋体" w:eastAsia="宋体" w:cs="宋体"/>
          <w:bCs/>
          <w:color w:val="auto"/>
          <w:sz w:val="21"/>
        </w:rPr>
      </w:pPr>
      <w:r>
        <w:rPr>
          <w:rFonts w:ascii="宋体" w:hAnsi="宋体" w:eastAsia="宋体" w:cs="宋体"/>
          <w:bCs/>
          <w:color w:val="auto"/>
          <w:sz w:val="21"/>
        </w:rPr>
        <w:t>代理人无转委托权。</w:t>
      </w:r>
    </w:p>
    <w:p>
      <w:pPr>
        <w:spacing w:after="155" w:line="265" w:lineRule="auto"/>
        <w:ind w:left="430" w:right="590" w:hanging="10"/>
        <w:rPr>
          <w:rFonts w:hint="eastAsia" w:ascii="宋体" w:hAnsi="宋体" w:eastAsia="宋体" w:cs="宋体"/>
          <w:bCs/>
          <w:color w:val="auto"/>
          <w:sz w:val="21"/>
        </w:rPr>
      </w:pPr>
    </w:p>
    <w:p>
      <w:pPr>
        <w:spacing w:after="155" w:line="265" w:lineRule="auto"/>
        <w:ind w:left="430" w:right="590" w:hanging="10"/>
        <w:rPr>
          <w:bCs/>
          <w:color w:val="auto"/>
        </w:rPr>
      </w:pPr>
      <w:r>
        <w:rPr>
          <w:rFonts w:hint="eastAsia" w:ascii="宋体" w:hAnsi="宋体" w:eastAsia="宋体" w:cs="宋体"/>
          <w:bCs/>
          <w:color w:val="auto"/>
          <w:sz w:val="21"/>
        </w:rPr>
        <w:t xml:space="preserve">委托有效期自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日起至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日止</w:t>
      </w:r>
    </w:p>
    <w:p>
      <w:pPr>
        <w:spacing w:after="182"/>
        <w:ind w:left="420"/>
        <w:rPr>
          <w:bCs/>
          <w:color w:val="auto"/>
        </w:rPr>
      </w:pPr>
    </w:p>
    <w:p>
      <w:pPr>
        <w:spacing w:after="153" w:line="265" w:lineRule="auto"/>
        <w:ind w:left="-5" w:right="590" w:hanging="10"/>
        <w:rPr>
          <w:bCs/>
          <w:color w:val="auto"/>
        </w:rPr>
      </w:pPr>
      <w:r>
        <w:rPr>
          <w:rFonts w:ascii="宋体" w:hAnsi="宋体" w:eastAsia="宋体" w:cs="宋体"/>
          <w:bCs/>
          <w:color w:val="auto"/>
          <w:sz w:val="21"/>
        </w:rPr>
        <w:t>附：法定代表人（单位负责人）身份证复印件及委托代理人身份证复印件</w:t>
      </w:r>
    </w:p>
    <w:p>
      <w:pPr>
        <w:spacing w:after="177"/>
        <w:rPr>
          <w:bCs/>
          <w:color w:val="auto"/>
        </w:rPr>
      </w:pPr>
    </w:p>
    <w:p>
      <w:pPr>
        <w:spacing w:after="5" w:line="389" w:lineRule="auto"/>
        <w:ind w:left="-5" w:right="590" w:hanging="10"/>
        <w:rPr>
          <w:bCs/>
          <w:color w:val="auto"/>
        </w:rPr>
      </w:pPr>
      <w:r>
        <w:rPr>
          <w:rFonts w:ascii="宋体" w:hAnsi="宋体" w:eastAsia="宋体" w:cs="宋体"/>
          <w:bCs/>
          <w:color w:val="auto"/>
          <w:sz w:val="21"/>
        </w:rPr>
        <w:t>注：本授权委托书需由投标人加盖单位公章并由其法定代表人（单位负责人）和委托代理人签字。</w:t>
      </w:r>
    </w:p>
    <w:p>
      <w:pPr>
        <w:spacing w:after="180"/>
        <w:rPr>
          <w:bCs/>
          <w:color w:val="auto"/>
        </w:rPr>
      </w:pPr>
    </w:p>
    <w:p>
      <w:pPr>
        <w:tabs>
          <w:tab w:val="center" w:pos="3325"/>
          <w:tab w:val="center" w:pos="4201"/>
          <w:tab w:val="center" w:pos="4621"/>
          <w:tab w:val="center" w:pos="6722"/>
        </w:tabs>
        <w:spacing w:after="150" w:line="265" w:lineRule="auto"/>
        <w:ind w:firstLine="2730" w:firstLineChars="1300"/>
        <w:rPr>
          <w:bCs/>
          <w:color w:val="auto"/>
        </w:rPr>
      </w:pPr>
      <w:r>
        <w:rPr>
          <w:rFonts w:ascii="宋体" w:hAnsi="宋体" w:eastAsia="宋体" w:cs="宋体"/>
          <w:bCs/>
          <w:color w:val="auto"/>
          <w:sz w:val="21"/>
        </w:rPr>
        <w:t>投标人：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（单位公章）</w:t>
      </w:r>
    </w:p>
    <w:p>
      <w:pPr>
        <w:spacing w:after="180"/>
        <w:ind w:left="2693"/>
        <w:rPr>
          <w:bCs/>
          <w:color w:val="auto"/>
        </w:rPr>
      </w:pPr>
    </w:p>
    <w:p>
      <w:pPr>
        <w:tabs>
          <w:tab w:val="center" w:pos="4004"/>
          <w:tab w:val="center" w:pos="5881"/>
          <w:tab w:val="center" w:pos="6301"/>
          <w:tab w:val="center" w:pos="7982"/>
        </w:tabs>
        <w:spacing w:after="157" w:line="265" w:lineRule="auto"/>
        <w:rPr>
          <w:bCs/>
          <w:color w:val="auto"/>
        </w:rPr>
      </w:pPr>
      <w:r>
        <w:rPr>
          <w:bCs/>
          <w:color w:val="auto"/>
        </w:rPr>
        <w:tab/>
      </w:r>
      <w:r>
        <w:rPr>
          <w:rFonts w:ascii="宋体" w:hAnsi="宋体" w:eastAsia="宋体" w:cs="宋体"/>
          <w:bCs/>
          <w:color w:val="auto"/>
          <w:sz w:val="21"/>
        </w:rPr>
        <w:t>法定代表人（单位负责人）：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（签字或盖章）</w:t>
      </w:r>
    </w:p>
    <w:p>
      <w:pPr>
        <w:spacing w:after="177"/>
        <w:ind w:left="2693"/>
        <w:rPr>
          <w:bCs/>
          <w:color w:val="auto"/>
        </w:rPr>
      </w:pPr>
    </w:p>
    <w:p>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pPr>
        <w:spacing w:after="180"/>
        <w:ind w:left="2693"/>
        <w:rPr>
          <w:bCs/>
          <w:color w:val="auto"/>
        </w:rPr>
      </w:pPr>
    </w:p>
    <w:p>
      <w:pPr>
        <w:tabs>
          <w:tab w:val="center" w:pos="3325"/>
          <w:tab w:val="center" w:pos="4201"/>
          <w:tab w:val="center" w:pos="4621"/>
          <w:tab w:val="center" w:pos="6722"/>
        </w:tabs>
        <w:spacing w:after="150" w:line="265" w:lineRule="auto"/>
        <w:rPr>
          <w:bCs/>
          <w:color w:val="auto"/>
        </w:rPr>
      </w:pPr>
      <w:r>
        <w:rPr>
          <w:bCs/>
          <w:color w:val="auto"/>
        </w:rPr>
        <w:tab/>
      </w:r>
      <w:r>
        <w:rPr>
          <w:rFonts w:ascii="宋体" w:hAnsi="宋体" w:eastAsia="宋体" w:cs="宋体"/>
          <w:bCs/>
          <w:color w:val="auto"/>
          <w:sz w:val="21"/>
        </w:rPr>
        <w:t>委托代理人：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w:t>
      </w:r>
    </w:p>
    <w:p>
      <w:pPr>
        <w:spacing w:after="177"/>
        <w:ind w:left="2693"/>
        <w:rPr>
          <w:bCs/>
          <w:color w:val="auto"/>
        </w:rPr>
      </w:pPr>
    </w:p>
    <w:p>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pPr>
        <w:spacing w:after="175"/>
        <w:ind w:left="2693"/>
        <w:rPr>
          <w:bCs/>
          <w:color w:val="auto"/>
        </w:rPr>
      </w:pPr>
    </w:p>
    <w:p>
      <w:pPr>
        <w:spacing w:after="176"/>
        <w:ind w:left="2693"/>
        <w:rPr>
          <w:bCs/>
          <w:color w:val="auto"/>
        </w:rPr>
      </w:pPr>
    </w:p>
    <w:p>
      <w:pPr>
        <w:spacing w:after="125" w:line="265" w:lineRule="auto"/>
        <w:ind w:left="10" w:right="710" w:hanging="10"/>
        <w:jc w:val="right"/>
        <w:rPr>
          <w:rFonts w:hint="eastAsia" w:ascii="宋体" w:hAnsi="宋体" w:eastAsia="宋体" w:cs="宋体"/>
          <w:bCs/>
          <w:color w:val="auto"/>
          <w:sz w:val="21"/>
        </w:rPr>
      </w:pPr>
      <w:r>
        <w:rPr>
          <w:rFonts w:ascii="宋体" w:hAnsi="宋体" w:eastAsia="宋体" w:cs="宋体"/>
          <w:bCs/>
          <w:color w:val="auto"/>
          <w:sz w:val="21"/>
        </w:rPr>
        <w:t>年</w:t>
      </w:r>
      <w:r>
        <w:rPr>
          <w:rFonts w:hint="eastAsia" w:ascii="宋体" w:hAnsi="宋体" w:eastAsia="宋体" w:cs="宋体"/>
          <w:bCs/>
          <w:color w:val="auto"/>
          <w:sz w:val="21"/>
        </w:rPr>
        <w:t xml:space="preserve">   </w:t>
      </w:r>
      <w:r>
        <w:rPr>
          <w:rFonts w:ascii="宋体" w:hAnsi="宋体" w:eastAsia="宋体" w:cs="宋体"/>
          <w:bCs/>
          <w:color w:val="auto"/>
          <w:sz w:val="21"/>
        </w:rPr>
        <w:t>月</w:t>
      </w:r>
      <w:r>
        <w:rPr>
          <w:rFonts w:hint="eastAsia" w:ascii="宋体" w:hAnsi="宋体" w:eastAsia="宋体" w:cs="宋体"/>
          <w:bCs/>
          <w:color w:val="auto"/>
          <w:sz w:val="21"/>
        </w:rPr>
        <w:t xml:space="preserve">   </w:t>
      </w:r>
      <w:r>
        <w:rPr>
          <w:rFonts w:ascii="宋体" w:hAnsi="宋体" w:eastAsia="宋体" w:cs="宋体"/>
          <w:bCs/>
          <w:color w:val="auto"/>
          <w:sz w:val="21"/>
        </w:rPr>
        <w:t>日</w:t>
      </w:r>
    </w:p>
    <w:p>
      <w:pPr>
        <w:spacing w:after="125" w:line="265" w:lineRule="auto"/>
        <w:ind w:left="10" w:right="710" w:hanging="10"/>
        <w:jc w:val="right"/>
        <w:rPr>
          <w:rFonts w:hint="eastAsia" w:ascii="宋体" w:hAnsi="宋体" w:eastAsia="宋体" w:cs="宋体"/>
          <w:bCs/>
          <w:color w:val="auto"/>
          <w:sz w:val="21"/>
        </w:rPr>
      </w:pPr>
    </w:p>
    <w:p>
      <w:pPr>
        <w:spacing w:after="125" w:line="265" w:lineRule="auto"/>
        <w:ind w:left="10" w:right="710" w:hanging="10"/>
        <w:jc w:val="right"/>
        <w:rPr>
          <w:rFonts w:hint="eastAsia" w:ascii="宋体" w:hAnsi="宋体" w:eastAsia="宋体" w:cs="宋体"/>
          <w:bCs/>
          <w:color w:val="auto"/>
          <w:sz w:val="21"/>
        </w:rPr>
      </w:pPr>
    </w:p>
    <w:p>
      <w:pPr>
        <w:spacing w:after="125" w:line="265" w:lineRule="auto"/>
        <w:ind w:left="10" w:right="710" w:hanging="10"/>
        <w:jc w:val="right"/>
        <w:rPr>
          <w:bCs/>
          <w:color w:val="auto"/>
        </w:rPr>
      </w:pPr>
    </w:p>
    <w:p>
      <w:pPr>
        <w:spacing w:after="0"/>
        <w:ind w:right="648"/>
        <w:jc w:val="right"/>
        <w:rPr>
          <w:bCs/>
          <w:color w:val="auto"/>
        </w:rPr>
      </w:pPr>
    </w:p>
    <w:p>
      <w:pPr>
        <w:pStyle w:val="3"/>
        <w:spacing w:after="575"/>
        <w:ind w:right="707"/>
        <w:jc w:val="center"/>
        <w:rPr>
          <w:rFonts w:hint="eastAsia"/>
          <w:bCs/>
          <w:color w:val="auto"/>
        </w:rPr>
      </w:pPr>
      <w:bookmarkStart w:id="179" w:name="_Toc195390926"/>
      <w:r>
        <w:rPr>
          <w:rFonts w:hint="eastAsia"/>
          <w:bCs/>
          <w:color w:val="auto"/>
        </w:rPr>
        <w:t>五</w:t>
      </w:r>
      <w:r>
        <w:rPr>
          <w:bCs/>
          <w:color w:val="auto"/>
        </w:rPr>
        <w:t>、联合体协议书</w:t>
      </w:r>
      <w:bookmarkEnd w:id="179"/>
    </w:p>
    <w:p>
      <w:pPr>
        <w:spacing w:after="156" w:line="265" w:lineRule="auto"/>
        <w:ind w:left="430" w:right="590" w:firstLine="420" w:firstLineChars="200"/>
        <w:rPr>
          <w:bCs/>
          <w:color w:val="auto"/>
        </w:rPr>
      </w:pPr>
      <w:r>
        <w:rPr>
          <w:rFonts w:ascii="宋体" w:hAnsi="宋体" w:eastAsia="宋体" w:cs="宋体"/>
          <w:bCs/>
          <w:color w:val="auto"/>
          <w:sz w:val="21"/>
        </w:rPr>
        <w:t>（所有成员单位名称）自愿组成（联合体名称）联合体，共同参加（项目名称）设备采购招标项目投标。现就联合体投标事宜订立如下协议。</w:t>
      </w:r>
    </w:p>
    <w:p>
      <w:pPr>
        <w:numPr>
          <w:ilvl w:val="0"/>
          <w:numId w:val="97"/>
        </w:numPr>
        <w:spacing w:after="153" w:line="265" w:lineRule="auto"/>
        <w:ind w:right="590" w:firstLine="420"/>
        <w:rPr>
          <w:bCs/>
          <w:color w:val="auto"/>
        </w:rPr>
      </w:pPr>
      <w:r>
        <w:rPr>
          <w:rFonts w:ascii="宋体" w:hAnsi="宋体" w:eastAsia="宋体" w:cs="宋体"/>
          <w:bCs/>
          <w:color w:val="auto"/>
          <w:sz w:val="21"/>
        </w:rPr>
        <w:t>（某成员单位名称）为（联合体名称）牵头人。</w:t>
      </w:r>
    </w:p>
    <w:p>
      <w:pPr>
        <w:numPr>
          <w:ilvl w:val="0"/>
          <w:numId w:val="97"/>
        </w:numPr>
        <w:spacing w:after="155" w:line="265" w:lineRule="auto"/>
        <w:ind w:right="590" w:firstLine="420"/>
        <w:rPr>
          <w:bCs/>
          <w:color w:val="auto"/>
        </w:rPr>
      </w:pPr>
      <w:r>
        <w:rPr>
          <w:rFonts w:ascii="宋体" w:hAnsi="宋体" w:eastAsia="宋体" w:cs="宋体"/>
          <w:bCs/>
          <w:color w:val="auto"/>
          <w:sz w:val="21"/>
        </w:rPr>
        <w:t>联合体各成员授权牵头人代表联合体参加投标活动，签署文件，提交和接收相关的资料、信息及指示，进行合同谈判活动，负责合同实施阶段的组织和协调工作，以及处理与本招标项目有关的一切事宜。</w:t>
      </w:r>
    </w:p>
    <w:p>
      <w:pPr>
        <w:numPr>
          <w:ilvl w:val="0"/>
          <w:numId w:val="97"/>
        </w:numPr>
        <w:spacing w:after="155" w:line="265" w:lineRule="auto"/>
        <w:ind w:right="590" w:firstLine="420"/>
        <w:rPr>
          <w:bCs/>
          <w:color w:val="auto"/>
        </w:rPr>
      </w:pPr>
      <w:r>
        <w:rPr>
          <w:rFonts w:ascii="宋体" w:hAnsi="宋体" w:eastAsia="宋体" w:cs="宋体"/>
          <w:bCs/>
          <w:color w:val="auto"/>
          <w:sz w:val="21"/>
        </w:rPr>
        <w:t>联合体牵头人在本项目中签署的一切文件和处理的一切事宜，联合体各成员均予以承认。联合体各成员将严格按照招标文件、投标文件和合同的要求全面履行义务，并向招标人承担连带责任。</w:t>
      </w:r>
    </w:p>
    <w:p>
      <w:pPr>
        <w:numPr>
          <w:ilvl w:val="0"/>
          <w:numId w:val="97"/>
        </w:numPr>
        <w:spacing w:after="154" w:line="265" w:lineRule="auto"/>
        <w:ind w:right="590" w:firstLine="420"/>
        <w:rPr>
          <w:bCs/>
          <w:color w:val="auto"/>
        </w:rPr>
      </w:pPr>
      <w:r>
        <w:rPr>
          <w:rFonts w:ascii="宋体" w:hAnsi="宋体" w:eastAsia="宋体" w:cs="宋体"/>
          <w:bCs/>
          <w:color w:val="auto"/>
          <w:sz w:val="21"/>
        </w:rPr>
        <w:t>联合体各成员单位内部的职责分工如下：。</w:t>
      </w:r>
    </w:p>
    <w:p>
      <w:pPr>
        <w:numPr>
          <w:ilvl w:val="0"/>
          <w:numId w:val="97"/>
        </w:numPr>
        <w:spacing w:after="5" w:line="403" w:lineRule="auto"/>
        <w:ind w:right="590" w:firstLine="420"/>
        <w:rPr>
          <w:bCs/>
          <w:color w:val="auto"/>
        </w:rPr>
      </w:pPr>
      <w:r>
        <w:rPr>
          <w:rFonts w:ascii="宋体" w:hAnsi="宋体" w:eastAsia="宋体" w:cs="宋体"/>
          <w:bCs/>
          <w:color w:val="auto"/>
          <w:sz w:val="21"/>
        </w:rPr>
        <w:t>本协议书自所有成员单位法定代表人（单位负责人）或其委托代理人签字或盖单位章之日起生效，合同履行完毕后自动失效。</w:t>
      </w:r>
    </w:p>
    <w:p>
      <w:pPr>
        <w:numPr>
          <w:ilvl w:val="0"/>
          <w:numId w:val="97"/>
        </w:numPr>
        <w:spacing w:after="154" w:line="265" w:lineRule="auto"/>
        <w:ind w:right="590" w:firstLine="420"/>
        <w:rPr>
          <w:bCs/>
          <w:color w:val="auto"/>
        </w:rPr>
      </w:pPr>
      <w:r>
        <w:rPr>
          <w:rFonts w:ascii="宋体" w:hAnsi="宋体" w:eastAsia="宋体" w:cs="宋体"/>
          <w:bCs/>
          <w:color w:val="auto"/>
          <w:sz w:val="21"/>
        </w:rPr>
        <w:t>本协议书一式份，联合体成员和招标人各执一份。</w:t>
      </w:r>
    </w:p>
    <w:p>
      <w:pPr>
        <w:spacing w:after="175"/>
        <w:ind w:left="420"/>
        <w:rPr>
          <w:bCs/>
          <w:color w:val="auto"/>
        </w:rPr>
      </w:pPr>
    </w:p>
    <w:p>
      <w:pPr>
        <w:spacing w:after="144" w:line="265" w:lineRule="auto"/>
        <w:ind w:left="430" w:right="590" w:hanging="10"/>
        <w:rPr>
          <w:bCs/>
          <w:color w:val="auto"/>
        </w:rPr>
      </w:pPr>
      <w:r>
        <w:rPr>
          <w:rFonts w:ascii="宋体" w:hAnsi="宋体" w:eastAsia="宋体" w:cs="宋体"/>
          <w:bCs/>
          <w:color w:val="auto"/>
          <w:sz w:val="21"/>
        </w:rPr>
        <w:t>注：本协议书由法定代表人（单位负责人）签字的，应附法定代表人（单位负责人）身份</w:t>
      </w:r>
    </w:p>
    <w:p>
      <w:pPr>
        <w:spacing w:after="155" w:line="265" w:lineRule="auto"/>
        <w:ind w:left="-5" w:right="590" w:hanging="10"/>
        <w:rPr>
          <w:bCs/>
          <w:color w:val="auto"/>
        </w:rPr>
      </w:pPr>
      <w:r>
        <w:rPr>
          <w:rFonts w:ascii="宋体" w:hAnsi="宋体" w:eastAsia="宋体" w:cs="宋体"/>
          <w:bCs/>
          <w:color w:val="auto"/>
          <w:sz w:val="21"/>
        </w:rPr>
        <w:t>证明；由委托代理人签字的，应附授权委托书。</w:t>
      </w:r>
    </w:p>
    <w:p>
      <w:pPr>
        <w:spacing w:after="179"/>
        <w:rPr>
          <w:bCs/>
          <w:color w:val="auto"/>
        </w:rPr>
      </w:pPr>
    </w:p>
    <w:p>
      <w:pPr>
        <w:spacing w:after="5" w:line="398" w:lineRule="auto"/>
        <w:ind w:right="590"/>
        <w:rPr>
          <w:bCs/>
          <w:color w:val="auto"/>
        </w:rPr>
      </w:pPr>
      <w:r>
        <w:rPr>
          <w:rFonts w:ascii="宋体" w:hAnsi="宋体" w:eastAsia="宋体" w:cs="宋体"/>
          <w:bCs/>
          <w:color w:val="auto"/>
          <w:sz w:val="21"/>
        </w:rPr>
        <w:t>联合体牵头人名称：（盖单位章）法定代表人（单位负责人）或其委托代理人：（签字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pPr>
        <w:spacing w:after="178"/>
        <w:rPr>
          <w:bCs/>
          <w:color w:val="auto"/>
        </w:rPr>
      </w:pPr>
      <w:r>
        <w:rPr>
          <w:rFonts w:ascii="宋体" w:hAnsi="宋体" w:eastAsia="宋体" w:cs="宋体"/>
          <w:bCs/>
          <w:color w:val="auto"/>
          <w:sz w:val="21"/>
        </w:rPr>
        <w:t>联合体成员名称：（盖单位章）法定代表人（单位负责人）或其委托代理人：（签字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pPr>
        <w:spacing w:after="178"/>
        <w:rPr>
          <w:bCs/>
          <w:color w:val="auto"/>
        </w:rPr>
      </w:pPr>
      <w:r>
        <w:rPr>
          <w:rFonts w:ascii="宋体" w:hAnsi="宋体" w:eastAsia="宋体" w:cs="宋体"/>
          <w:bCs/>
          <w:color w:val="auto"/>
          <w:sz w:val="21"/>
        </w:rPr>
        <w:t>联合体成员名称：（盖单位章）法定代表人（单位负责人）或其委托代理人：（签字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pPr>
        <w:spacing w:after="176"/>
        <w:rPr>
          <w:bCs/>
          <w:color w:val="auto"/>
        </w:rPr>
      </w:pPr>
      <w:r>
        <w:rPr>
          <w:rFonts w:ascii="Times New Roman" w:hAnsi="Times New Roman" w:eastAsia="Times New Roman" w:cs="Times New Roman"/>
          <w:bCs/>
          <w:color w:val="auto"/>
          <w:sz w:val="21"/>
        </w:rPr>
        <w:t xml:space="preserve">……  </w:t>
      </w:r>
    </w:p>
    <w:p>
      <w:pPr>
        <w:tabs>
          <w:tab w:val="center" w:pos="5120"/>
          <w:tab w:val="center" w:pos="9417"/>
        </w:tabs>
        <w:spacing w:after="125" w:line="265" w:lineRule="auto"/>
        <w:rPr>
          <w:b/>
          <w:color w:val="auto"/>
        </w:rPr>
      </w:pPr>
      <w:r>
        <w:rPr>
          <w:b/>
          <w:color w:val="auto"/>
        </w:rPr>
        <w:tab/>
      </w:r>
      <w:r>
        <w:rPr>
          <w:b/>
          <w:color w:val="auto"/>
        </w:rPr>
        <w:t xml:space="preserve">                                                                       </w:t>
      </w:r>
      <w:r>
        <w:rPr>
          <w:rFonts w:ascii="宋体" w:hAnsi="宋体" w:eastAsia="宋体" w:cs="宋体"/>
          <w:b/>
          <w:color w:val="auto"/>
          <w:sz w:val="21"/>
        </w:rPr>
        <w:t>年</w:t>
      </w:r>
      <w:r>
        <w:rPr>
          <w:rFonts w:hint="eastAsia" w:ascii="宋体" w:hAnsi="宋体" w:eastAsia="宋体" w:cs="宋体"/>
          <w:b/>
          <w:color w:val="auto"/>
          <w:sz w:val="21"/>
        </w:rPr>
        <w:t xml:space="preserve"> </w:t>
      </w:r>
      <w:r>
        <w:rPr>
          <w:rFonts w:ascii="宋体" w:hAnsi="宋体" w:eastAsia="宋体" w:cs="宋体"/>
          <w:b/>
          <w:color w:val="auto"/>
          <w:sz w:val="21"/>
        </w:rPr>
        <w:t xml:space="preserve"> 月</w:t>
      </w:r>
      <w:r>
        <w:rPr>
          <w:rFonts w:hint="eastAsia" w:ascii="宋体" w:hAnsi="宋体" w:eastAsia="宋体" w:cs="宋体"/>
          <w:b/>
          <w:color w:val="auto"/>
          <w:sz w:val="21"/>
        </w:rPr>
        <w:t xml:space="preserve"> </w:t>
      </w:r>
      <w:r>
        <w:rPr>
          <w:rFonts w:ascii="宋体" w:hAnsi="宋体" w:eastAsia="宋体" w:cs="宋体"/>
          <w:b/>
          <w:color w:val="auto"/>
          <w:sz w:val="21"/>
        </w:rPr>
        <w:t xml:space="preserve"> 日</w:t>
      </w:r>
      <w:r>
        <w:rPr>
          <w:rFonts w:ascii="Times New Roman" w:hAnsi="Times New Roman" w:eastAsia="Times New Roman" w:cs="Times New Roman"/>
          <w:b/>
          <w:color w:val="auto"/>
          <w:sz w:val="21"/>
        </w:rPr>
        <w:tab/>
      </w:r>
    </w:p>
    <w:p>
      <w:pPr>
        <w:spacing w:after="0" w:line="240" w:lineRule="auto"/>
        <w:rPr>
          <w:rFonts w:hint="eastAsia" w:ascii="黑体" w:hAnsi="黑体" w:eastAsia="黑体" w:cs="黑体"/>
          <w:b/>
          <w:color w:val="auto"/>
          <w:sz w:val="32"/>
        </w:rPr>
      </w:pPr>
      <w:r>
        <w:rPr>
          <w:b/>
          <w:color w:val="auto"/>
        </w:rPr>
        <w:br w:type="page"/>
      </w:r>
    </w:p>
    <w:p>
      <w:pPr>
        <w:pStyle w:val="3"/>
        <w:spacing w:after="550"/>
        <w:ind w:right="704"/>
        <w:jc w:val="center"/>
        <w:rPr>
          <w:rFonts w:hint="eastAsia"/>
          <w:bCs/>
          <w:color w:val="auto"/>
        </w:rPr>
      </w:pPr>
      <w:bookmarkStart w:id="180" w:name="_Toc195390927"/>
      <w:r>
        <w:rPr>
          <w:rFonts w:hint="eastAsia"/>
          <w:bCs/>
          <w:color w:val="auto"/>
        </w:rPr>
        <w:t>六</w:t>
      </w:r>
      <w:r>
        <w:rPr>
          <w:bCs/>
          <w:color w:val="auto"/>
        </w:rPr>
        <w:t>、投标保证金</w:t>
      </w:r>
      <w:bookmarkEnd w:id="180"/>
    </w:p>
    <w:p>
      <w:pPr>
        <w:spacing w:after="175"/>
        <w:ind w:right="1068"/>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注：</w:t>
      </w:r>
      <w:r>
        <w:rPr>
          <w:rFonts w:cs="宋体" w:asciiTheme="minorEastAsia" w:hAnsiTheme="minorEastAsia" w:eastAsiaTheme="minorEastAsia"/>
          <w:bCs/>
          <w:color w:val="auto"/>
          <w:sz w:val="24"/>
          <w:szCs w:val="24"/>
        </w:rPr>
        <w:t xml:space="preserve"> </w:t>
      </w:r>
    </w:p>
    <w:p>
      <w:pPr>
        <w:pStyle w:val="37"/>
        <w:widowControl w:val="0"/>
        <w:numPr>
          <w:ilvl w:val="0"/>
          <w:numId w:val="98"/>
        </w:numPr>
        <w:tabs>
          <w:tab w:val="left" w:pos="1134"/>
        </w:tabs>
        <w:spacing w:line="360" w:lineRule="auto"/>
        <w:ind w:left="0" w:firstLine="482"/>
        <w:jc w:val="both"/>
        <w:rPr>
          <w:rFonts w:hint="eastAsia" w:ascii="仿宋" w:hAnsi="仿宋" w:eastAsia="仿宋"/>
          <w:sz w:val="24"/>
          <w:szCs w:val="24"/>
        </w:rPr>
      </w:pPr>
      <w:r>
        <w:rPr>
          <w:rFonts w:hint="eastAsia" w:ascii="仿宋" w:hAnsi="仿宋" w:eastAsia="仿宋"/>
          <w:b/>
          <w:color w:val="FF0000"/>
          <w:sz w:val="24"/>
          <w:szCs w:val="24"/>
        </w:rPr>
        <w:t>投标人须在投标文件中提供中国人民银行或其分支机构出具的银行基本账户开户许可证；或具有企业基本存款账户开户行名称、账号和编号的说明文件；或相关银行出具的能够证明其银行基本账号的有效说明文件</w:t>
      </w:r>
      <w:r>
        <w:rPr>
          <w:rFonts w:hint="eastAsia" w:ascii="仿宋" w:hAnsi="仿宋" w:eastAsia="仿宋"/>
          <w:sz w:val="24"/>
          <w:szCs w:val="24"/>
        </w:rPr>
        <w:t>；</w:t>
      </w:r>
    </w:p>
    <w:p>
      <w:pPr>
        <w:pStyle w:val="37"/>
        <w:widowControl w:val="0"/>
        <w:numPr>
          <w:ilvl w:val="0"/>
          <w:numId w:val="98"/>
        </w:numPr>
        <w:tabs>
          <w:tab w:val="left" w:pos="1134"/>
        </w:tabs>
        <w:spacing w:line="360" w:lineRule="auto"/>
        <w:ind w:left="0" w:firstLine="480"/>
        <w:jc w:val="both"/>
        <w:rPr>
          <w:rFonts w:hint="eastAsia" w:ascii="仿宋" w:hAnsi="仿宋" w:eastAsia="仿宋"/>
          <w:sz w:val="24"/>
          <w:szCs w:val="24"/>
        </w:rPr>
      </w:pPr>
      <w:r>
        <w:rPr>
          <w:rFonts w:hint="eastAsia" w:ascii="仿宋" w:hAnsi="仿宋" w:eastAsia="仿宋"/>
          <w:sz w:val="24"/>
          <w:szCs w:val="24"/>
        </w:rPr>
        <w:t>投标保证金电汇回执扫描件（投标人须以单位名义，</w:t>
      </w:r>
      <w:r>
        <w:rPr>
          <w:rFonts w:hint="eastAsia" w:ascii="仿宋" w:hAnsi="仿宋" w:eastAsia="仿宋"/>
          <w:b/>
          <w:sz w:val="24"/>
          <w:szCs w:val="24"/>
        </w:rPr>
        <w:t>在投标截止时间前</w:t>
      </w:r>
      <w:r>
        <w:rPr>
          <w:rFonts w:hint="eastAsia" w:ascii="仿宋" w:hAnsi="仿宋" w:eastAsia="仿宋"/>
          <w:sz w:val="24"/>
          <w:szCs w:val="24"/>
        </w:rPr>
        <w:t>从投标人的基本账户转账至招标代理机构投标保证金收款账户，招标代理机构不接受投标人以外的其他单位或个人代交的投标保证金，否则投标将被否决）。</w:t>
      </w:r>
    </w:p>
    <w:p>
      <w:pPr>
        <w:pStyle w:val="37"/>
        <w:widowControl w:val="0"/>
        <w:numPr>
          <w:ilvl w:val="0"/>
          <w:numId w:val="98"/>
        </w:numPr>
        <w:tabs>
          <w:tab w:val="left" w:pos="1134"/>
        </w:tabs>
        <w:spacing w:line="360" w:lineRule="auto"/>
        <w:ind w:left="0" w:firstLine="480"/>
        <w:jc w:val="both"/>
        <w:rPr>
          <w:rFonts w:hint="eastAsia" w:ascii="仿宋" w:hAnsi="仿宋" w:eastAsia="仿宋"/>
          <w:sz w:val="24"/>
          <w:szCs w:val="24"/>
        </w:rPr>
      </w:pPr>
      <w:r>
        <w:rPr>
          <w:rFonts w:hint="eastAsia" w:ascii="仿宋" w:hAnsi="仿宋" w:eastAsia="仿宋"/>
          <w:sz w:val="24"/>
          <w:szCs w:val="24"/>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d.投标人应当提供有效的银行保函验真方式，若未提供则评标委员会有权通过银行官方渠道进行查询核验;e.银行保函应当为银行直接向投标人开具的。</w:t>
      </w:r>
    </w:p>
    <w:p>
      <w:pPr>
        <w:pStyle w:val="37"/>
        <w:widowControl w:val="0"/>
        <w:tabs>
          <w:tab w:val="left" w:pos="1134"/>
        </w:tabs>
        <w:spacing w:line="360" w:lineRule="auto"/>
        <w:ind w:left="560" w:firstLine="0" w:firstLineChars="0"/>
        <w:jc w:val="both"/>
        <w:rPr>
          <w:rFonts w:hint="eastAsia" w:ascii="仿宋" w:hAnsi="仿宋" w:eastAsia="仿宋"/>
          <w:sz w:val="28"/>
          <w:szCs w:val="28"/>
        </w:rPr>
      </w:pPr>
    </w:p>
    <w:p>
      <w:pPr>
        <w:spacing w:after="175"/>
        <w:ind w:right="1068"/>
        <w:rPr>
          <w:bCs/>
          <w:color w:val="auto"/>
        </w:rPr>
      </w:pPr>
    </w:p>
    <w:p>
      <w:pPr>
        <w:spacing w:after="0"/>
        <w:ind w:left="2160"/>
        <w:rPr>
          <w:b/>
          <w:color w:val="auto"/>
        </w:rPr>
      </w:pPr>
    </w:p>
    <w:p>
      <w:pPr>
        <w:pStyle w:val="3"/>
        <w:spacing w:after="153"/>
        <w:ind w:right="707"/>
        <w:jc w:val="center"/>
        <w:rPr>
          <w:rFonts w:hint="eastAsia"/>
          <w:b/>
          <w:color w:val="auto"/>
        </w:rPr>
        <w:sectPr>
          <w:pgSz w:w="12240" w:h="15840"/>
          <w:pgMar w:top="1445" w:right="1097" w:bottom="1466" w:left="1800" w:header="720" w:footer="720" w:gutter="0"/>
          <w:cols w:space="720" w:num="1"/>
        </w:sectPr>
      </w:pPr>
    </w:p>
    <w:p>
      <w:pPr>
        <w:pStyle w:val="3"/>
        <w:spacing w:after="153"/>
        <w:ind w:right="707"/>
        <w:jc w:val="center"/>
        <w:rPr>
          <w:rFonts w:hint="eastAsia"/>
          <w:bCs/>
          <w:color w:val="auto"/>
        </w:rPr>
      </w:pPr>
      <w:bookmarkStart w:id="181" w:name="_Toc195390928"/>
      <w:r>
        <w:rPr>
          <w:rFonts w:hint="eastAsia"/>
          <w:bCs/>
          <w:color w:val="auto"/>
        </w:rPr>
        <w:t>七</w:t>
      </w:r>
      <w:r>
        <w:rPr>
          <w:bCs/>
          <w:color w:val="auto"/>
        </w:rPr>
        <w:t>、商务偏差表</w:t>
      </w:r>
      <w:bookmarkEnd w:id="181"/>
    </w:p>
    <w:tbl>
      <w:tblPr>
        <w:tblStyle w:val="38"/>
        <w:tblW w:w="9628" w:type="dxa"/>
        <w:jc w:val="center"/>
        <w:tblLayout w:type="fixed"/>
        <w:tblCellMar>
          <w:top w:w="0" w:type="dxa"/>
          <w:left w:w="250" w:type="dxa"/>
          <w:bottom w:w="10" w:type="dxa"/>
          <w:right w:w="115" w:type="dxa"/>
        </w:tblCellMar>
      </w:tblPr>
      <w:tblGrid>
        <w:gridCol w:w="927"/>
        <w:gridCol w:w="1666"/>
        <w:gridCol w:w="3771"/>
        <w:gridCol w:w="1681"/>
        <w:gridCol w:w="1583"/>
      </w:tblGrid>
      <w:tr>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jc w:val="center"/>
              <w:rPr>
                <w:rFonts w:hint="eastAsia" w:ascii="宋体" w:hAnsi="宋体" w:eastAsia="宋体"/>
                <w:bCs/>
                <w:color w:val="auto"/>
              </w:rPr>
            </w:pPr>
            <w:r>
              <w:rPr>
                <w:rFonts w:ascii="宋体" w:hAnsi="宋体" w:eastAsia="宋体" w:cs="宋体"/>
                <w:bCs/>
                <w:color w:val="auto"/>
                <w:sz w:val="21"/>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left="41"/>
              <w:jc w:val="center"/>
              <w:rPr>
                <w:rFonts w:hint="eastAsia" w:ascii="宋体" w:hAnsi="宋体" w:eastAsia="宋体"/>
                <w:bCs/>
                <w:color w:val="auto"/>
              </w:rPr>
            </w:pPr>
            <w:r>
              <w:rPr>
                <w:rFonts w:ascii="宋体" w:hAnsi="宋体" w:eastAsia="宋体" w:cs="宋体"/>
                <w:bCs/>
                <w:color w:val="auto"/>
                <w:sz w:val="21"/>
              </w:rPr>
              <w:t>招标文件章节及条款号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jc w:val="center"/>
              <w:rPr>
                <w:rFonts w:hint="eastAsia" w:ascii="宋体" w:hAnsi="宋体" w:eastAsia="宋体"/>
                <w:bCs/>
                <w:color w:val="auto"/>
              </w:rPr>
            </w:pPr>
            <w:r>
              <w:rPr>
                <w:rFonts w:ascii="宋体" w:hAnsi="宋体" w:eastAsia="宋体" w:cs="宋体"/>
                <w:bCs/>
                <w:color w:val="auto"/>
                <w:sz w:val="21"/>
              </w:rPr>
              <w:t>招标文件</w:t>
            </w:r>
            <w:r>
              <w:rPr>
                <w:rFonts w:hint="eastAsia" w:ascii="宋体" w:hAnsi="宋体" w:eastAsia="宋体" w:cs="宋体"/>
                <w:bCs/>
                <w:color w:val="auto"/>
                <w:sz w:val="21"/>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jc w:val="center"/>
              <w:rPr>
                <w:rFonts w:hint="eastAsia" w:ascii="宋体" w:hAnsi="宋体" w:eastAsia="宋体" w:cs="宋体"/>
                <w:bCs/>
                <w:color w:val="auto"/>
                <w:sz w:val="21"/>
              </w:rPr>
            </w:pPr>
            <w:r>
              <w:rPr>
                <w:rFonts w:hint="eastAsia" w:ascii="宋体" w:hAnsi="宋体" w:eastAsia="宋体" w:cs="宋体"/>
                <w:bCs/>
                <w:color w:val="auto"/>
                <w:sz w:val="21"/>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3"/>
              <w:jc w:val="center"/>
              <w:rPr>
                <w:rFonts w:hint="eastAsia" w:ascii="宋体" w:hAnsi="宋体" w:eastAsia="宋体"/>
                <w:bCs/>
                <w:color w:val="auto"/>
              </w:rPr>
            </w:pPr>
            <w:r>
              <w:rPr>
                <w:rFonts w:ascii="宋体" w:hAnsi="宋体" w:eastAsia="宋体" w:cs="宋体"/>
                <w:bCs/>
                <w:color w:val="auto"/>
                <w:sz w:val="21"/>
              </w:rPr>
              <w:t>偏差说明</w:t>
            </w:r>
          </w:p>
        </w:tc>
      </w:tr>
      <w:tr>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9"/>
              <w:rPr>
                <w:rFonts w:hint="eastAsia" w:ascii="宋体" w:hAnsi="宋体" w:eastAsia="宋体"/>
                <w:bCs/>
                <w:color w:val="auto"/>
              </w:rPr>
            </w:pPr>
            <w:r>
              <w:rPr>
                <w:rFonts w:ascii="宋体" w:hAnsi="宋体" w:eastAsia="宋体" w:cs="Times New Roman"/>
                <w:bCs/>
                <w:color w:val="auto"/>
                <w:sz w:val="21"/>
              </w:rPr>
              <w:t>1</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rPr>
                <w:rFonts w:hint="eastAsia" w:ascii="宋体" w:hAnsi="宋体" w:eastAsia="宋体" w:cs="Times New Roman"/>
                <w:bCs/>
                <w:color w:val="000000" w:themeColor="text1"/>
                <w:sz w:val="2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r>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9"/>
              <w:rPr>
                <w:rFonts w:hint="eastAsia" w:ascii="宋体" w:hAnsi="宋体" w:eastAsia="宋体"/>
                <w:bCs/>
                <w:color w:val="auto"/>
              </w:rPr>
            </w:pPr>
            <w:r>
              <w:rPr>
                <w:rFonts w:ascii="宋体" w:hAnsi="宋体" w:eastAsia="宋体" w:cs="Times New Roman"/>
                <w:bCs/>
                <w:color w:val="auto"/>
                <w:sz w:val="21"/>
              </w:rPr>
              <w:t>2</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ind w:right="84"/>
              <w:rPr>
                <w:rFonts w:hint="eastAsia" w:ascii="宋体" w:hAnsi="宋体" w:eastAsia="宋体" w:cs="宋体"/>
                <w:bCs/>
                <w:color w:val="000000" w:themeColor="text1"/>
                <w:sz w:val="2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r>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9"/>
              <w:rPr>
                <w:rFonts w:hint="eastAsia" w:ascii="宋体" w:hAnsi="宋体" w:eastAsia="宋体"/>
                <w:bCs/>
                <w:color w:val="auto"/>
              </w:rPr>
            </w:pPr>
            <w:r>
              <w:rPr>
                <w:rFonts w:ascii="宋体" w:hAnsi="宋体" w:eastAsia="宋体" w:cs="Times New Roman"/>
                <w:bCs/>
                <w:color w:val="auto"/>
                <w:sz w:val="21"/>
              </w:rPr>
              <w:t>3</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ind w:right="86"/>
              <w:rPr>
                <w:rFonts w:hint="eastAsia" w:ascii="宋体" w:hAnsi="宋体" w:eastAsia="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r>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9"/>
              <w:rPr>
                <w:rFonts w:hint="eastAsia" w:ascii="宋体" w:hAnsi="宋体" w:eastAsia="宋体"/>
                <w:bCs/>
                <w:color w:val="auto"/>
              </w:rPr>
            </w:pPr>
            <w:r>
              <w:rPr>
                <w:rFonts w:ascii="宋体" w:hAnsi="宋体" w:eastAsia="宋体" w:cs="Times New Roman"/>
                <w:bCs/>
                <w:color w:val="auto"/>
                <w:sz w:val="21"/>
              </w:rPr>
              <w:t>4</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ind w:right="86"/>
              <w:rPr>
                <w:rFonts w:hint="eastAsia" w:ascii="宋体" w:hAnsi="宋体" w:eastAsia="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r>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139"/>
              <w:rPr>
                <w:rFonts w:hint="eastAsia" w:ascii="宋体" w:hAnsi="宋体" w:eastAsia="宋体"/>
                <w:bCs/>
                <w:color w:val="auto"/>
              </w:rPr>
            </w:pPr>
            <w:r>
              <w:rPr>
                <w:rFonts w:ascii="宋体" w:hAnsi="宋体" w:eastAsia="宋体" w:cs="Times New Roman"/>
                <w:bCs/>
                <w:color w:val="auto"/>
                <w:sz w:val="21"/>
              </w:rPr>
              <w:t>5</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auto"/>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ind w:right="86"/>
              <w:rPr>
                <w:rFonts w:hint="eastAsia" w:ascii="宋体" w:hAnsi="宋体" w:eastAsia="宋体"/>
                <w:bCs/>
                <w:color w:val="auto"/>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r>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left="2"/>
              <w:rPr>
                <w:rFonts w:hint="eastAsia" w:ascii="宋体" w:hAnsi="宋体" w:eastAsia="宋体"/>
                <w:bCs/>
                <w:color w:val="auto"/>
              </w:rPr>
            </w:pPr>
            <w:r>
              <w:rPr>
                <w:rFonts w:ascii="宋体" w:hAnsi="宋体" w:eastAsia="宋体" w:cs="Times New Roman"/>
                <w:bCs/>
                <w:color w:val="auto"/>
                <w:sz w:val="21"/>
              </w:rPr>
              <w:t>……</w:t>
            </w:r>
          </w:p>
        </w:tc>
        <w:tc>
          <w:tcPr>
            <w:tcW w:w="1666" w:type="dxa"/>
            <w:tcBorders>
              <w:top w:val="single" w:color="000000" w:sz="4" w:space="0"/>
              <w:left w:val="single" w:color="000000" w:sz="4" w:space="0"/>
              <w:bottom w:val="single" w:color="000000" w:sz="4" w:space="0"/>
              <w:right w:val="single" w:color="auto" w:sz="4" w:space="0"/>
            </w:tcBorders>
            <w:vAlign w:val="center"/>
          </w:tcPr>
          <w:p>
            <w:pPr>
              <w:spacing w:after="0" w:line="300" w:lineRule="exact"/>
              <w:ind w:right="86"/>
              <w:rPr>
                <w:rFonts w:hint="eastAsia" w:ascii="宋体" w:hAnsi="宋体" w:eastAsia="宋体"/>
                <w:bCs/>
                <w:color w:val="auto"/>
              </w:rPr>
            </w:pPr>
          </w:p>
        </w:tc>
        <w:tc>
          <w:tcPr>
            <w:tcW w:w="3771" w:type="dxa"/>
            <w:tcBorders>
              <w:top w:val="single" w:color="000000" w:sz="4" w:space="0"/>
              <w:left w:val="single" w:color="auto" w:sz="4" w:space="0"/>
              <w:bottom w:val="single" w:color="000000" w:sz="4" w:space="0"/>
              <w:right w:val="single" w:color="000000" w:sz="4" w:space="0"/>
            </w:tcBorders>
            <w:vAlign w:val="center"/>
          </w:tcPr>
          <w:p>
            <w:pPr>
              <w:spacing w:after="0" w:line="300" w:lineRule="exact"/>
              <w:ind w:right="86"/>
              <w:rPr>
                <w:rFonts w:hint="eastAsia" w:ascii="宋体" w:hAnsi="宋体" w:eastAsia="宋体"/>
                <w:bCs/>
                <w:color w:val="auto"/>
              </w:rPr>
            </w:pPr>
          </w:p>
        </w:tc>
        <w:tc>
          <w:tcPr>
            <w:tcW w:w="1681"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pPr>
              <w:spacing w:after="0" w:line="300" w:lineRule="exact"/>
              <w:ind w:right="85"/>
              <w:rPr>
                <w:rFonts w:hint="eastAsia" w:ascii="宋体" w:hAnsi="宋体" w:eastAsia="宋体"/>
                <w:bCs/>
                <w:color w:val="auto"/>
              </w:rPr>
            </w:pPr>
          </w:p>
        </w:tc>
      </w:tr>
    </w:tbl>
    <w:p>
      <w:pPr>
        <w:spacing w:after="180" w:line="265" w:lineRule="auto"/>
        <w:ind w:left="430" w:right="590" w:hanging="10"/>
        <w:rPr>
          <w:bCs/>
          <w:color w:val="auto"/>
        </w:rPr>
      </w:pPr>
      <w:r>
        <w:rPr>
          <w:rFonts w:ascii="宋体" w:hAnsi="宋体" w:eastAsia="宋体" w:cs="宋体"/>
          <w:bCs/>
          <w:color w:val="auto"/>
          <w:sz w:val="21"/>
        </w:rPr>
        <w:t>投标人保证：除商务偏差表列出的偏差外，投标人响应招标文件的全部要求。</w:t>
      </w:r>
    </w:p>
    <w:p>
      <w:pPr>
        <w:spacing w:after="0"/>
        <w:rPr>
          <w:rFonts w:eastAsiaTheme="minorEastAsia"/>
          <w:bCs/>
          <w:color w:val="auto"/>
        </w:rPr>
      </w:pPr>
    </w:p>
    <w:p>
      <w:pPr>
        <w:spacing w:after="0"/>
        <w:rPr>
          <w:rFonts w:ascii="Times New Roman" w:hAnsi="Times New Roman" w:cs="Times New Roman" w:eastAsiaTheme="minorEastAsia"/>
          <w:bCs/>
          <w:color w:val="auto"/>
          <w:sz w:val="20"/>
        </w:rPr>
      </w:pPr>
      <w:r>
        <w:rPr>
          <w:rFonts w:hint="eastAsia" w:eastAsiaTheme="minorEastAsia"/>
          <w:bCs/>
          <w:color w:val="auto"/>
        </w:rPr>
        <w:t>注：</w:t>
      </w:r>
      <w:r>
        <w:rPr>
          <w:rFonts w:hint="eastAsia"/>
          <w:bCs/>
          <w:color w:val="auto"/>
        </w:rPr>
        <w:t>“偏</w:t>
      </w:r>
      <w:r>
        <w:rPr>
          <w:rFonts w:hint="eastAsia" w:asciiTheme="minorEastAsia" w:hAnsiTheme="minorEastAsia" w:eastAsiaTheme="minorEastAsia"/>
          <w:bCs/>
          <w:color w:val="auto"/>
        </w:rPr>
        <w:t>差</w:t>
      </w:r>
      <w:r>
        <w:rPr>
          <w:rFonts w:hint="eastAsia" w:eastAsiaTheme="minorEastAsia"/>
          <w:bCs/>
          <w:color w:val="auto"/>
        </w:rPr>
        <w:t>说明</w:t>
      </w:r>
      <w:r>
        <w:rPr>
          <w:rFonts w:hint="eastAsia"/>
          <w:bCs/>
          <w:color w:val="auto"/>
        </w:rPr>
        <w:t>”栏填写“符合”或“偏离”。</w:t>
      </w:r>
    </w:p>
    <w:p>
      <w:pPr>
        <w:spacing w:after="0"/>
        <w:ind w:left="4321"/>
        <w:rPr>
          <w:rFonts w:ascii="Times New Roman" w:hAnsi="Times New Roman" w:cs="Times New Roman" w:eastAsiaTheme="minorEastAsia"/>
          <w:b/>
          <w:color w:val="auto"/>
          <w:sz w:val="20"/>
        </w:rPr>
      </w:pPr>
    </w:p>
    <w:p>
      <w:pPr>
        <w:spacing w:after="0"/>
        <w:ind w:left="4321"/>
        <w:rPr>
          <w:rFonts w:ascii="Times New Roman" w:hAnsi="Times New Roman" w:cs="Times New Roman" w:eastAsiaTheme="minorEastAsia"/>
          <w:b/>
          <w:color w:val="auto"/>
          <w:sz w:val="20"/>
        </w:rPr>
      </w:pPr>
    </w:p>
    <w:p>
      <w:pPr>
        <w:spacing w:after="0"/>
        <w:ind w:left="4321"/>
        <w:rPr>
          <w:rFonts w:ascii="Times New Roman" w:hAnsi="Times New Roman" w:cs="Times New Roman" w:eastAsiaTheme="minorEastAsia"/>
          <w:b/>
          <w:color w:val="auto"/>
          <w:sz w:val="20"/>
        </w:rPr>
      </w:pPr>
    </w:p>
    <w:p>
      <w:pPr>
        <w:spacing w:after="0"/>
        <w:ind w:left="4321"/>
        <w:rPr>
          <w:rFonts w:ascii="Times New Roman" w:hAnsi="Times New Roman" w:cs="Times New Roman" w:eastAsiaTheme="minorEastAsia"/>
          <w:b/>
          <w:color w:val="auto"/>
          <w:sz w:val="20"/>
        </w:rPr>
      </w:pPr>
    </w:p>
    <w:p>
      <w:pPr>
        <w:spacing w:after="0"/>
        <w:ind w:left="4321"/>
        <w:rPr>
          <w:rFonts w:ascii="Times New Roman" w:hAnsi="Times New Roman" w:cs="Times New Roman" w:eastAsiaTheme="minorEastAsia"/>
          <w:b/>
          <w:color w:val="auto"/>
          <w:sz w:val="20"/>
        </w:rPr>
      </w:pPr>
    </w:p>
    <w:p>
      <w:pPr>
        <w:spacing w:after="0" w:line="240" w:lineRule="auto"/>
        <w:rPr>
          <w:rFonts w:hint="eastAsia" w:ascii="黑体" w:hAnsi="黑体" w:eastAsia="黑体" w:cs="黑体"/>
          <w:b/>
          <w:color w:val="auto"/>
          <w:sz w:val="32"/>
        </w:rPr>
      </w:pPr>
      <w:r>
        <w:rPr>
          <w:b/>
          <w:color w:val="auto"/>
        </w:rPr>
        <w:br w:type="page"/>
      </w:r>
    </w:p>
    <w:p>
      <w:pPr>
        <w:pStyle w:val="3"/>
        <w:numPr>
          <w:ilvl w:val="0"/>
          <w:numId w:val="99"/>
        </w:numPr>
        <w:spacing w:after="153"/>
        <w:ind w:right="707"/>
        <w:jc w:val="center"/>
        <w:rPr>
          <w:rFonts w:hint="eastAsia"/>
          <w:bCs/>
          <w:color w:val="auto"/>
        </w:rPr>
      </w:pPr>
      <w:bookmarkStart w:id="182" w:name="_Toc195390929"/>
      <w:r>
        <w:rPr>
          <w:bCs/>
          <w:color w:val="auto"/>
        </w:rPr>
        <w:t>技术偏差表</w:t>
      </w:r>
      <w:bookmarkEnd w:id="182"/>
    </w:p>
    <w:tbl>
      <w:tblPr>
        <w:tblStyle w:val="30"/>
        <w:tblW w:w="9340" w:type="dxa"/>
        <w:jc w:val="center"/>
        <w:tblLayout w:type="fixed"/>
        <w:tblCellMar>
          <w:top w:w="0" w:type="dxa"/>
          <w:left w:w="108" w:type="dxa"/>
          <w:bottom w:w="0" w:type="dxa"/>
          <w:right w:w="108" w:type="dxa"/>
        </w:tblCellMar>
      </w:tblPr>
      <w:tblGrid>
        <w:gridCol w:w="858"/>
        <w:gridCol w:w="1218"/>
        <w:gridCol w:w="6236"/>
        <w:gridCol w:w="570"/>
        <w:gridCol w:w="458"/>
      </w:tblGrid>
      <w:tr>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招标文件章节及条款号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招标文件规格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投标规格</w:t>
            </w:r>
          </w:p>
        </w:tc>
        <w:tc>
          <w:tcPr>
            <w:tcW w:w="458"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偏差说明</w:t>
            </w:r>
          </w:p>
        </w:tc>
      </w:tr>
      <w:tr>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r>
      <w:tr>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r>
      <w:tr>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r>
      <w:tr>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pPr>
              <w:spacing w:line="240" w:lineRule="exact"/>
              <w:textAlignment w:val="center"/>
              <w:rPr>
                <w:rFonts w:hint="eastAsia" w:ascii="宋体" w:hAnsi="宋体" w:eastAsia="宋体" w:cs="宋体"/>
                <w:kern w:val="0"/>
                <w:sz w:val="21"/>
                <w:szCs w:val="21"/>
              </w:rPr>
            </w:pPr>
          </w:p>
        </w:tc>
      </w:tr>
    </w:tbl>
    <w:p/>
    <w:p>
      <w:pPr>
        <w:spacing w:after="0" w:line="240" w:lineRule="auto"/>
        <w:rPr>
          <w:color w:val="auto"/>
        </w:rPr>
      </w:pPr>
    </w:p>
    <w:p>
      <w:pPr>
        <w:spacing w:line="340" w:lineRule="exact"/>
        <w:ind w:left="840" w:hanging="840"/>
      </w:pPr>
      <w:r>
        <w:rPr>
          <w:rFonts w:ascii="宋体" w:hAnsi="宋体" w:cs="宋体"/>
        </w:rPr>
        <w:t>注</w:t>
      </w:r>
      <w:r>
        <w:rPr>
          <w:rFonts w:hint="eastAsia" w:ascii="宋体" w:hAnsi="宋体" w:cs="宋体"/>
        </w:rPr>
        <w:t>：</w:t>
      </w:r>
    </w:p>
    <w:p>
      <w:pPr>
        <w:widowControl w:val="0"/>
        <w:numPr>
          <w:ilvl w:val="0"/>
          <w:numId w:val="100"/>
        </w:numPr>
        <w:spacing w:after="0" w:line="360" w:lineRule="auto"/>
        <w:jc w:val="both"/>
      </w:pPr>
      <w:r>
        <w:rPr>
          <w:bCs/>
          <w:szCs w:val="21"/>
        </w:rPr>
        <w:t>投标人应对照招标文件第五章供货要求中的内容</w:t>
      </w:r>
      <w:r>
        <w:rPr>
          <w:rFonts w:hint="eastAsia"/>
          <w:bCs/>
          <w:szCs w:val="21"/>
        </w:rPr>
        <w:t>对比</w:t>
      </w:r>
      <w:r>
        <w:rPr>
          <w:bCs/>
          <w:szCs w:val="21"/>
        </w:rPr>
        <w:t>，并申明与供货要求中条款的偏差。</w:t>
      </w:r>
    </w:p>
    <w:p>
      <w:pPr>
        <w:widowControl w:val="0"/>
        <w:numPr>
          <w:ilvl w:val="0"/>
          <w:numId w:val="100"/>
        </w:numPr>
        <w:spacing w:after="0" w:line="360" w:lineRule="auto"/>
        <w:ind w:hanging="357"/>
        <w:jc w:val="both"/>
      </w:pPr>
      <w:r>
        <w:rPr>
          <w:rFonts w:hint="eastAsia" w:ascii="宋体" w:hAnsi="宋体" w:cs="宋体"/>
        </w:rPr>
        <w:t xml:space="preserve">* </w:t>
      </w:r>
      <w:r>
        <w:rPr>
          <w:rFonts w:hint="eastAsia" w:ascii="宋体" w:hAnsi="宋体" w:eastAsia="宋体" w:cs="宋体"/>
        </w:rPr>
        <w:t>、</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投标方须提交重要技</w:t>
      </w:r>
      <w:r>
        <w:rPr>
          <w:rFonts w:hint="eastAsia" w:ascii="宋体" w:hAnsi="宋体" w:cs="宋体"/>
        </w:rPr>
        <w:t>术条款（参数）的技术支持资料，建议每一个重要技术条款（参数）须在投标规格栏或备注栏中标明技术支持资料对应的</w:t>
      </w:r>
      <w:r>
        <w:rPr>
          <w:rFonts w:hint="eastAsia" w:ascii="宋体" w:hAnsi="宋体" w:cs="宋体"/>
          <w:b/>
          <w:bCs/>
        </w:rPr>
        <w:t>页码</w:t>
      </w:r>
      <w:r>
        <w:rPr>
          <w:rFonts w:hint="eastAsia" w:ascii="宋体" w:hAnsi="宋体" w:cs="宋体"/>
        </w:rPr>
        <w:t>。本表并不能代替投标文件的技术支持资料。</w:t>
      </w:r>
    </w:p>
    <w:p>
      <w:pPr>
        <w:spacing w:line="360" w:lineRule="auto"/>
        <w:ind w:left="565" w:leftChars="129" w:right="-155" w:hanging="281" w:hangingChars="128"/>
        <w:rPr>
          <w:rFonts w:ascii="宋体" w:hAnsi="宋体" w:cs="宋体"/>
        </w:rPr>
      </w:pPr>
      <w:r>
        <w:rPr>
          <w:rFonts w:ascii="宋体" w:hAnsi="宋体" w:cs="宋体"/>
        </w:rPr>
        <w:t>3“</w:t>
      </w:r>
      <w:r>
        <w:rPr>
          <w:rFonts w:hint="eastAsia" w:ascii="宋体" w:hAnsi="宋体" w:cs="宋体"/>
        </w:rPr>
        <w:t>投标规格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pPr>
        <w:spacing w:line="360" w:lineRule="auto"/>
        <w:ind w:left="565" w:leftChars="129" w:right="-155" w:hanging="281" w:hangingChars="128"/>
        <w:sectPr>
          <w:headerReference r:id="rId9" w:type="default"/>
          <w:footerReference r:id="rId10" w:type="default"/>
          <w:pgSz w:w="12240" w:h="15840"/>
          <w:pgMar w:top="1445" w:right="1097" w:bottom="1466" w:left="1800" w:header="720" w:footer="720" w:gutter="0"/>
          <w:cols w:space="720" w:num="1"/>
        </w:sectPr>
      </w:pPr>
      <w:r>
        <w:rPr>
          <w:rFonts w:ascii="宋体" w:hAnsi="宋体" w:cs="宋体"/>
        </w:rPr>
        <w:t>4.</w:t>
      </w:r>
      <w:r>
        <w:t xml:space="preserve"> 投标文件对招标文件的偏差，应在技术偏差表中列明，除列明的内容外，视为投标人响应招标文件的全部要求。</w:t>
      </w:r>
    </w:p>
    <w:p>
      <w:pPr>
        <w:pStyle w:val="3"/>
        <w:spacing w:after="550"/>
        <w:ind w:right="704"/>
        <w:jc w:val="center"/>
        <w:rPr>
          <w:rFonts w:hint="eastAsia"/>
          <w:bCs/>
          <w:color w:val="auto"/>
        </w:rPr>
      </w:pPr>
      <w:bookmarkStart w:id="183" w:name="_Toc195390930"/>
      <w:r>
        <w:rPr>
          <w:rFonts w:hint="eastAsia"/>
          <w:bCs/>
          <w:color w:val="auto"/>
        </w:rPr>
        <w:t>九</w:t>
      </w:r>
      <w:r>
        <w:rPr>
          <w:bCs/>
          <w:color w:val="auto"/>
        </w:rPr>
        <w:t>、分项报价表</w:t>
      </w:r>
      <w:bookmarkEnd w:id="183"/>
    </w:p>
    <w:p>
      <w:pPr>
        <w:numPr>
          <w:ilvl w:val="0"/>
          <w:numId w:val="101"/>
        </w:numPr>
        <w:spacing w:after="158" w:line="265" w:lineRule="auto"/>
        <w:ind w:right="590" w:hanging="264"/>
        <w:rPr>
          <w:bCs/>
          <w:color w:val="auto"/>
        </w:rPr>
      </w:pPr>
      <w:r>
        <w:rPr>
          <w:rFonts w:ascii="宋体" w:hAnsi="宋体" w:eastAsia="宋体" w:cs="宋体"/>
          <w:bCs/>
          <w:color w:val="auto"/>
          <w:sz w:val="21"/>
        </w:rPr>
        <w:t>分项报价表说明</w:t>
      </w:r>
    </w:p>
    <w:p>
      <w:pPr>
        <w:spacing w:after="158" w:line="265" w:lineRule="auto"/>
        <w:ind w:left="684" w:right="590"/>
        <w:rPr>
          <w:rFonts w:hint="eastAsia" w:ascii="宋体" w:hAnsi="宋体" w:eastAsia="宋体" w:cs="宋体"/>
          <w:b/>
          <w:color w:val="auto"/>
          <w:sz w:val="28"/>
          <w:szCs w:val="28"/>
        </w:rPr>
      </w:pPr>
      <w:r>
        <w:rPr>
          <w:rFonts w:hint="eastAsia" w:ascii="宋体" w:hAnsi="宋体" w:eastAsia="宋体" w:cs="宋体"/>
          <w:b/>
          <w:color w:val="auto"/>
          <w:sz w:val="28"/>
          <w:szCs w:val="28"/>
        </w:rPr>
        <w:t>分项报价表中除列明的26项设备名称项，不允许再增加</w:t>
      </w:r>
      <w:r>
        <w:rPr>
          <w:b/>
          <w:color w:val="auto"/>
          <w:sz w:val="28"/>
          <w:szCs w:val="28"/>
        </w:rPr>
        <w:t>“</w:t>
      </w:r>
      <w:r>
        <w:rPr>
          <w:rFonts w:hint="eastAsia" w:ascii="宋体" w:hAnsi="宋体" w:eastAsia="宋体" w:cs="宋体"/>
          <w:b/>
          <w:color w:val="auto"/>
          <w:sz w:val="28"/>
          <w:szCs w:val="28"/>
        </w:rPr>
        <w:t>设备名称</w:t>
      </w:r>
      <w:r>
        <w:rPr>
          <w:b/>
          <w:color w:val="auto"/>
          <w:sz w:val="28"/>
          <w:szCs w:val="28"/>
        </w:rPr>
        <w:t>”</w:t>
      </w:r>
      <w:r>
        <w:rPr>
          <w:rFonts w:hint="eastAsia" w:ascii="宋体" w:hAnsi="宋体" w:eastAsia="宋体" w:cs="宋体"/>
          <w:b/>
          <w:color w:val="auto"/>
          <w:sz w:val="28"/>
          <w:szCs w:val="28"/>
        </w:rPr>
        <w:t>栏内容，否则作废标处理。</w:t>
      </w:r>
    </w:p>
    <w:p>
      <w:pPr>
        <w:spacing w:after="158" w:line="265" w:lineRule="auto"/>
        <w:ind w:left="684" w:right="590"/>
        <w:rPr>
          <w:b/>
          <w:color w:val="auto"/>
          <w:sz w:val="28"/>
          <w:szCs w:val="28"/>
        </w:rPr>
      </w:pPr>
      <w:r>
        <w:rPr>
          <w:rFonts w:hint="eastAsia" w:ascii="宋体" w:hAnsi="宋体" w:eastAsia="宋体" w:cs="宋体"/>
          <w:b/>
          <w:color w:val="auto"/>
          <w:sz w:val="28"/>
          <w:szCs w:val="28"/>
        </w:rPr>
        <w:t>仅可根据实际情况添加子项（例如1.1,2.1……）进行呈现。安装调试、集成费用需分摊到设备中，备注中可明确相关费用。</w:t>
      </w:r>
    </w:p>
    <w:p>
      <w:pPr>
        <w:numPr>
          <w:ilvl w:val="0"/>
          <w:numId w:val="101"/>
        </w:numPr>
        <w:spacing w:after="156" w:line="265" w:lineRule="auto"/>
        <w:ind w:right="590" w:hanging="264"/>
        <w:rPr>
          <w:bCs/>
          <w:color w:val="auto"/>
        </w:rPr>
      </w:pPr>
      <w:r>
        <w:rPr>
          <w:rFonts w:ascii="宋体" w:hAnsi="宋体" w:eastAsia="宋体" w:cs="宋体"/>
          <w:bCs/>
          <w:color w:val="auto"/>
          <w:sz w:val="21"/>
        </w:rPr>
        <w:t>分项报价表</w:t>
      </w:r>
    </w:p>
    <w:p>
      <w:pPr>
        <w:spacing w:after="0" w:line="265" w:lineRule="auto"/>
        <w:ind w:left="10" w:right="710" w:hanging="10"/>
        <w:jc w:val="right"/>
        <w:rPr>
          <w:bCs/>
          <w:color w:val="auto"/>
        </w:rPr>
      </w:pPr>
      <w:r>
        <w:rPr>
          <w:rFonts w:ascii="宋体" w:hAnsi="宋体" w:eastAsia="宋体" w:cs="宋体"/>
          <w:bCs/>
          <w:color w:val="auto"/>
          <w:sz w:val="21"/>
        </w:rPr>
        <w:t>单位：人民币元</w:t>
      </w:r>
    </w:p>
    <w:tbl>
      <w:tblPr>
        <w:tblStyle w:val="30"/>
        <w:tblW w:w="48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1088"/>
        <w:gridCol w:w="1416"/>
        <w:gridCol w:w="2616"/>
        <w:gridCol w:w="781"/>
        <w:gridCol w:w="1186"/>
        <w:gridCol w:w="1513"/>
        <w:gridCol w:w="1053"/>
        <w:gridCol w:w="1038"/>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7"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序号</w:t>
            </w:r>
          </w:p>
        </w:tc>
        <w:tc>
          <w:tcPr>
            <w:tcW w:w="445"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设备名称</w:t>
            </w:r>
          </w:p>
        </w:tc>
        <w:tc>
          <w:tcPr>
            <w:tcW w:w="559"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参考型号/规格</w:t>
            </w:r>
          </w:p>
        </w:tc>
        <w:tc>
          <w:tcPr>
            <w:tcW w:w="907"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主要性能指标</w:t>
            </w:r>
          </w:p>
        </w:tc>
        <w:tc>
          <w:tcPr>
            <w:tcW w:w="324"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数量（台/套）</w:t>
            </w:r>
          </w:p>
        </w:tc>
        <w:tc>
          <w:tcPr>
            <w:tcW w:w="484"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单位</w:t>
            </w:r>
          </w:p>
        </w:tc>
        <w:tc>
          <w:tcPr>
            <w:tcW w:w="613"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品牌及型号</w:t>
            </w:r>
          </w:p>
        </w:tc>
        <w:tc>
          <w:tcPr>
            <w:tcW w:w="431"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单价</w:t>
            </w:r>
          </w:p>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（含税）</w:t>
            </w:r>
          </w:p>
        </w:tc>
        <w:tc>
          <w:tcPr>
            <w:tcW w:w="425"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金额</w:t>
            </w:r>
          </w:p>
        </w:tc>
        <w:tc>
          <w:tcPr>
            <w:tcW w:w="615" w:type="pct"/>
            <w:vAlign w:val="center"/>
          </w:tcPr>
          <w:p>
            <w:pPr>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非标定制（9米，适配载重50KG）</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货物尺寸800×600×400，载重≤50kg。</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restar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非标定制（9米，适配载重20KG）</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货物尺寸600×400×200，载重≤20kg。</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3</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货物尺寸600×400×200，载重≤30kg。</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3</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4</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非标定制（高度9.9米，长度26米）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货架货物尺寸800×600×400/50kg，含防静电料箱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4</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restar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br w:type="textWrapping"/>
            </w:r>
            <w:r>
              <w:rPr>
                <w:rFonts w:hint="eastAsia" w:ascii="仿宋" w:hAnsi="仿宋" w:eastAsia="仿宋" w:cs="宋体"/>
                <w:kern w:val="0"/>
                <w:sz w:val="24"/>
                <w:szCs w:val="24"/>
              </w:rPr>
              <w:t>数量及长度可修改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5</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非标定制（高度9.9米，长度27米）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货架货物尺寸600×400×200/20kg，含防静电料箱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4</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6</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非标定制（高度3.7米，长度36米）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货架货物尺寸600×400×200/30kg，含防静电料箱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7</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非标定制（高度3.7米，长度43米）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货架货物尺寸600×400×200/30kg，含防静电料箱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4</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8</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非标定制（高度3.7米，长度38米）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货架货物尺寸600×400×200/30kg，含防静电料箱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9</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堆垛机自动化立体库货架</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非标定制（高度3.7米，长度32米）</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货架货物尺寸600×400×200/30kg，含防静电料箱</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排</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Merge w:val="continue"/>
            <w:vAlign w:val="center"/>
          </w:tcPr>
          <w:p>
            <w:pPr>
              <w:rPr>
                <w:rFonts w:hint="eastAsia"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10</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温湿度管控氮气存储柜</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1)匹配600mm×400mm×120mm的周转箱，存储数量≥150箱；400mm×300mm×120mm的周转箱，存储数量≥60箱。</w:t>
            </w:r>
            <w:r>
              <w:rPr>
                <w:rFonts w:hint="eastAsia" w:ascii="仿宋" w:hAnsi="仿宋" w:eastAsia="仿宋" w:cs="宋体"/>
                <w:kern w:val="0"/>
                <w:sz w:val="24"/>
                <w:szCs w:val="24"/>
              </w:rPr>
              <w:br w:type="textWrapping"/>
            </w:r>
            <w:r>
              <w:rPr>
                <w:rFonts w:hint="eastAsia" w:ascii="仿宋" w:hAnsi="仿宋" w:eastAsia="仿宋" w:cs="宋体"/>
                <w:kern w:val="0"/>
                <w:sz w:val="24"/>
                <w:szCs w:val="24"/>
              </w:rPr>
              <w:t>2)温湿度管控氮气存储柜出入库口与辊筒线直接连接，自动对接出入库。</w:t>
            </w:r>
            <w:r>
              <w:rPr>
                <w:rFonts w:hint="eastAsia" w:ascii="仿宋" w:hAnsi="仿宋" w:eastAsia="仿宋" w:cs="宋体"/>
                <w:kern w:val="0"/>
                <w:sz w:val="24"/>
                <w:szCs w:val="24"/>
              </w:rPr>
              <w:br w:type="textWrapping"/>
            </w:r>
            <w:r>
              <w:rPr>
                <w:rFonts w:hint="eastAsia" w:ascii="仿宋" w:hAnsi="仿宋" w:eastAsia="仿宋" w:cs="宋体"/>
                <w:kern w:val="0"/>
                <w:sz w:val="24"/>
                <w:szCs w:val="24"/>
              </w:rPr>
              <w:t>3)温湿度管控氮气存储柜内部可保持恒温恒湿工作环境，温度16-25℃，湿度≤10%RH，温湿度定点可调。设备中的监控仪表或传感器等需可拆卸进行检定。</w:t>
            </w:r>
            <w:r>
              <w:rPr>
                <w:rFonts w:hint="eastAsia" w:ascii="仿宋" w:hAnsi="仿宋" w:eastAsia="仿宋" w:cs="宋体"/>
                <w:kern w:val="0"/>
                <w:sz w:val="24"/>
                <w:szCs w:val="24"/>
              </w:rPr>
              <w:br w:type="textWrapping"/>
            </w:r>
            <w:r>
              <w:rPr>
                <w:rFonts w:hint="eastAsia" w:ascii="仿宋" w:hAnsi="仿宋" w:eastAsia="仿宋" w:cs="宋体"/>
                <w:kern w:val="0"/>
                <w:sz w:val="24"/>
                <w:szCs w:val="24"/>
              </w:rPr>
              <w:t>4)当湿度达到相对湿度设定值，控制器停止补充氮气；当超过设定值时，控制器智能打开氮气供应，精确而有效的控制氮气流量。</w:t>
            </w:r>
            <w:r>
              <w:rPr>
                <w:rFonts w:hint="eastAsia" w:ascii="仿宋" w:hAnsi="仿宋" w:eastAsia="仿宋" w:cs="宋体"/>
                <w:kern w:val="0"/>
                <w:sz w:val="24"/>
                <w:szCs w:val="24"/>
              </w:rPr>
              <w:br w:type="textWrapping"/>
            </w:r>
            <w:r>
              <w:rPr>
                <w:rFonts w:hint="eastAsia" w:ascii="仿宋" w:hAnsi="仿宋" w:eastAsia="仿宋" w:cs="宋体"/>
                <w:kern w:val="0"/>
                <w:sz w:val="24"/>
                <w:szCs w:val="24"/>
              </w:rPr>
              <w:t>5）开门30秒后5分钟内恢复设定温度，从15%RH降至10%RH≤15分钟。</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11</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输送线</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用于物料的输送</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可备注长度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12</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移载机</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用于改变输送方向</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可备注台数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13</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顶升机构</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用于堆垛机取放位置对接</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可备注台数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14</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换层升降机</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输送宽度：620mm</w:t>
            </w:r>
            <w:r>
              <w:rPr>
                <w:rFonts w:hint="eastAsia" w:ascii="仿宋" w:hAnsi="仿宋" w:eastAsia="仿宋" w:cs="宋体"/>
                <w:kern w:val="0"/>
                <w:sz w:val="24"/>
                <w:szCs w:val="24"/>
              </w:rPr>
              <w:br w:type="textWrapping"/>
            </w:r>
            <w:r>
              <w:rPr>
                <w:rFonts w:hint="eastAsia" w:ascii="仿宋" w:hAnsi="仿宋" w:eastAsia="仿宋" w:cs="宋体"/>
                <w:kern w:val="0"/>
                <w:sz w:val="24"/>
                <w:szCs w:val="24"/>
              </w:rPr>
              <w:t>搬送能力：50KG/箱</w:t>
            </w:r>
            <w:r>
              <w:rPr>
                <w:rFonts w:hint="eastAsia" w:ascii="仿宋" w:hAnsi="仿宋" w:eastAsia="仿宋" w:cs="宋体"/>
                <w:kern w:val="0"/>
                <w:sz w:val="24"/>
                <w:szCs w:val="24"/>
              </w:rPr>
              <w:br w:type="textWrapping"/>
            </w:r>
            <w:r>
              <w:rPr>
                <w:rFonts w:hint="eastAsia" w:ascii="仿宋" w:hAnsi="仿宋" w:eastAsia="仿宋" w:cs="宋体"/>
                <w:kern w:val="0"/>
                <w:sz w:val="24"/>
                <w:szCs w:val="24"/>
              </w:rPr>
              <w:t>输送速度：30m/min</w:t>
            </w:r>
            <w:r>
              <w:rPr>
                <w:rFonts w:hint="eastAsia" w:ascii="仿宋" w:hAnsi="仿宋" w:eastAsia="仿宋" w:cs="宋体"/>
                <w:kern w:val="0"/>
                <w:sz w:val="24"/>
                <w:szCs w:val="24"/>
              </w:rPr>
              <w:br w:type="textWrapping"/>
            </w:r>
            <w:r>
              <w:rPr>
                <w:rFonts w:hint="eastAsia" w:ascii="仿宋" w:hAnsi="仿宋" w:eastAsia="仿宋" w:cs="宋体"/>
                <w:kern w:val="0"/>
                <w:sz w:val="24"/>
                <w:szCs w:val="24"/>
              </w:rPr>
              <w:t>提升速度：12m/min</w:t>
            </w:r>
            <w:r>
              <w:rPr>
                <w:rFonts w:hint="eastAsia" w:ascii="仿宋" w:hAnsi="仿宋" w:eastAsia="仿宋" w:cs="宋体"/>
                <w:kern w:val="0"/>
                <w:sz w:val="24"/>
                <w:szCs w:val="24"/>
              </w:rPr>
              <w:br w:type="textWrapping"/>
            </w:r>
            <w:r>
              <w:rPr>
                <w:rFonts w:hint="eastAsia" w:ascii="仿宋" w:hAnsi="仿宋" w:eastAsia="仿宋" w:cs="宋体"/>
                <w:kern w:val="0"/>
                <w:sz w:val="24"/>
                <w:szCs w:val="24"/>
              </w:rPr>
              <w:t>对接输送面高度：650mm/1400mm</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可备注台数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15</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传递窗</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对接输送高度：650mm</w:t>
            </w:r>
            <w:r>
              <w:rPr>
                <w:rFonts w:hint="eastAsia" w:ascii="仿宋" w:hAnsi="仿宋" w:eastAsia="仿宋" w:cs="宋体"/>
                <w:kern w:val="0"/>
                <w:sz w:val="24"/>
                <w:szCs w:val="24"/>
              </w:rPr>
              <w:br w:type="textWrapping"/>
            </w:r>
            <w:r>
              <w:rPr>
                <w:rFonts w:hint="eastAsia" w:ascii="仿宋" w:hAnsi="仿宋" w:eastAsia="仿宋" w:cs="宋体"/>
                <w:kern w:val="0"/>
                <w:sz w:val="24"/>
                <w:szCs w:val="24"/>
              </w:rPr>
              <w:t>窗口尺寸：1m*0.8m 玻璃门</w:t>
            </w:r>
            <w:r>
              <w:rPr>
                <w:rFonts w:hint="eastAsia" w:ascii="仿宋" w:hAnsi="仿宋" w:eastAsia="仿宋" w:cs="宋体"/>
                <w:kern w:val="0"/>
                <w:sz w:val="24"/>
                <w:szCs w:val="24"/>
              </w:rPr>
              <w:br w:type="textWrapping"/>
            </w:r>
            <w:r>
              <w:rPr>
                <w:rFonts w:hint="eastAsia" w:ascii="仿宋" w:hAnsi="仿宋" w:eastAsia="仿宋" w:cs="宋体"/>
                <w:kern w:val="0"/>
                <w:sz w:val="24"/>
                <w:szCs w:val="24"/>
              </w:rPr>
              <w:t>内置输送机长度：1米</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3</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16</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电子标签系统</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用于地堆区货架货物管理</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17</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重量检测系统</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量程：0-50KG 灵敏度：c3与系统通讯</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18</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仓库设备管理系统（WCS)</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用于智能仓储设备调度系统</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19</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电气控制系统</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输送设备（如堆垛机、提升机、输送机等）的电气控制系统，含电控元器件、电气控制程序及辅材</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20</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温湿度控制系统</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1.环境控制要求：一层存储区温度16-25℃，湿度45％-70％；一层收货区、待验区湿度45％-60％）；其余区域温度16-28℃，湿度30％-80％。</w:t>
            </w:r>
            <w:r>
              <w:rPr>
                <w:rFonts w:hint="eastAsia" w:ascii="仿宋" w:hAnsi="仿宋" w:eastAsia="仿宋" w:cs="宋体"/>
                <w:kern w:val="0"/>
                <w:sz w:val="24"/>
                <w:szCs w:val="24"/>
              </w:rPr>
              <w:br w:type="textWrapping"/>
            </w:r>
            <w:r>
              <w:rPr>
                <w:rFonts w:hint="eastAsia" w:ascii="仿宋" w:hAnsi="仿宋" w:eastAsia="仿宋" w:cs="宋体"/>
                <w:kern w:val="0"/>
                <w:sz w:val="24"/>
                <w:szCs w:val="24"/>
              </w:rPr>
              <w:t>2.范围：仓库、收货区、待验区，面积910㎡、层高5.4m，面积300㎡、层高10.8m；三、四楼生产区域面积8400㎡，层高5.4m。</w:t>
            </w:r>
            <w:r>
              <w:rPr>
                <w:rFonts w:hint="eastAsia" w:ascii="仿宋" w:hAnsi="仿宋" w:eastAsia="仿宋" w:cs="宋体"/>
                <w:kern w:val="0"/>
                <w:sz w:val="24"/>
                <w:szCs w:val="24"/>
              </w:rPr>
              <w:br w:type="textWrapping"/>
            </w:r>
            <w:r>
              <w:rPr>
                <w:rFonts w:hint="eastAsia" w:ascii="仿宋" w:hAnsi="仿宋" w:eastAsia="仿宋" w:cs="宋体"/>
                <w:kern w:val="0"/>
                <w:sz w:val="24"/>
                <w:szCs w:val="24"/>
              </w:rPr>
              <w:t>3.主要功能：温湿度监测、数据记录和分析、控制、报警与推送、故障诊断及预警。</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不含空调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21</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工作台</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用于收货员及分拣员的业务工作</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10</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22</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看板</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55V1KD-R/同类型号</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用于仓储业务工作的可视化</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3</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23</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单室真空包装机</w:t>
            </w:r>
          </w:p>
        </w:tc>
        <w:tc>
          <w:tcPr>
            <w:tcW w:w="559"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YS-DQ-420/同类型号</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进行包装真空抽取</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台</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24</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可折叠防静电周转箱</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能耐酸耐碱、耐油污，可用于盛放电子工业元件，清洁方便，零件周转便捷、堆放整齐，便于管理等功能。</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24</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个</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25</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智能仓库管理系统（WMS)</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26</w:t>
            </w:r>
          </w:p>
        </w:tc>
        <w:tc>
          <w:tcPr>
            <w:tcW w:w="44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仓储配套设备</w:t>
            </w:r>
          </w:p>
        </w:tc>
        <w:tc>
          <w:tcPr>
            <w:tcW w:w="559"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非标定制</w:t>
            </w:r>
          </w:p>
        </w:tc>
        <w:tc>
          <w:tcPr>
            <w:tcW w:w="907" w:type="pct"/>
            <w:vAlign w:val="center"/>
          </w:tcPr>
          <w:p>
            <w:pPr>
              <w:rPr>
                <w:rFonts w:hint="eastAsia" w:ascii="仿宋" w:hAnsi="仿宋" w:eastAsia="仿宋" w:cs="宋体"/>
                <w:kern w:val="0"/>
                <w:sz w:val="24"/>
                <w:szCs w:val="24"/>
              </w:rPr>
            </w:pPr>
            <w:r>
              <w:rPr>
                <w:rFonts w:hint="eastAsia" w:ascii="仿宋" w:hAnsi="仿宋" w:eastAsia="仿宋" w:cs="宋体"/>
                <w:kern w:val="0"/>
                <w:sz w:val="24"/>
                <w:szCs w:val="24"/>
              </w:rPr>
              <w:t>含条码打印机、扫码枪、服务器等</w:t>
            </w:r>
          </w:p>
        </w:tc>
        <w:tc>
          <w:tcPr>
            <w:tcW w:w="32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1</w:t>
            </w:r>
          </w:p>
        </w:tc>
        <w:tc>
          <w:tcPr>
            <w:tcW w:w="484"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套</w:t>
            </w:r>
          </w:p>
        </w:tc>
        <w:tc>
          <w:tcPr>
            <w:tcW w:w="613" w:type="pct"/>
          </w:tcPr>
          <w:p>
            <w:pPr>
              <w:jc w:val="center"/>
              <w:rPr>
                <w:rFonts w:hint="eastAsia" w:ascii="仿宋" w:hAnsi="仿宋" w:eastAsia="仿宋" w:cs="宋体"/>
                <w:kern w:val="0"/>
                <w:sz w:val="24"/>
                <w:szCs w:val="24"/>
              </w:rPr>
            </w:pPr>
          </w:p>
        </w:tc>
        <w:tc>
          <w:tcPr>
            <w:tcW w:w="431"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42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c>
          <w:tcPr>
            <w:tcW w:w="615"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可备注清单以26.1、26.2形式呈现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97" w:type="pct"/>
            <w:vAlign w:val="center"/>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总计</w:t>
            </w:r>
          </w:p>
        </w:tc>
        <w:tc>
          <w:tcPr>
            <w:tcW w:w="4803" w:type="pct"/>
            <w:gridSpan w:val="9"/>
          </w:tcPr>
          <w:p>
            <w:pPr>
              <w:jc w:val="center"/>
              <w:rPr>
                <w:rFonts w:hint="eastAsia" w:ascii="仿宋" w:hAnsi="仿宋" w:eastAsia="仿宋" w:cs="宋体"/>
                <w:kern w:val="0"/>
                <w:sz w:val="24"/>
                <w:szCs w:val="24"/>
              </w:rPr>
            </w:pPr>
            <w:r>
              <w:rPr>
                <w:rFonts w:hint="eastAsia" w:ascii="仿宋" w:hAnsi="仿宋" w:eastAsia="仿宋"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5000" w:type="pct"/>
            <w:gridSpan w:val="10"/>
          </w:tcPr>
          <w:p>
            <w:pPr>
              <w:spacing w:after="158" w:line="265" w:lineRule="auto"/>
              <w:ind w:left="684" w:right="590"/>
              <w:rPr>
                <w:rFonts w:hint="eastAsia" w:ascii="仿宋" w:hAnsi="仿宋" w:eastAsia="仿宋" w:cs="宋体"/>
                <w:kern w:val="0"/>
                <w:sz w:val="24"/>
                <w:szCs w:val="24"/>
              </w:rPr>
            </w:pPr>
            <w:r>
              <w:rPr>
                <w:rFonts w:hint="eastAsia" w:ascii="仿宋" w:hAnsi="仿宋" w:eastAsia="仿宋" w:cs="宋体"/>
                <w:kern w:val="0"/>
                <w:sz w:val="24"/>
                <w:szCs w:val="24"/>
              </w:rPr>
              <w:t>注：分项报价表中除列明的26项设备名称项，不允许再增加</w:t>
            </w:r>
            <w:r>
              <w:rPr>
                <w:rFonts w:ascii="仿宋" w:hAnsi="仿宋" w:eastAsia="仿宋" w:cs="宋体"/>
                <w:kern w:val="0"/>
                <w:sz w:val="24"/>
                <w:szCs w:val="24"/>
              </w:rPr>
              <w:t>“</w:t>
            </w:r>
            <w:r>
              <w:rPr>
                <w:rFonts w:hint="eastAsia" w:ascii="仿宋" w:hAnsi="仿宋" w:eastAsia="仿宋" w:cs="宋体"/>
                <w:kern w:val="0"/>
                <w:sz w:val="24"/>
                <w:szCs w:val="24"/>
              </w:rPr>
              <w:t>设备名称</w:t>
            </w:r>
            <w:r>
              <w:rPr>
                <w:rFonts w:ascii="仿宋" w:hAnsi="仿宋" w:eastAsia="仿宋" w:cs="宋体"/>
                <w:kern w:val="0"/>
                <w:sz w:val="24"/>
                <w:szCs w:val="24"/>
              </w:rPr>
              <w:t>”</w:t>
            </w:r>
            <w:r>
              <w:rPr>
                <w:rFonts w:hint="eastAsia" w:ascii="仿宋" w:hAnsi="仿宋" w:eastAsia="仿宋" w:cs="宋体"/>
                <w:kern w:val="0"/>
                <w:sz w:val="24"/>
                <w:szCs w:val="24"/>
              </w:rPr>
              <w:t>栏内容，否则作废标处理。</w:t>
            </w:r>
          </w:p>
          <w:p>
            <w:pPr>
              <w:spacing w:after="158" w:line="265" w:lineRule="auto"/>
              <w:ind w:left="684" w:right="590"/>
              <w:rPr>
                <w:rFonts w:hint="eastAsia" w:ascii="仿宋" w:hAnsi="仿宋" w:eastAsia="仿宋" w:cs="宋体"/>
                <w:kern w:val="0"/>
                <w:sz w:val="24"/>
                <w:szCs w:val="24"/>
              </w:rPr>
            </w:pPr>
            <w:r>
              <w:rPr>
                <w:rFonts w:hint="eastAsia" w:ascii="仿宋" w:hAnsi="仿宋" w:eastAsia="仿宋" w:cs="宋体"/>
                <w:kern w:val="0"/>
                <w:sz w:val="24"/>
                <w:szCs w:val="24"/>
              </w:rPr>
              <w:t>仅可根据实际情况添加子项（例如1.1,2.1……）进行呈现。安装调试、集成费用需分摊到设备中，备注中可明确相关费用。</w:t>
            </w:r>
          </w:p>
        </w:tc>
      </w:tr>
    </w:tbl>
    <w:p>
      <w:pPr>
        <w:rPr>
          <w:rFonts w:eastAsiaTheme="minorEastAsia"/>
        </w:rPr>
        <w:sectPr>
          <w:pgSz w:w="15840" w:h="12240" w:orient="landscape"/>
          <w:pgMar w:top="1800" w:right="1445" w:bottom="1097" w:left="1466" w:header="720" w:footer="720" w:gutter="0"/>
          <w:cols w:space="720" w:num="1"/>
          <w:docGrid w:linePitch="299" w:charSpace="0"/>
        </w:sectPr>
      </w:pPr>
    </w:p>
    <w:p>
      <w:pPr>
        <w:pStyle w:val="3"/>
        <w:spacing w:after="275" w:line="261" w:lineRule="auto"/>
        <w:ind w:right="3741"/>
        <w:jc w:val="right"/>
        <w:rPr>
          <w:rFonts w:hint="eastAsia"/>
          <w:bCs/>
          <w:color w:val="auto"/>
        </w:rPr>
      </w:pPr>
      <w:bookmarkStart w:id="184" w:name="_Toc195390931"/>
      <w:r>
        <w:rPr>
          <w:rFonts w:hint="eastAsia"/>
          <w:bCs/>
          <w:color w:val="auto"/>
        </w:rPr>
        <w:t>十</w:t>
      </w:r>
      <w:r>
        <w:rPr>
          <w:bCs/>
          <w:color w:val="auto"/>
        </w:rPr>
        <w:t>、资格审查资料</w:t>
      </w:r>
      <w:bookmarkEnd w:id="184"/>
    </w:p>
    <w:p>
      <w:pPr>
        <w:pStyle w:val="4"/>
        <w:spacing w:after="0"/>
        <w:ind w:left="132" w:right="0"/>
        <w:rPr>
          <w:rFonts w:hint="eastAsia"/>
          <w:bCs/>
          <w:color w:val="auto"/>
        </w:rPr>
      </w:pPr>
      <w:bookmarkStart w:id="185" w:name="_Toc195390932"/>
      <w:r>
        <w:rPr>
          <w:bCs/>
          <w:color w:val="auto"/>
        </w:rPr>
        <w:t>（一）基本情况表</w:t>
      </w:r>
      <w:bookmarkEnd w:id="185"/>
    </w:p>
    <w:tbl>
      <w:tblPr>
        <w:tblStyle w:val="38"/>
        <w:tblW w:w="8932" w:type="dxa"/>
        <w:tblInd w:w="-283" w:type="dxa"/>
        <w:tblLayout w:type="autofit"/>
        <w:tblCellMar>
          <w:top w:w="0" w:type="dxa"/>
          <w:left w:w="89" w:type="dxa"/>
          <w:bottom w:w="46" w:type="dxa"/>
          <w:right w:w="89" w:type="dxa"/>
        </w:tblCellMar>
      </w:tblPr>
      <w:tblGrid>
        <w:gridCol w:w="2174"/>
        <w:gridCol w:w="944"/>
        <w:gridCol w:w="2410"/>
        <w:gridCol w:w="1135"/>
        <w:gridCol w:w="2269"/>
      </w:tblGrid>
      <w:tr>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投标人名称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46"/>
              <w:jc w:val="center"/>
              <w:rPr>
                <w:bCs/>
                <w:color w:val="auto"/>
              </w:rPr>
            </w:pPr>
          </w:p>
        </w:tc>
      </w:tr>
      <w:tr>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注册资金</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pPr>
              <w:spacing w:after="0"/>
              <w:ind w:left="46"/>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pPr>
              <w:spacing w:after="0"/>
              <w:ind w:left="58"/>
              <w:jc w:val="both"/>
              <w:rPr>
                <w:bCs/>
                <w:color w:val="auto"/>
              </w:rPr>
            </w:pPr>
            <w:r>
              <w:rPr>
                <w:rFonts w:ascii="宋体" w:hAnsi="宋体" w:eastAsia="宋体" w:cs="宋体"/>
                <w:bCs/>
                <w:color w:val="auto"/>
                <w:sz w:val="21"/>
              </w:rPr>
              <w:t>成立时间</w:t>
            </w:r>
          </w:p>
        </w:tc>
        <w:tc>
          <w:tcPr>
            <w:tcW w:w="2269" w:type="dxa"/>
            <w:tcBorders>
              <w:top w:val="single" w:color="000000" w:sz="4" w:space="0"/>
              <w:left w:val="single" w:color="000000" w:sz="4" w:space="0"/>
              <w:bottom w:val="single" w:color="000000" w:sz="4" w:space="0"/>
              <w:right w:val="single" w:color="000000" w:sz="4" w:space="0"/>
            </w:tcBorders>
            <w:vAlign w:val="bottom"/>
          </w:tcPr>
          <w:p>
            <w:pPr>
              <w:spacing w:after="0"/>
              <w:ind w:left="50"/>
              <w:jc w:val="center"/>
              <w:rPr>
                <w:bCs/>
                <w:color w:val="auto"/>
              </w:rPr>
            </w:pPr>
          </w:p>
        </w:tc>
      </w:tr>
      <w:tr>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注册地址</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46"/>
              <w:jc w:val="center"/>
              <w:rPr>
                <w:bCs/>
                <w:color w:val="auto"/>
              </w:rPr>
            </w:pPr>
          </w:p>
        </w:tc>
      </w:tr>
      <w:tr>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邮政编码</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pPr>
              <w:spacing w:after="0"/>
              <w:ind w:left="46"/>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pPr>
              <w:spacing w:after="0"/>
              <w:ind w:left="58"/>
              <w:jc w:val="both"/>
              <w:rPr>
                <w:bCs/>
                <w:color w:val="auto"/>
              </w:rPr>
            </w:pPr>
            <w:r>
              <w:rPr>
                <w:rFonts w:ascii="宋体" w:hAnsi="宋体" w:eastAsia="宋体" w:cs="宋体"/>
                <w:bCs/>
                <w:color w:val="auto"/>
                <w:sz w:val="21"/>
              </w:rPr>
              <w:t>员工总数</w:t>
            </w:r>
          </w:p>
        </w:tc>
        <w:tc>
          <w:tcPr>
            <w:tcW w:w="2269" w:type="dxa"/>
            <w:tcBorders>
              <w:top w:val="single" w:color="000000" w:sz="4" w:space="0"/>
              <w:left w:val="single" w:color="000000" w:sz="4" w:space="0"/>
              <w:bottom w:val="single" w:color="000000" w:sz="4" w:space="0"/>
              <w:right w:val="single" w:color="000000" w:sz="4" w:space="0"/>
            </w:tcBorders>
            <w:vAlign w:val="bottom"/>
          </w:tcPr>
          <w:p>
            <w:pPr>
              <w:spacing w:after="0"/>
              <w:ind w:left="50"/>
              <w:jc w:val="center"/>
              <w:rPr>
                <w:bCs/>
                <w:color w:val="auto"/>
              </w:rPr>
            </w:pPr>
          </w:p>
        </w:tc>
      </w:tr>
      <w:tr>
        <w:tblPrEx>
          <w:tblCellMar>
            <w:top w:w="0" w:type="dxa"/>
            <w:left w:w="89" w:type="dxa"/>
            <w:bottom w:w="46" w:type="dxa"/>
            <w:right w:w="89" w:type="dxa"/>
          </w:tblCellMar>
        </w:tblPrEx>
        <w:trPr>
          <w:trHeight w:val="451" w:hRule="atLeast"/>
        </w:trPr>
        <w:tc>
          <w:tcPr>
            <w:tcW w:w="2174" w:type="dxa"/>
            <w:vMerge w:val="restart"/>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联系方式</w:t>
            </w:r>
          </w:p>
        </w:tc>
        <w:tc>
          <w:tcPr>
            <w:tcW w:w="944" w:type="dxa"/>
            <w:tcBorders>
              <w:top w:val="single" w:color="000000" w:sz="4" w:space="0"/>
              <w:left w:val="single" w:color="000000" w:sz="4" w:space="0"/>
              <w:bottom w:val="single" w:color="000000" w:sz="4" w:space="0"/>
              <w:right w:val="single" w:color="000000" w:sz="4" w:space="0"/>
            </w:tcBorders>
            <w:vAlign w:val="bottom"/>
          </w:tcPr>
          <w:p>
            <w:pPr>
              <w:spacing w:after="0"/>
              <w:ind w:left="65"/>
              <w:jc w:val="both"/>
              <w:rPr>
                <w:bCs/>
                <w:color w:val="auto"/>
              </w:rPr>
            </w:pPr>
            <w:r>
              <w:rPr>
                <w:rFonts w:ascii="宋体" w:hAnsi="宋体" w:eastAsia="宋体" w:cs="宋体"/>
                <w:bCs/>
                <w:color w:val="auto"/>
                <w:sz w:val="21"/>
              </w:rPr>
              <w:t>联系人</w:t>
            </w:r>
          </w:p>
        </w:tc>
        <w:tc>
          <w:tcPr>
            <w:tcW w:w="2410" w:type="dxa"/>
            <w:tcBorders>
              <w:top w:val="single" w:color="000000" w:sz="4" w:space="0"/>
              <w:left w:val="single" w:color="000000" w:sz="4" w:space="0"/>
              <w:bottom w:val="single" w:color="000000" w:sz="4" w:space="0"/>
              <w:right w:val="single" w:color="000000" w:sz="4" w:space="0"/>
            </w:tcBorders>
            <w:vAlign w:val="bottom"/>
          </w:tcPr>
          <w:p>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pPr>
              <w:spacing w:after="0"/>
              <w:ind w:left="50"/>
              <w:jc w:val="center"/>
              <w:rPr>
                <w:bCs/>
                <w:color w:val="auto"/>
              </w:rPr>
            </w:pPr>
          </w:p>
        </w:tc>
      </w:tr>
      <w:tr>
        <w:tblPrEx>
          <w:tblCellMar>
            <w:top w:w="0" w:type="dxa"/>
            <w:left w:w="89" w:type="dxa"/>
            <w:bottom w:w="46" w:type="dxa"/>
            <w:right w:w="89" w:type="dxa"/>
          </w:tblCellMar>
        </w:tblPrEx>
        <w:trPr>
          <w:trHeight w:val="449" w:hRule="atLeast"/>
        </w:trPr>
        <w:tc>
          <w:tcPr>
            <w:tcW w:w="0" w:type="auto"/>
            <w:vMerge w:val="continue"/>
            <w:tcBorders>
              <w:top w:val="nil"/>
              <w:left w:val="single" w:color="000000" w:sz="4" w:space="0"/>
              <w:bottom w:val="single" w:color="000000" w:sz="4" w:space="0"/>
              <w:right w:val="single" w:color="000000" w:sz="4" w:space="0"/>
            </w:tcBorders>
          </w:tcPr>
          <w:p>
            <w:pPr>
              <w:rPr>
                <w:bCs/>
                <w:color w:val="auto"/>
              </w:rPr>
            </w:pPr>
          </w:p>
        </w:tc>
        <w:tc>
          <w:tcPr>
            <w:tcW w:w="944" w:type="dxa"/>
            <w:tcBorders>
              <w:top w:val="single" w:color="000000" w:sz="4" w:space="0"/>
              <w:left w:val="single" w:color="000000" w:sz="4" w:space="0"/>
              <w:bottom w:val="single" w:color="000000" w:sz="4" w:space="0"/>
              <w:right w:val="single" w:color="000000" w:sz="4" w:space="0"/>
            </w:tcBorders>
            <w:vAlign w:val="bottom"/>
          </w:tcPr>
          <w:p>
            <w:pPr>
              <w:spacing w:after="0"/>
              <w:ind w:left="170"/>
              <w:rPr>
                <w:bCs/>
                <w:color w:val="auto"/>
              </w:rPr>
            </w:pPr>
            <w:r>
              <w:rPr>
                <w:rFonts w:ascii="宋体" w:hAnsi="宋体" w:eastAsia="宋体" w:cs="宋体"/>
                <w:bCs/>
                <w:color w:val="auto"/>
                <w:sz w:val="21"/>
              </w:rPr>
              <w:t>网址</w:t>
            </w:r>
          </w:p>
        </w:tc>
        <w:tc>
          <w:tcPr>
            <w:tcW w:w="2410" w:type="dxa"/>
            <w:tcBorders>
              <w:top w:val="single" w:color="000000" w:sz="4" w:space="0"/>
              <w:left w:val="single" w:color="000000" w:sz="4" w:space="0"/>
              <w:bottom w:val="single" w:color="000000" w:sz="4" w:space="0"/>
              <w:right w:val="single" w:color="000000" w:sz="4" w:space="0"/>
            </w:tcBorders>
            <w:vAlign w:val="bottom"/>
          </w:tcPr>
          <w:p>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传真</w:t>
            </w:r>
          </w:p>
        </w:tc>
        <w:tc>
          <w:tcPr>
            <w:tcW w:w="2269" w:type="dxa"/>
            <w:tcBorders>
              <w:top w:val="single" w:color="000000" w:sz="4" w:space="0"/>
              <w:left w:val="single" w:color="000000" w:sz="4" w:space="0"/>
              <w:bottom w:val="single" w:color="000000" w:sz="4" w:space="0"/>
              <w:right w:val="single" w:color="000000" w:sz="4" w:space="0"/>
            </w:tcBorders>
            <w:vAlign w:val="bottom"/>
          </w:tcPr>
          <w:p>
            <w:pPr>
              <w:spacing w:after="0"/>
              <w:ind w:left="50"/>
              <w:jc w:val="center"/>
              <w:rPr>
                <w:bCs/>
                <w:color w:val="auto"/>
              </w:rPr>
            </w:pPr>
          </w:p>
        </w:tc>
      </w:tr>
      <w:tr>
        <w:tblPrEx>
          <w:tblCellMar>
            <w:top w:w="0" w:type="dxa"/>
            <w:left w:w="89" w:type="dxa"/>
            <w:bottom w:w="46" w:type="dxa"/>
            <w:right w:w="89" w:type="dxa"/>
          </w:tblCellMar>
        </w:tblPrEx>
        <w:trPr>
          <w:trHeight w:val="890"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166"/>
              <w:ind w:left="2"/>
              <w:jc w:val="center"/>
              <w:rPr>
                <w:bCs/>
                <w:color w:val="auto"/>
              </w:rPr>
            </w:pPr>
            <w:r>
              <w:rPr>
                <w:rFonts w:ascii="宋体" w:hAnsi="宋体" w:eastAsia="宋体" w:cs="宋体"/>
                <w:bCs/>
                <w:color w:val="auto"/>
                <w:sz w:val="21"/>
              </w:rPr>
              <w:t>法定代表人</w:t>
            </w:r>
          </w:p>
          <w:p>
            <w:pPr>
              <w:spacing w:after="0"/>
              <w:ind w:left="209"/>
              <w:rPr>
                <w:bCs/>
                <w:color w:val="auto"/>
              </w:rPr>
            </w:pPr>
            <w:r>
              <w:rPr>
                <w:rFonts w:ascii="宋体" w:hAnsi="宋体" w:eastAsia="宋体" w:cs="宋体"/>
                <w:bCs/>
                <w:color w:val="auto"/>
                <w:sz w:val="21"/>
              </w:rPr>
              <w:t>（单位负责人）</w:t>
            </w:r>
          </w:p>
        </w:tc>
        <w:tc>
          <w:tcPr>
            <w:tcW w:w="944" w:type="dxa"/>
            <w:tcBorders>
              <w:top w:val="single" w:color="000000" w:sz="4" w:space="0"/>
              <w:left w:val="single" w:color="000000" w:sz="4" w:space="0"/>
              <w:bottom w:val="single" w:color="000000" w:sz="4" w:space="0"/>
              <w:right w:val="single" w:color="000000" w:sz="4" w:space="0"/>
            </w:tcBorders>
            <w:vAlign w:val="bottom"/>
          </w:tcPr>
          <w:p>
            <w:pPr>
              <w:spacing w:after="0"/>
              <w:ind w:left="170"/>
              <w:rPr>
                <w:bCs/>
                <w:color w:val="auto"/>
              </w:rPr>
            </w:pPr>
            <w:r>
              <w:rPr>
                <w:rFonts w:ascii="宋体" w:hAnsi="宋体" w:eastAsia="宋体" w:cs="宋体"/>
                <w:bCs/>
                <w:color w:val="auto"/>
                <w:sz w:val="21"/>
              </w:rPr>
              <w:t>姓名</w:t>
            </w:r>
          </w:p>
        </w:tc>
        <w:tc>
          <w:tcPr>
            <w:tcW w:w="2410" w:type="dxa"/>
            <w:tcBorders>
              <w:top w:val="single" w:color="000000" w:sz="4" w:space="0"/>
              <w:left w:val="single" w:color="000000" w:sz="4" w:space="0"/>
              <w:bottom w:val="single" w:color="000000" w:sz="4" w:space="0"/>
              <w:right w:val="single" w:color="000000" w:sz="4" w:space="0"/>
            </w:tcBorders>
            <w:vAlign w:val="bottom"/>
          </w:tcPr>
          <w:p>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pPr>
              <w:spacing w:after="0"/>
              <w:ind w:left="2"/>
              <w:jc w:val="center"/>
              <w:rPr>
                <w:bCs/>
                <w:color w:val="auto"/>
              </w:rPr>
            </w:pPr>
            <w:r>
              <w:rPr>
                <w:rFonts w:ascii="宋体" w:hAnsi="宋体" w:eastAsia="宋体" w:cs="宋体"/>
                <w:bCs/>
                <w:color w:val="auto"/>
                <w:sz w:val="21"/>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pPr>
              <w:spacing w:after="0"/>
              <w:ind w:left="50"/>
              <w:jc w:val="center"/>
              <w:rPr>
                <w:bCs/>
                <w:color w:val="auto"/>
              </w:rPr>
            </w:pPr>
          </w:p>
        </w:tc>
      </w:tr>
      <w:tr>
        <w:tblPrEx>
          <w:tblCellMar>
            <w:top w:w="0" w:type="dxa"/>
            <w:left w:w="89" w:type="dxa"/>
            <w:bottom w:w="46" w:type="dxa"/>
            <w:right w:w="89" w:type="dxa"/>
          </w:tblCellMar>
        </w:tblPrEx>
        <w:trPr>
          <w:trHeight w:val="1330"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jc w:val="center"/>
              <w:rPr>
                <w:bCs/>
                <w:color w:val="auto"/>
              </w:rPr>
            </w:pPr>
            <w:r>
              <w:rPr>
                <w:rFonts w:ascii="宋体" w:hAnsi="宋体" w:eastAsia="宋体" w:cs="宋体"/>
                <w:bCs/>
                <w:color w:val="auto"/>
                <w:sz w:val="21"/>
              </w:rPr>
              <w:t>投标人须知要求投标人需具有的各类资质证书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22"/>
              <w:rPr>
                <w:bCs/>
                <w:color w:val="auto"/>
              </w:rPr>
            </w:pPr>
            <w:r>
              <w:rPr>
                <w:rFonts w:ascii="宋体" w:hAnsi="宋体" w:eastAsia="宋体" w:cs="宋体"/>
                <w:bCs/>
                <w:color w:val="auto"/>
                <w:sz w:val="21"/>
              </w:rPr>
              <w:t>类型：等级：证书号：</w:t>
            </w:r>
          </w:p>
        </w:tc>
      </w:tr>
      <w:tr>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158"/>
              <w:rPr>
                <w:bCs/>
                <w:color w:val="auto"/>
              </w:rPr>
            </w:pPr>
            <w:r>
              <w:rPr>
                <w:rFonts w:ascii="宋体" w:hAnsi="宋体" w:eastAsia="宋体" w:cs="宋体"/>
                <w:bCs/>
                <w:color w:val="auto"/>
                <w:sz w:val="21"/>
              </w:rPr>
              <w:t>基本账户开户银行</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22"/>
              <w:rPr>
                <w:bCs/>
                <w:color w:val="auto"/>
              </w:rPr>
            </w:pPr>
          </w:p>
        </w:tc>
      </w:tr>
      <w:tr>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158"/>
              <w:rPr>
                <w:bCs/>
                <w:color w:val="auto"/>
              </w:rPr>
            </w:pPr>
            <w:r>
              <w:rPr>
                <w:rFonts w:ascii="宋体" w:hAnsi="宋体" w:eastAsia="宋体" w:cs="宋体"/>
                <w:bCs/>
                <w:color w:val="auto"/>
                <w:sz w:val="21"/>
              </w:rPr>
              <w:t>基本账户银行账号</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bCs/>
                <w:color w:val="auto"/>
              </w:rPr>
            </w:pPr>
          </w:p>
        </w:tc>
      </w:tr>
      <w:tr>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jc w:val="center"/>
              <w:rPr>
                <w:bCs/>
                <w:color w:val="auto"/>
              </w:rPr>
            </w:pPr>
            <w:r>
              <w:rPr>
                <w:rFonts w:ascii="宋体" w:hAnsi="宋体" w:eastAsia="宋体" w:cs="宋体"/>
                <w:bCs/>
                <w:color w:val="auto"/>
                <w:sz w:val="21"/>
              </w:rPr>
              <w:t>近三年营业额</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bCs/>
                <w:color w:val="auto"/>
              </w:rPr>
            </w:pPr>
          </w:p>
        </w:tc>
      </w:tr>
      <w:tr>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jc w:val="center"/>
              <w:rPr>
                <w:rFonts w:hint="eastAsia" w:cs="宋体" w:asciiTheme="minorEastAsia" w:hAnsiTheme="minorEastAsia" w:eastAsiaTheme="minorEastAsia"/>
                <w:bCs/>
                <w:color w:val="auto"/>
                <w:sz w:val="21"/>
                <w:szCs w:val="21"/>
              </w:rPr>
            </w:pPr>
            <w:r>
              <w:rPr>
                <w:rFonts w:cs="宋体" w:asciiTheme="minorEastAsia" w:hAnsiTheme="minorEastAsia" w:eastAsiaTheme="minorEastAsia"/>
                <w:bCs/>
                <w:color w:val="auto"/>
                <w:sz w:val="21"/>
                <w:szCs w:val="21"/>
              </w:rPr>
              <w:t>投标设备的业绩</w:t>
            </w:r>
          </w:p>
          <w:p>
            <w:pPr>
              <w:spacing w:after="0"/>
              <w:jc w:val="center"/>
              <w:rPr>
                <w:rFonts w:hint="eastAsia" w:ascii="宋体" w:hAnsi="宋体" w:eastAsia="宋体" w:cs="宋体"/>
                <w:bCs/>
                <w:color w:val="auto"/>
                <w:sz w:val="21"/>
              </w:rPr>
            </w:pPr>
            <w:r>
              <w:rPr>
                <w:rFonts w:hint="eastAsia" w:cs="宋体" w:asciiTheme="minorEastAsia" w:hAnsiTheme="minorEastAsia" w:eastAsiaTheme="minorEastAsia"/>
                <w:bCs/>
                <w:color w:val="auto"/>
                <w:sz w:val="21"/>
                <w:szCs w:val="21"/>
              </w:rPr>
              <w:t>（台/套）</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rFonts w:ascii="Times New Roman" w:hAnsi="Times New Roman" w:eastAsia="Times New Roman" w:cs="Times New Roman"/>
                <w:bCs/>
                <w:color w:val="auto"/>
                <w:sz w:val="21"/>
              </w:rPr>
            </w:pPr>
          </w:p>
        </w:tc>
      </w:tr>
      <w:tr>
        <w:tblPrEx>
          <w:tblCellMar>
            <w:top w:w="0" w:type="dxa"/>
            <w:left w:w="89" w:type="dxa"/>
            <w:bottom w:w="46" w:type="dxa"/>
            <w:right w:w="89" w:type="dxa"/>
          </w:tblCellMar>
        </w:tblPrEx>
        <w:trPr>
          <w:trHeight w:val="1681"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rPr>
                <w:bCs/>
                <w:color w:val="auto"/>
              </w:rPr>
            </w:pPr>
            <w:r>
              <w:rPr>
                <w:rFonts w:ascii="宋体" w:hAnsi="宋体" w:eastAsia="宋体" w:cs="宋体"/>
                <w:bCs/>
                <w:color w:val="auto"/>
                <w:sz w:val="21"/>
              </w:rPr>
              <w:t>投标人关联企业情况（包括但不限于与投标人法定代表人（单位负责人）为同一人或者存在控股、管理关系的不同单位）</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bCs/>
                <w:color w:val="auto"/>
              </w:rPr>
            </w:pPr>
          </w:p>
        </w:tc>
      </w:tr>
      <w:tr>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ind w:left="53"/>
              <w:jc w:val="both"/>
              <w:rPr>
                <w:bCs/>
                <w:color w:val="auto"/>
              </w:rPr>
            </w:pPr>
            <w:r>
              <w:rPr>
                <w:rFonts w:ascii="宋体" w:hAnsi="宋体" w:eastAsia="宋体" w:cs="宋体"/>
                <w:bCs/>
                <w:color w:val="auto"/>
                <w:sz w:val="21"/>
              </w:rPr>
              <w:t>投标设备制造商名称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bCs/>
                <w:color w:val="auto"/>
              </w:rPr>
            </w:pPr>
          </w:p>
        </w:tc>
      </w:tr>
      <w:tr>
        <w:tblPrEx>
          <w:tblCellMar>
            <w:top w:w="0" w:type="dxa"/>
            <w:left w:w="89" w:type="dxa"/>
            <w:bottom w:w="46" w:type="dxa"/>
            <w:right w:w="89" w:type="dxa"/>
          </w:tblCellMar>
        </w:tblPrEx>
        <w:trPr>
          <w:trHeight w:val="1332"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158"/>
              <w:ind w:left="262"/>
              <w:rPr>
                <w:bCs/>
                <w:color w:val="auto"/>
              </w:rPr>
            </w:pPr>
            <w:r>
              <w:rPr>
                <w:rFonts w:ascii="宋体" w:hAnsi="宋体" w:eastAsia="宋体" w:cs="宋体"/>
                <w:bCs/>
                <w:color w:val="auto"/>
                <w:sz w:val="21"/>
              </w:rPr>
              <w:t>投标人须知要求</w:t>
            </w:r>
          </w:p>
          <w:p>
            <w:pPr>
              <w:spacing w:after="149"/>
              <w:ind w:left="53"/>
              <w:jc w:val="both"/>
              <w:rPr>
                <w:bCs/>
                <w:color w:val="auto"/>
              </w:rPr>
            </w:pPr>
            <w:r>
              <w:rPr>
                <w:rFonts w:ascii="宋体" w:hAnsi="宋体" w:eastAsia="宋体" w:cs="宋体"/>
                <w:bCs/>
                <w:color w:val="auto"/>
                <w:sz w:val="21"/>
              </w:rPr>
              <w:t>投标设备制造商需具</w:t>
            </w:r>
          </w:p>
          <w:p>
            <w:pPr>
              <w:spacing w:after="0"/>
              <w:jc w:val="center"/>
              <w:rPr>
                <w:bCs/>
                <w:color w:val="auto"/>
              </w:rPr>
            </w:pPr>
            <w:r>
              <w:rPr>
                <w:rFonts w:ascii="宋体" w:hAnsi="宋体" w:eastAsia="宋体" w:cs="宋体"/>
                <w:bCs/>
                <w:color w:val="auto"/>
                <w:sz w:val="21"/>
              </w:rPr>
              <w:t>有的资质证书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17"/>
              <w:rPr>
                <w:bCs/>
                <w:color w:val="auto"/>
              </w:rPr>
            </w:pPr>
          </w:p>
        </w:tc>
      </w:tr>
      <w:tr>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pPr>
              <w:spacing w:after="0"/>
              <w:jc w:val="center"/>
              <w:rPr>
                <w:bCs/>
                <w:color w:val="auto"/>
              </w:rPr>
            </w:pPr>
            <w:r>
              <w:rPr>
                <w:rFonts w:ascii="宋体" w:hAnsi="宋体" w:eastAsia="宋体" w:cs="宋体"/>
                <w:bCs/>
                <w:color w:val="auto"/>
                <w:sz w:val="21"/>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pPr>
              <w:spacing w:after="0"/>
              <w:ind w:left="46"/>
              <w:jc w:val="center"/>
              <w:rPr>
                <w:bCs/>
                <w:color w:val="auto"/>
              </w:rPr>
            </w:pPr>
          </w:p>
        </w:tc>
      </w:tr>
    </w:tbl>
    <w:p>
      <w:pPr>
        <w:spacing w:after="5" w:line="374" w:lineRule="auto"/>
        <w:ind w:left="-5" w:right="590" w:hanging="10"/>
        <w:rPr>
          <w:bCs/>
          <w:color w:val="auto"/>
        </w:rPr>
      </w:pPr>
      <w:r>
        <w:rPr>
          <w:rFonts w:ascii="宋体" w:hAnsi="宋体" w:eastAsia="宋体" w:cs="宋体"/>
          <w:bCs/>
          <w:color w:val="auto"/>
          <w:sz w:val="21"/>
        </w:rPr>
        <w:t>注：</w:t>
      </w:r>
      <w:r>
        <w:rPr>
          <w:rFonts w:ascii="Times New Roman" w:hAnsi="Times New Roman" w:eastAsia="Times New Roman" w:cs="Times New Roman"/>
          <w:bCs/>
          <w:color w:val="auto"/>
          <w:sz w:val="21"/>
        </w:rPr>
        <w:t xml:space="preserve">1. </w:t>
      </w:r>
      <w:r>
        <w:rPr>
          <w:rFonts w:ascii="宋体" w:hAnsi="宋体" w:eastAsia="宋体" w:cs="宋体"/>
          <w:bCs/>
          <w:color w:val="auto"/>
          <w:sz w:val="21"/>
        </w:rPr>
        <w:t>投标人应根据投标人须知</w:t>
      </w:r>
      <w:r>
        <w:rPr>
          <w:rFonts w:hint="eastAsia" w:ascii="宋体" w:hAnsi="宋体" w:eastAsia="宋体" w:cs="宋体"/>
          <w:bCs/>
          <w:color w:val="auto"/>
          <w:sz w:val="21"/>
        </w:rPr>
        <w:t>前附表</w:t>
      </w:r>
      <w:r>
        <w:rPr>
          <w:rFonts w:ascii="宋体" w:hAnsi="宋体" w:eastAsia="宋体" w:cs="宋体"/>
          <w:bCs/>
          <w:color w:val="auto"/>
          <w:sz w:val="21"/>
        </w:rPr>
        <w:t xml:space="preserve">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项的要求在本表后附相关证明材料。</w:t>
      </w:r>
    </w:p>
    <w:p>
      <w:pPr>
        <w:spacing w:after="27" w:line="373" w:lineRule="auto"/>
        <w:ind w:left="-15" w:right="590" w:firstLine="420"/>
        <w:rPr>
          <w:bCs/>
          <w:color w:val="auto"/>
        </w:rPr>
      </w:pPr>
      <w:r>
        <w:rPr>
          <w:rFonts w:ascii="Times New Roman" w:hAnsi="Times New Roman" w:eastAsia="Times New Roman" w:cs="Times New Roman"/>
          <w:bCs/>
          <w:color w:val="auto"/>
          <w:sz w:val="21"/>
        </w:rPr>
        <w:t xml:space="preserve">2. </w:t>
      </w:r>
      <w:r>
        <w:rPr>
          <w:rFonts w:ascii="宋体" w:hAnsi="宋体" w:eastAsia="宋体" w:cs="宋体"/>
          <w:bCs/>
          <w:color w:val="auto"/>
          <w:sz w:val="21"/>
        </w:rPr>
        <w:t xml:space="preserve">如果投标人须知第 </w:t>
      </w:r>
      <w:r>
        <w:rPr>
          <w:rFonts w:ascii="Times New Roman" w:hAnsi="Times New Roman" w:eastAsia="Times New Roman" w:cs="Times New Roman"/>
          <w:bCs/>
          <w:color w:val="auto"/>
          <w:sz w:val="21"/>
        </w:rPr>
        <w:t xml:space="preserve">1.4.1 </w:t>
      </w:r>
      <w:r>
        <w:rPr>
          <w:rFonts w:ascii="宋体" w:hAnsi="宋体" w:eastAsia="宋体" w:cs="宋体"/>
          <w:bCs/>
          <w:color w:val="auto"/>
          <w:sz w:val="21"/>
        </w:rPr>
        <w:t xml:space="preserve">项对投标设备制造商的资质提出了要求，投标人应根据投标人须知第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项的要求在本表后附相关资质证书复印件。</w:t>
      </w:r>
    </w:p>
    <w:p>
      <w:pPr>
        <w:spacing w:after="180"/>
        <w:rPr>
          <w:b/>
          <w:color w:val="auto"/>
        </w:rPr>
      </w:pPr>
    </w:p>
    <w:p>
      <w:pPr>
        <w:spacing w:after="0"/>
        <w:rPr>
          <w:b/>
          <w:color w:val="auto"/>
        </w:rPr>
      </w:pPr>
      <w:r>
        <w:rPr>
          <w:rFonts w:ascii="Times New Roman" w:hAnsi="Times New Roman" w:eastAsia="Times New Roman" w:cs="Times New Roman"/>
          <w:b/>
          <w:color w:val="auto"/>
          <w:sz w:val="21"/>
        </w:rPr>
        <w:tab/>
      </w:r>
      <w:r>
        <w:rPr>
          <w:b/>
          <w:color w:val="auto"/>
        </w:rPr>
        <w:br w:type="page"/>
      </w:r>
    </w:p>
    <w:p>
      <w:pPr>
        <w:pStyle w:val="4"/>
        <w:spacing w:after="578"/>
        <w:ind w:left="132" w:right="0"/>
        <w:rPr>
          <w:rFonts w:hint="eastAsia"/>
          <w:bCs/>
          <w:color w:val="auto"/>
        </w:rPr>
      </w:pPr>
      <w:bookmarkStart w:id="186" w:name="_Toc195390933"/>
      <w:r>
        <w:rPr>
          <w:bCs/>
          <w:color w:val="auto"/>
        </w:rPr>
        <w:t>（二）</w:t>
      </w:r>
      <w:bookmarkEnd w:id="186"/>
      <w:r>
        <w:rPr>
          <w:rFonts w:hint="eastAsia" w:ascii="Times New Roman" w:hAnsi="Times New Roman"/>
        </w:rPr>
        <w:t>资质要求证明材料</w:t>
      </w:r>
    </w:p>
    <w:p>
      <w:pPr>
        <w:spacing w:after="0"/>
        <w:ind w:left="420" w:firstLine="420" w:firstLineChars="200"/>
        <w:rPr>
          <w:rFonts w:hint="eastAsia" w:ascii="宋体" w:hAnsi="宋体" w:eastAsia="宋体" w:cs="宋体"/>
          <w:bCs/>
          <w:color w:val="auto"/>
          <w:sz w:val="21"/>
        </w:rPr>
      </w:pPr>
      <w:r>
        <w:rPr>
          <w:rFonts w:hint="eastAsia" w:ascii="宋体" w:hAnsi="宋体" w:eastAsia="宋体" w:cs="宋体"/>
          <w:bCs/>
          <w:color w:val="auto"/>
          <w:sz w:val="21"/>
        </w:rPr>
        <w:t>投标人应根据招标文件第一章“招标公告”第</w:t>
      </w:r>
      <w:r>
        <w:rPr>
          <w:rFonts w:ascii="宋体" w:hAnsi="宋体" w:eastAsia="宋体" w:cs="宋体"/>
          <w:bCs/>
          <w:color w:val="auto"/>
          <w:sz w:val="21"/>
        </w:rPr>
        <w:t>3</w:t>
      </w:r>
      <w:r>
        <w:rPr>
          <w:rFonts w:hint="eastAsia" w:ascii="宋体" w:hAnsi="宋体" w:eastAsia="宋体" w:cs="宋体"/>
          <w:bCs/>
          <w:color w:val="auto"/>
          <w:sz w:val="21"/>
        </w:rPr>
        <w:t>条投标人资格要求中的资质要求提供证明材料。若无相关要求投标人可根据本次招标实际情况并结合第三章评标办法中的相关约定提供。</w:t>
      </w: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pacing w:after="0"/>
        <w:ind w:left="420" w:firstLine="420" w:firstLineChars="200"/>
        <w:rPr>
          <w:rFonts w:hint="eastAsia" w:ascii="宋体" w:hAnsi="宋体" w:eastAsia="宋体" w:cs="宋体"/>
          <w:bCs/>
          <w:color w:val="auto"/>
          <w:sz w:val="21"/>
        </w:rPr>
      </w:pPr>
    </w:p>
    <w:p>
      <w:pPr>
        <w:shd w:val="clear" w:color="auto" w:fill="FFFFFF"/>
        <w:spacing w:after="150"/>
        <w:ind w:firstLine="482" w:firstLineChars="200"/>
        <w:jc w:val="both"/>
        <w:textAlignment w:val="top"/>
        <w:rPr>
          <w:rFonts w:hint="eastAsia" w:cs="黑体" w:asciiTheme="minorEastAsia" w:hAnsiTheme="minorEastAsia" w:eastAsiaTheme="minorEastAsia"/>
          <w:b/>
          <w:color w:val="000000" w:themeColor="text1"/>
          <w:sz w:val="24"/>
          <w:szCs w:val="24"/>
          <w14:textFill>
            <w14:solidFill>
              <w14:schemeClr w14:val="tx1"/>
            </w14:solidFill>
          </w14:textFill>
        </w:rPr>
      </w:pPr>
      <w:r>
        <w:rPr>
          <w:rFonts w:hint="eastAsia" w:cs="黑体" w:asciiTheme="minorEastAsia" w:hAnsiTheme="minorEastAsia" w:eastAsiaTheme="minorEastAsia"/>
          <w:b/>
          <w:color w:val="000000" w:themeColor="text1"/>
          <w:sz w:val="24"/>
          <w:szCs w:val="24"/>
          <w14:textFill>
            <w14:solidFill>
              <w14:schemeClr w14:val="tx1"/>
            </w14:solidFill>
          </w14:textFill>
        </w:rPr>
        <w:t>具有履行合同所必需的设备和专业技术能力</w:t>
      </w:r>
      <w:r>
        <w:rPr>
          <w:rFonts w:cs="黑体" w:asciiTheme="minorEastAsia" w:hAnsiTheme="minorEastAsia" w:eastAsiaTheme="minorEastAsia"/>
          <w:b/>
          <w:color w:val="000000" w:themeColor="text1"/>
          <w:sz w:val="24"/>
          <w:szCs w:val="24"/>
          <w14:textFill>
            <w14:solidFill>
              <w14:schemeClr w14:val="tx1"/>
            </w14:solidFill>
          </w14:textFill>
        </w:rPr>
        <w:t>（格式自拟）</w:t>
      </w:r>
      <w:r>
        <w:rPr>
          <w:rFonts w:hint="eastAsia" w:cs="黑体" w:asciiTheme="minorEastAsia" w:hAnsiTheme="minorEastAsia" w:eastAsiaTheme="minorEastAsia"/>
          <w:b/>
          <w:color w:val="000000" w:themeColor="text1"/>
          <w:sz w:val="24"/>
          <w:szCs w:val="24"/>
          <w14:textFill>
            <w14:solidFill>
              <w14:schemeClr w14:val="tx1"/>
            </w14:solidFill>
          </w14:textFill>
        </w:rPr>
        <w:t>。</w:t>
      </w:r>
    </w:p>
    <w:p>
      <w:pPr>
        <w:spacing w:after="0"/>
        <w:ind w:left="420" w:firstLine="420" w:firstLineChars="200"/>
        <w:rPr>
          <w:b/>
          <w:color w:val="auto"/>
        </w:rPr>
      </w:pPr>
      <w:r>
        <w:rPr>
          <w:rFonts w:ascii="Times New Roman" w:hAnsi="Times New Roman" w:eastAsia="Times New Roman" w:cs="Times New Roman"/>
          <w:b/>
          <w:color w:val="auto"/>
          <w:sz w:val="21"/>
        </w:rPr>
        <w:tab/>
      </w:r>
      <w:r>
        <w:rPr>
          <w:b/>
          <w:color w:val="auto"/>
        </w:rPr>
        <w:br w:type="page"/>
      </w:r>
    </w:p>
    <w:p>
      <w:pPr>
        <w:pStyle w:val="4"/>
        <w:spacing w:after="163"/>
        <w:ind w:left="132" w:right="0"/>
        <w:rPr>
          <w:rFonts w:hint="eastAsia"/>
          <w:bCs/>
          <w:color w:val="auto"/>
        </w:rPr>
      </w:pPr>
      <w:bookmarkStart w:id="187" w:name="_Toc195390934"/>
      <w:r>
        <w:rPr>
          <w:bCs/>
          <w:color w:val="auto"/>
        </w:rPr>
        <w:t>（三）</w:t>
      </w:r>
      <w:r>
        <w:rPr>
          <w:rFonts w:hint="eastAsia"/>
          <w:bCs/>
          <w:color w:val="auto"/>
        </w:rPr>
        <w:t>财务要求证明材料</w:t>
      </w:r>
    </w:p>
    <w:p>
      <w:pPr>
        <w:pStyle w:val="42"/>
        <w:spacing w:before="120" w:after="120"/>
        <w:ind w:firstLine="485"/>
      </w:pPr>
    </w:p>
    <w:p>
      <w:pPr>
        <w:rPr>
          <w:rFonts w:hint="eastAsia" w:ascii="宋体" w:hAnsi="宋体" w:eastAsia="宋体" w:cs="宋体"/>
        </w:rPr>
      </w:pPr>
      <w:r>
        <w:rPr>
          <w:rFonts w:hint="eastAsia" w:ascii="宋体" w:hAnsi="宋体" w:eastAsia="宋体" w:cs="宋体"/>
        </w:rPr>
        <w:t>说明：投标人应根据招标文件第一章</w:t>
      </w:r>
      <w:r>
        <w:t>“</w:t>
      </w:r>
      <w:r>
        <w:rPr>
          <w:rFonts w:hint="eastAsia" w:ascii="宋体" w:hAnsi="宋体" w:eastAsia="宋体" w:cs="宋体"/>
        </w:rPr>
        <w:t>招标公告</w:t>
      </w:r>
      <w:r>
        <w:t>”</w:t>
      </w:r>
      <w:r>
        <w:rPr>
          <w:rFonts w:hint="eastAsia" w:ascii="宋体" w:hAnsi="宋体" w:eastAsia="宋体" w:cs="宋体"/>
        </w:rPr>
        <w:t>第</w:t>
      </w:r>
      <w:r>
        <w:t>3</w:t>
      </w:r>
      <w:r>
        <w:rPr>
          <w:rFonts w:hint="eastAsia" w:ascii="宋体" w:hAnsi="宋体" w:eastAsia="宋体" w:cs="宋体"/>
        </w:rPr>
        <w:t>条投标人资格要求中的财务要求提供证明材料。若无相关要求投标人可根据本次招标实际情况并结合第三章评标办法中的相关约定提供。</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b/>
          <w:bCs/>
        </w:rPr>
      </w:pPr>
      <w:r>
        <w:rPr>
          <w:rFonts w:hint="eastAsia" w:ascii="宋体" w:hAnsi="宋体" w:eastAsia="宋体" w:cs="宋体"/>
          <w:b/>
          <w:bCs/>
        </w:rPr>
        <w:t>具有依法缴纳税收和社会保障资金的良好记录。</w:t>
      </w:r>
    </w:p>
    <w:p>
      <w:pPr>
        <w:rPr>
          <w:rFonts w:hint="eastAsia" w:ascii="宋体" w:hAnsi="宋体" w:eastAsia="宋体" w:cs="宋体"/>
          <w:b/>
          <w:bCs/>
        </w:rPr>
      </w:pPr>
      <w:r>
        <w:rPr>
          <w:rFonts w:hint="eastAsia" w:ascii="宋体" w:hAnsi="宋体" w:eastAsia="宋体" w:cs="宋体"/>
          <w:b/>
          <w:bCs/>
        </w:rPr>
        <w:t>投标人提供近一年内不少于</w:t>
      </w:r>
      <w:r>
        <w:rPr>
          <w:b/>
          <w:bCs/>
        </w:rPr>
        <w:t>3</w:t>
      </w:r>
      <w:r>
        <w:rPr>
          <w:rFonts w:hint="eastAsia" w:ascii="宋体" w:hAnsi="宋体" w:eastAsia="宋体" w:cs="宋体"/>
          <w:b/>
          <w:bCs/>
        </w:rPr>
        <w:t>个月的缴纳税收的银行电子回单（票据）或税务部门出具的纳税证明或者纳税申报资料（复印件加盖投标人公章）；</w:t>
      </w:r>
    </w:p>
    <w:p>
      <w:pPr>
        <w:rPr>
          <w:b/>
          <w:bCs/>
        </w:rPr>
      </w:pPr>
      <w:r>
        <w:rPr>
          <w:rFonts w:hint="eastAsia" w:ascii="宋体" w:hAnsi="宋体" w:eastAsia="宋体" w:cs="宋体"/>
          <w:b/>
          <w:bCs/>
        </w:rPr>
        <w:t>投标人提供近一年内连续不少于</w:t>
      </w:r>
      <w:r>
        <w:rPr>
          <w:b/>
          <w:bCs/>
        </w:rPr>
        <w:t>3</w:t>
      </w:r>
      <w:r>
        <w:rPr>
          <w:rFonts w:hint="eastAsia" w:ascii="宋体" w:hAnsi="宋体" w:eastAsia="宋体" w:cs="宋体"/>
          <w:b/>
          <w:bCs/>
        </w:rPr>
        <w:t>个月的缴纳社保的银行电子回单（票据）或社保部门出具的社保缴纳证明材料（复印件加盖投标人公章）。</w:t>
      </w:r>
    </w:p>
    <w:p>
      <w:pPr>
        <w:pStyle w:val="4"/>
        <w:spacing w:after="163"/>
        <w:ind w:left="0" w:right="0" w:firstLine="0"/>
        <w:rPr>
          <w:rFonts w:hint="eastAsia"/>
          <w:bCs/>
          <w:color w:val="auto"/>
        </w:rPr>
        <w:sectPr>
          <w:pgSz w:w="12240" w:h="15840"/>
          <w:pgMar w:top="1445" w:right="1097" w:bottom="1466" w:left="1800" w:header="720" w:footer="720" w:gutter="0"/>
          <w:cols w:space="720" w:num="1"/>
        </w:sectPr>
      </w:pPr>
    </w:p>
    <w:p>
      <w:pPr>
        <w:pStyle w:val="4"/>
        <w:spacing w:after="163"/>
        <w:ind w:left="132" w:right="0"/>
        <w:rPr>
          <w:rFonts w:hint="eastAsia"/>
          <w:bCs/>
          <w:color w:val="auto"/>
        </w:rPr>
      </w:pPr>
      <w:r>
        <w:rPr>
          <w:rFonts w:hint="eastAsia"/>
          <w:bCs/>
          <w:color w:val="auto"/>
        </w:rPr>
        <w:t>（四）</w:t>
      </w:r>
      <w:bookmarkEnd w:id="187"/>
      <w:r>
        <w:rPr>
          <w:rFonts w:hint="eastAsia"/>
          <w:bCs/>
          <w:color w:val="auto"/>
        </w:rPr>
        <w:t>业绩要求证明材料</w:t>
      </w:r>
    </w:p>
    <w:p>
      <w:pPr>
        <w:rPr>
          <w:rFonts w:eastAsiaTheme="minorEastAsia"/>
        </w:rPr>
      </w:pPr>
      <w:r>
        <w:rPr>
          <w:rFonts w:hint="eastAsia" w:eastAsiaTheme="minorEastAsia"/>
        </w:rPr>
        <w:t>①投标人应根据招标文件第一章“招标公告”第3条投标人资格要求中的业绩要求提供证明材料。若无相关要求投标人可根据本次招标实际情况并结合第三章评标办法中的相关约定提供；</w:t>
      </w:r>
    </w:p>
    <w:p>
      <w:pPr>
        <w:rPr>
          <w:rFonts w:eastAsiaTheme="minorEastAsia"/>
        </w:rPr>
      </w:pPr>
      <w:r>
        <w:rPr>
          <w:rFonts w:hint="eastAsia" w:eastAsiaTheme="minorEastAsia"/>
        </w:rPr>
        <w:t>②投标人在提供业绩证明材料，建议首先按照以下格式提供业绩汇总表，再提供每个项目的概览表及证明材料。</w:t>
      </w:r>
    </w:p>
    <w:p>
      <w:pPr>
        <w:rPr>
          <w:rFonts w:eastAsiaTheme="minorEastAsia"/>
        </w:rPr>
      </w:pPr>
    </w:p>
    <w:p>
      <w:pPr>
        <w:rPr>
          <w:rFonts w:eastAsiaTheme="minorEastAsia"/>
        </w:rPr>
      </w:pPr>
    </w:p>
    <w:p>
      <w:pPr>
        <w:pStyle w:val="5"/>
        <w:jc w:val="center"/>
        <w:rPr>
          <w:rFonts w:hint="eastAsia"/>
        </w:rPr>
      </w:pPr>
      <w:r>
        <w:rPr>
          <w:rFonts w:hint="eastAsia"/>
        </w:rPr>
        <w:t>（1）业绩汇总表</w:t>
      </w:r>
    </w:p>
    <w:p>
      <w:pPr>
        <w:rPr>
          <w:rFonts w:eastAsiaTheme="minorEastAsia"/>
        </w:rPr>
      </w:pPr>
    </w:p>
    <w:tbl>
      <w:tblPr>
        <w:tblStyle w:val="31"/>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559"/>
        <w:gridCol w:w="1560"/>
        <w:gridCol w:w="1560"/>
        <w:gridCol w:w="1560"/>
        <w:gridCol w:w="1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序号</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项目名称</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服务买方</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合同金额</w:t>
            </w:r>
          </w:p>
          <w:p>
            <w:pPr>
              <w:jc w:val="center"/>
              <w:rPr>
                <w:rFonts w:eastAsiaTheme="minorEastAsia"/>
                <w:b/>
                <w:bCs/>
              </w:rPr>
            </w:pPr>
            <w:r>
              <w:rPr>
                <w:rFonts w:hint="eastAsia" w:eastAsiaTheme="minorEastAsia"/>
                <w:b/>
                <w:bCs/>
              </w:rPr>
              <w:t>（如有）</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签订日期</w:t>
            </w:r>
          </w:p>
        </w:tc>
        <w:tc>
          <w:tcPr>
            <w:tcW w:w="1561"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rPr>
            </w:pPr>
            <w:r>
              <w:rPr>
                <w:rFonts w:hint="eastAsia" w:eastAsiaTheme="minorEastAsia"/>
                <w:b/>
                <w:bCs/>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1</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2</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3</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4</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5</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r>
              <w:rPr>
                <w:rFonts w:hint="eastAsia" w:eastAsiaTheme="minorEastAsia"/>
              </w:rPr>
              <w:t>……</w:t>
            </w: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pPr>
              <w:rPr>
                <w:rFonts w:eastAsiaTheme="minorEastAsia"/>
              </w:rPr>
            </w:pPr>
          </w:p>
        </w:tc>
      </w:tr>
    </w:tbl>
    <w:p>
      <w:pPr>
        <w:rPr>
          <w:rFonts w:eastAsiaTheme="minorEastAsia"/>
        </w:rPr>
      </w:pPr>
    </w:p>
    <w:p>
      <w:pPr>
        <w:rPr>
          <w:rFonts w:eastAsiaTheme="minorEastAsia"/>
        </w:rPr>
        <w:sectPr>
          <w:pgSz w:w="12240" w:h="15840"/>
          <w:pgMar w:top="1445" w:right="1097" w:bottom="1466" w:left="1800" w:header="720" w:footer="720" w:gutter="0"/>
          <w:cols w:space="720" w:num="1"/>
        </w:sectPr>
      </w:pPr>
    </w:p>
    <w:p>
      <w:pPr>
        <w:rPr>
          <w:rFonts w:eastAsiaTheme="minorEastAsia"/>
        </w:rPr>
      </w:pPr>
    </w:p>
    <w:p>
      <w:pPr>
        <w:pStyle w:val="5"/>
        <w:rPr>
          <w:rFonts w:hint="eastAsia"/>
        </w:rPr>
      </w:pPr>
      <w:r>
        <w:rPr>
          <w:rFonts w:hint="eastAsia"/>
        </w:rPr>
        <w:t>（2）      (项目名称)      业绩概览表</w:t>
      </w:r>
    </w:p>
    <w:tbl>
      <w:tblPr>
        <w:tblStyle w:val="38"/>
        <w:tblW w:w="8522" w:type="dxa"/>
        <w:tblInd w:w="60" w:type="dxa"/>
        <w:tblLayout w:type="autofit"/>
        <w:tblCellMar>
          <w:top w:w="169" w:type="dxa"/>
          <w:left w:w="108" w:type="dxa"/>
          <w:bottom w:w="46" w:type="dxa"/>
          <w:right w:w="115" w:type="dxa"/>
        </w:tblCellMar>
      </w:tblPr>
      <w:tblGrid>
        <w:gridCol w:w="2269"/>
        <w:gridCol w:w="6253"/>
      </w:tblGrid>
      <w:tr>
        <w:tblPrEx>
          <w:tblCellMar>
            <w:top w:w="169" w:type="dxa"/>
            <w:left w:w="108" w:type="dxa"/>
            <w:bottom w:w="46" w:type="dxa"/>
            <w:right w:w="115" w:type="dxa"/>
          </w:tblCellMar>
        </w:tblPrEx>
        <w:trPr>
          <w:trHeight w:val="679"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7"/>
              <w:jc w:val="center"/>
              <w:rPr>
                <w:bCs/>
                <w:color w:val="auto"/>
              </w:rPr>
            </w:pPr>
            <w:r>
              <w:rPr>
                <w:rFonts w:ascii="宋体" w:hAnsi="宋体" w:eastAsia="宋体" w:cs="宋体"/>
                <w:bCs/>
                <w:color w:val="auto"/>
                <w:sz w:val="21"/>
              </w:rPr>
              <w:t>设备名称</w:t>
            </w:r>
          </w:p>
        </w:tc>
        <w:tc>
          <w:tcPr>
            <w:tcW w:w="6253" w:type="dxa"/>
            <w:tcBorders>
              <w:top w:val="single" w:color="000000" w:sz="4" w:space="0"/>
              <w:left w:val="single" w:color="000000" w:sz="4" w:space="0"/>
              <w:bottom w:val="single" w:color="000000" w:sz="4" w:space="0"/>
              <w:right w:val="single" w:color="000000" w:sz="4" w:space="0"/>
            </w:tcBorders>
          </w:tcPr>
          <w:p>
            <w:pPr>
              <w:spacing w:after="0"/>
              <w:rPr>
                <w:bCs/>
                <w:color w:val="auto"/>
              </w:rPr>
            </w:pPr>
          </w:p>
        </w:tc>
      </w:tr>
      <w:tr>
        <w:tblPrEx>
          <w:tblCellMar>
            <w:top w:w="169" w:type="dxa"/>
            <w:left w:w="108" w:type="dxa"/>
            <w:bottom w:w="46" w:type="dxa"/>
            <w:right w:w="115" w:type="dxa"/>
          </w:tblCellMar>
        </w:tblPrEx>
        <w:trPr>
          <w:trHeight w:val="617"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7"/>
              <w:jc w:val="center"/>
              <w:rPr>
                <w:bCs/>
                <w:color w:val="auto"/>
              </w:rPr>
            </w:pPr>
            <w:r>
              <w:rPr>
                <w:rFonts w:ascii="宋体" w:hAnsi="宋体" w:eastAsia="宋体" w:cs="宋体"/>
                <w:bCs/>
                <w:color w:val="auto"/>
                <w:sz w:val="21"/>
              </w:rPr>
              <w:t>规格和型号</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r>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7"/>
              <w:jc w:val="center"/>
              <w:rPr>
                <w:bCs/>
                <w:color w:val="auto"/>
              </w:rPr>
            </w:pPr>
            <w:r>
              <w:rPr>
                <w:rFonts w:ascii="宋体" w:hAnsi="宋体" w:eastAsia="宋体" w:cs="宋体"/>
                <w:bCs/>
                <w:color w:val="auto"/>
                <w:sz w:val="21"/>
              </w:rPr>
              <w:t>项目名称</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r>
        <w:tblPrEx>
          <w:tblCellMar>
            <w:top w:w="169" w:type="dxa"/>
            <w:left w:w="108" w:type="dxa"/>
            <w:bottom w:w="46" w:type="dxa"/>
            <w:right w:w="115" w:type="dxa"/>
          </w:tblCellMar>
        </w:tblPrEx>
        <w:trPr>
          <w:trHeight w:val="620"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7"/>
              <w:jc w:val="center"/>
              <w:rPr>
                <w:bCs/>
                <w:color w:val="auto"/>
              </w:rPr>
            </w:pPr>
            <w:r>
              <w:rPr>
                <w:rFonts w:ascii="宋体" w:hAnsi="宋体" w:eastAsia="宋体" w:cs="宋体"/>
                <w:bCs/>
                <w:color w:val="auto"/>
                <w:sz w:val="21"/>
              </w:rPr>
              <w:t>买方名称</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r>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185"/>
              <w:jc w:val="center"/>
              <w:rPr>
                <w:bCs/>
                <w:color w:val="auto"/>
              </w:rPr>
            </w:pPr>
            <w:r>
              <w:rPr>
                <w:rFonts w:ascii="宋体" w:hAnsi="宋体" w:eastAsia="宋体" w:cs="宋体"/>
                <w:bCs/>
                <w:color w:val="auto"/>
                <w:sz w:val="21"/>
              </w:rPr>
              <w:t>买方联系人及电话</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r>
        <w:tblPrEx>
          <w:tblCellMar>
            <w:top w:w="169" w:type="dxa"/>
            <w:left w:w="108" w:type="dxa"/>
            <w:bottom w:w="46" w:type="dxa"/>
            <w:right w:w="115" w:type="dxa"/>
          </w:tblCellMar>
        </w:tblPrEx>
        <w:trPr>
          <w:trHeight w:val="622"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7"/>
              <w:jc w:val="center"/>
              <w:rPr>
                <w:bCs/>
                <w:color w:val="auto"/>
              </w:rPr>
            </w:pPr>
            <w:r>
              <w:rPr>
                <w:rFonts w:ascii="宋体" w:hAnsi="宋体" w:eastAsia="宋体" w:cs="宋体"/>
                <w:bCs/>
                <w:color w:val="auto"/>
                <w:sz w:val="21"/>
              </w:rPr>
              <w:t>合同价格</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r>
        <w:tblPrEx>
          <w:tblCellMar>
            <w:top w:w="169" w:type="dxa"/>
            <w:left w:w="108" w:type="dxa"/>
            <w:bottom w:w="46" w:type="dxa"/>
            <w:right w:w="115" w:type="dxa"/>
          </w:tblCellMar>
        </w:tblPrEx>
        <w:trPr>
          <w:trHeight w:val="3089"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jc w:val="center"/>
              <w:rPr>
                <w:bCs/>
                <w:color w:val="auto"/>
              </w:rPr>
            </w:pPr>
            <w:r>
              <w:rPr>
                <w:rFonts w:ascii="宋体" w:hAnsi="宋体" w:eastAsia="宋体" w:cs="宋体"/>
                <w:bCs/>
                <w:color w:val="auto"/>
                <w:sz w:val="21"/>
              </w:rPr>
              <w:t>项目概况及投标人履约情况</w:t>
            </w:r>
          </w:p>
        </w:tc>
        <w:tc>
          <w:tcPr>
            <w:tcW w:w="6253" w:type="dxa"/>
            <w:tcBorders>
              <w:top w:val="single" w:color="000000" w:sz="4" w:space="0"/>
              <w:left w:val="single" w:color="000000" w:sz="4" w:space="0"/>
              <w:bottom w:val="single" w:color="000000" w:sz="4" w:space="0"/>
              <w:right w:val="single" w:color="000000" w:sz="4" w:space="0"/>
            </w:tcBorders>
            <w:vAlign w:val="bottom"/>
          </w:tcPr>
          <w:p>
            <w:pPr>
              <w:spacing w:after="175"/>
              <w:rPr>
                <w:bCs/>
                <w:color w:val="auto"/>
              </w:rPr>
            </w:pPr>
          </w:p>
          <w:p>
            <w:pPr>
              <w:spacing w:after="177"/>
              <w:rPr>
                <w:bCs/>
                <w:color w:val="auto"/>
              </w:rPr>
            </w:pPr>
          </w:p>
          <w:p>
            <w:pPr>
              <w:spacing w:after="175"/>
              <w:rPr>
                <w:bCs/>
                <w:color w:val="auto"/>
              </w:rPr>
            </w:pPr>
          </w:p>
          <w:p>
            <w:pPr>
              <w:spacing w:after="175"/>
              <w:rPr>
                <w:bCs/>
                <w:color w:val="auto"/>
              </w:rPr>
            </w:pPr>
          </w:p>
          <w:p>
            <w:pPr>
              <w:spacing w:after="177"/>
              <w:rPr>
                <w:bCs/>
                <w:color w:val="auto"/>
              </w:rPr>
            </w:pPr>
          </w:p>
          <w:p>
            <w:pPr>
              <w:spacing w:after="175"/>
              <w:rPr>
                <w:bCs/>
                <w:color w:val="auto"/>
              </w:rPr>
            </w:pPr>
          </w:p>
          <w:p>
            <w:pPr>
              <w:spacing w:after="0"/>
              <w:rPr>
                <w:bCs/>
                <w:color w:val="auto"/>
              </w:rPr>
            </w:pPr>
          </w:p>
        </w:tc>
      </w:tr>
      <w:tr>
        <w:tblPrEx>
          <w:tblCellMar>
            <w:top w:w="169" w:type="dxa"/>
            <w:left w:w="108" w:type="dxa"/>
            <w:bottom w:w="46" w:type="dxa"/>
            <w:right w:w="115" w:type="dxa"/>
          </w:tblCellMar>
        </w:tblPrEx>
        <w:trPr>
          <w:trHeight w:val="638" w:hRule="atLeast"/>
        </w:trPr>
        <w:tc>
          <w:tcPr>
            <w:tcW w:w="2269" w:type="dxa"/>
            <w:tcBorders>
              <w:top w:val="single" w:color="000000" w:sz="4" w:space="0"/>
              <w:left w:val="single" w:color="000000" w:sz="4" w:space="0"/>
              <w:bottom w:val="single" w:color="000000" w:sz="4" w:space="0"/>
              <w:right w:val="single" w:color="000000" w:sz="4" w:space="0"/>
            </w:tcBorders>
            <w:vAlign w:val="center"/>
          </w:tcPr>
          <w:p>
            <w:pPr>
              <w:spacing w:after="0"/>
              <w:ind w:left="9"/>
              <w:jc w:val="center"/>
              <w:rPr>
                <w:bCs/>
                <w:color w:val="auto"/>
              </w:rPr>
            </w:pPr>
            <w:r>
              <w:rPr>
                <w:rFonts w:ascii="宋体" w:hAnsi="宋体" w:eastAsia="宋体" w:cs="宋体"/>
                <w:bCs/>
                <w:color w:val="auto"/>
                <w:sz w:val="21"/>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pPr>
              <w:spacing w:after="0"/>
              <w:rPr>
                <w:bCs/>
                <w:color w:val="auto"/>
              </w:rPr>
            </w:pPr>
          </w:p>
        </w:tc>
      </w:tr>
    </w:tbl>
    <w:p>
      <w:pPr>
        <w:widowControl w:val="0"/>
        <w:spacing w:line="278" w:lineRule="auto"/>
        <w:jc w:val="both"/>
        <w:rPr>
          <w:rFonts w:hint="eastAsia" w:ascii="宋体" w:hAnsi="宋体" w:eastAsia="宋体" w:cs="宋体"/>
          <w:bCs/>
          <w:color w:val="auto"/>
          <w:sz w:val="21"/>
        </w:rPr>
      </w:pPr>
      <w:r>
        <w:rPr>
          <w:rFonts w:hint="eastAsia" w:ascii="宋体" w:hAnsi="宋体" w:eastAsia="宋体" w:cs="宋体"/>
          <w:bCs/>
          <w:color w:val="auto"/>
          <w:sz w:val="21"/>
        </w:rPr>
        <w:t>注：</w:t>
      </w:r>
    </w:p>
    <w:p>
      <w:pPr>
        <w:widowControl w:val="0"/>
        <w:spacing w:line="278" w:lineRule="auto"/>
        <w:ind w:firstLine="122"/>
        <w:jc w:val="both"/>
        <w:rPr>
          <w:rFonts w:ascii="Times New Roman" w:hAnsi="Times New Roman"/>
        </w:rPr>
      </w:pPr>
      <w:r>
        <w:rPr>
          <w:rFonts w:ascii="Times New Roman" w:hAnsi="Times New Roman" w:eastAsia="Times New Roman" w:cs="Times New Roman"/>
          <w:bCs/>
          <w:color w:val="auto"/>
          <w:sz w:val="21"/>
        </w:rPr>
        <w:t xml:space="preserve">1. </w:t>
      </w:r>
      <w:r>
        <w:rPr>
          <w:rFonts w:hint="eastAsia" w:ascii="宋体" w:hAnsi="宋体" w:eastAsia="宋体" w:cs="宋体"/>
        </w:rPr>
        <w:t>投标人应根据</w:t>
      </w:r>
      <w:r>
        <w:rPr>
          <w:rFonts w:hint="eastAsia" w:ascii="宋体" w:hAnsi="宋体" w:eastAsia="宋体" w:cs="宋体"/>
          <w:u w:val="single"/>
        </w:rPr>
        <w:t>第一章</w:t>
      </w:r>
      <w:r>
        <w:rPr>
          <w:u w:val="single"/>
        </w:rPr>
        <w:t>“</w:t>
      </w:r>
      <w:r>
        <w:rPr>
          <w:rFonts w:hint="eastAsia" w:ascii="宋体" w:hAnsi="宋体" w:eastAsia="宋体" w:cs="宋体"/>
          <w:u w:val="single"/>
        </w:rPr>
        <w:t>招标公告</w:t>
      </w:r>
      <w:r>
        <w:rPr>
          <w:u w:val="single"/>
        </w:rPr>
        <w:t>”</w:t>
      </w:r>
      <w:r>
        <w:rPr>
          <w:rFonts w:hint="eastAsia" w:ascii="宋体" w:hAnsi="宋体" w:eastAsia="宋体" w:cs="宋体"/>
          <w:u w:val="single"/>
        </w:rPr>
        <w:t>第</w:t>
      </w:r>
      <w:r>
        <w:rPr>
          <w:rFonts w:hint="eastAsia" w:ascii="Times New Roman" w:hAnsi="Times New Roman"/>
          <w:u w:val="single"/>
        </w:rPr>
        <w:t>3</w:t>
      </w:r>
      <w:r>
        <w:rPr>
          <w:rFonts w:hint="eastAsia" w:ascii="宋体" w:hAnsi="宋体" w:eastAsia="宋体" w:cs="宋体"/>
          <w:u w:val="single"/>
        </w:rPr>
        <w:t>条投标人资格要求中的业绩要求</w:t>
      </w:r>
      <w:r>
        <w:rPr>
          <w:rFonts w:hint="eastAsia" w:ascii="宋体" w:hAnsi="宋体" w:eastAsia="宋体" w:cs="宋体"/>
        </w:rPr>
        <w:t>或第三章</w:t>
      </w:r>
      <w:r>
        <w:t>“</w:t>
      </w:r>
      <w:r>
        <w:rPr>
          <w:rFonts w:hint="eastAsia" w:ascii="宋体" w:hAnsi="宋体" w:eastAsia="宋体" w:cs="宋体"/>
        </w:rPr>
        <w:t>评标办法</w:t>
      </w:r>
      <w:r>
        <w:t>”</w:t>
      </w:r>
      <w:r>
        <w:rPr>
          <w:rFonts w:hint="eastAsia" w:ascii="宋体" w:hAnsi="宋体" w:eastAsia="宋体" w:cs="宋体"/>
        </w:rPr>
        <w:t>中相关约定，在本表后附相关证明材料。</w:t>
      </w:r>
    </w:p>
    <w:p>
      <w:pPr>
        <w:spacing w:after="164" w:line="265" w:lineRule="auto"/>
        <w:ind w:left="-5" w:right="590" w:hanging="10"/>
        <w:rPr>
          <w:b/>
          <w:color w:val="auto"/>
        </w:rPr>
      </w:pPr>
    </w:p>
    <w:p>
      <w:pPr>
        <w:spacing w:after="177"/>
        <w:rPr>
          <w:b/>
          <w:color w:val="auto"/>
        </w:rPr>
      </w:pPr>
    </w:p>
    <w:p>
      <w:pPr>
        <w:spacing w:after="0"/>
        <w:rPr>
          <w:b/>
          <w:color w:val="auto"/>
        </w:rPr>
      </w:pPr>
      <w:r>
        <w:rPr>
          <w:rFonts w:ascii="Times New Roman" w:hAnsi="Times New Roman" w:eastAsia="Times New Roman" w:cs="Times New Roman"/>
          <w:b/>
          <w:color w:val="auto"/>
          <w:sz w:val="21"/>
        </w:rPr>
        <w:tab/>
      </w:r>
    </w:p>
    <w:p>
      <w:pPr>
        <w:pStyle w:val="4"/>
        <w:spacing w:after="324"/>
        <w:ind w:left="132" w:right="0"/>
        <w:rPr>
          <w:rFonts w:hint="eastAsia"/>
          <w:bCs/>
          <w:color w:val="auto"/>
        </w:rPr>
      </w:pPr>
      <w:bookmarkStart w:id="188" w:name="_Toc195390936"/>
      <w:r>
        <w:rPr>
          <w:bCs/>
          <w:color w:val="auto"/>
        </w:rPr>
        <w:t>（五）</w:t>
      </w:r>
      <w:bookmarkEnd w:id="188"/>
      <w:r>
        <w:rPr>
          <w:rFonts w:hint="eastAsia"/>
          <w:bCs/>
          <w:color w:val="auto"/>
        </w:rPr>
        <w:t>信誉要求证明材料</w:t>
      </w:r>
    </w:p>
    <w:p>
      <w:pPr>
        <w:rPr>
          <w:rFonts w:eastAsiaTheme="minorEastAsia"/>
        </w:rPr>
      </w:pPr>
      <w:r>
        <w:rPr>
          <w:rFonts w:hint="eastAsia" w:eastAsiaTheme="minorEastAsia"/>
        </w:rPr>
        <w:t>投标人应根据招标文件第一章“招标公告”第3条投标人资格要求中的信誉要求提供证明材料。若无相关要求投标人可根据本次招标实际情况并结合第三章评标办法中的相关约定提供；</w:t>
      </w:r>
    </w:p>
    <w:p>
      <w:pPr>
        <w:spacing w:after="5" w:line="265" w:lineRule="auto"/>
        <w:ind w:left="-5" w:right="590" w:hanging="10"/>
        <w:rPr>
          <w:b/>
          <w:color w:val="auto"/>
        </w:rPr>
      </w:pPr>
      <w:r>
        <w:rPr>
          <w:b/>
          <w:color w:val="auto"/>
        </w:rPr>
        <w:br w:type="page"/>
      </w:r>
    </w:p>
    <w:p>
      <w:pPr>
        <w:pStyle w:val="4"/>
        <w:spacing w:after="324"/>
        <w:ind w:left="132" w:right="0"/>
        <w:rPr>
          <w:rFonts w:hint="eastAsia"/>
          <w:bCs/>
          <w:color w:val="auto"/>
        </w:rPr>
      </w:pPr>
      <w:bookmarkStart w:id="189" w:name="_Toc89020767"/>
      <w:bookmarkStart w:id="190" w:name="_Toc195390937"/>
      <w:r>
        <w:rPr>
          <w:bCs/>
          <w:color w:val="auto"/>
        </w:rPr>
        <w:t>（六）制造商授权书</w:t>
      </w:r>
      <w:bookmarkEnd w:id="189"/>
      <w:bookmarkEnd w:id="190"/>
      <w:r>
        <w:rPr>
          <w:rFonts w:hint="eastAsia"/>
          <w:bCs/>
          <w:color w:val="auto"/>
        </w:rPr>
        <w:t>（如需）</w:t>
      </w:r>
    </w:p>
    <w:p>
      <w:pPr>
        <w:spacing w:after="138" w:line="265" w:lineRule="auto"/>
        <w:ind w:left="10" w:right="699" w:hanging="10"/>
        <w:jc w:val="center"/>
        <w:rPr>
          <w:bCs/>
          <w:color w:val="auto"/>
        </w:rPr>
      </w:pPr>
      <w:r>
        <w:rPr>
          <w:rFonts w:ascii="黑体" w:hAnsi="黑体" w:eastAsia="黑体" w:cs="黑体"/>
          <w:bCs/>
          <w:color w:val="auto"/>
          <w:sz w:val="28"/>
        </w:rPr>
        <w:t xml:space="preserve">制造商授权书 </w:t>
      </w:r>
    </w:p>
    <w:p>
      <w:pPr>
        <w:spacing w:after="113"/>
        <w:ind w:right="631"/>
        <w:jc w:val="center"/>
        <w:rPr>
          <w:bCs/>
          <w:color w:val="auto"/>
        </w:rPr>
      </w:pPr>
    </w:p>
    <w:p>
      <w:pPr>
        <w:spacing w:after="28" w:line="370" w:lineRule="auto"/>
        <w:ind w:left="-15" w:right="684"/>
        <w:jc w:val="both"/>
        <w:rPr>
          <w:bCs/>
          <w:color w:val="auto"/>
        </w:rPr>
      </w:pPr>
      <w:r>
        <w:rPr>
          <w:rFonts w:ascii="宋体" w:hAnsi="宋体" w:eastAsia="宋体" w:cs="宋体"/>
          <w:bCs/>
          <w:color w:val="auto"/>
          <w:sz w:val="21"/>
        </w:rPr>
        <w:t>致：</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（招标人）我单位</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（制造商名称）是按</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（国家／地区名称）法律成立的一家制造商，主要营业地点设在</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（制造商地址）。兹授权按</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（国家／地区名称）的法律正式成立的，主要营业地点设在</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（投标人的单位地址）的</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（投标人名称）以我单位制造的</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（设备名称）</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w:t>
      </w:r>
      <w:r>
        <w:rPr>
          <w:rFonts w:hint="eastAsia" w:ascii="宋体" w:hAnsi="宋体" w:eastAsia="宋体" w:cs="宋体"/>
          <w:bCs/>
          <w:color w:val="auto"/>
          <w:sz w:val="21"/>
        </w:rPr>
        <w:t>招标编号</w:t>
      </w:r>
      <w:r>
        <w:rPr>
          <w:rFonts w:ascii="宋体" w:hAnsi="宋体" w:eastAsia="宋体" w:cs="宋体"/>
          <w:bCs/>
          <w:color w:val="auto"/>
          <w:sz w:val="21"/>
        </w:rPr>
        <w:t>）进行投标活动。我单位同意按照中标合同供货，并对产品质量承担责任。</w:t>
      </w:r>
      <w:r>
        <w:rPr>
          <w:rFonts w:ascii="Times New Roman" w:hAnsi="Times New Roman" w:eastAsia="Times New Roman" w:cs="Times New Roman"/>
          <w:bCs/>
          <w:color w:val="auto"/>
          <w:sz w:val="21"/>
        </w:rPr>
        <w:t xml:space="preserve"> </w:t>
      </w:r>
    </w:p>
    <w:p>
      <w:pPr>
        <w:spacing w:after="177"/>
        <w:rPr>
          <w:bCs/>
          <w:color w:val="auto"/>
        </w:rPr>
      </w:pPr>
      <w:r>
        <w:rPr>
          <w:rFonts w:ascii="Times New Roman" w:hAnsi="Times New Roman" w:eastAsia="Times New Roman" w:cs="Times New Roman"/>
          <w:bCs/>
          <w:color w:val="auto"/>
          <w:sz w:val="21"/>
        </w:rPr>
        <w:t xml:space="preserve"> </w:t>
      </w:r>
    </w:p>
    <w:p>
      <w:pPr>
        <w:spacing w:after="179"/>
        <w:rPr>
          <w:bCs/>
          <w:color w:val="auto"/>
        </w:rPr>
      </w:pPr>
      <w:r>
        <w:rPr>
          <w:rFonts w:ascii="Times New Roman" w:hAnsi="Times New Roman" w:eastAsia="Times New Roman" w:cs="Times New Roman"/>
          <w:bCs/>
          <w:color w:val="auto"/>
          <w:sz w:val="21"/>
        </w:rPr>
        <w:t xml:space="preserve"> </w:t>
      </w:r>
    </w:p>
    <w:p>
      <w:pPr>
        <w:spacing w:after="5" w:line="392" w:lineRule="auto"/>
        <w:ind w:left="-5" w:right="590" w:hanging="10"/>
        <w:rPr>
          <w:rFonts w:hint="eastAsia" w:ascii="宋体" w:hAnsi="宋体" w:eastAsia="宋体" w:cs="宋体"/>
          <w:bCs/>
          <w:color w:val="auto"/>
          <w:sz w:val="21"/>
        </w:rPr>
      </w:pPr>
      <w:r>
        <w:rPr>
          <w:rFonts w:ascii="宋体" w:hAnsi="宋体" w:eastAsia="宋体" w:cs="宋体"/>
          <w:bCs/>
          <w:color w:val="auto"/>
          <w:sz w:val="21"/>
        </w:rPr>
        <w:t>投标人名称：</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宋体" w:hAnsi="宋体" w:eastAsia="宋体" w:cs="宋体"/>
          <w:bCs/>
          <w:color w:val="auto"/>
          <w:sz w:val="21"/>
        </w:rPr>
        <w:t>（盖单位章）</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制造商名称：</w:t>
      </w:r>
      <w:r>
        <w:rPr>
          <w:rFonts w:ascii="Times New Roman" w:hAnsi="Times New Roman" w:eastAsia="Times New Roman" w:cs="Times New Roman"/>
          <w:bCs/>
          <w:color w:val="auto"/>
          <w:sz w:val="21"/>
          <w:u w:val="single" w:color="000000"/>
        </w:rPr>
        <w:t xml:space="preserve">         </w:t>
      </w:r>
      <w:r>
        <w:rPr>
          <w:rFonts w:hint="eastAsia" w:ascii="Times New Roman" w:hAnsi="Times New Roman" w:cs="Times New Roman" w:eastAsiaTheme="minorEastAsia"/>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宋体" w:hAnsi="宋体" w:eastAsia="宋体" w:cs="宋体"/>
          <w:bCs/>
          <w:color w:val="auto"/>
          <w:sz w:val="21"/>
        </w:rPr>
        <w:t>（盖单位章）</w:t>
      </w:r>
    </w:p>
    <w:p>
      <w:pPr>
        <w:spacing w:after="5" w:line="392" w:lineRule="auto"/>
        <w:ind w:left="-5" w:right="590" w:hanging="10"/>
        <w:rPr>
          <w:rFonts w:ascii="Times New Roman" w:hAnsi="Times New Roman" w:eastAsia="宋体" w:cs="Times New Roman"/>
          <w:bCs/>
          <w:color w:val="auto"/>
          <w:sz w:val="21"/>
        </w:rPr>
      </w:pPr>
      <w:r>
        <w:rPr>
          <w:rFonts w:ascii="宋体" w:hAnsi="宋体" w:eastAsia="宋体" w:cs="宋体"/>
          <w:bCs/>
          <w:color w:val="auto"/>
          <w:sz w:val="21"/>
        </w:rPr>
        <w:t>签字人职务：</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hint="eastAsia" w:ascii="Times New Roman" w:hAnsi="Times New Roman" w:cs="Times New Roman" w:eastAsiaTheme="minorEastAsia"/>
          <w:bCs/>
          <w:color w:val="auto"/>
          <w:sz w:val="21"/>
        </w:rPr>
        <w:t xml:space="preserve"> </w:t>
      </w:r>
      <w:r>
        <w:rPr>
          <w:rFonts w:ascii="宋体" w:hAnsi="宋体" w:eastAsia="宋体" w:cs="宋体"/>
          <w:bCs/>
          <w:color w:val="auto"/>
          <w:sz w:val="21"/>
        </w:rPr>
        <w:t>签字人职务：</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ascii="Times New Roman" w:hAnsi="Times New Roman" w:eastAsia="Times New Roman" w:cs="Times New Roman"/>
          <w:bCs/>
          <w:color w:val="auto"/>
          <w:sz w:val="21"/>
        </w:rPr>
        <w:t xml:space="preserve">  </w:t>
      </w:r>
    </w:p>
    <w:p>
      <w:pPr>
        <w:spacing w:after="5" w:line="392" w:lineRule="auto"/>
        <w:ind w:left="-5" w:right="590" w:hanging="10"/>
        <w:rPr>
          <w:rFonts w:ascii="Times New Roman" w:hAnsi="Times New Roman" w:eastAsia="宋体" w:cs="Times New Roman"/>
          <w:bCs/>
          <w:color w:val="auto"/>
          <w:sz w:val="21"/>
        </w:rPr>
      </w:pPr>
      <w:r>
        <w:rPr>
          <w:rFonts w:ascii="宋体" w:hAnsi="宋体" w:eastAsia="宋体" w:cs="宋体"/>
          <w:bCs/>
          <w:color w:val="auto"/>
          <w:sz w:val="21"/>
        </w:rPr>
        <w:t>签字人姓名：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签字人姓名：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ascii="Times New Roman" w:hAnsi="Times New Roman" w:eastAsia="Times New Roman" w:cs="Times New Roman"/>
          <w:bCs/>
          <w:color w:val="auto"/>
          <w:sz w:val="21"/>
        </w:rPr>
        <w:t xml:space="preserve"> </w:t>
      </w:r>
    </w:p>
    <w:p>
      <w:pPr>
        <w:spacing w:after="0"/>
        <w:rPr>
          <w:rFonts w:ascii="Times New Roman" w:hAnsi="Times New Roman" w:cs="Times New Roman" w:eastAsiaTheme="minorEastAsia"/>
          <w:bCs/>
          <w:color w:val="auto"/>
          <w:sz w:val="21"/>
        </w:rPr>
      </w:pPr>
      <w:r>
        <w:rPr>
          <w:rFonts w:ascii="宋体" w:hAnsi="宋体" w:eastAsia="宋体" w:cs="宋体"/>
          <w:bCs/>
          <w:color w:val="auto"/>
          <w:sz w:val="21"/>
        </w:rPr>
        <w:t>签字人签名：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hint="eastAsia" w:ascii="Times New Roman" w:hAnsi="Times New Roman" w:cs="Times New Roman" w:eastAsiaTheme="minorEastAsia"/>
          <w:bCs/>
          <w:color w:val="auto"/>
          <w:sz w:val="21"/>
        </w:rPr>
        <w:t xml:space="preserve"> </w:t>
      </w:r>
      <w:r>
        <w:rPr>
          <w:rFonts w:ascii="宋体" w:hAnsi="宋体" w:eastAsia="宋体" w:cs="宋体"/>
          <w:bCs/>
          <w:color w:val="auto"/>
          <w:sz w:val="21"/>
        </w:rPr>
        <w:t>签字人签名：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p>
    <w:p>
      <w:pPr>
        <w:spacing w:after="0"/>
        <w:rPr>
          <w:rFonts w:ascii="Times New Roman" w:hAnsi="Times New Roman" w:eastAsia="宋体" w:cs="Times New Roman"/>
          <w:bCs/>
          <w:color w:val="auto"/>
        </w:rPr>
      </w:pPr>
    </w:p>
    <w:p>
      <w:pPr>
        <w:spacing w:after="0" w:line="240" w:lineRule="auto"/>
        <w:rPr>
          <w:rFonts w:ascii="Times New Roman" w:hAnsi="Times New Roman" w:eastAsia="宋体" w:cs="Times New Roman"/>
          <w:bCs/>
          <w:color w:val="auto"/>
        </w:rPr>
      </w:pPr>
      <w:r>
        <w:rPr>
          <w:rFonts w:ascii="Times New Roman" w:hAnsi="Times New Roman" w:eastAsia="宋体" w:cs="Times New Roman"/>
          <w:bCs/>
          <w:color w:val="auto"/>
        </w:rPr>
        <w:t>注：1.</w:t>
      </w:r>
      <w:r>
        <w:rPr>
          <w:rFonts w:hint="eastAsia" w:ascii="Times New Roman" w:hAnsi="Times New Roman" w:eastAsia="宋体" w:cs="Times New Roman"/>
          <w:bCs/>
          <w:color w:val="auto"/>
        </w:rPr>
        <w:t>本制造商授权书适用于代理商投标的情况。</w:t>
      </w:r>
    </w:p>
    <w:p>
      <w:pPr>
        <w:spacing w:after="0" w:line="240" w:lineRule="auto"/>
        <w:ind w:firstLine="440" w:firstLineChars="200"/>
        <w:rPr>
          <w:rFonts w:ascii="Times New Roman" w:hAnsi="Times New Roman" w:eastAsia="宋体" w:cs="Times New Roman"/>
          <w:bCs/>
          <w:color w:val="auto"/>
        </w:rPr>
      </w:pPr>
      <w:r>
        <w:rPr>
          <w:rFonts w:hint="eastAsia" w:ascii="Times New Roman" w:hAnsi="Times New Roman" w:eastAsia="宋体" w:cs="Times New Roman"/>
          <w:bCs/>
          <w:color w:val="auto"/>
        </w:rPr>
        <w:t>2.</w:t>
      </w:r>
      <w:r>
        <w:rPr>
          <w:rFonts w:ascii="Times New Roman" w:hAnsi="Times New Roman" w:eastAsia="宋体" w:cs="Times New Roman"/>
          <w:bCs/>
          <w:color w:val="auto"/>
        </w:rPr>
        <w:t>投标人必须签字且加盖单位章，关境内制造商必须签字且加盖单位章，关境外制造商必须签字，否则投标将被否决。</w:t>
      </w:r>
    </w:p>
    <w:p>
      <w:pPr>
        <w:spacing w:after="0" w:line="240" w:lineRule="auto"/>
        <w:ind w:firstLine="440" w:firstLineChars="200"/>
        <w:rPr>
          <w:rFonts w:ascii="Times New Roman" w:hAnsi="Times New Roman" w:eastAsia="宋体" w:cs="Times New Roman"/>
          <w:bCs/>
          <w:color w:val="auto"/>
        </w:rPr>
      </w:pPr>
      <w:r>
        <w:rPr>
          <w:rFonts w:hint="eastAsia" w:ascii="Times New Roman" w:hAnsi="Times New Roman" w:eastAsia="宋体" w:cs="Times New Roman"/>
          <w:bCs/>
          <w:color w:val="auto"/>
        </w:rPr>
        <w:t>3</w:t>
      </w:r>
      <w:r>
        <w:rPr>
          <w:rFonts w:ascii="Times New Roman" w:hAnsi="Times New Roman" w:eastAsia="宋体" w:cs="Times New Roman"/>
          <w:bCs/>
          <w:color w:val="auto"/>
        </w:rPr>
        <w:t>.</w:t>
      </w:r>
      <w:r>
        <w:rPr>
          <w:rFonts w:hint="eastAsia" w:ascii="Times New Roman" w:hAnsi="Times New Roman" w:eastAsia="宋体" w:cs="Times New Roman"/>
          <w:bCs/>
          <w:color w:val="auto"/>
        </w:rPr>
        <w:t>代理商应在投标文件中提供制造商针对本项目的授权书原件。</w:t>
      </w:r>
    </w:p>
    <w:p>
      <w:pPr>
        <w:spacing w:after="5" w:line="240" w:lineRule="auto"/>
        <w:ind w:left="660" w:leftChars="300" w:right="590"/>
        <w:rPr>
          <w:rFonts w:ascii="Times New Roman" w:hAnsi="Times New Roman" w:eastAsia="宋体" w:cs="Times New Roman"/>
          <w:bCs/>
          <w:color w:val="auto"/>
        </w:rPr>
      </w:pPr>
      <w:r>
        <w:rPr>
          <w:rFonts w:hint="eastAsia" w:ascii="Times New Roman" w:hAnsi="Times New Roman" w:eastAsia="宋体" w:cs="Times New Roman"/>
          <w:bCs/>
          <w:color w:val="auto"/>
        </w:rPr>
        <w:t>（1）制造商出具的针对本项目的授权书正本。</w:t>
      </w:r>
    </w:p>
    <w:p>
      <w:pPr>
        <w:spacing w:after="5" w:line="240" w:lineRule="auto"/>
        <w:ind w:left="660" w:leftChars="300" w:right="590"/>
        <w:rPr>
          <w:rFonts w:ascii="Times New Roman" w:hAnsi="Times New Roman" w:eastAsia="宋体" w:cs="Times New Roman"/>
          <w:bCs/>
          <w:color w:val="auto"/>
        </w:rPr>
      </w:pPr>
      <w:r>
        <w:rPr>
          <w:rFonts w:hint="eastAsia" w:ascii="Times New Roman" w:hAnsi="Times New Roman" w:eastAsia="宋体" w:cs="Times New Roman"/>
          <w:bCs/>
          <w:color w:val="auto"/>
        </w:rPr>
        <w:t>（2）制造商的国内全资子公司出具的针对本项目的授权书正本及制造商与国内全资子公司的关系证明材料复印件。</w:t>
      </w:r>
    </w:p>
    <w:p>
      <w:pPr>
        <w:spacing w:after="5" w:line="240" w:lineRule="auto"/>
        <w:ind w:left="660" w:leftChars="300" w:right="590"/>
        <w:rPr>
          <w:rFonts w:ascii="Times New Roman" w:hAnsi="Times New Roman" w:eastAsia="宋体" w:cs="Times New Roman"/>
          <w:bCs/>
          <w:color w:val="auto"/>
        </w:rPr>
      </w:pPr>
      <w:r>
        <w:rPr>
          <w:rFonts w:hint="eastAsia" w:ascii="Times New Roman" w:hAnsi="Times New Roman" w:eastAsia="宋体" w:cs="Times New Roman"/>
          <w:bCs/>
          <w:color w:val="auto"/>
        </w:rPr>
        <w:t>（3）制造商对授权的区域代理商（或总经销商等）出具的授权文件证明材料复印件及该区域代理商（或总经销商等）出具的针对本项目的授权书正本。</w:t>
      </w:r>
    </w:p>
    <w:p>
      <w:pPr>
        <w:spacing w:after="0" w:line="240" w:lineRule="auto"/>
        <w:ind w:firstLine="440" w:firstLineChars="200"/>
        <w:rPr>
          <w:rFonts w:ascii="Times New Roman" w:hAnsi="Times New Roman" w:eastAsia="宋体" w:cs="Times New Roman"/>
          <w:bCs/>
          <w:color w:val="auto"/>
        </w:rPr>
      </w:pPr>
      <w:r>
        <w:rPr>
          <w:rFonts w:hint="eastAsia" w:ascii="Times New Roman" w:hAnsi="Times New Roman" w:eastAsia="宋体" w:cs="Times New Roman"/>
          <w:bCs/>
          <w:color w:val="auto"/>
        </w:rPr>
        <w:t>4</w:t>
      </w:r>
      <w:r>
        <w:rPr>
          <w:rFonts w:ascii="Times New Roman" w:hAnsi="Times New Roman" w:eastAsia="宋体" w:cs="Times New Roman"/>
          <w:bCs/>
          <w:color w:val="auto"/>
        </w:rPr>
        <w:t>.</w:t>
      </w:r>
      <w:r>
        <w:rPr>
          <w:rFonts w:hint="eastAsia" w:ascii="Times New Roman" w:hAnsi="Times New Roman" w:eastAsia="宋体" w:cs="Times New Roman"/>
          <w:bCs/>
          <w:color w:val="auto"/>
        </w:rPr>
        <w:t>上述签字必须是原件，不能是复印件或影印件等，否则投标将被否决，但手签章或人名章的原件也被认可。</w:t>
      </w:r>
    </w:p>
    <w:p>
      <w:pPr>
        <w:spacing w:after="0" w:line="240" w:lineRule="auto"/>
        <w:ind w:firstLine="440" w:firstLineChars="200"/>
        <w:rPr>
          <w:rFonts w:ascii="Times New Roman" w:hAnsi="Times New Roman" w:eastAsia="Times New Roman" w:cs="Times New Roman"/>
          <w:bCs/>
          <w:color w:val="auto"/>
        </w:rPr>
      </w:pPr>
      <w:r>
        <w:rPr>
          <w:rFonts w:hint="eastAsia" w:ascii="Times New Roman" w:hAnsi="Times New Roman" w:eastAsia="宋体" w:cs="Times New Roman"/>
          <w:bCs/>
          <w:color w:val="auto"/>
        </w:rPr>
        <w:t>5</w:t>
      </w:r>
      <w:r>
        <w:rPr>
          <w:rFonts w:ascii="Times New Roman" w:hAnsi="Times New Roman" w:eastAsia="宋体" w:cs="Times New Roman"/>
          <w:bCs/>
          <w:color w:val="auto"/>
        </w:rPr>
        <w:t>.</w:t>
      </w:r>
      <w:r>
        <w:rPr>
          <w:rFonts w:hint="eastAsia" w:ascii="Times New Roman" w:hAnsi="Times New Roman" w:eastAsia="宋体" w:cs="Times New Roman"/>
          <w:bCs/>
          <w:color w:val="auto"/>
        </w:rPr>
        <w:t>授权书如采用第六章投标文件格式中的“制造商授权书格式”，应满足相应的格式要求。如不采用，其它合格有效的制造商授权书也被认可，但仍应满足“制造商授权书格式”中的备注要求，否则投标将被否决。</w:t>
      </w:r>
    </w:p>
    <w:p>
      <w:pPr>
        <w:spacing w:after="0"/>
        <w:ind w:firstLine="420" w:firstLineChars="200"/>
        <w:rPr>
          <w:rFonts w:ascii="Times New Roman" w:hAnsi="Times New Roman" w:eastAsia="宋体" w:cs="Times New Roman"/>
          <w:b/>
          <w:color w:val="auto"/>
          <w:sz w:val="21"/>
        </w:rPr>
      </w:pPr>
      <w:r>
        <w:rPr>
          <w:rFonts w:ascii="Times New Roman" w:hAnsi="Times New Roman" w:eastAsia="Times New Roman" w:cs="Times New Roman"/>
          <w:b/>
          <w:color w:val="auto"/>
          <w:sz w:val="21"/>
        </w:rPr>
        <w:br w:type="page"/>
      </w:r>
    </w:p>
    <w:p>
      <w:pPr>
        <w:spacing w:after="0"/>
        <w:rPr>
          <w:b/>
          <w:color w:val="auto"/>
        </w:rPr>
        <w:sectPr>
          <w:pgSz w:w="12240" w:h="15840"/>
          <w:pgMar w:top="1445" w:right="1097" w:bottom="1466" w:left="1800" w:header="720" w:footer="720" w:gutter="0"/>
          <w:cols w:space="720" w:num="1"/>
        </w:sectPr>
      </w:pPr>
    </w:p>
    <w:p>
      <w:pPr>
        <w:pStyle w:val="3"/>
        <w:spacing w:before="120" w:beforeLines="50" w:after="120" w:afterLines="50" w:line="520" w:lineRule="exact"/>
        <w:jc w:val="center"/>
        <w:rPr>
          <w:rFonts w:ascii="Times New Roman" w:hAnsi="Times New Roman"/>
        </w:rPr>
      </w:pPr>
      <w:bookmarkStart w:id="191" w:name="_Toc195390939"/>
      <w:r>
        <w:rPr>
          <w:rFonts w:hint="eastAsia"/>
          <w:bCs/>
          <w:color w:val="auto"/>
        </w:rPr>
        <w:t>十一</w:t>
      </w:r>
      <w:r>
        <w:rPr>
          <w:bCs/>
          <w:color w:val="auto"/>
        </w:rPr>
        <w:t>、</w:t>
      </w:r>
      <w:bookmarkEnd w:id="191"/>
      <w:bookmarkStart w:id="192" w:name="_Toc485746398"/>
      <w:r>
        <w:rPr>
          <w:rFonts w:ascii="Times New Roman" w:hAnsi="Times New Roman"/>
        </w:rPr>
        <w:t>投标设备技术性能指标的详细描述</w:t>
      </w:r>
      <w:bookmarkEnd w:id="192"/>
    </w:p>
    <w:p>
      <w:pPr>
        <w:pStyle w:val="3"/>
        <w:spacing w:after="0"/>
        <w:ind w:right="0"/>
        <w:jc w:val="center"/>
        <w:rPr>
          <w:rFonts w:hint="eastAsia"/>
          <w:bCs/>
          <w:color w:val="auto"/>
        </w:rPr>
      </w:pPr>
      <w:r>
        <w:rPr>
          <w:bCs/>
          <w:color w:val="auto"/>
        </w:rPr>
        <w:br w:type="page"/>
      </w:r>
    </w:p>
    <w:p>
      <w:pPr>
        <w:pStyle w:val="3"/>
        <w:spacing w:after="227"/>
        <w:ind w:right="0"/>
        <w:jc w:val="center"/>
        <w:rPr>
          <w:rFonts w:hint="eastAsia" w:eastAsiaTheme="minorEastAsia"/>
          <w:bCs/>
          <w:color w:val="auto"/>
        </w:rPr>
        <w:sectPr>
          <w:pgSz w:w="12240" w:h="15840"/>
          <w:pgMar w:top="1445" w:right="1097" w:bottom="1466" w:left="1800" w:header="720" w:footer="720" w:gutter="0"/>
          <w:cols w:space="720" w:num="1"/>
        </w:sectPr>
      </w:pPr>
      <w:bookmarkStart w:id="193" w:name="_Toc195390940"/>
      <w:r>
        <w:rPr>
          <w:rFonts w:hint="eastAsia"/>
          <w:bCs/>
          <w:color w:val="auto"/>
        </w:rPr>
        <w:t>十二</w:t>
      </w:r>
      <w:r>
        <w:rPr>
          <w:bCs/>
          <w:color w:val="auto"/>
        </w:rPr>
        <w:t>、</w:t>
      </w:r>
      <w:bookmarkEnd w:id="193"/>
      <w:r>
        <w:rPr>
          <w:bCs/>
          <w:color w:val="auto"/>
        </w:rPr>
        <w:t>技术支持资料</w:t>
      </w:r>
    </w:p>
    <w:p>
      <w:pPr>
        <w:pStyle w:val="3"/>
        <w:spacing w:before="120" w:beforeLines="50" w:after="120" w:afterLines="50" w:line="520" w:lineRule="exact"/>
        <w:jc w:val="center"/>
        <w:rPr>
          <w:rFonts w:hint="eastAsia"/>
          <w:bCs/>
          <w:color w:val="auto"/>
        </w:rPr>
        <w:sectPr>
          <w:pgSz w:w="12240" w:h="15840"/>
          <w:pgMar w:top="1445" w:right="1097" w:bottom="1466" w:left="1800" w:header="720" w:footer="720" w:gutter="0"/>
          <w:cols w:space="720" w:num="1"/>
        </w:sectPr>
      </w:pPr>
      <w:bookmarkStart w:id="194" w:name="_Toc195390941"/>
      <w:r>
        <w:rPr>
          <w:rFonts w:hint="eastAsia"/>
          <w:bCs/>
          <w:color w:val="auto"/>
        </w:rPr>
        <w:t>十三</w:t>
      </w:r>
      <w:r>
        <w:rPr>
          <w:bCs/>
          <w:color w:val="auto"/>
        </w:rPr>
        <w:t>、</w:t>
      </w:r>
      <w:bookmarkEnd w:id="194"/>
      <w:r>
        <w:rPr>
          <w:bCs/>
          <w:color w:val="auto"/>
        </w:rPr>
        <w:t>技术服务和</w:t>
      </w:r>
      <w:r>
        <w:rPr>
          <w:rFonts w:hint="eastAsia"/>
          <w:bCs/>
          <w:color w:val="auto"/>
        </w:rPr>
        <w:t>质保及维保</w:t>
      </w:r>
      <w:r>
        <w:rPr>
          <w:bCs/>
          <w:color w:val="auto"/>
        </w:rPr>
        <w:t>服务计划</w:t>
      </w:r>
    </w:p>
    <w:p>
      <w:pPr>
        <w:pStyle w:val="3"/>
        <w:spacing w:before="120" w:beforeLines="50" w:after="120" w:afterLines="50" w:line="520" w:lineRule="exact"/>
        <w:jc w:val="center"/>
        <w:rPr>
          <w:rFonts w:ascii="Times New Roman" w:hAnsi="Times New Roman"/>
        </w:rPr>
      </w:pPr>
      <w:r>
        <w:rPr>
          <w:rFonts w:hint="eastAsia"/>
          <w:bCs/>
          <w:color w:val="auto"/>
        </w:rPr>
        <w:t>十四、</w:t>
      </w:r>
      <w:r>
        <w:rPr>
          <w:rFonts w:ascii="Times New Roman" w:hAnsi="Times New Roman"/>
        </w:rPr>
        <w:t>其他技术资料</w:t>
      </w:r>
    </w:p>
    <w:p>
      <w:pPr>
        <w:pStyle w:val="42"/>
        <w:spacing w:before="120" w:after="120"/>
        <w:ind w:firstLine="485"/>
      </w:pPr>
    </w:p>
    <w:p>
      <w:pPr>
        <w:pStyle w:val="42"/>
        <w:spacing w:before="120" w:after="120"/>
        <w:ind w:firstLine="485"/>
        <w:rPr>
          <w:rFonts w:ascii="Times New Roman" w:hAnsi="Times New Roman"/>
        </w:rPr>
        <w:sectPr>
          <w:pgSz w:w="12240" w:h="15840"/>
          <w:pgMar w:top="1445" w:right="1097" w:bottom="1466" w:left="1800" w:header="720" w:footer="720" w:gutter="0"/>
          <w:cols w:space="720" w:num="1"/>
        </w:sectPr>
      </w:pPr>
    </w:p>
    <w:p>
      <w:pPr>
        <w:pStyle w:val="3"/>
        <w:spacing w:before="120" w:beforeLines="50" w:after="120" w:afterLines="50" w:line="520" w:lineRule="exact"/>
        <w:jc w:val="center"/>
        <w:rPr>
          <w:rFonts w:ascii="Times New Roman" w:hAnsi="Times New Roman"/>
        </w:rPr>
      </w:pPr>
      <w:r>
        <w:rPr>
          <w:rFonts w:hint="eastAsia" w:ascii="Times New Roman" w:hAnsi="Times New Roman"/>
        </w:rPr>
        <w:t>人员配备情况表与项目人员简历表</w:t>
      </w:r>
    </w:p>
    <w:p>
      <w:pPr>
        <w:rPr>
          <w:rFonts w:ascii="Times New Roman" w:hAnsi="Times New Roman"/>
        </w:rPr>
      </w:pPr>
    </w:p>
    <w:p>
      <w:pPr>
        <w:jc w:val="center"/>
        <w:rPr>
          <w:rFonts w:hint="eastAsia" w:ascii="黑体" w:hAnsi="黑体" w:eastAsia="黑体"/>
          <w:sz w:val="32"/>
        </w:rPr>
      </w:pPr>
      <w:r>
        <w:rPr>
          <w:rFonts w:hint="eastAsia" w:ascii="黑体" w:hAnsi="黑体" w:eastAsia="黑体"/>
          <w:sz w:val="32"/>
        </w:rPr>
        <w:t>（1）项目人员配备情况表</w:t>
      </w:r>
    </w:p>
    <w:p>
      <w:pPr>
        <w:jc w:val="center"/>
        <w:rPr>
          <w:rFonts w:ascii="Times New Roman" w:hAnsi="Times New Roman"/>
          <w:b/>
        </w:rPr>
      </w:pPr>
    </w:p>
    <w:tbl>
      <w:tblPr>
        <w:tblStyle w:val="30"/>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130"/>
        <w:gridCol w:w="943"/>
        <w:gridCol w:w="1506"/>
        <w:gridCol w:w="943"/>
        <w:gridCol w:w="1581"/>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r>
              <w:rPr>
                <w:rFonts w:hint="eastAsia" w:cs="仿宋"/>
                <w:lang w:eastAsia="zh-CN"/>
              </w:rPr>
              <w:t>序号</w:t>
            </w:r>
          </w:p>
        </w:tc>
        <w:tc>
          <w:tcPr>
            <w:tcW w:w="1130" w:type="dxa"/>
            <w:vAlign w:val="center"/>
          </w:tcPr>
          <w:p>
            <w:pPr>
              <w:pStyle w:val="63"/>
              <w:spacing w:line="400" w:lineRule="exact"/>
              <w:jc w:val="center"/>
              <w:rPr>
                <w:rFonts w:hint="eastAsia" w:cs="仿宋"/>
                <w:lang w:eastAsia="zh-CN"/>
              </w:rPr>
            </w:pPr>
            <w:r>
              <w:rPr>
                <w:rFonts w:hint="eastAsia" w:cs="仿宋"/>
                <w:lang w:eastAsia="zh-CN"/>
              </w:rPr>
              <w:t>姓名</w:t>
            </w:r>
          </w:p>
        </w:tc>
        <w:tc>
          <w:tcPr>
            <w:tcW w:w="943" w:type="dxa"/>
            <w:vAlign w:val="center"/>
          </w:tcPr>
          <w:p>
            <w:pPr>
              <w:pStyle w:val="63"/>
              <w:spacing w:line="400" w:lineRule="exact"/>
              <w:jc w:val="center"/>
              <w:rPr>
                <w:rFonts w:hint="eastAsia" w:cs="仿宋"/>
                <w:lang w:eastAsia="zh-CN"/>
              </w:rPr>
            </w:pPr>
            <w:r>
              <w:rPr>
                <w:rFonts w:hint="eastAsia" w:cs="仿宋"/>
                <w:lang w:eastAsia="zh-CN"/>
              </w:rPr>
              <w:t>性别</w:t>
            </w:r>
          </w:p>
        </w:tc>
        <w:tc>
          <w:tcPr>
            <w:tcW w:w="1506" w:type="dxa"/>
            <w:vAlign w:val="center"/>
          </w:tcPr>
          <w:p>
            <w:pPr>
              <w:pStyle w:val="63"/>
              <w:spacing w:line="400" w:lineRule="exact"/>
              <w:jc w:val="center"/>
              <w:rPr>
                <w:rFonts w:hint="eastAsia" w:cs="仿宋"/>
                <w:lang w:eastAsia="zh-CN"/>
              </w:rPr>
            </w:pPr>
            <w:r>
              <w:rPr>
                <w:rFonts w:cs="仿宋"/>
                <w:lang w:eastAsia="zh-CN"/>
              </w:rPr>
              <w:t>年龄</w:t>
            </w:r>
          </w:p>
        </w:tc>
        <w:tc>
          <w:tcPr>
            <w:tcW w:w="943" w:type="dxa"/>
            <w:vAlign w:val="center"/>
          </w:tcPr>
          <w:p>
            <w:pPr>
              <w:pStyle w:val="63"/>
              <w:spacing w:line="400" w:lineRule="exact"/>
              <w:jc w:val="center"/>
              <w:rPr>
                <w:rFonts w:hint="eastAsia" w:cs="仿宋"/>
                <w:lang w:eastAsia="zh-CN"/>
              </w:rPr>
            </w:pPr>
            <w:r>
              <w:rPr>
                <w:rFonts w:hint="eastAsia" w:cs="仿宋"/>
                <w:lang w:eastAsia="zh-CN"/>
              </w:rPr>
              <w:t>学历</w:t>
            </w:r>
          </w:p>
        </w:tc>
        <w:tc>
          <w:tcPr>
            <w:tcW w:w="1581" w:type="dxa"/>
            <w:vAlign w:val="center"/>
          </w:tcPr>
          <w:p>
            <w:pPr>
              <w:pStyle w:val="63"/>
              <w:spacing w:line="400" w:lineRule="exact"/>
              <w:jc w:val="center"/>
              <w:rPr>
                <w:rFonts w:hint="eastAsia" w:cs="仿宋"/>
                <w:lang w:eastAsia="zh-CN"/>
              </w:rPr>
            </w:pPr>
            <w:r>
              <w:rPr>
                <w:rFonts w:hint="eastAsia" w:cs="仿宋"/>
                <w:lang w:eastAsia="zh-CN"/>
              </w:rPr>
              <w:t>拟任职务</w:t>
            </w:r>
          </w:p>
        </w:tc>
        <w:tc>
          <w:tcPr>
            <w:tcW w:w="2017" w:type="dxa"/>
            <w:vAlign w:val="center"/>
          </w:tcPr>
          <w:p>
            <w:pPr>
              <w:pStyle w:val="63"/>
              <w:spacing w:line="400" w:lineRule="exact"/>
              <w:jc w:val="center"/>
              <w:rPr>
                <w:rFonts w:hint="eastAsia" w:cs="仿宋"/>
                <w:lang w:eastAsia="zh-CN"/>
              </w:rPr>
            </w:pPr>
            <w:r>
              <w:rPr>
                <w:rFonts w:hint="eastAsia" w:cs="仿宋"/>
                <w:lang w:eastAsia="zh-CN"/>
              </w:rPr>
              <w:t>相关证书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pPr>
              <w:pStyle w:val="63"/>
              <w:spacing w:line="400" w:lineRule="exact"/>
              <w:jc w:val="center"/>
              <w:rPr>
                <w:rFonts w:hint="eastAsia" w:cs="仿宋"/>
                <w:lang w:eastAsia="zh-CN"/>
              </w:rPr>
            </w:pPr>
          </w:p>
        </w:tc>
        <w:tc>
          <w:tcPr>
            <w:tcW w:w="1130"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06" w:type="dxa"/>
            <w:vAlign w:val="center"/>
          </w:tcPr>
          <w:p>
            <w:pPr>
              <w:pStyle w:val="63"/>
              <w:spacing w:line="400" w:lineRule="exact"/>
              <w:jc w:val="center"/>
              <w:rPr>
                <w:rFonts w:hint="eastAsia" w:cs="仿宋"/>
                <w:lang w:eastAsia="zh-CN"/>
              </w:rPr>
            </w:pPr>
          </w:p>
        </w:tc>
        <w:tc>
          <w:tcPr>
            <w:tcW w:w="943" w:type="dxa"/>
            <w:vAlign w:val="center"/>
          </w:tcPr>
          <w:p>
            <w:pPr>
              <w:pStyle w:val="63"/>
              <w:spacing w:line="400" w:lineRule="exact"/>
              <w:jc w:val="center"/>
              <w:rPr>
                <w:rFonts w:hint="eastAsia" w:cs="仿宋"/>
                <w:lang w:eastAsia="zh-CN"/>
              </w:rPr>
            </w:pPr>
          </w:p>
        </w:tc>
        <w:tc>
          <w:tcPr>
            <w:tcW w:w="1581" w:type="dxa"/>
            <w:vAlign w:val="center"/>
          </w:tcPr>
          <w:p>
            <w:pPr>
              <w:pStyle w:val="63"/>
              <w:spacing w:line="400" w:lineRule="exact"/>
              <w:jc w:val="center"/>
              <w:rPr>
                <w:rFonts w:hint="eastAsia" w:cs="仿宋"/>
                <w:lang w:eastAsia="zh-CN"/>
              </w:rPr>
            </w:pPr>
          </w:p>
        </w:tc>
        <w:tc>
          <w:tcPr>
            <w:tcW w:w="2017" w:type="dxa"/>
            <w:vAlign w:val="center"/>
          </w:tcPr>
          <w:p>
            <w:pPr>
              <w:pStyle w:val="63"/>
              <w:spacing w:line="400" w:lineRule="exact"/>
              <w:jc w:val="center"/>
              <w:rPr>
                <w:rFonts w:hint="eastAsia" w:cs="仿宋"/>
                <w:lang w:eastAsia="zh-CN"/>
              </w:rPr>
            </w:pPr>
          </w:p>
        </w:tc>
      </w:tr>
    </w:tbl>
    <w:p>
      <w:pPr>
        <w:rPr>
          <w:rFonts w:ascii="Times New Roman" w:hAnsi="Times New Roman"/>
        </w:rPr>
      </w:pPr>
    </w:p>
    <w:p>
      <w:pPr>
        <w:rPr>
          <w:rFonts w:ascii="Times New Roman" w:hAnsi="Times New Roman"/>
        </w:rPr>
      </w:pPr>
      <w:r>
        <w:rPr>
          <w:rFonts w:ascii="Times New Roman" w:hAnsi="Times New Roman"/>
        </w:rPr>
        <w:br w:type="page"/>
      </w:r>
    </w:p>
    <w:p>
      <w:pPr>
        <w:jc w:val="center"/>
        <w:rPr>
          <w:rFonts w:hint="eastAsia" w:ascii="黑体" w:hAnsi="黑体" w:eastAsia="黑体"/>
          <w:sz w:val="32"/>
        </w:rPr>
      </w:pPr>
      <w:r>
        <w:rPr>
          <w:rFonts w:hint="eastAsia" w:ascii="黑体" w:hAnsi="黑体" w:eastAsia="黑体"/>
          <w:sz w:val="32"/>
        </w:rPr>
        <w:t>（2）项目人员简历表</w:t>
      </w:r>
    </w:p>
    <w:p>
      <w:pPr>
        <w:jc w:val="center"/>
        <w:rPr>
          <w:rFonts w:ascii="Times New Roman" w:hAnsi="Times New Roman"/>
          <w:b/>
        </w:rPr>
      </w:pPr>
    </w:p>
    <w:tbl>
      <w:tblPr>
        <w:tblStyle w:val="30"/>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97"/>
        <w:gridCol w:w="1450"/>
        <w:gridCol w:w="348"/>
        <w:gridCol w:w="196"/>
        <w:gridCol w:w="898"/>
        <w:gridCol w:w="595"/>
        <w:gridCol w:w="1203"/>
        <w:gridCol w:w="466"/>
        <w:gridCol w:w="689"/>
        <w:gridCol w:w="1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6" w:type="dxa"/>
            <w:tcBorders>
              <w:top w:val="single" w:color="auto" w:sz="12"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姓名</w:t>
            </w:r>
          </w:p>
        </w:tc>
        <w:tc>
          <w:tcPr>
            <w:tcW w:w="2791" w:type="dxa"/>
            <w:gridSpan w:val="4"/>
            <w:tcBorders>
              <w:top w:val="single" w:color="auto" w:sz="12"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898" w:type="dxa"/>
            <w:tcBorders>
              <w:top w:val="single" w:color="auto" w:sz="12"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性别</w:t>
            </w:r>
          </w:p>
        </w:tc>
        <w:tc>
          <w:tcPr>
            <w:tcW w:w="1798" w:type="dxa"/>
            <w:gridSpan w:val="2"/>
            <w:tcBorders>
              <w:top w:val="single" w:color="auto" w:sz="12"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155" w:type="dxa"/>
            <w:gridSpan w:val="2"/>
            <w:tcBorders>
              <w:top w:val="single" w:color="auto" w:sz="12"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年龄</w:t>
            </w:r>
          </w:p>
        </w:tc>
        <w:tc>
          <w:tcPr>
            <w:tcW w:w="1927" w:type="dxa"/>
            <w:tcBorders>
              <w:top w:val="single" w:color="auto" w:sz="12"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86" w:type="dxa"/>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职务</w:t>
            </w:r>
          </w:p>
        </w:tc>
        <w:tc>
          <w:tcPr>
            <w:tcW w:w="2791" w:type="dxa"/>
            <w:gridSpan w:val="4"/>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898" w:type="dxa"/>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职称</w:t>
            </w: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155"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学历</w:t>
            </w:r>
          </w:p>
        </w:tc>
        <w:tc>
          <w:tcPr>
            <w:tcW w:w="1927" w:type="dxa"/>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33" w:type="dxa"/>
            <w:gridSpan w:val="3"/>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参加工作时间</w:t>
            </w:r>
          </w:p>
        </w:tc>
        <w:tc>
          <w:tcPr>
            <w:tcW w:w="6322" w:type="dxa"/>
            <w:gridSpan w:val="8"/>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355" w:type="dxa"/>
            <w:gridSpan w:val="11"/>
            <w:tcBorders>
              <w:top w:val="single" w:color="auto" w:sz="4" w:space="0"/>
              <w:left w:val="single" w:color="auto" w:sz="12" w:space="0"/>
              <w:bottom w:val="single" w:color="auto" w:sz="4" w:space="0"/>
              <w:right w:val="single" w:color="auto" w:sz="12" w:space="0"/>
            </w:tcBorders>
            <w:vAlign w:val="center"/>
          </w:tcPr>
          <w:p>
            <w:pPr>
              <w:rPr>
                <w:rFonts w:hint="eastAsia" w:ascii="仿宋" w:hAnsi="仿宋" w:eastAsia="仿宋" w:cs="Arial"/>
                <w:sz w:val="24"/>
                <w:szCs w:val="24"/>
              </w:rPr>
            </w:pPr>
            <w:r>
              <w:rPr>
                <w:rFonts w:ascii="仿宋" w:hAnsi="仿宋" w:eastAsia="仿宋" w:cs="Arial"/>
                <w:sz w:val="24"/>
                <w:szCs w:val="24"/>
              </w:rPr>
              <w:t>参与项目情况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买方</w:t>
            </w: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项目名称</w:t>
            </w: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项目规模</w:t>
            </w: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r>
              <w:rPr>
                <w:rFonts w:ascii="仿宋" w:hAnsi="仿宋" w:eastAsia="仿宋" w:cs="Arial"/>
                <w:sz w:val="24"/>
                <w:szCs w:val="24"/>
              </w:rPr>
              <w:t>开始、结束</w:t>
            </w:r>
          </w:p>
          <w:p>
            <w:pPr>
              <w:rPr>
                <w:rFonts w:hint="eastAsia" w:ascii="仿宋" w:hAnsi="仿宋" w:eastAsia="仿宋" w:cs="Arial"/>
                <w:sz w:val="24"/>
                <w:szCs w:val="24"/>
              </w:rPr>
            </w:pPr>
            <w:r>
              <w:rPr>
                <w:rFonts w:ascii="仿宋" w:hAnsi="仿宋" w:eastAsia="仿宋" w:cs="Arial"/>
                <w:sz w:val="24"/>
                <w:szCs w:val="24"/>
              </w:rPr>
              <w:t>日期</w:t>
            </w: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r>
              <w:rPr>
                <w:rFonts w:ascii="仿宋" w:hAnsi="仿宋" w:eastAsia="仿宋" w:cs="Arial"/>
                <w:sz w:val="24"/>
                <w:szCs w:val="24"/>
              </w:rPr>
              <w:t>买方反馈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pPr>
              <w:rPr>
                <w:rFonts w:hint="eastAsia" w:ascii="仿宋" w:hAnsi="仿宋" w:eastAsia="仿宋"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12" w:space="0"/>
              <w:right w:val="single" w:color="auto" w:sz="4" w:space="0"/>
            </w:tcBorders>
            <w:vAlign w:val="center"/>
          </w:tcPr>
          <w:p>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12" w:space="0"/>
              <w:right w:val="single" w:color="auto" w:sz="4" w:space="0"/>
            </w:tcBorders>
            <w:vAlign w:val="center"/>
          </w:tcPr>
          <w:p>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12" w:space="0"/>
              <w:right w:val="single" w:color="auto" w:sz="4" w:space="0"/>
            </w:tcBorders>
            <w:vAlign w:val="center"/>
          </w:tcPr>
          <w:p>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12" w:space="0"/>
              <w:right w:val="single" w:color="auto" w:sz="4" w:space="0"/>
            </w:tcBorders>
            <w:vAlign w:val="center"/>
          </w:tcPr>
          <w:p>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12" w:space="0"/>
              <w:right w:val="single" w:color="auto" w:sz="12" w:space="0"/>
            </w:tcBorders>
            <w:vAlign w:val="center"/>
          </w:tcPr>
          <w:p>
            <w:pPr>
              <w:rPr>
                <w:rFonts w:hint="eastAsia" w:ascii="仿宋" w:hAnsi="仿宋" w:eastAsia="仿宋" w:cs="Arial"/>
                <w:sz w:val="24"/>
                <w:szCs w:val="24"/>
              </w:rPr>
            </w:pPr>
          </w:p>
        </w:tc>
      </w:tr>
    </w:tbl>
    <w:p>
      <w:pPr>
        <w:rPr>
          <w:rFonts w:ascii="Times New Roman" w:hAnsi="Times New Roman"/>
        </w:rPr>
      </w:pPr>
    </w:p>
    <w:p>
      <w:pPr>
        <w:pStyle w:val="18"/>
        <w:rPr>
          <w:rFonts w:ascii="Times New Roman" w:hAnsi="Times New Roman"/>
        </w:rPr>
      </w:pPr>
    </w:p>
    <w:p>
      <w:pPr>
        <w:rPr>
          <w:rFonts w:eastAsiaTheme="minorEastAsia"/>
        </w:rPr>
        <w:sectPr>
          <w:pgSz w:w="12240" w:h="15840"/>
          <w:pgMar w:top="1445" w:right="1097" w:bottom="1466" w:left="1800" w:header="720" w:footer="720" w:gutter="0"/>
          <w:cols w:space="720" w:num="1"/>
        </w:sectPr>
      </w:pPr>
    </w:p>
    <w:p>
      <w:pPr>
        <w:pStyle w:val="3"/>
        <w:jc w:val="center"/>
        <w:rPr>
          <w:rFonts w:hint="eastAsia"/>
          <w:bCs/>
          <w:color w:val="auto"/>
        </w:rPr>
      </w:pPr>
      <w:bookmarkStart w:id="195" w:name="_Toc195390942"/>
      <w:r>
        <w:rPr>
          <w:bCs/>
          <w:color w:val="auto"/>
        </w:rPr>
        <w:t>十</w:t>
      </w:r>
      <w:r>
        <w:rPr>
          <w:rFonts w:hint="eastAsia"/>
          <w:bCs/>
          <w:color w:val="auto"/>
        </w:rPr>
        <w:t>四</w:t>
      </w:r>
      <w:r>
        <w:rPr>
          <w:bCs/>
          <w:color w:val="auto"/>
        </w:rPr>
        <w:t>、其他</w:t>
      </w:r>
      <w:r>
        <w:rPr>
          <w:rFonts w:hint="eastAsia"/>
          <w:bCs/>
          <w:color w:val="auto"/>
        </w:rPr>
        <w:t>资料</w:t>
      </w:r>
      <w:bookmarkEnd w:id="195"/>
    </w:p>
    <w:p>
      <w:pPr>
        <w:rPr>
          <w:b/>
          <w:color w:val="auto"/>
        </w:rPr>
      </w:pPr>
    </w:p>
    <w:p>
      <w:pPr>
        <w:rPr>
          <w:b/>
          <w:color w:val="auto"/>
        </w:rPr>
      </w:pPr>
    </w:p>
    <w:p>
      <w:pPr>
        <w:rPr>
          <w:b/>
          <w:color w:val="auto"/>
        </w:rPr>
      </w:pPr>
    </w:p>
    <w:p>
      <w:pPr>
        <w:rPr>
          <w:b/>
          <w:color w:val="auto"/>
        </w:rPr>
      </w:pPr>
    </w:p>
    <w:p>
      <w:pPr>
        <w:rPr>
          <w:b/>
          <w:color w:val="auto"/>
        </w:rPr>
      </w:pPr>
    </w:p>
    <w:p>
      <w:pPr>
        <w:rPr>
          <w:b/>
          <w:color w:val="auto"/>
        </w:rPr>
      </w:pPr>
    </w:p>
    <w:p>
      <w:pPr>
        <w:rPr>
          <w:b/>
          <w:color w:val="auto"/>
        </w:rPr>
      </w:pPr>
    </w:p>
    <w:p>
      <w:pPr>
        <w:rPr>
          <w:b/>
          <w:color w:val="auto"/>
        </w:rPr>
      </w:pPr>
    </w:p>
    <w:p>
      <w:pPr>
        <w:rPr>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rFonts w:eastAsiaTheme="minorEastAsia"/>
          <w:b/>
          <w:color w:val="auto"/>
        </w:rPr>
      </w:pPr>
    </w:p>
    <w:p>
      <w:pPr>
        <w:rPr>
          <w:b/>
          <w:color w:val="auto"/>
        </w:rPr>
      </w:pPr>
    </w:p>
    <w:p>
      <w:pPr>
        <w:rPr>
          <w:b/>
          <w:color w:val="auto"/>
        </w:rPr>
      </w:pPr>
    </w:p>
    <w:p>
      <w:pPr>
        <w:rPr>
          <w:b/>
          <w:color w:val="auto"/>
        </w:rPr>
      </w:pPr>
    </w:p>
    <w:p>
      <w:pPr>
        <w:pStyle w:val="3"/>
        <w:jc w:val="center"/>
        <w:rPr>
          <w:rFonts w:hint="eastAsia"/>
          <w:bCs/>
          <w:color w:val="auto"/>
        </w:rPr>
      </w:pPr>
      <w:bookmarkStart w:id="196" w:name="_Toc195390943"/>
      <w:r>
        <w:rPr>
          <w:bCs/>
          <w:color w:val="auto"/>
        </w:rPr>
        <w:t>十</w:t>
      </w:r>
      <w:r>
        <w:rPr>
          <w:rFonts w:hint="eastAsia"/>
          <w:bCs/>
          <w:color w:val="auto"/>
        </w:rPr>
        <w:t>五</w:t>
      </w:r>
      <w:r>
        <w:rPr>
          <w:bCs/>
          <w:color w:val="auto"/>
        </w:rPr>
        <w:t>、</w:t>
      </w:r>
      <w:r>
        <w:rPr>
          <w:rFonts w:hint="eastAsia"/>
          <w:bCs/>
          <w:color w:val="auto"/>
        </w:rPr>
        <w:t>中标服务费承诺书</w:t>
      </w:r>
      <w:bookmarkEnd w:id="196"/>
    </w:p>
    <w:p>
      <w:pPr>
        <w:spacing w:line="480" w:lineRule="auto"/>
        <w:rPr>
          <w:rFonts w:hint="eastAsia" w:asciiTheme="minorEastAsia" w:hAnsiTheme="minorEastAsia" w:eastAsiaTheme="minorEastAsia"/>
          <w:bCs/>
          <w:color w:val="auto"/>
          <w:spacing w:val="10"/>
          <w:sz w:val="21"/>
          <w:szCs w:val="21"/>
        </w:rPr>
      </w:pPr>
      <w:r>
        <w:rPr>
          <w:rFonts w:asciiTheme="minorEastAsia" w:hAnsiTheme="minorEastAsia" w:eastAsiaTheme="minorEastAsia"/>
          <w:bCs/>
          <w:color w:val="auto"/>
          <w:sz w:val="21"/>
          <w:szCs w:val="21"/>
        </w:rPr>
        <w:tab/>
      </w:r>
      <w:r>
        <w:rPr>
          <w:rFonts w:hint="eastAsia" w:asciiTheme="minorEastAsia" w:hAnsiTheme="minorEastAsia" w:eastAsiaTheme="minorEastAsia"/>
          <w:bCs/>
          <w:color w:val="auto"/>
          <w:spacing w:val="10"/>
          <w:sz w:val="21"/>
          <w:szCs w:val="21"/>
        </w:rPr>
        <w:t>致：中航咨询（北京）有限公司</w:t>
      </w:r>
    </w:p>
    <w:p>
      <w:pPr>
        <w:spacing w:line="480" w:lineRule="exact"/>
        <w:rPr>
          <w:rFonts w:hint="eastAsia" w:asciiTheme="minorEastAsia" w:hAnsiTheme="minorEastAsia" w:eastAsiaTheme="minorEastAsia"/>
          <w:bCs/>
          <w:color w:val="auto"/>
          <w:spacing w:val="10"/>
          <w:sz w:val="21"/>
          <w:szCs w:val="21"/>
        </w:rPr>
      </w:pPr>
    </w:p>
    <w:p>
      <w:pPr>
        <w:pStyle w:val="18"/>
        <w:spacing w:line="480" w:lineRule="exact"/>
        <w:ind w:firstLine="425"/>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我们在贵公司组织的</w:t>
      </w:r>
      <w:r>
        <w:rPr>
          <w:rFonts w:hint="eastAsia"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rPr>
        <w:t>项目（设备）招标中若获中标（招标文件号</w:t>
      </w:r>
      <w:r>
        <w:rPr>
          <w:rFonts w:hint="eastAsia" w:asciiTheme="minorEastAsia" w:hAnsiTheme="minorEastAsia" w:eastAsiaTheme="minorEastAsia"/>
          <w:bCs/>
          <w:color w:val="auto"/>
          <w:spacing w:val="10"/>
          <w:sz w:val="21"/>
          <w:szCs w:val="21"/>
          <w:u w:val="single"/>
        </w:rPr>
        <w:t xml:space="preserve">                </w:t>
      </w:r>
      <w:r>
        <w:rPr>
          <w:rFonts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rPr>
        <w:t xml:space="preserve"> ），我们保证在收到«中标通知书»后5个工作日内按招标文件的规定，以支票、汇票、电汇、现金中的一种，向贵公司即中航咨询（北京）有限公司支付中标服务费。</w:t>
      </w:r>
    </w:p>
    <w:p>
      <w:pPr>
        <w:spacing w:line="480" w:lineRule="exact"/>
        <w:ind w:firstLine="540"/>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我方如违约，愿凭贵方开出的违约通知，按上述金额的200%在投标保证金和设备买方付给卖方的中标设备货款中扣缴。</w:t>
      </w:r>
    </w:p>
    <w:p>
      <w:pPr>
        <w:spacing w:line="480" w:lineRule="auto"/>
        <w:ind w:firstLine="476" w:firstLineChars="207"/>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特此承诺！</w:t>
      </w:r>
    </w:p>
    <w:p>
      <w:pPr>
        <w:spacing w:line="480" w:lineRule="auto"/>
        <w:rPr>
          <w:rFonts w:hint="eastAsia" w:asciiTheme="minorEastAsia" w:hAnsiTheme="minorEastAsia" w:eastAsiaTheme="minorEastAsia"/>
          <w:bCs/>
          <w:color w:val="auto"/>
          <w:spacing w:val="10"/>
          <w:sz w:val="21"/>
          <w:szCs w:val="21"/>
        </w:rPr>
      </w:pPr>
    </w:p>
    <w:p>
      <w:pPr>
        <w:spacing w:line="480" w:lineRule="auto"/>
        <w:rPr>
          <w:rFonts w:hint="eastAsia" w:ascii="宋体" w:hAnsi="宋体" w:eastAsia="宋体"/>
          <w:bCs/>
          <w:color w:val="auto"/>
          <w:spacing w:val="10"/>
          <w:sz w:val="21"/>
          <w:szCs w:val="21"/>
        </w:rPr>
      </w:pPr>
      <w:r>
        <w:rPr>
          <w:rFonts w:hint="eastAsia" w:ascii="宋体" w:hAnsi="宋体" w:eastAsia="宋体"/>
          <w:bCs/>
          <w:color w:val="auto"/>
          <w:spacing w:val="10"/>
          <w:sz w:val="21"/>
          <w:szCs w:val="21"/>
        </w:rPr>
        <w:t>承诺方法定名称：</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（承诺方盖章）</w:t>
      </w:r>
    </w:p>
    <w:p>
      <w:pPr>
        <w:spacing w:line="480" w:lineRule="auto"/>
        <w:rPr>
          <w:rFonts w:hint="eastAsia" w:ascii="宋体" w:hAnsi="宋体" w:eastAsia="宋体"/>
          <w:bCs/>
          <w:color w:val="auto"/>
          <w:spacing w:val="10"/>
          <w:sz w:val="21"/>
          <w:szCs w:val="21"/>
          <w:u w:val="single"/>
        </w:rPr>
      </w:pPr>
      <w:r>
        <w:rPr>
          <w:rFonts w:hint="eastAsia" w:ascii="宋体" w:hAnsi="宋体" w:eastAsia="宋体"/>
          <w:bCs/>
          <w:color w:val="auto"/>
          <w:spacing w:val="10"/>
          <w:sz w:val="21"/>
          <w:szCs w:val="21"/>
        </w:rPr>
        <w:t>地   址：</w:t>
      </w:r>
      <w:r>
        <w:rPr>
          <w:rFonts w:hint="eastAsia" w:ascii="宋体" w:hAnsi="宋体" w:eastAsia="宋体"/>
          <w:bCs/>
          <w:color w:val="auto"/>
          <w:spacing w:val="10"/>
          <w:sz w:val="21"/>
          <w:szCs w:val="21"/>
          <w:u w:val="single"/>
        </w:rPr>
        <w:t xml:space="preserve">                                      </w:t>
      </w:r>
    </w:p>
    <w:p>
      <w:pPr>
        <w:spacing w:line="480" w:lineRule="auto"/>
        <w:rPr>
          <w:rFonts w:hint="eastAsia" w:ascii="宋体" w:hAnsi="宋体" w:eastAsia="宋体"/>
          <w:bCs/>
          <w:color w:val="auto"/>
          <w:spacing w:val="10"/>
          <w:sz w:val="21"/>
          <w:szCs w:val="21"/>
        </w:rPr>
      </w:pPr>
      <w:r>
        <w:rPr>
          <w:rFonts w:hint="eastAsia" w:ascii="宋体" w:hAnsi="宋体" w:eastAsia="宋体"/>
          <w:bCs/>
          <w:color w:val="auto"/>
          <w:spacing w:val="10"/>
          <w:sz w:val="21"/>
          <w:szCs w:val="21"/>
        </w:rPr>
        <w:t>电   话：</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传真：</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承诺日期：</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w:t>
      </w:r>
    </w:p>
    <w:p>
      <w:pPr>
        <w:tabs>
          <w:tab w:val="left" w:pos="2925"/>
        </w:tabs>
        <w:rPr>
          <w:b/>
          <w:color w:val="auto"/>
        </w:rPr>
      </w:pPr>
    </w:p>
    <w:p/>
    <w:p/>
    <w:p/>
    <w:p/>
    <w:p/>
    <w:sectPr>
      <w:footerReference r:id="rId13" w:type="first"/>
      <w:footerReference r:id="rId11" w:type="default"/>
      <w:footerReference r:id="rId12" w:type="even"/>
      <w:pgSz w:w="12240" w:h="15840"/>
      <w:pgMar w:top="1440" w:right="1440" w:bottom="1440" w:left="1440"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S Gothic">
    <w:panose1 w:val="020B0609070205080204"/>
    <w:charset w:val="80"/>
    <w:family w:val="modern"/>
    <w:pitch w:val="default"/>
    <w:sig w:usb0="E00002FF" w:usb1="6AC7FDFB" w:usb2="08000012" w:usb3="00000000" w:csb0="4002009F" w:csb1="DFD70000"/>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231095"/>
    </w:sdtPr>
    <w:sdtContent>
      <w:p>
        <w:pPr>
          <w:pStyle w:val="18"/>
          <w:jc w:val="center"/>
        </w:pPr>
        <w:r>
          <w:fldChar w:fldCharType="begin"/>
        </w:r>
        <w:r>
          <w:instrText xml:space="preserve">PAGE   \* MERGEFORMAT</w:instrText>
        </w:r>
        <w:r>
          <w:fldChar w:fldCharType="separate"/>
        </w:r>
        <w:r>
          <w:rPr>
            <w:lang w:val="zh-CN"/>
          </w:rPr>
          <w:t>5</w:t>
        </w:r>
        <w:r>
          <w:rPr>
            <w:lang w:val="zh-CN"/>
          </w:rPr>
          <w:fldChar w:fldCharType="end"/>
        </w:r>
      </w:p>
    </w:sdtContent>
  </w:sdt>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5688104"/>
    </w:sdtPr>
    <w:sdtContent>
      <w:p>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pPr>
      <w:spacing w:af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pPr>
      <w:spacing w:af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921"/>
    </w:sdtPr>
    <w:sdtContent>
      <w:p>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pPr>
      <w:spacing w:af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fldChar w:fldCharType="begin"/>
    </w:r>
    <w:r>
      <w:instrText xml:space="preserve">PAGE   \* MERGEFORMAT</w:instrText>
    </w:r>
    <w:r>
      <w:fldChar w:fldCharType="separate"/>
    </w:r>
    <w:r>
      <w:rPr>
        <w:lang w:val="zh-CN"/>
      </w:rPr>
      <w:t>109</w:t>
    </w:r>
    <w:r>
      <w:rPr>
        <w:lang w:val="zh-CN"/>
      </w:rPr>
      <w:fldChar w:fldCharType="end"/>
    </w:r>
  </w:p>
  <w:p>
    <w:pPr>
      <w:spacing w:after="0"/>
      <w:ind w:lef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pPr>
      <w:spacing w:after="0"/>
      <w:ind w:lef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pPr>
      <w:spacing w:after="0"/>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rPr>
        <w:u w:val="dott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2A00F"/>
    <w:multiLevelType w:val="multilevel"/>
    <w:tmpl w:val="8972A00F"/>
    <w:lvl w:ilvl="0" w:tentative="0">
      <w:start w:val="1"/>
      <w:numFmt w:val="decimal"/>
      <w:lvlText w:val="%1."/>
      <w:lvlJc w:val="left"/>
      <w:pPr>
        <w:ind w:left="708" w:firstLine="454"/>
      </w:pPr>
      <w:rPr>
        <w:rFonts w:hint="default"/>
        <w:sz w:val="32"/>
        <w:szCs w:val="32"/>
      </w:rPr>
    </w:lvl>
    <w:lvl w:ilvl="1" w:tentative="0">
      <w:start w:val="1"/>
      <w:numFmt w:val="lowerLetter"/>
      <w:lvlText w:val="%2)"/>
      <w:lvlJc w:val="left"/>
      <w:pPr>
        <w:tabs>
          <w:tab w:val="left" w:pos="1548"/>
        </w:tabs>
        <w:ind w:left="2002" w:hanging="420"/>
      </w:pPr>
      <w:rPr>
        <w:rFonts w:hint="default"/>
      </w:rPr>
    </w:lvl>
    <w:lvl w:ilvl="2" w:tentative="0">
      <w:start w:val="1"/>
      <w:numFmt w:val="lowerRoman"/>
      <w:lvlText w:val="%3."/>
      <w:lvlJc w:val="left"/>
      <w:pPr>
        <w:tabs>
          <w:tab w:val="left" w:pos="1968"/>
        </w:tabs>
        <w:ind w:left="2422" w:hanging="420"/>
      </w:pPr>
      <w:rPr>
        <w:rFonts w:hint="default"/>
      </w:rPr>
    </w:lvl>
    <w:lvl w:ilvl="3" w:tentative="0">
      <w:start w:val="1"/>
      <w:numFmt w:val="decimal"/>
      <w:lvlText w:val="%4."/>
      <w:lvlJc w:val="left"/>
      <w:pPr>
        <w:tabs>
          <w:tab w:val="left" w:pos="2388"/>
        </w:tabs>
        <w:ind w:left="2842" w:hanging="420"/>
      </w:pPr>
      <w:rPr>
        <w:rFonts w:hint="default"/>
      </w:rPr>
    </w:lvl>
    <w:lvl w:ilvl="4" w:tentative="0">
      <w:start w:val="1"/>
      <w:numFmt w:val="lowerLetter"/>
      <w:lvlText w:val="%5)"/>
      <w:lvlJc w:val="left"/>
      <w:pPr>
        <w:tabs>
          <w:tab w:val="left" w:pos="2808"/>
        </w:tabs>
        <w:ind w:left="3262" w:hanging="420"/>
      </w:pPr>
      <w:rPr>
        <w:rFonts w:hint="default"/>
      </w:rPr>
    </w:lvl>
    <w:lvl w:ilvl="5" w:tentative="0">
      <w:start w:val="1"/>
      <w:numFmt w:val="lowerRoman"/>
      <w:lvlText w:val="%6."/>
      <w:lvlJc w:val="left"/>
      <w:pPr>
        <w:tabs>
          <w:tab w:val="left" w:pos="3228"/>
        </w:tabs>
        <w:ind w:left="3682" w:hanging="420"/>
      </w:pPr>
      <w:rPr>
        <w:rFonts w:hint="default"/>
      </w:rPr>
    </w:lvl>
    <w:lvl w:ilvl="6" w:tentative="0">
      <w:start w:val="1"/>
      <w:numFmt w:val="decimal"/>
      <w:lvlText w:val="%7."/>
      <w:lvlJc w:val="left"/>
      <w:pPr>
        <w:tabs>
          <w:tab w:val="left" w:pos="3648"/>
        </w:tabs>
        <w:ind w:left="4102" w:hanging="420"/>
      </w:pPr>
      <w:rPr>
        <w:rFonts w:hint="default"/>
      </w:rPr>
    </w:lvl>
    <w:lvl w:ilvl="7" w:tentative="0">
      <w:start w:val="1"/>
      <w:numFmt w:val="lowerLetter"/>
      <w:lvlText w:val="%8)"/>
      <w:lvlJc w:val="left"/>
      <w:pPr>
        <w:tabs>
          <w:tab w:val="left" w:pos="4068"/>
        </w:tabs>
        <w:ind w:left="4522" w:hanging="420"/>
      </w:pPr>
      <w:rPr>
        <w:rFonts w:hint="default"/>
      </w:rPr>
    </w:lvl>
    <w:lvl w:ilvl="8" w:tentative="0">
      <w:start w:val="1"/>
      <w:numFmt w:val="lowerRoman"/>
      <w:lvlText w:val="%9."/>
      <w:lvlJc w:val="left"/>
      <w:pPr>
        <w:tabs>
          <w:tab w:val="left" w:pos="4488"/>
        </w:tabs>
        <w:ind w:left="4942" w:hanging="420"/>
      </w:pPr>
      <w:rPr>
        <w:rFonts w:hint="default"/>
      </w:rPr>
    </w:lvl>
  </w:abstractNum>
  <w:abstractNum w:abstractNumId="1">
    <w:nsid w:val="8D90D44C"/>
    <w:multiLevelType w:val="multilevel"/>
    <w:tmpl w:val="8D90D44C"/>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8D97163F"/>
    <w:multiLevelType w:val="multilevel"/>
    <w:tmpl w:val="8D97163F"/>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
    <w:nsid w:val="8ED2F3B3"/>
    <w:multiLevelType w:val="multilevel"/>
    <w:tmpl w:val="8ED2F3B3"/>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4">
    <w:nsid w:val="954F83AB"/>
    <w:multiLevelType w:val="multilevel"/>
    <w:tmpl w:val="954F83AB"/>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5">
    <w:nsid w:val="967432A0"/>
    <w:multiLevelType w:val="multilevel"/>
    <w:tmpl w:val="967432A0"/>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6">
    <w:nsid w:val="9883FD89"/>
    <w:multiLevelType w:val="multilevel"/>
    <w:tmpl w:val="9883FD89"/>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7">
    <w:nsid w:val="992E2F94"/>
    <w:multiLevelType w:val="multilevel"/>
    <w:tmpl w:val="992E2F94"/>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8">
    <w:nsid w:val="9C61C240"/>
    <w:multiLevelType w:val="multilevel"/>
    <w:tmpl w:val="9C61C240"/>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9">
    <w:nsid w:val="9EB823B9"/>
    <w:multiLevelType w:val="multilevel"/>
    <w:tmpl w:val="9EB823B9"/>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10">
    <w:nsid w:val="A680139D"/>
    <w:multiLevelType w:val="multilevel"/>
    <w:tmpl w:val="A680139D"/>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1">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A82930F1"/>
    <w:multiLevelType w:val="multilevel"/>
    <w:tmpl w:val="A82930F1"/>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13">
    <w:nsid w:val="A84C275E"/>
    <w:multiLevelType w:val="multilevel"/>
    <w:tmpl w:val="A84C275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4">
    <w:nsid w:val="A92D3931"/>
    <w:multiLevelType w:val="multilevel"/>
    <w:tmpl w:val="A92D3931"/>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5">
    <w:nsid w:val="A97F6F82"/>
    <w:multiLevelType w:val="multilevel"/>
    <w:tmpl w:val="A97F6F82"/>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6">
    <w:nsid w:val="AF18910E"/>
    <w:multiLevelType w:val="multilevel"/>
    <w:tmpl w:val="AF18910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7">
    <w:nsid w:val="B250F026"/>
    <w:multiLevelType w:val="singleLevel"/>
    <w:tmpl w:val="B250F026"/>
    <w:lvl w:ilvl="0" w:tentative="0">
      <w:start w:val="1"/>
      <w:numFmt w:val="bullet"/>
      <w:lvlText w:val=""/>
      <w:lvlJc w:val="left"/>
      <w:pPr>
        <w:ind w:left="0" w:firstLine="0"/>
      </w:pPr>
      <w:rPr>
        <w:rFonts w:hint="default" w:ascii="Wingdings" w:hAnsi="Wingdings"/>
        <w:color w:val="auto"/>
      </w:rPr>
    </w:lvl>
  </w:abstractNum>
  <w:abstractNum w:abstractNumId="18">
    <w:nsid w:val="B2C9EF44"/>
    <w:multiLevelType w:val="multilevel"/>
    <w:tmpl w:val="B2C9EF44"/>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19">
    <w:nsid w:val="B45A02F3"/>
    <w:multiLevelType w:val="multilevel"/>
    <w:tmpl w:val="B45A02F3"/>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20">
    <w:nsid w:val="B9BA1BA0"/>
    <w:multiLevelType w:val="multilevel"/>
    <w:tmpl w:val="B9BA1BA0"/>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1">
    <w:nsid w:val="BF67F24E"/>
    <w:multiLevelType w:val="multilevel"/>
    <w:tmpl w:val="BF67F24E"/>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2">
    <w:nsid w:val="C34B1CBD"/>
    <w:multiLevelType w:val="multilevel"/>
    <w:tmpl w:val="C34B1CBD"/>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23">
    <w:nsid w:val="C36ACB7D"/>
    <w:multiLevelType w:val="multilevel"/>
    <w:tmpl w:val="C36ACB7D"/>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4">
    <w:nsid w:val="C4CB26A6"/>
    <w:multiLevelType w:val="multilevel"/>
    <w:tmpl w:val="C4CB26A6"/>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25">
    <w:nsid w:val="C663A922"/>
    <w:multiLevelType w:val="multilevel"/>
    <w:tmpl w:val="C663A922"/>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26">
    <w:nsid w:val="C6CF125C"/>
    <w:multiLevelType w:val="multilevel"/>
    <w:tmpl w:val="C6CF125C"/>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27">
    <w:nsid w:val="C71866DC"/>
    <w:multiLevelType w:val="multilevel"/>
    <w:tmpl w:val="C71866DC"/>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8">
    <w:nsid w:val="CA8BBB57"/>
    <w:multiLevelType w:val="multilevel"/>
    <w:tmpl w:val="CA8BBB57"/>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9">
    <w:nsid w:val="CCC999E3"/>
    <w:multiLevelType w:val="singleLevel"/>
    <w:tmpl w:val="CCC999E3"/>
    <w:lvl w:ilvl="0" w:tentative="0">
      <w:start w:val="8"/>
      <w:numFmt w:val="chineseCounting"/>
      <w:suff w:val="nothing"/>
      <w:lvlText w:val="%1、"/>
      <w:lvlJc w:val="left"/>
      <w:rPr>
        <w:rFonts w:hint="eastAsia"/>
      </w:rPr>
    </w:lvl>
  </w:abstractNum>
  <w:abstractNum w:abstractNumId="30">
    <w:nsid w:val="D3DF059F"/>
    <w:multiLevelType w:val="multilevel"/>
    <w:tmpl w:val="D3DF059F"/>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1">
    <w:nsid w:val="D8066750"/>
    <w:multiLevelType w:val="multilevel"/>
    <w:tmpl w:val="D8066750"/>
    <w:lvl w:ilvl="0" w:tentative="0">
      <w:start w:val="1"/>
      <w:numFmt w:val="decimal"/>
      <w:lvlText w:val="%1"/>
      <w:lvlJc w:val="left"/>
      <w:pPr>
        <w:ind w:left="425" w:hanging="425"/>
      </w:pPr>
      <w:rPr>
        <w:rFonts w:hint="default"/>
        <w:b/>
        <w:bCs/>
        <w:sz w:val="28"/>
        <w:szCs w:val="28"/>
      </w:rPr>
    </w:lvl>
    <w:lvl w:ilvl="1" w:tentative="0">
      <w:start w:val="1"/>
      <w:numFmt w:val="decimal"/>
      <w:lvlText w:val="%1.%2"/>
      <w:lvlJc w:val="left"/>
      <w:pPr>
        <w:ind w:left="567" w:hanging="567"/>
      </w:pPr>
      <w:rPr>
        <w:rFonts w:hint="default" w:ascii="仿宋" w:hAnsi="仿宋" w:eastAsia="仿宋"/>
        <w:b/>
        <w:bCs/>
        <w:color w:val="auto"/>
        <w:sz w:val="28"/>
        <w:szCs w:val="28"/>
      </w:rPr>
    </w:lvl>
    <w:lvl w:ilvl="2" w:tentative="0">
      <w:start w:val="1"/>
      <w:numFmt w:val="decimal"/>
      <w:lvlText w:val="%1.%2.%3"/>
      <w:lvlJc w:val="left"/>
      <w:pPr>
        <w:ind w:left="709" w:hanging="709"/>
      </w:pPr>
      <w:rPr>
        <w:rFonts w:hint="default" w:ascii="仿宋" w:hAnsi="仿宋" w:eastAsia="仿宋"/>
        <w:b/>
        <w:bCs/>
        <w:sz w:val="24"/>
        <w:szCs w:val="24"/>
      </w:rPr>
    </w:lvl>
    <w:lvl w:ilvl="3" w:tentative="0">
      <w:start w:val="1"/>
      <w:numFmt w:val="decimal"/>
      <w:lvlText w:val="%1.%2.%3.%4"/>
      <w:lvlJc w:val="left"/>
      <w:pPr>
        <w:ind w:left="851" w:hanging="851"/>
      </w:pPr>
      <w:rPr>
        <w:rFonts w:hint="default" w:ascii="仿宋" w:hAnsi="仿宋" w:eastAsia="仿宋" w:cs="仿宋"/>
        <w:b/>
        <w:bCs/>
        <w:sz w:val="32"/>
        <w:szCs w:val="32"/>
      </w:rPr>
    </w:lvl>
    <w:lvl w:ilvl="4" w:tentative="0">
      <w:start w:val="1"/>
      <w:numFmt w:val="decimal"/>
      <w:lvlText w:val="%1.%2.%3.%4.%5"/>
      <w:lvlJc w:val="left"/>
      <w:pPr>
        <w:ind w:left="992" w:hanging="992"/>
      </w:pPr>
      <w:rPr>
        <w:rFonts w:hint="default"/>
        <w:b/>
        <w:bCs/>
        <w:sz w:val="32"/>
        <w:szCs w:val="32"/>
      </w:rPr>
    </w:lvl>
    <w:lvl w:ilvl="5" w:tentative="0">
      <w:start w:val="1"/>
      <w:numFmt w:val="decimal"/>
      <w:lvlText w:val="%2.%3.%4.%5.%6.1"/>
      <w:lvlJc w:val="left"/>
      <w:pPr>
        <w:ind w:left="1134" w:hanging="1134"/>
      </w:pPr>
      <w:rPr>
        <w:rFonts w:hint="eastAsia"/>
      </w:rPr>
    </w:lvl>
    <w:lvl w:ilvl="6" w:tentative="0">
      <w:start w:val="1"/>
      <w:numFmt w:val="decimal"/>
      <w:lvlText w:val="%2.%3.%4.%5.%6.%7.1"/>
      <w:lvlJc w:val="left"/>
      <w:pPr>
        <w:ind w:left="1276" w:hanging="1276"/>
      </w:pPr>
      <w:rPr>
        <w:rFonts w:hint="eastAsia"/>
      </w:rPr>
    </w:lvl>
    <w:lvl w:ilvl="7" w:tentative="0">
      <w:start w:val="1"/>
      <w:numFmt w:val="decimal"/>
      <w:lvlText w:val="%2.%3.%4.%5.%6.%7.%8.1"/>
      <w:lvlJc w:val="left"/>
      <w:pPr>
        <w:ind w:left="1418" w:hanging="1418"/>
      </w:pPr>
      <w:rPr>
        <w:rFonts w:hint="eastAsia"/>
      </w:rPr>
    </w:lvl>
    <w:lvl w:ilvl="8" w:tentative="0">
      <w:start w:val="1"/>
      <w:numFmt w:val="decimal"/>
      <w:lvlText w:val="%2.%3.%4.%5.%6.%7.%8.%9.1"/>
      <w:lvlJc w:val="left"/>
      <w:pPr>
        <w:ind w:left="1559" w:hanging="1559"/>
      </w:pPr>
      <w:rPr>
        <w:rFonts w:hint="eastAsia"/>
      </w:rPr>
    </w:lvl>
  </w:abstractNum>
  <w:abstractNum w:abstractNumId="32">
    <w:nsid w:val="DB9DF3CE"/>
    <w:multiLevelType w:val="multilevel"/>
    <w:tmpl w:val="DB9DF3CE"/>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3">
    <w:nsid w:val="E3F1AE0E"/>
    <w:multiLevelType w:val="multilevel"/>
    <w:tmpl w:val="E3F1AE0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34">
    <w:nsid w:val="E4339FB8"/>
    <w:multiLevelType w:val="multilevel"/>
    <w:tmpl w:val="E4339FB8"/>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35">
    <w:nsid w:val="E7F7C5C2"/>
    <w:multiLevelType w:val="multilevel"/>
    <w:tmpl w:val="E7F7C5C2"/>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6">
    <w:nsid w:val="E80A7794"/>
    <w:multiLevelType w:val="multilevel"/>
    <w:tmpl w:val="E80A7794"/>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7">
    <w:nsid w:val="EDE35C8F"/>
    <w:multiLevelType w:val="multilevel"/>
    <w:tmpl w:val="EDE35C8F"/>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8">
    <w:nsid w:val="F665AE0B"/>
    <w:multiLevelType w:val="multilevel"/>
    <w:tmpl w:val="F665AE0B"/>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9">
    <w:nsid w:val="FA06434A"/>
    <w:multiLevelType w:val="multilevel"/>
    <w:tmpl w:val="FA06434A"/>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40">
    <w:nsid w:val="025E7941"/>
    <w:multiLevelType w:val="multilevel"/>
    <w:tmpl w:val="025E7941"/>
    <w:lvl w:ilvl="0" w:tentative="0">
      <w:start w:val="5"/>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41">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0332F0EE"/>
    <w:multiLevelType w:val="multilevel"/>
    <w:tmpl w:val="0332F0EE"/>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43">
    <w:nsid w:val="05472E66"/>
    <w:multiLevelType w:val="multilevel"/>
    <w:tmpl w:val="05472E66"/>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44">
    <w:nsid w:val="06687B96"/>
    <w:multiLevelType w:val="multilevel"/>
    <w:tmpl w:val="06687B96"/>
    <w:lvl w:ilvl="0" w:tentative="0">
      <w:start w:val="1"/>
      <w:numFmt w:val="decimal"/>
      <w:lvlText w:val="（%1）"/>
      <w:lvlJc w:val="left"/>
      <w:pPr>
        <w:ind w:left="1051"/>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45">
    <w:nsid w:val="07ABDC2D"/>
    <w:multiLevelType w:val="multilevel"/>
    <w:tmpl w:val="07ABDC2D"/>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46">
    <w:nsid w:val="07E0C3A9"/>
    <w:multiLevelType w:val="multilevel"/>
    <w:tmpl w:val="07E0C3A9"/>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color w:val="auto"/>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47">
    <w:nsid w:val="094413E2"/>
    <w:multiLevelType w:val="multilevel"/>
    <w:tmpl w:val="094413E2"/>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8">
    <w:nsid w:val="0F446A1E"/>
    <w:multiLevelType w:val="multilevel"/>
    <w:tmpl w:val="0F446A1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sz w:val="32"/>
        <w:szCs w:val="32"/>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49">
    <w:nsid w:val="0F456A4F"/>
    <w:multiLevelType w:val="multilevel"/>
    <w:tmpl w:val="0F456A4F"/>
    <w:lvl w:ilvl="0" w:tentative="0">
      <w:start w:val="1"/>
      <w:numFmt w:val="decimal"/>
      <w:lvlText w:val="（%1）"/>
      <w:lvlJc w:val="left"/>
      <w:pPr>
        <w:ind w:left="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50">
    <w:nsid w:val="0FD05A57"/>
    <w:multiLevelType w:val="multilevel"/>
    <w:tmpl w:val="0FD05A57"/>
    <w:lvl w:ilvl="0" w:tentative="0">
      <w:start w:val="1"/>
      <w:numFmt w:val="decimal"/>
      <w:lvlText w:val="%1."/>
      <w:lvlJc w:val="left"/>
      <w:pPr>
        <w:ind w:left="684"/>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51">
    <w:nsid w:val="111C1A4B"/>
    <w:multiLevelType w:val="multilevel"/>
    <w:tmpl w:val="111C1A4B"/>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52">
    <w:nsid w:val="16DB1008"/>
    <w:multiLevelType w:val="multilevel"/>
    <w:tmpl w:val="16DB1008"/>
    <w:lvl w:ilvl="0" w:tentative="0">
      <w:start w:val="6"/>
      <w:numFmt w:val="decimal"/>
      <w:lvlText w:val="%1"/>
      <w:lvlJc w:val="left"/>
      <w:pPr>
        <w:ind w:left="420" w:hanging="420"/>
      </w:pPr>
      <w:rPr>
        <w:rFonts w:hint="default" w:ascii="Times New Roman" w:hAnsi="Times New Roman" w:eastAsia="Times New Roman" w:cs="Times New Roman"/>
        <w:sz w:val="21"/>
      </w:rPr>
    </w:lvl>
    <w:lvl w:ilvl="1" w:tentative="0">
      <w:start w:val="1"/>
      <w:numFmt w:val="decimal"/>
      <w:lvlText w:val="%1.%2"/>
      <w:lvlJc w:val="left"/>
      <w:pPr>
        <w:ind w:left="630" w:hanging="420"/>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53">
    <w:nsid w:val="16F62881"/>
    <w:multiLevelType w:val="multilevel"/>
    <w:tmpl w:val="16F62881"/>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54">
    <w:nsid w:val="1D631CB4"/>
    <w:multiLevelType w:val="multilevel"/>
    <w:tmpl w:val="1D631CB4"/>
    <w:lvl w:ilvl="0" w:tentative="0">
      <w:start w:val="1"/>
      <w:numFmt w:val="decimal"/>
      <w:lvlText w:val="%1"/>
      <w:lvlJc w:val="left"/>
      <w:pPr>
        <w:ind w:left="425" w:hanging="425"/>
      </w:pPr>
      <w:rPr>
        <w:rFonts w:hint="eastAsia"/>
        <w:b/>
        <w:bCs/>
      </w:rPr>
    </w:lvl>
    <w:lvl w:ilvl="1" w:tentative="0">
      <w:start w:val="1"/>
      <w:numFmt w:val="decimal"/>
      <w:lvlText w:val="%1.%2"/>
      <w:lvlJc w:val="left"/>
      <w:pPr>
        <w:ind w:left="567" w:hanging="567"/>
      </w:pPr>
      <w:rPr>
        <w:rFonts w:hint="default" w:ascii="仿宋" w:hAnsi="仿宋" w:eastAsia="仿宋"/>
        <w:b/>
        <w:bCs/>
        <w:color w:val="auto"/>
        <w:sz w:val="28"/>
        <w:szCs w:val="28"/>
      </w:rPr>
    </w:lvl>
    <w:lvl w:ilvl="2" w:tentative="0">
      <w:start w:val="1"/>
      <w:numFmt w:val="decimal"/>
      <w:lvlText w:val="%1.%2.%3"/>
      <w:lvlJc w:val="left"/>
      <w:pPr>
        <w:ind w:left="709" w:hanging="709"/>
      </w:pPr>
      <w:rPr>
        <w:rFonts w:hint="eastAsia" w:ascii="仿宋" w:hAnsi="仿宋" w:eastAsia="仿宋"/>
        <w:b/>
        <w:bCs/>
        <w:sz w:val="28"/>
        <w:szCs w:val="28"/>
      </w:rPr>
    </w:lvl>
    <w:lvl w:ilvl="3" w:tentative="0">
      <w:start w:val="1"/>
      <w:numFmt w:val="decimal"/>
      <w:lvlText w:val="%1.%2.%3.%4"/>
      <w:lvlJc w:val="left"/>
      <w:pPr>
        <w:ind w:left="851" w:hanging="851"/>
      </w:pPr>
      <w:rPr>
        <w:rFonts w:hint="default" w:ascii="仿宋" w:hAnsi="仿宋" w:eastAsia="仿宋" w:cs="仿宋"/>
        <w:b/>
        <w:bCs/>
        <w:color w:val="auto"/>
        <w:sz w:val="28"/>
        <w:szCs w:val="28"/>
      </w:rPr>
    </w:lvl>
    <w:lvl w:ilvl="4" w:tentative="0">
      <w:start w:val="1"/>
      <w:numFmt w:val="decimal"/>
      <w:lvlText w:val="%1.%2.%3.%4.%5"/>
      <w:lvlJc w:val="left"/>
      <w:pPr>
        <w:ind w:left="992" w:hanging="992"/>
      </w:pPr>
      <w:rPr>
        <w:rFonts w:hint="default"/>
        <w:b/>
        <w:bCs/>
        <w:sz w:val="28"/>
        <w:szCs w:val="28"/>
      </w:rPr>
    </w:lvl>
    <w:lvl w:ilvl="5" w:tentative="0">
      <w:start w:val="1"/>
      <w:numFmt w:val="decimal"/>
      <w:lvlText w:val="%2.%3.%4.%5.%6.1"/>
      <w:lvlJc w:val="left"/>
      <w:pPr>
        <w:ind w:left="1134" w:hanging="1134"/>
      </w:pPr>
      <w:rPr>
        <w:rFonts w:hint="eastAsia"/>
      </w:rPr>
    </w:lvl>
    <w:lvl w:ilvl="6" w:tentative="0">
      <w:start w:val="1"/>
      <w:numFmt w:val="decimal"/>
      <w:lvlText w:val="%2.%3.%4.%5.%6.%7.1"/>
      <w:lvlJc w:val="left"/>
      <w:pPr>
        <w:ind w:left="1276" w:hanging="1276"/>
      </w:pPr>
      <w:rPr>
        <w:rFonts w:hint="eastAsia"/>
      </w:rPr>
    </w:lvl>
    <w:lvl w:ilvl="7" w:tentative="0">
      <w:start w:val="1"/>
      <w:numFmt w:val="decimal"/>
      <w:lvlText w:val="%2.%3.%4.%5.%6.%7.%8.1"/>
      <w:lvlJc w:val="left"/>
      <w:pPr>
        <w:ind w:left="1418" w:hanging="1418"/>
      </w:pPr>
      <w:rPr>
        <w:rFonts w:hint="eastAsia"/>
      </w:rPr>
    </w:lvl>
    <w:lvl w:ilvl="8" w:tentative="0">
      <w:start w:val="1"/>
      <w:numFmt w:val="decimal"/>
      <w:lvlText w:val="%2.%3.%4.%5.%6.%7.%8.%9.1"/>
      <w:lvlJc w:val="left"/>
      <w:pPr>
        <w:ind w:left="1559" w:hanging="1559"/>
      </w:pPr>
      <w:rPr>
        <w:rFonts w:hint="eastAsia"/>
      </w:rPr>
    </w:lvl>
  </w:abstractNum>
  <w:abstractNum w:abstractNumId="55">
    <w:nsid w:val="1DB8473F"/>
    <w:multiLevelType w:val="multilevel"/>
    <w:tmpl w:val="1DB8473F"/>
    <w:lvl w:ilvl="0" w:tentative="0">
      <w:start w:val="1"/>
      <w:numFmt w:val="none"/>
      <w:lvlText w:val="%1"/>
      <w:lvlJc w:val="left"/>
      <w:pPr>
        <w:ind w:left="0" w:firstLine="0"/>
      </w:pPr>
      <w:rPr>
        <w:rFonts w:hint="eastAsia" w:ascii="宋体" w:hAnsi="宋体" w:eastAsia="宋体"/>
      </w:rPr>
    </w:lvl>
    <w:lvl w:ilvl="1" w:tentative="0">
      <w:start w:val="1"/>
      <w:numFmt w:val="decimal"/>
      <w:suff w:val="space"/>
      <w:lvlText w:val="%1%2 "/>
      <w:lvlJc w:val="left"/>
      <w:pPr>
        <w:ind w:left="0" w:firstLine="0"/>
      </w:pPr>
      <w:rPr>
        <w:rFonts w:hint="eastAsia" w:ascii="黑体" w:hAnsi="黑体" w:eastAsia="黑体"/>
        <w:b w:val="0"/>
        <w:i w:val="0"/>
        <w:sz w:val="28"/>
        <w:szCs w:val="28"/>
      </w:rPr>
    </w:lvl>
    <w:lvl w:ilvl="2" w:tentative="0">
      <w:start w:val="1"/>
      <w:numFmt w:val="decimal"/>
      <w:suff w:val="space"/>
      <w:lvlText w:val="%1%2.%3 "/>
      <w:lvlJc w:val="left"/>
      <w:pPr>
        <w:ind w:left="0" w:firstLine="0"/>
      </w:pPr>
      <w:rPr>
        <w:rFonts w:hint="eastAsia" w:ascii="黑体" w:hAnsi="黑体" w:eastAsia="黑体"/>
        <w:b w:val="0"/>
        <w:i w:val="0"/>
        <w:sz w:val="28"/>
        <w:szCs w:val="28"/>
      </w:rPr>
    </w:lvl>
    <w:lvl w:ilvl="3" w:tentative="0">
      <w:start w:val="1"/>
      <w:numFmt w:val="decimal"/>
      <w:suff w:val="space"/>
      <w:lvlText w:val="%1%2.%3.%4 "/>
      <w:lvlJc w:val="left"/>
      <w:pPr>
        <w:ind w:left="0" w:firstLine="0"/>
      </w:pPr>
      <w:rPr>
        <w:rFonts w:hint="eastAsia" w:ascii="黑体" w:hAnsi="黑体" w:eastAsia="黑体"/>
        <w:b w:val="0"/>
        <w:i w:val="0"/>
        <w:sz w:val="28"/>
        <w:szCs w:val="28"/>
      </w:rPr>
    </w:lvl>
    <w:lvl w:ilvl="4" w:tentative="0">
      <w:start w:val="1"/>
      <w:numFmt w:val="decimal"/>
      <w:suff w:val="space"/>
      <w:lvlText w:val="%2.%3.%4.%5 "/>
      <w:lvlJc w:val="left"/>
      <w:pPr>
        <w:ind w:left="0" w:firstLine="0"/>
      </w:pPr>
      <w:rPr>
        <w:rFonts w:hint="eastAsia" w:ascii="黑体" w:hAnsi="黑体" w:eastAsia="黑体"/>
        <w:b w:val="0"/>
        <w:i w:val="0"/>
        <w:sz w:val="28"/>
        <w:szCs w:val="28"/>
      </w:rPr>
    </w:lvl>
    <w:lvl w:ilvl="5" w:tentative="0">
      <w:start w:val="1"/>
      <w:numFmt w:val="decimal"/>
      <w:suff w:val="space"/>
      <w:lvlText w:val="%1%2.%3.%4.%5.%6 "/>
      <w:lvlJc w:val="left"/>
      <w:pPr>
        <w:ind w:left="0" w:firstLine="0"/>
      </w:pPr>
      <w:rPr>
        <w:rFonts w:hint="eastAsia" w:ascii="黑体" w:hAnsi="黑体" w:eastAsia="黑体"/>
        <w:b w:val="0"/>
        <w:i w:val="0"/>
        <w:sz w:val="28"/>
        <w:szCs w:val="28"/>
      </w:rPr>
    </w:lvl>
    <w:lvl w:ilvl="6" w:tentative="0">
      <w:start w:val="1"/>
      <w:numFmt w:val="decimal"/>
      <w:suff w:val="space"/>
      <w:lvlText w:val="%1%2.%3.%4.%5.%6.%7 "/>
      <w:lvlJc w:val="left"/>
      <w:pPr>
        <w:ind w:left="0" w:firstLine="0"/>
      </w:pPr>
      <w:rPr>
        <w:rFonts w:hint="eastAsia" w:ascii="黑体" w:hAnsi="黑体" w:eastAsia="黑体"/>
        <w:b w:val="0"/>
        <w:i w:val="0"/>
        <w:sz w:val="28"/>
        <w:szCs w:val="28"/>
      </w:rPr>
    </w:lvl>
    <w:lvl w:ilvl="7" w:tentative="0">
      <w:start w:val="1"/>
      <w:numFmt w:val="decimal"/>
      <w:lvlText w:val="%1%2.%3.%4.%5.%6.%7.%8"/>
      <w:lvlJc w:val="left"/>
      <w:pPr>
        <w:ind w:left="0" w:firstLine="0"/>
      </w:pPr>
      <w:rPr>
        <w:rFonts w:hint="eastAsia" w:ascii="宋体" w:hAnsi="宋体" w:eastAsia="宋体"/>
      </w:rPr>
    </w:lvl>
    <w:lvl w:ilvl="8" w:tentative="0">
      <w:start w:val="1"/>
      <w:numFmt w:val="decimal"/>
      <w:lvlText w:val="%1%2.%3.%4.%5.%6.%7.%8.%9"/>
      <w:lvlJc w:val="left"/>
      <w:pPr>
        <w:ind w:left="0" w:firstLine="0"/>
      </w:pPr>
      <w:rPr>
        <w:rFonts w:hint="eastAsia" w:ascii="宋体" w:hAnsi="宋体" w:eastAsia="宋体"/>
      </w:rPr>
    </w:lvl>
  </w:abstractNum>
  <w:abstractNum w:abstractNumId="56">
    <w:nsid w:val="1FBB00EF"/>
    <w:multiLevelType w:val="multilevel"/>
    <w:tmpl w:val="1FBB00EF"/>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57">
    <w:nsid w:val="20093B9C"/>
    <w:multiLevelType w:val="multilevel"/>
    <w:tmpl w:val="20093B9C"/>
    <w:lvl w:ilvl="0" w:tentative="0">
      <w:start w:val="1"/>
      <w:numFmt w:val="decimal"/>
      <w:lvlText w:val="%1"/>
      <w:lvlJc w:val="left"/>
      <w:pPr>
        <w:ind w:left="420" w:hanging="420"/>
      </w:pPr>
      <w:rPr>
        <w:rFonts w:hint="default"/>
        <w:b w:val="0"/>
        <w:i w:val="0"/>
        <w:snapToGrid w:val="0"/>
        <w:color w:val="auto"/>
        <w:kern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21D3CB2E"/>
    <w:multiLevelType w:val="multilevel"/>
    <w:tmpl w:val="21D3CB2E"/>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59">
    <w:nsid w:val="25AE32C5"/>
    <w:multiLevelType w:val="multilevel"/>
    <w:tmpl w:val="25AE32C5"/>
    <w:lvl w:ilvl="0" w:tentative="0">
      <w:start w:val="1"/>
      <w:numFmt w:val="lowerLetter"/>
      <w:lvlText w:val="%1."/>
      <w:lvlJc w:val="left"/>
      <w:pPr>
        <w:ind w:left="0" w:firstLine="454"/>
      </w:pPr>
      <w:rPr>
        <w:rFonts w:hint="default"/>
        <w:sz w:val="28"/>
        <w:szCs w:val="28"/>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60">
    <w:nsid w:val="2AD97D67"/>
    <w:multiLevelType w:val="multilevel"/>
    <w:tmpl w:val="2AD97D67"/>
    <w:lvl w:ilvl="0" w:tentative="0">
      <w:start w:val="1"/>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61">
    <w:nsid w:val="2BC7CA01"/>
    <w:multiLevelType w:val="multilevel"/>
    <w:tmpl w:val="2BC7CA01"/>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62">
    <w:nsid w:val="3089ADF8"/>
    <w:multiLevelType w:val="multilevel"/>
    <w:tmpl w:val="3089ADF8"/>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63">
    <w:nsid w:val="3B3A70DF"/>
    <w:multiLevelType w:val="multilevel"/>
    <w:tmpl w:val="3B3A70DF"/>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64">
    <w:nsid w:val="3EE09857"/>
    <w:multiLevelType w:val="multilevel"/>
    <w:tmpl w:val="3EE09857"/>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5">
    <w:nsid w:val="439EF805"/>
    <w:multiLevelType w:val="multilevel"/>
    <w:tmpl w:val="439EF805"/>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6">
    <w:nsid w:val="43D2CB73"/>
    <w:multiLevelType w:val="multilevel"/>
    <w:tmpl w:val="43D2CB73"/>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67">
    <w:nsid w:val="44923913"/>
    <w:multiLevelType w:val="multilevel"/>
    <w:tmpl w:val="44923913"/>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8">
    <w:nsid w:val="44ECF56A"/>
    <w:multiLevelType w:val="multilevel"/>
    <w:tmpl w:val="44ECF56A"/>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69">
    <w:nsid w:val="44FB19F2"/>
    <w:multiLevelType w:val="multilevel"/>
    <w:tmpl w:val="44FB19F2"/>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70">
    <w:nsid w:val="4599D852"/>
    <w:multiLevelType w:val="multilevel"/>
    <w:tmpl w:val="4599D852"/>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71">
    <w:nsid w:val="49E11FDA"/>
    <w:multiLevelType w:val="singleLevel"/>
    <w:tmpl w:val="49E11FDA"/>
    <w:lvl w:ilvl="0" w:tentative="0">
      <w:start w:val="1"/>
      <w:numFmt w:val="bullet"/>
      <w:lvlText w:val=""/>
      <w:lvlJc w:val="left"/>
      <w:pPr>
        <w:ind w:left="420" w:hanging="420"/>
      </w:pPr>
      <w:rPr>
        <w:rFonts w:hint="default" w:ascii="Wingdings" w:hAnsi="Wingdings"/>
      </w:rPr>
    </w:lvl>
  </w:abstractNum>
  <w:abstractNum w:abstractNumId="72">
    <w:nsid w:val="4BAB0330"/>
    <w:multiLevelType w:val="multilevel"/>
    <w:tmpl w:val="4BAB0330"/>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73">
    <w:nsid w:val="529B59B3"/>
    <w:multiLevelType w:val="multilevel"/>
    <w:tmpl w:val="529B59B3"/>
    <w:lvl w:ilvl="0" w:tentative="0">
      <w:start w:val="1"/>
      <w:numFmt w:val="decimalEnclosedCircle"/>
      <w:lvlText w:val="%1"/>
      <w:lvlJc w:val="left"/>
      <w:pPr>
        <w:ind w:left="920" w:hanging="360"/>
      </w:pPr>
      <w:rPr>
        <w:rFonts w:hint="default"/>
      </w:rPr>
    </w:lvl>
    <w:lvl w:ilvl="1" w:tentative="0">
      <w:start w:val="1"/>
      <w:numFmt w:val="decimal"/>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4">
    <w:nsid w:val="537C15B9"/>
    <w:multiLevelType w:val="multilevel"/>
    <w:tmpl w:val="537C15B9"/>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75">
    <w:nsid w:val="54660765"/>
    <w:multiLevelType w:val="multilevel"/>
    <w:tmpl w:val="54660765"/>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76">
    <w:nsid w:val="597C51DE"/>
    <w:multiLevelType w:val="multilevel"/>
    <w:tmpl w:val="597C51D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77">
    <w:nsid w:val="59BFC40C"/>
    <w:multiLevelType w:val="multilevel"/>
    <w:tmpl w:val="59BFC40C"/>
    <w:lvl w:ilvl="0" w:tentative="0">
      <w:start w:val="1"/>
      <w:numFmt w:val="decimal"/>
      <w:lvlText w:val="%1."/>
      <w:lvlJc w:val="left"/>
      <w:pPr>
        <w:ind w:left="0" w:firstLine="454"/>
      </w:pPr>
      <w:rPr>
        <w:rFonts w:hint="default"/>
        <w:b w:val="0"/>
        <w:bCs w:val="0"/>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78">
    <w:nsid w:val="5CE8C432"/>
    <w:multiLevelType w:val="singleLevel"/>
    <w:tmpl w:val="5CE8C432"/>
    <w:lvl w:ilvl="0" w:tentative="0">
      <w:start w:val="1"/>
      <w:numFmt w:val="bullet"/>
      <w:lvlText w:val=""/>
      <w:lvlJc w:val="left"/>
      <w:pPr>
        <w:ind w:left="0" w:firstLine="0"/>
      </w:pPr>
      <w:rPr>
        <w:rFonts w:hint="default" w:ascii="Wingdings" w:hAnsi="Wingdings"/>
      </w:rPr>
    </w:lvl>
  </w:abstractNum>
  <w:abstractNum w:abstractNumId="79">
    <w:nsid w:val="5DE30AF2"/>
    <w:multiLevelType w:val="multilevel"/>
    <w:tmpl w:val="5DE30AF2"/>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80">
    <w:nsid w:val="5E5B8806"/>
    <w:multiLevelType w:val="singleLevel"/>
    <w:tmpl w:val="5E5B8806"/>
    <w:lvl w:ilvl="0" w:tentative="0">
      <w:start w:val="1"/>
      <w:numFmt w:val="decimal"/>
      <w:lvlText w:val="(%1)"/>
      <w:lvlJc w:val="left"/>
      <w:pPr>
        <w:ind w:left="0" w:firstLine="454"/>
      </w:pPr>
      <w:rPr>
        <w:rFonts w:hint="default"/>
      </w:rPr>
    </w:lvl>
  </w:abstractNum>
  <w:abstractNum w:abstractNumId="81">
    <w:nsid w:val="657E1E7E"/>
    <w:multiLevelType w:val="multilevel"/>
    <w:tmpl w:val="657E1E7E"/>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82">
    <w:nsid w:val="67224CE2"/>
    <w:multiLevelType w:val="multilevel"/>
    <w:tmpl w:val="67224CE2"/>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83">
    <w:nsid w:val="682E730F"/>
    <w:multiLevelType w:val="multilevel"/>
    <w:tmpl w:val="682E730F"/>
    <w:lvl w:ilvl="0" w:tentative="0">
      <w:start w:val="3"/>
      <w:numFmt w:val="decimal"/>
      <w:lvlText w:val="%1"/>
      <w:lvlJc w:val="left"/>
      <w:pPr>
        <w:ind w:left="435" w:hanging="435"/>
      </w:pPr>
      <w:rPr>
        <w:rFonts w:hint="default" w:ascii="Times New Roman" w:hAnsi="Times New Roman" w:eastAsia="Times New Roman" w:cs="Times New Roman"/>
        <w:sz w:val="21"/>
      </w:rPr>
    </w:lvl>
    <w:lvl w:ilvl="1" w:tentative="0">
      <w:start w:val="1"/>
      <w:numFmt w:val="decimal"/>
      <w:lvlText w:val="%1.%2"/>
      <w:lvlJc w:val="left"/>
      <w:pPr>
        <w:ind w:left="645" w:hanging="435"/>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84">
    <w:nsid w:val="68871F2A"/>
    <w:multiLevelType w:val="multilevel"/>
    <w:tmpl w:val="68871F2A"/>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85">
    <w:nsid w:val="691636DF"/>
    <w:multiLevelType w:val="multilevel"/>
    <w:tmpl w:val="691636DF"/>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86">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7">
    <w:nsid w:val="6E9403FD"/>
    <w:multiLevelType w:val="multilevel"/>
    <w:tmpl w:val="6E9403FD"/>
    <w:lvl w:ilvl="0" w:tentative="0">
      <w:start w:val="1"/>
      <w:numFmt w:val="decimal"/>
      <w:lvlText w:val="%1."/>
      <w:lvlJc w:val="left"/>
      <w:pPr>
        <w:ind w:left="4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88">
    <w:nsid w:val="72F86B28"/>
    <w:multiLevelType w:val="multilevel"/>
    <w:tmpl w:val="72F86B28"/>
    <w:lvl w:ilvl="0" w:tentative="0">
      <w:start w:val="1"/>
      <w:numFmt w:val="decimal"/>
      <w:lvlText w:val="（%1）"/>
      <w:lvlJc w:val="left"/>
      <w:pPr>
        <w:ind w:left="314"/>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89">
    <w:nsid w:val="73DC031A"/>
    <w:multiLevelType w:val="multilevel"/>
    <w:tmpl w:val="73DC031A"/>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90">
    <w:nsid w:val="743B4AA9"/>
    <w:multiLevelType w:val="multilevel"/>
    <w:tmpl w:val="743B4AA9"/>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91">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92">
    <w:nsid w:val="76026A94"/>
    <w:multiLevelType w:val="multilevel"/>
    <w:tmpl w:val="76026A94"/>
    <w:lvl w:ilvl="0" w:tentative="0">
      <w:start w:val="1"/>
      <w:numFmt w:val="decimal"/>
      <w:lvlText w:val="%1."/>
      <w:lvlJc w:val="left"/>
      <w:pPr>
        <w:ind w:left="0" w:firstLine="454"/>
      </w:pPr>
      <w:rPr>
        <w:rFonts w:hint="default" w:ascii="仿宋" w:hAnsi="仿宋" w:eastAsia="仿宋" w:cs="仿宋"/>
        <w:sz w:val="28"/>
        <w:szCs w:val="28"/>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93">
    <w:nsid w:val="76893064"/>
    <w:multiLevelType w:val="multilevel"/>
    <w:tmpl w:val="76893064"/>
    <w:lvl w:ilvl="0" w:tentative="0">
      <w:start w:val="1"/>
      <w:numFmt w:val="decimal"/>
      <w:lvlText w:val="%1."/>
      <w:lvlJc w:val="left"/>
      <w:pPr>
        <w:ind w:left="0" w:firstLine="454"/>
      </w:pPr>
      <w:rPr>
        <w:rFonts w:hint="default"/>
        <w:sz w:val="24"/>
        <w:szCs w:val="24"/>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94">
    <w:nsid w:val="773E6AA2"/>
    <w:multiLevelType w:val="multilevel"/>
    <w:tmpl w:val="773E6AA2"/>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95">
    <w:nsid w:val="779269FF"/>
    <w:multiLevelType w:val="multilevel"/>
    <w:tmpl w:val="779269FF"/>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96">
    <w:nsid w:val="78843DCC"/>
    <w:multiLevelType w:val="multilevel"/>
    <w:tmpl w:val="78843DCC"/>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97">
    <w:nsid w:val="788B3E16"/>
    <w:multiLevelType w:val="multilevel"/>
    <w:tmpl w:val="788B3E16"/>
    <w:lvl w:ilvl="0" w:tentative="0">
      <w:start w:val="1"/>
      <w:numFmt w:val="chineseCountingThousand"/>
      <w:lvlText w:val="%1、"/>
      <w:lvlJc w:val="left"/>
      <w:pPr>
        <w:ind w:left="635" w:hanging="425"/>
      </w:pPr>
      <w:rPr>
        <w:rFonts w:hint="eastAsia"/>
        <w:color w:val="000000"/>
        <w:lang w:val="en-US"/>
      </w:rPr>
    </w:lvl>
    <w:lvl w:ilvl="1" w:tentative="0">
      <w:start w:val="1"/>
      <w:numFmt w:val="chineseCountingThousand"/>
      <w:lvlText w:val="（%2）"/>
      <w:lvlJc w:val="left"/>
      <w:pPr>
        <w:ind w:left="1202" w:hanging="567"/>
      </w:pPr>
      <w:rPr>
        <w:rFonts w:hint="eastAsia"/>
        <w:sz w:val="32"/>
        <w:szCs w:val="32"/>
      </w:rPr>
    </w:lvl>
    <w:lvl w:ilvl="2" w:tentative="0">
      <w:start w:val="1"/>
      <w:numFmt w:val="decimal"/>
      <w:lvlText w:val="%3."/>
      <w:lvlJc w:val="left"/>
      <w:pPr>
        <w:tabs>
          <w:tab w:val="left" w:pos="737"/>
        </w:tabs>
        <w:ind w:left="0" w:firstLine="737"/>
      </w:pPr>
      <w:rPr>
        <w:rFonts w:hint="default"/>
        <w:sz w:val="32"/>
        <w:szCs w:val="32"/>
      </w:rPr>
    </w:lvl>
    <w:lvl w:ilvl="3" w:tentative="0">
      <w:start w:val="1"/>
      <w:numFmt w:val="decimal"/>
      <w:lvlText w:val="%3.%4"/>
      <w:lvlJc w:val="left"/>
      <w:pPr>
        <w:tabs>
          <w:tab w:val="left" w:pos="737"/>
        </w:tabs>
        <w:ind w:left="0" w:firstLine="737"/>
      </w:pPr>
      <w:rPr>
        <w:rFonts w:hint="default"/>
        <w:b w:val="0"/>
        <w:sz w:val="32"/>
        <w:szCs w:val="32"/>
      </w:rPr>
    </w:lvl>
    <w:lvl w:ilvl="4" w:tentative="0">
      <w:start w:val="1"/>
      <w:numFmt w:val="decimalFullWidth"/>
      <w:lvlText w:val="%5)"/>
      <w:lvlJc w:val="left"/>
      <w:pPr>
        <w:tabs>
          <w:tab w:val="left" w:pos="737"/>
        </w:tabs>
        <w:ind w:left="0" w:firstLine="737"/>
      </w:pPr>
      <w:rPr>
        <w:rFonts w:hint="eastAsia"/>
        <w:spacing w:val="-20"/>
        <w:sz w:val="24"/>
        <w:szCs w:val="24"/>
      </w:rPr>
    </w:lvl>
    <w:lvl w:ilvl="5" w:tentative="0">
      <w:start w:val="1"/>
      <w:numFmt w:val="decimalEnclosedCircleChinese"/>
      <w:lvlText w:val="%6"/>
      <w:lvlJc w:val="left"/>
      <w:pPr>
        <w:tabs>
          <w:tab w:val="left" w:pos="1134"/>
        </w:tabs>
        <w:ind w:left="0" w:firstLine="737"/>
      </w:pPr>
      <w:rPr>
        <w:rFonts w:hint="eastAsia"/>
      </w:rPr>
    </w:lvl>
    <w:lvl w:ilvl="6" w:tentative="0">
      <w:start w:val="1"/>
      <w:numFmt w:val="decimal"/>
      <w:lvlText w:val="%1.%2.%3.%4.%5.%6.%7"/>
      <w:lvlJc w:val="left"/>
      <w:pPr>
        <w:ind w:left="4037" w:hanging="1276"/>
      </w:pPr>
      <w:rPr>
        <w:rFonts w:hint="eastAsia"/>
      </w:rPr>
    </w:lvl>
    <w:lvl w:ilvl="7" w:tentative="0">
      <w:start w:val="1"/>
      <w:numFmt w:val="decimal"/>
      <w:lvlText w:val="%1.%2.%3.%4.%5.%6.%7.%8"/>
      <w:lvlJc w:val="left"/>
      <w:pPr>
        <w:ind w:left="4604" w:hanging="1418"/>
      </w:pPr>
      <w:rPr>
        <w:rFonts w:hint="eastAsia"/>
      </w:rPr>
    </w:lvl>
    <w:lvl w:ilvl="8" w:tentative="0">
      <w:start w:val="1"/>
      <w:numFmt w:val="decimal"/>
      <w:lvlText w:val="%1.%2.%3.%4.%5.%6.%7.%8.%9"/>
      <w:lvlJc w:val="left"/>
      <w:pPr>
        <w:ind w:left="5312" w:hanging="1700"/>
      </w:pPr>
      <w:rPr>
        <w:rFonts w:hint="eastAsia"/>
      </w:rPr>
    </w:lvl>
  </w:abstractNum>
  <w:abstractNum w:abstractNumId="98">
    <w:nsid w:val="79045033"/>
    <w:multiLevelType w:val="multilevel"/>
    <w:tmpl w:val="79045033"/>
    <w:lvl w:ilvl="0" w:tentative="0">
      <w:start w:val="1"/>
      <w:numFmt w:val="lowerLetter"/>
      <w:lvlText w:val="%1."/>
      <w:lvlJc w:val="left"/>
      <w:pPr>
        <w:ind w:left="0" w:firstLine="454"/>
      </w:pPr>
      <w:rPr>
        <w:rFonts w:hint="default"/>
        <w:sz w:val="28"/>
        <w:szCs w:val="28"/>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99">
    <w:nsid w:val="7BF12AC8"/>
    <w:multiLevelType w:val="multilevel"/>
    <w:tmpl w:val="7BF12AC8"/>
    <w:lvl w:ilvl="0" w:tentative="0">
      <w:start w:val="1"/>
      <w:numFmt w:val="decimal"/>
      <w:lvlText w:val="（%1）"/>
      <w:lvlJc w:val="left"/>
      <w:pPr>
        <w:ind w:left="1037"/>
      </w:pPr>
      <w:rPr>
        <w:rFonts w:ascii="宋体" w:hAnsi="宋体" w:eastAsia="宋体" w:cs="宋体"/>
        <w:b w:val="0"/>
        <w:i w:val="0"/>
        <w:strike w:val="0"/>
        <w:dstrike w:val="0"/>
        <w:color w:val="000000"/>
        <w:sz w:val="21"/>
        <w:szCs w:val="21"/>
        <w:u w:val="none" w:color="000000"/>
        <w:shd w:val="clear" w:color="auto" w:fill="auto"/>
        <w:vertAlign w:val="baseline"/>
      </w:rPr>
    </w:lvl>
    <w:lvl w:ilvl="1" w:tentative="0">
      <w:start w:val="1"/>
      <w:numFmt w:val="decimal"/>
      <w:lvlText w:val="（%2）"/>
      <w:lvlJc w:val="left"/>
      <w:pPr>
        <w:ind w:left="1366"/>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19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6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3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0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8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5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2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100">
    <w:nsid w:val="7C1C209D"/>
    <w:multiLevelType w:val="multilevel"/>
    <w:tmpl w:val="7C1C209D"/>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num w:numId="1">
    <w:abstractNumId w:val="41"/>
  </w:num>
  <w:num w:numId="2">
    <w:abstractNumId w:val="49"/>
  </w:num>
  <w:num w:numId="3">
    <w:abstractNumId w:val="94"/>
  </w:num>
  <w:num w:numId="4">
    <w:abstractNumId w:val="44"/>
  </w:num>
  <w:num w:numId="5">
    <w:abstractNumId w:val="88"/>
  </w:num>
  <w:num w:numId="6">
    <w:abstractNumId w:val="60"/>
  </w:num>
  <w:num w:numId="7">
    <w:abstractNumId w:val="40"/>
  </w:num>
  <w:num w:numId="8">
    <w:abstractNumId w:val="52"/>
  </w:num>
  <w:num w:numId="9">
    <w:abstractNumId w:val="83"/>
  </w:num>
  <w:num w:numId="10">
    <w:abstractNumId w:val="100"/>
  </w:num>
  <w:num w:numId="11">
    <w:abstractNumId w:val="86"/>
  </w:num>
  <w:num w:numId="12">
    <w:abstractNumId w:val="11"/>
  </w:num>
  <w:num w:numId="13">
    <w:abstractNumId w:val="57"/>
  </w:num>
  <w:num w:numId="14">
    <w:abstractNumId w:val="31"/>
  </w:num>
  <w:num w:numId="15">
    <w:abstractNumId w:val="17"/>
  </w:num>
  <w:num w:numId="16">
    <w:abstractNumId w:val="78"/>
  </w:num>
  <w:num w:numId="17">
    <w:abstractNumId w:val="63"/>
  </w:num>
  <w:num w:numId="18">
    <w:abstractNumId w:val="0"/>
  </w:num>
  <w:num w:numId="19">
    <w:abstractNumId w:val="90"/>
  </w:num>
  <w:num w:numId="20">
    <w:abstractNumId w:val="9"/>
  </w:num>
  <w:num w:numId="21">
    <w:abstractNumId w:val="43"/>
  </w:num>
  <w:num w:numId="22">
    <w:abstractNumId w:val="98"/>
  </w:num>
  <w:num w:numId="23">
    <w:abstractNumId w:val="32"/>
  </w:num>
  <w:num w:numId="24">
    <w:abstractNumId w:val="58"/>
  </w:num>
  <w:num w:numId="25">
    <w:abstractNumId w:val="37"/>
  </w:num>
  <w:num w:numId="26">
    <w:abstractNumId w:val="27"/>
  </w:num>
  <w:num w:numId="27">
    <w:abstractNumId w:val="51"/>
  </w:num>
  <w:num w:numId="28">
    <w:abstractNumId w:val="59"/>
  </w:num>
  <w:num w:numId="29">
    <w:abstractNumId w:val="92"/>
  </w:num>
  <w:num w:numId="30">
    <w:abstractNumId w:val="74"/>
  </w:num>
  <w:num w:numId="31">
    <w:abstractNumId w:val="89"/>
  </w:num>
  <w:num w:numId="32">
    <w:abstractNumId w:val="56"/>
  </w:num>
  <w:num w:numId="33">
    <w:abstractNumId w:val="85"/>
  </w:num>
  <w:num w:numId="34">
    <w:abstractNumId w:val="69"/>
  </w:num>
  <w:num w:numId="35">
    <w:abstractNumId w:val="39"/>
  </w:num>
  <w:num w:numId="36">
    <w:abstractNumId w:val="2"/>
  </w:num>
  <w:num w:numId="37">
    <w:abstractNumId w:val="5"/>
  </w:num>
  <w:num w:numId="38">
    <w:abstractNumId w:val="28"/>
  </w:num>
  <w:num w:numId="39">
    <w:abstractNumId w:val="77"/>
  </w:num>
  <w:num w:numId="40">
    <w:abstractNumId w:val="42"/>
  </w:num>
  <w:num w:numId="41">
    <w:abstractNumId w:val="72"/>
  </w:num>
  <w:num w:numId="42">
    <w:abstractNumId w:val="96"/>
  </w:num>
  <w:num w:numId="43">
    <w:abstractNumId w:val="35"/>
  </w:num>
  <w:num w:numId="44">
    <w:abstractNumId w:val="6"/>
  </w:num>
  <w:num w:numId="45">
    <w:abstractNumId w:val="20"/>
  </w:num>
  <w:num w:numId="46">
    <w:abstractNumId w:val="23"/>
  </w:num>
  <w:num w:numId="47">
    <w:abstractNumId w:val="12"/>
  </w:num>
  <w:num w:numId="48">
    <w:abstractNumId w:val="71"/>
  </w:num>
  <w:num w:numId="49">
    <w:abstractNumId w:val="30"/>
  </w:num>
  <w:num w:numId="50">
    <w:abstractNumId w:val="21"/>
  </w:num>
  <w:num w:numId="51">
    <w:abstractNumId w:val="93"/>
  </w:num>
  <w:num w:numId="52">
    <w:abstractNumId w:val="36"/>
  </w:num>
  <w:num w:numId="53">
    <w:abstractNumId w:val="80"/>
  </w:num>
  <w:num w:numId="54">
    <w:abstractNumId w:val="54"/>
  </w:num>
  <w:num w:numId="55">
    <w:abstractNumId w:val="66"/>
  </w:num>
  <w:num w:numId="56">
    <w:abstractNumId w:val="62"/>
  </w:num>
  <w:num w:numId="57">
    <w:abstractNumId w:val="79"/>
  </w:num>
  <w:num w:numId="58">
    <w:abstractNumId w:val="7"/>
  </w:num>
  <w:num w:numId="59">
    <w:abstractNumId w:val="45"/>
  </w:num>
  <w:num w:numId="60">
    <w:abstractNumId w:val="84"/>
  </w:num>
  <w:num w:numId="61">
    <w:abstractNumId w:val="97"/>
  </w:num>
  <w:num w:numId="62">
    <w:abstractNumId w:val="14"/>
  </w:num>
  <w:num w:numId="63">
    <w:abstractNumId w:val="19"/>
  </w:num>
  <w:num w:numId="64">
    <w:abstractNumId w:val="61"/>
  </w:num>
  <w:num w:numId="65">
    <w:abstractNumId w:val="18"/>
  </w:num>
  <w:num w:numId="66">
    <w:abstractNumId w:val="68"/>
  </w:num>
  <w:num w:numId="67">
    <w:abstractNumId w:val="13"/>
  </w:num>
  <w:num w:numId="68">
    <w:abstractNumId w:val="3"/>
  </w:num>
  <w:num w:numId="69">
    <w:abstractNumId w:val="53"/>
  </w:num>
  <w:num w:numId="70">
    <w:abstractNumId w:val="8"/>
  </w:num>
  <w:num w:numId="71">
    <w:abstractNumId w:val="22"/>
  </w:num>
  <w:num w:numId="72">
    <w:abstractNumId w:val="16"/>
  </w:num>
  <w:num w:numId="73">
    <w:abstractNumId w:val="95"/>
  </w:num>
  <w:num w:numId="74">
    <w:abstractNumId w:val="15"/>
  </w:num>
  <w:num w:numId="75">
    <w:abstractNumId w:val="46"/>
  </w:num>
  <w:num w:numId="76">
    <w:abstractNumId w:val="24"/>
  </w:num>
  <w:num w:numId="77">
    <w:abstractNumId w:val="75"/>
  </w:num>
  <w:num w:numId="78">
    <w:abstractNumId w:val="55"/>
  </w:num>
  <w:num w:numId="79">
    <w:abstractNumId w:val="10"/>
  </w:num>
  <w:num w:numId="80">
    <w:abstractNumId w:val="34"/>
  </w:num>
  <w:num w:numId="81">
    <w:abstractNumId w:val="76"/>
  </w:num>
  <w:num w:numId="82">
    <w:abstractNumId w:val="4"/>
  </w:num>
  <w:num w:numId="83">
    <w:abstractNumId w:val="82"/>
  </w:num>
  <w:num w:numId="84">
    <w:abstractNumId w:val="33"/>
  </w:num>
  <w:num w:numId="85">
    <w:abstractNumId w:val="81"/>
  </w:num>
  <w:num w:numId="86">
    <w:abstractNumId w:val="26"/>
  </w:num>
  <w:num w:numId="87">
    <w:abstractNumId w:val="25"/>
  </w:num>
  <w:num w:numId="88">
    <w:abstractNumId w:val="48"/>
  </w:num>
  <w:num w:numId="89">
    <w:abstractNumId w:val="70"/>
  </w:num>
  <w:num w:numId="90">
    <w:abstractNumId w:val="1"/>
  </w:num>
  <w:num w:numId="91">
    <w:abstractNumId w:val="47"/>
  </w:num>
  <w:num w:numId="92">
    <w:abstractNumId w:val="64"/>
  </w:num>
  <w:num w:numId="93">
    <w:abstractNumId w:val="67"/>
  </w:num>
  <w:num w:numId="94">
    <w:abstractNumId w:val="38"/>
  </w:num>
  <w:num w:numId="95">
    <w:abstractNumId w:val="65"/>
  </w:num>
  <w:num w:numId="96">
    <w:abstractNumId w:val="99"/>
  </w:num>
  <w:num w:numId="97">
    <w:abstractNumId w:val="87"/>
  </w:num>
  <w:num w:numId="98">
    <w:abstractNumId w:val="73"/>
  </w:num>
  <w:num w:numId="99">
    <w:abstractNumId w:val="29"/>
  </w:num>
  <w:num w:numId="100">
    <w:abstractNumId w:val="91"/>
  </w:num>
  <w:num w:numId="101">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yZDQwMzYxYzljZGQxYjgxNDI5YWZiYWFjMTdiYjQifQ=="/>
  </w:docVars>
  <w:rsids>
    <w:rsidRoot w:val="19727B30"/>
    <w:rsid w:val="00004B67"/>
    <w:rsid w:val="00005FBE"/>
    <w:rsid w:val="00011431"/>
    <w:rsid w:val="00015882"/>
    <w:rsid w:val="00016130"/>
    <w:rsid w:val="00026F4B"/>
    <w:rsid w:val="00026F4D"/>
    <w:rsid w:val="00032905"/>
    <w:rsid w:val="000351E5"/>
    <w:rsid w:val="0003571A"/>
    <w:rsid w:val="0003594C"/>
    <w:rsid w:val="00037C45"/>
    <w:rsid w:val="00040170"/>
    <w:rsid w:val="00043828"/>
    <w:rsid w:val="00047BE0"/>
    <w:rsid w:val="000637DE"/>
    <w:rsid w:val="00081BF6"/>
    <w:rsid w:val="000A6A4E"/>
    <w:rsid w:val="000C328D"/>
    <w:rsid w:val="000D4046"/>
    <w:rsid w:val="000D4A48"/>
    <w:rsid w:val="000D4D18"/>
    <w:rsid w:val="000E16B9"/>
    <w:rsid w:val="000F1137"/>
    <w:rsid w:val="001026B1"/>
    <w:rsid w:val="001030C0"/>
    <w:rsid w:val="0010567E"/>
    <w:rsid w:val="00110EE3"/>
    <w:rsid w:val="0013246E"/>
    <w:rsid w:val="00132F65"/>
    <w:rsid w:val="001368B0"/>
    <w:rsid w:val="001372EF"/>
    <w:rsid w:val="00154504"/>
    <w:rsid w:val="001567A8"/>
    <w:rsid w:val="00163631"/>
    <w:rsid w:val="00170D9F"/>
    <w:rsid w:val="00175833"/>
    <w:rsid w:val="0019067D"/>
    <w:rsid w:val="001958EB"/>
    <w:rsid w:val="00197F66"/>
    <w:rsid w:val="001B2655"/>
    <w:rsid w:val="001B3EA6"/>
    <w:rsid w:val="001B5123"/>
    <w:rsid w:val="001B6DD8"/>
    <w:rsid w:val="001C099C"/>
    <w:rsid w:val="001C44F4"/>
    <w:rsid w:val="001C4A4A"/>
    <w:rsid w:val="001D04EB"/>
    <w:rsid w:val="001D673E"/>
    <w:rsid w:val="0020655F"/>
    <w:rsid w:val="00231453"/>
    <w:rsid w:val="00233FE3"/>
    <w:rsid w:val="002458CD"/>
    <w:rsid w:val="002615E9"/>
    <w:rsid w:val="0026360A"/>
    <w:rsid w:val="00273115"/>
    <w:rsid w:val="00277503"/>
    <w:rsid w:val="002A092E"/>
    <w:rsid w:val="002A12BD"/>
    <w:rsid w:val="002A1481"/>
    <w:rsid w:val="002A1E02"/>
    <w:rsid w:val="002A403F"/>
    <w:rsid w:val="002A4CDD"/>
    <w:rsid w:val="002A4FD3"/>
    <w:rsid w:val="002B1FDC"/>
    <w:rsid w:val="002B2CB7"/>
    <w:rsid w:val="002C5EEE"/>
    <w:rsid w:val="002D0784"/>
    <w:rsid w:val="002D626E"/>
    <w:rsid w:val="002E13FC"/>
    <w:rsid w:val="002E1923"/>
    <w:rsid w:val="00301A2A"/>
    <w:rsid w:val="00311CB4"/>
    <w:rsid w:val="00311E8F"/>
    <w:rsid w:val="0032727B"/>
    <w:rsid w:val="003350B3"/>
    <w:rsid w:val="00343923"/>
    <w:rsid w:val="00355B9E"/>
    <w:rsid w:val="00360896"/>
    <w:rsid w:val="003623E9"/>
    <w:rsid w:val="003637AB"/>
    <w:rsid w:val="00364282"/>
    <w:rsid w:val="0038176B"/>
    <w:rsid w:val="003820FD"/>
    <w:rsid w:val="00385481"/>
    <w:rsid w:val="00385E33"/>
    <w:rsid w:val="00392A01"/>
    <w:rsid w:val="003A147E"/>
    <w:rsid w:val="003A4E7C"/>
    <w:rsid w:val="003B2803"/>
    <w:rsid w:val="003C1B13"/>
    <w:rsid w:val="003D260D"/>
    <w:rsid w:val="003E2E1F"/>
    <w:rsid w:val="003E4B6C"/>
    <w:rsid w:val="003E6D57"/>
    <w:rsid w:val="003E6F32"/>
    <w:rsid w:val="003F0E69"/>
    <w:rsid w:val="003F27D6"/>
    <w:rsid w:val="003F45A2"/>
    <w:rsid w:val="003F68C1"/>
    <w:rsid w:val="004001AD"/>
    <w:rsid w:val="0040077B"/>
    <w:rsid w:val="00401ABD"/>
    <w:rsid w:val="004048DD"/>
    <w:rsid w:val="004069BD"/>
    <w:rsid w:val="00411827"/>
    <w:rsid w:val="00416026"/>
    <w:rsid w:val="004300CE"/>
    <w:rsid w:val="00437D34"/>
    <w:rsid w:val="004540FC"/>
    <w:rsid w:val="004578B3"/>
    <w:rsid w:val="0046440A"/>
    <w:rsid w:val="004722A3"/>
    <w:rsid w:val="004806D8"/>
    <w:rsid w:val="004808A3"/>
    <w:rsid w:val="00484783"/>
    <w:rsid w:val="00486D81"/>
    <w:rsid w:val="004B1468"/>
    <w:rsid w:val="004B4B77"/>
    <w:rsid w:val="004D05E1"/>
    <w:rsid w:val="004D1A2A"/>
    <w:rsid w:val="004E35ED"/>
    <w:rsid w:val="004E7FDE"/>
    <w:rsid w:val="005012D2"/>
    <w:rsid w:val="005049AE"/>
    <w:rsid w:val="005116A1"/>
    <w:rsid w:val="00520E59"/>
    <w:rsid w:val="00520F4F"/>
    <w:rsid w:val="00520F73"/>
    <w:rsid w:val="00525302"/>
    <w:rsid w:val="005315A6"/>
    <w:rsid w:val="0053533F"/>
    <w:rsid w:val="0053638F"/>
    <w:rsid w:val="00537BD0"/>
    <w:rsid w:val="00542868"/>
    <w:rsid w:val="005500DD"/>
    <w:rsid w:val="005527B2"/>
    <w:rsid w:val="00552CB6"/>
    <w:rsid w:val="0055675D"/>
    <w:rsid w:val="00556C99"/>
    <w:rsid w:val="00557AA6"/>
    <w:rsid w:val="00577A9C"/>
    <w:rsid w:val="00584164"/>
    <w:rsid w:val="005875DD"/>
    <w:rsid w:val="005927EC"/>
    <w:rsid w:val="0059392E"/>
    <w:rsid w:val="005A044E"/>
    <w:rsid w:val="005A29B3"/>
    <w:rsid w:val="005A54D8"/>
    <w:rsid w:val="005A5715"/>
    <w:rsid w:val="005A6400"/>
    <w:rsid w:val="005D4614"/>
    <w:rsid w:val="005D75A2"/>
    <w:rsid w:val="005E715B"/>
    <w:rsid w:val="005F050A"/>
    <w:rsid w:val="00612C4E"/>
    <w:rsid w:val="00622A0F"/>
    <w:rsid w:val="00634A19"/>
    <w:rsid w:val="006424D3"/>
    <w:rsid w:val="0065582A"/>
    <w:rsid w:val="006568B8"/>
    <w:rsid w:val="006570FC"/>
    <w:rsid w:val="00664FDF"/>
    <w:rsid w:val="00665067"/>
    <w:rsid w:val="00665733"/>
    <w:rsid w:val="00666BC8"/>
    <w:rsid w:val="00670DBF"/>
    <w:rsid w:val="00672BA8"/>
    <w:rsid w:val="00675B97"/>
    <w:rsid w:val="006A473D"/>
    <w:rsid w:val="006B39CF"/>
    <w:rsid w:val="006B4AC6"/>
    <w:rsid w:val="006C0433"/>
    <w:rsid w:val="006C4891"/>
    <w:rsid w:val="006D4BA6"/>
    <w:rsid w:val="006D6267"/>
    <w:rsid w:val="006E02F2"/>
    <w:rsid w:val="006E27EE"/>
    <w:rsid w:val="00701428"/>
    <w:rsid w:val="0070268F"/>
    <w:rsid w:val="00702F47"/>
    <w:rsid w:val="00712F6E"/>
    <w:rsid w:val="007154DE"/>
    <w:rsid w:val="0072502C"/>
    <w:rsid w:val="00752FF4"/>
    <w:rsid w:val="00756E9F"/>
    <w:rsid w:val="00757444"/>
    <w:rsid w:val="00764B97"/>
    <w:rsid w:val="0076501D"/>
    <w:rsid w:val="00765783"/>
    <w:rsid w:val="00772B50"/>
    <w:rsid w:val="007732F0"/>
    <w:rsid w:val="00776781"/>
    <w:rsid w:val="0077690C"/>
    <w:rsid w:val="007801EC"/>
    <w:rsid w:val="007A20D6"/>
    <w:rsid w:val="007A2EEE"/>
    <w:rsid w:val="007A3BD4"/>
    <w:rsid w:val="007A4E53"/>
    <w:rsid w:val="007B1C6B"/>
    <w:rsid w:val="007B3161"/>
    <w:rsid w:val="007D0B89"/>
    <w:rsid w:val="007D5753"/>
    <w:rsid w:val="007E34A5"/>
    <w:rsid w:val="00805E17"/>
    <w:rsid w:val="00840408"/>
    <w:rsid w:val="008504A5"/>
    <w:rsid w:val="00862557"/>
    <w:rsid w:val="00887AA9"/>
    <w:rsid w:val="008947C5"/>
    <w:rsid w:val="008962EA"/>
    <w:rsid w:val="0089682B"/>
    <w:rsid w:val="008A0AE6"/>
    <w:rsid w:val="008A3489"/>
    <w:rsid w:val="008B3B7C"/>
    <w:rsid w:val="008B73A6"/>
    <w:rsid w:val="008C2E80"/>
    <w:rsid w:val="008D07DC"/>
    <w:rsid w:val="008D5CD6"/>
    <w:rsid w:val="008E220C"/>
    <w:rsid w:val="008F0FA2"/>
    <w:rsid w:val="008F17BD"/>
    <w:rsid w:val="008F28E4"/>
    <w:rsid w:val="008F4048"/>
    <w:rsid w:val="00900855"/>
    <w:rsid w:val="00903D48"/>
    <w:rsid w:val="009061C4"/>
    <w:rsid w:val="00921161"/>
    <w:rsid w:val="00934E4C"/>
    <w:rsid w:val="00937BF7"/>
    <w:rsid w:val="009413D4"/>
    <w:rsid w:val="00951FF0"/>
    <w:rsid w:val="00955670"/>
    <w:rsid w:val="0098383B"/>
    <w:rsid w:val="00983C4C"/>
    <w:rsid w:val="00992E41"/>
    <w:rsid w:val="009B053C"/>
    <w:rsid w:val="009B074F"/>
    <w:rsid w:val="009B0CD1"/>
    <w:rsid w:val="009D3B62"/>
    <w:rsid w:val="009D6721"/>
    <w:rsid w:val="009D6A13"/>
    <w:rsid w:val="009E21CF"/>
    <w:rsid w:val="009E37A8"/>
    <w:rsid w:val="009F4520"/>
    <w:rsid w:val="009F4A18"/>
    <w:rsid w:val="00A22BB9"/>
    <w:rsid w:val="00A30EA2"/>
    <w:rsid w:val="00A3638A"/>
    <w:rsid w:val="00A37404"/>
    <w:rsid w:val="00A4139E"/>
    <w:rsid w:val="00A46A12"/>
    <w:rsid w:val="00A50574"/>
    <w:rsid w:val="00A54A4D"/>
    <w:rsid w:val="00A55243"/>
    <w:rsid w:val="00A60E5C"/>
    <w:rsid w:val="00A712D7"/>
    <w:rsid w:val="00A74D33"/>
    <w:rsid w:val="00A82C5F"/>
    <w:rsid w:val="00A9634B"/>
    <w:rsid w:val="00A9785E"/>
    <w:rsid w:val="00A979BE"/>
    <w:rsid w:val="00AA26CD"/>
    <w:rsid w:val="00AA5240"/>
    <w:rsid w:val="00AA614D"/>
    <w:rsid w:val="00AC56D0"/>
    <w:rsid w:val="00AE01EC"/>
    <w:rsid w:val="00AE1590"/>
    <w:rsid w:val="00AE254D"/>
    <w:rsid w:val="00AE2B3B"/>
    <w:rsid w:val="00AF11C2"/>
    <w:rsid w:val="00AF737B"/>
    <w:rsid w:val="00B03DF7"/>
    <w:rsid w:val="00B174F1"/>
    <w:rsid w:val="00B364C7"/>
    <w:rsid w:val="00B40A6F"/>
    <w:rsid w:val="00B4789E"/>
    <w:rsid w:val="00B5544E"/>
    <w:rsid w:val="00B64300"/>
    <w:rsid w:val="00B81D24"/>
    <w:rsid w:val="00BA138D"/>
    <w:rsid w:val="00BA435B"/>
    <w:rsid w:val="00BB6CD8"/>
    <w:rsid w:val="00BB7E27"/>
    <w:rsid w:val="00BC014F"/>
    <w:rsid w:val="00BC2E40"/>
    <w:rsid w:val="00BC742E"/>
    <w:rsid w:val="00BD4B60"/>
    <w:rsid w:val="00BD6847"/>
    <w:rsid w:val="00BE0587"/>
    <w:rsid w:val="00BE296E"/>
    <w:rsid w:val="00BE5C9E"/>
    <w:rsid w:val="00BF4DB0"/>
    <w:rsid w:val="00C00952"/>
    <w:rsid w:val="00C06D9E"/>
    <w:rsid w:val="00C11700"/>
    <w:rsid w:val="00C263F3"/>
    <w:rsid w:val="00C406F5"/>
    <w:rsid w:val="00C43FB4"/>
    <w:rsid w:val="00C442B6"/>
    <w:rsid w:val="00C6353D"/>
    <w:rsid w:val="00C647FC"/>
    <w:rsid w:val="00C6784E"/>
    <w:rsid w:val="00C81F55"/>
    <w:rsid w:val="00C83678"/>
    <w:rsid w:val="00C84BFA"/>
    <w:rsid w:val="00C965A6"/>
    <w:rsid w:val="00CB68F2"/>
    <w:rsid w:val="00CC6351"/>
    <w:rsid w:val="00CC6A32"/>
    <w:rsid w:val="00CC6B00"/>
    <w:rsid w:val="00CD1502"/>
    <w:rsid w:val="00CD1ECF"/>
    <w:rsid w:val="00CE0863"/>
    <w:rsid w:val="00CE0C3E"/>
    <w:rsid w:val="00D0270A"/>
    <w:rsid w:val="00D1346C"/>
    <w:rsid w:val="00D17A51"/>
    <w:rsid w:val="00D26AF1"/>
    <w:rsid w:val="00D35A40"/>
    <w:rsid w:val="00D41890"/>
    <w:rsid w:val="00D6265E"/>
    <w:rsid w:val="00D72738"/>
    <w:rsid w:val="00D8320B"/>
    <w:rsid w:val="00D909CA"/>
    <w:rsid w:val="00D9597E"/>
    <w:rsid w:val="00DA07C9"/>
    <w:rsid w:val="00DA4C8E"/>
    <w:rsid w:val="00DB53C9"/>
    <w:rsid w:val="00DC32A8"/>
    <w:rsid w:val="00DD2D68"/>
    <w:rsid w:val="00DD63B0"/>
    <w:rsid w:val="00DD6432"/>
    <w:rsid w:val="00DD654C"/>
    <w:rsid w:val="00DE5F97"/>
    <w:rsid w:val="00DF19B9"/>
    <w:rsid w:val="00DF4A9D"/>
    <w:rsid w:val="00DF764C"/>
    <w:rsid w:val="00E04668"/>
    <w:rsid w:val="00E07B73"/>
    <w:rsid w:val="00E14FE4"/>
    <w:rsid w:val="00E25C1B"/>
    <w:rsid w:val="00E3065C"/>
    <w:rsid w:val="00E32616"/>
    <w:rsid w:val="00E369A7"/>
    <w:rsid w:val="00E42E17"/>
    <w:rsid w:val="00E42F54"/>
    <w:rsid w:val="00E55389"/>
    <w:rsid w:val="00E63AB1"/>
    <w:rsid w:val="00E64C8B"/>
    <w:rsid w:val="00E9084B"/>
    <w:rsid w:val="00EB7B0E"/>
    <w:rsid w:val="00EC134D"/>
    <w:rsid w:val="00EC4FD2"/>
    <w:rsid w:val="00ED0446"/>
    <w:rsid w:val="00ED41CF"/>
    <w:rsid w:val="00EE3D8C"/>
    <w:rsid w:val="00EF2E39"/>
    <w:rsid w:val="00EF7C5E"/>
    <w:rsid w:val="00F05FB3"/>
    <w:rsid w:val="00F1225E"/>
    <w:rsid w:val="00F12545"/>
    <w:rsid w:val="00F1343D"/>
    <w:rsid w:val="00F218A7"/>
    <w:rsid w:val="00F300EF"/>
    <w:rsid w:val="00F3082A"/>
    <w:rsid w:val="00F32849"/>
    <w:rsid w:val="00F348E8"/>
    <w:rsid w:val="00F34C7F"/>
    <w:rsid w:val="00F359F2"/>
    <w:rsid w:val="00F41CDF"/>
    <w:rsid w:val="00F65359"/>
    <w:rsid w:val="00F83728"/>
    <w:rsid w:val="00F91122"/>
    <w:rsid w:val="00F93342"/>
    <w:rsid w:val="00F9704F"/>
    <w:rsid w:val="00FA3FD2"/>
    <w:rsid w:val="00FB0760"/>
    <w:rsid w:val="00FB0BAA"/>
    <w:rsid w:val="00FB1B8C"/>
    <w:rsid w:val="00FB22E5"/>
    <w:rsid w:val="00FC3119"/>
    <w:rsid w:val="00FE6D7C"/>
    <w:rsid w:val="00FE7E2C"/>
    <w:rsid w:val="00FF63B3"/>
    <w:rsid w:val="03815324"/>
    <w:rsid w:val="14B20F69"/>
    <w:rsid w:val="172B0B5F"/>
    <w:rsid w:val="19727B30"/>
    <w:rsid w:val="1BC021BE"/>
    <w:rsid w:val="1C3109C5"/>
    <w:rsid w:val="24155071"/>
    <w:rsid w:val="2CCD473A"/>
    <w:rsid w:val="342618D3"/>
    <w:rsid w:val="38A81BB8"/>
    <w:rsid w:val="3A871134"/>
    <w:rsid w:val="450051DA"/>
    <w:rsid w:val="4EC1655E"/>
    <w:rsid w:val="52D93F71"/>
    <w:rsid w:val="623B56C7"/>
    <w:rsid w:val="63C60FC0"/>
    <w:rsid w:val="68A64977"/>
    <w:rsid w:val="7B767318"/>
    <w:rsid w:val="7D271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unhideWhenUsed/>
    <w:qFormat/>
    <w:uiPriority w:val="9"/>
    <w:pPr>
      <w:keepNext/>
      <w:keepLines/>
      <w:spacing w:after="550" w:line="265" w:lineRule="auto"/>
      <w:ind w:left="10" w:right="56" w:hanging="10"/>
      <w:jc w:val="center"/>
      <w:outlineLvl w:val="0"/>
    </w:pPr>
    <w:rPr>
      <w:rFonts w:ascii="黑体" w:hAnsi="黑体" w:eastAsia="黑体" w:cs="黑体"/>
      <w:color w:val="000000"/>
      <w:kern w:val="2"/>
      <w:sz w:val="32"/>
      <w:szCs w:val="22"/>
      <w:lang w:val="en-US" w:eastAsia="zh-CN" w:bidi="ar-SA"/>
    </w:rPr>
  </w:style>
  <w:style w:type="paragraph" w:styleId="3">
    <w:name w:val="heading 2"/>
    <w:next w:val="1"/>
    <w:unhideWhenUsed/>
    <w:qFormat/>
    <w:uiPriority w:val="9"/>
    <w:pPr>
      <w:keepNext/>
      <w:keepLines/>
      <w:spacing w:after="503" w:line="265" w:lineRule="auto"/>
      <w:ind w:left="10" w:right="56" w:hanging="10"/>
      <w:outlineLvl w:val="1"/>
    </w:pPr>
    <w:rPr>
      <w:rFonts w:ascii="黑体" w:hAnsi="黑体" w:eastAsia="黑体" w:cs="黑体"/>
      <w:color w:val="000000"/>
      <w:kern w:val="2"/>
      <w:sz w:val="32"/>
      <w:szCs w:val="22"/>
      <w:lang w:val="en-US" w:eastAsia="zh-CN" w:bidi="ar-SA"/>
    </w:rPr>
  </w:style>
  <w:style w:type="paragraph" w:styleId="4">
    <w:name w:val="heading 3"/>
    <w:next w:val="1"/>
    <w:unhideWhenUsed/>
    <w:qFormat/>
    <w:uiPriority w:val="0"/>
    <w:pPr>
      <w:keepNext/>
      <w:keepLines/>
      <w:spacing w:after="281" w:line="265" w:lineRule="auto"/>
      <w:ind w:left="10" w:right="53" w:hanging="10"/>
      <w:outlineLvl w:val="2"/>
    </w:pPr>
    <w:rPr>
      <w:rFonts w:ascii="黑体" w:hAnsi="黑体" w:eastAsia="黑体" w:cs="黑体"/>
      <w:color w:val="000000"/>
      <w:kern w:val="2"/>
      <w:sz w:val="28"/>
      <w:szCs w:val="22"/>
      <w:lang w:val="en-US" w:eastAsia="zh-CN" w:bidi="ar-SA"/>
    </w:rPr>
  </w:style>
  <w:style w:type="paragraph" w:styleId="5">
    <w:name w:val="heading 4"/>
    <w:next w:val="1"/>
    <w:unhideWhenUsed/>
    <w:qFormat/>
    <w:uiPriority w:val="9"/>
    <w:pPr>
      <w:keepNext/>
      <w:keepLines/>
      <w:spacing w:after="281" w:line="265" w:lineRule="auto"/>
      <w:ind w:left="10" w:right="53" w:hanging="10"/>
      <w:outlineLvl w:val="3"/>
    </w:pPr>
    <w:rPr>
      <w:rFonts w:ascii="黑体" w:hAnsi="黑体" w:eastAsia="黑体" w:cs="黑体"/>
      <w:color w:val="000000"/>
      <w:kern w:val="2"/>
      <w:sz w:val="28"/>
      <w:szCs w:val="22"/>
      <w:lang w:val="en-US" w:eastAsia="zh-CN"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widowControl w:val="0"/>
      <w:spacing w:line="278" w:lineRule="auto"/>
      <w:ind w:left="2520" w:leftChars="1200"/>
    </w:pPr>
    <w:rPr>
      <w:rFonts w:asciiTheme="minorHAnsi" w:hAnsiTheme="minorHAnsi" w:eastAsiaTheme="minorEastAsia" w:cstheme="minorBidi"/>
      <w:color w:val="auto"/>
      <w:szCs w:val="24"/>
      <w14:ligatures w14:val="standardContextual"/>
    </w:rPr>
  </w:style>
  <w:style w:type="paragraph" w:styleId="7">
    <w:name w:val="caption"/>
    <w:basedOn w:val="1"/>
    <w:next w:val="1"/>
    <w:unhideWhenUsed/>
    <w:qFormat/>
    <w:uiPriority w:val="0"/>
    <w:pPr>
      <w:widowControl w:val="0"/>
      <w:spacing w:after="0" w:line="240" w:lineRule="auto"/>
      <w:jc w:val="both"/>
    </w:pPr>
    <w:rPr>
      <w:rFonts w:ascii="Calibri Light" w:hAnsi="Calibri Light" w:eastAsia="黑体" w:cs="Times New Roman"/>
      <w:color w:val="auto"/>
      <w:sz w:val="20"/>
      <w:szCs w:val="20"/>
    </w:rPr>
  </w:style>
  <w:style w:type="paragraph" w:styleId="8">
    <w:name w:val="annotation text"/>
    <w:basedOn w:val="1"/>
    <w:link w:val="44"/>
    <w:unhideWhenUsed/>
    <w:qFormat/>
    <w:uiPriority w:val="99"/>
  </w:style>
  <w:style w:type="paragraph" w:styleId="9">
    <w:name w:val="Body Text 3"/>
    <w:basedOn w:val="1"/>
    <w:link w:val="58"/>
    <w:uiPriority w:val="0"/>
    <w:pPr>
      <w:spacing w:after="120"/>
    </w:pPr>
    <w:rPr>
      <w:sz w:val="16"/>
      <w:szCs w:val="16"/>
    </w:rPr>
  </w:style>
  <w:style w:type="paragraph" w:styleId="10">
    <w:name w:val="Body Text"/>
    <w:basedOn w:val="1"/>
    <w:next w:val="1"/>
    <w:link w:val="48"/>
    <w:qFormat/>
    <w:uiPriority w:val="0"/>
    <w:pPr>
      <w:widowControl w:val="0"/>
      <w:spacing w:after="0" w:line="348" w:lineRule="auto"/>
      <w:jc w:val="both"/>
    </w:pPr>
    <w:rPr>
      <w:rFonts w:ascii="Times New Roman" w:hAnsi="Times New Roman" w:eastAsia="宋体" w:cs="Times New Roman"/>
      <w:color w:val="auto"/>
      <w:sz w:val="18"/>
      <w:szCs w:val="20"/>
    </w:rPr>
  </w:style>
  <w:style w:type="paragraph" w:styleId="11">
    <w:name w:val="Body Text Indent"/>
    <w:basedOn w:val="1"/>
    <w:link w:val="49"/>
    <w:qFormat/>
    <w:uiPriority w:val="99"/>
    <w:pPr>
      <w:spacing w:after="120"/>
      <w:ind w:left="420" w:leftChars="200"/>
    </w:pPr>
  </w:style>
  <w:style w:type="paragraph" w:styleId="12">
    <w:name w:val="toc 5"/>
    <w:basedOn w:val="1"/>
    <w:next w:val="1"/>
    <w:unhideWhenUsed/>
    <w:qFormat/>
    <w:uiPriority w:val="39"/>
    <w:pPr>
      <w:widowControl w:val="0"/>
      <w:spacing w:line="278" w:lineRule="auto"/>
      <w:ind w:left="1680" w:leftChars="800"/>
    </w:pPr>
    <w:rPr>
      <w:rFonts w:asciiTheme="minorHAnsi" w:hAnsiTheme="minorHAnsi" w:eastAsiaTheme="minorEastAsia" w:cstheme="minorBidi"/>
      <w:color w:val="auto"/>
      <w:szCs w:val="24"/>
      <w14:ligatures w14:val="standardContextual"/>
    </w:rPr>
  </w:style>
  <w:style w:type="paragraph" w:styleId="13">
    <w:name w:val="toc 3"/>
    <w:hidden/>
    <w:qFormat/>
    <w:uiPriority w:val="39"/>
    <w:pPr>
      <w:spacing w:after="6" w:line="257" w:lineRule="auto"/>
      <w:ind w:left="850" w:right="61" w:hanging="10"/>
      <w:jc w:val="both"/>
    </w:pPr>
    <w:rPr>
      <w:rFonts w:ascii="Calibri" w:hAnsi="Calibri" w:eastAsia="Calibri" w:cs="Calibri"/>
      <w:color w:val="000000"/>
      <w:kern w:val="2"/>
      <w:sz w:val="21"/>
      <w:szCs w:val="22"/>
      <w:lang w:val="en-US" w:eastAsia="zh-CN" w:bidi="ar-SA"/>
    </w:rPr>
  </w:style>
  <w:style w:type="paragraph" w:styleId="14">
    <w:name w:val="Plain Text"/>
    <w:basedOn w:val="1"/>
    <w:link w:val="57"/>
    <w:qFormat/>
    <w:uiPriority w:val="0"/>
    <w:pPr>
      <w:widowControl w:val="0"/>
      <w:spacing w:after="0" w:line="240" w:lineRule="auto"/>
      <w:jc w:val="both"/>
    </w:pPr>
    <w:rPr>
      <w:rFonts w:ascii="宋体" w:hAnsi="Courier New" w:eastAsia="宋体" w:cs="Times New Roman"/>
      <w:color w:val="auto"/>
      <w:sz w:val="21"/>
      <w:szCs w:val="20"/>
    </w:rPr>
  </w:style>
  <w:style w:type="paragraph" w:styleId="15">
    <w:name w:val="toc 8"/>
    <w:basedOn w:val="1"/>
    <w:next w:val="1"/>
    <w:unhideWhenUsed/>
    <w:qFormat/>
    <w:uiPriority w:val="39"/>
    <w:pPr>
      <w:widowControl w:val="0"/>
      <w:spacing w:line="278" w:lineRule="auto"/>
      <w:ind w:left="2940" w:leftChars="1400"/>
    </w:pPr>
    <w:rPr>
      <w:rFonts w:asciiTheme="minorHAnsi" w:hAnsiTheme="minorHAnsi" w:eastAsiaTheme="minorEastAsia" w:cstheme="minorBidi"/>
      <w:color w:val="auto"/>
      <w:szCs w:val="24"/>
      <w14:ligatures w14:val="standardContextual"/>
    </w:rPr>
  </w:style>
  <w:style w:type="paragraph" w:styleId="16">
    <w:name w:val="Date"/>
    <w:basedOn w:val="1"/>
    <w:next w:val="1"/>
    <w:qFormat/>
    <w:uiPriority w:val="0"/>
    <w:rPr>
      <w:sz w:val="28"/>
    </w:rPr>
  </w:style>
  <w:style w:type="paragraph" w:styleId="17">
    <w:name w:val="Balloon Text"/>
    <w:basedOn w:val="1"/>
    <w:link w:val="51"/>
    <w:qFormat/>
    <w:uiPriority w:val="0"/>
    <w:pPr>
      <w:widowControl w:val="0"/>
      <w:spacing w:after="0" w:line="240" w:lineRule="auto"/>
      <w:jc w:val="both"/>
    </w:pPr>
    <w:rPr>
      <w:rFonts w:eastAsia="宋体" w:cs="Times New Roman"/>
      <w:color w:val="auto"/>
      <w:sz w:val="18"/>
      <w:szCs w:val="18"/>
    </w:rPr>
  </w:style>
  <w:style w:type="paragraph" w:styleId="18">
    <w:name w:val="footer"/>
    <w:basedOn w:val="1"/>
    <w:link w:val="62"/>
    <w:unhideWhenUsed/>
    <w:qFormat/>
    <w:uiPriority w:val="99"/>
    <w:pPr>
      <w:tabs>
        <w:tab w:val="center" w:pos="4153"/>
        <w:tab w:val="right" w:pos="8306"/>
      </w:tabs>
      <w:snapToGrid w:val="0"/>
      <w:spacing w:line="240" w:lineRule="auto"/>
    </w:pPr>
    <w:rPr>
      <w:sz w:val="18"/>
      <w:szCs w:val="18"/>
    </w:rPr>
  </w:style>
  <w:style w:type="paragraph" w:styleId="19">
    <w:name w:val="header"/>
    <w:basedOn w:val="1"/>
    <w:link w:val="55"/>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0">
    <w:name w:val="toc 1"/>
    <w:hidden/>
    <w:qFormat/>
    <w:uiPriority w:val="39"/>
    <w:pPr>
      <w:spacing w:after="6" w:line="257" w:lineRule="auto"/>
      <w:ind w:left="25" w:right="61" w:hanging="10"/>
      <w:jc w:val="both"/>
    </w:pPr>
    <w:rPr>
      <w:rFonts w:ascii="Calibri" w:hAnsi="Calibri" w:eastAsia="Calibri" w:cs="Calibri"/>
      <w:color w:val="000000"/>
      <w:kern w:val="2"/>
      <w:sz w:val="21"/>
      <w:szCs w:val="22"/>
      <w:lang w:val="en-US" w:eastAsia="zh-CN" w:bidi="ar-SA"/>
    </w:rPr>
  </w:style>
  <w:style w:type="paragraph" w:styleId="21">
    <w:name w:val="toc 4"/>
    <w:basedOn w:val="1"/>
    <w:next w:val="1"/>
    <w:unhideWhenUsed/>
    <w:qFormat/>
    <w:uiPriority w:val="39"/>
    <w:pPr>
      <w:widowControl w:val="0"/>
      <w:spacing w:line="278" w:lineRule="auto"/>
      <w:ind w:left="1260" w:leftChars="600"/>
    </w:pPr>
    <w:rPr>
      <w:rFonts w:asciiTheme="minorHAnsi" w:hAnsiTheme="minorHAnsi" w:eastAsiaTheme="minorEastAsia" w:cstheme="minorBidi"/>
      <w:color w:val="auto"/>
      <w:szCs w:val="24"/>
      <w14:ligatures w14:val="standardContextual"/>
    </w:rPr>
  </w:style>
  <w:style w:type="paragraph" w:styleId="22">
    <w:name w:val="toc 6"/>
    <w:basedOn w:val="1"/>
    <w:next w:val="1"/>
    <w:unhideWhenUsed/>
    <w:qFormat/>
    <w:uiPriority w:val="39"/>
    <w:pPr>
      <w:widowControl w:val="0"/>
      <w:spacing w:line="278" w:lineRule="auto"/>
      <w:ind w:left="2100" w:leftChars="1000"/>
    </w:pPr>
    <w:rPr>
      <w:rFonts w:asciiTheme="minorHAnsi" w:hAnsiTheme="minorHAnsi" w:eastAsiaTheme="minorEastAsia" w:cstheme="minorBidi"/>
      <w:color w:val="auto"/>
      <w:szCs w:val="24"/>
      <w14:ligatures w14:val="standardContextual"/>
    </w:rPr>
  </w:style>
  <w:style w:type="paragraph" w:styleId="23">
    <w:name w:val="toc 2"/>
    <w:hidden/>
    <w:qFormat/>
    <w:uiPriority w:val="39"/>
    <w:pPr>
      <w:spacing w:after="6" w:line="257" w:lineRule="auto"/>
      <w:ind w:left="430" w:right="61" w:hanging="10"/>
      <w:jc w:val="both"/>
    </w:pPr>
    <w:rPr>
      <w:rFonts w:ascii="Calibri" w:hAnsi="Calibri" w:eastAsia="Calibri" w:cs="Calibri"/>
      <w:color w:val="000000"/>
      <w:kern w:val="2"/>
      <w:sz w:val="21"/>
      <w:szCs w:val="22"/>
      <w:lang w:val="en-US" w:eastAsia="zh-CN" w:bidi="ar-SA"/>
    </w:rPr>
  </w:style>
  <w:style w:type="paragraph" w:styleId="24">
    <w:name w:val="toc 9"/>
    <w:basedOn w:val="1"/>
    <w:next w:val="1"/>
    <w:unhideWhenUsed/>
    <w:qFormat/>
    <w:uiPriority w:val="39"/>
    <w:pPr>
      <w:widowControl w:val="0"/>
      <w:spacing w:line="278" w:lineRule="auto"/>
      <w:ind w:left="3360" w:leftChars="1600"/>
    </w:pPr>
    <w:rPr>
      <w:rFonts w:asciiTheme="minorHAnsi" w:hAnsiTheme="minorHAnsi" w:eastAsiaTheme="minorEastAsia" w:cstheme="minorBidi"/>
      <w:color w:val="auto"/>
      <w:szCs w:val="24"/>
      <w14:ligatures w14:val="standardContextual"/>
    </w:rPr>
  </w:style>
  <w:style w:type="paragraph" w:styleId="25">
    <w:name w:val="Body Text 2"/>
    <w:basedOn w:val="1"/>
    <w:link w:val="52"/>
    <w:qFormat/>
    <w:uiPriority w:val="0"/>
    <w:pPr>
      <w:widowControl w:val="0"/>
      <w:spacing w:after="120" w:line="480" w:lineRule="auto"/>
      <w:jc w:val="both"/>
    </w:pPr>
    <w:rPr>
      <w:rFonts w:eastAsia="宋体" w:cs="Times New Roman"/>
      <w:color w:val="auto"/>
      <w:sz w:val="21"/>
      <w:szCs w:val="24"/>
    </w:rPr>
  </w:style>
  <w:style w:type="paragraph" w:styleId="26">
    <w:name w:val="Normal (Web)"/>
    <w:basedOn w:val="1"/>
    <w:unhideWhenUsed/>
    <w:qFormat/>
    <w:uiPriority w:val="0"/>
    <w:pPr>
      <w:spacing w:before="100" w:beforeAutospacing="1" w:after="100" w:afterAutospacing="1" w:line="240" w:lineRule="auto"/>
    </w:pPr>
    <w:rPr>
      <w:rFonts w:ascii="宋体" w:hAnsi="宋体" w:eastAsia="宋体" w:cs="宋体"/>
      <w:color w:val="auto"/>
      <w:kern w:val="0"/>
      <w:sz w:val="24"/>
      <w:szCs w:val="24"/>
    </w:rPr>
  </w:style>
  <w:style w:type="paragraph" w:styleId="27">
    <w:name w:val="Title"/>
    <w:basedOn w:val="1"/>
    <w:link w:val="60"/>
    <w:qFormat/>
    <w:uiPriority w:val="0"/>
    <w:pPr>
      <w:widowControl w:val="0"/>
      <w:spacing w:after="0" w:line="240" w:lineRule="auto"/>
      <w:jc w:val="center"/>
    </w:pPr>
    <w:rPr>
      <w:rFonts w:ascii="Times New Roman" w:hAnsi="Times New Roman" w:eastAsia="宋体" w:cs="Times New Roman"/>
      <w:color w:val="auto"/>
      <w:sz w:val="32"/>
      <w:szCs w:val="20"/>
    </w:rPr>
  </w:style>
  <w:style w:type="paragraph" w:styleId="28">
    <w:name w:val="annotation subject"/>
    <w:basedOn w:val="8"/>
    <w:next w:val="8"/>
    <w:link w:val="45"/>
    <w:qFormat/>
    <w:uiPriority w:val="0"/>
    <w:rPr>
      <w:b/>
      <w:bCs/>
    </w:rPr>
  </w:style>
  <w:style w:type="paragraph" w:styleId="29">
    <w:name w:val="Body Text First Indent 2"/>
    <w:basedOn w:val="11"/>
    <w:link w:val="50"/>
    <w:qFormat/>
    <w:uiPriority w:val="99"/>
    <w:pPr>
      <w:ind w:firstLine="420" w:firstLineChars="200"/>
    </w:p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FollowedHyperlink"/>
    <w:basedOn w:val="32"/>
    <w:qFormat/>
    <w:uiPriority w:val="0"/>
    <w:rPr>
      <w:color w:val="800080"/>
      <w:u w:val="single"/>
    </w:rPr>
  </w:style>
  <w:style w:type="character" w:styleId="35">
    <w:name w:val="Hyperlink"/>
    <w:basedOn w:val="32"/>
    <w:unhideWhenUsed/>
    <w:qFormat/>
    <w:uiPriority w:val="0"/>
    <w:rPr>
      <w:color w:val="0026E5" w:themeColor="hyperlink"/>
      <w:u w:val="single"/>
      <w14:textFill>
        <w14:solidFill>
          <w14:schemeClr w14:val="hlink"/>
        </w14:solidFill>
      </w14:textFill>
    </w:rPr>
  </w:style>
  <w:style w:type="character" w:styleId="36">
    <w:name w:val="annotation reference"/>
    <w:basedOn w:val="32"/>
    <w:qFormat/>
    <w:uiPriority w:val="0"/>
    <w:rPr>
      <w:sz w:val="21"/>
      <w:szCs w:val="21"/>
    </w:rPr>
  </w:style>
  <w:style w:type="paragraph" w:styleId="37">
    <w:name w:val="List Paragraph"/>
    <w:basedOn w:val="1"/>
    <w:link w:val="59"/>
    <w:qFormat/>
    <w:uiPriority w:val="34"/>
    <w:pPr>
      <w:ind w:firstLine="420" w:firstLineChars="200"/>
    </w:pPr>
  </w:style>
  <w:style w:type="table" w:customStyle="1" w:styleId="38">
    <w:name w:val="TableGrid"/>
    <w:qFormat/>
    <w:uiPriority w:val="0"/>
    <w:tblPr>
      <w:tblCellMar>
        <w:top w:w="0" w:type="dxa"/>
        <w:left w:w="0" w:type="dxa"/>
        <w:bottom w:w="0" w:type="dxa"/>
        <w:right w:w="0" w:type="dxa"/>
      </w:tblCellMar>
    </w:tblPr>
  </w:style>
  <w:style w:type="character" w:customStyle="1" w:styleId="39">
    <w:name w:val="font21"/>
    <w:basedOn w:val="32"/>
    <w:qFormat/>
    <w:uiPriority w:val="0"/>
    <w:rPr>
      <w:rFonts w:hint="default" w:ascii="Arial" w:hAnsi="Arial" w:cs="Arial"/>
      <w:color w:val="000000"/>
      <w:sz w:val="24"/>
      <w:szCs w:val="24"/>
      <w:u w:val="none"/>
    </w:rPr>
  </w:style>
  <w:style w:type="character" w:customStyle="1" w:styleId="40">
    <w:name w:val="font11"/>
    <w:basedOn w:val="32"/>
    <w:qFormat/>
    <w:uiPriority w:val="0"/>
    <w:rPr>
      <w:rFonts w:hint="eastAsia" w:ascii="宋体" w:hAnsi="宋体" w:eastAsia="宋体" w:cs="宋体"/>
      <w:color w:val="000000"/>
      <w:sz w:val="24"/>
      <w:szCs w:val="24"/>
      <w:u w:val="none"/>
    </w:rPr>
  </w:style>
  <w:style w:type="paragraph" w:customStyle="1" w:styleId="41">
    <w:name w:val="日期1"/>
    <w:basedOn w:val="1"/>
    <w:next w:val="1"/>
    <w:qFormat/>
    <w:uiPriority w:val="0"/>
    <w:pPr>
      <w:widowControl w:val="0"/>
      <w:spacing w:after="0" w:line="240" w:lineRule="auto"/>
      <w:jc w:val="both"/>
    </w:pPr>
    <w:rPr>
      <w:rFonts w:ascii="Times New Roman" w:hAnsi="Times New Roman" w:eastAsia="宋体" w:cs="Times New Roman"/>
      <w:color w:val="auto"/>
      <w:sz w:val="24"/>
      <w:szCs w:val="20"/>
    </w:rPr>
  </w:style>
  <w:style w:type="paragraph" w:customStyle="1" w:styleId="42">
    <w:name w:val="1正文"/>
    <w:basedOn w:val="1"/>
    <w:qFormat/>
    <w:uiPriority w:val="0"/>
    <w:pPr>
      <w:spacing w:beforeLines="50" w:afterLines="50" w:line="360" w:lineRule="auto"/>
      <w:ind w:firstLine="202" w:firstLineChars="202"/>
    </w:pPr>
    <w:rPr>
      <w:rFonts w:ascii="宋体" w:hAnsi="宋体" w:cs="宋体"/>
      <w:kern w:val="0"/>
      <w:sz w:val="24"/>
      <w:szCs w:val="24"/>
    </w:rPr>
  </w:style>
  <w:style w:type="character" w:customStyle="1" w:styleId="43">
    <w:name w:val="未处理的提及1"/>
    <w:basedOn w:val="32"/>
    <w:semiHidden/>
    <w:unhideWhenUsed/>
    <w:qFormat/>
    <w:uiPriority w:val="99"/>
    <w:rPr>
      <w:color w:val="605E5C"/>
      <w:shd w:val="clear" w:color="auto" w:fill="E1DFDD"/>
    </w:rPr>
  </w:style>
  <w:style w:type="character" w:customStyle="1" w:styleId="44">
    <w:name w:val="批注文字 字符"/>
    <w:basedOn w:val="32"/>
    <w:link w:val="8"/>
    <w:qFormat/>
    <w:uiPriority w:val="99"/>
    <w:rPr>
      <w:rFonts w:ascii="Calibri" w:hAnsi="Calibri" w:eastAsia="Calibri" w:cs="Calibri"/>
      <w:color w:val="000000"/>
      <w:kern w:val="2"/>
      <w:sz w:val="22"/>
      <w:szCs w:val="22"/>
    </w:rPr>
  </w:style>
  <w:style w:type="character" w:customStyle="1" w:styleId="45">
    <w:name w:val="批注主题 字符"/>
    <w:basedOn w:val="44"/>
    <w:link w:val="28"/>
    <w:qFormat/>
    <w:uiPriority w:val="0"/>
    <w:rPr>
      <w:rFonts w:ascii="Calibri" w:hAnsi="Calibri" w:eastAsia="Calibri" w:cs="Calibri"/>
      <w:b/>
      <w:bCs/>
      <w:color w:val="000000"/>
      <w:kern w:val="2"/>
      <w:sz w:val="22"/>
      <w:szCs w:val="22"/>
    </w:rPr>
  </w:style>
  <w:style w:type="paragraph" w:customStyle="1" w:styleId="46">
    <w:name w:val="Table Paragraph"/>
    <w:basedOn w:val="1"/>
    <w:qFormat/>
    <w:uiPriority w:val="0"/>
    <w:pPr>
      <w:widowControl w:val="0"/>
      <w:spacing w:after="0" w:line="240" w:lineRule="auto"/>
    </w:pPr>
    <w:rPr>
      <w:rFonts w:ascii="宋体" w:hAnsi="宋体" w:eastAsia="宋体" w:cs="宋体"/>
      <w:color w:val="auto"/>
      <w:kern w:val="0"/>
      <w:lang w:eastAsia="en-US"/>
    </w:rPr>
  </w:style>
  <w:style w:type="paragraph" w:customStyle="1" w:styleId="47">
    <w:name w:val="Revision"/>
    <w:hidden/>
    <w:unhideWhenUsed/>
    <w:qFormat/>
    <w:uiPriority w:val="99"/>
    <w:rPr>
      <w:rFonts w:ascii="Calibri" w:hAnsi="Calibri" w:eastAsia="Calibri" w:cs="Calibri"/>
      <w:color w:val="000000"/>
      <w:kern w:val="2"/>
      <w:sz w:val="22"/>
      <w:szCs w:val="22"/>
      <w:lang w:val="en-US" w:eastAsia="zh-CN" w:bidi="ar-SA"/>
    </w:rPr>
  </w:style>
  <w:style w:type="character" w:customStyle="1" w:styleId="48">
    <w:name w:val="正文文本 字符"/>
    <w:basedOn w:val="32"/>
    <w:link w:val="10"/>
    <w:qFormat/>
    <w:uiPriority w:val="0"/>
    <w:rPr>
      <w:kern w:val="2"/>
      <w:sz w:val="18"/>
    </w:rPr>
  </w:style>
  <w:style w:type="character" w:customStyle="1" w:styleId="49">
    <w:name w:val="正文文本缩进 字符"/>
    <w:basedOn w:val="32"/>
    <w:link w:val="11"/>
    <w:qFormat/>
    <w:uiPriority w:val="0"/>
    <w:rPr>
      <w:rFonts w:ascii="Calibri" w:hAnsi="Calibri" w:eastAsia="Calibri" w:cs="Calibri"/>
      <w:color w:val="000000"/>
      <w:kern w:val="2"/>
      <w:sz w:val="22"/>
      <w:szCs w:val="22"/>
    </w:rPr>
  </w:style>
  <w:style w:type="character" w:customStyle="1" w:styleId="50">
    <w:name w:val="正文文本首行缩进 2 字符"/>
    <w:basedOn w:val="49"/>
    <w:link w:val="29"/>
    <w:qFormat/>
    <w:uiPriority w:val="0"/>
    <w:rPr>
      <w:rFonts w:ascii="Calibri" w:hAnsi="Calibri" w:eastAsia="Calibri" w:cs="Calibri"/>
      <w:color w:val="000000"/>
      <w:kern w:val="2"/>
      <w:sz w:val="22"/>
      <w:szCs w:val="22"/>
    </w:rPr>
  </w:style>
  <w:style w:type="character" w:customStyle="1" w:styleId="51">
    <w:name w:val="批注框文本 字符"/>
    <w:basedOn w:val="32"/>
    <w:link w:val="17"/>
    <w:qFormat/>
    <w:uiPriority w:val="0"/>
    <w:rPr>
      <w:rFonts w:ascii="Calibri" w:hAnsi="Calibri"/>
      <w:kern w:val="2"/>
      <w:sz w:val="18"/>
      <w:szCs w:val="18"/>
    </w:rPr>
  </w:style>
  <w:style w:type="character" w:customStyle="1" w:styleId="52">
    <w:name w:val="正文文本 2 字符"/>
    <w:basedOn w:val="32"/>
    <w:link w:val="25"/>
    <w:qFormat/>
    <w:uiPriority w:val="0"/>
    <w:rPr>
      <w:rFonts w:ascii="Calibri" w:hAnsi="Calibri"/>
      <w:kern w:val="2"/>
      <w:sz w:val="21"/>
      <w:szCs w:val="24"/>
    </w:rPr>
  </w:style>
  <w:style w:type="paragraph" w:customStyle="1" w:styleId="53">
    <w:name w:val="文档正文"/>
    <w:basedOn w:val="1"/>
    <w:qFormat/>
    <w:uiPriority w:val="0"/>
    <w:pPr>
      <w:widowControl w:val="0"/>
      <w:spacing w:after="0" w:line="240" w:lineRule="auto"/>
      <w:ind w:firstLine="200" w:firstLineChars="200"/>
      <w:jc w:val="both"/>
    </w:pPr>
    <w:rPr>
      <w:rFonts w:eastAsia="宋体" w:cs="Times New Roman"/>
      <w:color w:val="auto"/>
      <w:sz w:val="21"/>
      <w:szCs w:val="24"/>
    </w:rPr>
  </w:style>
  <w:style w:type="paragraph" w:customStyle="1" w:styleId="54">
    <w:name w:val="段5#"/>
    <w:qFormat/>
    <w:uiPriority w:val="0"/>
    <w:pPr>
      <w:widowControl w:val="0"/>
      <w:spacing w:line="360" w:lineRule="exact"/>
      <w:ind w:firstLine="200" w:firstLineChars="200"/>
      <w:jc w:val="both"/>
    </w:pPr>
    <w:rPr>
      <w:rFonts w:ascii="Calibri" w:hAnsi="Calibri" w:eastAsia="宋体" w:cs="Times New Roman"/>
      <w:kern w:val="2"/>
      <w:sz w:val="21"/>
      <w:szCs w:val="21"/>
      <w:lang w:val="en-US" w:eastAsia="zh-CN" w:bidi="ar-SA"/>
    </w:rPr>
  </w:style>
  <w:style w:type="character" w:customStyle="1" w:styleId="55">
    <w:name w:val="页眉 字符"/>
    <w:basedOn w:val="32"/>
    <w:link w:val="19"/>
    <w:qFormat/>
    <w:uiPriority w:val="0"/>
    <w:rPr>
      <w:rFonts w:ascii="Calibri" w:hAnsi="Calibri" w:eastAsia="Calibri" w:cs="Calibri"/>
      <w:color w:val="000000"/>
      <w:kern w:val="2"/>
      <w:sz w:val="18"/>
      <w:szCs w:val="18"/>
    </w:rPr>
  </w:style>
  <w:style w:type="paragraph" w:customStyle="1" w:styleId="56">
    <w:name w:val="List Paragraph1"/>
    <w:basedOn w:val="1"/>
    <w:qFormat/>
    <w:uiPriority w:val="0"/>
    <w:pPr>
      <w:widowControl w:val="0"/>
      <w:spacing w:before="100" w:beforeAutospacing="1" w:after="100" w:afterAutospacing="1" w:line="240" w:lineRule="auto"/>
      <w:ind w:left="720"/>
      <w:contextualSpacing/>
      <w:jc w:val="both"/>
    </w:pPr>
    <w:rPr>
      <w:rFonts w:eastAsia="宋体" w:cs="Times New Roman"/>
      <w:color w:val="auto"/>
      <w:sz w:val="21"/>
      <w:szCs w:val="21"/>
    </w:rPr>
  </w:style>
  <w:style w:type="character" w:customStyle="1" w:styleId="57">
    <w:name w:val="纯文本 字符"/>
    <w:basedOn w:val="32"/>
    <w:link w:val="14"/>
    <w:uiPriority w:val="0"/>
    <w:rPr>
      <w:rFonts w:ascii="宋体" w:hAnsi="Courier New"/>
      <w:kern w:val="2"/>
      <w:sz w:val="21"/>
    </w:rPr>
  </w:style>
  <w:style w:type="character" w:customStyle="1" w:styleId="58">
    <w:name w:val="正文文本 3 字符"/>
    <w:basedOn w:val="32"/>
    <w:link w:val="9"/>
    <w:uiPriority w:val="0"/>
    <w:rPr>
      <w:rFonts w:ascii="Calibri" w:hAnsi="Calibri" w:eastAsia="Calibri" w:cs="Calibri"/>
      <w:color w:val="000000"/>
      <w:kern w:val="2"/>
      <w:sz w:val="16"/>
      <w:szCs w:val="16"/>
    </w:rPr>
  </w:style>
  <w:style w:type="character" w:customStyle="1" w:styleId="59">
    <w:name w:val="列表段落 字符"/>
    <w:link w:val="37"/>
    <w:qFormat/>
    <w:uiPriority w:val="0"/>
    <w:rPr>
      <w:rFonts w:ascii="Calibri" w:hAnsi="Calibri" w:eastAsia="Calibri" w:cs="Calibri"/>
      <w:color w:val="000000"/>
      <w:kern w:val="2"/>
      <w:sz w:val="22"/>
      <w:szCs w:val="22"/>
    </w:rPr>
  </w:style>
  <w:style w:type="character" w:customStyle="1" w:styleId="60">
    <w:name w:val="标题 字符"/>
    <w:basedOn w:val="32"/>
    <w:link w:val="27"/>
    <w:uiPriority w:val="0"/>
    <w:rPr>
      <w:kern w:val="2"/>
      <w:sz w:val="32"/>
    </w:rPr>
  </w:style>
  <w:style w:type="paragraph" w:customStyle="1" w:styleId="61">
    <w:name w:val="列表段落1"/>
    <w:basedOn w:val="1"/>
    <w:uiPriority w:val="0"/>
    <w:pPr>
      <w:widowControl w:val="0"/>
      <w:spacing w:after="0" w:line="240" w:lineRule="auto"/>
      <w:ind w:firstLine="200" w:firstLineChars="200"/>
      <w:jc w:val="both"/>
    </w:pPr>
    <w:rPr>
      <w:rFonts w:ascii="Times New Roman" w:hAnsi="Times New Roman" w:eastAsia="MS Gothic" w:cs="Times New Roman"/>
      <w:color w:val="auto"/>
      <w:sz w:val="21"/>
      <w:szCs w:val="21"/>
    </w:rPr>
  </w:style>
  <w:style w:type="character" w:customStyle="1" w:styleId="62">
    <w:name w:val="页脚 字符"/>
    <w:basedOn w:val="32"/>
    <w:link w:val="18"/>
    <w:qFormat/>
    <w:uiPriority w:val="99"/>
    <w:rPr>
      <w:rFonts w:ascii="Calibri" w:hAnsi="Calibri" w:eastAsia="Calibri" w:cs="Calibri"/>
      <w:color w:val="000000"/>
      <w:kern w:val="2"/>
      <w:sz w:val="18"/>
      <w:szCs w:val="18"/>
    </w:rPr>
  </w:style>
  <w:style w:type="paragraph" w:customStyle="1" w:styleId="63">
    <w:name w:val="正文_5"/>
    <w:qFormat/>
    <w:uiPriority w:val="0"/>
    <w:pPr>
      <w:widowControl w:val="0"/>
      <w:spacing w:after="160" w:line="278" w:lineRule="auto"/>
    </w:pPr>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173</Pages>
  <Words>37121</Words>
  <Characters>39721</Characters>
  <Lines>2837</Lines>
  <Paragraphs>2744</Paragraphs>
  <TotalTime>895</TotalTime>
  <ScaleCrop>false</ScaleCrop>
  <LinksUpToDate>false</LinksUpToDate>
  <CharactersWithSpaces>74098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2025-03-28T18:45:00Z</dcterms:created>
  <dc:creator>你阿</dc:creator>
  <cp:lastModifiedBy>Administrator</cp:lastModifiedBy>
  <dcterms:modified xsi:type="dcterms:W3CDTF">2025-09-30T13:14:39Z</dcterms:modified>
  <cp:revision>257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F49D6100958742A78CBFD99CF9A914F3_13</vt:lpwstr>
  </property>
  <property fmtid="{D5CDD505-2E9C-101B-9397-08002B2CF9AE}" pid="4" name="KSOTemplateDocerSaveRecord">
    <vt:lpwstr>eyJoZGlkIjoiZTVmZWMyMzBjNDIwNzBkZTE5ZWFkODU4YzZjMzIwYjciLCJ1c2VySWQiOiI0MTgxNjIwMzAifQ==</vt:lpwstr>
  </property>
</Properties>
</file>