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3CD2B4">
      <w:pPr>
        <w:pStyle w:val="28"/>
        <w:spacing w:line="560" w:lineRule="exact"/>
        <w:ind w:left="0" w:leftChars="0" w:firstLine="0" w:firstLineChars="0"/>
        <w:jc w:val="center"/>
        <w:rPr>
          <w:rFonts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经理会议案</w:t>
      </w:r>
    </w:p>
    <w:p w14:paraId="149DD8E2">
      <w:pPr>
        <w:pStyle w:val="28"/>
        <w:spacing w:line="560" w:lineRule="exact"/>
        <w:ind w:firstLine="643"/>
        <w:rPr>
          <w:rFonts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一、议案名称</w:t>
      </w:r>
    </w:p>
    <w:p w14:paraId="63D71A47">
      <w:pPr>
        <w:pStyle w:val="13"/>
        <w:spacing w:after="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关于公开处置深圳九州光电子技术有限公司原材料呆滞物料的议案。</w:t>
      </w:r>
    </w:p>
    <w:p w14:paraId="1C97716B">
      <w:pPr>
        <w:pStyle w:val="28"/>
        <w:spacing w:line="560" w:lineRule="exact"/>
        <w:ind w:firstLine="643"/>
        <w:rPr>
          <w:rFonts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二、议案背景及内容</w:t>
      </w:r>
    </w:p>
    <w:p w14:paraId="1A50F22C">
      <w:pPr>
        <w:pStyle w:val="28"/>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前深圳九州光电子与四川九州光电子数字产品线有部分前期呆滞物料可共用，其余部分呆滞物料在市场上寻找其它客户逐步消耗。为降低物资积压风险，深圳九州光电子拟按照集团呆滞物料处置相关规定，通过公开方式对呆滞物料进行清理。（拟处置的呆滞物料清单详见附件一）</w:t>
      </w:r>
    </w:p>
    <w:p w14:paraId="7B3FA6BC">
      <w:pPr>
        <w:pStyle w:val="28"/>
        <w:spacing w:line="560" w:lineRule="exact"/>
        <w:ind w:firstLine="643"/>
        <w:rPr>
          <w:rFonts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三、主要内容</w:t>
      </w:r>
    </w:p>
    <w:p w14:paraId="24E79C69">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深圳九州光电子将拟处置呆滞物料先做市场价格调研，市场调研价格作为本次物料处置低价。</w:t>
      </w:r>
    </w:p>
    <w:p w14:paraId="02EF18F3">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1.处置原则：遵循依法合规，利益最大化原则。</w:t>
      </w:r>
    </w:p>
    <w:p w14:paraId="20716DE9">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2.处置方式：公开处置。在线上通过公司网站、九洲官网、绵阳市国资委网站、深圳本地网络媒体等信息渠道公开处置。</w:t>
      </w:r>
    </w:p>
    <w:p w14:paraId="26AD4271">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3.受让方应具备条件：不设条件。</w:t>
      </w:r>
    </w:p>
    <w:p w14:paraId="6518067A">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4.受让方确定方式：由深圳九州光电子有源产品线、海思TO产品线、技安环保部、采购部、财务部等部门组成比选评审小组，根据比选申请人报价从高到低顺序推荐中选候选人。</w:t>
      </w:r>
    </w:p>
    <w:p w14:paraId="1818F5BD">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5.计价方式：按PCS计价。</w:t>
      </w:r>
    </w:p>
    <w:p w14:paraId="7806BE78">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6.保证金：不缴纳保证金。</w:t>
      </w:r>
    </w:p>
    <w:p w14:paraId="40AA461F">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7.付款方式：一次性付清。</w:t>
      </w:r>
    </w:p>
    <w:p w14:paraId="1E35392D">
      <w:pPr>
        <w:pStyle w:val="28"/>
        <w:spacing w:line="560" w:lineRule="exact"/>
        <w:ind w:firstLine="643"/>
        <w:rPr>
          <w:rFonts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四、决策事项</w:t>
      </w:r>
    </w:p>
    <w:p w14:paraId="10802F4F">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是否同意深圳九州光电子通过公司网站、九洲官网、绵阳市国资委网站、深圳本地网络媒体等信息渠道公开分批处置有源产品线、海思TO产品线闲置物料。</w:t>
      </w:r>
      <w:bookmarkStart w:id="0" w:name="_GoBack"/>
      <w:bookmarkEnd w:id="0"/>
    </w:p>
    <w:p w14:paraId="68249EE2">
      <w:pPr>
        <w:pStyle w:val="28"/>
        <w:spacing w:line="560" w:lineRule="exact"/>
        <w:ind w:firstLine="643"/>
        <w:rPr>
          <w:rFonts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五、决策提示</w:t>
      </w:r>
    </w:p>
    <w:p w14:paraId="57E626AD">
      <w:pPr>
        <w:pStyle w:val="28"/>
        <w:spacing w:line="560" w:lineRule="exact"/>
        <w:ind w:firstLine="640"/>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（一）必要性</w:t>
      </w:r>
    </w:p>
    <w:p w14:paraId="2E8145A6">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根据公司业务布局规划，有源产品线与数字产品线进行光器件业务融合，有源产品线及海思TO产品线因业务融合调整，生产光器件剩余部分物料无法用于后期生产而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闲置</w:t>
      </w:r>
      <w:r>
        <w:rPr>
          <w:rFonts w:hint="eastAsia" w:ascii="仿宋_GB2312" w:hAnsi="仿宋_GB2312" w:eastAsia="仿宋_GB2312" w:cs="仿宋_GB2312"/>
          <w:color w:val="000000" w:themeColor="text1"/>
          <w:sz w:val="32"/>
          <w:szCs w:val="32"/>
          <w14:textFill>
            <w14:solidFill>
              <w14:schemeClr w14:val="tx1"/>
            </w14:solidFill>
          </w14:textFill>
        </w:rPr>
        <w:t>。公司为降低管理成本风险，必须盘活闲置资产。</w:t>
      </w:r>
    </w:p>
    <w:p w14:paraId="44A57EFC">
      <w:pPr>
        <w:pStyle w:val="28"/>
        <w:spacing w:line="560" w:lineRule="exact"/>
        <w:ind w:firstLine="640"/>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（二）可行性</w:t>
      </w:r>
    </w:p>
    <w:p w14:paraId="27DA39EF">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1.本次资产处置方案符合《四川九洲投资控股集团有限公司资产处置管理办法(暂行)》等相关规定。</w:t>
      </w:r>
    </w:p>
    <w:p w14:paraId="781DEB01">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2.按照当前市场同类型物料的价格为底价公开挂牌。</w:t>
      </w:r>
    </w:p>
    <w:p w14:paraId="3784E36A">
      <w:pPr>
        <w:pStyle w:val="28"/>
        <w:spacing w:line="560" w:lineRule="exact"/>
        <w:ind w:firstLine="640"/>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（三）存在的风险与解决措施</w:t>
      </w:r>
    </w:p>
    <w:p w14:paraId="01110AA9">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风险：</w:t>
      </w: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转让价格以市场调研价格为基础确定，因客户方案的定制型要求可能需要重新验证送样，处置价格会低于物料采购原值。2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对于市场已经淘汰的部分方案或使用过二次利用的物料，物料处置价格可能低于库存净值。</w:t>
      </w:r>
    </w:p>
    <w:p w14:paraId="78E0DBDE">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解决措施：</w:t>
      </w:r>
      <w:r>
        <w:rPr>
          <w:rFonts w:hint="eastAsia" w:ascii="仿宋_GB2312" w:hAnsi="仿宋_GB2312" w:eastAsia="仿宋_GB2312" w:cs="仿宋_GB2312"/>
          <w:color w:val="000000" w:themeColor="text1"/>
          <w:sz w:val="32"/>
          <w:szCs w:val="32"/>
          <w14:textFill>
            <w14:solidFill>
              <w14:schemeClr w14:val="tx1"/>
            </w14:solidFill>
          </w14:textFill>
        </w:rPr>
        <w:t>本次拟采取公开挂牌处置方式进行，处置底价根据市场价格确定，定价过程严格遵循公开、公平、公正的原则，符合国有资产公开处置的相关规定。</w:t>
      </w:r>
    </w:p>
    <w:p w14:paraId="75C5BE92">
      <w:pPr>
        <w:pStyle w:val="28"/>
        <w:spacing w:line="560" w:lineRule="exact"/>
        <w:ind w:firstLine="640"/>
        <w:rPr>
          <w:rFonts w:hint="eastAsia" w:ascii="楷体" w:hAnsi="楷体" w:eastAsia="楷体" w:cs="楷体"/>
          <w:b/>
          <w:bCs/>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w:t>
      </w:r>
      <w:r>
        <w:rPr>
          <w:rFonts w:hint="eastAsia" w:ascii="楷体" w:hAnsi="楷体" w:eastAsia="楷体" w:cs="楷体"/>
          <w:b/>
          <w:bCs/>
          <w:color w:val="000000" w:themeColor="text1"/>
          <w:sz w:val="32"/>
          <w:szCs w:val="32"/>
          <w:lang w:val="en-US" w:eastAsia="zh-CN"/>
          <w14:textFill>
            <w14:solidFill>
              <w14:schemeClr w14:val="tx1"/>
            </w14:solidFill>
          </w14:textFill>
        </w:rPr>
        <w:t>四</w:t>
      </w:r>
      <w:r>
        <w:rPr>
          <w:rFonts w:hint="eastAsia" w:ascii="楷体" w:hAnsi="楷体" w:eastAsia="楷体" w:cs="楷体"/>
          <w:b/>
          <w:bCs/>
          <w:color w:val="000000" w:themeColor="text1"/>
          <w:sz w:val="32"/>
          <w:szCs w:val="32"/>
          <w14:textFill>
            <w14:solidFill>
              <w14:schemeClr w14:val="tx1"/>
            </w14:solidFill>
          </w14:textFill>
        </w:rPr>
        <w:t>）预期处置经济效益</w:t>
      </w:r>
    </w:p>
    <w:p w14:paraId="2DB34611">
      <w:pPr>
        <w:pStyle w:val="28"/>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本批呆滞物料全部处置完成后，深圳九州光电子预计可获得不低于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28.79</w:t>
      </w:r>
      <w:r>
        <w:rPr>
          <w:rFonts w:hint="eastAsia" w:ascii="仿宋_GB2312" w:hAnsi="仿宋_GB2312" w:eastAsia="仿宋_GB2312" w:cs="仿宋_GB2312"/>
          <w:color w:val="000000" w:themeColor="text1"/>
          <w:sz w:val="32"/>
          <w:szCs w:val="32"/>
          <w14:textFill>
            <w14:solidFill>
              <w14:schemeClr w14:val="tx1"/>
            </w14:solidFill>
          </w14:textFill>
        </w:rPr>
        <w:t>万元的收入，增加公司现金流。</w:t>
      </w:r>
    </w:p>
    <w:p w14:paraId="36D69356">
      <w:pPr>
        <w:pStyle w:val="13"/>
        <w:spacing w:after="0" w:line="560" w:lineRule="exact"/>
        <w:ind w:firstLine="640" w:firstLineChars="200"/>
        <w:rPr>
          <w:rFonts w:ascii="黑体" w:hAnsi="黑体" w:eastAsia="黑体" w:cs="黑体"/>
          <w:sz w:val="32"/>
          <w:szCs w:val="32"/>
        </w:rPr>
      </w:pPr>
      <w:r>
        <w:rPr>
          <w:rFonts w:hint="eastAsia" w:ascii="黑体" w:hAnsi="黑体" w:eastAsia="黑体" w:cs="黑体"/>
          <w:sz w:val="32"/>
          <w:szCs w:val="32"/>
        </w:rPr>
        <w:t>六、决策依据</w:t>
      </w:r>
    </w:p>
    <w:p w14:paraId="3C0A3CA7">
      <w:pPr>
        <w:spacing w:line="560" w:lineRule="exact"/>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本次事项依据《四川九州光电子技术有限公司关键事项核决权限表》，属于九州光电子经理会决策事项。</w:t>
      </w:r>
    </w:p>
    <w:p w14:paraId="3BA81422">
      <w:pPr>
        <w:spacing w:line="560" w:lineRule="exact"/>
        <w:ind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以上议案现报公司经理会审议。</w:t>
      </w:r>
    </w:p>
    <w:p w14:paraId="0585FE75">
      <w:pPr>
        <w:spacing w:line="560" w:lineRule="exact"/>
        <w:ind w:firstLine="640" w:firstLineChars="200"/>
        <w:jc w:val="right"/>
        <w:rPr>
          <w:rFonts w:ascii="方正仿宋_GB2312" w:hAnsi="方正仿宋_GB2312" w:eastAsia="方正仿宋_GB2312" w:cs="方正仿宋_GB2312"/>
          <w:sz w:val="32"/>
          <w:szCs w:val="32"/>
        </w:rPr>
      </w:pPr>
    </w:p>
    <w:p w14:paraId="057CFFC6">
      <w:pPr>
        <w:spacing w:line="560" w:lineRule="exact"/>
        <w:ind w:firstLine="640" w:firstLineChars="200"/>
        <w:jc w:val="right"/>
        <w:rPr>
          <w:rFonts w:ascii="方正仿宋_GB2312" w:hAnsi="方正仿宋_GB2312" w:eastAsia="方正仿宋_GB2312" w:cs="方正仿宋_GB2312"/>
          <w:sz w:val="32"/>
          <w:szCs w:val="32"/>
        </w:rPr>
      </w:pPr>
    </w:p>
    <w:p w14:paraId="2D281541">
      <w:pPr>
        <w:spacing w:line="560" w:lineRule="exact"/>
        <w:ind w:firstLine="640" w:firstLineChars="200"/>
        <w:jc w:val="right"/>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提案部门：深圳九州光电子技术有限公司</w:t>
      </w:r>
    </w:p>
    <w:p w14:paraId="7A30D601">
      <w:pPr>
        <w:spacing w:line="560" w:lineRule="exact"/>
        <w:ind w:firstLine="640" w:firstLineChars="200"/>
        <w:jc w:val="cente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2025年8月11日</w:t>
      </w:r>
    </w:p>
    <w:p w14:paraId="758C7BE2">
      <w:pPr>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br w:type="page"/>
      </w:r>
    </w:p>
    <w:p w14:paraId="0EBD9AB0">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附件1：闲置物料明细表</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7"/>
        <w:gridCol w:w="667"/>
        <w:gridCol w:w="1035"/>
        <w:gridCol w:w="5051"/>
        <w:gridCol w:w="339"/>
        <w:gridCol w:w="544"/>
        <w:gridCol w:w="585"/>
        <w:gridCol w:w="544"/>
      </w:tblGrid>
      <w:tr w14:paraId="20704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CCFFFF"/>
            <w:vAlign w:val="center"/>
          </w:tcPr>
          <w:p w14:paraId="2B5121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CCFFFF"/>
            <w:vAlign w:val="center"/>
          </w:tcPr>
          <w:p w14:paraId="322082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物料编号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CCFFFF"/>
            <w:vAlign w:val="center"/>
          </w:tcPr>
          <w:p w14:paraId="3E9BB0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物料名称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CCFFFF"/>
            <w:vAlign w:val="center"/>
          </w:tcPr>
          <w:p w14:paraId="5AE181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CCFFFF"/>
            <w:vAlign w:val="center"/>
          </w:tcPr>
          <w:p w14:paraId="51D537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计量单位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CCFFFF"/>
            <w:vAlign w:val="center"/>
          </w:tcPr>
          <w:p w14:paraId="74B903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CCFFFF"/>
            <w:vAlign w:val="center"/>
          </w:tcPr>
          <w:p w14:paraId="4BD7DB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账面价值</w:t>
            </w:r>
          </w:p>
        </w:tc>
      </w:tr>
      <w:tr w14:paraId="13AD6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CCFFFF"/>
            <w:vAlign w:val="center"/>
          </w:tcPr>
          <w:p w14:paraId="28056A16">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CCFFFF"/>
            <w:vAlign w:val="center"/>
          </w:tcPr>
          <w:p w14:paraId="0A494A2E">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CCFFFF"/>
            <w:vAlign w:val="center"/>
          </w:tcPr>
          <w:p w14:paraId="7B82B0FC">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CCFFFF"/>
            <w:vAlign w:val="center"/>
          </w:tcPr>
          <w:p w14:paraId="4F0D53E8">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CCFFFF"/>
            <w:vAlign w:val="center"/>
          </w:tcPr>
          <w:p w14:paraId="69EE9728">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CCFFFF"/>
            <w:vAlign w:val="center"/>
          </w:tcPr>
          <w:p w14:paraId="53FE7B4A">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CCFFFF"/>
            <w:vAlign w:val="center"/>
          </w:tcPr>
          <w:p w14:paraId="7783AF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原值</w:t>
            </w:r>
          </w:p>
        </w:tc>
        <w:tc>
          <w:tcPr>
            <w:tcW w:w="0" w:type="auto"/>
            <w:tcBorders>
              <w:top w:val="single" w:color="000000" w:sz="4" w:space="0"/>
              <w:left w:val="single" w:color="000000" w:sz="4" w:space="0"/>
              <w:bottom w:val="single" w:color="000000" w:sz="4" w:space="0"/>
              <w:right w:val="single" w:color="000000" w:sz="4" w:space="0"/>
            </w:tcBorders>
            <w:shd w:val="clear" w:color="auto" w:fill="CCFFFF"/>
            <w:vAlign w:val="center"/>
          </w:tcPr>
          <w:p w14:paraId="3C0E91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净值</w:t>
            </w:r>
          </w:p>
        </w:tc>
      </w:tr>
      <w:tr w14:paraId="47890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1B8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CDF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32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378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2.5G,1270,DFB,A,6.6,-20~85C,（GX DFB CHIP: 20712509 ,MPD:20200037）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33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7A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62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7714.18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767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5014.23 </w:t>
            </w:r>
          </w:p>
        </w:tc>
      </w:tr>
      <w:tr w14:paraId="27015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C32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4A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65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1490nm DFB TO56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C6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1490 DFB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FA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E3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D3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385.10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63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285.94 </w:t>
            </w:r>
          </w:p>
        </w:tc>
      </w:tr>
      <w:tr w14:paraId="66D7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F0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E9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41330334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D2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F9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2.5G,1310,DFB,B,6.6,-20~85C,（YJ Chip:YJC-D1310-2-E-WG-V4S）,2.0折大球不镀膜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46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DC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7C7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5318.05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46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3456.73 </w:t>
            </w:r>
          </w:p>
        </w:tc>
      </w:tr>
      <w:tr w14:paraId="1EC08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2E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19B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1F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1490nm DFB TO56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A1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1490nm DFB TO56 GDZ-GF-S063(DFB GX:20714199 MPD GX:20200037;MY:Y1.02.01.0302)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A4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9A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EC8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10600.70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724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8154.78 </w:t>
            </w:r>
          </w:p>
        </w:tc>
      </w:tr>
      <w:tr w14:paraId="5920E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B10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05B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928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1490nm DFB TO56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B5C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1490nm DFB（GX Chip:20200054  GX MPD:20200037）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61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342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43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1930.18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E0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1926.31 </w:t>
            </w:r>
          </w:p>
        </w:tc>
      </w:tr>
      <w:tr w14:paraId="066AC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11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02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41530077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0B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75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1310 DFB TO56,小非球，FL6.6，LD:20200031,MPD:20708827（绵阳料号：Y1.02.01.307）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1A5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DA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8719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A8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33148.64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46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21697.49 </w:t>
            </w:r>
          </w:p>
        </w:tc>
      </w:tr>
      <w:tr w14:paraId="75D3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75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7F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41340003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D9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Chip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21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2.5G,DFB,-25~85C,EM:G1033-024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43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F5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30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305.61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11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152.81 </w:t>
            </w:r>
          </w:p>
        </w:tc>
      </w:tr>
      <w:tr w14:paraId="5B6F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C2BA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EA8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42340033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2B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Chip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F4C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2.5G,1310,DFB,-40~85C,GX:20200053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D9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6E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4B2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2154.94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74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1077.48 </w:t>
            </w:r>
          </w:p>
        </w:tc>
      </w:tr>
      <w:tr w14:paraId="2C422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FB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691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41230012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523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72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1.25G,1310,DFB,A,7.5,-40~85C TL:TME-3B83-507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A26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EE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48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DE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0.01 </w:t>
            </w:r>
          </w:p>
        </w:tc>
      </w:tr>
      <w:tr w14:paraId="01109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4A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4C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41240002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CE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282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1.25G,1550,DFB,A,7.5,-40~85℃,AOI:DFB-1550-T5-5-1.3-A7-A-C-M853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A7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3D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6F0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A0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11240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20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006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8E2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8C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2.5G,1310,DFB,B,6.6,-40~85C,Mi:ML720Y53S-12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58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27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8E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B4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7D219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3D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3AA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889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3A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2.5G,1310,DFB,C,6.6,0~85C,HX:HT2.5G1310D-C6V3C7（小角度）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92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0F1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4B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24766.37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C9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7683.60 </w:t>
            </w:r>
          </w:p>
        </w:tc>
      </w:tr>
      <w:tr w14:paraId="0C74E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A3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4B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41530022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4B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7B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10G,1270,DFB,A,7.5,-40~85C,LN: L-TT-ED27-03（JZ 标准，Po≥8mW） 芯片有流水码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99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F69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5E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16077.50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20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10450.38 </w:t>
            </w:r>
          </w:p>
        </w:tc>
      </w:tr>
      <w:tr w14:paraId="77CBC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F78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A7C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41630003-27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5F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480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25G,1270,DFB,A,7.5,-40~85C,（SUMITOMO chip：STA2W00/SN1K60S）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E6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84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4A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582.84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9B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291.42 </w:t>
            </w:r>
          </w:p>
        </w:tc>
      </w:tr>
      <w:tr w14:paraId="3181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E21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59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CF5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2C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25G,1330,DFB,A,7.5,-40~85C,（SUMITOMO chip：STA2W00/SN1J54S）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31E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F1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0A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107.44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39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53.72 </w:t>
            </w:r>
          </w:p>
        </w:tc>
      </w:tr>
      <w:tr w14:paraId="2999E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B63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CF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A92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E9B1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2.5G,1310,DFB,C,6.7,-40~85C,JZ:JZD2C1MH-01（Macom chip:131D-02E-VCT11-501）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5E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62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2A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292.88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9E6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7D8CC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2A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EB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CD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30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2.5G,1310,DFB,C,6.7,-20~85C,JZ:JZD2C1EH-01（Emcore chip:G1033-024）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8D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195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71F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95.36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D6C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68D4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4C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6A5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C8D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9B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2.5G,1310,DFB,C,6.5,-40~85C,TL:TME-3B33-506（高折射率）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5E1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AE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C5A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301.54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7A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26A03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2F8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C8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DD2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B20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2.5G,1470,DFB,A,7.5,-40~85C,HR：JZD2A2IH-11（2.5G,1470,DFB,-40~85C,AO:DFB-1470-B-B-CH5-A28）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CD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046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7A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1475.24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B6C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49890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55D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91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DB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DC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2.5G,1510,DFB,A,7.5,-40~85C,HR：JZD2A2IH-13（2.5G,1510,DFB,-40~85C,AO:DFB-1510-B-B-CH5-A28）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8A2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213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41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1207.92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87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24299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3B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FE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3C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A93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2.5G,1530,DFB,A,7.5,-40~85C,HR：JZD2A2IH-14（2.5G,1530,DFB,-40~85C,AO:DFB-1530-B-B-CH5-A28）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A2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09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455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2773.77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447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082EB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A37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80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44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E13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2.5G,1310,DFB,A,7.5,-40~85C,TL:TME-3B83-997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BC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51B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E89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184.20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92D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711F9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55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12A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41330094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3C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65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2.5G,1310,DFB,C,6.7,-40~85C,JZ:JZD2C1MHG-01（Macom chip:131D-02E-VCT11-501+TK MPD）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35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CA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3AB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506.70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E3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62228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41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6C9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42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5F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2.5G,1310,DFB,C,6.6,-40~85C,JZ:JZD2C1GH-02（GX Chip:20200053? GX MPD:20200037)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36D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5A5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E1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257.91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95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76D7B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2D6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14C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A5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F5C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2.5G,1310,DFB,C,6.5,0~85C,GSHLASER:GB-244H9-C01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2E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8B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584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75.91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AF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72F9D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09B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01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F0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DFB?LD?TO56C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B3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2.5G,1310,DFB,C,6.6,-40~85C,JZ:JZD2C1WH-02（GX Chip:20200043? GX MPD:20200037）,合波管帽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D3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94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773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0.47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88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0.24 </w:t>
            </w:r>
          </w:p>
        </w:tc>
      </w:tr>
      <w:tr w14:paraId="7499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9E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6DE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9D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72C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2.5G,1310,DFB,C,6.7,-20~85C,JZ:JZD2C1EJ-03（Emcore chip:G1033-024）（2.0mm）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64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07B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57F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2137.18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7E3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534.30 </w:t>
            </w:r>
          </w:p>
        </w:tc>
      </w:tr>
      <w:tr w14:paraId="7F2BB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7BF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B5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961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11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2.5G,1310,DFB,C,6.7,-20~85C（YJ chip:YJC-D1310-2-E-WX-V2S）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88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9A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B4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577.18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FB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097D7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126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04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10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D97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2.5G,1310,DFB,A,7.5,-10~85C,（GX Chip:20200043? GX MPD:20200037）,光迅管帽：30047434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19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C7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FAF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585.93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E59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380.85 </w:t>
            </w:r>
          </w:p>
        </w:tc>
      </w:tr>
      <w:tr w14:paraId="191FE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3F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D87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93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DFB?LD?TO56C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CA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2.5G,1310,DFB,C,6.6,-20~85C,（YJ Chip:YJC-D1310-2-E-WG-V4S）,1.8折不镀膜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7A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69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5B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86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0.03 </w:t>
            </w:r>
          </w:p>
        </w:tc>
      </w:tr>
      <w:tr w14:paraId="7845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AF4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60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FFC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F6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2.5G,1310,DFB,C,6.6,-20~85C,JZ:JZD2C1EH-03(Emcore chip:G1033-024-21,Im双镀膜)(三安:S-14ACPD07-G)（1.8不镀膜）华为专用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DB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05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37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2037.55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77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509.38 </w:t>
            </w:r>
          </w:p>
        </w:tc>
      </w:tr>
      <w:tr w14:paraId="26CE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2E3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AC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90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57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2.5G,1310,DFB,C,6.6,-40~85C,JZ:JZD2C1WH-01（GX Chip:20200043 GX MPD:20200037）（1.8镀膜）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228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55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3AC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2173.64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C8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54B37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50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787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C5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54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2.5G,1310,DFB,C,6.6,-40~85C,JZ:JZD2C1GH-04（GX Chip:20200043? GX MPD:20200037）（2.0镀膜,无二极管）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545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2B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BBF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36525.72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CB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30266.81 </w:t>
            </w:r>
          </w:p>
        </w:tc>
      </w:tr>
      <w:tr w14:paraId="1E0A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FC3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B4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8A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68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2.5G,1310,DFB,C,6.6,-5~75℃?,JZ:JZD2C2HH-01(HX Chip:HC2.5G1310D-CV3P8)无MPD,1.8不镀膜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07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FC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A16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1653.15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E6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3745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60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4A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51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C5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2.5G,1310,DFB,C,6.6,0~85C,HX:HT2.5G1310D-C6V3C7（小角度）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5E3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C1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6452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4A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22809.87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3C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11256.67 </w:t>
            </w:r>
          </w:p>
        </w:tc>
      </w:tr>
      <w:tr w14:paraId="49B0F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5D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CC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C10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5C3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2.5G,1310,DFB,A,7.5,-10~85C,（GX Chip:20200031? GX MPD:20200037）,光迅管帽：30047434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2C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70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52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617.84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D1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289.82 </w:t>
            </w:r>
          </w:p>
        </w:tc>
      </w:tr>
      <w:tr w14:paraId="0FA8E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EB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2E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33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68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2.5G,1310,DFB,C,6.6,-40~85C,TL:TME-3B33-506（TL chip:TBD-3G12-001)（A2低功率档）(2.0折)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E670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F5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74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13963.21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51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7271.85 </w:t>
            </w:r>
          </w:p>
        </w:tc>
      </w:tr>
      <w:tr w14:paraId="587C1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2C4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E0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D0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73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2.5G,1310,DFB,C,6.5,-10~85C,ZK:TB318C3541（ZK chip:BDB3111B8,高温芯片）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07D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9A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100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229.10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290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50EF5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AA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40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12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44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2.5G,1310,DFB,C,6.6,-5~75℃ ,JZ:JZD2C2HH-01(HX Chip:HC2.5G1310D-C2V3P9),1.8不镀膜，全温1310±10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68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14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5E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13.57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A6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3.39 </w:t>
            </w:r>
          </w:p>
        </w:tc>
      </w:tr>
      <w:tr w14:paraId="33954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B4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FC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43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06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2.5G,1310,DFB,C,6.6,-5~75℃ ,JZ:JZD2C2HH-01(HX Chip:HC2.5G1310D-CV3P9),1.8不镀膜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3B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18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EA9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52.08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774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03801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DD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255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F2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F5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2.5G,1310,DFB,C,6.6,-40~85C,JZ:JZD2C1WH-05（GX Chip:20707899??GX MPD:20708827)（2.0镀膜,无二极管）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86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3F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6D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3374.98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4DE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843.74 </w:t>
            </w:r>
          </w:p>
        </w:tc>
      </w:tr>
      <w:tr w14:paraId="25B7C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A6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0B5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7B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95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2.5G,1310,DFB,C,6.6,-20~85C,JZ:JZD2C1EH-03(Emcore?chip:G1033-024-21,Im双镀膜)（2.0镀膜）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AC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86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93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129988.87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BC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66356.79 </w:t>
            </w:r>
          </w:p>
        </w:tc>
      </w:tr>
      <w:tr w14:paraId="00703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3B1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9D8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23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AC4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2.5G,1310,DFB,C,6.6,-10~85C,XF:XTD-405C-4206E（Po≥6.8mW）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8914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C2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2753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F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9707.22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49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2426.84 </w:t>
            </w:r>
          </w:p>
        </w:tc>
      </w:tr>
      <w:tr w14:paraId="06532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F93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3F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52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68D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2.5G,1310,DFB,C,6.6,-10~85C,XF:XTD-405C-4206E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70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38C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6E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136.49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95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34.12 </w:t>
            </w:r>
          </w:p>
        </w:tc>
      </w:tr>
      <w:tr w14:paraId="0D7CB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03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9C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47D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43E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2.5G,1310,DFB,C,6.5,-10~85C,ZK:TB312H4541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D8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FC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4D7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380.00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F8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17049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35A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8EF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09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DFB?LD?TO56C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BF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2.5G,1310,DFB,C,6.6,-40~85C,JZ:JZD2C1WH-02（GX Chip:20200043? GX MPD:20200037）,合波管帽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6FB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39B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B8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90.45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D7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45.22 </w:t>
            </w:r>
          </w:p>
        </w:tc>
      </w:tr>
      <w:tr w14:paraId="57625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5C9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40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875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C3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2.5G,1490,DFB,C,6.6,-5~75C,（GX Chip:20200054  GX MPD:20200037,）2.0折不镀膜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21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690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A1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2385.57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58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1591.79 </w:t>
            </w:r>
          </w:p>
        </w:tc>
      </w:tr>
      <w:tr w14:paraId="5AE0A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53B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0D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6C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B3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2.5G,1310,DFB,B,6.6,-20~85C,（YJ Chip:YJC-D1310-2-E-WG-V4S）,小球不镀膜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3D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A2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D7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476.01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51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309.41 </w:t>
            </w:r>
          </w:p>
        </w:tc>
      </w:tr>
      <w:tr w14:paraId="6334A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489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D2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07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BAFF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2.5G,1310,DFB,C,6.6,-5~85C,（SJ Chip:C.16.CD.1131620),1.8折不镀膜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C26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0F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58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9657.56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A1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4828.82 </w:t>
            </w:r>
          </w:p>
        </w:tc>
      </w:tr>
      <w:tr w14:paraId="4069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BF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DF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02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BB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2.5G,1310,DFB,C,6.6,-5~85C,(GAL Chip:CE-D0231-03#AC)( GX MPD:20200037)(2.0镀膜,合波管帽,无二极管）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9BE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047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D2E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29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5.01 </w:t>
            </w:r>
          </w:p>
        </w:tc>
      </w:tr>
      <w:tr w14:paraId="3BB6F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2BC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27B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33C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A3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2.5G,1310,DFB,C,6.6,-40~85C,(GX Chip:20200053 GX MPD:20200037)(2.0镀膜,无二极管,20mm长管脚）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96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50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1C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835.37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FC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542.99 </w:t>
            </w:r>
          </w:p>
        </w:tc>
      </w:tr>
      <w:tr w14:paraId="596FF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B8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3D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8A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B6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2.5G,1310,DFB,C,6.35,-10~85C,（GX Chip:20200043  GX MPD:20708827）2.0镀膜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62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33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B9A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22776.11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80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6138.92 </w:t>
            </w:r>
          </w:p>
        </w:tc>
      </w:tr>
      <w:tr w14:paraId="60FA0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CC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27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5F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F9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2.5G,1310,DFB,C,6.5,-20~85C,（YJ Chip:YJC-D1310-2-E-WG-V4S）（窄波）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88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02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4F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428.65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7A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107.16 </w:t>
            </w:r>
          </w:p>
        </w:tc>
      </w:tr>
      <w:tr w14:paraId="356A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94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9FD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04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E4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2.5G,1310,DFB,C,6.6,-20~85C,JZ:JZD2C1EH-03(Emcore?chip:G1033-024-21,Im双镀膜)（2.0镀膜）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Im(120-200 )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45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8EDE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63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4927.49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FD4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1248.59 </w:t>
            </w:r>
          </w:p>
        </w:tc>
      </w:tr>
      <w:tr w14:paraId="28615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8B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2E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7B3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552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2.5G,1310,DFB,B,6.6,-20~85C,（YJ Chip:YJC-D1310-2-E-WG-V4S）,小球不镀膜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（Im:120≤Im＜200uA）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58F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9E3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92D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3664.67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5443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1832.32 </w:t>
            </w:r>
          </w:p>
        </w:tc>
      </w:tr>
      <w:tr w14:paraId="670F3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E0F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06F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41330323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91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C0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2.5G,1310,DFB,C,6.6,-20~85C,XF:XTD-405C-4203K（Po≥6.8mW；Im＞170nA）偏角度  2.0不镀膜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A10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F2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D2D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4165.13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2B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2707.28 </w:t>
            </w:r>
          </w:p>
        </w:tc>
      </w:tr>
      <w:tr w14:paraId="435A2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63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145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F70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10B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2.5G,1310,DFB,C,6.6,-40~85C,JZ:JZD2C1GH-01（GX Chip:20200043）不含MPD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54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19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24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1463.59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873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951.32 </w:t>
            </w:r>
          </w:p>
        </w:tc>
      </w:tr>
      <w:tr w14:paraId="791B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382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0A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4A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658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2.5G,1310,DFB,6.6,-10~85C,（GX Chip:20714618  GX MPD:20708827）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F1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ED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5C6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690.08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566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448.55 </w:t>
            </w:r>
          </w:p>
        </w:tc>
      </w:tr>
      <w:tr w14:paraId="2245A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E6F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511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41330366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F6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F0A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2.5G,1310,DFB,6.6,-40~85C,（GX Chip:20200043  GX MPD:20708827）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B9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FA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67F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280.27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54E0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151.82 </w:t>
            </w:r>
          </w:p>
        </w:tc>
      </w:tr>
      <w:tr w14:paraId="7B45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5CC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58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41330421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D5D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1490nm DFB TO56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C7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1490nm DFB（GX Chip:20714199  GX MPD:20708827）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A2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5C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39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FC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5.82 </w:t>
            </w:r>
          </w:p>
        </w:tc>
      </w:tr>
      <w:tr w14:paraId="43E2F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9C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D0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181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B5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2.5G,1270,DFB,A,7.5,-20~85C,ZK:TB272H5341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FF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836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F1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2223.01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E2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29B40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82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D1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3E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A7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2.5G,1270,DFB,A,7.5,-10~85C,HX:HT2.5G1270D-E7V1A6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6D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15B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9B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43.50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EE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10.88 </w:t>
            </w:r>
          </w:p>
        </w:tc>
      </w:tr>
      <w:tr w14:paraId="7BC28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8A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F52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BC99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80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2.5G,1270,DFB,A,6.6,-40~85C,小非球,（CST Chip: D127-DI02）（偏角度）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6AA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929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4B6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21601.23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69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7111.50 </w:t>
            </w:r>
          </w:p>
        </w:tc>
      </w:tr>
      <w:tr w14:paraId="7144C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D66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641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88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3F2C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2.5G,1270,DFB,A,6.5,-20~85C,（GX DFB CHIP: 20200046 ,MPD:20200037）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BB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0B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883.5332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CD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2888.35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C46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1955.20 </w:t>
            </w:r>
          </w:p>
        </w:tc>
      </w:tr>
      <w:tr w14:paraId="2C6F8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43B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E0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4D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AA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2.5G,1270,DFB,A,7.5,-20~85C,（YJ Chip:YJC-D1270-2-E-WG-V2S）(XSJ MPD)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C9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66A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B4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636.18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2E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169.31 </w:t>
            </w:r>
          </w:p>
        </w:tc>
      </w:tr>
      <w:tr w14:paraId="2E218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155B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F1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D6D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AD7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2.5G,1270,DFB,A,7.5,-40~85C,小非球,（CST Chip: D127-DI02）（偏角度）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F4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581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00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7491.81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9EC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1872.95 </w:t>
            </w:r>
          </w:p>
        </w:tc>
      </w:tr>
      <w:tr w14:paraId="29B5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F30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B14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346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E3C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2.5G,1270,DFB,C,6.6,-40~85C,大球,（CST Chip：D127-DI02）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9D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97D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BC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2904.16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A8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1452.08 </w:t>
            </w:r>
          </w:p>
        </w:tc>
      </w:tr>
      <w:tr w14:paraId="6D62A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4F6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03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C2B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96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2.5G,1270,DFB,A,6.6,-20~85C,（GX DFB CHIP: 20200046 ,MPD:S-11ACPD08-G7）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7A3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C8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8C5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39.46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B0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19.73 </w:t>
            </w:r>
          </w:p>
        </w:tc>
      </w:tr>
      <w:tr w14:paraId="2B3E4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A1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44B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41510007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B73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10G DFB LD TO56B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E3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10G,1310,DFB,-40~85C,HGZY:01.A.14.0148-6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6B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B9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E7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3391.92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24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31E98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4C8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B8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41530010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5D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AE8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10G,1270,DFB,A,10.18,-40~85C,LN:?BH5B-81A0-3F</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A1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D04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48D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244.14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BC7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138DA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1BD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2D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41530011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9C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55F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10G,1270,DFB,A,7.5,-40~85C,LN: L-TT-ED27-03（JZ 标准，Po≥8mW）,10G DFB LD（1270）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17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B48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5F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99.26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E43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24.81 </w:t>
            </w:r>
          </w:p>
        </w:tc>
      </w:tr>
      <w:tr w14:paraId="2A013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7E9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0B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41530018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DD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FFC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10G,1270,DFB,A,7.5,-40~85C,LN: L-TT-ED27-03（JZ 标准，6.4mW≤Po≤8mW）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A31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81B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966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1499.03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F67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374.76 </w:t>
            </w:r>
          </w:p>
        </w:tc>
      </w:tr>
      <w:tr w14:paraId="353C6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1C3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FEE4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41530023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20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0B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10G,1270,DFB,A,7.5,-40~85C,LN: L-TT-ED27-03（JZ 标准，6.4mW≤Po≤8mW） 芯片有流水码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C8D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ED9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DC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15225.31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ACC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9896.43 </w:t>
            </w:r>
          </w:p>
        </w:tc>
      </w:tr>
      <w:tr w14:paraId="6AD5C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F51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BE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3D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A3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25G,1350,DFB,A,7.5,-40~85C,（源杰chip：YJC-D1350-25-I-M1）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D8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C9B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4B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87.50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ED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5B43F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66B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6D2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0A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A8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25G,1310,DFB,A,7.5,-40~85C,（SUMITOMO chip：STA2W00/SN1J88S）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919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BCB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CC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61.81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51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30.91 </w:t>
            </w:r>
          </w:p>
        </w:tc>
      </w:tr>
      <w:tr w14:paraId="0D756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947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5CE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41630008-27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21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81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25G,1270,DFB,A,7.5,-40~85C,（LN Chip：L-CT-ID27-00）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919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4B5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EA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2431.99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5A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1216.00 </w:t>
            </w:r>
          </w:p>
        </w:tc>
      </w:tr>
      <w:tr w14:paraId="28085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307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75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41630008-33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85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3E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25G,1330,DFB,A,7.5,-40~85C,（LN Chip：L-CT-ID33-00）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D6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26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2E2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4095.99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53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1260.80 </w:t>
            </w:r>
          </w:p>
        </w:tc>
      </w:tr>
      <w:tr w14:paraId="29CCE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E9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6F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41630009-27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78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75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25G,1270,DFB,A,小非球拉7.5,-40~85C,（SUMITOMO chip：STA2W00/SN1K60S）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FCF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B2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092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2347.93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DCC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586.98 </w:t>
            </w:r>
          </w:p>
        </w:tc>
      </w:tr>
      <w:tr w14:paraId="7FEC7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93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FF9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41630009-31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FA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F8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25G,1310,DFB,A,小非球拉7.5,-40~85C,（SUMITOMO chip：STA2W00/SN1J88S）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DBE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E70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AA0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39.20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4F1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3EEF2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43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AE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41630009-33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6A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B7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25G,1330,DFB,A,小非球拉7.5,-40~85C,（SUMITOMO chip：STA2W00/SN1J54S）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6B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98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D09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1430.79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96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357.70 </w:t>
            </w:r>
          </w:p>
        </w:tc>
      </w:tr>
      <w:tr w14:paraId="4B450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1F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CED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41630018-31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19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A6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25G,1310,DFB,A,7.5,-40~85C,（SUMITOMO chip：STA2W00/SN1J88S）（7根打线）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D3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24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3D4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199.99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6E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99.99 </w:t>
            </w:r>
          </w:p>
        </w:tc>
      </w:tr>
      <w:tr w14:paraId="64B5C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3A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169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42340061-61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3F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Chip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AA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2.5G,1610,CWDM DFB,-40~85C,HX:HC2.5G1610D-IV1P5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2B3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ABA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8D6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1860.42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D3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465.11 </w:t>
            </w:r>
          </w:p>
        </w:tc>
      </w:tr>
      <w:tr w14:paraId="20A79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FF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48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42630006-27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156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DFB Chip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2C3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25G,1270,DFB,-40~85C,LN：L-CT-ID27-00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BB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9D4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EE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1915.61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AD0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19E8E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0C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D0C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42630006-33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92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 DFB Chip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7B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25G,1330,DFB,-40~85C,LN：L-CT-ID33-00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AB6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47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F0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2366.35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82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0.00 </w:t>
            </w:r>
          </w:p>
        </w:tc>
      </w:tr>
      <w:tr w14:paraId="2A263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616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FCE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41230012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A9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TO56A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6F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1.25G,1310,DFB,A,7.5,-40~85C TL:TME-3B83-507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BD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BE3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94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13198.26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D7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9898.69 </w:t>
            </w:r>
          </w:p>
        </w:tc>
      </w:tr>
      <w:tr w14:paraId="3F893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2D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33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41430013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3C3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DFB LD Chip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4C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2.5G,1310,DFB,A,7.5,-20~85C,(YJ Chip:YJC-D1310-2-E-WG-V4S)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BF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02A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6A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3293.32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33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3721.45 </w:t>
            </w:r>
          </w:p>
        </w:tc>
      </w:tr>
      <w:tr w14:paraId="35A14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C26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4B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42350023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2AD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MPD芯片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4A9E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XSJ-10-MS-2214A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73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4A5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92A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1207.74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06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881.65 </w:t>
            </w:r>
          </w:p>
        </w:tc>
      </w:tr>
      <w:tr w14:paraId="2D446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8C7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4CF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42350018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C1B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MPD chip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63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2.5G,PIN,-40~85℃,13所：CT-IGA-PD180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689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PCS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57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459655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69B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72717.42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968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45188.68 </w:t>
            </w:r>
          </w:p>
        </w:tc>
      </w:tr>
    </w:tbl>
    <w:p w14:paraId="6A8330CA">
      <w:pPr>
        <w:rPr>
          <w:rFonts w:ascii="黑体" w:hAnsi="黑体" w:eastAsia="黑体" w:cs="黑体"/>
          <w:sz w:val="32"/>
          <w:szCs w:val="32"/>
        </w:rPr>
      </w:pPr>
    </w:p>
    <w:sectPr>
      <w:pgSz w:w="11907" w:h="16840"/>
      <w:pgMar w:top="2098" w:right="1474" w:bottom="1984" w:left="1587" w:header="992"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7324775B-EB9C-402C-AF2B-6917C96472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227EF438-27C4-4587-BFAF-A8E2FE221646}"/>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方正公文小标宋">
    <w:panose1 w:val="02000500000000000000"/>
    <w:charset w:val="86"/>
    <w:family w:val="auto"/>
    <w:pitch w:val="default"/>
    <w:sig w:usb0="A00002BF" w:usb1="38CF7CFA" w:usb2="00000016" w:usb3="00000000" w:csb0="00040001" w:csb1="00000000"/>
    <w:embedRegular r:id="rId3" w:fontKey="{DF9C33F6-FF15-4596-8062-25CC6FC37803}"/>
  </w:font>
  <w:font w:name="楷体">
    <w:panose1 w:val="02010609060101010101"/>
    <w:charset w:val="86"/>
    <w:family w:val="modern"/>
    <w:pitch w:val="default"/>
    <w:sig w:usb0="800002BF" w:usb1="38CF7CFA" w:usb2="00000016" w:usb3="00000000" w:csb0="00040001" w:csb1="00000000"/>
    <w:embedRegular r:id="rId4" w:fontKey="{15A67CC3-D6FF-45EA-B034-7962B70621B8}"/>
  </w:font>
  <w:font w:name="方正仿宋_GB2312">
    <w:panose1 w:val="02000000000000000000"/>
    <w:charset w:val="86"/>
    <w:family w:val="auto"/>
    <w:pitch w:val="default"/>
    <w:sig w:usb0="A00002BF" w:usb1="184F6CFA" w:usb2="00000012" w:usb3="00000000" w:csb0="00040001" w:csb1="00000000"/>
    <w:embedRegular r:id="rId5" w:fontKey="{37FEBC90-4612-4552-A574-EB7DC280B93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1MzY2ZGM0N2E0ODhjMTQwNmMyMjczYzU4N2ZhZGUifQ=="/>
    <w:docVar w:name="KSO_WPS_MARK_KEY" w:val="cd7f4c6f-141e-4d43-bb00-9d69156abd62"/>
  </w:docVars>
  <w:rsids>
    <w:rsidRoot w:val="00172A27"/>
    <w:rsid w:val="00003799"/>
    <w:rsid w:val="000147A5"/>
    <w:rsid w:val="00025E6C"/>
    <w:rsid w:val="0003552F"/>
    <w:rsid w:val="00036C75"/>
    <w:rsid w:val="00045008"/>
    <w:rsid w:val="0004597B"/>
    <w:rsid w:val="000578CA"/>
    <w:rsid w:val="00065D39"/>
    <w:rsid w:val="000A10C9"/>
    <w:rsid w:val="000F4003"/>
    <w:rsid w:val="000F58A8"/>
    <w:rsid w:val="00103D4F"/>
    <w:rsid w:val="00112481"/>
    <w:rsid w:val="00132445"/>
    <w:rsid w:val="00134434"/>
    <w:rsid w:val="00156400"/>
    <w:rsid w:val="00161385"/>
    <w:rsid w:val="001715D0"/>
    <w:rsid w:val="00171CCE"/>
    <w:rsid w:val="00172A27"/>
    <w:rsid w:val="00180E64"/>
    <w:rsid w:val="00181A12"/>
    <w:rsid w:val="001B3A96"/>
    <w:rsid w:val="001C203D"/>
    <w:rsid w:val="001C64D9"/>
    <w:rsid w:val="0022516C"/>
    <w:rsid w:val="0023040A"/>
    <w:rsid w:val="00260138"/>
    <w:rsid w:val="00270990"/>
    <w:rsid w:val="002737F4"/>
    <w:rsid w:val="002A481A"/>
    <w:rsid w:val="002A51B0"/>
    <w:rsid w:val="002C5B56"/>
    <w:rsid w:val="002D5763"/>
    <w:rsid w:val="002E6577"/>
    <w:rsid w:val="002F01F4"/>
    <w:rsid w:val="00307571"/>
    <w:rsid w:val="00320AD7"/>
    <w:rsid w:val="0032272E"/>
    <w:rsid w:val="00390129"/>
    <w:rsid w:val="003A6028"/>
    <w:rsid w:val="003B2BA1"/>
    <w:rsid w:val="004127A0"/>
    <w:rsid w:val="00413C9D"/>
    <w:rsid w:val="00425B44"/>
    <w:rsid w:val="00482D2D"/>
    <w:rsid w:val="004A3DAA"/>
    <w:rsid w:val="004B1843"/>
    <w:rsid w:val="004B5DD7"/>
    <w:rsid w:val="004E3C01"/>
    <w:rsid w:val="00512A38"/>
    <w:rsid w:val="00517302"/>
    <w:rsid w:val="0053394D"/>
    <w:rsid w:val="00537D1C"/>
    <w:rsid w:val="00546A83"/>
    <w:rsid w:val="0055223C"/>
    <w:rsid w:val="0056167F"/>
    <w:rsid w:val="00591911"/>
    <w:rsid w:val="005B07F3"/>
    <w:rsid w:val="00613D80"/>
    <w:rsid w:val="00613F30"/>
    <w:rsid w:val="006219C8"/>
    <w:rsid w:val="00624D51"/>
    <w:rsid w:val="00634967"/>
    <w:rsid w:val="00635493"/>
    <w:rsid w:val="00652C41"/>
    <w:rsid w:val="00655807"/>
    <w:rsid w:val="00657A44"/>
    <w:rsid w:val="00661947"/>
    <w:rsid w:val="00686F01"/>
    <w:rsid w:val="00687C6C"/>
    <w:rsid w:val="006B33C8"/>
    <w:rsid w:val="006C1C49"/>
    <w:rsid w:val="006D141E"/>
    <w:rsid w:val="006E5726"/>
    <w:rsid w:val="006E78EB"/>
    <w:rsid w:val="006E7DFC"/>
    <w:rsid w:val="007055B4"/>
    <w:rsid w:val="0071752E"/>
    <w:rsid w:val="007209EA"/>
    <w:rsid w:val="00727666"/>
    <w:rsid w:val="0074247A"/>
    <w:rsid w:val="00750FA3"/>
    <w:rsid w:val="007604C8"/>
    <w:rsid w:val="007665A2"/>
    <w:rsid w:val="007723DC"/>
    <w:rsid w:val="00773BAD"/>
    <w:rsid w:val="0078305C"/>
    <w:rsid w:val="007842A2"/>
    <w:rsid w:val="0079416A"/>
    <w:rsid w:val="007B1414"/>
    <w:rsid w:val="007B6716"/>
    <w:rsid w:val="007C041E"/>
    <w:rsid w:val="007C1DD2"/>
    <w:rsid w:val="007C505A"/>
    <w:rsid w:val="007D1675"/>
    <w:rsid w:val="007E614C"/>
    <w:rsid w:val="007F09BB"/>
    <w:rsid w:val="00803BA8"/>
    <w:rsid w:val="008415AB"/>
    <w:rsid w:val="008473DA"/>
    <w:rsid w:val="00855765"/>
    <w:rsid w:val="0086112C"/>
    <w:rsid w:val="00865A28"/>
    <w:rsid w:val="00874655"/>
    <w:rsid w:val="00877664"/>
    <w:rsid w:val="008A0E67"/>
    <w:rsid w:val="008A173F"/>
    <w:rsid w:val="008A2D10"/>
    <w:rsid w:val="008B14BE"/>
    <w:rsid w:val="008C1F49"/>
    <w:rsid w:val="008D2C0D"/>
    <w:rsid w:val="008D451C"/>
    <w:rsid w:val="008D7BF9"/>
    <w:rsid w:val="008F7BEA"/>
    <w:rsid w:val="00906DA9"/>
    <w:rsid w:val="009109D1"/>
    <w:rsid w:val="00911E47"/>
    <w:rsid w:val="0094261A"/>
    <w:rsid w:val="009463C8"/>
    <w:rsid w:val="009574CE"/>
    <w:rsid w:val="009900FF"/>
    <w:rsid w:val="00990584"/>
    <w:rsid w:val="00997D34"/>
    <w:rsid w:val="009A59AC"/>
    <w:rsid w:val="009C7924"/>
    <w:rsid w:val="009E336C"/>
    <w:rsid w:val="009E5F6D"/>
    <w:rsid w:val="009F7769"/>
    <w:rsid w:val="00A01F6B"/>
    <w:rsid w:val="00A07246"/>
    <w:rsid w:val="00A525F6"/>
    <w:rsid w:val="00A54C20"/>
    <w:rsid w:val="00A67062"/>
    <w:rsid w:val="00A678D0"/>
    <w:rsid w:val="00A70D71"/>
    <w:rsid w:val="00A73CAE"/>
    <w:rsid w:val="00AB0A65"/>
    <w:rsid w:val="00AB2CBF"/>
    <w:rsid w:val="00AC2420"/>
    <w:rsid w:val="00AD43C4"/>
    <w:rsid w:val="00AD4AB9"/>
    <w:rsid w:val="00AF6E98"/>
    <w:rsid w:val="00B07AAA"/>
    <w:rsid w:val="00B12763"/>
    <w:rsid w:val="00B4231C"/>
    <w:rsid w:val="00B57EB0"/>
    <w:rsid w:val="00B65C42"/>
    <w:rsid w:val="00B716E6"/>
    <w:rsid w:val="00B732CD"/>
    <w:rsid w:val="00B90695"/>
    <w:rsid w:val="00BA2D0A"/>
    <w:rsid w:val="00BB0D09"/>
    <w:rsid w:val="00BF7F52"/>
    <w:rsid w:val="00C11763"/>
    <w:rsid w:val="00C1351E"/>
    <w:rsid w:val="00C1647D"/>
    <w:rsid w:val="00C252DD"/>
    <w:rsid w:val="00C26E7F"/>
    <w:rsid w:val="00C34DF5"/>
    <w:rsid w:val="00C36634"/>
    <w:rsid w:val="00C6502F"/>
    <w:rsid w:val="00C84E91"/>
    <w:rsid w:val="00C92D96"/>
    <w:rsid w:val="00C95B5F"/>
    <w:rsid w:val="00C96508"/>
    <w:rsid w:val="00CB3F82"/>
    <w:rsid w:val="00CC4313"/>
    <w:rsid w:val="00CC78B4"/>
    <w:rsid w:val="00D06321"/>
    <w:rsid w:val="00D068C9"/>
    <w:rsid w:val="00D27EFB"/>
    <w:rsid w:val="00D67A6B"/>
    <w:rsid w:val="00DB07A2"/>
    <w:rsid w:val="00DE1195"/>
    <w:rsid w:val="00E019A0"/>
    <w:rsid w:val="00E07FDA"/>
    <w:rsid w:val="00E22A55"/>
    <w:rsid w:val="00E30C74"/>
    <w:rsid w:val="00E41ACD"/>
    <w:rsid w:val="00E50521"/>
    <w:rsid w:val="00E56AE2"/>
    <w:rsid w:val="00E614BD"/>
    <w:rsid w:val="00E805D2"/>
    <w:rsid w:val="00E8337B"/>
    <w:rsid w:val="00E847F3"/>
    <w:rsid w:val="00E84D23"/>
    <w:rsid w:val="00EB3072"/>
    <w:rsid w:val="00ED2059"/>
    <w:rsid w:val="00ED2143"/>
    <w:rsid w:val="00F1531F"/>
    <w:rsid w:val="00F27E39"/>
    <w:rsid w:val="00F4162D"/>
    <w:rsid w:val="00F52603"/>
    <w:rsid w:val="00F52DA8"/>
    <w:rsid w:val="00F63F98"/>
    <w:rsid w:val="00F73FD7"/>
    <w:rsid w:val="00F85AC4"/>
    <w:rsid w:val="00FA7945"/>
    <w:rsid w:val="00FD25AC"/>
    <w:rsid w:val="00FE0B17"/>
    <w:rsid w:val="02C72915"/>
    <w:rsid w:val="02CA4985"/>
    <w:rsid w:val="02D7069C"/>
    <w:rsid w:val="02E01C47"/>
    <w:rsid w:val="031E451D"/>
    <w:rsid w:val="038D51FF"/>
    <w:rsid w:val="03E2480B"/>
    <w:rsid w:val="04526166"/>
    <w:rsid w:val="069A751C"/>
    <w:rsid w:val="06CC63A6"/>
    <w:rsid w:val="086A5B0F"/>
    <w:rsid w:val="09604344"/>
    <w:rsid w:val="0A8044E0"/>
    <w:rsid w:val="0A8F226A"/>
    <w:rsid w:val="0BA30C08"/>
    <w:rsid w:val="0C1071EC"/>
    <w:rsid w:val="0EEF6D6E"/>
    <w:rsid w:val="0F3E3168"/>
    <w:rsid w:val="0F735BF1"/>
    <w:rsid w:val="10152804"/>
    <w:rsid w:val="106317C1"/>
    <w:rsid w:val="10AB3168"/>
    <w:rsid w:val="10AB4F16"/>
    <w:rsid w:val="11A92500"/>
    <w:rsid w:val="11F528ED"/>
    <w:rsid w:val="125F420A"/>
    <w:rsid w:val="12D0239B"/>
    <w:rsid w:val="13076D7C"/>
    <w:rsid w:val="137F2DB6"/>
    <w:rsid w:val="13E91ED1"/>
    <w:rsid w:val="161F262E"/>
    <w:rsid w:val="16315EBE"/>
    <w:rsid w:val="16356391"/>
    <w:rsid w:val="166A350D"/>
    <w:rsid w:val="171750B3"/>
    <w:rsid w:val="174B2FAF"/>
    <w:rsid w:val="178C54CD"/>
    <w:rsid w:val="17AC6144"/>
    <w:rsid w:val="18AB1F57"/>
    <w:rsid w:val="18C43019"/>
    <w:rsid w:val="19B60BB4"/>
    <w:rsid w:val="19BE5CBA"/>
    <w:rsid w:val="19C57049"/>
    <w:rsid w:val="19D2119D"/>
    <w:rsid w:val="1B862808"/>
    <w:rsid w:val="1D5030CD"/>
    <w:rsid w:val="1F1545CE"/>
    <w:rsid w:val="209239FD"/>
    <w:rsid w:val="20EA3839"/>
    <w:rsid w:val="237C2E6E"/>
    <w:rsid w:val="24A65CC9"/>
    <w:rsid w:val="24E9018F"/>
    <w:rsid w:val="24F515D0"/>
    <w:rsid w:val="24F61ABE"/>
    <w:rsid w:val="252E4EFE"/>
    <w:rsid w:val="26A9474D"/>
    <w:rsid w:val="26D23572"/>
    <w:rsid w:val="27747454"/>
    <w:rsid w:val="28135D84"/>
    <w:rsid w:val="28BB61E6"/>
    <w:rsid w:val="298E38FB"/>
    <w:rsid w:val="2A1B4A63"/>
    <w:rsid w:val="2B85488A"/>
    <w:rsid w:val="2BEF1E49"/>
    <w:rsid w:val="2C73462A"/>
    <w:rsid w:val="2C752B50"/>
    <w:rsid w:val="2C7A0167"/>
    <w:rsid w:val="2C9C6039"/>
    <w:rsid w:val="2D834DF9"/>
    <w:rsid w:val="2DA82AB1"/>
    <w:rsid w:val="2DFD2F11"/>
    <w:rsid w:val="2E894691"/>
    <w:rsid w:val="2EC54D93"/>
    <w:rsid w:val="2F3527BA"/>
    <w:rsid w:val="31E0281A"/>
    <w:rsid w:val="32042137"/>
    <w:rsid w:val="33232C2C"/>
    <w:rsid w:val="333353DE"/>
    <w:rsid w:val="335C2374"/>
    <w:rsid w:val="34480B4A"/>
    <w:rsid w:val="357F2005"/>
    <w:rsid w:val="362E38F2"/>
    <w:rsid w:val="3665543A"/>
    <w:rsid w:val="385735B7"/>
    <w:rsid w:val="386121DB"/>
    <w:rsid w:val="39125312"/>
    <w:rsid w:val="3935088F"/>
    <w:rsid w:val="3AD26F73"/>
    <w:rsid w:val="3B31058A"/>
    <w:rsid w:val="3CE138EA"/>
    <w:rsid w:val="3E740EBA"/>
    <w:rsid w:val="3EAE170D"/>
    <w:rsid w:val="3F7154DC"/>
    <w:rsid w:val="41166258"/>
    <w:rsid w:val="41531294"/>
    <w:rsid w:val="42723962"/>
    <w:rsid w:val="44316F05"/>
    <w:rsid w:val="4656355B"/>
    <w:rsid w:val="47152B0E"/>
    <w:rsid w:val="47535ADD"/>
    <w:rsid w:val="47AA76FA"/>
    <w:rsid w:val="481E59F2"/>
    <w:rsid w:val="48F21359"/>
    <w:rsid w:val="49975A5C"/>
    <w:rsid w:val="49EF7646"/>
    <w:rsid w:val="4AF33166"/>
    <w:rsid w:val="4C2D08FA"/>
    <w:rsid w:val="4D84279B"/>
    <w:rsid w:val="4DDF3E76"/>
    <w:rsid w:val="4DFA480C"/>
    <w:rsid w:val="4E8D742E"/>
    <w:rsid w:val="4E9A6104"/>
    <w:rsid w:val="4F2A7373"/>
    <w:rsid w:val="50104735"/>
    <w:rsid w:val="528172AA"/>
    <w:rsid w:val="539D2684"/>
    <w:rsid w:val="53A45945"/>
    <w:rsid w:val="54B24092"/>
    <w:rsid w:val="567D5FDA"/>
    <w:rsid w:val="56942683"/>
    <w:rsid w:val="575F5CBD"/>
    <w:rsid w:val="580764A3"/>
    <w:rsid w:val="58297617"/>
    <w:rsid w:val="586264E2"/>
    <w:rsid w:val="58A14202"/>
    <w:rsid w:val="58ED7447"/>
    <w:rsid w:val="59035948"/>
    <w:rsid w:val="5934151A"/>
    <w:rsid w:val="59B447B9"/>
    <w:rsid w:val="5A105AE3"/>
    <w:rsid w:val="5A517EA9"/>
    <w:rsid w:val="5A885824"/>
    <w:rsid w:val="5AEB20AC"/>
    <w:rsid w:val="5BFE5E0F"/>
    <w:rsid w:val="5E5B30A5"/>
    <w:rsid w:val="5EAE1426"/>
    <w:rsid w:val="5EFC0DB2"/>
    <w:rsid w:val="5FAF1CA3"/>
    <w:rsid w:val="61AB7E9F"/>
    <w:rsid w:val="61C95527"/>
    <w:rsid w:val="6208223B"/>
    <w:rsid w:val="624509AB"/>
    <w:rsid w:val="625978FB"/>
    <w:rsid w:val="63D25BB7"/>
    <w:rsid w:val="63DA0F0F"/>
    <w:rsid w:val="63EC52B4"/>
    <w:rsid w:val="63EE6769"/>
    <w:rsid w:val="645B1C33"/>
    <w:rsid w:val="64B11C70"/>
    <w:rsid w:val="67002A3B"/>
    <w:rsid w:val="670047E9"/>
    <w:rsid w:val="67A7478B"/>
    <w:rsid w:val="67DA14DE"/>
    <w:rsid w:val="69164A76"/>
    <w:rsid w:val="695B21AB"/>
    <w:rsid w:val="697B284D"/>
    <w:rsid w:val="6A8676FB"/>
    <w:rsid w:val="6AA83E56"/>
    <w:rsid w:val="6B0118DC"/>
    <w:rsid w:val="6B6C4C39"/>
    <w:rsid w:val="6E040A57"/>
    <w:rsid w:val="6E407D83"/>
    <w:rsid w:val="6EB20BE8"/>
    <w:rsid w:val="6F0B5587"/>
    <w:rsid w:val="6F1928EC"/>
    <w:rsid w:val="6F597EB9"/>
    <w:rsid w:val="709F5700"/>
    <w:rsid w:val="70F07EA1"/>
    <w:rsid w:val="71F65166"/>
    <w:rsid w:val="71FE04BF"/>
    <w:rsid w:val="734B14E2"/>
    <w:rsid w:val="73FB7759"/>
    <w:rsid w:val="74A4463B"/>
    <w:rsid w:val="74D30CB3"/>
    <w:rsid w:val="75175FAA"/>
    <w:rsid w:val="75FE283B"/>
    <w:rsid w:val="767B3203"/>
    <w:rsid w:val="77B77E41"/>
    <w:rsid w:val="79834D34"/>
    <w:rsid w:val="7B93012B"/>
    <w:rsid w:val="7BFC175C"/>
    <w:rsid w:val="7C835849"/>
    <w:rsid w:val="7CFF197D"/>
    <w:rsid w:val="7D5F5445"/>
    <w:rsid w:val="7DB12889"/>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120" w:after="120"/>
      <w:jc w:val="center"/>
      <w:outlineLvl w:val="0"/>
    </w:pPr>
    <w:rPr>
      <w:rFonts w:ascii="黑体" w:eastAsia="黑体"/>
      <w:kern w:val="44"/>
      <w:sz w:val="36"/>
    </w:rPr>
  </w:style>
  <w:style w:type="paragraph" w:styleId="3">
    <w:name w:val="heading 2"/>
    <w:basedOn w:val="1"/>
    <w:next w:val="4"/>
    <w:qFormat/>
    <w:uiPriority w:val="0"/>
    <w:pPr>
      <w:keepNext/>
      <w:keepLines/>
      <w:spacing w:before="240" w:after="100" w:afterAutospacing="1" w:line="360" w:lineRule="auto"/>
      <w:ind w:firstLine="480" w:firstLineChars="200"/>
      <w:outlineLvl w:val="1"/>
    </w:pPr>
    <w:rPr>
      <w:rFonts w:ascii="黑体" w:hAnsi="宋体"/>
      <w:b/>
    </w:rPr>
  </w:style>
  <w:style w:type="character" w:default="1" w:styleId="22">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link w:val="36"/>
    <w:autoRedefine/>
    <w:unhideWhenUsed/>
    <w:qFormat/>
    <w:uiPriority w:val="99"/>
    <w:pPr>
      <w:spacing w:line="540" w:lineRule="exact"/>
      <w:ind w:firstLine="640" w:firstLineChars="200"/>
    </w:pPr>
    <w:rPr>
      <w:rFonts w:ascii="仿宋_GB2312" w:hAnsi="仿宋_GB2312" w:eastAsia="仿宋_GB2312" w:cs="仿宋_GB2312"/>
      <w:sz w:val="32"/>
      <w:szCs w:val="32"/>
    </w:rPr>
  </w:style>
  <w:style w:type="paragraph" w:styleId="5">
    <w:name w:val="Normal Indent"/>
    <w:basedOn w:val="1"/>
    <w:qFormat/>
    <w:uiPriority w:val="0"/>
    <w:pPr>
      <w:ind w:firstLine="420"/>
    </w:pPr>
  </w:style>
  <w:style w:type="paragraph" w:styleId="6">
    <w:name w:val="annotation text"/>
    <w:basedOn w:val="1"/>
    <w:link w:val="34"/>
    <w:autoRedefine/>
    <w:unhideWhenUsed/>
    <w:qFormat/>
    <w:uiPriority w:val="99"/>
    <w:pPr>
      <w:jc w:val="left"/>
    </w:pPr>
    <w:rPr>
      <w:rFonts w:ascii="等线" w:hAnsi="等线" w:eastAsia="等线" w:cs="Times New Roman"/>
      <w:szCs w:val="22"/>
    </w:rPr>
  </w:style>
  <w:style w:type="paragraph" w:styleId="7">
    <w:name w:val="Body Text"/>
    <w:basedOn w:val="1"/>
    <w:link w:val="35"/>
    <w:autoRedefine/>
    <w:qFormat/>
    <w:uiPriority w:val="0"/>
    <w:rPr>
      <w:rFonts w:ascii="宋体" w:hAnsi="Times New Roman" w:eastAsia="宋体" w:cs="Times New Roman"/>
      <w:sz w:val="28"/>
      <w:szCs w:val="22"/>
    </w:rPr>
  </w:style>
  <w:style w:type="paragraph" w:styleId="8">
    <w:name w:val="Balloon Text"/>
    <w:basedOn w:val="1"/>
    <w:link w:val="37"/>
    <w:autoRedefine/>
    <w:unhideWhenUsed/>
    <w:qFormat/>
    <w:uiPriority w:val="99"/>
    <w:rPr>
      <w:rFonts w:ascii="等线" w:hAnsi="等线" w:eastAsia="等线" w:cs="Times New Roman"/>
      <w:sz w:val="18"/>
      <w:szCs w:val="18"/>
    </w:rPr>
  </w:style>
  <w:style w:type="paragraph" w:styleId="9">
    <w:name w:val="footer"/>
    <w:basedOn w:val="1"/>
    <w:link w:val="31"/>
    <w:qFormat/>
    <w:uiPriority w:val="99"/>
    <w:pPr>
      <w:tabs>
        <w:tab w:val="center" w:pos="4153"/>
        <w:tab w:val="right" w:pos="8306"/>
      </w:tabs>
      <w:snapToGrid w:val="0"/>
      <w:jc w:val="left"/>
    </w:pPr>
    <w:rPr>
      <w:sz w:val="18"/>
      <w:szCs w:val="18"/>
    </w:rPr>
  </w:style>
  <w:style w:type="paragraph" w:styleId="10">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tabs>
        <w:tab w:val="right" w:leader="dot" w:pos="8880"/>
      </w:tabs>
      <w:spacing w:line="360" w:lineRule="auto"/>
      <w:ind w:right="19" w:rightChars="8"/>
    </w:pPr>
    <w:rPr>
      <w:rFonts w:hAnsi="宋体"/>
      <w:b/>
      <w:snapToGrid w:val="0"/>
      <w:sz w:val="28"/>
      <w:szCs w:val="36"/>
    </w:rPr>
  </w:style>
  <w:style w:type="paragraph" w:styleId="12">
    <w:name w:val="toc 2"/>
    <w:basedOn w:val="1"/>
    <w:next w:val="1"/>
    <w:qFormat/>
    <w:uiPriority w:val="39"/>
    <w:pPr>
      <w:tabs>
        <w:tab w:val="right" w:leader="dot" w:pos="8930"/>
      </w:tabs>
      <w:spacing w:line="360" w:lineRule="auto"/>
      <w:ind w:right="-29" w:rightChars="-12" w:firstLine="425" w:firstLineChars="177"/>
    </w:pPr>
    <w:rPr>
      <w:rFonts w:hAnsi="宋体"/>
      <w:snapToGrid w:val="0"/>
      <w:szCs w:val="28"/>
    </w:rPr>
  </w:style>
  <w:style w:type="paragraph" w:styleId="13">
    <w:name w:val="Body Text 2"/>
    <w:basedOn w:val="1"/>
    <w:unhideWhenUsed/>
    <w:qFormat/>
    <w:uiPriority w:val="99"/>
    <w:pPr>
      <w:spacing w:after="120" w:line="480" w:lineRule="auto"/>
    </w:pPr>
  </w:style>
  <w:style w:type="paragraph" w:styleId="14">
    <w:name w:val="Normal (Web)"/>
    <w:basedOn w:val="1"/>
    <w:autoRedefine/>
    <w:unhideWhenUsed/>
    <w:qFormat/>
    <w:uiPriority w:val="99"/>
    <w:pPr>
      <w:spacing w:after="225" w:line="360" w:lineRule="auto"/>
      <w:ind w:firstLine="420"/>
      <w:jc w:val="left"/>
    </w:pPr>
    <w:rPr>
      <w:rFonts w:ascii="等线" w:hAnsi="等线" w:eastAsia="等线" w:cs="Times New Roman"/>
      <w:kern w:val="0"/>
      <w:sz w:val="24"/>
      <w:szCs w:val="22"/>
    </w:rPr>
  </w:style>
  <w:style w:type="paragraph" w:styleId="15">
    <w:name w:val="Title"/>
    <w:basedOn w:val="1"/>
    <w:next w:val="1"/>
    <w:link w:val="33"/>
    <w:qFormat/>
    <w:uiPriority w:val="0"/>
    <w:pPr>
      <w:spacing w:before="240" w:after="60"/>
      <w:jc w:val="center"/>
      <w:outlineLvl w:val="0"/>
    </w:pPr>
    <w:rPr>
      <w:rFonts w:asciiTheme="majorHAnsi" w:hAnsiTheme="majorHAnsi" w:eastAsiaTheme="majorEastAsia" w:cstheme="majorBidi"/>
      <w:b/>
      <w:bCs/>
      <w:sz w:val="32"/>
      <w:szCs w:val="32"/>
    </w:rPr>
  </w:style>
  <w:style w:type="paragraph" w:styleId="16">
    <w:name w:val="annotation subject"/>
    <w:basedOn w:val="6"/>
    <w:next w:val="6"/>
    <w:link w:val="38"/>
    <w:autoRedefine/>
    <w:unhideWhenUsed/>
    <w:qFormat/>
    <w:uiPriority w:val="99"/>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9">
    <w:name w:val="Medium Grid 3 Accent 1"/>
    <w:basedOn w:val="17"/>
    <w:autoRedefine/>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0DCF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4472C4"/>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472C4"/>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4472C4"/>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4472C4"/>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1B8E1"/>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1B8E1"/>
      </w:tcPr>
    </w:tblStylePr>
  </w:style>
  <w:style w:type="table" w:styleId="20">
    <w:name w:val="Medium Grid 3 Accent 2"/>
    <w:basedOn w:val="17"/>
    <w:autoRedefine/>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ADECC"/>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ED7D31"/>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ED7D31"/>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ED7D31"/>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ED7D31"/>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F6BE98"/>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F6BE98"/>
      </w:tcPr>
    </w:tblStylePr>
  </w:style>
  <w:style w:type="table" w:styleId="21">
    <w:name w:val="Medium Grid 3 Accent 5"/>
    <w:basedOn w:val="17"/>
    <w:autoRedefine/>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6E6F4"/>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5B9BD5"/>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5B9BD5"/>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5B9BD5"/>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5B9BD5"/>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DCDEA"/>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DCDEA"/>
      </w:tcPr>
    </w:tblStylePr>
  </w:style>
  <w:style w:type="character" w:styleId="23">
    <w:name w:val="page number"/>
    <w:qFormat/>
    <w:uiPriority w:val="0"/>
  </w:style>
  <w:style w:type="character" w:styleId="24">
    <w:name w:val="FollowedHyperlink"/>
    <w:basedOn w:val="22"/>
    <w:unhideWhenUsed/>
    <w:qFormat/>
    <w:uiPriority w:val="99"/>
    <w:rPr>
      <w:color w:val="800080"/>
      <w:u w:val="single"/>
    </w:rPr>
  </w:style>
  <w:style w:type="character" w:styleId="25">
    <w:name w:val="Emphasis"/>
    <w:basedOn w:val="22"/>
    <w:qFormat/>
    <w:uiPriority w:val="20"/>
    <w:rPr>
      <w:i/>
      <w:iCs/>
    </w:rPr>
  </w:style>
  <w:style w:type="character" w:styleId="26">
    <w:name w:val="Hyperlink"/>
    <w:basedOn w:val="22"/>
    <w:qFormat/>
    <w:uiPriority w:val="99"/>
    <w:rPr>
      <w:color w:val="0000FF"/>
      <w:u w:val="single"/>
    </w:rPr>
  </w:style>
  <w:style w:type="character" w:styleId="27">
    <w:name w:val="annotation reference"/>
    <w:basedOn w:val="22"/>
    <w:autoRedefine/>
    <w:unhideWhenUsed/>
    <w:qFormat/>
    <w:uiPriority w:val="99"/>
    <w:rPr>
      <w:sz w:val="21"/>
      <w:szCs w:val="21"/>
    </w:rPr>
  </w:style>
  <w:style w:type="paragraph" w:styleId="28">
    <w:name w:val="List Paragraph"/>
    <w:basedOn w:val="1"/>
    <w:qFormat/>
    <w:uiPriority w:val="34"/>
    <w:pPr>
      <w:ind w:firstLine="420" w:firstLineChars="200"/>
    </w:pPr>
  </w:style>
  <w:style w:type="table" w:customStyle="1" w:styleId="29">
    <w:name w:val="网格表 1 浅色 - 着色 41"/>
    <w:basedOn w:val="17"/>
    <w:qFormat/>
    <w:uiPriority w:val="46"/>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character" w:customStyle="1" w:styleId="30">
    <w:name w:val="页眉 字符"/>
    <w:basedOn w:val="22"/>
    <w:link w:val="10"/>
    <w:qFormat/>
    <w:uiPriority w:val="99"/>
    <w:rPr>
      <w:kern w:val="2"/>
      <w:sz w:val="18"/>
      <w:szCs w:val="18"/>
    </w:rPr>
  </w:style>
  <w:style w:type="character" w:customStyle="1" w:styleId="31">
    <w:name w:val="页脚 字符"/>
    <w:basedOn w:val="22"/>
    <w:link w:val="9"/>
    <w:qFormat/>
    <w:uiPriority w:val="99"/>
    <w:rPr>
      <w:kern w:val="2"/>
      <w:sz w:val="18"/>
      <w:szCs w:val="18"/>
    </w:rPr>
  </w:style>
  <w:style w:type="table" w:customStyle="1" w:styleId="32">
    <w:name w:val="网格表 1 浅色 - 着色 11"/>
    <w:basedOn w:val="17"/>
    <w:qFormat/>
    <w:uiPriority w:val="46"/>
    <w:tblPr>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2" w:space="0"/>
        </w:tcBorders>
      </w:tcPr>
    </w:tblStylePr>
    <w:tblStylePr w:type="firstCol">
      <w:rPr>
        <w:b/>
        <w:bCs/>
      </w:rPr>
    </w:tblStylePr>
    <w:tblStylePr w:type="lastCol">
      <w:rPr>
        <w:b/>
        <w:bCs/>
      </w:rPr>
    </w:tblStylePr>
  </w:style>
  <w:style w:type="character" w:customStyle="1" w:styleId="33">
    <w:name w:val="标题 字符"/>
    <w:basedOn w:val="22"/>
    <w:link w:val="15"/>
    <w:qFormat/>
    <w:uiPriority w:val="0"/>
    <w:rPr>
      <w:rFonts w:asciiTheme="majorHAnsi" w:hAnsiTheme="majorHAnsi" w:eastAsiaTheme="majorEastAsia" w:cstheme="majorBidi"/>
      <w:b/>
      <w:bCs/>
      <w:kern w:val="2"/>
      <w:sz w:val="32"/>
      <w:szCs w:val="32"/>
    </w:rPr>
  </w:style>
  <w:style w:type="character" w:customStyle="1" w:styleId="34">
    <w:name w:val="批注文字 字符"/>
    <w:basedOn w:val="22"/>
    <w:link w:val="6"/>
    <w:qFormat/>
    <w:uiPriority w:val="99"/>
    <w:rPr>
      <w:rFonts w:ascii="等线" w:hAnsi="等线" w:eastAsia="等线"/>
      <w:kern w:val="2"/>
      <w:sz w:val="21"/>
      <w:szCs w:val="22"/>
    </w:rPr>
  </w:style>
  <w:style w:type="character" w:customStyle="1" w:styleId="35">
    <w:name w:val="正文文本 字符"/>
    <w:basedOn w:val="22"/>
    <w:link w:val="7"/>
    <w:qFormat/>
    <w:uiPriority w:val="0"/>
    <w:rPr>
      <w:rFonts w:ascii="宋体"/>
      <w:kern w:val="2"/>
      <w:sz w:val="28"/>
      <w:szCs w:val="22"/>
    </w:rPr>
  </w:style>
  <w:style w:type="character" w:customStyle="1" w:styleId="36">
    <w:name w:val="正文文本缩进 字符"/>
    <w:basedOn w:val="22"/>
    <w:link w:val="4"/>
    <w:qFormat/>
    <w:uiPriority w:val="99"/>
    <w:rPr>
      <w:rFonts w:ascii="仿宋_GB2312" w:hAnsi="仿宋_GB2312" w:eastAsia="仿宋_GB2312" w:cs="仿宋_GB2312"/>
      <w:kern w:val="2"/>
      <w:sz w:val="32"/>
      <w:szCs w:val="32"/>
    </w:rPr>
  </w:style>
  <w:style w:type="character" w:customStyle="1" w:styleId="37">
    <w:name w:val="批注框文本 字符"/>
    <w:basedOn w:val="22"/>
    <w:link w:val="8"/>
    <w:qFormat/>
    <w:uiPriority w:val="99"/>
    <w:rPr>
      <w:rFonts w:ascii="等线" w:hAnsi="等线" w:eastAsia="等线"/>
      <w:kern w:val="2"/>
      <w:sz w:val="18"/>
      <w:szCs w:val="18"/>
    </w:rPr>
  </w:style>
  <w:style w:type="character" w:customStyle="1" w:styleId="38">
    <w:name w:val="批注主题 字符"/>
    <w:basedOn w:val="34"/>
    <w:link w:val="16"/>
    <w:qFormat/>
    <w:uiPriority w:val="99"/>
    <w:rPr>
      <w:rFonts w:ascii="等线" w:hAnsi="等线" w:eastAsia="等线"/>
      <w:b/>
      <w:bCs/>
      <w:kern w:val="2"/>
      <w:sz w:val="21"/>
      <w:szCs w:val="22"/>
    </w:rPr>
  </w:style>
  <w:style w:type="character" w:customStyle="1" w:styleId="39">
    <w:name w:val="font11"/>
    <w:basedOn w:val="22"/>
    <w:autoRedefine/>
    <w:qFormat/>
    <w:uiPriority w:val="0"/>
    <w:rPr>
      <w:rFonts w:hint="default" w:ascii="仿宋_GB2312" w:eastAsia="仿宋_GB2312" w:cs="仿宋_GB2312"/>
      <w:b/>
      <w:bCs/>
      <w:color w:val="000000"/>
      <w:sz w:val="21"/>
      <w:szCs w:val="21"/>
      <w:u w:val="none"/>
    </w:rPr>
  </w:style>
  <w:style w:type="paragraph" w:customStyle="1" w:styleId="40">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41">
    <w:name w:val="font5"/>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42">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43">
    <w:name w:val="font7"/>
    <w:basedOn w:val="1"/>
    <w:qFormat/>
    <w:uiPriority w:val="0"/>
    <w:pPr>
      <w:widowControl/>
      <w:spacing w:before="100" w:beforeAutospacing="1" w:after="100" w:afterAutospacing="1"/>
      <w:jc w:val="left"/>
    </w:pPr>
    <w:rPr>
      <w:rFonts w:ascii="Courier New" w:hAnsi="Courier New" w:eastAsia="宋体" w:cs="Courier New"/>
      <w:kern w:val="0"/>
      <w:sz w:val="18"/>
      <w:szCs w:val="18"/>
    </w:rPr>
  </w:style>
  <w:style w:type="paragraph" w:customStyle="1" w:styleId="44">
    <w:name w:val="xl206"/>
    <w:basedOn w:val="1"/>
    <w:qFormat/>
    <w:uiPriority w:val="0"/>
    <w:pPr>
      <w:widowControl/>
      <w:spacing w:before="100" w:beforeAutospacing="1" w:after="100" w:afterAutospacing="1"/>
      <w:jc w:val="left"/>
      <w:textAlignment w:val="center"/>
    </w:pPr>
    <w:rPr>
      <w:rFonts w:ascii="宋体" w:hAnsi="宋体" w:eastAsia="宋体" w:cs="宋体"/>
      <w:b/>
      <w:bCs/>
      <w:kern w:val="0"/>
      <w:sz w:val="20"/>
      <w:szCs w:val="20"/>
    </w:rPr>
  </w:style>
  <w:style w:type="paragraph" w:customStyle="1" w:styleId="45">
    <w:name w:val="xl207"/>
    <w:basedOn w:val="1"/>
    <w:qFormat/>
    <w:uiPriority w:val="0"/>
    <w:pPr>
      <w:widowControl/>
      <w:spacing w:before="100" w:beforeAutospacing="1" w:after="100" w:afterAutospacing="1"/>
      <w:jc w:val="center"/>
      <w:textAlignment w:val="center"/>
    </w:pPr>
    <w:rPr>
      <w:rFonts w:ascii="宋体" w:hAnsi="宋体" w:eastAsia="宋体" w:cs="宋体"/>
      <w:kern w:val="0"/>
      <w:sz w:val="20"/>
      <w:szCs w:val="20"/>
    </w:rPr>
  </w:style>
  <w:style w:type="paragraph" w:customStyle="1" w:styleId="46">
    <w:name w:val="xl208"/>
    <w:basedOn w:val="1"/>
    <w:qFormat/>
    <w:uiPriority w:val="0"/>
    <w:pPr>
      <w:widowControl/>
      <w:spacing w:before="100" w:beforeAutospacing="1" w:after="100" w:afterAutospacing="1"/>
      <w:jc w:val="left"/>
      <w:textAlignment w:val="center"/>
    </w:pPr>
    <w:rPr>
      <w:rFonts w:ascii="宋体" w:hAnsi="宋体" w:eastAsia="宋体" w:cs="宋体"/>
      <w:kern w:val="0"/>
      <w:sz w:val="20"/>
      <w:szCs w:val="20"/>
    </w:rPr>
  </w:style>
  <w:style w:type="paragraph" w:customStyle="1" w:styleId="47">
    <w:name w:val="xl209"/>
    <w:basedOn w:val="1"/>
    <w:qFormat/>
    <w:uiPriority w:val="0"/>
    <w:pPr>
      <w:widowControl/>
      <w:shd w:val="clear" w:color="000000" w:fill="FFCC99"/>
      <w:spacing w:before="100" w:beforeAutospacing="1" w:after="100" w:afterAutospacing="1"/>
      <w:jc w:val="left"/>
      <w:textAlignment w:val="center"/>
    </w:pPr>
    <w:rPr>
      <w:rFonts w:ascii="宋体" w:hAnsi="宋体" w:eastAsia="宋体" w:cs="宋体"/>
      <w:kern w:val="0"/>
      <w:sz w:val="20"/>
      <w:szCs w:val="20"/>
    </w:rPr>
  </w:style>
  <w:style w:type="paragraph" w:customStyle="1" w:styleId="48">
    <w:name w:val="xl210"/>
    <w:basedOn w:val="1"/>
    <w:qFormat/>
    <w:uiPriority w:val="0"/>
    <w:pPr>
      <w:widowControl/>
      <w:spacing w:before="100" w:beforeAutospacing="1" w:after="100" w:afterAutospacing="1"/>
      <w:jc w:val="left"/>
      <w:textAlignment w:val="center"/>
    </w:pPr>
    <w:rPr>
      <w:rFonts w:ascii="宋体" w:hAnsi="宋体" w:eastAsia="宋体" w:cs="宋体"/>
      <w:kern w:val="0"/>
      <w:sz w:val="20"/>
      <w:szCs w:val="20"/>
    </w:rPr>
  </w:style>
  <w:style w:type="paragraph" w:customStyle="1" w:styleId="49">
    <w:name w:val="xl211"/>
    <w:basedOn w:val="1"/>
    <w:qFormat/>
    <w:uiPriority w:val="0"/>
    <w:pPr>
      <w:widowControl/>
      <w:shd w:val="clear" w:color="000000" w:fill="CCFFFF"/>
      <w:spacing w:before="100" w:beforeAutospacing="1" w:after="100" w:afterAutospacing="1"/>
      <w:jc w:val="center"/>
      <w:textAlignment w:val="center"/>
    </w:pPr>
    <w:rPr>
      <w:rFonts w:ascii="宋体" w:hAnsi="宋体" w:eastAsia="宋体" w:cs="宋体"/>
      <w:kern w:val="0"/>
      <w:sz w:val="20"/>
      <w:szCs w:val="20"/>
    </w:rPr>
  </w:style>
  <w:style w:type="paragraph" w:customStyle="1" w:styleId="50">
    <w:name w:val="xl212"/>
    <w:basedOn w:val="1"/>
    <w:qFormat/>
    <w:uiPriority w:val="0"/>
    <w:pPr>
      <w:widowControl/>
      <w:shd w:val="clear" w:color="000000" w:fill="CCFFFF"/>
      <w:spacing w:before="100" w:beforeAutospacing="1" w:after="100" w:afterAutospacing="1"/>
      <w:jc w:val="center"/>
      <w:textAlignment w:val="center"/>
    </w:pPr>
    <w:rPr>
      <w:rFonts w:ascii="宋体" w:hAnsi="宋体" w:eastAsia="宋体" w:cs="宋体"/>
      <w:kern w:val="0"/>
      <w:sz w:val="20"/>
      <w:szCs w:val="20"/>
    </w:rPr>
  </w:style>
  <w:style w:type="paragraph" w:customStyle="1" w:styleId="51">
    <w:name w:val="xl213"/>
    <w:basedOn w:val="1"/>
    <w:qFormat/>
    <w:uiPriority w:val="0"/>
    <w:pPr>
      <w:widowControl/>
      <w:shd w:val="clear" w:color="000000" w:fill="CCFFFF"/>
      <w:spacing w:before="100" w:beforeAutospacing="1" w:after="100" w:afterAutospacing="1"/>
      <w:jc w:val="left"/>
      <w:textAlignment w:val="center"/>
    </w:pPr>
    <w:rPr>
      <w:rFonts w:ascii="宋体" w:hAnsi="宋体" w:eastAsia="宋体" w:cs="宋体"/>
      <w:kern w:val="0"/>
      <w:sz w:val="20"/>
      <w:szCs w:val="20"/>
    </w:rPr>
  </w:style>
  <w:style w:type="paragraph" w:customStyle="1" w:styleId="5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53">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54">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55">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0"/>
      <w:szCs w:val="20"/>
    </w:rPr>
  </w:style>
  <w:style w:type="paragraph" w:customStyle="1" w:styleId="56">
    <w:name w:val="xl2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57">
    <w:name w:val="xl219"/>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left"/>
      <w:textAlignment w:val="center"/>
    </w:pPr>
    <w:rPr>
      <w:rFonts w:ascii="宋体" w:hAnsi="宋体" w:eastAsia="宋体" w:cs="宋体"/>
      <w:kern w:val="0"/>
      <w:sz w:val="20"/>
      <w:szCs w:val="20"/>
    </w:rPr>
  </w:style>
  <w:style w:type="paragraph" w:customStyle="1" w:styleId="58">
    <w:name w:val="xl220"/>
    <w:basedOn w:val="1"/>
    <w:qFormat/>
    <w:uiPriority w:val="0"/>
    <w:pPr>
      <w:widowControl/>
      <w:shd w:val="clear" w:color="000000" w:fill="FFCC99"/>
      <w:spacing w:before="100" w:beforeAutospacing="1" w:after="100" w:afterAutospacing="1"/>
      <w:jc w:val="left"/>
      <w:textAlignment w:val="center"/>
    </w:pPr>
    <w:rPr>
      <w:rFonts w:ascii="宋体" w:hAnsi="宋体" w:eastAsia="宋体" w:cs="宋体"/>
      <w:kern w:val="0"/>
      <w:sz w:val="20"/>
      <w:szCs w:val="20"/>
    </w:rPr>
  </w:style>
  <w:style w:type="paragraph" w:customStyle="1" w:styleId="59">
    <w:name w:val="xl221"/>
    <w:basedOn w:val="1"/>
    <w:qFormat/>
    <w:uiPriority w:val="0"/>
    <w:pPr>
      <w:widowControl/>
      <w:pBdr>
        <w:top w:val="single" w:color="auto" w:sz="4" w:space="0"/>
      </w:pBdr>
      <w:shd w:val="clear" w:color="000000" w:fill="FFCC99"/>
      <w:spacing w:before="100" w:beforeAutospacing="1" w:after="100" w:afterAutospacing="1"/>
      <w:jc w:val="left"/>
      <w:textAlignment w:val="center"/>
    </w:pPr>
    <w:rPr>
      <w:rFonts w:ascii="宋体" w:hAnsi="宋体" w:eastAsia="宋体" w:cs="宋体"/>
      <w:kern w:val="0"/>
      <w:sz w:val="20"/>
      <w:szCs w:val="20"/>
    </w:rPr>
  </w:style>
  <w:style w:type="paragraph" w:customStyle="1" w:styleId="60">
    <w:name w:val="xl222"/>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textAlignment w:val="center"/>
    </w:pPr>
    <w:rPr>
      <w:rFonts w:ascii="宋体" w:hAnsi="宋体" w:eastAsia="宋体" w:cs="宋体"/>
      <w:kern w:val="0"/>
      <w:sz w:val="20"/>
      <w:szCs w:val="20"/>
    </w:rPr>
  </w:style>
  <w:style w:type="paragraph" w:customStyle="1" w:styleId="61">
    <w:name w:val="xl223"/>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0"/>
      <w:szCs w:val="20"/>
    </w:rPr>
  </w:style>
  <w:style w:type="paragraph" w:customStyle="1" w:styleId="62">
    <w:name w:val="xl224"/>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right"/>
      <w:textAlignment w:val="center"/>
    </w:pPr>
    <w:rPr>
      <w:rFonts w:ascii="宋体" w:hAnsi="宋体" w:eastAsia="宋体" w:cs="宋体"/>
      <w:kern w:val="0"/>
      <w:sz w:val="20"/>
      <w:szCs w:val="20"/>
    </w:rPr>
  </w:style>
  <w:style w:type="paragraph" w:customStyle="1" w:styleId="63">
    <w:name w:val="xl2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64">
    <w:name w:val="xl226"/>
    <w:basedOn w:val="1"/>
    <w:qFormat/>
    <w:uiPriority w:val="0"/>
    <w:pPr>
      <w:widowControl/>
      <w:shd w:val="clear" w:color="000000" w:fill="CCFFFF"/>
      <w:spacing w:before="100" w:beforeAutospacing="1" w:after="100" w:afterAutospacing="1"/>
      <w:jc w:val="left"/>
      <w:textAlignment w:val="center"/>
    </w:pPr>
    <w:rPr>
      <w:rFonts w:ascii="宋体" w:hAnsi="宋体" w:eastAsia="宋体" w:cs="宋体"/>
      <w:kern w:val="0"/>
      <w:sz w:val="20"/>
      <w:szCs w:val="20"/>
    </w:rPr>
  </w:style>
  <w:style w:type="paragraph" w:customStyle="1" w:styleId="65">
    <w:name w:val="xl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66">
    <w:name w:val="xl228"/>
    <w:basedOn w:val="1"/>
    <w:qFormat/>
    <w:uiPriority w:val="0"/>
    <w:pPr>
      <w:widowControl/>
      <w:pBdr>
        <w:top w:val="single" w:color="auto" w:sz="4" w:space="0"/>
        <w:left w:val="single" w:color="auto" w:sz="4" w:space="0"/>
        <w:bottom w:val="single" w:color="auto" w:sz="4" w:space="0"/>
        <w:right w:val="single" w:color="auto" w:sz="4" w:space="0"/>
      </w:pBdr>
      <w:shd w:val="clear" w:color="000000" w:fill="FF99CC"/>
      <w:spacing w:before="100" w:beforeAutospacing="1" w:after="100" w:afterAutospacing="1"/>
      <w:jc w:val="right"/>
      <w:textAlignment w:val="center"/>
    </w:pPr>
    <w:rPr>
      <w:rFonts w:ascii="宋体" w:hAnsi="宋体" w:eastAsia="宋体" w:cs="宋体"/>
      <w:kern w:val="0"/>
      <w:sz w:val="20"/>
      <w:szCs w:val="20"/>
    </w:rPr>
  </w:style>
  <w:style w:type="paragraph" w:customStyle="1" w:styleId="67">
    <w:name w:val="xl229"/>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left"/>
      <w:textAlignment w:val="center"/>
    </w:pPr>
    <w:rPr>
      <w:rFonts w:ascii="宋体" w:hAnsi="宋体" w:eastAsia="宋体" w:cs="宋体"/>
      <w:kern w:val="0"/>
      <w:sz w:val="20"/>
      <w:szCs w:val="20"/>
    </w:rPr>
  </w:style>
  <w:style w:type="paragraph" w:customStyle="1" w:styleId="68">
    <w:name w:val="xl230"/>
    <w:basedOn w:val="1"/>
    <w:qFormat/>
    <w:uiPriority w:val="0"/>
    <w:pPr>
      <w:widowControl/>
      <w:pBdr>
        <w:top w:val="single" w:color="auto" w:sz="4" w:space="0"/>
        <w:bottom w:val="single" w:color="auto" w:sz="4" w:space="0"/>
        <w:right w:val="single" w:color="auto" w:sz="4" w:space="0"/>
      </w:pBdr>
      <w:shd w:val="clear" w:color="000000" w:fill="CCFFFF"/>
      <w:spacing w:before="100" w:beforeAutospacing="1" w:after="100" w:afterAutospacing="1"/>
      <w:jc w:val="center"/>
      <w:textAlignment w:val="center"/>
    </w:pPr>
    <w:rPr>
      <w:rFonts w:ascii="宋体" w:hAnsi="宋体" w:eastAsia="宋体" w:cs="宋体"/>
      <w:kern w:val="0"/>
      <w:sz w:val="20"/>
      <w:szCs w:val="20"/>
    </w:rPr>
  </w:style>
  <w:style w:type="paragraph" w:customStyle="1" w:styleId="69">
    <w:name w:val="xl231"/>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right"/>
      <w:textAlignment w:val="center"/>
    </w:pPr>
    <w:rPr>
      <w:rFonts w:ascii="宋体" w:hAnsi="宋体" w:eastAsia="宋体" w:cs="宋体"/>
      <w:kern w:val="0"/>
      <w:sz w:val="20"/>
      <w:szCs w:val="20"/>
    </w:rPr>
  </w:style>
  <w:style w:type="paragraph" w:customStyle="1" w:styleId="70">
    <w:name w:val="xl232"/>
    <w:basedOn w:val="1"/>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left"/>
      <w:textAlignment w:val="center"/>
    </w:pPr>
    <w:rPr>
      <w:rFonts w:ascii="宋体" w:hAnsi="宋体" w:eastAsia="宋体" w:cs="宋体"/>
      <w:kern w:val="0"/>
      <w:sz w:val="20"/>
      <w:szCs w:val="20"/>
    </w:rPr>
  </w:style>
  <w:style w:type="paragraph" w:customStyle="1" w:styleId="71">
    <w:name w:val="xl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72">
    <w:name w:val="xl234"/>
    <w:basedOn w:val="1"/>
    <w:qFormat/>
    <w:uiPriority w:val="0"/>
    <w:pPr>
      <w:widowControl/>
      <w:shd w:val="clear" w:color="000000" w:fill="CCFFFF"/>
      <w:spacing w:before="100" w:beforeAutospacing="1" w:after="100" w:afterAutospacing="1"/>
      <w:jc w:val="center"/>
      <w:textAlignment w:val="center"/>
    </w:pPr>
    <w:rPr>
      <w:rFonts w:ascii="黑体" w:hAnsi="黑体" w:eastAsia="黑体" w:cs="宋体"/>
      <w:kern w:val="0"/>
      <w:sz w:val="36"/>
      <w:szCs w:val="36"/>
    </w:rPr>
  </w:style>
  <w:style w:type="paragraph" w:customStyle="1" w:styleId="73">
    <w:name w:val="xl235"/>
    <w:basedOn w:val="1"/>
    <w:qFormat/>
    <w:uiPriority w:val="0"/>
    <w:pPr>
      <w:widowControl/>
      <w:pBdr>
        <w:top w:val="single" w:color="auto" w:sz="4" w:space="0"/>
      </w:pBdr>
      <w:shd w:val="clear" w:color="000000" w:fill="FFCC99"/>
      <w:spacing w:before="100" w:beforeAutospacing="1" w:after="100" w:afterAutospacing="1"/>
      <w:jc w:val="center"/>
      <w:textAlignment w:val="center"/>
    </w:pPr>
    <w:rPr>
      <w:rFonts w:ascii="宋体" w:hAnsi="宋体" w:eastAsia="宋体" w:cs="宋体"/>
      <w:kern w:val="0"/>
      <w:sz w:val="20"/>
      <w:szCs w:val="20"/>
    </w:rPr>
  </w:style>
  <w:style w:type="paragraph" w:customStyle="1" w:styleId="74">
    <w:name w:val="xl236"/>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center"/>
      <w:textAlignment w:val="center"/>
    </w:pPr>
    <w:rPr>
      <w:rFonts w:ascii="宋体" w:hAnsi="宋体" w:eastAsia="宋体" w:cs="宋体"/>
      <w:kern w:val="0"/>
      <w:sz w:val="20"/>
      <w:szCs w:val="20"/>
    </w:rPr>
  </w:style>
  <w:style w:type="paragraph" w:customStyle="1" w:styleId="75">
    <w:name w:val="xl237"/>
    <w:basedOn w:val="1"/>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center"/>
      <w:textAlignment w:val="center"/>
    </w:pPr>
    <w:rPr>
      <w:rFonts w:ascii="宋体" w:hAnsi="宋体" w:eastAsia="宋体" w:cs="宋体"/>
      <w:kern w:val="0"/>
      <w:sz w:val="20"/>
      <w:szCs w:val="20"/>
    </w:rPr>
  </w:style>
  <w:style w:type="paragraph" w:customStyle="1" w:styleId="76">
    <w:name w:val="xl238"/>
    <w:basedOn w:val="1"/>
    <w:qFormat/>
    <w:uiPriority w:val="0"/>
    <w:pPr>
      <w:widowControl/>
      <w:pBdr>
        <w:top w:val="single" w:color="auto" w:sz="4" w:space="0"/>
        <w:left w:val="single" w:color="auto" w:sz="4" w:space="0"/>
        <w:bottom w:val="single" w:color="auto" w:sz="4" w:space="0"/>
      </w:pBdr>
      <w:shd w:val="clear" w:color="000000" w:fill="FFCC99"/>
      <w:spacing w:before="100" w:beforeAutospacing="1" w:after="100" w:afterAutospacing="1"/>
      <w:jc w:val="center"/>
      <w:textAlignment w:val="center"/>
    </w:pPr>
    <w:rPr>
      <w:rFonts w:ascii="宋体" w:hAnsi="宋体" w:eastAsia="宋体" w:cs="宋体"/>
      <w:kern w:val="0"/>
      <w:sz w:val="20"/>
      <w:szCs w:val="20"/>
    </w:rPr>
  </w:style>
  <w:style w:type="paragraph" w:customStyle="1" w:styleId="77">
    <w:name w:val="xl239"/>
    <w:basedOn w:val="1"/>
    <w:qFormat/>
    <w:uiPriority w:val="0"/>
    <w:pPr>
      <w:widowControl/>
      <w:pBdr>
        <w:top w:val="single" w:color="auto" w:sz="4" w:space="0"/>
        <w:bottom w:val="single" w:color="auto" w:sz="4" w:space="0"/>
      </w:pBdr>
      <w:shd w:val="clear" w:color="000000" w:fill="FFCC99"/>
      <w:spacing w:before="100" w:beforeAutospacing="1" w:after="100" w:afterAutospacing="1"/>
      <w:jc w:val="center"/>
      <w:textAlignment w:val="center"/>
    </w:pPr>
    <w:rPr>
      <w:rFonts w:ascii="宋体" w:hAnsi="宋体" w:eastAsia="宋体" w:cs="宋体"/>
      <w:kern w:val="0"/>
      <w:sz w:val="20"/>
      <w:szCs w:val="20"/>
    </w:rPr>
  </w:style>
  <w:style w:type="paragraph" w:customStyle="1" w:styleId="78">
    <w:name w:val="xl240"/>
    <w:basedOn w:val="1"/>
    <w:qFormat/>
    <w:uiPriority w:val="0"/>
    <w:pPr>
      <w:widowControl/>
      <w:pBdr>
        <w:top w:val="single" w:color="auto" w:sz="4" w:space="0"/>
        <w:bottom w:val="single" w:color="auto" w:sz="4" w:space="0"/>
        <w:right w:val="single" w:color="auto" w:sz="4" w:space="0"/>
      </w:pBdr>
      <w:shd w:val="clear" w:color="000000" w:fill="FFCC99"/>
      <w:spacing w:before="100" w:beforeAutospacing="1" w:after="100" w:afterAutospacing="1"/>
      <w:jc w:val="center"/>
      <w:textAlignment w:val="center"/>
    </w:pPr>
    <w:rPr>
      <w:rFonts w:ascii="宋体" w:hAnsi="宋体" w:eastAsia="宋体" w:cs="宋体"/>
      <w:kern w:val="0"/>
      <w:sz w:val="20"/>
      <w:szCs w:val="20"/>
    </w:rPr>
  </w:style>
  <w:style w:type="paragraph" w:customStyle="1" w:styleId="79">
    <w:name w:val="xl241"/>
    <w:basedOn w:val="1"/>
    <w:qFormat/>
    <w:uiPriority w:val="0"/>
    <w:pPr>
      <w:widowControl/>
      <w:pBdr>
        <w:bottom w:val="single" w:color="auto" w:sz="4" w:space="0"/>
      </w:pBdr>
      <w:shd w:val="clear" w:color="000000" w:fill="CCFFFF"/>
      <w:spacing w:before="100" w:beforeAutospacing="1" w:after="100" w:afterAutospacing="1"/>
      <w:jc w:val="right"/>
      <w:textAlignment w:val="center"/>
    </w:pPr>
    <w:rPr>
      <w:rFonts w:ascii="宋体" w:hAnsi="宋体" w:eastAsia="宋体" w:cs="宋体"/>
      <w:kern w:val="0"/>
      <w:sz w:val="20"/>
      <w:szCs w:val="20"/>
    </w:rPr>
  </w:style>
  <w:style w:type="paragraph" w:customStyle="1" w:styleId="80">
    <w:name w:val="xl242"/>
    <w:basedOn w:val="1"/>
    <w:qFormat/>
    <w:uiPriority w:val="0"/>
    <w:pPr>
      <w:widowControl/>
      <w:pBdr>
        <w:bottom w:val="single" w:color="auto" w:sz="4" w:space="0"/>
      </w:pBdr>
      <w:shd w:val="clear" w:color="000000" w:fill="CCFFFF"/>
      <w:spacing w:before="100" w:beforeAutospacing="1" w:after="100" w:afterAutospacing="1"/>
      <w:jc w:val="right"/>
      <w:textAlignment w:val="center"/>
    </w:pPr>
    <w:rPr>
      <w:rFonts w:ascii="宋体" w:hAnsi="宋体" w:eastAsia="宋体" w:cs="宋体"/>
      <w:kern w:val="0"/>
      <w:sz w:val="20"/>
      <w:szCs w:val="20"/>
    </w:rPr>
  </w:style>
  <w:style w:type="paragraph" w:customStyle="1" w:styleId="81">
    <w:name w:val="xl243"/>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textAlignment w:val="center"/>
    </w:pPr>
    <w:rPr>
      <w:rFonts w:ascii="宋体" w:hAnsi="宋体" w:eastAsia="宋体" w:cs="宋体"/>
      <w:kern w:val="0"/>
      <w:sz w:val="20"/>
      <w:szCs w:val="20"/>
    </w:rPr>
  </w:style>
  <w:style w:type="paragraph" w:customStyle="1" w:styleId="82">
    <w:name w:val="xl244"/>
    <w:basedOn w:val="1"/>
    <w:qFormat/>
    <w:uiPriority w:val="0"/>
    <w:pPr>
      <w:widowControl/>
      <w:shd w:val="clear" w:color="000000" w:fill="CCFFFF"/>
      <w:spacing w:before="100" w:beforeAutospacing="1" w:after="100" w:afterAutospacing="1"/>
      <w:jc w:val="center"/>
      <w:textAlignment w:val="center"/>
    </w:pPr>
    <w:rPr>
      <w:rFonts w:ascii="宋体" w:hAnsi="宋体" w:eastAsia="宋体" w:cs="宋体"/>
      <w:kern w:val="0"/>
      <w:sz w:val="20"/>
      <w:szCs w:val="20"/>
    </w:rPr>
  </w:style>
  <w:style w:type="paragraph" w:customStyle="1" w:styleId="83">
    <w:name w:val="xl245"/>
    <w:basedOn w:val="1"/>
    <w:qFormat/>
    <w:uiPriority w:val="0"/>
    <w:pPr>
      <w:widowControl/>
      <w:shd w:val="clear" w:color="000000" w:fill="CCFFFF"/>
      <w:spacing w:before="100" w:beforeAutospacing="1" w:after="100" w:afterAutospacing="1"/>
      <w:jc w:val="right"/>
      <w:textAlignment w:val="center"/>
    </w:pPr>
    <w:rPr>
      <w:rFonts w:ascii="宋体" w:hAnsi="宋体" w:eastAsia="宋体" w:cs="宋体"/>
      <w:kern w:val="0"/>
      <w:sz w:val="20"/>
      <w:szCs w:val="20"/>
    </w:rPr>
  </w:style>
  <w:style w:type="paragraph" w:customStyle="1" w:styleId="84">
    <w:name w:val="xl246"/>
    <w:basedOn w:val="1"/>
    <w:qFormat/>
    <w:uiPriority w:val="0"/>
    <w:pPr>
      <w:widowControl/>
      <w:shd w:val="clear" w:color="000000" w:fill="CCFFFF"/>
      <w:spacing w:before="100" w:beforeAutospacing="1" w:after="100" w:afterAutospacing="1"/>
      <w:jc w:val="right"/>
      <w:textAlignment w:val="center"/>
    </w:pPr>
    <w:rPr>
      <w:rFonts w:ascii="宋体" w:hAnsi="宋体" w:eastAsia="宋体" w:cs="宋体"/>
      <w:kern w:val="0"/>
      <w:sz w:val="20"/>
      <w:szCs w:val="20"/>
    </w:rPr>
  </w:style>
  <w:style w:type="paragraph" w:customStyle="1" w:styleId="85">
    <w:name w:val="zw"/>
    <w:basedOn w:val="1"/>
    <w:qFormat/>
    <w:uiPriority w:val="0"/>
    <w:pPr>
      <w:autoSpaceDE w:val="0"/>
      <w:autoSpaceDN w:val="0"/>
      <w:spacing w:line="360" w:lineRule="auto"/>
      <w:ind w:firstLine="482"/>
    </w:pPr>
    <w:rPr>
      <w:rFonts w:ascii="Arial Narrow" w:hAnsi="Arial Narrow" w:eastAsia="仿宋_GB2312"/>
    </w:rPr>
  </w:style>
  <w:style w:type="character" w:customStyle="1" w:styleId="86">
    <w:name w:val="样式 标题 2 + 首行缩进:  2 字符"/>
    <w:qFormat/>
    <w:uiPriority w:val="0"/>
  </w:style>
  <w:style w:type="character" w:customStyle="1" w:styleId="87">
    <w:name w:val="font21"/>
    <w:qFormat/>
    <w:uiPriority w:val="0"/>
    <w:rPr>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8</Pages>
  <Words>1044</Words>
  <Characters>1068</Characters>
  <Lines>10</Lines>
  <Paragraphs>3</Paragraphs>
  <TotalTime>23</TotalTime>
  <ScaleCrop>false</ScaleCrop>
  <LinksUpToDate>false</LinksUpToDate>
  <CharactersWithSpaces>1091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2023-01-30T08:10:00Z</dcterms:created>
  <dc:creator>尹之初</dc:creator>
  <cp:lastModifiedBy>刘燕红</cp:lastModifiedBy>
  <dcterms:modified xsi:type="dcterms:W3CDTF">2025-09-28T01:22:27Z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C874A15083624F3395206CC34623E80B_13</vt:lpwstr>
  </property>
  <property fmtid="{D5CDD505-2E9C-101B-9397-08002B2CF9AE}" pid="4" name="KSOTemplateDocerSaveRecord">
    <vt:lpwstr>eyJoZGlkIjoiMTU2ZmUyMjJhOGY2YWQwYWRlZWFkNjM5YjRmZTNlZjQiLCJ1c2VySWQiOiI3NTY1NTAyMjUifQ==</vt:lpwstr>
  </property>
</Properties>
</file>