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858"/>
      </w:tblGrid>
      <w:tr w14:paraId="46A4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0B9B20D6">
            <w:pPr>
              <w:jc w:val="center"/>
              <w:rPr>
                <w:rFonts w:hint="eastAsia" w:ascii="Times New Roman" w:hAnsi="Times New Roman" w:eastAsia="宋体" w:cs="Times New Roman"/>
                <w:color w:val="auto"/>
                <w:sz w:val="24"/>
                <w:szCs w:val="24"/>
                <w:highlight w:val="none"/>
              </w:rPr>
            </w:pPr>
            <w:bookmarkStart w:id="0" w:name="_Toc326218146"/>
            <w:bookmarkStart w:id="1" w:name="_Toc32605"/>
            <w:bookmarkStart w:id="2" w:name="_Toc387311031"/>
            <w:bookmarkStart w:id="3" w:name="_Toc387311225"/>
            <w:bookmarkStart w:id="4" w:name="_Toc5970"/>
            <w:bookmarkStart w:id="5" w:name="_Toc27773"/>
            <w:r>
              <w:rPr>
                <w:rFonts w:hint="eastAsia" w:ascii="Times New Roman" w:hAnsi="Times New Roman" w:eastAsia="宋体" w:cs="Times New Roman"/>
                <w:color w:val="auto"/>
                <w:sz w:val="24"/>
                <w:szCs w:val="24"/>
                <w:highlight w:val="none"/>
              </w:rPr>
              <w:br w:type="page"/>
            </w:r>
            <w:r>
              <w:rPr>
                <w:rFonts w:hint="eastAsia" w:ascii="Times New Roman" w:hAnsi="Times New Roman" w:eastAsia="宋体" w:cs="Times New Roman"/>
                <w:color w:val="auto"/>
                <w:sz w:val="24"/>
                <w:szCs w:val="24"/>
                <w:highlight w:val="none"/>
              </w:rPr>
              <w:t>文件编号</w:t>
            </w:r>
          </w:p>
        </w:tc>
        <w:tc>
          <w:tcPr>
            <w:tcW w:w="1858" w:type="dxa"/>
            <w:noWrap w:val="0"/>
            <w:vAlign w:val="center"/>
          </w:tcPr>
          <w:p w14:paraId="6F162AF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JZXL/QA(GB)-</w:t>
            </w:r>
          </w:p>
          <w:p w14:paraId="59494F53">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0202(B)-2025</w:t>
            </w:r>
          </w:p>
        </w:tc>
      </w:tr>
      <w:tr w14:paraId="5CD4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3A4A6444">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版本号</w:t>
            </w:r>
          </w:p>
        </w:tc>
        <w:tc>
          <w:tcPr>
            <w:tcW w:w="1858" w:type="dxa"/>
            <w:noWrap w:val="0"/>
            <w:vAlign w:val="center"/>
          </w:tcPr>
          <w:p w14:paraId="2F65D82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 B 版</w:t>
            </w:r>
          </w:p>
        </w:tc>
      </w:tr>
      <w:tr w14:paraId="427D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3648905E">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制订日期</w:t>
            </w:r>
          </w:p>
        </w:tc>
        <w:tc>
          <w:tcPr>
            <w:tcW w:w="1858" w:type="dxa"/>
            <w:noWrap w:val="0"/>
            <w:vAlign w:val="center"/>
          </w:tcPr>
          <w:p w14:paraId="4F42912E">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2025-7-22</w:t>
            </w:r>
          </w:p>
        </w:tc>
      </w:tr>
      <w:tr w14:paraId="5102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274FC3D2">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执行日期</w:t>
            </w:r>
          </w:p>
        </w:tc>
        <w:tc>
          <w:tcPr>
            <w:tcW w:w="1858" w:type="dxa"/>
            <w:noWrap w:val="0"/>
            <w:vAlign w:val="center"/>
          </w:tcPr>
          <w:p w14:paraId="2A1F1FC3">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2024-7-22</w:t>
            </w:r>
          </w:p>
        </w:tc>
      </w:tr>
    </w:tbl>
    <w:p w14:paraId="1B872D90">
      <w:pPr>
        <w:rPr>
          <w:rFonts w:hint="eastAsia"/>
          <w:color w:val="auto"/>
          <w:highlight w:val="none"/>
        </w:rPr>
      </w:pPr>
    </w:p>
    <w:p w14:paraId="2ED6D5B9">
      <w:pPr>
        <w:rPr>
          <w:rFonts w:hint="eastAsia"/>
          <w:color w:val="auto"/>
          <w:highlight w:val="none"/>
        </w:rPr>
      </w:pPr>
    </w:p>
    <w:p w14:paraId="78F4020C">
      <w:pPr>
        <w:rPr>
          <w:rFonts w:hint="eastAsia"/>
          <w:color w:val="auto"/>
          <w:highlight w:val="none"/>
        </w:rPr>
      </w:pPr>
    </w:p>
    <w:p w14:paraId="1D85D2F4">
      <w:pPr>
        <w:spacing w:line="480" w:lineRule="auto"/>
        <w:jc w:val="center"/>
        <w:outlineLvl w:val="0"/>
        <w:rPr>
          <w:rFonts w:hint="eastAsia" w:ascii="方正公文小标宋" w:hAnsi="方正公文小标宋" w:eastAsia="方正公文小标宋" w:cs="方正公文小标宋"/>
          <w:color w:val="auto"/>
          <w:sz w:val="52"/>
          <w:szCs w:val="52"/>
          <w:highlight w:val="none"/>
        </w:rPr>
      </w:pPr>
      <w:bookmarkStart w:id="6" w:name="_Toc6915"/>
      <w:bookmarkStart w:id="7" w:name="_Toc8382"/>
      <w:bookmarkStart w:id="8" w:name="_Toc2017"/>
      <w:r>
        <w:rPr>
          <w:rFonts w:hint="eastAsia" w:ascii="方正公文小标宋" w:hAnsi="方正公文小标宋" w:eastAsia="方正公文小标宋" w:cs="方正公文小标宋"/>
          <w:color w:val="auto"/>
          <w:sz w:val="52"/>
          <w:szCs w:val="52"/>
          <w:highlight w:val="none"/>
        </w:rPr>
        <w:t>质量保证大纲计划</w:t>
      </w:r>
      <w:bookmarkEnd w:id="6"/>
      <w:bookmarkEnd w:id="7"/>
      <w:bookmarkEnd w:id="8"/>
    </w:p>
    <w:p w14:paraId="7B61FF42">
      <w:pPr>
        <w:rPr>
          <w:rFonts w:hint="eastAsia"/>
          <w:color w:val="auto"/>
          <w:sz w:val="84"/>
          <w:highlight w:val="none"/>
        </w:rPr>
      </w:pPr>
    </w:p>
    <w:p w14:paraId="20B1181F">
      <w:pPr>
        <w:rPr>
          <w:rFonts w:hint="eastAsia"/>
          <w:color w:val="auto"/>
          <w:sz w:val="84"/>
          <w:highlight w:val="none"/>
        </w:rPr>
      </w:pPr>
    </w:p>
    <w:p w14:paraId="2028204A">
      <w:pPr>
        <w:rPr>
          <w:rFonts w:hint="eastAsia"/>
          <w:color w:val="auto"/>
          <w:highlight w:val="none"/>
        </w:rPr>
      </w:pPr>
    </w:p>
    <w:p w14:paraId="74606B05">
      <w:pPr>
        <w:rPr>
          <w:rFonts w:hint="eastAsia"/>
          <w:color w:val="auto"/>
          <w:highlight w:val="none"/>
        </w:rPr>
      </w:pPr>
    </w:p>
    <w:p w14:paraId="325B53FA">
      <w:pPr>
        <w:rPr>
          <w:rFonts w:hint="eastAsia"/>
          <w:color w:val="auto"/>
          <w:highlight w:val="none"/>
        </w:rPr>
      </w:pPr>
    </w:p>
    <w:p w14:paraId="0B9D58E9">
      <w:pPr>
        <w:rPr>
          <w:rFonts w:hint="eastAsia"/>
          <w:color w:val="auto"/>
          <w:highlight w:val="none"/>
        </w:rPr>
      </w:pPr>
    </w:p>
    <w:p w14:paraId="5401A99F">
      <w:pPr>
        <w:ind w:firstLine="2249" w:firstLineChars="800"/>
        <w:rPr>
          <w:rFonts w:hint="eastAsia" w:ascii="Times New Roman" w:hAnsi="Times New Roman" w:eastAsia="宋体" w:cs="Times New Roman"/>
          <w:b/>
          <w:color w:val="auto"/>
          <w:sz w:val="28"/>
          <w:szCs w:val="24"/>
          <w:highlight w:val="none"/>
        </w:rPr>
      </w:pPr>
      <w:r>
        <w:rPr>
          <w:rFonts w:hint="eastAsia" w:ascii="Times New Roman" w:hAnsi="Times New Roman" w:eastAsia="宋体" w:cs="Times New Roman"/>
          <w:b/>
          <w:color w:val="auto"/>
          <w:sz w:val="28"/>
          <w:szCs w:val="24"/>
          <w:highlight w:val="none"/>
        </w:rPr>
        <w:t>发放编号：</w:t>
      </w:r>
      <w:r>
        <w:rPr>
          <w:rFonts w:hint="eastAsia" w:ascii="Times New Roman" w:hAnsi="Times New Roman" w:eastAsia="宋体" w:cs="Times New Roman"/>
          <w:b/>
          <w:color w:val="auto"/>
          <w:sz w:val="28"/>
          <w:szCs w:val="24"/>
          <w:highlight w:val="none"/>
          <w:u w:val="single"/>
        </w:rPr>
        <w:t xml:space="preserve">                        </w:t>
      </w:r>
      <w:r>
        <w:rPr>
          <w:rFonts w:hint="eastAsia" w:ascii="Times New Roman" w:hAnsi="Times New Roman"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p>
    <w:p w14:paraId="7C7CFF49">
      <w:pPr>
        <w:ind w:firstLine="2249" w:firstLineChars="800"/>
        <w:rPr>
          <w:rFonts w:hint="eastAsia" w:ascii="Times New Roman" w:hAnsi="Times New Roman" w:eastAsia="宋体" w:cs="Times New Roman"/>
          <w:b/>
          <w:color w:val="auto"/>
          <w:sz w:val="28"/>
          <w:szCs w:val="24"/>
          <w:highlight w:val="none"/>
        </w:rPr>
      </w:pPr>
      <w:r>
        <w:rPr>
          <w:rFonts w:hint="eastAsia" w:ascii="Times New Roman" w:hAnsi="Times New Roman" w:eastAsia="宋体" w:cs="Times New Roman"/>
          <w:b/>
          <w:color w:val="auto"/>
          <w:sz w:val="28"/>
          <w:szCs w:val="24"/>
          <w:highlight w:val="none"/>
        </w:rPr>
        <w:t>受控状态：</w:t>
      </w:r>
      <w:r>
        <w:rPr>
          <w:rFonts w:hint="eastAsia" w:ascii="Times New Roman" w:hAnsi="Times New Roman" w:eastAsia="宋体" w:cs="Times New Roman"/>
          <w:b/>
          <w:color w:val="auto"/>
          <w:sz w:val="28"/>
          <w:szCs w:val="24"/>
          <w:highlight w:val="none"/>
          <w:u w:val="single"/>
        </w:rPr>
        <w:t xml:space="preserve">                        </w:t>
      </w:r>
      <w:r>
        <w:rPr>
          <w:rFonts w:hint="eastAsia" w:ascii="Times New Roman" w:hAnsi="Times New Roman"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p>
    <w:p w14:paraId="3A762080">
      <w:pPr>
        <w:ind w:firstLine="2249" w:firstLineChars="800"/>
        <w:rPr>
          <w:rFonts w:hint="eastAsia" w:ascii="Times New Roman" w:hAnsi="Times New Roman" w:eastAsia="宋体" w:cs="Times New Roman"/>
          <w:b/>
          <w:color w:val="auto"/>
          <w:sz w:val="28"/>
          <w:szCs w:val="24"/>
          <w:highlight w:val="none"/>
          <w:u w:val="single"/>
          <w:lang w:val="en-US" w:eastAsia="zh-CN"/>
        </w:rPr>
      </w:pPr>
      <w:r>
        <w:rPr>
          <w:rFonts w:hint="eastAsia" w:ascii="Times New Roman" w:hAnsi="Times New Roman" w:eastAsia="宋体" w:cs="Times New Roman"/>
          <w:b/>
          <w:color w:val="auto"/>
          <w:sz w:val="28"/>
          <w:szCs w:val="24"/>
          <w:highlight w:val="none"/>
        </w:rPr>
        <w:t>生产线名称：</w:t>
      </w:r>
      <w:r>
        <w:rPr>
          <w:rFonts w:hint="eastAsia" w:ascii="Times New Roman" w:hAnsi="Times New Roman" w:eastAsia="宋体" w:cs="Times New Roman"/>
          <w:b/>
          <w:color w:val="auto"/>
          <w:sz w:val="28"/>
          <w:szCs w:val="24"/>
          <w:highlight w:val="none"/>
          <w:u w:val="single"/>
        </w:rPr>
        <w:t xml:space="preserve"> </w:t>
      </w:r>
      <w:r>
        <w:rPr>
          <w:rFonts w:hint="eastAsia"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超柔射频同轴电缆生产线</w:t>
      </w:r>
      <w:r>
        <w:rPr>
          <w:rFonts w:hint="eastAsia" w:eastAsia="宋体" w:cs="Times New Roman"/>
          <w:b/>
          <w:color w:val="auto"/>
          <w:sz w:val="28"/>
          <w:szCs w:val="24"/>
          <w:highlight w:val="none"/>
          <w:u w:val="single"/>
          <w:lang w:val="en-US" w:eastAsia="zh-CN"/>
        </w:rPr>
        <w:t xml:space="preserve"> </w:t>
      </w:r>
    </w:p>
    <w:p w14:paraId="66187A0E">
      <w:pPr>
        <w:ind w:firstLine="2249" w:firstLineChars="800"/>
        <w:rPr>
          <w:rFonts w:hint="eastAsia"/>
          <w:bCs/>
          <w:color w:val="auto"/>
          <w:sz w:val="28"/>
          <w:highlight w:val="none"/>
        </w:rPr>
      </w:pPr>
      <w:r>
        <w:rPr>
          <w:rFonts w:hint="eastAsia" w:ascii="Times New Roman" w:hAnsi="Times New Roman" w:eastAsia="宋体" w:cs="Times New Roman"/>
          <w:b/>
          <w:color w:val="auto"/>
          <w:sz w:val="28"/>
          <w:szCs w:val="24"/>
          <w:highlight w:val="none"/>
        </w:rPr>
        <w:t>产品类别：</w:t>
      </w:r>
      <w:r>
        <w:rPr>
          <w:rFonts w:hint="eastAsia" w:ascii="Times New Roman" w:hAnsi="Times New Roman" w:eastAsia="宋体" w:cs="Times New Roman"/>
          <w:b/>
          <w:color w:val="auto"/>
          <w:sz w:val="28"/>
          <w:szCs w:val="24"/>
          <w:highlight w:val="none"/>
          <w:u w:val="single"/>
        </w:rPr>
        <w:t xml:space="preserve">        电线电缆       </w:t>
      </w:r>
      <w:r>
        <w:rPr>
          <w:rFonts w:hint="eastAsia"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p>
    <w:p w14:paraId="64C87568">
      <w:pPr>
        <w:rPr>
          <w:rFonts w:hint="eastAsia"/>
          <w:bCs/>
          <w:color w:val="auto"/>
          <w:highlight w:val="none"/>
        </w:rPr>
      </w:pPr>
    </w:p>
    <w:p w14:paraId="1BEE7681">
      <w:pPr>
        <w:rPr>
          <w:rFonts w:hint="eastAsia"/>
          <w:bCs/>
          <w:color w:val="auto"/>
          <w:highlight w:val="none"/>
        </w:rPr>
      </w:pPr>
    </w:p>
    <w:p w14:paraId="79D98997">
      <w:pPr>
        <w:rPr>
          <w:rFonts w:hint="eastAsia"/>
          <w:bCs/>
          <w:color w:val="auto"/>
          <w:highlight w:val="none"/>
        </w:rPr>
      </w:pPr>
    </w:p>
    <w:p w14:paraId="149CCC8A">
      <w:pPr>
        <w:rPr>
          <w:rFonts w:hint="eastAsia"/>
          <w:bCs/>
          <w:color w:val="auto"/>
          <w:highlight w:val="none"/>
        </w:rPr>
      </w:pPr>
    </w:p>
    <w:p w14:paraId="35D2F54C">
      <w:pPr>
        <w:rPr>
          <w:rFonts w:hint="eastAsia"/>
          <w:bCs/>
          <w:color w:val="auto"/>
          <w:highlight w:val="none"/>
        </w:rPr>
      </w:pPr>
    </w:p>
    <w:p w14:paraId="40C7CE7A">
      <w:pPr>
        <w:rPr>
          <w:rFonts w:hint="eastAsia"/>
          <w:bCs/>
          <w:color w:val="auto"/>
          <w:sz w:val="28"/>
          <w:highlight w:val="none"/>
        </w:rPr>
      </w:pPr>
    </w:p>
    <w:p w14:paraId="1E02F83F">
      <w:pPr>
        <w:jc w:val="center"/>
        <w:rPr>
          <w:rFonts w:hint="eastAsia"/>
          <w:bCs/>
          <w:color w:val="auto"/>
          <w:sz w:val="30"/>
          <w:highlight w:val="none"/>
        </w:rPr>
      </w:pPr>
      <w:r>
        <w:rPr>
          <w:rFonts w:hint="eastAsia" w:ascii="Times New Roman" w:hAnsi="Times New Roman" w:eastAsia="宋体" w:cs="Times New Roman"/>
          <w:b/>
          <w:color w:val="auto"/>
          <w:sz w:val="30"/>
          <w:szCs w:val="24"/>
          <w:highlight w:val="none"/>
        </w:rPr>
        <w:t>承制单位：</w:t>
      </w:r>
      <w:r>
        <w:rPr>
          <w:rFonts w:hint="eastAsia" w:ascii="Times New Roman" w:hAnsi="Times New Roman" w:eastAsia="宋体" w:cs="Times New Roman"/>
          <w:b/>
          <w:color w:val="auto"/>
          <w:sz w:val="30"/>
          <w:szCs w:val="24"/>
          <w:highlight w:val="none"/>
          <w:lang w:eastAsia="zh-CN"/>
        </w:rPr>
        <w:t>四川九洲线缆有限责任公司（</w:t>
      </w:r>
      <w:r>
        <w:rPr>
          <w:rFonts w:hint="eastAsia" w:ascii="Times New Roman" w:hAnsi="Times New Roman" w:eastAsia="宋体" w:cs="Times New Roman"/>
          <w:b/>
          <w:color w:val="auto"/>
          <w:sz w:val="30"/>
          <w:szCs w:val="24"/>
          <w:highlight w:val="none"/>
        </w:rPr>
        <w:t>国营第六〇八厂</w:t>
      </w:r>
      <w:r>
        <w:rPr>
          <w:rFonts w:hint="eastAsia" w:ascii="Times New Roman" w:hAnsi="Times New Roman" w:eastAsia="宋体" w:cs="Times New Roman"/>
          <w:b/>
          <w:color w:val="auto"/>
          <w:sz w:val="30"/>
          <w:szCs w:val="24"/>
          <w:highlight w:val="none"/>
          <w:lang w:eastAsia="zh-CN"/>
        </w:rPr>
        <w:t>）</w:t>
      </w:r>
    </w:p>
    <w:p w14:paraId="1F58DD1D">
      <w:pPr>
        <w:rPr>
          <w:rFonts w:hint="eastAsia"/>
          <w:b/>
          <w:color w:val="auto"/>
          <w:sz w:val="30"/>
          <w:highlight w:val="none"/>
        </w:rPr>
      </w:pPr>
    </w:p>
    <w:p w14:paraId="5897E0A9">
      <w:pPr>
        <w:spacing w:line="360" w:lineRule="auto"/>
        <w:jc w:val="center"/>
        <w:rPr>
          <w:rFonts w:hint="eastAsia"/>
          <w:color w:val="auto"/>
          <w:sz w:val="32"/>
          <w:szCs w:val="32"/>
          <w:highlight w:val="none"/>
        </w:rPr>
      </w:pPr>
      <w:r>
        <w:rPr>
          <w:rFonts w:hint="eastAsia"/>
          <w:b w:val="0"/>
          <w:color w:val="auto"/>
          <w:sz w:val="32"/>
          <w:szCs w:val="32"/>
          <w:highlight w:val="none"/>
        </w:rPr>
        <w:br w:type="page"/>
      </w:r>
    </w:p>
    <w:p w14:paraId="5D06734C">
      <w:pPr>
        <w:jc w:val="center"/>
        <w:rPr>
          <w:rFonts w:hint="eastAsia" w:ascii="黑体" w:eastAsia="黑体"/>
          <w:bCs/>
          <w:color w:val="auto"/>
          <w:sz w:val="44"/>
          <w:highlight w:val="none"/>
        </w:rPr>
      </w:pPr>
      <w:r>
        <w:rPr>
          <w:rFonts w:hint="eastAsia" w:ascii="黑体" w:eastAsia="黑体"/>
          <w:bCs/>
          <w:color w:val="auto"/>
          <w:sz w:val="44"/>
          <w:highlight w:val="none"/>
        </w:rPr>
        <w:t>审批页</w:t>
      </w:r>
    </w:p>
    <w:tbl>
      <w:tblPr>
        <w:tblStyle w:val="9"/>
        <w:tblpPr w:leftFromText="180" w:rightFromText="180" w:vertAnchor="text" w:horzAnchor="page" w:tblpXSpec="center" w:tblpY="72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3061"/>
        <w:gridCol w:w="1845"/>
        <w:gridCol w:w="2003"/>
      </w:tblGrid>
      <w:tr w14:paraId="6136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1613" w:type="dxa"/>
            <w:noWrap w:val="0"/>
            <w:vAlign w:val="center"/>
          </w:tcPr>
          <w:p w14:paraId="6F3CB3BC">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编制</w:t>
            </w:r>
          </w:p>
        </w:tc>
        <w:tc>
          <w:tcPr>
            <w:tcW w:w="3061" w:type="dxa"/>
            <w:noWrap w:val="0"/>
            <w:vAlign w:val="center"/>
          </w:tcPr>
          <w:p w14:paraId="229F6A36">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64CC48DA">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编制日期</w:t>
            </w:r>
          </w:p>
        </w:tc>
        <w:tc>
          <w:tcPr>
            <w:tcW w:w="2003" w:type="dxa"/>
            <w:noWrap w:val="0"/>
            <w:vAlign w:val="center"/>
          </w:tcPr>
          <w:p w14:paraId="5B9E3755">
            <w:pPr>
              <w:pStyle w:val="7"/>
              <w:widowControl w:val="0"/>
              <w:jc w:val="center"/>
              <w:rPr>
                <w:rFonts w:hint="eastAsia" w:ascii="仿宋" w:hAnsi="仿宋" w:eastAsia="仿宋" w:cs="仿宋"/>
                <w:color w:val="auto"/>
                <w:sz w:val="28"/>
                <w:szCs w:val="28"/>
                <w:highlight w:val="none"/>
                <w:vertAlign w:val="baseline"/>
                <w:lang w:val="en-US" w:eastAsia="zh-CN"/>
              </w:rPr>
            </w:pPr>
          </w:p>
        </w:tc>
      </w:tr>
      <w:tr w14:paraId="1E2B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1613" w:type="dxa"/>
            <w:noWrap w:val="0"/>
            <w:vAlign w:val="center"/>
          </w:tcPr>
          <w:p w14:paraId="045F293D">
            <w:pPr>
              <w:pStyle w:val="7"/>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会签</w:t>
            </w:r>
          </w:p>
        </w:tc>
        <w:tc>
          <w:tcPr>
            <w:tcW w:w="3061" w:type="dxa"/>
            <w:noWrap w:val="0"/>
            <w:vAlign w:val="center"/>
          </w:tcPr>
          <w:p w14:paraId="6D8FED75">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5F4B0D6F">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会签日期</w:t>
            </w:r>
          </w:p>
        </w:tc>
        <w:tc>
          <w:tcPr>
            <w:tcW w:w="2003" w:type="dxa"/>
            <w:noWrap w:val="0"/>
            <w:vAlign w:val="top"/>
          </w:tcPr>
          <w:p w14:paraId="2240858A">
            <w:pPr>
              <w:pStyle w:val="7"/>
              <w:widowControl w:val="0"/>
              <w:jc w:val="both"/>
              <w:rPr>
                <w:rFonts w:hint="eastAsia" w:ascii="仿宋" w:hAnsi="仿宋" w:eastAsia="仿宋" w:cs="仿宋"/>
                <w:color w:val="auto"/>
                <w:sz w:val="28"/>
                <w:szCs w:val="28"/>
                <w:highlight w:val="none"/>
                <w:vertAlign w:val="baseline"/>
                <w:lang w:val="en-US" w:eastAsia="zh-CN"/>
              </w:rPr>
            </w:pPr>
          </w:p>
        </w:tc>
      </w:tr>
      <w:tr w14:paraId="03F6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613" w:type="dxa"/>
            <w:noWrap w:val="0"/>
            <w:vAlign w:val="center"/>
          </w:tcPr>
          <w:p w14:paraId="2C287F0B">
            <w:pPr>
              <w:pStyle w:val="7"/>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审核</w:t>
            </w:r>
          </w:p>
        </w:tc>
        <w:tc>
          <w:tcPr>
            <w:tcW w:w="3061" w:type="dxa"/>
            <w:noWrap w:val="0"/>
            <w:vAlign w:val="center"/>
          </w:tcPr>
          <w:p w14:paraId="784FAB3B">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0DA109EA">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审核日期</w:t>
            </w:r>
          </w:p>
        </w:tc>
        <w:tc>
          <w:tcPr>
            <w:tcW w:w="2003" w:type="dxa"/>
            <w:noWrap w:val="0"/>
            <w:vAlign w:val="top"/>
          </w:tcPr>
          <w:p w14:paraId="68275F2A">
            <w:pPr>
              <w:pStyle w:val="7"/>
              <w:widowControl w:val="0"/>
              <w:jc w:val="both"/>
              <w:rPr>
                <w:rFonts w:hint="eastAsia" w:ascii="仿宋" w:hAnsi="仿宋" w:eastAsia="仿宋" w:cs="仿宋"/>
                <w:color w:val="auto"/>
                <w:sz w:val="28"/>
                <w:szCs w:val="28"/>
                <w:highlight w:val="none"/>
                <w:vertAlign w:val="baseline"/>
                <w:lang w:val="en-US" w:eastAsia="zh-CN"/>
              </w:rPr>
            </w:pPr>
          </w:p>
        </w:tc>
      </w:tr>
      <w:tr w14:paraId="1AEB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1613" w:type="dxa"/>
            <w:noWrap w:val="0"/>
            <w:vAlign w:val="center"/>
          </w:tcPr>
          <w:p w14:paraId="2D857BDA">
            <w:pPr>
              <w:pStyle w:val="7"/>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批准</w:t>
            </w:r>
          </w:p>
        </w:tc>
        <w:tc>
          <w:tcPr>
            <w:tcW w:w="3061" w:type="dxa"/>
            <w:noWrap w:val="0"/>
            <w:vAlign w:val="center"/>
          </w:tcPr>
          <w:p w14:paraId="75DC9DF9">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75CFEE53">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批准日期</w:t>
            </w:r>
          </w:p>
        </w:tc>
        <w:tc>
          <w:tcPr>
            <w:tcW w:w="2003" w:type="dxa"/>
            <w:noWrap w:val="0"/>
            <w:vAlign w:val="top"/>
          </w:tcPr>
          <w:p w14:paraId="56AE9F6C">
            <w:pPr>
              <w:pStyle w:val="7"/>
              <w:widowControl w:val="0"/>
              <w:jc w:val="both"/>
              <w:rPr>
                <w:rFonts w:hint="eastAsia" w:ascii="仿宋" w:hAnsi="仿宋" w:eastAsia="仿宋" w:cs="仿宋"/>
                <w:color w:val="auto"/>
                <w:sz w:val="28"/>
                <w:szCs w:val="28"/>
                <w:highlight w:val="none"/>
                <w:vertAlign w:val="baseline"/>
                <w:lang w:val="en-US" w:eastAsia="zh-CN"/>
              </w:rPr>
            </w:pPr>
          </w:p>
        </w:tc>
      </w:tr>
    </w:tbl>
    <w:p w14:paraId="01DD0A18">
      <w:pPr>
        <w:jc w:val="center"/>
        <w:rPr>
          <w:rFonts w:hint="eastAsia" w:ascii="黑体" w:eastAsia="黑体"/>
          <w:bCs/>
          <w:color w:val="auto"/>
          <w:sz w:val="32"/>
          <w:highlight w:val="none"/>
        </w:rPr>
      </w:pPr>
    </w:p>
    <w:p w14:paraId="662D7B72">
      <w:pPr>
        <w:jc w:val="center"/>
        <w:rPr>
          <w:rFonts w:hint="eastAsia" w:ascii="黑体" w:eastAsia="黑体"/>
          <w:bCs/>
          <w:color w:val="auto"/>
          <w:sz w:val="32"/>
          <w:highlight w:val="none"/>
        </w:rPr>
        <w:sectPr>
          <w:headerReference r:id="rId3" w:type="default"/>
          <w:footerReference r:id="rId4" w:type="default"/>
          <w:pgSz w:w="11906" w:h="16838"/>
          <w:pgMar w:top="2098" w:right="1474" w:bottom="1871" w:left="1587" w:header="1077" w:footer="992" w:gutter="0"/>
          <w:pgNumType w:fmt="decimal" w:start="1"/>
          <w:cols w:space="425" w:num="1"/>
          <w:docGrid w:type="lines" w:linePitch="312" w:charSpace="0"/>
        </w:sectPr>
      </w:pPr>
    </w:p>
    <w:p w14:paraId="0176EBEA">
      <w:pPr>
        <w:spacing w:line="480" w:lineRule="auto"/>
        <w:jc w:val="center"/>
        <w:rPr>
          <w:rFonts w:hint="eastAsia"/>
          <w:color w:val="auto"/>
          <w:sz w:val="32"/>
          <w:szCs w:val="32"/>
          <w:highlight w:val="none"/>
        </w:rPr>
      </w:pPr>
    </w:p>
    <w:p w14:paraId="1F96E31C">
      <w:pPr>
        <w:jc w:val="center"/>
        <w:rPr>
          <w:rFonts w:hint="eastAsia" w:ascii="仿宋_GB2312"/>
          <w:color w:val="auto"/>
          <w:sz w:val="24"/>
          <w:highlight w:val="none"/>
        </w:rPr>
      </w:pPr>
    </w:p>
    <w:p w14:paraId="359B28C6">
      <w:pPr>
        <w:rPr>
          <w:rFonts w:hint="eastAsia"/>
          <w:b w:val="0"/>
          <w:color w:val="auto"/>
          <w:sz w:val="32"/>
          <w:szCs w:val="32"/>
          <w:highlight w:val="none"/>
        </w:rPr>
      </w:pPr>
      <w:r>
        <w:rPr>
          <w:rFonts w:hint="eastAsia"/>
          <w:b w:val="0"/>
          <w:color w:val="auto"/>
          <w:sz w:val="32"/>
          <w:szCs w:val="32"/>
          <w:highlight w:val="none"/>
        </w:rPr>
        <w:br w:type="page"/>
      </w:r>
    </w:p>
    <w:p w14:paraId="166420B8">
      <w:pPr>
        <w:pStyle w:val="2"/>
        <w:keepNext w:val="0"/>
        <w:keepLines w:val="0"/>
        <w:spacing w:line="360" w:lineRule="auto"/>
        <w:jc w:val="center"/>
        <w:rPr>
          <w:color w:val="auto"/>
          <w:sz w:val="32"/>
          <w:szCs w:val="32"/>
          <w:highlight w:val="none"/>
        </w:rPr>
      </w:pPr>
      <w:bookmarkStart w:id="223" w:name="_GoBack"/>
      <w:bookmarkEnd w:id="223"/>
      <w:r>
        <w:rPr>
          <w:rFonts w:hint="eastAsia" w:ascii="Times New Roman" w:hAnsi="Times New Roman" w:eastAsia="宋体" w:cs="Times New Roman"/>
          <w:b/>
          <w:color w:val="auto"/>
          <w:sz w:val="32"/>
          <w:szCs w:val="32"/>
          <w:highlight w:val="none"/>
        </w:rPr>
        <w:t xml:space="preserve">更  改  </w:t>
      </w:r>
      <w:bookmarkEnd w:id="0"/>
      <w:r>
        <w:rPr>
          <w:rFonts w:hint="eastAsia" w:ascii="Times New Roman" w:hAnsi="Times New Roman" w:eastAsia="宋体" w:cs="Times New Roman"/>
          <w:b/>
          <w:color w:val="auto"/>
          <w:sz w:val="32"/>
          <w:szCs w:val="32"/>
          <w:highlight w:val="none"/>
        </w:rPr>
        <w:t>页</w:t>
      </w:r>
      <w:bookmarkEnd w:id="1"/>
      <w:bookmarkEnd w:id="2"/>
      <w:bookmarkEnd w:id="3"/>
      <w:bookmarkEnd w:id="4"/>
      <w:bookmarkEnd w:id="5"/>
    </w:p>
    <w:tbl>
      <w:tblPr>
        <w:tblStyle w:val="8"/>
        <w:tblW w:w="9732" w:type="dxa"/>
        <w:tblInd w:w="-62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72"/>
        <w:gridCol w:w="1090"/>
        <w:gridCol w:w="1216"/>
        <w:gridCol w:w="3825"/>
        <w:gridCol w:w="779"/>
        <w:gridCol w:w="1215"/>
        <w:gridCol w:w="1035"/>
      </w:tblGrid>
      <w:tr w14:paraId="21C9F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tblHeader/>
        </w:trPr>
        <w:tc>
          <w:tcPr>
            <w:tcW w:w="572" w:type="dxa"/>
            <w:noWrap w:val="0"/>
            <w:vAlign w:val="center"/>
          </w:tcPr>
          <w:p w14:paraId="1F77C6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90" w:type="dxa"/>
            <w:noWrap w:val="0"/>
            <w:vAlign w:val="center"/>
          </w:tcPr>
          <w:p w14:paraId="36351F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更改通知单编号</w:t>
            </w:r>
          </w:p>
        </w:tc>
        <w:tc>
          <w:tcPr>
            <w:tcW w:w="1216" w:type="dxa"/>
            <w:noWrap w:val="0"/>
            <w:vAlign w:val="center"/>
          </w:tcPr>
          <w:p w14:paraId="713D8A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3825" w:type="dxa"/>
            <w:tcBorders>
              <w:right w:val="single" w:color="auto" w:sz="4" w:space="0"/>
            </w:tcBorders>
            <w:noWrap w:val="0"/>
            <w:vAlign w:val="center"/>
          </w:tcPr>
          <w:p w14:paraId="0711D9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更改主要内容</w:t>
            </w:r>
          </w:p>
        </w:tc>
        <w:tc>
          <w:tcPr>
            <w:tcW w:w="779" w:type="dxa"/>
            <w:tcBorders>
              <w:left w:val="single" w:color="auto" w:sz="4" w:space="0"/>
            </w:tcBorders>
            <w:noWrap w:val="0"/>
            <w:vAlign w:val="center"/>
          </w:tcPr>
          <w:p w14:paraId="2C3544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更改方式</w:t>
            </w:r>
          </w:p>
        </w:tc>
        <w:tc>
          <w:tcPr>
            <w:tcW w:w="1215" w:type="dxa"/>
            <w:noWrap w:val="0"/>
            <w:vAlign w:val="center"/>
          </w:tcPr>
          <w:p w14:paraId="509448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更改</w:t>
            </w:r>
          </w:p>
          <w:p w14:paraId="3244BC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tc>
        <w:tc>
          <w:tcPr>
            <w:tcW w:w="1035" w:type="dxa"/>
            <w:noWrap w:val="0"/>
            <w:vAlign w:val="center"/>
          </w:tcPr>
          <w:p w14:paraId="565705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更改</w:t>
            </w:r>
          </w:p>
          <w:p w14:paraId="23C059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标记</w:t>
            </w:r>
          </w:p>
        </w:tc>
      </w:tr>
      <w:tr w14:paraId="2B0D0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1" w:hRule="atLeast"/>
        </w:trPr>
        <w:tc>
          <w:tcPr>
            <w:tcW w:w="572" w:type="dxa"/>
            <w:noWrap w:val="0"/>
            <w:vAlign w:val="center"/>
          </w:tcPr>
          <w:p w14:paraId="02BAE49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90" w:type="dxa"/>
            <w:noWrap w:val="0"/>
            <w:vAlign w:val="center"/>
          </w:tcPr>
          <w:p w14:paraId="3F21C53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7-2020</w:t>
            </w:r>
          </w:p>
        </w:tc>
        <w:tc>
          <w:tcPr>
            <w:tcW w:w="1216" w:type="dxa"/>
            <w:noWrap w:val="0"/>
            <w:vAlign w:val="center"/>
          </w:tcPr>
          <w:p w14:paraId="2C2D606A">
            <w:pPr>
              <w:pStyle w:val="3"/>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附录C</w:t>
            </w:r>
          </w:p>
        </w:tc>
        <w:tc>
          <w:tcPr>
            <w:tcW w:w="3825" w:type="dxa"/>
            <w:tcBorders>
              <w:right w:val="single" w:color="auto" w:sz="4" w:space="0"/>
            </w:tcBorders>
            <w:noWrap w:val="0"/>
            <w:vAlign w:val="center"/>
          </w:tcPr>
          <w:p w14:paraId="3C972E8D">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附录C质量职能分配表</w:t>
            </w:r>
          </w:p>
        </w:tc>
        <w:tc>
          <w:tcPr>
            <w:tcW w:w="779" w:type="dxa"/>
            <w:tcBorders>
              <w:left w:val="single" w:color="auto" w:sz="4" w:space="0"/>
            </w:tcBorders>
            <w:noWrap w:val="0"/>
            <w:vAlign w:val="center"/>
          </w:tcPr>
          <w:p w14:paraId="15B439A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69DF1D8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2020.9.21</w:t>
            </w:r>
          </w:p>
        </w:tc>
        <w:tc>
          <w:tcPr>
            <w:tcW w:w="1035" w:type="dxa"/>
            <w:noWrap w:val="0"/>
            <w:vAlign w:val="center"/>
          </w:tcPr>
          <w:p w14:paraId="3D77981B">
            <w:pPr>
              <w:jc w:val="center"/>
              <w:rPr>
                <w:rFonts w:hint="eastAsia" w:ascii="宋体" w:hAnsi="宋体" w:eastAsia="宋体" w:cs="宋体"/>
                <w:color w:val="auto"/>
                <w:sz w:val="21"/>
                <w:szCs w:val="21"/>
                <w:highlight w:val="none"/>
              </w:rPr>
            </w:pPr>
          </w:p>
        </w:tc>
      </w:tr>
      <w:tr w14:paraId="7D3D1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15" w:hRule="atLeast"/>
        </w:trPr>
        <w:tc>
          <w:tcPr>
            <w:tcW w:w="572" w:type="dxa"/>
            <w:noWrap w:val="0"/>
            <w:vAlign w:val="center"/>
          </w:tcPr>
          <w:p w14:paraId="2CD90E6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90" w:type="dxa"/>
            <w:noWrap w:val="0"/>
            <w:vAlign w:val="center"/>
          </w:tcPr>
          <w:p w14:paraId="07F7C13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7-2020</w:t>
            </w:r>
          </w:p>
        </w:tc>
        <w:tc>
          <w:tcPr>
            <w:tcW w:w="1216" w:type="dxa"/>
            <w:noWrap w:val="0"/>
            <w:vAlign w:val="center"/>
          </w:tcPr>
          <w:p w14:paraId="4B0DAB7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附录E.4</w:t>
            </w:r>
          </w:p>
        </w:tc>
        <w:tc>
          <w:tcPr>
            <w:tcW w:w="3825" w:type="dxa"/>
            <w:tcBorders>
              <w:right w:val="single" w:color="auto" w:sz="4" w:space="0"/>
            </w:tcBorders>
            <w:noWrap w:val="0"/>
            <w:vAlign w:val="center"/>
          </w:tcPr>
          <w:p w14:paraId="2683876C">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附录E.4《关键原材料清单》镀银铜带原材料进厂检验规范</w:t>
            </w:r>
          </w:p>
        </w:tc>
        <w:tc>
          <w:tcPr>
            <w:tcW w:w="779" w:type="dxa"/>
            <w:tcBorders>
              <w:left w:val="single" w:color="auto" w:sz="4" w:space="0"/>
            </w:tcBorders>
            <w:noWrap w:val="0"/>
            <w:vAlign w:val="center"/>
          </w:tcPr>
          <w:p w14:paraId="0B0E6F1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037D99F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2020.9.21</w:t>
            </w:r>
          </w:p>
        </w:tc>
        <w:tc>
          <w:tcPr>
            <w:tcW w:w="1035" w:type="dxa"/>
            <w:noWrap w:val="0"/>
            <w:vAlign w:val="center"/>
          </w:tcPr>
          <w:p w14:paraId="1AC2FFA1">
            <w:pPr>
              <w:jc w:val="center"/>
              <w:rPr>
                <w:rFonts w:hint="eastAsia" w:ascii="宋体" w:hAnsi="宋体" w:eastAsia="宋体" w:cs="宋体"/>
                <w:color w:val="auto"/>
                <w:sz w:val="21"/>
                <w:szCs w:val="21"/>
                <w:highlight w:val="none"/>
              </w:rPr>
            </w:pPr>
          </w:p>
        </w:tc>
      </w:tr>
      <w:tr w14:paraId="4E167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05B190B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090" w:type="dxa"/>
            <w:noWrap w:val="0"/>
            <w:vAlign w:val="center"/>
          </w:tcPr>
          <w:p w14:paraId="6E97639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2F71154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3825" w:type="dxa"/>
            <w:tcBorders>
              <w:right w:val="single" w:color="auto" w:sz="4" w:space="0"/>
            </w:tcBorders>
            <w:noWrap w:val="0"/>
            <w:vAlign w:val="center"/>
          </w:tcPr>
          <w:p w14:paraId="1E087F6B">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完善“质量体系部”部门职责；</w:t>
            </w:r>
          </w:p>
          <w:p w14:paraId="489E38F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将“事业部”职责分成“军工事业部和电力和通信事业部”，增加“军工事业部”材料储存管理、产成品运输的职责；</w:t>
            </w:r>
          </w:p>
          <w:p w14:paraId="407F1783">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取消“企业技术中心办公室”部门职责与权限；调整“综合管理部”职责</w:t>
            </w:r>
          </w:p>
        </w:tc>
        <w:tc>
          <w:tcPr>
            <w:tcW w:w="779" w:type="dxa"/>
            <w:tcBorders>
              <w:left w:val="single" w:color="auto" w:sz="4" w:space="0"/>
            </w:tcBorders>
            <w:noWrap w:val="0"/>
            <w:vAlign w:val="center"/>
          </w:tcPr>
          <w:p w14:paraId="50160F4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4D8233A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center"/>
          </w:tcPr>
          <w:p w14:paraId="007F1D1F">
            <w:pPr>
              <w:jc w:val="center"/>
              <w:rPr>
                <w:rFonts w:hint="eastAsia" w:ascii="宋体" w:hAnsi="宋体" w:eastAsia="宋体" w:cs="宋体"/>
                <w:color w:val="auto"/>
                <w:sz w:val="21"/>
                <w:szCs w:val="21"/>
                <w:highlight w:val="none"/>
              </w:rPr>
            </w:pPr>
          </w:p>
        </w:tc>
      </w:tr>
      <w:tr w14:paraId="0EA17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57FBF61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090" w:type="dxa"/>
            <w:noWrap w:val="0"/>
            <w:vAlign w:val="center"/>
          </w:tcPr>
          <w:p w14:paraId="3A96330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5FEB4E3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3825" w:type="dxa"/>
            <w:tcBorders>
              <w:right w:val="single" w:color="auto" w:sz="4" w:space="0"/>
            </w:tcBorders>
            <w:noWrap w:val="0"/>
            <w:vAlign w:val="center"/>
          </w:tcPr>
          <w:p w14:paraId="53CA7C36">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将“次要相关部门”更改为“主要相关部门”，增加“</w:t>
            </w:r>
            <w:r>
              <w:rPr>
                <w:rFonts w:hint="eastAsia" w:ascii="宋体" w:hAnsi="宋体" w:eastAsia="宋体" w:cs="宋体"/>
                <w:color w:val="auto"/>
                <w:sz w:val="21"/>
                <w:szCs w:val="21"/>
                <w:highlight w:val="none"/>
                <w:lang w:eastAsia="zh-CN"/>
              </w:rPr>
              <w:t>采购管理部</w:t>
            </w:r>
            <w:r>
              <w:rPr>
                <w:rFonts w:hint="eastAsia" w:ascii="宋体" w:hAnsi="宋体" w:eastAsia="宋体" w:cs="宋体"/>
                <w:color w:val="auto"/>
                <w:sz w:val="21"/>
                <w:szCs w:val="21"/>
                <w:highlight w:val="none"/>
              </w:rPr>
              <w:t>”，将“事业部”更改为“电力和通信事业部”；调整“</w:t>
            </w:r>
            <w:r>
              <w:rPr>
                <w:rFonts w:hint="eastAsia" w:ascii="宋体" w:hAnsi="宋体" w:eastAsia="宋体" w:cs="宋体"/>
                <w:color w:val="auto"/>
                <w:sz w:val="21"/>
                <w:szCs w:val="21"/>
                <w:highlight w:val="none"/>
                <w:lang w:eastAsia="zh-CN"/>
              </w:rPr>
              <w:t>智能制造部</w:t>
            </w:r>
            <w:r>
              <w:rPr>
                <w:rFonts w:hint="eastAsia" w:ascii="宋体" w:hAnsi="宋体" w:eastAsia="宋体" w:cs="宋体"/>
                <w:color w:val="auto"/>
                <w:sz w:val="21"/>
                <w:szCs w:val="21"/>
                <w:highlight w:val="none"/>
              </w:rPr>
              <w:t>”职责</w:t>
            </w:r>
          </w:p>
        </w:tc>
        <w:tc>
          <w:tcPr>
            <w:tcW w:w="779" w:type="dxa"/>
            <w:tcBorders>
              <w:left w:val="single" w:color="auto" w:sz="4" w:space="0"/>
            </w:tcBorders>
            <w:noWrap w:val="0"/>
            <w:vAlign w:val="center"/>
          </w:tcPr>
          <w:p w14:paraId="5A058FB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6225D3C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center"/>
          </w:tcPr>
          <w:p w14:paraId="3B01EFCF">
            <w:pPr>
              <w:jc w:val="center"/>
              <w:rPr>
                <w:rFonts w:hint="eastAsia" w:ascii="宋体" w:hAnsi="宋体" w:eastAsia="宋体" w:cs="宋体"/>
                <w:color w:val="auto"/>
                <w:sz w:val="21"/>
                <w:szCs w:val="21"/>
                <w:highlight w:val="none"/>
              </w:rPr>
            </w:pPr>
          </w:p>
        </w:tc>
      </w:tr>
      <w:tr w14:paraId="511A8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5F81DD2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090" w:type="dxa"/>
            <w:noWrap w:val="0"/>
            <w:vAlign w:val="center"/>
          </w:tcPr>
          <w:p w14:paraId="2A2169D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0E61877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4.14</w:t>
            </w:r>
          </w:p>
        </w:tc>
        <w:tc>
          <w:tcPr>
            <w:tcW w:w="3825" w:type="dxa"/>
            <w:tcBorders>
              <w:right w:val="single" w:color="auto" w:sz="4" w:space="0"/>
            </w:tcBorders>
            <w:noWrap w:val="0"/>
            <w:vAlign w:val="center"/>
          </w:tcPr>
          <w:p w14:paraId="060687FD">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增加“军工事业部”材料仓储管理职责和材料出入库及贮存、防护、标识、使用管理控制，删除</w:t>
            </w:r>
            <w:r>
              <w:rPr>
                <w:rFonts w:hint="eastAsia" w:ascii="宋体" w:hAnsi="宋体" w:eastAsia="宋体" w:cs="宋体"/>
                <w:color w:val="auto"/>
                <w:sz w:val="21"/>
                <w:szCs w:val="21"/>
                <w:highlight w:val="none"/>
                <w:lang w:eastAsia="zh-CN"/>
              </w:rPr>
              <w:t>采购管理部</w:t>
            </w:r>
            <w:r>
              <w:rPr>
                <w:rFonts w:hint="eastAsia" w:ascii="宋体" w:hAnsi="宋体" w:eastAsia="宋体" w:cs="宋体"/>
                <w:color w:val="auto"/>
                <w:sz w:val="21"/>
                <w:szCs w:val="21"/>
                <w:highlight w:val="none"/>
              </w:rPr>
              <w:t>此职责；</w:t>
            </w:r>
          </w:p>
          <w:p w14:paraId="7E233E50">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增加4.14.4.8条款“相关记录的保存期10年”</w:t>
            </w:r>
          </w:p>
        </w:tc>
        <w:tc>
          <w:tcPr>
            <w:tcW w:w="779" w:type="dxa"/>
            <w:tcBorders>
              <w:left w:val="single" w:color="auto" w:sz="4" w:space="0"/>
            </w:tcBorders>
            <w:noWrap w:val="0"/>
            <w:vAlign w:val="center"/>
          </w:tcPr>
          <w:p w14:paraId="7B89BD1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76A6AAC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center"/>
          </w:tcPr>
          <w:p w14:paraId="792BEEDA">
            <w:pPr>
              <w:jc w:val="center"/>
              <w:rPr>
                <w:rFonts w:hint="eastAsia" w:ascii="宋体" w:hAnsi="宋体" w:eastAsia="宋体" w:cs="宋体"/>
                <w:color w:val="auto"/>
                <w:sz w:val="21"/>
                <w:szCs w:val="21"/>
                <w:highlight w:val="none"/>
              </w:rPr>
            </w:pPr>
          </w:p>
        </w:tc>
      </w:tr>
      <w:tr w14:paraId="2E311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253353A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090" w:type="dxa"/>
            <w:noWrap w:val="0"/>
            <w:vAlign w:val="center"/>
          </w:tcPr>
          <w:p w14:paraId="1DA6325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17A43FB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4.15</w:t>
            </w:r>
          </w:p>
        </w:tc>
        <w:tc>
          <w:tcPr>
            <w:tcW w:w="3825" w:type="dxa"/>
            <w:tcBorders>
              <w:right w:val="single" w:color="auto" w:sz="4" w:space="0"/>
            </w:tcBorders>
            <w:noWrap w:val="0"/>
            <w:vAlign w:val="center"/>
          </w:tcPr>
          <w:p w14:paraId="0D095E5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增加军工事业部对库房的产品、材料的标识和可追溯性记录的管理和检查的职责，调整</w:t>
            </w:r>
            <w:r>
              <w:rPr>
                <w:rFonts w:hint="eastAsia" w:ascii="宋体" w:hAnsi="宋体" w:eastAsia="宋体" w:cs="宋体"/>
                <w:color w:val="auto"/>
                <w:sz w:val="21"/>
                <w:szCs w:val="21"/>
                <w:highlight w:val="none"/>
                <w:lang w:eastAsia="zh-CN"/>
              </w:rPr>
              <w:t>采购管理部</w:t>
            </w:r>
            <w:r>
              <w:rPr>
                <w:rFonts w:hint="eastAsia" w:ascii="宋体" w:hAnsi="宋体" w:eastAsia="宋体" w:cs="宋体"/>
                <w:color w:val="auto"/>
                <w:sz w:val="21"/>
                <w:szCs w:val="21"/>
                <w:highlight w:val="none"/>
              </w:rPr>
              <w:t>的此项职责</w:t>
            </w:r>
          </w:p>
        </w:tc>
        <w:tc>
          <w:tcPr>
            <w:tcW w:w="779" w:type="dxa"/>
            <w:tcBorders>
              <w:left w:val="single" w:color="auto" w:sz="4" w:space="0"/>
            </w:tcBorders>
            <w:noWrap w:val="0"/>
            <w:vAlign w:val="center"/>
          </w:tcPr>
          <w:p w14:paraId="55C6EFF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2736BCC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center"/>
          </w:tcPr>
          <w:p w14:paraId="26E2B036">
            <w:pPr>
              <w:jc w:val="center"/>
              <w:rPr>
                <w:rFonts w:hint="eastAsia" w:ascii="宋体" w:hAnsi="宋体" w:eastAsia="宋体" w:cs="宋体"/>
                <w:color w:val="auto"/>
                <w:sz w:val="21"/>
                <w:szCs w:val="21"/>
                <w:highlight w:val="none"/>
              </w:rPr>
            </w:pPr>
          </w:p>
        </w:tc>
      </w:tr>
      <w:tr w14:paraId="2529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78A2459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090" w:type="dxa"/>
            <w:noWrap w:val="0"/>
            <w:vAlign w:val="center"/>
          </w:tcPr>
          <w:p w14:paraId="4F4276B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6D957C6B">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4.17</w:t>
            </w:r>
          </w:p>
        </w:tc>
        <w:tc>
          <w:tcPr>
            <w:tcW w:w="3825" w:type="dxa"/>
            <w:tcBorders>
              <w:right w:val="single" w:color="auto" w:sz="4" w:space="0"/>
            </w:tcBorders>
            <w:noWrap w:val="0"/>
            <w:vAlign w:val="center"/>
          </w:tcPr>
          <w:p w14:paraId="408F42A8">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取消</w:t>
            </w:r>
            <w:r>
              <w:rPr>
                <w:rFonts w:hint="eastAsia" w:ascii="宋体" w:hAnsi="宋体" w:eastAsia="宋体" w:cs="宋体"/>
                <w:color w:val="auto"/>
                <w:sz w:val="21"/>
                <w:szCs w:val="21"/>
                <w:highlight w:val="none"/>
                <w:lang w:eastAsia="zh-CN"/>
              </w:rPr>
              <w:t>采购管理部</w:t>
            </w:r>
            <w:r>
              <w:rPr>
                <w:rFonts w:hint="eastAsia" w:ascii="宋体" w:hAnsi="宋体" w:eastAsia="宋体" w:cs="宋体"/>
                <w:color w:val="auto"/>
                <w:sz w:val="21"/>
                <w:szCs w:val="21"/>
                <w:highlight w:val="none"/>
              </w:rPr>
              <w:t>的职责，增加军工事业部的职责，将其调整为归口部门，增加质量体系部为主要相关部门</w:t>
            </w:r>
          </w:p>
        </w:tc>
        <w:tc>
          <w:tcPr>
            <w:tcW w:w="779" w:type="dxa"/>
            <w:tcBorders>
              <w:left w:val="single" w:color="auto" w:sz="4" w:space="0"/>
            </w:tcBorders>
            <w:noWrap w:val="0"/>
            <w:vAlign w:val="center"/>
          </w:tcPr>
          <w:p w14:paraId="7F8A6F9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634E256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top"/>
          </w:tcPr>
          <w:p w14:paraId="1E25D328">
            <w:pPr>
              <w:jc w:val="center"/>
              <w:rPr>
                <w:rFonts w:hint="eastAsia" w:ascii="宋体" w:hAnsi="宋体" w:eastAsia="宋体" w:cs="宋体"/>
                <w:color w:val="auto"/>
                <w:sz w:val="21"/>
                <w:szCs w:val="21"/>
                <w:highlight w:val="none"/>
              </w:rPr>
            </w:pPr>
          </w:p>
        </w:tc>
      </w:tr>
      <w:tr w14:paraId="51ADD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357ADC4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090" w:type="dxa"/>
            <w:noWrap w:val="0"/>
            <w:vAlign w:val="center"/>
          </w:tcPr>
          <w:p w14:paraId="63B0D58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3C56C2D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附录B</w:t>
            </w:r>
          </w:p>
        </w:tc>
        <w:tc>
          <w:tcPr>
            <w:tcW w:w="3825" w:type="dxa"/>
            <w:tcBorders>
              <w:right w:val="single" w:color="auto" w:sz="4" w:space="0"/>
            </w:tcBorders>
            <w:noWrap w:val="0"/>
            <w:vAlign w:val="center"/>
          </w:tcPr>
          <w:p w14:paraId="1BF8E6FF">
            <w:pPr>
              <w:tabs>
                <w:tab w:val="left" w:pos="2266"/>
              </w:tabs>
              <w:adjustRightInd w:val="0"/>
              <w:snapToGrid w:val="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调整质量体系部、</w:t>
            </w:r>
            <w:r>
              <w:rPr>
                <w:rFonts w:hint="eastAsia" w:ascii="宋体" w:hAnsi="宋体" w:eastAsia="宋体" w:cs="宋体"/>
                <w:color w:val="auto"/>
                <w:sz w:val="21"/>
                <w:szCs w:val="21"/>
                <w:highlight w:val="none"/>
                <w:lang w:eastAsia="zh-CN"/>
              </w:rPr>
              <w:t>智能制造部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采购管理部</w:t>
            </w:r>
            <w:r>
              <w:rPr>
                <w:rFonts w:hint="eastAsia" w:ascii="宋体" w:hAnsi="宋体" w:eastAsia="宋体" w:cs="宋体"/>
                <w:color w:val="auto"/>
                <w:sz w:val="21"/>
                <w:szCs w:val="21"/>
                <w:highlight w:val="none"/>
              </w:rPr>
              <w:t>、军工事业部的职能分配；</w:t>
            </w:r>
          </w:p>
          <w:p w14:paraId="5395FC56">
            <w:pPr>
              <w:tabs>
                <w:tab w:val="left" w:pos="2266"/>
              </w:tabs>
              <w:adjustRightInd w:val="0"/>
              <w:snapToGrid w:val="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更改“企业技术中心办公室”为不涉及本生产线的部门</w:t>
            </w:r>
          </w:p>
        </w:tc>
        <w:tc>
          <w:tcPr>
            <w:tcW w:w="779" w:type="dxa"/>
            <w:tcBorders>
              <w:left w:val="single" w:color="auto" w:sz="4" w:space="0"/>
            </w:tcBorders>
            <w:noWrap w:val="0"/>
            <w:vAlign w:val="center"/>
          </w:tcPr>
          <w:p w14:paraId="12D75AB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5A29A3B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top"/>
          </w:tcPr>
          <w:p w14:paraId="5720858E">
            <w:pPr>
              <w:jc w:val="center"/>
              <w:rPr>
                <w:rFonts w:hint="eastAsia" w:ascii="宋体" w:hAnsi="宋体" w:eastAsia="宋体" w:cs="宋体"/>
                <w:color w:val="auto"/>
                <w:sz w:val="21"/>
                <w:szCs w:val="21"/>
                <w:highlight w:val="none"/>
              </w:rPr>
            </w:pPr>
          </w:p>
        </w:tc>
      </w:tr>
      <w:tr w14:paraId="2E0DE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7029BBC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090" w:type="dxa"/>
            <w:noWrap w:val="0"/>
            <w:vAlign w:val="center"/>
          </w:tcPr>
          <w:p w14:paraId="1A3C4D5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137EDEC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附录C</w:t>
            </w:r>
          </w:p>
        </w:tc>
        <w:tc>
          <w:tcPr>
            <w:tcW w:w="3825" w:type="dxa"/>
            <w:tcBorders>
              <w:right w:val="single" w:color="auto" w:sz="4" w:space="0"/>
            </w:tcBorders>
            <w:noWrap w:val="0"/>
            <w:vAlign w:val="center"/>
          </w:tcPr>
          <w:p w14:paraId="1D6C40EE">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调整质量体系部、</w:t>
            </w:r>
            <w:r>
              <w:rPr>
                <w:rFonts w:hint="eastAsia" w:ascii="宋体" w:hAnsi="宋体" w:eastAsia="宋体" w:cs="宋体"/>
                <w:color w:val="auto"/>
                <w:sz w:val="21"/>
                <w:szCs w:val="21"/>
                <w:highlight w:val="none"/>
                <w:lang w:eastAsia="zh-CN"/>
              </w:rPr>
              <w:t>智能制造部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采购管理部</w:t>
            </w:r>
            <w:r>
              <w:rPr>
                <w:rFonts w:hint="eastAsia" w:ascii="宋体" w:hAnsi="宋体" w:eastAsia="宋体" w:cs="宋体"/>
                <w:color w:val="auto"/>
                <w:sz w:val="21"/>
                <w:szCs w:val="21"/>
                <w:highlight w:val="none"/>
              </w:rPr>
              <w:t>、军工事业部、电力和通信事业部的职能分配</w:t>
            </w:r>
          </w:p>
        </w:tc>
        <w:tc>
          <w:tcPr>
            <w:tcW w:w="779" w:type="dxa"/>
            <w:tcBorders>
              <w:left w:val="single" w:color="auto" w:sz="4" w:space="0"/>
            </w:tcBorders>
            <w:noWrap w:val="0"/>
            <w:vAlign w:val="center"/>
          </w:tcPr>
          <w:p w14:paraId="6C53A8D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1F71B43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top"/>
          </w:tcPr>
          <w:p w14:paraId="6FF2FA6C">
            <w:pPr>
              <w:jc w:val="center"/>
              <w:rPr>
                <w:rFonts w:hint="eastAsia" w:ascii="宋体" w:hAnsi="宋体" w:eastAsia="宋体" w:cs="宋体"/>
                <w:color w:val="auto"/>
                <w:sz w:val="21"/>
                <w:szCs w:val="21"/>
                <w:highlight w:val="none"/>
              </w:rPr>
            </w:pPr>
          </w:p>
        </w:tc>
      </w:tr>
      <w:tr w14:paraId="268FA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6E0475E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090" w:type="dxa"/>
            <w:noWrap w:val="0"/>
            <w:vAlign w:val="center"/>
          </w:tcPr>
          <w:p w14:paraId="0764DAA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04-2021</w:t>
            </w:r>
          </w:p>
        </w:tc>
        <w:tc>
          <w:tcPr>
            <w:tcW w:w="1216" w:type="dxa"/>
            <w:noWrap w:val="0"/>
            <w:vAlign w:val="center"/>
          </w:tcPr>
          <w:p w14:paraId="4443B3B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附录E.12</w:t>
            </w:r>
          </w:p>
        </w:tc>
        <w:tc>
          <w:tcPr>
            <w:tcW w:w="3825" w:type="dxa"/>
            <w:tcBorders>
              <w:right w:val="single" w:color="auto" w:sz="4" w:space="0"/>
            </w:tcBorders>
            <w:noWrap w:val="0"/>
            <w:vAlign w:val="center"/>
          </w:tcPr>
          <w:p w14:paraId="30F2FE02">
            <w:pPr>
              <w:tabs>
                <w:tab w:val="left" w:pos="2266"/>
              </w:tabs>
              <w:adjustRightInd w:val="0"/>
              <w:snapToGrid w:val="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调整关键岗位人员，生产制造部副部长由文永强更改为杨东明；取消绕包绝缘、绕包屏蔽工序关键人员李莉；取消内审员周莹</w:t>
            </w:r>
          </w:p>
        </w:tc>
        <w:tc>
          <w:tcPr>
            <w:tcW w:w="779" w:type="dxa"/>
            <w:tcBorders>
              <w:left w:val="single" w:color="auto" w:sz="4" w:space="0"/>
            </w:tcBorders>
            <w:noWrap w:val="0"/>
            <w:vAlign w:val="center"/>
          </w:tcPr>
          <w:p w14:paraId="7707AEF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换页</w:t>
            </w:r>
          </w:p>
        </w:tc>
        <w:tc>
          <w:tcPr>
            <w:tcW w:w="1215" w:type="dxa"/>
            <w:noWrap w:val="0"/>
            <w:vAlign w:val="center"/>
          </w:tcPr>
          <w:p w14:paraId="5B94F3B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2021.3.25</w:t>
            </w:r>
          </w:p>
        </w:tc>
        <w:tc>
          <w:tcPr>
            <w:tcW w:w="1035" w:type="dxa"/>
            <w:noWrap w:val="0"/>
            <w:vAlign w:val="top"/>
          </w:tcPr>
          <w:p w14:paraId="2A5BE097">
            <w:pPr>
              <w:jc w:val="center"/>
              <w:rPr>
                <w:rFonts w:hint="eastAsia" w:ascii="宋体" w:hAnsi="宋体" w:eastAsia="宋体" w:cs="宋体"/>
                <w:color w:val="auto"/>
                <w:sz w:val="21"/>
                <w:szCs w:val="21"/>
                <w:highlight w:val="none"/>
              </w:rPr>
            </w:pPr>
          </w:p>
        </w:tc>
      </w:tr>
      <w:tr w14:paraId="21B96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7CD0C8DD">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090" w:type="dxa"/>
            <w:noWrap w:val="0"/>
            <w:vAlign w:val="center"/>
          </w:tcPr>
          <w:p w14:paraId="5ECC1BEE">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06-2021</w:t>
            </w:r>
          </w:p>
        </w:tc>
        <w:tc>
          <w:tcPr>
            <w:tcW w:w="1216" w:type="dxa"/>
            <w:noWrap w:val="0"/>
            <w:vAlign w:val="center"/>
          </w:tcPr>
          <w:p w14:paraId="73B580B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附录E.1</w:t>
            </w:r>
          </w:p>
        </w:tc>
        <w:tc>
          <w:tcPr>
            <w:tcW w:w="3825" w:type="dxa"/>
            <w:tcBorders>
              <w:right w:val="single" w:color="auto" w:sz="4" w:space="0"/>
            </w:tcBorders>
            <w:noWrap w:val="0"/>
            <w:vAlign w:val="center"/>
          </w:tcPr>
          <w:p w14:paraId="76C468AA">
            <w:pPr>
              <w:tabs>
                <w:tab w:val="left" w:pos="2266"/>
              </w:tabs>
              <w:adjustRightInd w:val="0"/>
              <w:snapToGrid w:val="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附录E.</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生产流程图</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中</w:t>
            </w:r>
            <w:r>
              <w:rPr>
                <w:rFonts w:hint="eastAsia" w:ascii="宋体" w:hAnsi="宋体" w:eastAsia="宋体" w:cs="宋体"/>
                <w:color w:val="auto"/>
                <w:sz w:val="21"/>
                <w:szCs w:val="21"/>
                <w:highlight w:val="none"/>
                <w:lang w:val="en-US" w:eastAsia="zh-CN"/>
              </w:rPr>
              <w:t>SFCF</w:t>
            </w:r>
            <w:r>
              <w:rPr>
                <w:rFonts w:hint="eastAsia" w:ascii="宋体" w:hAnsi="宋体" w:eastAsia="宋体" w:cs="宋体"/>
                <w:color w:val="auto"/>
                <w:sz w:val="21"/>
                <w:szCs w:val="21"/>
                <w:highlight w:val="none"/>
                <w:vertAlign w:val="subscript"/>
                <w:lang w:val="en-US" w:eastAsia="zh-CN"/>
              </w:rPr>
              <w:t>4</w:t>
            </w:r>
            <w:r>
              <w:rPr>
                <w:rFonts w:hint="eastAsia" w:ascii="宋体" w:hAnsi="宋体" w:eastAsia="宋体" w:cs="宋体"/>
                <w:color w:val="auto"/>
                <w:sz w:val="21"/>
                <w:szCs w:val="21"/>
                <w:highlight w:val="none"/>
                <w:lang w:val="en-US" w:eastAsia="zh-CN"/>
              </w:rPr>
              <w:t>-50-2.5型超柔射频同轴电缆加工工序</w:t>
            </w:r>
            <w:r>
              <w:rPr>
                <w:rFonts w:hint="eastAsia" w:ascii="宋体" w:hAnsi="宋体" w:eastAsia="宋体" w:cs="宋体"/>
                <w:color w:val="auto"/>
                <w:sz w:val="21"/>
                <w:szCs w:val="21"/>
                <w:highlight w:val="none"/>
                <w:lang w:eastAsia="zh-CN"/>
              </w:rPr>
              <w:t>过程、成品及包装</w:t>
            </w:r>
            <w:r>
              <w:rPr>
                <w:rFonts w:hint="eastAsia" w:ascii="宋体" w:hAnsi="宋体" w:eastAsia="宋体" w:cs="宋体"/>
                <w:color w:val="auto"/>
                <w:sz w:val="21"/>
                <w:szCs w:val="21"/>
                <w:highlight w:val="none"/>
              </w:rPr>
              <w:t>检验规</w:t>
            </w:r>
            <w:r>
              <w:rPr>
                <w:rFonts w:hint="eastAsia" w:ascii="宋体" w:hAnsi="宋体" w:eastAsia="宋体" w:cs="宋体"/>
                <w:color w:val="auto"/>
                <w:sz w:val="21"/>
                <w:szCs w:val="21"/>
                <w:highlight w:val="none"/>
                <w:lang w:eastAsia="zh-CN"/>
              </w:rPr>
              <w:t>程</w:t>
            </w:r>
          </w:p>
        </w:tc>
        <w:tc>
          <w:tcPr>
            <w:tcW w:w="779" w:type="dxa"/>
            <w:tcBorders>
              <w:left w:val="single" w:color="auto" w:sz="4" w:space="0"/>
            </w:tcBorders>
            <w:noWrap w:val="0"/>
            <w:vAlign w:val="center"/>
          </w:tcPr>
          <w:p w14:paraId="0BDF8211">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换页</w:t>
            </w:r>
          </w:p>
        </w:tc>
        <w:tc>
          <w:tcPr>
            <w:tcW w:w="1215" w:type="dxa"/>
            <w:noWrap w:val="0"/>
            <w:vAlign w:val="center"/>
          </w:tcPr>
          <w:p w14:paraId="429DAD2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2021.6.3</w:t>
            </w:r>
          </w:p>
        </w:tc>
        <w:tc>
          <w:tcPr>
            <w:tcW w:w="1035" w:type="dxa"/>
            <w:noWrap w:val="0"/>
            <w:vAlign w:val="top"/>
          </w:tcPr>
          <w:p w14:paraId="070183AF">
            <w:pPr>
              <w:jc w:val="center"/>
              <w:rPr>
                <w:rFonts w:hint="eastAsia" w:ascii="宋体" w:hAnsi="宋体" w:eastAsia="宋体" w:cs="宋体"/>
                <w:color w:val="auto"/>
                <w:sz w:val="21"/>
                <w:szCs w:val="21"/>
                <w:highlight w:val="none"/>
              </w:rPr>
            </w:pPr>
          </w:p>
        </w:tc>
      </w:tr>
      <w:tr w14:paraId="54A6B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221B3EDD">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1090" w:type="dxa"/>
            <w:noWrap w:val="0"/>
            <w:vAlign w:val="center"/>
          </w:tcPr>
          <w:p w14:paraId="505AC2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03-2023</w:t>
            </w:r>
          </w:p>
        </w:tc>
        <w:tc>
          <w:tcPr>
            <w:tcW w:w="1216" w:type="dxa"/>
            <w:noWrap w:val="0"/>
            <w:vAlign w:val="center"/>
          </w:tcPr>
          <w:p w14:paraId="268D42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4.2.2.1</w:t>
            </w:r>
          </w:p>
        </w:tc>
        <w:tc>
          <w:tcPr>
            <w:tcW w:w="3825" w:type="dxa"/>
            <w:tcBorders>
              <w:right w:val="single" w:color="auto" w:sz="4" w:space="0"/>
            </w:tcBorders>
            <w:noWrap w:val="0"/>
            <w:vAlign w:val="center"/>
          </w:tcPr>
          <w:p w14:paraId="780C6AE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最高管理者由董事长更改为总经理</w:t>
            </w:r>
          </w:p>
        </w:tc>
        <w:tc>
          <w:tcPr>
            <w:tcW w:w="779" w:type="dxa"/>
            <w:tcBorders>
              <w:left w:val="single" w:color="auto" w:sz="4" w:space="0"/>
            </w:tcBorders>
            <w:noWrap w:val="0"/>
            <w:vAlign w:val="center"/>
          </w:tcPr>
          <w:p w14:paraId="67D4C7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换页</w:t>
            </w:r>
          </w:p>
        </w:tc>
        <w:tc>
          <w:tcPr>
            <w:tcW w:w="1215" w:type="dxa"/>
            <w:noWrap w:val="0"/>
            <w:vAlign w:val="center"/>
          </w:tcPr>
          <w:p w14:paraId="0069D2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2023.3.3</w:t>
            </w:r>
          </w:p>
        </w:tc>
        <w:tc>
          <w:tcPr>
            <w:tcW w:w="1035" w:type="dxa"/>
            <w:noWrap w:val="0"/>
            <w:vAlign w:val="center"/>
          </w:tcPr>
          <w:p w14:paraId="1F7699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p>
        </w:tc>
      </w:tr>
      <w:tr w14:paraId="7D293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5C2D2D38">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1090" w:type="dxa"/>
            <w:noWrap w:val="0"/>
            <w:vAlign w:val="center"/>
          </w:tcPr>
          <w:p w14:paraId="247DB4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03-2023</w:t>
            </w:r>
          </w:p>
        </w:tc>
        <w:tc>
          <w:tcPr>
            <w:tcW w:w="1216" w:type="dxa"/>
            <w:noWrap w:val="0"/>
            <w:vAlign w:val="center"/>
          </w:tcPr>
          <w:p w14:paraId="6475E5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4.2.2.2/4.6.3/4.7.3/4.8.3/4.9.3/4.10.3/4.11.3/4.12.3/4.13.3/4.15.3/4.17.3/4.19.3和附录A、附录E.3、附录E.5、附录E.12</w:t>
            </w:r>
          </w:p>
        </w:tc>
        <w:tc>
          <w:tcPr>
            <w:tcW w:w="3825" w:type="dxa"/>
            <w:tcBorders>
              <w:right w:val="single" w:color="auto" w:sz="4" w:space="0"/>
            </w:tcBorders>
            <w:noWrap w:val="0"/>
            <w:vAlign w:val="center"/>
          </w:tcPr>
          <w:p w14:paraId="416E49F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将文中“电力和通信事业部”更改为“电力事业部”</w:t>
            </w:r>
          </w:p>
        </w:tc>
        <w:tc>
          <w:tcPr>
            <w:tcW w:w="779" w:type="dxa"/>
            <w:tcBorders>
              <w:left w:val="single" w:color="auto" w:sz="4" w:space="0"/>
            </w:tcBorders>
            <w:noWrap w:val="0"/>
            <w:vAlign w:val="center"/>
          </w:tcPr>
          <w:p w14:paraId="227ECA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换页</w:t>
            </w:r>
          </w:p>
        </w:tc>
        <w:tc>
          <w:tcPr>
            <w:tcW w:w="1215" w:type="dxa"/>
            <w:noWrap w:val="0"/>
            <w:vAlign w:val="center"/>
          </w:tcPr>
          <w:p w14:paraId="05F0D8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2023.3.3</w:t>
            </w:r>
          </w:p>
        </w:tc>
        <w:tc>
          <w:tcPr>
            <w:tcW w:w="1035" w:type="dxa"/>
            <w:noWrap w:val="0"/>
            <w:vAlign w:val="center"/>
          </w:tcPr>
          <w:p w14:paraId="66EF53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p>
        </w:tc>
      </w:tr>
      <w:tr w14:paraId="34A6C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4751FD7F">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1090" w:type="dxa"/>
            <w:noWrap w:val="0"/>
            <w:vAlign w:val="center"/>
          </w:tcPr>
          <w:p w14:paraId="07EEE1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03-2023</w:t>
            </w:r>
          </w:p>
        </w:tc>
        <w:tc>
          <w:tcPr>
            <w:tcW w:w="1216" w:type="dxa"/>
            <w:noWrap w:val="0"/>
            <w:vAlign w:val="center"/>
          </w:tcPr>
          <w:p w14:paraId="4CE11E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附录A</w:t>
            </w:r>
          </w:p>
        </w:tc>
        <w:tc>
          <w:tcPr>
            <w:tcW w:w="3825" w:type="dxa"/>
            <w:tcBorders>
              <w:right w:val="single" w:color="auto" w:sz="4" w:space="0"/>
            </w:tcBorders>
            <w:noWrap w:val="0"/>
            <w:vAlign w:val="center"/>
          </w:tcPr>
          <w:p w14:paraId="194AB2A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将“三级保密资格单位证书”更改为“二级保密资格单位证书”</w:t>
            </w:r>
          </w:p>
        </w:tc>
        <w:tc>
          <w:tcPr>
            <w:tcW w:w="779" w:type="dxa"/>
            <w:tcBorders>
              <w:left w:val="single" w:color="auto" w:sz="4" w:space="0"/>
            </w:tcBorders>
            <w:noWrap w:val="0"/>
            <w:vAlign w:val="center"/>
          </w:tcPr>
          <w:p w14:paraId="10B209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换页</w:t>
            </w:r>
          </w:p>
        </w:tc>
        <w:tc>
          <w:tcPr>
            <w:tcW w:w="1215" w:type="dxa"/>
            <w:noWrap w:val="0"/>
            <w:vAlign w:val="center"/>
          </w:tcPr>
          <w:p w14:paraId="791BD3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2023.3.3</w:t>
            </w:r>
          </w:p>
        </w:tc>
        <w:tc>
          <w:tcPr>
            <w:tcW w:w="1035" w:type="dxa"/>
            <w:noWrap w:val="0"/>
            <w:vAlign w:val="center"/>
          </w:tcPr>
          <w:p w14:paraId="3927D4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p>
        </w:tc>
      </w:tr>
      <w:tr w14:paraId="3822A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095BC1F6">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1090" w:type="dxa"/>
            <w:noWrap w:val="0"/>
            <w:vAlign w:val="center"/>
          </w:tcPr>
          <w:p w14:paraId="797EACE2">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03-2023</w:t>
            </w:r>
          </w:p>
        </w:tc>
        <w:tc>
          <w:tcPr>
            <w:tcW w:w="1216" w:type="dxa"/>
            <w:noWrap w:val="0"/>
            <w:vAlign w:val="center"/>
          </w:tcPr>
          <w:p w14:paraId="68F0F1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附录B</w:t>
            </w:r>
          </w:p>
          <w:p w14:paraId="604A0D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附录C</w:t>
            </w:r>
          </w:p>
        </w:tc>
        <w:tc>
          <w:tcPr>
            <w:tcW w:w="3825" w:type="dxa"/>
            <w:tcBorders>
              <w:right w:val="single" w:color="auto" w:sz="4" w:space="0"/>
            </w:tcBorders>
            <w:noWrap w:val="0"/>
            <w:vAlign w:val="center"/>
          </w:tcPr>
          <w:p w14:paraId="653CBD2F">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将“电力和通信事业部”更改为“电力事业部”，“企业技术中心办公室”更改为“企业技术中心办公室”</w:t>
            </w:r>
          </w:p>
        </w:tc>
        <w:tc>
          <w:tcPr>
            <w:tcW w:w="779" w:type="dxa"/>
            <w:tcBorders>
              <w:left w:val="single" w:color="auto" w:sz="4" w:space="0"/>
            </w:tcBorders>
            <w:noWrap w:val="0"/>
            <w:vAlign w:val="center"/>
          </w:tcPr>
          <w:p w14:paraId="0699012C">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换页</w:t>
            </w:r>
          </w:p>
        </w:tc>
        <w:tc>
          <w:tcPr>
            <w:tcW w:w="1215" w:type="dxa"/>
            <w:noWrap w:val="0"/>
            <w:vAlign w:val="center"/>
          </w:tcPr>
          <w:p w14:paraId="25EB9C1E">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2023.3.3</w:t>
            </w:r>
          </w:p>
        </w:tc>
        <w:tc>
          <w:tcPr>
            <w:tcW w:w="1035" w:type="dxa"/>
            <w:noWrap w:val="0"/>
            <w:vAlign w:val="center"/>
          </w:tcPr>
          <w:p w14:paraId="6BAF9896">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rPr>
            </w:pPr>
          </w:p>
        </w:tc>
      </w:tr>
      <w:tr w14:paraId="41FB9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572" w:type="dxa"/>
            <w:noWrap w:val="0"/>
            <w:vAlign w:val="center"/>
          </w:tcPr>
          <w:p w14:paraId="576B5DB6">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1090" w:type="dxa"/>
            <w:noWrap w:val="0"/>
            <w:vAlign w:val="center"/>
          </w:tcPr>
          <w:p w14:paraId="3FF2C604">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03-2023</w:t>
            </w:r>
          </w:p>
        </w:tc>
        <w:tc>
          <w:tcPr>
            <w:tcW w:w="1216" w:type="dxa"/>
            <w:noWrap w:val="0"/>
            <w:vAlign w:val="center"/>
          </w:tcPr>
          <w:p w14:paraId="60424B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附录E.11  </w:t>
            </w:r>
          </w:p>
        </w:tc>
        <w:tc>
          <w:tcPr>
            <w:tcW w:w="3825" w:type="dxa"/>
            <w:tcBorders>
              <w:right w:val="single" w:color="auto" w:sz="4" w:space="0"/>
            </w:tcBorders>
            <w:noWrap w:val="0"/>
            <w:vAlign w:val="center"/>
          </w:tcPr>
          <w:p w14:paraId="48674BFC">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军工事业部总经理由甘露更改为杜彬、质量监督负责人由刘海涛更改为唐亮、内审员由刘海涛更改为付兰锌；检验删除夏清梅，增加：宋克娟、杨清卿、唐琳、甘小苹、邓敏、梁会德、吴晓俊</w:t>
            </w:r>
          </w:p>
        </w:tc>
        <w:tc>
          <w:tcPr>
            <w:tcW w:w="779" w:type="dxa"/>
            <w:tcBorders>
              <w:left w:val="single" w:color="auto" w:sz="4" w:space="0"/>
            </w:tcBorders>
            <w:noWrap w:val="0"/>
            <w:vAlign w:val="center"/>
          </w:tcPr>
          <w:p w14:paraId="13830B75">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换页</w:t>
            </w:r>
          </w:p>
        </w:tc>
        <w:tc>
          <w:tcPr>
            <w:tcW w:w="1215" w:type="dxa"/>
            <w:noWrap w:val="0"/>
            <w:vAlign w:val="center"/>
          </w:tcPr>
          <w:p w14:paraId="1B43CD2D">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2023.3.3</w:t>
            </w:r>
          </w:p>
        </w:tc>
        <w:tc>
          <w:tcPr>
            <w:tcW w:w="1035" w:type="dxa"/>
            <w:noWrap w:val="0"/>
            <w:vAlign w:val="center"/>
          </w:tcPr>
          <w:p w14:paraId="67C850C0">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rPr>
            </w:pPr>
          </w:p>
        </w:tc>
      </w:tr>
      <w:tr w14:paraId="28D5B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814" w:hRule="atLeast"/>
        </w:trPr>
        <w:tc>
          <w:tcPr>
            <w:tcW w:w="572" w:type="dxa"/>
            <w:noWrap w:val="0"/>
            <w:vAlign w:val="center"/>
          </w:tcPr>
          <w:p w14:paraId="116419B9">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090" w:type="dxa"/>
            <w:noWrap w:val="0"/>
            <w:vAlign w:val="center"/>
          </w:tcPr>
          <w:p w14:paraId="510D6A24">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02-2024</w:t>
            </w:r>
          </w:p>
        </w:tc>
        <w:tc>
          <w:tcPr>
            <w:tcW w:w="1216" w:type="dxa"/>
            <w:noWrap w:val="0"/>
            <w:vAlign w:val="center"/>
          </w:tcPr>
          <w:p w14:paraId="59CD9298">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全文</w:t>
            </w:r>
          </w:p>
        </w:tc>
        <w:tc>
          <w:tcPr>
            <w:tcW w:w="3825" w:type="dxa"/>
            <w:tcBorders>
              <w:right w:val="single" w:color="auto" w:sz="4" w:space="0"/>
            </w:tcBorders>
            <w:noWrap w:val="0"/>
            <w:vAlign w:val="center"/>
          </w:tcPr>
          <w:p w14:paraId="337C27ED">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更改文件编号、版本号；对公司组织机构与职责相关内容进行更改；更新生产流程图、生产区域定置图、关键原材料清单、关键岗位人员清单、程序文件清单及作业文件清单</w:t>
            </w:r>
          </w:p>
        </w:tc>
        <w:tc>
          <w:tcPr>
            <w:tcW w:w="779" w:type="dxa"/>
            <w:tcBorders>
              <w:left w:val="single" w:color="auto" w:sz="4" w:space="0"/>
            </w:tcBorders>
            <w:noWrap w:val="0"/>
            <w:vAlign w:val="center"/>
          </w:tcPr>
          <w:p w14:paraId="79F85676">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换版</w:t>
            </w:r>
          </w:p>
        </w:tc>
        <w:tc>
          <w:tcPr>
            <w:tcW w:w="1215" w:type="dxa"/>
            <w:noWrap w:val="0"/>
            <w:vAlign w:val="center"/>
          </w:tcPr>
          <w:p w14:paraId="4513EE4C">
            <w:pPr>
              <w:keepNext w:val="0"/>
              <w:keepLines w:val="0"/>
              <w:pageBreakBefore w:val="0"/>
              <w:widowControl w:val="0"/>
              <w:kinsoku/>
              <w:wordWrap/>
              <w:overflowPunct/>
              <w:topLinePunct w:val="0"/>
              <w:autoSpaceDE/>
              <w:autoSpaceDN/>
              <w:bidi w:val="0"/>
              <w:snapToGrid/>
              <w:spacing w:line="240" w:lineRule="auto"/>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2024.8.20</w:t>
            </w:r>
          </w:p>
        </w:tc>
        <w:tc>
          <w:tcPr>
            <w:tcW w:w="1035" w:type="dxa"/>
            <w:noWrap w:val="0"/>
            <w:vAlign w:val="center"/>
          </w:tcPr>
          <w:p w14:paraId="62E67A91">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rPr>
            </w:pPr>
          </w:p>
        </w:tc>
      </w:tr>
      <w:tr w14:paraId="704B6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814" w:hRule="atLeast"/>
        </w:trPr>
        <w:tc>
          <w:tcPr>
            <w:tcW w:w="572" w:type="dxa"/>
            <w:noWrap w:val="0"/>
            <w:vAlign w:val="center"/>
          </w:tcPr>
          <w:p w14:paraId="30EBE892">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p>
        </w:tc>
        <w:tc>
          <w:tcPr>
            <w:tcW w:w="1090" w:type="dxa"/>
            <w:noWrap w:val="0"/>
            <w:vAlign w:val="center"/>
          </w:tcPr>
          <w:p w14:paraId="1D188EE2">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02-2025</w:t>
            </w:r>
          </w:p>
        </w:tc>
        <w:tc>
          <w:tcPr>
            <w:tcW w:w="1216" w:type="dxa"/>
            <w:noWrap w:val="0"/>
            <w:vAlign w:val="center"/>
          </w:tcPr>
          <w:p w14:paraId="34F759A4">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全文</w:t>
            </w:r>
          </w:p>
        </w:tc>
        <w:tc>
          <w:tcPr>
            <w:tcW w:w="3825" w:type="dxa"/>
            <w:tcBorders>
              <w:right w:val="single" w:color="auto" w:sz="4" w:space="0"/>
            </w:tcBorders>
            <w:noWrap w:val="0"/>
            <w:vAlign w:val="center"/>
          </w:tcPr>
          <w:p w14:paraId="2191645D">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更改正文内容、附录B组织机构图、附录C质量职能分配图：将物资管理部更改为采购管理部，技术与信息化部更改为企业技术中心办公室，运行保障部更改为智能制造部；同时对以上部门的职能职责进行调整；</w:t>
            </w:r>
          </w:p>
          <w:p w14:paraId="743B4E93">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更新附录A单位简介；</w:t>
            </w:r>
          </w:p>
          <w:p w14:paraId="4ADBEAC0">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更改附录E.1生产流程图，增加质量一致性检验过程；</w:t>
            </w:r>
          </w:p>
          <w:p w14:paraId="363B64BB">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更新附录E.2生产区域定置图：更新104#厂房定置管理图BM560-D设备位置；</w:t>
            </w:r>
          </w:p>
          <w:p w14:paraId="3BE301A3">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更改附录E.4关键原材料清，明确镀银铜带型号；</w:t>
            </w:r>
          </w:p>
          <w:p w14:paraId="1BBD402C">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更改附录E.5生产设备清单，删除BM560-D双钮绞束线机编号036270708（3）；</w:t>
            </w:r>
          </w:p>
          <w:p w14:paraId="37EB9F86">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更改附录E.6检验试验设备清单、附录E.7失效分析设备清单：完善设备型号；</w:t>
            </w:r>
          </w:p>
          <w:p w14:paraId="08BD13CD">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更改附录E.12关键岗位人员清单：质量监督负责人由唐亮更改为杨东明；质量技术员由王晓丽、何良昱更改为孟帅霖、沈鹏；检验试验人员更新；</w:t>
            </w:r>
          </w:p>
          <w:p w14:paraId="4D2D85FA">
            <w:pPr>
              <w:numPr>
                <w:ilvl w:val="0"/>
                <w:numId w:val="4"/>
              </w:numPr>
              <w:ind w:left="425" w:leftChars="0" w:hanging="425"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更改附录G.2产品基线文件清单：更改《SPC实施细则》版本号；</w:t>
            </w:r>
          </w:p>
          <w:p w14:paraId="3A10B770">
            <w:pPr>
              <w:numPr>
                <w:ilvl w:val="0"/>
                <w:numId w:val="4"/>
              </w:numPr>
              <w:ind w:left="425" w:leftChars="0" w:hanging="425" w:firstLineChars="0"/>
              <w:rPr>
                <w:color w:val="auto"/>
                <w:highlight w:val="none"/>
              </w:rPr>
            </w:pPr>
            <w:r>
              <w:rPr>
                <w:rFonts w:hint="eastAsia" w:ascii="宋体" w:hAnsi="宋体" w:eastAsia="宋体" w:cs="宋体"/>
                <w:color w:val="auto"/>
                <w:sz w:val="21"/>
                <w:szCs w:val="21"/>
                <w:highlight w:val="none"/>
                <w:lang w:val="en-US" w:eastAsia="zh-CN"/>
              </w:rPr>
              <w:t>文件编号由JZXL/QA(GB)-0202(A)-2024更改为JZXL/QA(GB)-0202(B)-2025。</w:t>
            </w:r>
          </w:p>
          <w:p w14:paraId="6DC295B0">
            <w:pPr>
              <w:keepNext w:val="0"/>
              <w:keepLines w:val="0"/>
              <w:pageBreakBefore w:val="0"/>
              <w:widowControl w:val="0"/>
              <w:kinsoku/>
              <w:wordWrap/>
              <w:overflowPunct/>
              <w:topLinePunct w:val="0"/>
              <w:autoSpaceDE/>
              <w:autoSpaceDN/>
              <w:bidi w:val="0"/>
              <w:snapToGrid/>
              <w:spacing w:line="240" w:lineRule="auto"/>
              <w:jc w:val="left"/>
              <w:textAlignment w:val="auto"/>
              <w:rPr>
                <w:rFonts w:hint="default" w:ascii="宋体" w:hAnsi="宋体" w:eastAsia="宋体" w:cs="宋体"/>
                <w:color w:val="auto"/>
                <w:sz w:val="21"/>
                <w:szCs w:val="21"/>
                <w:highlight w:val="none"/>
                <w:lang w:val="en-US" w:eastAsia="zh-CN"/>
              </w:rPr>
            </w:pPr>
          </w:p>
        </w:tc>
        <w:tc>
          <w:tcPr>
            <w:tcW w:w="779" w:type="dxa"/>
            <w:tcBorders>
              <w:left w:val="single" w:color="auto" w:sz="4" w:space="0"/>
            </w:tcBorders>
            <w:noWrap w:val="0"/>
            <w:vAlign w:val="center"/>
          </w:tcPr>
          <w:p w14:paraId="2EC52420">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换版</w:t>
            </w:r>
          </w:p>
        </w:tc>
        <w:tc>
          <w:tcPr>
            <w:tcW w:w="1215" w:type="dxa"/>
            <w:noWrap w:val="0"/>
            <w:vAlign w:val="center"/>
          </w:tcPr>
          <w:p w14:paraId="7243D55E">
            <w:pPr>
              <w:keepNext w:val="0"/>
              <w:keepLines w:val="0"/>
              <w:pageBreakBefore w:val="0"/>
              <w:widowControl w:val="0"/>
              <w:kinsoku/>
              <w:wordWrap/>
              <w:overflowPunct/>
              <w:topLinePunct w:val="0"/>
              <w:autoSpaceDE/>
              <w:autoSpaceDN/>
              <w:bidi w:val="0"/>
              <w:snapToGrid/>
              <w:spacing w:line="240" w:lineRule="auto"/>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2025.7.22</w:t>
            </w:r>
          </w:p>
        </w:tc>
        <w:tc>
          <w:tcPr>
            <w:tcW w:w="1035" w:type="dxa"/>
            <w:noWrap w:val="0"/>
            <w:vAlign w:val="center"/>
          </w:tcPr>
          <w:p w14:paraId="363307E3">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sz w:val="21"/>
                <w:szCs w:val="21"/>
                <w:highlight w:val="none"/>
              </w:rPr>
            </w:pPr>
          </w:p>
        </w:tc>
      </w:tr>
    </w:tbl>
    <w:p w14:paraId="2140790D">
      <w:pP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6B0A3811">
      <w:pPr>
        <w:rPr>
          <w:rFonts w:hint="eastAsia" w:ascii="宋体" w:hAnsi="宋体" w:eastAsia="宋体" w:cs="宋体"/>
          <w:color w:val="auto"/>
          <w:sz w:val="24"/>
          <w:highlight w:val="none"/>
        </w:rPr>
      </w:pPr>
    </w:p>
    <w:p w14:paraId="19DBD61A">
      <w:pPr>
        <w:rPr>
          <w:rFonts w:hint="eastAsia" w:ascii="宋体" w:hAnsi="宋体" w:eastAsia="宋体" w:cs="宋体"/>
          <w:color w:val="auto"/>
          <w:sz w:val="24"/>
          <w:highlight w:val="none"/>
        </w:rPr>
        <w:sectPr>
          <w:headerReference r:id="rId5" w:type="default"/>
          <w:footerReference r:id="rId6" w:type="default"/>
          <w:pgSz w:w="11906" w:h="16838"/>
          <w:pgMar w:top="1440" w:right="1486" w:bottom="1276" w:left="1800" w:header="851" w:footer="992" w:gutter="0"/>
          <w:cols w:space="425" w:num="1"/>
          <w:docGrid w:type="lines" w:linePitch="312" w:charSpace="0"/>
        </w:sectPr>
      </w:pPr>
    </w:p>
    <w:sdt>
      <w:sdtPr>
        <w:rPr>
          <w:rFonts w:hint="eastAsia" w:ascii="黑体" w:hAnsi="黑体" w:eastAsia="黑体" w:cs="黑体"/>
          <w:color w:val="auto"/>
          <w:kern w:val="2"/>
          <w:sz w:val="28"/>
          <w:szCs w:val="28"/>
          <w:highlight w:val="none"/>
          <w:lang w:val="en-US" w:eastAsia="zh-CN" w:bidi="ar-SA"/>
        </w:rPr>
        <w:id w:val="147476392"/>
        <w15:color w:val="DBDBDB"/>
        <w:docPartObj>
          <w:docPartGallery w:val="Table of Contents"/>
          <w:docPartUnique/>
        </w:docPartObj>
      </w:sdtPr>
      <w:sdtEndPr>
        <w:rPr>
          <w:rFonts w:hint="eastAsia" w:ascii="宋体" w:hAnsi="宋体" w:eastAsia="宋体" w:cs="Times New Roman"/>
          <w:b w:val="0"/>
          <w:bCs w:val="0"/>
          <w:color w:val="auto"/>
          <w:kern w:val="2"/>
          <w:sz w:val="21"/>
          <w:szCs w:val="21"/>
          <w:highlight w:val="none"/>
          <w:lang w:val="en-US" w:eastAsia="zh-CN" w:bidi="ar-SA"/>
        </w:rPr>
      </w:sdtEndPr>
      <w:sdtContent>
        <w:p w14:paraId="193C4EE1">
          <w:pPr>
            <w:spacing w:before="0" w:beforeLines="0" w:after="0" w:afterLines="0" w:line="240" w:lineRule="auto"/>
            <w:ind w:left="0" w:leftChars="0" w:right="0" w:rightChars="0" w:firstLine="0" w:firstLineChars="0"/>
            <w:jc w:val="center"/>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目</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录</w:t>
          </w:r>
        </w:p>
        <w:p w14:paraId="05841DC6">
          <w:pPr>
            <w:pStyle w:val="16"/>
            <w:tabs>
              <w:tab w:val="right" w:leader="dot" w:pos="8621"/>
            </w:tabs>
            <w:spacing w:line="360" w:lineRule="auto"/>
            <w:rPr>
              <w:b w:val="0"/>
              <w:bCs w:val="0"/>
              <w:color w:val="auto"/>
              <w:sz w:val="21"/>
              <w:szCs w:val="21"/>
              <w:highlight w:val="none"/>
            </w:rPr>
          </w:pPr>
          <w:r>
            <w:rPr>
              <w:b w:val="0"/>
              <w:bCs w:val="0"/>
              <w:color w:val="auto"/>
              <w:highlight w:val="none"/>
            </w:rPr>
            <w:fldChar w:fldCharType="begin"/>
          </w:r>
          <w:r>
            <w:rPr>
              <w:b w:val="0"/>
              <w:bCs w:val="0"/>
              <w:color w:val="auto"/>
              <w:highlight w:val="none"/>
            </w:rPr>
            <w:instrText xml:space="preserve">TOC \o "1-2" \h \u </w:instrText>
          </w:r>
          <w:r>
            <w:rPr>
              <w:b w:val="0"/>
              <w:bCs w:val="0"/>
              <w:color w:val="auto"/>
              <w:highlight w:val="none"/>
            </w:rPr>
            <w:fldChar w:fldCharType="separate"/>
          </w:r>
          <w:r>
            <w:rPr>
              <w:b w:val="0"/>
              <w:bCs w:val="0"/>
              <w:color w:val="auto"/>
              <w:sz w:val="21"/>
              <w:szCs w:val="21"/>
              <w:highlight w:val="none"/>
            </w:rPr>
            <w:fldChar w:fldCharType="begin"/>
          </w:r>
          <w:r>
            <w:rPr>
              <w:b w:val="0"/>
              <w:bCs w:val="0"/>
              <w:color w:val="auto"/>
              <w:sz w:val="21"/>
              <w:szCs w:val="21"/>
              <w:highlight w:val="none"/>
            </w:rPr>
            <w:instrText xml:space="preserve"> HYPERLINK \l _Toc28914 </w:instrText>
          </w:r>
          <w:r>
            <w:rPr>
              <w:b w:val="0"/>
              <w:bCs w:val="0"/>
              <w:color w:val="auto"/>
              <w:sz w:val="21"/>
              <w:szCs w:val="21"/>
              <w:highlight w:val="none"/>
            </w:rPr>
            <w:fldChar w:fldCharType="separate"/>
          </w:r>
          <w:r>
            <w:rPr>
              <w:rFonts w:hint="eastAsia" w:asciiTheme="majorEastAsia" w:hAnsiTheme="majorEastAsia" w:eastAsiaTheme="majorEastAsia" w:cstheme="majorEastAsia"/>
              <w:b w:val="0"/>
              <w:bCs w:val="0"/>
              <w:color w:val="auto"/>
              <w:sz w:val="21"/>
              <w:szCs w:val="21"/>
              <w:highlight w:val="none"/>
              <w:lang w:val="en-US" w:eastAsia="zh-CN"/>
            </w:rPr>
            <w:t>1 前言</w:t>
          </w:r>
          <w:r>
            <w:rPr>
              <w:b w:val="0"/>
              <w:bCs w:val="0"/>
              <w:color w:val="auto"/>
              <w:sz w:val="21"/>
              <w:szCs w:val="21"/>
              <w:highlight w:val="none"/>
            </w:rPr>
            <w:tab/>
          </w:r>
          <w:r>
            <w:rPr>
              <w:rFonts w:hint="eastAsia"/>
              <w:b w:val="0"/>
              <w:bCs w:val="0"/>
              <w:color w:val="auto"/>
              <w:sz w:val="21"/>
              <w:szCs w:val="21"/>
              <w:highlight w:val="none"/>
              <w:lang w:val="en-US" w:eastAsia="zh-CN"/>
            </w:rPr>
            <w:t>1</w:t>
          </w:r>
          <w:r>
            <w:rPr>
              <w:b w:val="0"/>
              <w:bCs w:val="0"/>
              <w:color w:val="auto"/>
              <w:sz w:val="21"/>
              <w:szCs w:val="21"/>
              <w:highlight w:val="none"/>
            </w:rPr>
            <w:fldChar w:fldCharType="end"/>
          </w:r>
        </w:p>
        <w:p w14:paraId="79C713BF">
          <w:pPr>
            <w:pStyle w:val="16"/>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_Toc26230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2 引用文件</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p>
        <w:p w14:paraId="5B5EA827">
          <w:pPr>
            <w:pStyle w:val="16"/>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_Toc15835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3 术语和定义</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p>
        <w:p w14:paraId="3728BADB">
          <w:pPr>
            <w:pStyle w:val="16"/>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_Toc395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 要求</w:t>
          </w:r>
          <w:r>
            <w:rPr>
              <w:b w:val="0"/>
              <w:bCs w:val="0"/>
              <w:color w:val="auto"/>
              <w:sz w:val="21"/>
              <w:szCs w:val="21"/>
              <w:highlight w:val="none"/>
            </w:rPr>
            <w:fldChar w:fldCharType="end"/>
          </w:r>
        </w:p>
        <w:p w14:paraId="4F3C12EF">
          <w:pPr>
            <w:pStyle w:val="17"/>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_Toc17360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 总则</w:t>
          </w:r>
          <w:r>
            <w:rPr>
              <w:b w:val="0"/>
              <w:bCs w:val="0"/>
              <w:color w:val="auto"/>
              <w:sz w:val="21"/>
              <w:szCs w:val="21"/>
              <w:highlight w:val="none"/>
            </w:rPr>
            <w:tab/>
          </w:r>
          <w:r>
            <w:rPr>
              <w:rFonts w:hint="eastAsia"/>
              <w:b w:val="0"/>
              <w:bCs w:val="0"/>
              <w:color w:val="auto"/>
              <w:sz w:val="21"/>
              <w:szCs w:val="21"/>
              <w:highlight w:val="none"/>
              <w:lang w:val="en-US" w:eastAsia="zh-CN"/>
            </w:rPr>
            <w:t>5</w:t>
          </w:r>
          <w:r>
            <w:rPr>
              <w:b w:val="0"/>
              <w:bCs w:val="0"/>
              <w:color w:val="auto"/>
              <w:sz w:val="21"/>
              <w:szCs w:val="21"/>
              <w:highlight w:val="none"/>
            </w:rPr>
            <w:fldChar w:fldCharType="end"/>
          </w:r>
        </w:p>
        <w:p w14:paraId="443F75C8">
          <w:pPr>
            <w:pStyle w:val="17"/>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_Toc21552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 组织机构与职责</w:t>
          </w:r>
          <w:r>
            <w:rPr>
              <w:b w:val="0"/>
              <w:bCs w:val="0"/>
              <w:color w:val="auto"/>
              <w:sz w:val="21"/>
              <w:szCs w:val="21"/>
              <w:highlight w:val="none"/>
            </w:rPr>
            <w:tab/>
          </w:r>
          <w:r>
            <w:rPr>
              <w:rFonts w:hint="eastAsia"/>
              <w:b w:val="0"/>
              <w:bCs w:val="0"/>
              <w:color w:val="auto"/>
              <w:sz w:val="21"/>
              <w:szCs w:val="21"/>
              <w:highlight w:val="none"/>
              <w:lang w:val="en-US" w:eastAsia="zh-CN"/>
            </w:rPr>
            <w:t>6</w:t>
          </w:r>
          <w:r>
            <w:rPr>
              <w:b w:val="0"/>
              <w:bCs w:val="0"/>
              <w:color w:val="auto"/>
              <w:sz w:val="21"/>
              <w:szCs w:val="21"/>
              <w:highlight w:val="none"/>
            </w:rPr>
            <w:fldChar w:fldCharType="end"/>
          </w:r>
        </w:p>
        <w:p w14:paraId="4A70D365">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_Toc5938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4.3 培训</w:t>
          </w:r>
          <w:r>
            <w:rPr>
              <w:b w:val="0"/>
              <w:bCs w:val="0"/>
              <w:color w:val="auto"/>
              <w:sz w:val="21"/>
              <w:szCs w:val="21"/>
              <w:highlight w:val="none"/>
            </w:rPr>
            <w:tab/>
          </w:r>
          <w:r>
            <w:rPr>
              <w:rFonts w:hint="eastAsia"/>
              <w:b w:val="0"/>
              <w:bCs w:val="0"/>
              <w:color w:val="auto"/>
              <w:sz w:val="21"/>
              <w:szCs w:val="21"/>
              <w:highlight w:val="none"/>
              <w:lang w:val="en-US" w:eastAsia="zh-CN"/>
            </w:rPr>
            <w:t>1</w:t>
          </w:r>
          <w:r>
            <w:rPr>
              <w:b w:val="0"/>
              <w:bCs w:val="0"/>
              <w:color w:val="auto"/>
              <w:sz w:val="21"/>
              <w:szCs w:val="21"/>
              <w:highlight w:val="none"/>
            </w:rPr>
            <w:fldChar w:fldCharType="end"/>
          </w:r>
          <w:r>
            <w:rPr>
              <w:rFonts w:hint="eastAsia"/>
              <w:b w:val="0"/>
              <w:bCs w:val="0"/>
              <w:color w:val="auto"/>
              <w:sz w:val="21"/>
              <w:szCs w:val="21"/>
              <w:highlight w:val="none"/>
              <w:lang w:val="en-US" w:eastAsia="zh-CN"/>
            </w:rPr>
            <w:t>5</w:t>
          </w:r>
        </w:p>
        <w:p w14:paraId="4B0F8E17">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_Toc13898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4.4</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文件控制</w:t>
          </w:r>
          <w:r>
            <w:rPr>
              <w:b w:val="0"/>
              <w:bCs w:val="0"/>
              <w:color w:val="auto"/>
              <w:sz w:val="21"/>
              <w:szCs w:val="21"/>
              <w:highlight w:val="none"/>
            </w:rPr>
            <w:tab/>
          </w:r>
          <w:r>
            <w:rPr>
              <w:rFonts w:hint="eastAsia"/>
              <w:b w:val="0"/>
              <w:bCs w:val="0"/>
              <w:color w:val="auto"/>
              <w:sz w:val="21"/>
              <w:szCs w:val="21"/>
              <w:highlight w:val="none"/>
              <w:lang w:val="en-US" w:eastAsia="zh-CN"/>
            </w:rPr>
            <w:t>1</w:t>
          </w:r>
          <w:r>
            <w:rPr>
              <w:b w:val="0"/>
              <w:bCs w:val="0"/>
              <w:color w:val="auto"/>
              <w:sz w:val="21"/>
              <w:szCs w:val="21"/>
              <w:highlight w:val="none"/>
            </w:rPr>
            <w:fldChar w:fldCharType="end"/>
          </w:r>
          <w:r>
            <w:rPr>
              <w:rFonts w:hint="eastAsia"/>
              <w:b w:val="0"/>
              <w:bCs w:val="0"/>
              <w:color w:val="auto"/>
              <w:sz w:val="21"/>
              <w:szCs w:val="21"/>
              <w:highlight w:val="none"/>
              <w:lang w:val="en-US" w:eastAsia="zh-CN"/>
            </w:rPr>
            <w:t>7</w:t>
          </w:r>
        </w:p>
        <w:p w14:paraId="73ABF18F">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_Toc7840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4.5 技术秘密</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0</w:t>
          </w:r>
        </w:p>
        <w:p w14:paraId="76EA06E9">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_Toc28995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4.6</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生产流程图</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7F96C57B">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_Toc20595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4.7</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工作环境</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1A55F3A5">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_Toc24107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4.8</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生产过程控制文件</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4</w:t>
          </w:r>
        </w:p>
        <w:p w14:paraId="3D309EDB">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_Toc2585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4.9</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关键工序和特殊工序控制</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9</w:t>
          </w:r>
        </w:p>
        <w:p w14:paraId="64DA524A">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_Toc26934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4.10 统计过程控制</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57B39803">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_Toc21198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4.11</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失效分析</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00344028">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_Toc27560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4.12</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纠正措施与改进</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5</w:t>
          </w:r>
        </w:p>
        <w:p w14:paraId="50BCF801">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_Toc10885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4.13</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测量和试验设备的控制</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7</w:t>
          </w:r>
        </w:p>
        <w:p w14:paraId="244279B7">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_Toc25977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4.14</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采购</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9</w:t>
          </w:r>
        </w:p>
        <w:p w14:paraId="5BFB7111">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_Toc22019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4.15</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产品的标识和可追溯性</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2</w:t>
          </w:r>
        </w:p>
        <w:p w14:paraId="4F9C6AB1">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_Toc18605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4.16</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分承制方的控制</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4</w:t>
          </w:r>
        </w:p>
        <w:p w14:paraId="470F72CF">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_Toc31938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4.17</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产品防护</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6</w:t>
          </w:r>
        </w:p>
        <w:p w14:paraId="19F70981">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_Toc26862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4.18</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质量保证</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8</w:t>
          </w:r>
        </w:p>
        <w:p w14:paraId="725ACC0E">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_Toc26590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4.19</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更改控制</w:t>
          </w:r>
          <w:r>
            <w:rPr>
              <w:b w:val="0"/>
              <w:bCs w:val="0"/>
              <w:color w:val="auto"/>
              <w:sz w:val="21"/>
              <w:szCs w:val="21"/>
              <w:highlight w:val="none"/>
            </w:rPr>
            <w:tab/>
          </w:r>
          <w:r>
            <w:rPr>
              <w:rFonts w:hint="eastAsia"/>
              <w:b w:val="0"/>
              <w:bCs w:val="0"/>
              <w:color w:val="auto"/>
              <w:sz w:val="21"/>
              <w:szCs w:val="21"/>
              <w:highlight w:val="none"/>
              <w:lang w:val="en-US" w:eastAsia="zh-CN"/>
            </w:rPr>
            <w:t>5</w:t>
          </w:r>
          <w:r>
            <w:rPr>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76CC3453">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_Toc28021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4.20</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内部质量审核</w:t>
          </w:r>
          <w:r>
            <w:rPr>
              <w:b w:val="0"/>
              <w:bCs w:val="0"/>
              <w:color w:val="auto"/>
              <w:sz w:val="21"/>
              <w:szCs w:val="21"/>
              <w:highlight w:val="none"/>
            </w:rPr>
            <w:tab/>
          </w:r>
          <w:r>
            <w:rPr>
              <w:rFonts w:hint="eastAsia"/>
              <w:b w:val="0"/>
              <w:bCs w:val="0"/>
              <w:color w:val="auto"/>
              <w:sz w:val="21"/>
              <w:szCs w:val="21"/>
              <w:highlight w:val="none"/>
              <w:lang w:val="en-US" w:eastAsia="zh-CN"/>
            </w:rPr>
            <w:t>5</w:t>
          </w:r>
          <w:r>
            <w:rPr>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5D5F3293">
          <w:pPr>
            <w:pStyle w:val="17"/>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_Toc28278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4.21</w:t>
          </w:r>
          <w:r>
            <w:rPr>
              <w:rFonts w:hint="eastAsia" w:ascii="宋体" w:hAnsi="宋体" w:eastAsia="宋体" w:cs="宋体"/>
              <w:b w:val="0"/>
              <w:bCs w:val="0"/>
              <w:color w:val="auto"/>
              <w:sz w:val="21"/>
              <w:szCs w:val="21"/>
              <w:highlight w:val="none"/>
              <w:lang w:val="en-US" w:eastAsia="zh-CN"/>
            </w:rPr>
            <w:t xml:space="preserve"> 宇航级元器件</w:t>
          </w:r>
          <w:r>
            <w:rPr>
              <w:b w:val="0"/>
              <w:bCs w:val="0"/>
              <w:color w:val="auto"/>
              <w:sz w:val="21"/>
              <w:szCs w:val="21"/>
              <w:highlight w:val="none"/>
            </w:rPr>
            <w:tab/>
          </w:r>
          <w:r>
            <w:rPr>
              <w:rFonts w:hint="eastAsia"/>
              <w:b w:val="0"/>
              <w:bCs w:val="0"/>
              <w:color w:val="auto"/>
              <w:sz w:val="21"/>
              <w:szCs w:val="21"/>
              <w:highlight w:val="none"/>
              <w:lang w:val="en-US" w:eastAsia="zh-CN"/>
            </w:rPr>
            <w:t>5</w:t>
          </w:r>
          <w:r>
            <w:rPr>
              <w:b w:val="0"/>
              <w:bCs w:val="0"/>
              <w:color w:val="auto"/>
              <w:sz w:val="21"/>
              <w:szCs w:val="21"/>
              <w:highlight w:val="none"/>
            </w:rPr>
            <w:fldChar w:fldCharType="end"/>
          </w:r>
          <w:r>
            <w:rPr>
              <w:rFonts w:hint="eastAsia"/>
              <w:b w:val="0"/>
              <w:bCs w:val="0"/>
              <w:color w:val="auto"/>
              <w:sz w:val="21"/>
              <w:szCs w:val="21"/>
              <w:highlight w:val="none"/>
              <w:lang w:val="en-US" w:eastAsia="zh-CN"/>
            </w:rPr>
            <w:t>5</w:t>
          </w:r>
        </w:p>
        <w:p w14:paraId="6E89E929">
          <w:pPr>
            <w:pStyle w:val="17"/>
            <w:tabs>
              <w:tab w:val="right" w:leader="dot" w:pos="8621"/>
            </w:tabs>
            <w:spacing w:line="360" w:lineRule="auto"/>
            <w:ind w:left="0" w:leftChars="0" w:firstLine="0" w:firstLineChars="0"/>
            <w:rPr>
              <w:rFonts w:hint="eastAsia" w:asciiTheme="minorHAnsi" w:hAnsiTheme="minorHAnsi" w:eastAsiaTheme="minorEastAsia" w:cstheme="minorBidi"/>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5</w:t>
          </w:r>
          <w:r>
            <w:rPr>
              <w:rFonts w:hint="eastAsia" w:cstheme="minorBidi"/>
              <w:b w:val="0"/>
              <w:bCs w:val="0"/>
              <w:color w:val="auto"/>
              <w:sz w:val="21"/>
              <w:szCs w:val="21"/>
              <w:highlight w:val="none"/>
              <w:lang w:val="en-US" w:eastAsia="zh-CN"/>
            </w:rPr>
            <w:t xml:space="preserve"> </w:t>
          </w:r>
          <w:r>
            <w:rPr>
              <w:rFonts w:hint="eastAsia" w:asciiTheme="minorHAnsi" w:hAnsiTheme="minorHAnsi" w:eastAsiaTheme="minorEastAsia" w:cstheme="minorBidi"/>
              <w:b w:val="0"/>
              <w:bCs w:val="0"/>
              <w:color w:val="auto"/>
              <w:sz w:val="21"/>
              <w:szCs w:val="21"/>
              <w:highlight w:val="none"/>
            </w:rPr>
            <w:fldChar w:fldCharType="begin"/>
          </w:r>
          <w:r>
            <w:rPr>
              <w:rFonts w:hint="eastAsia" w:asciiTheme="minorHAnsi" w:hAnsiTheme="minorHAnsi" w:eastAsiaTheme="minorEastAsia" w:cstheme="minorBidi"/>
              <w:b w:val="0"/>
              <w:bCs w:val="0"/>
              <w:color w:val="auto"/>
              <w:sz w:val="21"/>
              <w:szCs w:val="21"/>
              <w:highlight w:val="none"/>
            </w:rPr>
            <w:instrText xml:space="preserve"> HYPERLINK \l _Toc3719 </w:instrText>
          </w:r>
          <w:r>
            <w:rPr>
              <w:rFonts w:hint="eastAsia" w:asciiTheme="minorHAnsi" w:hAnsiTheme="minorHAnsi" w:eastAsiaTheme="minorEastAsia" w:cstheme="minorBidi"/>
              <w:b w:val="0"/>
              <w:bCs w:val="0"/>
              <w:color w:val="auto"/>
              <w:sz w:val="21"/>
              <w:szCs w:val="21"/>
              <w:highlight w:val="none"/>
            </w:rPr>
            <w:fldChar w:fldCharType="separate"/>
          </w:r>
          <w:r>
            <w:rPr>
              <w:rFonts w:hint="eastAsia" w:asciiTheme="minorHAnsi" w:hAnsiTheme="minorHAnsi" w:eastAsiaTheme="minorEastAsia" w:cstheme="minorBidi"/>
              <w:b w:val="0"/>
              <w:bCs w:val="0"/>
              <w:color w:val="auto"/>
              <w:sz w:val="21"/>
              <w:szCs w:val="21"/>
              <w:highlight w:val="none"/>
              <w:lang w:val="en-US" w:eastAsia="zh-CN"/>
            </w:rPr>
            <w:t>附录</w:t>
          </w:r>
        </w:p>
        <w:p w14:paraId="1EB292E2">
          <w:pPr>
            <w:pStyle w:val="17"/>
            <w:tabs>
              <w:tab w:val="right" w:leader="dot" w:pos="8621"/>
            </w:tabs>
            <w:spacing w:line="360" w:lineRule="auto"/>
            <w:rPr>
              <w:rFonts w:hint="default"/>
              <w:b w:val="0"/>
              <w:bCs w:val="0"/>
              <w:color w:val="auto"/>
              <w:sz w:val="21"/>
              <w:szCs w:val="21"/>
              <w:highlight w:val="none"/>
              <w:lang w:val="en-US" w:eastAsia="zh-CN"/>
            </w:rPr>
          </w:pPr>
          <w:r>
            <w:rPr>
              <w:rFonts w:hint="eastAsia" w:asciiTheme="minorHAnsi" w:hAnsiTheme="minorHAnsi" w:eastAsiaTheme="minorEastAsia" w:cstheme="minorBidi"/>
              <w:b w:val="0"/>
              <w:bCs w:val="0"/>
              <w:color w:val="auto"/>
              <w:sz w:val="21"/>
              <w:szCs w:val="21"/>
              <w:highlight w:val="none"/>
              <w:lang w:val="en-US" w:eastAsia="zh-CN"/>
            </w:rPr>
            <w:t>附录A 单位简介</w:t>
          </w:r>
          <w:r>
            <w:rPr>
              <w:rFonts w:hint="eastAsia" w:asciiTheme="minorHAnsi" w:hAnsiTheme="minorHAnsi" w:eastAsiaTheme="minorEastAsia" w:cstheme="minorBidi"/>
              <w:b w:val="0"/>
              <w:bCs w:val="0"/>
              <w:color w:val="auto"/>
              <w:sz w:val="21"/>
              <w:szCs w:val="21"/>
              <w:highlight w:val="none"/>
            </w:rPr>
            <w:tab/>
          </w:r>
          <w:r>
            <w:rPr>
              <w:rFonts w:hint="eastAsia" w:asciiTheme="minorHAnsi" w:hAnsiTheme="minorHAnsi" w:eastAsiaTheme="minorEastAsia" w:cstheme="minorBidi"/>
              <w:b w:val="0"/>
              <w:bCs w:val="0"/>
              <w:color w:val="auto"/>
              <w:sz w:val="21"/>
              <w:szCs w:val="21"/>
              <w:highlight w:val="none"/>
            </w:rPr>
            <w:fldChar w:fldCharType="end"/>
          </w:r>
          <w:r>
            <w:rPr>
              <w:rFonts w:hint="eastAsia"/>
              <w:b w:val="0"/>
              <w:bCs w:val="0"/>
              <w:color w:val="auto"/>
              <w:sz w:val="21"/>
              <w:szCs w:val="21"/>
              <w:highlight w:val="none"/>
              <w:lang w:val="en-US" w:eastAsia="zh-CN"/>
            </w:rPr>
            <w:t>A-1</w:t>
          </w:r>
        </w:p>
        <w:p w14:paraId="6D5F66AD">
          <w:pPr>
            <w:pStyle w:val="17"/>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_Toc14221 </w:instrText>
          </w:r>
          <w:r>
            <w:rPr>
              <w:rFonts w:hint="eastAsia"/>
              <w:b w:val="0"/>
              <w:bCs w:val="0"/>
              <w:color w:val="auto"/>
              <w:sz w:val="21"/>
              <w:szCs w:val="21"/>
              <w:highlight w:val="none"/>
            </w:rPr>
            <w:fldChar w:fldCharType="separate"/>
          </w:r>
          <w:r>
            <w:rPr>
              <w:rFonts w:hint="eastAsia"/>
              <w:b w:val="0"/>
              <w:bCs w:val="0"/>
              <w:color w:val="auto"/>
              <w:sz w:val="21"/>
              <w:szCs w:val="21"/>
              <w:highlight w:val="none"/>
              <w:lang w:val="en-US" w:eastAsia="zh-CN"/>
            </w:rPr>
            <w:t xml:space="preserve">附录B </w:t>
          </w:r>
          <w:r>
            <w:rPr>
              <w:rFonts w:hint="eastAsia"/>
              <w:b w:val="0"/>
              <w:bCs w:val="0"/>
              <w:color w:val="auto"/>
              <w:sz w:val="21"/>
              <w:szCs w:val="21"/>
              <w:highlight w:val="none"/>
            </w:rPr>
            <w:t>组织机构图</w:t>
          </w:r>
          <w:r>
            <w:rPr>
              <w:rFonts w:hint="eastAsia"/>
              <w:b w:val="0"/>
              <w:bCs w:val="0"/>
              <w:color w:val="auto"/>
              <w:sz w:val="21"/>
              <w:szCs w:val="21"/>
              <w:highlight w:val="none"/>
            </w:rPr>
            <w:tab/>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B-1</w:t>
          </w:r>
        </w:p>
        <w:p w14:paraId="2F97CFF1">
          <w:pPr>
            <w:pStyle w:val="17"/>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_Toc10697 </w:instrText>
          </w:r>
          <w:r>
            <w:rPr>
              <w:rFonts w:hint="eastAsia"/>
              <w:b w:val="0"/>
              <w:bCs w:val="0"/>
              <w:color w:val="auto"/>
              <w:sz w:val="21"/>
              <w:szCs w:val="21"/>
              <w:highlight w:val="none"/>
            </w:rPr>
            <w:fldChar w:fldCharType="separate"/>
          </w:r>
          <w:r>
            <w:rPr>
              <w:rFonts w:hint="eastAsia"/>
              <w:b w:val="0"/>
              <w:bCs w:val="0"/>
              <w:color w:val="auto"/>
              <w:sz w:val="21"/>
              <w:szCs w:val="21"/>
              <w:highlight w:val="none"/>
              <w:lang w:val="en-US" w:eastAsia="zh-CN"/>
            </w:rPr>
            <w:t>附录C 质量职能分配表</w:t>
          </w:r>
          <w:r>
            <w:rPr>
              <w:rFonts w:hint="eastAsia"/>
              <w:b w:val="0"/>
              <w:bCs w:val="0"/>
              <w:color w:val="auto"/>
              <w:sz w:val="21"/>
              <w:szCs w:val="21"/>
              <w:highlight w:val="none"/>
            </w:rPr>
            <w:tab/>
          </w:r>
          <w:r>
            <w:rPr>
              <w:rFonts w:hint="eastAsia"/>
              <w:b w:val="0"/>
              <w:bCs w:val="0"/>
              <w:color w:val="auto"/>
              <w:sz w:val="21"/>
              <w:szCs w:val="21"/>
              <w:highlight w:val="none"/>
              <w:lang w:val="en-US" w:eastAsia="zh-CN"/>
            </w:rPr>
            <w:t>C</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487C0409">
          <w:pPr>
            <w:pStyle w:val="17"/>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_Toc4602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附录D 代表/扩展品种清单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D-1</w:t>
          </w:r>
          <w:r>
            <w:rPr>
              <w:rFonts w:hint="eastAsia"/>
              <w:b w:val="0"/>
              <w:bCs w:val="0"/>
              <w:color w:val="auto"/>
              <w:sz w:val="21"/>
              <w:szCs w:val="21"/>
              <w:highlight w:val="none"/>
            </w:rPr>
            <w:fldChar w:fldCharType="end"/>
          </w:r>
        </w:p>
        <w:p w14:paraId="07D29772">
          <w:pPr>
            <w:pStyle w:val="17"/>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_Toc105 </w:instrText>
          </w:r>
          <w:r>
            <w:rPr>
              <w:rFonts w:hint="eastAsia"/>
              <w:b w:val="0"/>
              <w:bCs w:val="0"/>
              <w:color w:val="auto"/>
              <w:sz w:val="21"/>
              <w:szCs w:val="21"/>
              <w:highlight w:val="none"/>
            </w:rPr>
            <w:fldChar w:fldCharType="separate"/>
          </w:r>
          <w:r>
            <w:rPr>
              <w:rFonts w:hint="eastAsia"/>
              <w:b w:val="0"/>
              <w:bCs w:val="0"/>
              <w:color w:val="auto"/>
              <w:sz w:val="21"/>
              <w:szCs w:val="21"/>
              <w:highlight w:val="none"/>
              <w:lang w:eastAsia="zh-CN"/>
            </w:rPr>
            <w:t>附录</w:t>
          </w:r>
          <w:r>
            <w:rPr>
              <w:rFonts w:hint="eastAsia"/>
              <w:b w:val="0"/>
              <w:bCs w:val="0"/>
              <w:color w:val="auto"/>
              <w:sz w:val="21"/>
              <w:szCs w:val="21"/>
              <w:highlight w:val="none"/>
              <w:lang w:val="en-US" w:eastAsia="zh-CN"/>
            </w:rPr>
            <w:t>E.1 生产流程图</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p>
        <w:p w14:paraId="3AD83BAE">
          <w:pPr>
            <w:pStyle w:val="17"/>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_Toc30859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附录E.2 生产区域定置图</w:t>
          </w:r>
          <w:r>
            <w:rPr>
              <w:rFonts w:hint="eastAsia"/>
              <w:b w:val="0"/>
              <w:bCs w:val="0"/>
              <w:color w:val="auto"/>
              <w:sz w:val="21"/>
              <w:szCs w:val="21"/>
              <w:highlight w:val="none"/>
            </w:rPr>
            <w:tab/>
          </w:r>
          <w:r>
            <w:rPr>
              <w:rFonts w:hint="eastAsia"/>
              <w:b w:val="0"/>
              <w:bCs w:val="0"/>
              <w:color w:val="auto"/>
              <w:sz w:val="21"/>
              <w:szCs w:val="21"/>
              <w:highlight w:val="none"/>
              <w:lang w:val="en-US" w:eastAsia="zh-CN"/>
            </w:rPr>
            <w:t>E-2</w:t>
          </w:r>
          <w:r>
            <w:rPr>
              <w:rFonts w:hint="eastAsia"/>
              <w:b w:val="0"/>
              <w:bCs w:val="0"/>
              <w:color w:val="auto"/>
              <w:sz w:val="21"/>
              <w:szCs w:val="21"/>
              <w:highlight w:val="none"/>
            </w:rPr>
            <w:fldChar w:fldCharType="end"/>
          </w:r>
        </w:p>
        <w:p w14:paraId="53210552">
          <w:pPr>
            <w:pStyle w:val="17"/>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_Toc26186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附录E.3 生产环境控制要求清单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E-4</w:t>
          </w:r>
          <w:r>
            <w:rPr>
              <w:rFonts w:hint="eastAsia"/>
              <w:b w:val="0"/>
              <w:bCs w:val="0"/>
              <w:color w:val="auto"/>
              <w:sz w:val="21"/>
              <w:szCs w:val="21"/>
              <w:highlight w:val="none"/>
            </w:rPr>
            <w:fldChar w:fldCharType="end"/>
          </w:r>
        </w:p>
        <w:p w14:paraId="4233618B">
          <w:pPr>
            <w:pStyle w:val="17"/>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_Toc3885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附录E.4 关键原材料清单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E-5</w:t>
          </w:r>
          <w:r>
            <w:rPr>
              <w:rFonts w:hint="eastAsia"/>
              <w:b w:val="0"/>
              <w:bCs w:val="0"/>
              <w:color w:val="auto"/>
              <w:sz w:val="21"/>
              <w:szCs w:val="21"/>
              <w:highlight w:val="none"/>
            </w:rPr>
            <w:fldChar w:fldCharType="end"/>
          </w:r>
        </w:p>
        <w:p w14:paraId="771883F4">
          <w:pPr>
            <w:pStyle w:val="17"/>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_Toc20489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附录E.5 生产设备清单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E-6</w:t>
          </w:r>
          <w:r>
            <w:rPr>
              <w:rFonts w:hint="eastAsia"/>
              <w:b w:val="0"/>
              <w:bCs w:val="0"/>
              <w:color w:val="auto"/>
              <w:sz w:val="21"/>
              <w:szCs w:val="21"/>
              <w:highlight w:val="none"/>
            </w:rPr>
            <w:fldChar w:fldCharType="end"/>
          </w:r>
        </w:p>
        <w:p w14:paraId="6A1DC9E8">
          <w:pPr>
            <w:pStyle w:val="17"/>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_Toc26076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附录E.6 检验试验设备清单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E-8</w:t>
          </w:r>
          <w:r>
            <w:rPr>
              <w:rFonts w:hint="eastAsia"/>
              <w:b w:val="0"/>
              <w:bCs w:val="0"/>
              <w:color w:val="auto"/>
              <w:sz w:val="21"/>
              <w:szCs w:val="21"/>
              <w:highlight w:val="none"/>
            </w:rPr>
            <w:fldChar w:fldCharType="end"/>
          </w:r>
        </w:p>
        <w:p w14:paraId="03DFCEB3">
          <w:pPr>
            <w:pStyle w:val="17"/>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_Toc21467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附录E.7 失效分析设备清单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0</w:t>
          </w:r>
        </w:p>
        <w:p w14:paraId="7F90149E">
          <w:pPr>
            <w:pStyle w:val="17"/>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_Toc23485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附录E.8 关键工序、特殊工序清单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2</w:t>
          </w:r>
        </w:p>
        <w:p w14:paraId="0CA4D419">
          <w:pPr>
            <w:pStyle w:val="17"/>
            <w:tabs>
              <w:tab w:val="right" w:leader="dot" w:pos="8621"/>
            </w:tabs>
            <w:spacing w:line="360" w:lineRule="auto"/>
            <w:rPr>
              <w:rFonts w:hint="eastAsia" w:ascii="仿宋_GB2312" w:hAnsi="仿宋_GB2312" w:eastAsia="仿宋_GB2312" w:cs="仿宋_GB2312"/>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_Toc28763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附录E.9 关键工序的CPK值及产品规范限、控制限</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4E8C2059">
          <w:pPr>
            <w:pStyle w:val="17"/>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_Toc28763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w:t>
          </w:r>
          <w:r>
            <w:rPr>
              <w:rFonts w:hint="eastAsia"/>
              <w:b w:val="0"/>
              <w:bCs w:val="0"/>
              <w:color w:val="auto"/>
              <w:sz w:val="21"/>
              <w:szCs w:val="21"/>
              <w:highlight w:val="none"/>
              <w:lang w:val="en-US" w:eastAsia="zh-CN"/>
            </w:rPr>
            <w:t>10</w:t>
          </w:r>
          <w:r>
            <w:rPr>
              <w:rFonts w:hint="eastAsia"/>
              <w:b w:val="0"/>
              <w:bCs w:val="0"/>
              <w:color w:val="auto"/>
              <w:sz w:val="21"/>
              <w:szCs w:val="21"/>
              <w:highlight w:val="none"/>
            </w:rPr>
            <w:t xml:space="preserve"> 合格分承制方清单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4</w:t>
          </w:r>
        </w:p>
        <w:p w14:paraId="360C7CE9">
          <w:pPr>
            <w:pStyle w:val="17"/>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_Toc9500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附录E.1</w:t>
          </w:r>
          <w:r>
            <w:rPr>
              <w:rFonts w:hint="eastAsia"/>
              <w:b w:val="0"/>
              <w:bCs w:val="0"/>
              <w:color w:val="auto"/>
              <w:sz w:val="21"/>
              <w:szCs w:val="21"/>
              <w:highlight w:val="none"/>
              <w:lang w:val="en-US" w:eastAsia="zh-CN"/>
            </w:rPr>
            <w:t>1</w:t>
          </w:r>
          <w:r>
            <w:rPr>
              <w:rFonts w:hint="eastAsia"/>
              <w:b w:val="0"/>
              <w:bCs w:val="0"/>
              <w:color w:val="auto"/>
              <w:sz w:val="21"/>
              <w:szCs w:val="21"/>
              <w:highlight w:val="none"/>
            </w:rPr>
            <w:t xml:space="preserve"> 禁、限用工艺清单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5</w:t>
          </w:r>
        </w:p>
        <w:p w14:paraId="5302002B">
          <w:pPr>
            <w:pStyle w:val="17"/>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_Toc23962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附录E.12 关键岗位人员清单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6</w:t>
          </w:r>
        </w:p>
        <w:p w14:paraId="3B02EA3E">
          <w:pPr>
            <w:pStyle w:val="17"/>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_Toc6226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附录F 程序文件清单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F</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4E16F17B">
          <w:pPr>
            <w:pStyle w:val="17"/>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t>附录</w:t>
          </w:r>
          <w:r>
            <w:rPr>
              <w:rFonts w:hint="eastAsia"/>
              <w:b w:val="0"/>
              <w:bCs w:val="0"/>
              <w:color w:val="auto"/>
              <w:sz w:val="21"/>
              <w:szCs w:val="21"/>
              <w:highlight w:val="none"/>
              <w:lang w:val="en-US" w:eastAsia="zh-CN"/>
            </w:rPr>
            <w:t>G.1</w:t>
          </w:r>
          <w:r>
            <w:rPr>
              <w:rFonts w:hint="eastAsia"/>
              <w:b w:val="0"/>
              <w:bCs w:val="0"/>
              <w:color w:val="auto"/>
              <w:sz w:val="21"/>
              <w:szCs w:val="21"/>
              <w:highlight w:val="none"/>
            </w:rPr>
            <w:t xml:space="preserve"> </w:t>
          </w:r>
          <w:r>
            <w:rPr>
              <w:rFonts w:hint="eastAsia"/>
              <w:b w:val="0"/>
              <w:bCs w:val="0"/>
              <w:color w:val="auto"/>
              <w:sz w:val="21"/>
              <w:szCs w:val="21"/>
              <w:highlight w:val="none"/>
              <w:lang w:eastAsia="zh-CN"/>
            </w:rPr>
            <w:t>作业</w:t>
          </w:r>
          <w:r>
            <w:rPr>
              <w:rFonts w:hint="eastAsia"/>
              <w:b w:val="0"/>
              <w:bCs w:val="0"/>
              <w:color w:val="auto"/>
              <w:sz w:val="21"/>
              <w:szCs w:val="21"/>
              <w:highlight w:val="none"/>
            </w:rPr>
            <w:t>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G-1</w:t>
          </w:r>
        </w:p>
        <w:p w14:paraId="3F6DC447">
          <w:pPr>
            <w:pStyle w:val="17"/>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_Toc6226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w:t>
          </w:r>
          <w:r>
            <w:rPr>
              <w:rFonts w:hint="eastAsia"/>
              <w:b w:val="0"/>
              <w:bCs w:val="0"/>
              <w:color w:val="auto"/>
              <w:sz w:val="21"/>
              <w:szCs w:val="21"/>
              <w:highlight w:val="none"/>
              <w:lang w:val="en-US" w:eastAsia="zh-CN"/>
            </w:rPr>
            <w:t>G.2</w:t>
          </w:r>
          <w:r>
            <w:rPr>
              <w:rFonts w:hint="eastAsia"/>
              <w:b w:val="0"/>
              <w:bCs w:val="0"/>
              <w:color w:val="auto"/>
              <w:sz w:val="21"/>
              <w:szCs w:val="21"/>
              <w:highlight w:val="none"/>
            </w:rPr>
            <w:t xml:space="preserve"> </w:t>
          </w:r>
          <w:r>
            <w:rPr>
              <w:rFonts w:hint="eastAsia"/>
              <w:b w:val="0"/>
              <w:bCs w:val="0"/>
              <w:color w:val="auto"/>
              <w:sz w:val="21"/>
              <w:szCs w:val="21"/>
              <w:highlight w:val="none"/>
              <w:lang w:eastAsia="zh-CN"/>
            </w:rPr>
            <w:t>产品基线</w:t>
          </w:r>
          <w:r>
            <w:rPr>
              <w:rFonts w:hint="eastAsia"/>
              <w:b w:val="0"/>
              <w:bCs w:val="0"/>
              <w:color w:val="auto"/>
              <w:sz w:val="21"/>
              <w:szCs w:val="21"/>
              <w:highlight w:val="none"/>
            </w:rPr>
            <w:t>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G</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404FA0C8">
          <w:pPr>
            <w:pStyle w:val="17"/>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t>附录</w:t>
          </w:r>
          <w:r>
            <w:rPr>
              <w:rFonts w:hint="eastAsia"/>
              <w:b w:val="0"/>
              <w:bCs w:val="0"/>
              <w:color w:val="auto"/>
              <w:sz w:val="21"/>
              <w:szCs w:val="21"/>
              <w:highlight w:val="none"/>
              <w:lang w:val="en-US" w:eastAsia="zh-CN"/>
            </w:rPr>
            <w:t>H</w:t>
          </w:r>
          <w:r>
            <w:rPr>
              <w:rFonts w:hint="eastAsia"/>
              <w:b w:val="0"/>
              <w:bCs w:val="0"/>
              <w:color w:val="auto"/>
              <w:sz w:val="21"/>
              <w:szCs w:val="21"/>
              <w:highlight w:val="none"/>
            </w:rPr>
            <w:t xml:space="preserve"> </w:t>
          </w:r>
          <w:r>
            <w:rPr>
              <w:rFonts w:hint="eastAsia"/>
              <w:b w:val="0"/>
              <w:bCs w:val="0"/>
              <w:color w:val="auto"/>
              <w:sz w:val="21"/>
              <w:szCs w:val="21"/>
              <w:highlight w:val="none"/>
              <w:lang w:eastAsia="zh-CN"/>
            </w:rPr>
            <w:t>上报鉴定机构的</w:t>
          </w:r>
          <w:r>
            <w:rPr>
              <w:rFonts w:hint="eastAsia"/>
              <w:b w:val="0"/>
              <w:bCs w:val="0"/>
              <w:color w:val="auto"/>
              <w:sz w:val="21"/>
              <w:szCs w:val="21"/>
              <w:highlight w:val="none"/>
            </w:rPr>
            <w:t>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H-1</w:t>
          </w:r>
        </w:p>
        <w:p w14:paraId="6100C2CF">
          <w:pPr>
            <w:pStyle w:val="16"/>
            <w:tabs>
              <w:tab w:val="right" w:leader="dot" w:pos="8621"/>
            </w:tabs>
            <w:spacing w:line="360" w:lineRule="auto"/>
            <w:outlineLvl w:val="1"/>
            <w:rPr>
              <w:rFonts w:hint="eastAsia" w:asciiTheme="minorEastAsia" w:hAnsiTheme="minorEastAsia" w:cstheme="minorEastAsia"/>
              <w:b w:val="0"/>
              <w:bCs w:val="0"/>
              <w:color w:val="auto"/>
              <w:sz w:val="21"/>
              <w:szCs w:val="21"/>
              <w:highlight w:val="none"/>
              <w:lang w:val="en-US" w:eastAsia="zh-CN"/>
            </w:rPr>
          </w:pPr>
        </w:p>
        <w:p w14:paraId="2B4CE059">
          <w:pPr>
            <w:pStyle w:val="16"/>
            <w:tabs>
              <w:tab w:val="right" w:leader="dot" w:pos="8621"/>
            </w:tabs>
            <w:spacing w:line="360" w:lineRule="auto"/>
            <w:outlineLvl w:val="1"/>
            <w:rPr>
              <w:rFonts w:hint="eastAsia" w:asciiTheme="minorEastAsia" w:hAnsiTheme="minorEastAsia" w:cstheme="minorEastAsia"/>
              <w:b w:val="0"/>
              <w:bCs w:val="0"/>
              <w:color w:val="auto"/>
              <w:sz w:val="21"/>
              <w:szCs w:val="21"/>
              <w:highlight w:val="none"/>
              <w:lang w:val="en-US" w:eastAsia="zh-CN"/>
            </w:rPr>
          </w:pPr>
        </w:p>
        <w:p w14:paraId="15D1EB65">
          <w:pPr>
            <w:pStyle w:val="16"/>
            <w:tabs>
              <w:tab w:val="right" w:leader="dot" w:pos="8621"/>
            </w:tabs>
            <w:spacing w:line="360" w:lineRule="auto"/>
            <w:outlineLvl w:val="1"/>
            <w:rPr>
              <w:rFonts w:hint="default" w:asciiTheme="minorEastAsia" w:hAnsiTheme="minorEastAsia" w:cstheme="minorEastAsia"/>
              <w:b w:val="0"/>
              <w:bCs w:val="0"/>
              <w:color w:val="auto"/>
              <w:sz w:val="21"/>
              <w:szCs w:val="21"/>
              <w:highlight w:val="none"/>
              <w:lang w:val="en-US" w:eastAsia="zh-CN"/>
            </w:rPr>
          </w:pPr>
        </w:p>
        <w:p w14:paraId="0A59621E">
          <w:pPr>
            <w:rPr>
              <w:rFonts w:hint="eastAsia" w:ascii="宋体" w:hAnsi="宋体" w:eastAsia="宋体" w:cs="Times New Roman"/>
              <w:b w:val="0"/>
              <w:bCs w:val="0"/>
              <w:color w:val="auto"/>
              <w:kern w:val="2"/>
              <w:sz w:val="21"/>
              <w:szCs w:val="21"/>
              <w:highlight w:val="none"/>
              <w:lang w:val="en-US" w:eastAsia="zh-CN" w:bidi="ar-SA"/>
            </w:rPr>
          </w:pPr>
          <w:r>
            <w:rPr>
              <w:b w:val="0"/>
              <w:bCs w:val="0"/>
              <w:color w:val="auto"/>
              <w:highlight w:val="none"/>
            </w:rPr>
            <w:fldChar w:fldCharType="end"/>
          </w:r>
        </w:p>
      </w:sdtContent>
    </w:sdt>
    <w:sdt>
      <w:sdtPr>
        <w:rPr>
          <w:rFonts w:ascii="宋体" w:hAnsi="宋体" w:eastAsia="宋体" w:cs="Times New Roman"/>
          <w:color w:val="auto"/>
          <w:kern w:val="2"/>
          <w:sz w:val="21"/>
          <w:szCs w:val="21"/>
          <w:highlight w:val="none"/>
          <w:lang w:val="en-US" w:eastAsia="zh-CN" w:bidi="ar-SA"/>
        </w:rPr>
        <w:id w:val="147458908"/>
        <w15:color w:val="DBDBDB"/>
        <w:docPartObj>
          <w:docPartGallery w:val="Table of Contents"/>
          <w:docPartUnique/>
        </w:docPartObj>
      </w:sdtPr>
      <w:sdtEndPr>
        <w:rPr>
          <w:rFonts w:ascii="宋体" w:hAnsi="宋体" w:eastAsia="宋体" w:cs="Times New Roman"/>
          <w:b w:val="0"/>
          <w:bCs w:val="0"/>
          <w:color w:val="auto"/>
          <w:kern w:val="2"/>
          <w:sz w:val="21"/>
          <w:szCs w:val="21"/>
          <w:highlight w:val="none"/>
          <w:lang w:val="en-US" w:eastAsia="zh-CN" w:bidi="ar-SA"/>
        </w:rPr>
      </w:sdtEndPr>
      <w:sdtContent>
        <w:p w14:paraId="2F165883">
          <w:pPr>
            <w:rPr>
              <w:b w:val="0"/>
              <w:bCs w:val="0"/>
              <w:color w:val="auto"/>
              <w:highlight w:val="none"/>
            </w:rPr>
          </w:pPr>
        </w:p>
      </w:sdtContent>
    </w:sdt>
    <w:sdt>
      <w:sdtPr>
        <w:rPr>
          <w:rFonts w:ascii="宋体" w:hAnsi="宋体" w:eastAsia="宋体" w:cs="Times New Roman"/>
          <w:color w:val="auto"/>
          <w:kern w:val="2"/>
          <w:sz w:val="21"/>
          <w:szCs w:val="21"/>
          <w:highlight w:val="none"/>
          <w:lang w:val="en-US" w:eastAsia="zh-CN" w:bidi="ar-SA"/>
        </w:rPr>
        <w:id w:val="147466715"/>
        <w15:color w:val="DBDBDB"/>
        <w:docPartObj>
          <w:docPartGallery w:val="Table of Contents"/>
          <w:docPartUnique/>
        </w:docPartObj>
      </w:sdtPr>
      <w:sdtEndPr>
        <w:rPr>
          <w:rFonts w:ascii="宋体" w:hAnsi="宋体" w:eastAsia="宋体" w:cs="Times New Roman"/>
          <w:color w:val="auto"/>
          <w:kern w:val="2"/>
          <w:sz w:val="21"/>
          <w:szCs w:val="21"/>
          <w:highlight w:val="none"/>
          <w:lang w:val="en-US" w:eastAsia="zh-CN" w:bidi="ar-SA"/>
        </w:rPr>
      </w:sdtEndPr>
      <w:sdtContent>
        <w:p w14:paraId="73227D4B">
          <w:pPr>
            <w:spacing w:line="480" w:lineRule="auto"/>
            <w:jc w:val="center"/>
            <w:rPr>
              <w:rFonts w:hint="eastAsia" w:asciiTheme="majorEastAsia" w:hAnsiTheme="majorEastAsia" w:eastAsiaTheme="majorEastAsia" w:cstheme="majorEastAsia"/>
              <w:color w:val="auto"/>
              <w:highlight w:val="none"/>
            </w:rPr>
            <w:sectPr>
              <w:headerReference r:id="rId7" w:type="default"/>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A12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385F7A">
                <w:pPr>
                  <w:spacing w:line="480" w:lineRule="auto"/>
                  <w:jc w:val="center"/>
                  <w:rPr>
                    <w:rFonts w:hint="eastAsia" w:asciiTheme="majorEastAsia" w:hAnsiTheme="majorEastAsia" w:eastAsiaTheme="majorEastAsia" w:cstheme="majorEastAsia"/>
                    <w:color w:val="auto"/>
                    <w:sz w:val="24"/>
                    <w:highlight w:val="none"/>
                    <w:lang w:eastAsia="zh-CN"/>
                  </w:rPr>
                </w:pPr>
                <w:r>
                  <w:rPr>
                    <w:rFonts w:hint="eastAsia" w:asciiTheme="majorEastAsia" w:hAnsiTheme="majorEastAsia" w:eastAsiaTheme="majorEastAsia" w:cstheme="majorEastAsia"/>
                    <w:color w:val="auto"/>
                    <w:sz w:val="24"/>
                    <w:highlight w:val="none"/>
                    <w:lang w:eastAsia="zh-CN"/>
                  </w:rPr>
                  <w:t>超柔射频同轴电缆生产线产品质量保证大纲计划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63F7F2B">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B11BCE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2E64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A6B2D66">
                <w:pPr>
                  <w:jc w:val="center"/>
                  <w:rPr>
                    <w:rFonts w:hint="eastAsia" w:asciiTheme="majorEastAsia" w:hAnsiTheme="majorEastAsia" w:eastAsiaTheme="majorEastAsia" w:cstheme="majorEastAsia"/>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40C0735">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738BB6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419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E168D72">
                <w:pPr>
                  <w:outlineLvl w:val="0"/>
                  <w:rPr>
                    <w:rFonts w:hint="eastAsia" w:asciiTheme="majorEastAsia" w:hAnsiTheme="majorEastAsia" w:eastAsiaTheme="majorEastAsia" w:cstheme="majorEastAsia"/>
                    <w:color w:val="auto"/>
                    <w:sz w:val="24"/>
                    <w:szCs w:val="24"/>
                    <w:highlight w:val="none"/>
                    <w:lang w:eastAsia="zh-CN"/>
                  </w:rPr>
                </w:pPr>
                <w:bookmarkStart w:id="9" w:name="_Toc24285"/>
                <w:bookmarkStart w:id="10" w:name="_Toc8508"/>
                <w:bookmarkStart w:id="11" w:name="_Toc328"/>
                <w:r>
                  <w:rPr>
                    <w:rFonts w:hint="eastAsia" w:asciiTheme="majorEastAsia" w:hAnsiTheme="majorEastAsia" w:eastAsiaTheme="majorEastAsia" w:cstheme="majorEastAsia"/>
                    <w:color w:val="auto"/>
                    <w:sz w:val="24"/>
                    <w:highlight w:val="none"/>
                    <w:lang w:val="en-US" w:eastAsia="zh-CN"/>
                  </w:rPr>
                  <w:t xml:space="preserve">1 </w:t>
                </w:r>
                <w:r>
                  <w:rPr>
                    <w:rFonts w:hint="eastAsia" w:asciiTheme="majorEastAsia" w:hAnsiTheme="majorEastAsia" w:eastAsiaTheme="majorEastAsia" w:cstheme="majorEastAsia"/>
                    <w:color w:val="auto"/>
                    <w:sz w:val="24"/>
                    <w:highlight w:val="none"/>
                  </w:rPr>
                  <w:t>前言</w:t>
                </w:r>
                <w:bookmarkEnd w:id="9"/>
                <w:bookmarkEnd w:id="10"/>
                <w:bookmarkEnd w:id="11"/>
              </w:p>
            </w:tc>
            <w:tc>
              <w:tcPr>
                <w:tcW w:w="1587" w:type="dxa"/>
                <w:tcBorders>
                  <w:top w:val="single" w:color="auto" w:sz="4" w:space="0"/>
                  <w:left w:val="single" w:color="auto" w:sz="4" w:space="0"/>
                  <w:bottom w:val="single" w:color="auto" w:sz="4" w:space="0"/>
                  <w:right w:val="single" w:color="auto" w:sz="4" w:space="0"/>
                </w:tcBorders>
                <w:vAlign w:val="center"/>
              </w:tcPr>
              <w:p w14:paraId="2B8B318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271BC6B2">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页</w:t>
                </w:r>
              </w:p>
            </w:tc>
          </w:tr>
          <w:tr w14:paraId="6862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B72F164">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74E1D91">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AB0756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401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9E4722E">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1.1目的</w:t>
                </w:r>
              </w:p>
              <w:p w14:paraId="04E21816">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超柔射频同轴电缆生产线贯彻国军标生产线的质量控制符合军用电子元器件生产线质量认证、GJB 546B标准和用户附加的要求，生产线产品质量达到GJB973A-2004《柔软和半硬射频电缆通用规范》和ZZR-Q/XC 20048-2017《SFCF4-50-2.5型超柔射频同轴电缆详细规范》的要求，且能维持生产线认证合格和保持产品鉴定合格；</w:t>
                </w:r>
              </w:p>
              <w:p w14:paraId="1398F111">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超柔射频同轴电缆生产过程做到质量可控。产品出现质量问题能及时发现、及时纠正，并防止重复发生；</w:t>
                </w:r>
              </w:p>
              <w:p w14:paraId="48F25F89">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产品质量管理过程具有可追溯性；</w:t>
                </w:r>
              </w:p>
              <w:p w14:paraId="0B5C3D17">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保证生产线产品批次质量一致性。</w:t>
                </w:r>
              </w:p>
              <w:p w14:paraId="265F1FEE">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 适用范围</w:t>
                </w:r>
              </w:p>
              <w:p w14:paraId="77EB00A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本大纲计划规定了超柔射频同轴电缆生产线建设和实施的质量控制和质量管理准则及要求。</w:t>
                </w:r>
              </w:p>
              <w:p w14:paraId="165F9AD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本大纲计划适用于为确保产品质量稳定，需对人员、设备、原材料、工艺、环境、测量进行控制的超柔射频同轴电缆生产线产品（见附录D)。本大纲计划是本单位管理超柔射频同轴电缆生</w:t>
                </w:r>
                <w:r>
                  <w:rPr>
                    <w:rFonts w:hint="eastAsia" w:ascii="仿宋_GB2312" w:hAnsi="仿宋_GB2312" w:eastAsia="仿宋_GB2312" w:cs="仿宋_GB2312"/>
                    <w:color w:val="auto"/>
                    <w:spacing w:val="-6"/>
                    <w:sz w:val="21"/>
                    <w:highlight w:val="none"/>
                  </w:rPr>
                  <w:t>产线时，制定和实施生产线程序文件、作业文件的基本依据，也是鉴定机构进行生产线审查的依据。</w:t>
                </w:r>
              </w:p>
              <w:p w14:paraId="6B984815">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1.3大纲计划管理要求</w:t>
                </w:r>
              </w:p>
              <w:p w14:paraId="098827C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为确保大纲文件的有效实施，特规定如下管理要求：</w:t>
                </w:r>
              </w:p>
              <w:p w14:paraId="2FA678AC">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制订和实施质量保证大纲计划是开展质量认证工作和生产线贯标产品鉴定的先决条件，是产品鉴定合格维持的必要条件和保证措施，是本单位生产、技术和质量管理的正式文件，</w:t>
                </w:r>
                <w:r>
                  <w:rPr>
                    <w:rFonts w:hint="eastAsia" w:ascii="仿宋_GB2312" w:hAnsi="仿宋_GB2312" w:eastAsia="仿宋_GB2312" w:cs="仿宋_GB2312"/>
                    <w:color w:val="auto"/>
                    <w:highlight w:val="none"/>
                    <w:lang w:eastAsia="zh-CN"/>
                  </w:rPr>
                  <w:t>由质量体系部负责管理。</w:t>
                </w:r>
              </w:p>
              <w:p w14:paraId="6138D8AC">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质量保证大纲计划单独装订成册，是现行有效版本。</w:t>
                </w:r>
              </w:p>
              <w:p w14:paraId="4BD8D2AB">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在本单位和认证机构使用质量保证大纲计划时，在封面加盖“受控”标记并编号，质量体系部保存“受控”质量保证大纲计划发放清单。</w:t>
                </w:r>
              </w:p>
              <w:p w14:paraId="7F6D845E">
                <w:pPr>
                  <w:numPr>
                    <w:ilvl w:val="0"/>
                    <w:numId w:val="3"/>
                  </w:numPr>
                  <w:spacing w:line="440" w:lineRule="exact"/>
                  <w:rPr>
                    <w:rFonts w:ascii="宋体" w:hAnsi="宋体" w:eastAsia="宋体" w:cs="宋体"/>
                    <w:color w:val="auto"/>
                    <w:highlight w:val="none"/>
                  </w:rPr>
                </w:pPr>
                <w:r>
                  <w:rPr>
                    <w:rFonts w:hint="eastAsia" w:ascii="仿宋_GB2312" w:hAnsi="仿宋_GB2312" w:eastAsia="仿宋_GB2312" w:cs="仿宋_GB2312"/>
                    <w:color w:val="auto"/>
                    <w:highlight w:val="none"/>
                  </w:rPr>
                  <w:t>质量保证大纲计划一切内容的更改按原审批程序进行，由质量体系部质量管理员对所有发放的“受控”质量保证大纲计划逐一更改。当一次更改涉及页数超过总页数的一半时应进行版本换新；如有重大更改应上报鉴定机构认可。</w:t>
                </w:r>
              </w:p>
            </w:tc>
          </w:tr>
        </w:tbl>
      </w:sdtContent>
    </w:sdt>
    <w:p w14:paraId="06014119">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889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014F228">
            <w:pPr>
              <w:jc w:val="center"/>
              <w:outlineLvl w:val="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lang w:val="en-US" w:eastAsia="zh-CN"/>
              </w:rPr>
              <w:t>超柔射频同轴电缆生产线产品</w:t>
            </w:r>
          </w:p>
          <w:p w14:paraId="0226CFE0">
            <w:pPr>
              <w:jc w:val="center"/>
              <w:outlineLvl w:val="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lang w:val="en-US"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979E24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DD70CE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A23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8383295">
            <w:pPr>
              <w:outlineLvl w:val="9"/>
              <w:rPr>
                <w:rFonts w:hint="eastAsia" w:asciiTheme="majorEastAsia" w:hAnsiTheme="majorEastAsia" w:eastAsiaTheme="majorEastAsia" w:cstheme="majorEastAsia"/>
                <w:color w:val="auto"/>
                <w:sz w:val="24"/>
                <w:highlight w:val="none"/>
                <w:lang w:val="en-US" w:eastAsia="zh-CN"/>
              </w:rPr>
            </w:pPr>
          </w:p>
        </w:tc>
        <w:tc>
          <w:tcPr>
            <w:tcW w:w="1587" w:type="dxa"/>
            <w:tcBorders>
              <w:top w:val="single" w:color="auto" w:sz="4" w:space="0"/>
              <w:left w:val="single" w:color="auto" w:sz="4" w:space="0"/>
              <w:bottom w:val="single" w:color="auto" w:sz="4" w:space="0"/>
              <w:right w:val="single" w:color="auto" w:sz="4" w:space="0"/>
            </w:tcBorders>
            <w:vAlign w:val="center"/>
          </w:tcPr>
          <w:p w14:paraId="64DBB67D">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FD01FA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CFA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BC5C857">
            <w:pPr>
              <w:outlineLvl w:val="0"/>
              <w:rPr>
                <w:rFonts w:hint="eastAsia" w:asciiTheme="majorEastAsia" w:hAnsiTheme="majorEastAsia" w:eastAsiaTheme="majorEastAsia" w:cstheme="majorEastAsia"/>
                <w:color w:val="auto"/>
                <w:sz w:val="24"/>
                <w:highlight w:val="none"/>
                <w:lang w:val="en-US" w:eastAsia="zh-CN"/>
              </w:rPr>
            </w:pPr>
            <w:bookmarkStart w:id="12" w:name="_Toc14532"/>
            <w:bookmarkStart w:id="13" w:name="_Toc10950"/>
            <w:bookmarkStart w:id="14" w:name="_Toc28914"/>
            <w:r>
              <w:rPr>
                <w:rFonts w:hint="eastAsia" w:asciiTheme="majorEastAsia" w:hAnsiTheme="majorEastAsia" w:eastAsiaTheme="majorEastAsia" w:cstheme="majorEastAsia"/>
                <w:color w:val="auto"/>
                <w:sz w:val="24"/>
                <w:highlight w:val="none"/>
                <w:lang w:val="en-US" w:eastAsia="zh-CN"/>
              </w:rPr>
              <w:t>1 前言</w:t>
            </w:r>
            <w:bookmarkEnd w:id="12"/>
            <w:bookmarkEnd w:id="13"/>
            <w:bookmarkEnd w:id="14"/>
          </w:p>
        </w:tc>
        <w:tc>
          <w:tcPr>
            <w:tcW w:w="1587" w:type="dxa"/>
            <w:tcBorders>
              <w:top w:val="single" w:color="auto" w:sz="4" w:space="0"/>
              <w:left w:val="single" w:color="auto" w:sz="4" w:space="0"/>
              <w:bottom w:val="single" w:color="auto" w:sz="4" w:space="0"/>
              <w:right w:val="single" w:color="auto" w:sz="4" w:space="0"/>
            </w:tcBorders>
            <w:vAlign w:val="center"/>
          </w:tcPr>
          <w:p w14:paraId="0B8B925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750A245">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页</w:t>
            </w:r>
          </w:p>
        </w:tc>
      </w:tr>
      <w:tr w14:paraId="73FA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E81E77C">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2AADCA6">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1915A7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4EB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31DD297">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质量保证大纲计划由编制小组拟制，质量保证负责人审核，</w:t>
            </w:r>
            <w:r>
              <w:rPr>
                <w:rFonts w:hint="eastAsia" w:ascii="仿宋_GB2312" w:hAnsi="仿宋_GB2312" w:cs="仿宋_GB2312"/>
                <w:color w:val="auto"/>
                <w:highlight w:val="none"/>
                <w:lang w:val="en-US" w:eastAsia="zh-CN"/>
              </w:rPr>
              <w:t>最高管理者</w:t>
            </w:r>
            <w:r>
              <w:rPr>
                <w:rFonts w:hint="eastAsia" w:ascii="仿宋_GB2312" w:hAnsi="仿宋_GB2312" w:eastAsia="仿宋_GB2312" w:cs="仿宋_GB2312"/>
                <w:color w:val="auto"/>
                <w:highlight w:val="none"/>
              </w:rPr>
              <w:t>批准。</w:t>
            </w:r>
          </w:p>
          <w:p w14:paraId="126AE0C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 本单位简介（见附录A）</w:t>
            </w:r>
          </w:p>
          <w:p w14:paraId="6C70A640">
            <w:pPr>
              <w:numPr>
                <w:ilvl w:val="0"/>
                <w:numId w:val="0"/>
              </w:numPr>
              <w:spacing w:line="440" w:lineRule="exact"/>
              <w:ind w:left="210" w:leftChars="0"/>
              <w:rPr>
                <w:rFonts w:ascii="宋体" w:hAnsi="宋体" w:eastAsia="宋体" w:cs="宋体"/>
                <w:color w:val="auto"/>
                <w:highlight w:val="none"/>
              </w:rPr>
            </w:pPr>
          </w:p>
        </w:tc>
      </w:tr>
    </w:tbl>
    <w:p w14:paraId="36AF598E">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61B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BF8F8F6">
            <w:pPr>
              <w:jc w:val="center"/>
              <w:outlineLvl w:val="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lang w:val="en-US" w:eastAsia="zh-CN"/>
              </w:rPr>
              <w:t>超柔射频同轴电缆生产线产品</w:t>
            </w:r>
          </w:p>
          <w:p w14:paraId="639D110B">
            <w:pPr>
              <w:jc w:val="center"/>
              <w:outlineLvl w:val="0"/>
              <w:rPr>
                <w:rFonts w:hint="eastAsia" w:ascii="宋体" w:hAnsi="宋体" w:eastAsia="宋体" w:cs="宋体"/>
                <w:color w:val="auto"/>
                <w:sz w:val="24"/>
                <w:highlight w:val="none"/>
                <w:lang w:eastAsia="zh-CN"/>
              </w:rPr>
            </w:pPr>
            <w:r>
              <w:rPr>
                <w:rFonts w:hint="eastAsia" w:asciiTheme="majorEastAsia" w:hAnsiTheme="majorEastAsia" w:eastAsiaTheme="majorEastAsia" w:cstheme="majorEastAsia"/>
                <w:color w:val="auto"/>
                <w:sz w:val="24"/>
                <w:highlight w:val="none"/>
                <w:lang w:val="en-US"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9E70E15">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754548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5249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E10D37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2D1E2FF">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E035B7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BE3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95D7E0E">
            <w:pPr>
              <w:outlineLvl w:val="0"/>
              <w:rPr>
                <w:rFonts w:hint="eastAsia" w:ascii="宋体" w:hAnsi="宋体" w:eastAsia="宋体" w:cs="宋体"/>
                <w:color w:val="auto"/>
                <w:sz w:val="24"/>
                <w:szCs w:val="24"/>
                <w:highlight w:val="none"/>
                <w:lang w:eastAsia="zh-CN"/>
              </w:rPr>
            </w:pPr>
            <w:bookmarkStart w:id="15" w:name="_Toc16889"/>
            <w:bookmarkStart w:id="16" w:name="_Toc651"/>
            <w:bookmarkStart w:id="17" w:name="_Toc26230"/>
            <w:r>
              <w:rPr>
                <w:rFonts w:hint="eastAsia" w:ascii="宋体" w:hAnsi="宋体" w:eastAsia="宋体" w:cs="宋体"/>
                <w:color w:val="auto"/>
                <w:sz w:val="24"/>
                <w:highlight w:val="none"/>
              </w:rPr>
              <w:t>2 引用文件</w:t>
            </w:r>
            <w:bookmarkEnd w:id="15"/>
            <w:bookmarkEnd w:id="16"/>
            <w:bookmarkEnd w:id="17"/>
          </w:p>
        </w:tc>
        <w:tc>
          <w:tcPr>
            <w:tcW w:w="1587" w:type="dxa"/>
            <w:tcBorders>
              <w:top w:val="single" w:color="auto" w:sz="4" w:space="0"/>
              <w:left w:val="single" w:color="auto" w:sz="4" w:space="0"/>
              <w:bottom w:val="single" w:color="auto" w:sz="4" w:space="0"/>
              <w:right w:val="single" w:color="auto" w:sz="4" w:space="0"/>
            </w:tcBorders>
            <w:vAlign w:val="center"/>
          </w:tcPr>
          <w:p w14:paraId="6FC9B4F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5FF3A2B">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页</w:t>
            </w:r>
          </w:p>
        </w:tc>
      </w:tr>
      <w:tr w14:paraId="1635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7C8433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55B4F6E">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3783321">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C04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94E1E28">
            <w:pPr>
              <w:adjustRightInd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除GJB 546B-2011引用相关文件外，下列文件为本质量保证大纲计划增加的引用文件：</w:t>
            </w:r>
          </w:p>
          <w:p w14:paraId="7FF2E005">
            <w:pPr>
              <w:numPr>
                <w:ilvl w:val="0"/>
                <w:numId w:val="5"/>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GJB 546B-2011 《电子元器件质量保证大纲》</w:t>
            </w:r>
          </w:p>
          <w:p w14:paraId="4117BF65">
            <w:pPr>
              <w:numPr>
                <w:ilvl w:val="0"/>
                <w:numId w:val="5"/>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《军用电子元器件质量认证工作程序和要求》（试行）</w:t>
            </w:r>
          </w:p>
          <w:p w14:paraId="0D3491A5">
            <w:pPr>
              <w:numPr>
                <w:ilvl w:val="0"/>
                <w:numId w:val="5"/>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3206A-2010  </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技术状态管理</w:t>
            </w:r>
            <w:r>
              <w:rPr>
                <w:rFonts w:hint="eastAsia" w:ascii="仿宋_GB2312" w:hAnsi="仿宋_GB2312" w:cs="仿宋_GB2312"/>
                <w:color w:val="auto"/>
                <w:highlight w:val="none"/>
                <w:lang w:eastAsia="zh-CN"/>
              </w:rPr>
              <w:t>》</w:t>
            </w:r>
          </w:p>
          <w:p w14:paraId="4875E0AF">
            <w:pPr>
              <w:numPr>
                <w:ilvl w:val="0"/>
                <w:numId w:val="5"/>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1405A-2006  </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装备质量管理术语</w:t>
            </w:r>
            <w:r>
              <w:rPr>
                <w:rFonts w:hint="eastAsia" w:ascii="仿宋_GB2312" w:hAnsi="仿宋_GB2312" w:cs="仿宋_GB2312"/>
                <w:color w:val="auto"/>
                <w:highlight w:val="none"/>
                <w:lang w:eastAsia="zh-CN"/>
              </w:rPr>
              <w:t>》</w:t>
            </w:r>
          </w:p>
          <w:p w14:paraId="7BA0A258">
            <w:pPr>
              <w:numPr>
                <w:ilvl w:val="0"/>
                <w:numId w:val="5"/>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5.GJB 2712A-2009  《装备计量保障中测量设备和测量过程的质量控制》</w:t>
            </w:r>
          </w:p>
          <w:p w14:paraId="2E49FCEE">
            <w:pPr>
              <w:numPr>
                <w:ilvl w:val="0"/>
                <w:numId w:val="5"/>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GJB 973A-2004  《柔软和半硬射频电缆通用规范》</w:t>
            </w:r>
          </w:p>
          <w:p w14:paraId="4C7BF68F">
            <w:pPr>
              <w:numPr>
                <w:ilvl w:val="0"/>
                <w:numId w:val="5"/>
              </w:numPr>
              <w:spacing w:line="440" w:lineRule="exact"/>
              <w:ind w:left="0" w:firstLine="420"/>
              <w:rPr>
                <w:rFonts w:ascii="宋体" w:hAnsi="宋体" w:eastAsia="宋体" w:cs="宋体"/>
                <w:color w:val="auto"/>
                <w:highlight w:val="none"/>
              </w:rPr>
            </w:pPr>
            <w:r>
              <w:rPr>
                <w:rFonts w:hint="eastAsia" w:ascii="仿宋_GB2312" w:hAnsi="仿宋_GB2312" w:eastAsia="仿宋_GB2312" w:cs="仿宋_GB2312"/>
                <w:color w:val="auto"/>
                <w:highlight w:val="none"/>
              </w:rPr>
              <w:t xml:space="preserve"> ZZR-Q/XC 20048-2017 《SFCF4-50-2.5型超柔射频同轴电缆详细规范》</w:t>
            </w:r>
          </w:p>
          <w:p w14:paraId="6AB85977">
            <w:pPr>
              <w:numPr>
                <w:ilvl w:val="0"/>
                <w:numId w:val="5"/>
              </w:numPr>
              <w:spacing w:line="440" w:lineRule="exact"/>
              <w:ind w:left="0" w:firstLine="420"/>
              <w:rPr>
                <w:rFonts w:ascii="宋体" w:hAnsi="宋体" w:eastAsia="宋体" w:cs="宋体"/>
                <w:color w:val="auto"/>
                <w:highlight w:val="none"/>
              </w:rPr>
            </w:pPr>
            <w:r>
              <w:rPr>
                <w:rFonts w:hint="eastAsia" w:ascii="仿宋_GB2312" w:hAnsi="仿宋_GB2312" w:eastAsia="仿宋_GB2312" w:cs="仿宋_GB2312"/>
                <w:color w:val="auto"/>
                <w:highlight w:val="none"/>
              </w:rPr>
              <w:t>JZXL/QP</w:t>
            </w:r>
            <w:r>
              <w:rPr>
                <w:rFonts w:hint="eastAsia" w:ascii="仿宋_GB2312" w:hAnsi="仿宋_GB2312" w:cs="仿宋_GB2312"/>
                <w:color w:val="auto"/>
                <w:highlight w:val="none"/>
                <w:lang w:eastAsia="zh-CN"/>
              </w:rPr>
              <w:t>（</w:t>
            </w:r>
            <w:r>
              <w:rPr>
                <w:rFonts w:hint="eastAsia" w:ascii="仿宋_GB2312" w:hAnsi="仿宋_GB2312" w:cs="仿宋_GB2312"/>
                <w:color w:val="auto"/>
                <w:highlight w:val="none"/>
                <w:lang w:val="en-US" w:eastAsia="zh-CN"/>
              </w:rPr>
              <w:t>GB</w:t>
            </w:r>
            <w:r>
              <w:rPr>
                <w:rFonts w:hint="eastAsia" w:ascii="仿宋_GB2312" w:hAnsi="仿宋_GB2312" w:cs="仿宋_GB2312"/>
                <w:color w:val="auto"/>
                <w:highlight w:val="none"/>
                <w:lang w:eastAsia="zh-CN"/>
              </w:rPr>
              <w:t>）</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 xml:space="preserve"> 《生产线程序文件》 </w:t>
            </w:r>
          </w:p>
        </w:tc>
      </w:tr>
    </w:tbl>
    <w:p w14:paraId="310C805B">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01F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E5634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超柔射频同轴电缆生产线产品</w:t>
            </w:r>
          </w:p>
          <w:p w14:paraId="2566FD0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szCs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5ABAC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9F22B7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A31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28BFE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845A6F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0479B2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87C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C292321">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18" w:name="_Toc15835"/>
            <w:bookmarkStart w:id="19" w:name="_Toc12183"/>
            <w:bookmarkStart w:id="20" w:name="_Toc12078"/>
            <w:r>
              <w:rPr>
                <w:rFonts w:hint="eastAsia" w:ascii="宋体" w:hAnsi="宋体" w:eastAsia="宋体" w:cs="宋体"/>
                <w:color w:val="auto"/>
                <w:sz w:val="24"/>
                <w:highlight w:val="none"/>
              </w:rPr>
              <w:t>3 术语和定义</w:t>
            </w:r>
            <w:bookmarkEnd w:id="18"/>
            <w:bookmarkEnd w:id="19"/>
            <w:bookmarkEnd w:id="20"/>
          </w:p>
        </w:tc>
        <w:tc>
          <w:tcPr>
            <w:tcW w:w="1587" w:type="dxa"/>
            <w:tcBorders>
              <w:top w:val="single" w:color="auto" w:sz="4" w:space="0"/>
              <w:left w:val="single" w:color="auto" w:sz="4" w:space="0"/>
              <w:bottom w:val="single" w:color="auto" w:sz="4" w:space="0"/>
              <w:right w:val="single" w:color="auto" w:sz="4" w:space="0"/>
            </w:tcBorders>
            <w:vAlign w:val="center"/>
          </w:tcPr>
          <w:p w14:paraId="789A2E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15839F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页</w:t>
            </w:r>
          </w:p>
        </w:tc>
      </w:tr>
      <w:tr w14:paraId="225E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7FD585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7E2B4A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18295A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32381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C723F2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GB/T 19000、GJB 1405A 、GJB 451和GJB 546B确立的以及下列术语和定义适用于质量保证大纲文件。</w:t>
            </w:r>
          </w:p>
          <w:p w14:paraId="0E3AA5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3.1 关键工序</w:t>
            </w:r>
          </w:p>
          <w:p w14:paraId="6D265B6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在生产线中对产品质量起决定作用、必须对其质量稳定性进行验证的工序。</w:t>
            </w:r>
          </w:p>
          <w:p w14:paraId="65DE99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3.2 特殊工序</w:t>
            </w:r>
          </w:p>
          <w:p w14:paraId="3894415D">
            <w:pPr>
              <w:keepNext w:val="0"/>
              <w:keepLines w:val="0"/>
              <w:pageBreakBefore w:val="0"/>
              <w:widowControl w:val="0"/>
              <w:kinsoku/>
              <w:wordWrap/>
              <w:overflowPunct/>
              <w:topLinePunct w:val="0"/>
              <w:autoSpaceDE/>
              <w:autoSpaceDN/>
              <w:bidi w:val="0"/>
              <w:adjustRightInd/>
              <w:snapToGrid/>
              <w:spacing w:line="440" w:lineRule="exact"/>
              <w:ind w:left="10" w:leftChars="5" w:firstLine="449" w:firstLineChars="214"/>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对形成的产品是否合格，无法或不能经济地进行验证的工序，如：</w:t>
            </w:r>
            <w:r>
              <w:rPr>
                <w:rFonts w:hint="eastAsia" w:ascii="仿宋_GB2312" w:hAnsi="仿宋_GB2312" w:cs="仿宋_GB2312"/>
                <w:color w:val="auto"/>
                <w:highlight w:val="none"/>
                <w:lang w:eastAsia="zh-CN"/>
              </w:rPr>
              <w:t>塑料挤出、退火、银焊、交联、三防处理</w:t>
            </w: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焊接、辐照、注塑、电镀等</w:t>
            </w:r>
            <w:r>
              <w:rPr>
                <w:rFonts w:hint="eastAsia" w:ascii="仿宋_GB2312" w:hAnsi="仿宋_GB2312" w:eastAsia="仿宋_GB2312" w:cs="仿宋_GB2312"/>
                <w:color w:val="auto"/>
                <w:highlight w:val="none"/>
              </w:rPr>
              <w:t>。</w:t>
            </w:r>
          </w:p>
          <w:p w14:paraId="1C4D288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3.3 基线</w:t>
            </w:r>
          </w:p>
          <w:p w14:paraId="7D2C492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基线是指产品在进行鉴定检验时，以文件的形式对与其相关产品的技术状态和管理状态的固化。生产基线文件是质量保证大纲文件的统称。</w:t>
            </w:r>
          </w:p>
          <w:p w14:paraId="39BB3E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3.4 技术秘密</w:t>
            </w:r>
          </w:p>
          <w:p w14:paraId="2F17916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生产线中涉及本单位核心技术，不便对外的内容，如：配方、溶液配比等。</w:t>
            </w:r>
          </w:p>
          <w:p w14:paraId="5A765E0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79EE86A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D71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9D595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B379A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A8735A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709B59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939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53D26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48C1E2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CA646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EE9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tcBorders>
              <w:top w:val="single" w:color="auto" w:sz="4" w:space="0"/>
              <w:left w:val="single" w:color="auto" w:sz="4" w:space="0"/>
              <w:right w:val="single" w:color="auto" w:sz="4" w:space="0"/>
            </w:tcBorders>
            <w:vAlign w:val="center"/>
          </w:tcPr>
          <w:p w14:paraId="63E9D504">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21" w:name="_Toc16845"/>
            <w:bookmarkStart w:id="22" w:name="_Toc15438"/>
            <w:bookmarkStart w:id="23" w:name="_Toc395"/>
            <w:r>
              <w:rPr>
                <w:rFonts w:hint="eastAsia" w:ascii="宋体" w:hAnsi="宋体" w:eastAsia="宋体" w:cs="宋体"/>
                <w:color w:val="auto"/>
                <w:sz w:val="24"/>
                <w:highlight w:val="none"/>
              </w:rPr>
              <w:t>4 要求</w:t>
            </w:r>
            <w:bookmarkEnd w:id="21"/>
            <w:bookmarkEnd w:id="22"/>
            <w:bookmarkEnd w:id="23"/>
          </w:p>
        </w:tc>
        <w:tc>
          <w:tcPr>
            <w:tcW w:w="1587" w:type="dxa"/>
            <w:tcBorders>
              <w:top w:val="single" w:color="auto" w:sz="4" w:space="0"/>
              <w:left w:val="single" w:color="auto" w:sz="4" w:space="0"/>
              <w:bottom w:val="single" w:color="auto" w:sz="4" w:space="0"/>
              <w:right w:val="single" w:color="auto" w:sz="4" w:space="0"/>
            </w:tcBorders>
            <w:vAlign w:val="center"/>
          </w:tcPr>
          <w:p w14:paraId="0DE7E8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0A5EA4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页</w:t>
            </w:r>
          </w:p>
        </w:tc>
      </w:tr>
      <w:tr w14:paraId="3A07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tcBorders>
              <w:left w:val="single" w:color="auto" w:sz="4" w:space="0"/>
              <w:right w:val="single" w:color="auto" w:sz="4" w:space="0"/>
            </w:tcBorders>
            <w:vAlign w:val="center"/>
          </w:tcPr>
          <w:p w14:paraId="786421D8">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ascii="宋体" w:hAnsi="宋体" w:eastAsia="宋体" w:cs="宋体"/>
                <w:color w:val="auto"/>
                <w:sz w:val="24"/>
                <w:highlight w:val="none"/>
              </w:rPr>
            </w:pPr>
            <w:bookmarkStart w:id="24" w:name="_Toc2306"/>
            <w:bookmarkStart w:id="25" w:name="_Toc17360"/>
            <w:r>
              <w:rPr>
                <w:rFonts w:hint="eastAsia" w:ascii="宋体" w:hAnsi="宋体" w:eastAsia="宋体" w:cs="宋体"/>
                <w:color w:val="auto"/>
                <w:highlight w:val="none"/>
              </w:rPr>
              <w:t>4.1 总则</w:t>
            </w:r>
            <w:bookmarkEnd w:id="24"/>
            <w:bookmarkEnd w:id="25"/>
          </w:p>
        </w:tc>
        <w:tc>
          <w:tcPr>
            <w:tcW w:w="1587" w:type="dxa"/>
            <w:tcBorders>
              <w:top w:val="single" w:color="auto" w:sz="4" w:space="0"/>
              <w:left w:val="single" w:color="auto" w:sz="4" w:space="0"/>
              <w:bottom w:val="single" w:color="auto" w:sz="4" w:space="0"/>
              <w:right w:val="single" w:color="auto" w:sz="4" w:space="0"/>
            </w:tcBorders>
            <w:vAlign w:val="center"/>
          </w:tcPr>
          <w:p w14:paraId="1D53F7B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3B3C05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7777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944FC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de-DE"/>
              </w:rPr>
              <w:t>4.1.1超柔射频同轴电缆生产线质量保证大纲文件是根据GJB 546B-2011《电子元器件质量保证大纲》、GJB973A-2004《柔软和半硬射频电缆通用规范》、ZZR-Q/XC 20048-2017《SFCF4-50-2.5型超柔射频同轴电缆详细规范》以及用户的要求编写的，目的在于保证产品质量符合要求，并通过产品鉴定列入QPL，使贯标线满足GJB 546B-2011标准的要求，获得认证证书，并使这种鉴定和认证得到维持和保持</w:t>
            </w:r>
            <w:r>
              <w:rPr>
                <w:rFonts w:hint="eastAsia" w:ascii="仿宋_GB2312" w:hAnsi="仿宋_GB2312" w:eastAsia="仿宋_GB2312" w:cs="仿宋_GB2312"/>
                <w:color w:val="auto"/>
                <w:highlight w:val="none"/>
              </w:rPr>
              <w:t>。</w:t>
            </w:r>
          </w:p>
          <w:p w14:paraId="4FB714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4.1.2超柔射频同轴电缆生产线质量保证大纲文件由以下四个层次组成：</w:t>
            </w:r>
          </w:p>
          <w:p w14:paraId="08BEBF10">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845" w:leftChars="0" w:hanging="425"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《超柔射频同轴电缆生产线质量保证大纲计划》</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编号：</w:t>
            </w:r>
            <w:r>
              <w:rPr>
                <w:rFonts w:hint="eastAsia" w:ascii="宋体" w:hAnsi="宋体" w:eastAsia="宋体" w:cs="宋体"/>
                <w:color w:val="auto"/>
                <w:highlight w:val="none"/>
                <w:lang w:eastAsia="zh-CN"/>
              </w:rPr>
              <w:t>JZXL/QA(GB)-0202(B)-2025</w:t>
            </w:r>
            <w:r>
              <w:rPr>
                <w:rFonts w:hint="eastAsia" w:ascii="仿宋_GB2312" w:hAnsi="仿宋_GB2312" w:eastAsia="仿宋_GB2312" w:cs="仿宋_GB2312"/>
                <w:color w:val="auto"/>
                <w:highlight w:val="none"/>
              </w:rPr>
              <w:t>；</w:t>
            </w:r>
          </w:p>
          <w:p w14:paraId="144CFA86">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845" w:leftChars="0" w:hanging="425"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《生产线程序文件》</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编号：JZXL/QP</w:t>
            </w:r>
            <w:r>
              <w:rPr>
                <w:rFonts w:hint="eastAsia" w:ascii="仿宋_GB2312" w:hAnsi="仿宋_GB2312" w:cs="仿宋_GB2312"/>
                <w:color w:val="auto"/>
                <w:highlight w:val="none"/>
                <w:lang w:eastAsia="zh-CN"/>
              </w:rPr>
              <w:t>（</w:t>
            </w:r>
            <w:r>
              <w:rPr>
                <w:rFonts w:hint="eastAsia" w:ascii="仿宋_GB2312" w:hAnsi="仿宋_GB2312" w:cs="仿宋_GB2312"/>
                <w:color w:val="auto"/>
                <w:highlight w:val="none"/>
                <w:lang w:val="en-US" w:eastAsia="zh-CN"/>
              </w:rPr>
              <w:t>GB</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w:t>
            </w:r>
          </w:p>
          <w:p w14:paraId="5FB39235">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845" w:leftChars="0" w:hanging="425"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《生产线作业文件》（详见附录G</w:t>
            </w:r>
            <w:r>
              <w:rPr>
                <w:rFonts w:hint="eastAsia" w:ascii="仿宋_GB2312" w:hAnsi="仿宋_GB2312" w:cs="仿宋_GB2312"/>
                <w:color w:val="auto"/>
                <w:highlight w:val="none"/>
                <w:lang w:val="en-US" w:eastAsia="zh-CN"/>
              </w:rPr>
              <w:t>.1</w:t>
            </w:r>
            <w:r>
              <w:rPr>
                <w:rFonts w:hint="eastAsia" w:ascii="仿宋_GB2312" w:hAnsi="仿宋_GB2312" w:eastAsia="仿宋_GB2312" w:cs="仿宋_GB2312"/>
                <w:color w:val="auto"/>
                <w:highlight w:val="none"/>
              </w:rPr>
              <w:t>）；</w:t>
            </w:r>
          </w:p>
          <w:p w14:paraId="70E2865E">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845" w:leftChars="0" w:hanging="425"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《生产线质量记录》（表格）。</w:t>
            </w:r>
          </w:p>
          <w:p w14:paraId="547AC2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4.1.3本产品属于国内外成熟产品，产品技术属于同行共知的技术，4.5条款不适用，予以删除；且本产品不是宇航级产品，4.21 条款不适用，予以删除。</w:t>
            </w:r>
          </w:p>
          <w:p w14:paraId="7DA29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4.1.4 按元器件质量认证工作相关文件要求向鉴定机构提交质量保证大纲有关文件。</w:t>
            </w:r>
          </w:p>
          <w:p w14:paraId="13DC1D1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p>
          <w:p w14:paraId="0BFDCEE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2D89897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6C9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B9658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5DF1CA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82207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0C9D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7B08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B2627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D05B6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9BFF3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6FD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0B8EA39">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auto"/>
                <w:sz w:val="24"/>
                <w:szCs w:val="24"/>
                <w:highlight w:val="none"/>
                <w:lang w:eastAsia="zh-CN"/>
              </w:rPr>
            </w:pPr>
            <w:bookmarkStart w:id="26" w:name="_Toc32540"/>
            <w:bookmarkStart w:id="27" w:name="_Toc23530"/>
            <w:bookmarkStart w:id="28" w:name="_Toc21552"/>
            <w:r>
              <w:rPr>
                <w:rFonts w:hint="eastAsia" w:ascii="宋体" w:hAnsi="宋体" w:eastAsia="宋体" w:cs="宋体"/>
                <w:color w:val="auto"/>
                <w:highlight w:val="none"/>
              </w:rPr>
              <w:t>4.2 组织机构与职责</w:t>
            </w:r>
            <w:bookmarkEnd w:id="26"/>
            <w:bookmarkEnd w:id="27"/>
            <w:bookmarkEnd w:id="28"/>
          </w:p>
        </w:tc>
        <w:tc>
          <w:tcPr>
            <w:tcW w:w="1587" w:type="dxa"/>
            <w:tcBorders>
              <w:top w:val="single" w:color="auto" w:sz="4" w:space="0"/>
              <w:left w:val="single" w:color="auto" w:sz="4" w:space="0"/>
              <w:bottom w:val="single" w:color="auto" w:sz="4" w:space="0"/>
              <w:right w:val="single" w:color="auto" w:sz="4" w:space="0"/>
            </w:tcBorders>
            <w:vAlign w:val="center"/>
          </w:tcPr>
          <w:p w14:paraId="54B8B45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6791CD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页</w:t>
            </w:r>
          </w:p>
        </w:tc>
      </w:tr>
      <w:tr w14:paraId="2CE9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71259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153579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D1F21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4096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422C736">
            <w:pPr>
              <w:keepNext w:val="0"/>
              <w:keepLines w:val="0"/>
              <w:pageBreakBefore w:val="0"/>
              <w:widowControl w:val="0"/>
              <w:kinsoku/>
              <w:wordWrap/>
              <w:overflowPunct/>
              <w:topLinePunct w:val="0"/>
              <w:autoSpaceDE/>
              <w:autoSpaceDN/>
              <w:bidi w:val="0"/>
              <w:adjustRightInd/>
              <w:snapToGrid/>
              <w:spacing w:before="50" w:line="440" w:lineRule="exact"/>
              <w:textAlignment w:val="auto"/>
              <w:rPr>
                <w:rFonts w:hint="eastAsia" w:ascii="仿宋_GB2312" w:hAnsi="仿宋_GB2312" w:eastAsia="仿宋_GB2312" w:cs="仿宋_GB2312"/>
                <w:color w:val="auto"/>
                <w:highlight w:val="none"/>
              </w:rPr>
            </w:pPr>
            <w:bookmarkStart w:id="29" w:name="_Toc326218153"/>
            <w:r>
              <w:rPr>
                <w:rFonts w:hint="eastAsia" w:ascii="仿宋_GB2312" w:hAnsi="仿宋_GB2312" w:eastAsia="仿宋_GB2312" w:cs="仿宋_GB2312"/>
                <w:color w:val="auto"/>
                <w:highlight w:val="none"/>
              </w:rPr>
              <w:t>4.2.1 组织机构</w:t>
            </w:r>
            <w:bookmarkEnd w:id="29"/>
          </w:p>
          <w:p w14:paraId="13B6316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超柔射频同轴电缆生产线实施本单位最高级别的质量保证工作, 组织机构图见附录B。当组织机构变化时，更改相应的文件，并在发生变化后的30天内（应在审查前）向鉴定机构报告。</w:t>
            </w:r>
          </w:p>
          <w:p w14:paraId="415780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w:t>
            </w:r>
            <w:bookmarkStart w:id="30" w:name="_Toc213765409"/>
            <w:r>
              <w:rPr>
                <w:rFonts w:hint="eastAsia" w:ascii="仿宋_GB2312" w:hAnsi="仿宋_GB2312" w:eastAsia="仿宋_GB2312" w:cs="仿宋_GB2312"/>
                <w:color w:val="auto"/>
                <w:highlight w:val="none"/>
              </w:rPr>
              <w:t xml:space="preserve"> 职责与权限</w:t>
            </w:r>
            <w:bookmarkEnd w:id="30"/>
          </w:p>
          <w:p w14:paraId="178583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4.2.2.1 人员职责与权限</w:t>
            </w:r>
          </w:p>
          <w:p w14:paraId="482C60D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 最高管理者</w:t>
            </w:r>
          </w:p>
          <w:p w14:paraId="07F2724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负责组织建立本单位生产线质量管理体系；</w:t>
            </w:r>
          </w:p>
          <w:p w14:paraId="5CCDE51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批准本单位质量保证大纲计划；</w:t>
            </w:r>
          </w:p>
          <w:p w14:paraId="3CB363F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提供生产线建设与维护所必须的资源；</w:t>
            </w:r>
          </w:p>
          <w:p w14:paraId="2CEAB15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任命本单位质量监督负责人和质量保证负责人。</w:t>
            </w:r>
          </w:p>
          <w:p w14:paraId="7130FC0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 质量保证负责人</w:t>
            </w:r>
          </w:p>
          <w:p w14:paraId="550336A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负责组织编制本单位质量保证大纲计划；</w:t>
            </w:r>
          </w:p>
          <w:p w14:paraId="050AA83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负责组织实施本单位生产线质量管理体系；</w:t>
            </w:r>
          </w:p>
          <w:p w14:paraId="097C499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负责组织生产线运行质量保证工作；</w:t>
            </w:r>
          </w:p>
          <w:p w14:paraId="67F3523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负责组织失效和缺陷的分析工作、组织纠正措施计划的实施以及验证；</w:t>
            </w:r>
          </w:p>
          <w:p w14:paraId="488648C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向最高管理者汇报生产线质量管理体系运行中发现的问题。</w:t>
            </w:r>
          </w:p>
          <w:p w14:paraId="7EA9D3A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 质量监督负责人</w:t>
            </w:r>
          </w:p>
          <w:p w14:paraId="760436D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监督本单位生产线质量管理体系实施；</w:t>
            </w:r>
          </w:p>
          <w:p w14:paraId="0656E25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监督合格的保持，对生产过程质量控制方案的实施，特别是对关键过程控制和技术秘密工艺的实施进行监督；</w:t>
            </w:r>
          </w:p>
          <w:p w14:paraId="07C647C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监督合格证书和认证标志的使用；</w:t>
            </w:r>
          </w:p>
          <w:p w14:paraId="2CCA3E3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按有关规定履行呈报义务，负责向鉴定机构呈报产品失效情况；每年12月31日前向审查机构报告质量保证大纲文件的实施情况；</w:t>
            </w:r>
          </w:p>
          <w:p w14:paraId="353EBC9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有权在本单位内独立行使质量监督权，任何部门和个人不得干预。</w:t>
            </w:r>
          </w:p>
          <w:p w14:paraId="389C19D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总经理</w:t>
            </w:r>
          </w:p>
          <w:p w14:paraId="62A5C4A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① 负责市场开发、产品销售和售后服务；</w:t>
            </w:r>
          </w:p>
        </w:tc>
      </w:tr>
    </w:tbl>
    <w:p w14:paraId="74C13B1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371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F02029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C384AE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68C4C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E60FC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34E1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AC5A8E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68CCDD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568BD2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59E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35FB8BE">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31" w:name="_Toc24568"/>
            <w:bookmarkStart w:id="32" w:name="_Toc7900"/>
            <w:bookmarkStart w:id="33" w:name="_Toc13698"/>
            <w:r>
              <w:rPr>
                <w:rFonts w:hint="eastAsia" w:ascii="宋体" w:hAnsi="宋体" w:eastAsia="宋体" w:cs="宋体"/>
                <w:color w:val="auto"/>
                <w:highlight w:val="none"/>
              </w:rPr>
              <w:t>4.2 组织机构与职责</w:t>
            </w:r>
            <w:bookmarkEnd w:id="31"/>
            <w:bookmarkEnd w:id="32"/>
            <w:bookmarkEnd w:id="33"/>
          </w:p>
        </w:tc>
        <w:tc>
          <w:tcPr>
            <w:tcW w:w="1587" w:type="dxa"/>
            <w:tcBorders>
              <w:top w:val="single" w:color="auto" w:sz="4" w:space="0"/>
              <w:left w:val="single" w:color="auto" w:sz="4" w:space="0"/>
              <w:bottom w:val="single" w:color="auto" w:sz="4" w:space="0"/>
              <w:right w:val="single" w:color="auto" w:sz="4" w:space="0"/>
            </w:tcBorders>
            <w:vAlign w:val="center"/>
          </w:tcPr>
          <w:p w14:paraId="7EBD2E6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3DB04F6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页</w:t>
            </w:r>
          </w:p>
        </w:tc>
      </w:tr>
      <w:tr w14:paraId="699D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41BDD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C6B84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B961D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4842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AD321A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负责组织生产线建设的实施策划；</w:t>
            </w:r>
          </w:p>
          <w:p w14:paraId="6B317EA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领导产品设计、标准化工作，并对包装、贮存、搬运、防护和交付的控制负责。</w:t>
            </w:r>
          </w:p>
          <w:p w14:paraId="488F894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 4 \* GB3 \* MERGEFORMAT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④</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负责组织实施生产线过程中产品质量控制；</w:t>
            </w:r>
          </w:p>
          <w:p w14:paraId="3A45955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 5 \* GB3 \* MERGEFORMAT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⑤</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负责向管理部门提出资源需求的要求。</w:t>
            </w:r>
          </w:p>
          <w:p w14:paraId="281B9B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 内审员</w:t>
            </w:r>
          </w:p>
          <w:p w14:paraId="624E03A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对公司的质量管理体系的有效运行进行监督；</w:t>
            </w:r>
          </w:p>
          <w:p w14:paraId="1D3B507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参与公司质量体系内部审核；</w:t>
            </w:r>
          </w:p>
          <w:p w14:paraId="1D0A783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为公司的管理者和员工进行沟通和联络：通过内审工作中与各部门的交流和接触，收集员工对质量管理方面的意见、要求和建议，通过管理者代表向最高管理者反映；把最高管理层关于质量方面的方针、政策和意图通过内审过程向员工进行传达、解释和贯彻；</w:t>
            </w:r>
          </w:p>
          <w:p w14:paraId="132CB59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在第二、三方审核中起到内外接口的作用。</w:t>
            </w:r>
          </w:p>
          <w:p w14:paraId="4959D65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6） 生产线技术人员</w:t>
            </w:r>
          </w:p>
          <w:p w14:paraId="03CD622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执行技术类作业文件，如：产品工艺文件、作业指导书等；</w:t>
            </w:r>
          </w:p>
          <w:p w14:paraId="436ACFD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② 负责对生产现场操作人员进行技术指导； </w:t>
            </w:r>
          </w:p>
          <w:p w14:paraId="5494D18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负责对生产工序的工艺管理；</w:t>
            </w:r>
          </w:p>
          <w:p w14:paraId="20C7CE8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负责对关键工序实施SPC控制；</w:t>
            </w:r>
          </w:p>
          <w:p w14:paraId="13ADDA7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对生产过程中违反工艺的情况进行纠正。</w:t>
            </w:r>
          </w:p>
          <w:p w14:paraId="75C4B8A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7） 生产线管理人员</w:t>
            </w:r>
          </w:p>
          <w:p w14:paraId="686489C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负责实施管理类作业文件，如：生产定置管理规定、库房管理制度等；</w:t>
            </w:r>
          </w:p>
          <w:p w14:paraId="4360DE9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向相关职能部门负责人提出管理改进建议。</w:t>
            </w:r>
          </w:p>
          <w:p w14:paraId="64D15D5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 生产线工序作业人员</w:t>
            </w:r>
          </w:p>
          <w:p w14:paraId="0BCBB53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熟悉工艺文件、操作规程等作业文件，按产品工艺要求进行生产；</w:t>
            </w:r>
          </w:p>
          <w:p w14:paraId="4D24E06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遵守工艺纪律，做好自检、互检，确保本工序生产的产品满足质量要求；</w:t>
            </w:r>
          </w:p>
          <w:p w14:paraId="082EE01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精心保养设备仪器，正确使用工具、模具、量具，达到“三好（管好、用好、维护好）、四会（会使用、会维护、会检查、会排除故障）”要求；</w:t>
            </w:r>
          </w:p>
          <w:p w14:paraId="0D12008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④ 按照规定的要求如实认真填写好质量记录；</w:t>
            </w:r>
          </w:p>
        </w:tc>
      </w:tr>
    </w:tbl>
    <w:p w14:paraId="3BFB0567">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F83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B3743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61EB5D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2789D5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8A36AD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6940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C4F373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C9F11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02526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A7A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1917D30">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34" w:name="_Toc8801"/>
            <w:bookmarkStart w:id="35" w:name="_Toc13667"/>
            <w:bookmarkStart w:id="36" w:name="_Toc32411"/>
            <w:r>
              <w:rPr>
                <w:rFonts w:hint="eastAsia" w:ascii="宋体" w:hAnsi="宋体" w:eastAsia="宋体" w:cs="宋体"/>
                <w:color w:val="auto"/>
                <w:highlight w:val="none"/>
              </w:rPr>
              <w:t>4.2 组织机构与职责</w:t>
            </w:r>
            <w:bookmarkEnd w:id="34"/>
            <w:bookmarkEnd w:id="35"/>
            <w:bookmarkEnd w:id="36"/>
          </w:p>
        </w:tc>
        <w:tc>
          <w:tcPr>
            <w:tcW w:w="1587" w:type="dxa"/>
            <w:tcBorders>
              <w:top w:val="single" w:color="auto" w:sz="4" w:space="0"/>
              <w:left w:val="single" w:color="auto" w:sz="4" w:space="0"/>
              <w:bottom w:val="single" w:color="auto" w:sz="4" w:space="0"/>
              <w:right w:val="single" w:color="auto" w:sz="4" w:space="0"/>
            </w:tcBorders>
            <w:vAlign w:val="center"/>
          </w:tcPr>
          <w:p w14:paraId="04F366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23C6D7F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 页</w:t>
            </w:r>
          </w:p>
        </w:tc>
      </w:tr>
      <w:tr w14:paraId="198C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D1E24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2B756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E83F8F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7D97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310A66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拒绝违反工艺规定的管理指令。</w:t>
            </w:r>
          </w:p>
          <w:p w14:paraId="3C712DF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9） 检验人员</w:t>
            </w:r>
          </w:p>
          <w:p w14:paraId="0C6DE0A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负责原材料检验、过程检验、产品最终检验；</w:t>
            </w:r>
          </w:p>
          <w:p w14:paraId="4202465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对生产过程实行监督，完成产品首件检验、过程检验、质量一致性检验；</w:t>
            </w:r>
          </w:p>
          <w:p w14:paraId="53D2672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参与失效分析，验证纠正措施的有效性，并对改善后的产品进行验证；</w:t>
            </w:r>
          </w:p>
          <w:p w14:paraId="723CD59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监督生产现场质量控制情况，制止违反质量要求的行为；</w:t>
            </w:r>
          </w:p>
          <w:p w14:paraId="09271C4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有权越级反映产品质量问题。</w:t>
            </w:r>
          </w:p>
          <w:p w14:paraId="6F8D98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4.2.2.2  部门职责与权限</w:t>
            </w:r>
          </w:p>
          <w:p w14:paraId="2D9EB2C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4.2.2.2.1</w:t>
            </w:r>
            <w:r>
              <w:rPr>
                <w:rFonts w:hint="eastAsia" w:ascii="仿宋_GB2312" w:hAnsi="仿宋_GB2312" w:eastAsia="仿宋_GB2312" w:cs="仿宋_GB2312"/>
                <w:color w:val="auto"/>
                <w:highlight w:val="none"/>
              </w:rPr>
              <w:t xml:space="preserve"> 质量体系部</w:t>
            </w:r>
          </w:p>
          <w:p w14:paraId="7F2F233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组织实施本单位质量保证大纲计划；</w:t>
            </w:r>
          </w:p>
          <w:p w14:paraId="7CD2B42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组织编制本单位生产线程序文件；</w:t>
            </w:r>
          </w:p>
          <w:p w14:paraId="646B207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负责质量保证大纲计划和程序文件的发放、归档及更改实施；</w:t>
            </w:r>
          </w:p>
          <w:p w14:paraId="5B988E9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负责质量体系认证和产品质量认证工作</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对生产线实施质量保证控制工作</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组织内部审核；</w:t>
            </w:r>
          </w:p>
          <w:p w14:paraId="2E4403F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检验员技能的培训，</w:t>
            </w:r>
          </w:p>
          <w:p w14:paraId="0FA33C2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负责公司原辅材料</w:t>
            </w:r>
            <w:r>
              <w:rPr>
                <w:rFonts w:hint="eastAsia" w:ascii="仿宋_GB2312" w:hAnsi="仿宋_GB2312" w:eastAsia="仿宋_GB2312" w:cs="仿宋_GB2312"/>
                <w:color w:val="auto"/>
                <w:highlight w:val="none"/>
                <w:lang w:eastAsia="zh-CN"/>
              </w:rPr>
              <w:t>的检验技术工作</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产成品检验</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spacing w:val="-6"/>
                <w:sz w:val="21"/>
                <w:highlight w:val="none"/>
              </w:rPr>
              <w:t>周期试验、成品型式试验、新品检验试验</w:t>
            </w:r>
            <w:r>
              <w:rPr>
                <w:rFonts w:hint="eastAsia" w:ascii="仿宋_GB2312" w:hAnsi="仿宋_GB2312" w:cs="仿宋_GB2312"/>
                <w:color w:val="auto"/>
                <w:spacing w:val="-6"/>
                <w:sz w:val="21"/>
                <w:highlight w:val="none"/>
                <w:lang w:eastAsia="zh-CN"/>
              </w:rPr>
              <w:t>；</w:t>
            </w:r>
          </w:p>
          <w:p w14:paraId="79B99CD7">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⑦ 负责签发产品合格证；</w:t>
            </w:r>
          </w:p>
          <w:p w14:paraId="36DB7BB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负责公司</w:t>
            </w:r>
            <w:r>
              <w:rPr>
                <w:rFonts w:hint="eastAsia" w:ascii="仿宋_GB2312" w:hAnsi="仿宋_GB2312" w:cs="仿宋_GB2312"/>
                <w:color w:val="auto"/>
                <w:highlight w:val="none"/>
                <w:lang w:eastAsia="zh-CN"/>
              </w:rPr>
              <w:t>内外部</w:t>
            </w:r>
            <w:r>
              <w:rPr>
                <w:rFonts w:hint="eastAsia" w:ascii="仿宋_GB2312" w:hAnsi="仿宋_GB2312" w:eastAsia="仿宋_GB2312" w:cs="仿宋_GB2312"/>
                <w:color w:val="auto"/>
                <w:highlight w:val="none"/>
              </w:rPr>
              <w:t>质量信息的</w:t>
            </w:r>
            <w:r>
              <w:rPr>
                <w:rFonts w:hint="eastAsia" w:ascii="仿宋_GB2312" w:hAnsi="仿宋_GB2312" w:cs="仿宋_GB2312"/>
                <w:color w:val="auto"/>
                <w:highlight w:val="none"/>
                <w:lang w:eastAsia="zh-CN"/>
              </w:rPr>
              <w:t>汇总考核</w:t>
            </w:r>
            <w:r>
              <w:rPr>
                <w:rFonts w:hint="eastAsia" w:ascii="仿宋_GB2312" w:hAnsi="仿宋_GB2312" w:eastAsia="仿宋_GB2312" w:cs="仿宋_GB2312"/>
                <w:color w:val="auto"/>
                <w:highlight w:val="none"/>
              </w:rPr>
              <w:t>分析</w:t>
            </w:r>
            <w:r>
              <w:rPr>
                <w:rFonts w:hint="eastAsia" w:ascii="仿宋_GB2312" w:hAnsi="仿宋_GB2312" w:cs="仿宋_GB2312"/>
                <w:color w:val="auto"/>
                <w:highlight w:val="none"/>
                <w:lang w:eastAsia="zh-CN"/>
              </w:rPr>
              <w:t>，并协助处理</w:t>
            </w:r>
            <w:r>
              <w:rPr>
                <w:rFonts w:hint="eastAsia" w:ascii="仿宋_GB2312" w:hAnsi="仿宋_GB2312" w:eastAsia="仿宋_GB2312" w:cs="仿宋_GB2312"/>
                <w:color w:val="auto"/>
                <w:highlight w:val="none"/>
              </w:rPr>
              <w:t>；</w:t>
            </w:r>
          </w:p>
          <w:p w14:paraId="595B0E5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 负责不合格品的鉴别、统计、监督工作</w:t>
            </w:r>
            <w:r>
              <w:rPr>
                <w:rFonts w:hint="eastAsia" w:ascii="仿宋_GB2312" w:hAnsi="仿宋_GB2312" w:eastAsia="仿宋_GB2312" w:cs="仿宋_GB2312"/>
                <w:color w:val="auto"/>
                <w:highlight w:val="none"/>
                <w:lang w:eastAsia="zh-CN"/>
              </w:rPr>
              <w:t>，</w:t>
            </w:r>
            <w:r>
              <w:rPr>
                <w:rFonts w:hint="eastAsia" w:ascii="仿宋_GB2312" w:hAnsi="仿宋_GB2312" w:cs="仿宋_GB2312"/>
                <w:color w:val="auto"/>
                <w:highlight w:val="none"/>
                <w:lang w:eastAsia="zh-CN"/>
              </w:rPr>
              <w:t>负责不合格品的审理，对预防及纠正措施进行跟踪验证</w:t>
            </w:r>
            <w:r>
              <w:rPr>
                <w:rFonts w:hint="eastAsia" w:ascii="仿宋_GB2312" w:hAnsi="仿宋_GB2312" w:eastAsia="仿宋_GB2312" w:cs="仿宋_GB2312"/>
                <w:color w:val="auto"/>
                <w:highlight w:val="none"/>
                <w:lang w:eastAsia="zh-CN"/>
              </w:rPr>
              <w:t>；</w:t>
            </w:r>
          </w:p>
          <w:p w14:paraId="1C217CA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负责失效分析工作的组织和相关资料的上报；</w:t>
            </w:r>
          </w:p>
          <w:p w14:paraId="0AC9656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负责公司检测试验中心的管理及检验检测设备、仪器仪表的日常维护保养；</w:t>
            </w:r>
          </w:p>
          <w:p w14:paraId="2AE24CB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⑫ </w:t>
            </w:r>
            <w:r>
              <w:rPr>
                <w:rFonts w:hint="eastAsia" w:ascii="仿宋_GB2312" w:hAnsi="仿宋_GB2312" w:cs="仿宋_GB2312"/>
                <w:color w:val="auto"/>
                <w:highlight w:val="none"/>
                <w:lang w:eastAsia="zh-CN"/>
              </w:rPr>
              <w:t>负责</w:t>
            </w:r>
            <w:r>
              <w:rPr>
                <w:rFonts w:hint="eastAsia" w:ascii="仿宋_GB2312" w:hAnsi="仿宋_GB2312" w:eastAsia="仿宋_GB2312" w:cs="仿宋_GB2312"/>
                <w:color w:val="auto"/>
                <w:highlight w:val="none"/>
              </w:rPr>
              <w:t>检验类程序文件、作业文件的起草，产品检验方法研究，检测设备操作规程编制、发放和管理，检验工装夹具设计，质量工具软件应用；</w:t>
            </w:r>
          </w:p>
          <w:p w14:paraId="1A242B4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⑬按照工厂质量体系文件规定，独立行使职权。</w:t>
            </w:r>
          </w:p>
          <w:p w14:paraId="6B66694E">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⑭ 负责公司计量管理工作</w:t>
            </w:r>
            <w:r>
              <w:rPr>
                <w:rFonts w:hint="eastAsia" w:ascii="仿宋_GB2312" w:hAnsi="仿宋_GB2312" w:eastAsia="仿宋_GB2312" w:cs="仿宋_GB2312"/>
                <w:color w:val="auto"/>
                <w:highlight w:val="none"/>
                <w:lang w:eastAsia="zh-CN"/>
              </w:rPr>
              <w:t>；</w:t>
            </w:r>
          </w:p>
          <w:p w14:paraId="78A7F1A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⑯</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负责对</w:t>
            </w:r>
            <w:r>
              <w:rPr>
                <w:rFonts w:hint="eastAsia" w:ascii="仿宋_GB2312" w:hAnsi="仿宋_GB2312" w:eastAsia="仿宋_GB2312" w:cs="仿宋_GB2312"/>
                <w:color w:val="auto"/>
                <w:highlight w:val="none"/>
                <w:lang w:eastAsia="zh-CN"/>
              </w:rPr>
              <w:t>合格</w:t>
            </w:r>
            <w:r>
              <w:rPr>
                <w:rFonts w:hint="eastAsia" w:ascii="仿宋_GB2312" w:hAnsi="仿宋_GB2312" w:eastAsia="仿宋_GB2312" w:cs="仿宋_GB2312"/>
                <w:color w:val="auto"/>
                <w:highlight w:val="none"/>
              </w:rPr>
              <w:t>供方的评定和管理工作</w:t>
            </w:r>
            <w:r>
              <w:rPr>
                <w:rFonts w:hint="eastAsia" w:ascii="仿宋_GB2312" w:hAnsi="仿宋_GB2312" w:cs="仿宋_GB2312"/>
                <w:color w:val="auto"/>
                <w:highlight w:val="none"/>
                <w:lang w:eastAsia="zh-CN"/>
              </w:rPr>
              <w:t>。</w:t>
            </w:r>
          </w:p>
        </w:tc>
      </w:tr>
    </w:tbl>
    <w:p w14:paraId="6258210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945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E1AFD4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0E5D24F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4FF6E3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3CBD2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3C73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382589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12983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47795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BE7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FB2D4F1">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37" w:name="_Toc23724"/>
            <w:bookmarkStart w:id="38" w:name="_Toc12971"/>
            <w:bookmarkStart w:id="39" w:name="_Toc23166"/>
            <w:r>
              <w:rPr>
                <w:rFonts w:hint="eastAsia" w:ascii="宋体" w:hAnsi="宋体" w:eastAsia="宋体" w:cs="宋体"/>
                <w:color w:val="auto"/>
                <w:highlight w:val="none"/>
              </w:rPr>
              <w:t>4.2 组织机构与职责</w:t>
            </w:r>
            <w:bookmarkEnd w:id="37"/>
            <w:bookmarkEnd w:id="38"/>
            <w:bookmarkEnd w:id="39"/>
          </w:p>
        </w:tc>
        <w:tc>
          <w:tcPr>
            <w:tcW w:w="1587" w:type="dxa"/>
            <w:tcBorders>
              <w:top w:val="single" w:color="auto" w:sz="4" w:space="0"/>
              <w:left w:val="single" w:color="auto" w:sz="4" w:space="0"/>
              <w:bottom w:val="single" w:color="auto" w:sz="4" w:space="0"/>
              <w:right w:val="single" w:color="auto" w:sz="4" w:space="0"/>
            </w:tcBorders>
            <w:vAlign w:val="center"/>
          </w:tcPr>
          <w:p w14:paraId="3C8F59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8F5F71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 xml:space="preserve"> 页</w:t>
            </w:r>
          </w:p>
        </w:tc>
      </w:tr>
      <w:tr w14:paraId="1C2B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3CE41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E8CD64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738459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1EFA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9E161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4.2.2.2.2</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防务装备事业部</w:t>
            </w:r>
          </w:p>
          <w:p w14:paraId="67B5B63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 市场营销部</w:t>
            </w:r>
          </w:p>
          <w:p w14:paraId="4A41C28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负责与上级机关和军品用户的联系、协调；</w:t>
            </w:r>
          </w:p>
          <w:p w14:paraId="61D2D6A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负责军品销售合同的</w:t>
            </w:r>
            <w:r>
              <w:rPr>
                <w:rFonts w:hint="eastAsia" w:ascii="仿宋_GB2312" w:hAnsi="仿宋_GB2312" w:eastAsia="仿宋_GB2312" w:cs="仿宋_GB2312"/>
                <w:color w:val="auto"/>
                <w:highlight w:val="none"/>
                <w:lang w:eastAsia="zh-CN"/>
              </w:rPr>
              <w:t>谈判、</w:t>
            </w:r>
            <w:r>
              <w:rPr>
                <w:rFonts w:hint="eastAsia" w:ascii="仿宋_GB2312" w:hAnsi="仿宋_GB2312" w:eastAsia="仿宋_GB2312" w:cs="仿宋_GB2312"/>
                <w:color w:val="auto"/>
                <w:highlight w:val="none"/>
              </w:rPr>
              <w:t>签订、履行及货款回收；</w:t>
            </w:r>
          </w:p>
          <w:p w14:paraId="40C2489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③ </w:t>
            </w:r>
            <w:r>
              <w:rPr>
                <w:rFonts w:hint="eastAsia" w:ascii="仿宋_GB2312" w:hAnsi="仿宋_GB2312" w:eastAsia="仿宋_GB2312" w:cs="仿宋_GB2312"/>
                <w:color w:val="auto"/>
                <w:highlight w:val="none"/>
                <w:lang w:val="en-US" w:eastAsia="zh-CN"/>
              </w:rPr>
              <w:t>负责组织相关单位开展外场技术支持和物资保障工作，负责销售产品售后服务、质量信息反馈、顾客满意度调查、顾客投诉、用户走访、用户培训、应急处置等保障服务工作。</w:t>
            </w:r>
          </w:p>
          <w:p w14:paraId="23374F0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 技术质量部</w:t>
            </w:r>
          </w:p>
          <w:p w14:paraId="0568579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负责发展战略规划、科研/工艺、技改、质量目标、运作支持、工作计划的制定；</w:t>
            </w:r>
          </w:p>
          <w:p w14:paraId="7C1AF85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负责科研项目需求分析、立项申请、项目论证、项目实施、项目评审、项目结案；</w:t>
            </w:r>
          </w:p>
          <w:p w14:paraId="4B00610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负责本事业部产品设计需求分析、产品策划、可行性论证、产品/工艺设计实施、产品/工艺效果验证、设计结案与应用；</w:t>
            </w:r>
          </w:p>
          <w:p w14:paraId="35E93DA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负责组织产品工艺过程的策划和工艺控制文件、作业指导书（包括产品的工艺消耗定额）制定，为产品说明书提供图样及相关资料；确定合理、安全、环保的生产工艺，减少生产过程中的污染物排放；</w:t>
            </w:r>
          </w:p>
          <w:p w14:paraId="6D8A8B5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负责工艺技术需求收集分析、新材料/新工艺/新设备推广应用、工艺技术设计与编制、工艺技术实施与效果验证、工艺技术改进与提升、工艺设备需求论证与选型配置；</w:t>
            </w:r>
          </w:p>
          <w:p w14:paraId="2DB6828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负责产品标准化的执行与管理；负责工艺纪律监督检查及考核</w:t>
            </w:r>
          </w:p>
          <w:p w14:paraId="21FCE04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⑦ 负责新材料的试用，参与原材料供应的定点；</w:t>
            </w:r>
          </w:p>
          <w:p w14:paraId="08E5A38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负责关键工序、特殊工序及相应的质量控制点进行确认、识别；</w:t>
            </w:r>
            <w:r>
              <w:rPr>
                <w:rFonts w:hint="eastAsia" w:ascii="仿宋_GB2312" w:hAnsi="仿宋_GB2312" w:eastAsia="仿宋_GB2312" w:cs="仿宋_GB2312"/>
                <w:color w:val="auto"/>
                <w:highlight w:val="none"/>
                <w:lang w:eastAsia="zh-CN"/>
              </w:rPr>
              <w:t>建立统计过程控制体系</w:t>
            </w:r>
            <w:r>
              <w:rPr>
                <w:rFonts w:hint="eastAsia" w:ascii="仿宋_GB2312" w:hAnsi="仿宋_GB2312" w:cs="仿宋_GB2312"/>
                <w:color w:val="auto"/>
                <w:highlight w:val="none"/>
                <w:lang w:eastAsia="zh-CN"/>
              </w:rPr>
              <w:t>，并对统计过程实施控制；</w:t>
            </w:r>
          </w:p>
          <w:p w14:paraId="3B4DC5B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highlight w:val="none"/>
              </w:rPr>
              <w:t>⑨ 负责客户特殊要求产品的设计、工艺编制工作及对顾客提供产品技术咨询服务；</w:t>
            </w:r>
          </w:p>
          <w:p w14:paraId="32F4B8C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负责技术资料、图书、档案的管理；</w:t>
            </w:r>
          </w:p>
          <w:p w14:paraId="3B9957E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负责为产品说明书提供图样及相关资料；</w:t>
            </w:r>
          </w:p>
          <w:p w14:paraId="73EC8CD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 负责组织编制技术文件管理办法，并进行标准化管理工作；</w:t>
            </w:r>
          </w:p>
          <w:p w14:paraId="2C03B4B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⑬ 负责生产线技术状态、技术秘密的确认、保持； </w:t>
            </w:r>
          </w:p>
          <w:p w14:paraId="7159E8E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⑭ 负责产品相关原材料标准、产品检验技术文件编制、发放和管理，信息系统检验要求维护</w:t>
            </w:r>
            <w:r>
              <w:rPr>
                <w:rFonts w:hint="eastAsia" w:ascii="仿宋_GB2312" w:hAnsi="仿宋_GB2312" w:eastAsia="仿宋_GB2312" w:cs="仿宋_GB2312"/>
                <w:color w:val="auto"/>
                <w:spacing w:val="-6"/>
                <w:sz w:val="21"/>
                <w:highlight w:val="none"/>
              </w:rPr>
              <w:t>；</w:t>
            </w:r>
          </w:p>
        </w:tc>
      </w:tr>
    </w:tbl>
    <w:p w14:paraId="55A09F57">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BE0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1F5E6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5679346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70FE7C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88836B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903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22FFDF7">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3D88A54">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4EAFF5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9C8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B90CFD5">
            <w:pPr>
              <w:outlineLvl w:val="0"/>
              <w:rPr>
                <w:rFonts w:hint="eastAsia" w:ascii="宋体" w:hAnsi="宋体" w:eastAsia="宋体" w:cs="宋体"/>
                <w:color w:val="auto"/>
                <w:sz w:val="24"/>
                <w:szCs w:val="24"/>
                <w:highlight w:val="none"/>
                <w:lang w:eastAsia="zh-CN"/>
              </w:rPr>
            </w:pPr>
            <w:bookmarkStart w:id="40" w:name="_Toc9406"/>
            <w:bookmarkStart w:id="41" w:name="_Toc416"/>
            <w:bookmarkStart w:id="42" w:name="_Toc13031"/>
            <w:r>
              <w:rPr>
                <w:rFonts w:hint="eastAsia" w:ascii="宋体" w:hAnsi="宋体" w:eastAsia="宋体" w:cs="宋体"/>
                <w:color w:val="auto"/>
                <w:highlight w:val="none"/>
              </w:rPr>
              <w:t>4.2 组织机构与职责</w:t>
            </w:r>
            <w:bookmarkEnd w:id="40"/>
            <w:bookmarkEnd w:id="41"/>
            <w:bookmarkEnd w:id="42"/>
          </w:p>
        </w:tc>
        <w:tc>
          <w:tcPr>
            <w:tcW w:w="1587" w:type="dxa"/>
            <w:tcBorders>
              <w:top w:val="single" w:color="auto" w:sz="4" w:space="0"/>
              <w:left w:val="single" w:color="auto" w:sz="4" w:space="0"/>
              <w:bottom w:val="single" w:color="auto" w:sz="4" w:space="0"/>
              <w:right w:val="single" w:color="auto" w:sz="4" w:space="0"/>
            </w:tcBorders>
            <w:vAlign w:val="center"/>
          </w:tcPr>
          <w:p w14:paraId="2F45B33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4DE61904">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 xml:space="preserve"> 页</w:t>
            </w:r>
          </w:p>
        </w:tc>
      </w:tr>
      <w:tr w14:paraId="25E8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65823E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79E46A2">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FC6B996">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4F8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283A2AB">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⑮ 负责质量体系与产品认证审核管理、质量体系审查及管理评审、体系运行实施与管理、产品二方/三方检验、质量教育与政策宣贯，产品质量管理与改进、质量信息反馈处理、内外部质量损失统计、分析、质量成果管理；</w:t>
            </w:r>
            <w:r>
              <w:rPr>
                <w:rFonts w:hint="eastAsia" w:ascii="仿宋_GB2312" w:hAnsi="仿宋_GB2312" w:eastAsia="仿宋_GB2312" w:cs="仿宋_GB2312"/>
                <w:color w:val="auto"/>
                <w:szCs w:val="21"/>
                <w:highlight w:val="none"/>
              </w:rPr>
              <w:t>负责失效原因分析、纠正措施的制定和实施</w:t>
            </w:r>
            <w:r>
              <w:rPr>
                <w:rFonts w:hint="eastAsia" w:ascii="仿宋_GB2312" w:hAnsi="仿宋_GB2312" w:cs="仿宋_GB2312"/>
                <w:color w:val="auto"/>
                <w:szCs w:val="21"/>
                <w:highlight w:val="none"/>
                <w:lang w:eastAsia="zh-CN"/>
              </w:rPr>
              <w:t>；</w:t>
            </w:r>
          </w:p>
          <w:p w14:paraId="31648CCE">
            <w:pPr>
              <w:spacing w:line="440" w:lineRule="exact"/>
              <w:ind w:left="210" w:leftChars="100" w:firstLine="210" w:firstLineChars="1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⑯ 负责售前、售中、售后客户技术支持服务、客户技术协议编制/审核、招投标标书制作、</w:t>
            </w:r>
            <w:r>
              <w:rPr>
                <w:rFonts w:hint="eastAsia" w:ascii="仿宋_GB2312" w:hAnsi="仿宋_GB2312" w:cs="仿宋_GB2312"/>
                <w:color w:val="auto"/>
                <w:highlight w:val="none"/>
                <w:lang w:eastAsia="zh-CN"/>
              </w:rPr>
              <w:t>外协外购监造、</w:t>
            </w:r>
            <w:r>
              <w:rPr>
                <w:rFonts w:hint="eastAsia" w:ascii="仿宋_GB2312" w:hAnsi="仿宋_GB2312" w:eastAsia="仿宋_GB2312" w:cs="仿宋_GB2312"/>
                <w:color w:val="auto"/>
                <w:highlight w:val="none"/>
              </w:rPr>
              <w:t>生产过程技术服务、技术文件管理；</w:t>
            </w:r>
          </w:p>
          <w:p w14:paraId="212715E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1"/>
                <w:highlight w:val="none"/>
                <w:lang w:val="en-US" w:eastAsia="zh-CN"/>
              </w:rPr>
              <w:t>⑰</w:t>
            </w:r>
            <w:r>
              <w:rPr>
                <w:rFonts w:hint="eastAsia" w:ascii="仿宋_GB2312" w:hAnsi="仿宋_GB2312" w:eastAsia="仿宋_GB2312" w:cs="仿宋_GB2312"/>
                <w:color w:val="auto"/>
                <w:highlight w:val="none"/>
              </w:rPr>
              <w:t>在本部门内宣贯质量政策、法规、标准和公司质量方针，根据公司质量方针、目标组织制订本部门年度质量目标和措施，并组织实施，组织开展本部门职工的质量教育和业务培训；</w:t>
            </w:r>
          </w:p>
          <w:p w14:paraId="375569B2">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 运营管理部</w:t>
            </w:r>
          </w:p>
          <w:p w14:paraId="1D966E9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负责编报军品销售相关统计报表及分析资料。</w:t>
            </w:r>
          </w:p>
          <w:p w14:paraId="6478788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负责事业部经营计划、财务预算、工作计划与总结、统计报表及分析资料的编制；</w:t>
            </w:r>
          </w:p>
          <w:p w14:paraId="4B5DE95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负责政策、制度流程制订、合同评审管理、订单管理、成本核算、内部配套结算、军品审价、票据管理、应收账款管理、费用管理；</w:t>
            </w:r>
          </w:p>
          <w:p w14:paraId="4918CC5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负责人资规划、岗位职责、员工需求配置、员工发展管理、劳动纪律管理、绩效管理、薪酬及福利、培训需求管理工作；</w:t>
            </w:r>
          </w:p>
          <w:p w14:paraId="4B5CA50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负责会务接待、办公用品及固定资产管理、印章管理、文件档案管理等工作；</w:t>
            </w:r>
          </w:p>
          <w:p w14:paraId="24B2056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负责组织顾客满意度调查、汇总并形成报告。</w:t>
            </w:r>
          </w:p>
          <w:p w14:paraId="769466A7">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4） 生产制造部</w:t>
            </w:r>
          </w:p>
          <w:p w14:paraId="63155D90">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① 负责产品生产组织策划、生产计划分解和生产调度实施等工作，以及生产交付发运</w:t>
            </w:r>
            <w:r>
              <w:rPr>
                <w:rFonts w:hint="eastAsia" w:ascii="仿宋_GB2312" w:hAnsi="仿宋_GB2312" w:eastAsia="仿宋_GB2312" w:cs="仿宋_GB2312"/>
                <w:color w:val="auto"/>
                <w:highlight w:val="none"/>
                <w:lang w:eastAsia="zh-CN"/>
              </w:rPr>
              <w:t>；</w:t>
            </w:r>
          </w:p>
          <w:p w14:paraId="0C945D9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负责本部门生产制造过程管理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按批次管理的要求组织生产</w:t>
            </w:r>
            <w:r>
              <w:rPr>
                <w:rFonts w:hint="eastAsia" w:ascii="仿宋_GB2312" w:hAnsi="仿宋_GB2312" w:eastAsia="仿宋_GB2312" w:cs="仿宋_GB2312"/>
                <w:color w:val="auto"/>
                <w:highlight w:val="none"/>
                <w:lang w:eastAsia="zh-CN"/>
              </w:rPr>
              <w:t>，负责产品</w:t>
            </w:r>
            <w:r>
              <w:rPr>
                <w:rFonts w:hint="eastAsia" w:ascii="仿宋_GB2312" w:hAnsi="仿宋_GB2312" w:eastAsia="仿宋_GB2312" w:cs="仿宋_GB2312"/>
                <w:color w:val="auto"/>
                <w:highlight w:val="none"/>
              </w:rPr>
              <w:t>质量控制、过程检验管理；</w:t>
            </w:r>
          </w:p>
          <w:p w14:paraId="3563C83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负责组织在本部门发现的不合格</w:t>
            </w:r>
            <w:r>
              <w:rPr>
                <w:rFonts w:hint="eastAsia" w:ascii="仿宋_GB2312" w:hAnsi="仿宋_GB2312" w:eastAsia="仿宋_GB2312" w:cs="仿宋_GB2312"/>
                <w:color w:val="auto"/>
                <w:highlight w:val="none"/>
                <w:lang w:eastAsia="zh-CN"/>
              </w:rPr>
              <w:t>半成品</w:t>
            </w:r>
            <w:r>
              <w:rPr>
                <w:rFonts w:hint="eastAsia" w:ascii="仿宋_GB2312" w:hAnsi="仿宋_GB2312" w:eastAsia="仿宋_GB2312" w:cs="仿宋_GB2312"/>
                <w:color w:val="auto"/>
                <w:highlight w:val="none"/>
              </w:rPr>
              <w:t>、产成品评审</w:t>
            </w:r>
            <w:r>
              <w:rPr>
                <w:rFonts w:hint="eastAsia" w:ascii="仿宋_GB2312" w:hAnsi="仿宋_GB2312" w:eastAsia="仿宋_GB2312" w:cs="仿宋_GB2312"/>
                <w:color w:val="auto"/>
                <w:highlight w:val="none"/>
                <w:lang w:eastAsia="zh-CN"/>
              </w:rPr>
              <w:t>，以及</w:t>
            </w:r>
            <w:r>
              <w:rPr>
                <w:rFonts w:hint="eastAsia" w:ascii="仿宋_GB2312" w:hAnsi="仿宋_GB2312" w:eastAsia="仿宋_GB2312" w:cs="仿宋_GB2312"/>
                <w:color w:val="auto"/>
                <w:highlight w:val="none"/>
              </w:rPr>
              <w:t>质量问题分析处理；参与失效和缺陷的分析工作；</w:t>
            </w:r>
          </w:p>
          <w:p w14:paraId="62AB8B7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负责本事业部生产性原辅材料、零星物资</w:t>
            </w:r>
            <w:r>
              <w:rPr>
                <w:rFonts w:hint="eastAsia" w:ascii="仿宋_GB2312" w:hAnsi="仿宋_GB2312" w:eastAsia="仿宋_GB2312" w:cs="仿宋_GB2312"/>
                <w:color w:val="auto"/>
                <w:highlight w:val="none"/>
                <w:lang w:eastAsia="zh-CN"/>
              </w:rPr>
              <w:t>、产成品</w:t>
            </w:r>
            <w:r>
              <w:rPr>
                <w:rFonts w:hint="eastAsia" w:ascii="仿宋_GB2312" w:hAnsi="仿宋_GB2312" w:eastAsia="仿宋_GB2312" w:cs="仿宋_GB2312"/>
                <w:color w:val="auto"/>
                <w:highlight w:val="none"/>
              </w:rPr>
              <w:t>的收发存、盘点等库房管理工作</w:t>
            </w:r>
            <w:r>
              <w:rPr>
                <w:rFonts w:hint="eastAsia" w:ascii="仿宋_GB2312" w:hAnsi="仿宋_GB2312" w:eastAsia="仿宋_GB2312" w:cs="仿宋_GB2312"/>
                <w:color w:val="auto"/>
                <w:highlight w:val="none"/>
                <w:lang w:eastAsia="zh-CN"/>
              </w:rPr>
              <w:t>，做好防护和标识管理</w:t>
            </w:r>
            <w:r>
              <w:rPr>
                <w:rFonts w:hint="eastAsia" w:ascii="仿宋_GB2312" w:hAnsi="仿宋_GB2312" w:eastAsia="仿宋_GB2312" w:cs="仿宋_GB2312"/>
                <w:color w:val="auto"/>
                <w:highlight w:val="none"/>
              </w:rPr>
              <w:t>；</w:t>
            </w:r>
          </w:p>
          <w:p w14:paraId="4675230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负责本部门</w:t>
            </w:r>
            <w:r>
              <w:rPr>
                <w:rFonts w:hint="eastAsia" w:ascii="仿宋_GB2312" w:hAnsi="仿宋_GB2312" w:eastAsia="仿宋_GB2312" w:cs="仿宋_GB2312"/>
                <w:color w:val="auto"/>
                <w:highlight w:val="none"/>
                <w:lang w:eastAsia="zh-CN"/>
              </w:rPr>
              <w:t>现场原材料、</w:t>
            </w:r>
            <w:r>
              <w:rPr>
                <w:rFonts w:hint="eastAsia" w:ascii="仿宋_GB2312" w:hAnsi="仿宋_GB2312" w:eastAsia="仿宋_GB2312" w:cs="仿宋_GB2312"/>
                <w:color w:val="auto"/>
                <w:highlight w:val="none"/>
              </w:rPr>
              <w:t>在制品、</w:t>
            </w:r>
            <w:r>
              <w:rPr>
                <w:rFonts w:hint="eastAsia" w:ascii="仿宋_GB2312" w:hAnsi="仿宋_GB2312" w:eastAsia="仿宋_GB2312" w:cs="仿宋_GB2312"/>
                <w:color w:val="auto"/>
                <w:highlight w:val="none"/>
                <w:lang w:eastAsia="zh-CN"/>
              </w:rPr>
              <w:t>半成品、</w:t>
            </w:r>
            <w:r>
              <w:rPr>
                <w:rFonts w:hint="eastAsia" w:ascii="仿宋_GB2312" w:hAnsi="仿宋_GB2312" w:eastAsia="仿宋_GB2312" w:cs="仿宋_GB2312"/>
                <w:color w:val="auto"/>
                <w:highlight w:val="none"/>
              </w:rPr>
              <w:t>产品</w:t>
            </w:r>
            <w:r>
              <w:rPr>
                <w:rFonts w:hint="eastAsia" w:ascii="仿宋_GB2312" w:hAnsi="仿宋_GB2312" w:eastAsia="仿宋_GB2312" w:cs="仿宋_GB2312"/>
                <w:color w:val="auto"/>
                <w:highlight w:val="none"/>
                <w:lang w:eastAsia="zh-CN"/>
              </w:rPr>
              <w:t>的防护和</w:t>
            </w:r>
            <w:r>
              <w:rPr>
                <w:rFonts w:hint="eastAsia" w:ascii="仿宋_GB2312" w:hAnsi="仿宋_GB2312" w:eastAsia="仿宋_GB2312" w:cs="仿宋_GB2312"/>
                <w:color w:val="auto"/>
                <w:highlight w:val="none"/>
              </w:rPr>
              <w:t>标识，实现生产过程可追溯；</w:t>
            </w:r>
          </w:p>
          <w:p w14:paraId="36C6C37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⑥ 负责本部门设备管理工作，特别做好对产品关键质量特性有影响的设备维护管理。</w:t>
            </w:r>
          </w:p>
        </w:tc>
      </w:tr>
    </w:tbl>
    <w:p w14:paraId="29E82137">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73A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102678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205022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67DA87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FB8663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56E6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8702FF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D6E6881">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93F82E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25B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D5F54FD">
            <w:pPr>
              <w:outlineLvl w:val="0"/>
              <w:rPr>
                <w:rFonts w:hint="eastAsia" w:ascii="宋体" w:hAnsi="宋体" w:eastAsia="宋体" w:cs="宋体"/>
                <w:color w:val="auto"/>
                <w:sz w:val="24"/>
                <w:szCs w:val="24"/>
                <w:highlight w:val="none"/>
                <w:lang w:eastAsia="zh-CN"/>
              </w:rPr>
            </w:pPr>
            <w:bookmarkStart w:id="43" w:name="_Toc28677"/>
            <w:bookmarkStart w:id="44" w:name="_Toc28827"/>
            <w:bookmarkStart w:id="45" w:name="_Toc10543"/>
            <w:r>
              <w:rPr>
                <w:rFonts w:hint="eastAsia" w:ascii="宋体" w:hAnsi="宋体" w:eastAsia="宋体" w:cs="宋体"/>
                <w:color w:val="auto"/>
                <w:highlight w:val="none"/>
              </w:rPr>
              <w:t>4.2 组织机构与职责</w:t>
            </w:r>
            <w:bookmarkEnd w:id="43"/>
            <w:bookmarkEnd w:id="44"/>
            <w:bookmarkEnd w:id="45"/>
          </w:p>
        </w:tc>
        <w:tc>
          <w:tcPr>
            <w:tcW w:w="1587" w:type="dxa"/>
            <w:tcBorders>
              <w:top w:val="single" w:color="auto" w:sz="4" w:space="0"/>
              <w:left w:val="single" w:color="auto" w:sz="4" w:space="0"/>
              <w:bottom w:val="single" w:color="auto" w:sz="4" w:space="0"/>
              <w:right w:val="single" w:color="auto" w:sz="4" w:space="0"/>
            </w:tcBorders>
            <w:vAlign w:val="center"/>
          </w:tcPr>
          <w:p w14:paraId="0A4BFC3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2C22E68">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 xml:space="preserve"> 页</w:t>
            </w:r>
          </w:p>
        </w:tc>
      </w:tr>
      <w:tr w14:paraId="38B8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B7F52A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B0D6458">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ED5B5A2">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BD3E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8FCB1B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⑦ 负责生产员工管理</w:t>
            </w:r>
            <w:r>
              <w:rPr>
                <w:rFonts w:hint="eastAsia" w:ascii="仿宋_GB2312" w:hAnsi="仿宋_GB2312" w:eastAsia="仿宋_GB2312" w:cs="仿宋_GB2312"/>
                <w:color w:val="auto"/>
                <w:highlight w:val="none"/>
                <w:lang w:eastAsia="zh-CN"/>
              </w:rPr>
              <w:t>；</w:t>
            </w:r>
          </w:p>
          <w:p w14:paraId="6F1F144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负责生产过程文件管理及相关的原始记录、数据等收集与可追溯性管理等</w:t>
            </w:r>
          </w:p>
          <w:p w14:paraId="6D661B7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 负责本部门安全生产、现场定置管理、劳动保护、环境控制的综合管理工作；</w:t>
            </w:r>
          </w:p>
          <w:p w14:paraId="428190E1">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 xml:space="preserve">⑩ </w:t>
            </w:r>
            <w:r>
              <w:rPr>
                <w:rFonts w:hint="eastAsia" w:ascii="仿宋_GB2312" w:hAnsi="仿宋_GB2312" w:eastAsia="仿宋_GB2312" w:cs="仿宋_GB2312"/>
                <w:color w:val="auto"/>
                <w:highlight w:val="none"/>
                <w:lang w:eastAsia="zh-CN"/>
              </w:rPr>
              <w:t>负责生产计划的检查，以及投入产出的检查和考核及生产计划进度、产品交库检查考核；</w:t>
            </w:r>
          </w:p>
          <w:p w14:paraId="74896171">
            <w:pPr>
              <w:numPr>
                <w:ilvl w:val="0"/>
                <w:numId w:val="0"/>
              </w:numPr>
              <w:spacing w:line="440" w:lineRule="exac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4.2.2.2.3</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电力能源事业部</w:t>
            </w:r>
          </w:p>
          <w:p w14:paraId="0BB14F8B">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 技术质量部</w:t>
            </w:r>
          </w:p>
          <w:p w14:paraId="7F6B5EFE">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① </w:t>
            </w:r>
            <w:r>
              <w:rPr>
                <w:rFonts w:hint="eastAsia" w:ascii="仿宋_GB2312" w:hAnsi="仿宋_GB2312" w:eastAsia="仿宋_GB2312" w:cs="仿宋_GB2312"/>
                <w:color w:val="auto"/>
                <w:highlight w:val="none"/>
                <w:lang w:val="en-US" w:eastAsia="zh-CN"/>
              </w:rPr>
              <w:t>负责</w:t>
            </w:r>
            <w:r>
              <w:rPr>
                <w:rFonts w:hint="eastAsia" w:ascii="仿宋_GB2312" w:hAnsi="仿宋_GB2312" w:eastAsia="仿宋_GB2312" w:cs="仿宋_GB2312"/>
                <w:strike w:val="0"/>
                <w:dstrike w:val="0"/>
                <w:color w:val="auto"/>
                <w:highlight w:val="none"/>
                <w:lang w:val="en-US" w:eastAsia="zh-CN"/>
              </w:rPr>
              <w:t>本事业部</w:t>
            </w:r>
            <w:r>
              <w:rPr>
                <w:rFonts w:hint="eastAsia" w:ascii="仿宋_GB2312" w:hAnsi="仿宋_GB2312" w:eastAsia="仿宋_GB2312" w:cs="仿宋_GB2312"/>
                <w:color w:val="auto"/>
                <w:highlight w:val="none"/>
                <w:lang w:val="en-US" w:eastAsia="zh-CN"/>
              </w:rPr>
              <w:t>工艺纪律监督检查及考核；</w:t>
            </w:r>
          </w:p>
          <w:p w14:paraId="70023A17">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② </w:t>
            </w:r>
            <w:r>
              <w:rPr>
                <w:rFonts w:hint="eastAsia" w:ascii="仿宋_GB2312" w:hAnsi="仿宋_GB2312" w:eastAsia="仿宋_GB2312" w:cs="仿宋_GB2312"/>
                <w:strike w:val="0"/>
                <w:dstrike w:val="0"/>
                <w:color w:val="auto"/>
                <w:highlight w:val="none"/>
                <w:lang w:val="en-US" w:eastAsia="zh-CN"/>
              </w:rPr>
              <w:t>负责技术改造需求论证分析，新设备、新材料、仪器等调研、论证选型、技术规范拟制及供应商推荐等工作，负责设备的改进工作</w:t>
            </w:r>
            <w:r>
              <w:rPr>
                <w:rFonts w:hint="eastAsia" w:ascii="仿宋_GB2312" w:hAnsi="仿宋_GB2312" w:eastAsia="仿宋_GB2312" w:cs="仿宋_GB2312"/>
                <w:color w:val="auto"/>
                <w:highlight w:val="none"/>
                <w:lang w:val="en-US" w:eastAsia="zh-CN"/>
              </w:rPr>
              <w:t>；</w:t>
            </w:r>
          </w:p>
          <w:p w14:paraId="2BB74738">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③ </w:t>
            </w:r>
            <w:r>
              <w:rPr>
                <w:rFonts w:hint="eastAsia" w:ascii="仿宋_GB2312" w:hAnsi="仿宋_GB2312" w:eastAsia="仿宋_GB2312" w:cs="仿宋_GB2312"/>
                <w:color w:val="auto"/>
                <w:highlight w:val="none"/>
                <w:lang w:val="en-US" w:eastAsia="zh-CN"/>
              </w:rPr>
              <w:t>负责相关的质量体系、产品质量监督工作；</w:t>
            </w:r>
          </w:p>
          <w:p w14:paraId="2484BB42">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④ 负责产品相关原材料标准、产品检验技术文件编制、发放和管理，信息系统检验要求维护</w:t>
            </w:r>
            <w:r>
              <w:rPr>
                <w:rFonts w:hint="eastAsia" w:ascii="仿宋_GB2312" w:hAnsi="仿宋_GB2312" w:eastAsia="仿宋_GB2312" w:cs="仿宋_GB2312"/>
                <w:color w:val="auto"/>
                <w:highlight w:val="none"/>
                <w:lang w:val="en-US" w:eastAsia="zh-CN"/>
              </w:rPr>
              <w:t>；</w:t>
            </w:r>
          </w:p>
          <w:p w14:paraId="5E12E7F8">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⑤</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负责产品标准化的执行与管理；负责工艺纪律监督检查及考核</w:t>
            </w:r>
            <w:r>
              <w:rPr>
                <w:rFonts w:hint="eastAsia" w:ascii="仿宋_GB2312" w:hAnsi="仿宋_GB2312" w:cs="仿宋_GB2312"/>
                <w:color w:val="auto"/>
                <w:highlight w:val="none"/>
                <w:lang w:eastAsia="zh-CN"/>
              </w:rPr>
              <w:t>；</w:t>
            </w:r>
          </w:p>
          <w:p w14:paraId="3B44D876">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⑥ </w:t>
            </w:r>
            <w:r>
              <w:rPr>
                <w:rFonts w:hint="eastAsia" w:ascii="仿宋_GB2312" w:hAnsi="仿宋_GB2312" w:eastAsia="仿宋_GB2312" w:cs="仿宋_GB2312"/>
                <w:color w:val="auto"/>
                <w:highlight w:val="none"/>
                <w:lang w:val="en-US" w:eastAsia="zh-CN"/>
              </w:rPr>
              <w:t>本事业部产品质量管理与改进、质量信息原因分析、内外部质量损失统计、分析、质量成果管理；</w:t>
            </w:r>
          </w:p>
          <w:p w14:paraId="6592B057">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⑦ </w:t>
            </w:r>
            <w:r>
              <w:rPr>
                <w:rFonts w:hint="eastAsia" w:ascii="仿宋_GB2312" w:hAnsi="仿宋_GB2312" w:eastAsia="仿宋_GB2312" w:cs="仿宋_GB2312"/>
                <w:color w:val="auto"/>
                <w:highlight w:val="none"/>
                <w:lang w:val="en-US" w:eastAsia="zh-CN"/>
              </w:rPr>
              <w:t>负责本部门的环境因素实施控制，参与管理评审、体系运行和内部审核工作；</w:t>
            </w:r>
          </w:p>
          <w:p w14:paraId="7AAB71A3">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⑧ </w:t>
            </w:r>
            <w:r>
              <w:rPr>
                <w:rFonts w:hint="eastAsia" w:ascii="仿宋_GB2312" w:hAnsi="仿宋_GB2312" w:eastAsia="仿宋_GB2312" w:cs="仿宋_GB2312"/>
                <w:color w:val="auto"/>
                <w:highlight w:val="none"/>
                <w:lang w:val="en-US" w:eastAsia="zh-CN"/>
              </w:rPr>
              <w:t>在本部门内宣贯质量政策、法规、标准和公司质量方针，根据公司质量方针、目标组织制订本部门年度质量目标和措施，并组织实施，组织开展本部门职工的质量教育和业务培训。</w:t>
            </w:r>
          </w:p>
          <w:p w14:paraId="062F1188">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 运营管理部</w:t>
            </w:r>
          </w:p>
          <w:p w14:paraId="392099FB">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① </w:t>
            </w:r>
            <w:r>
              <w:rPr>
                <w:rFonts w:hint="eastAsia" w:ascii="仿宋_GB2312" w:hAnsi="仿宋_GB2312" w:eastAsia="仿宋_GB2312" w:cs="仿宋_GB2312"/>
                <w:color w:val="auto"/>
                <w:highlight w:val="none"/>
                <w:lang w:val="en-US" w:eastAsia="zh-CN"/>
              </w:rPr>
              <w:t>负责事业部经营计划和财务预算、工作计划与总结、统计报表及分析资料的编制；</w:t>
            </w:r>
          </w:p>
          <w:p w14:paraId="64488275">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② </w:t>
            </w:r>
            <w:r>
              <w:rPr>
                <w:rFonts w:hint="eastAsia" w:ascii="仿宋_GB2312" w:hAnsi="仿宋_GB2312" w:eastAsia="仿宋_GB2312" w:cs="仿宋_GB2312"/>
                <w:color w:val="auto"/>
                <w:highlight w:val="none"/>
                <w:lang w:val="en-US" w:eastAsia="zh-CN"/>
              </w:rPr>
              <w:t>负责人资规划、岗位职责、员工需求与发展管理、员工纪律与绩效、薪酬与福利、培训需求、会务接待、办公用品及固定资产管理、印章与文件档案管理等工作；</w:t>
            </w:r>
          </w:p>
          <w:p w14:paraId="35513949">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③ </w:t>
            </w:r>
            <w:r>
              <w:rPr>
                <w:rFonts w:hint="eastAsia" w:ascii="仿宋_GB2312" w:hAnsi="仿宋_GB2312" w:eastAsia="仿宋_GB2312" w:cs="仿宋_GB2312"/>
                <w:color w:val="auto"/>
                <w:highlight w:val="none"/>
                <w:lang w:val="en-US" w:eastAsia="zh-CN"/>
              </w:rPr>
              <w:t>负责制定本事业部政策与流程制度、产品报价管理、合同与订单的评审与管理、费用管理、成本核算和经营分析、债权债务与票据管理、欠款管理等工作；</w:t>
            </w:r>
          </w:p>
          <w:p w14:paraId="4B4858CD">
            <w:pPr>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 xml:space="preserve">④ </w:t>
            </w:r>
            <w:r>
              <w:rPr>
                <w:rFonts w:hint="eastAsia" w:ascii="仿宋_GB2312" w:hAnsi="仿宋_GB2312" w:eastAsia="仿宋_GB2312" w:cs="仿宋_GB2312"/>
                <w:color w:val="auto"/>
                <w:highlight w:val="none"/>
                <w:lang w:val="en-US" w:eastAsia="zh-CN"/>
              </w:rPr>
              <w:t>负责事业部客户订单分解与交付策划、调度实施与材料齐套等工作</w:t>
            </w:r>
            <w:r>
              <w:rPr>
                <w:rFonts w:hint="eastAsia" w:ascii="仿宋_GB2312" w:hAnsi="仿宋_GB2312" w:cs="仿宋_GB2312"/>
                <w:color w:val="auto"/>
                <w:highlight w:val="none"/>
                <w:lang w:val="en-US" w:eastAsia="zh-CN"/>
              </w:rPr>
              <w:t>。</w:t>
            </w:r>
          </w:p>
        </w:tc>
      </w:tr>
    </w:tbl>
    <w:p w14:paraId="2DC4C097">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CE5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179F67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678390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8979C07">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618FF1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597C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73BBB2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B1CCEF4">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8311E2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C32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2701D2D">
            <w:pPr>
              <w:outlineLvl w:val="0"/>
              <w:rPr>
                <w:rFonts w:hint="eastAsia" w:ascii="宋体" w:hAnsi="宋体" w:eastAsia="宋体" w:cs="宋体"/>
                <w:color w:val="auto"/>
                <w:sz w:val="24"/>
                <w:szCs w:val="24"/>
                <w:highlight w:val="none"/>
                <w:lang w:eastAsia="zh-CN"/>
              </w:rPr>
            </w:pPr>
            <w:bookmarkStart w:id="46" w:name="_Toc18212"/>
            <w:bookmarkStart w:id="47" w:name="_Toc15251"/>
            <w:bookmarkStart w:id="48" w:name="_Toc17412"/>
            <w:r>
              <w:rPr>
                <w:rFonts w:hint="eastAsia" w:ascii="宋体" w:hAnsi="宋体" w:eastAsia="宋体" w:cs="宋体"/>
                <w:color w:val="auto"/>
                <w:highlight w:val="none"/>
              </w:rPr>
              <w:t>4.2 组织机构与职责</w:t>
            </w:r>
            <w:bookmarkEnd w:id="46"/>
            <w:bookmarkEnd w:id="47"/>
            <w:bookmarkEnd w:id="48"/>
          </w:p>
        </w:tc>
        <w:tc>
          <w:tcPr>
            <w:tcW w:w="1587" w:type="dxa"/>
            <w:tcBorders>
              <w:top w:val="single" w:color="auto" w:sz="4" w:space="0"/>
              <w:left w:val="single" w:color="auto" w:sz="4" w:space="0"/>
              <w:bottom w:val="single" w:color="auto" w:sz="4" w:space="0"/>
              <w:right w:val="single" w:color="auto" w:sz="4" w:space="0"/>
            </w:tcBorders>
            <w:vAlign w:val="center"/>
          </w:tcPr>
          <w:p w14:paraId="5A16096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DF433E6">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 xml:space="preserve"> 页</w:t>
            </w:r>
          </w:p>
        </w:tc>
      </w:tr>
      <w:tr w14:paraId="569F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419383B">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8D13F71">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9A6E206">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254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68B6C6E">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 生产制造部</w:t>
            </w:r>
          </w:p>
          <w:p w14:paraId="5C4693E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按批次管理的要求组织生产，负责本部门生产制造过程的质量控制工作；</w:t>
            </w:r>
          </w:p>
          <w:p w14:paraId="19223DA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负责关键工序、特殊工序及相应的质量控制点进行确认；</w:t>
            </w:r>
          </w:p>
          <w:p w14:paraId="21C1B1D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负责本部门设备管理工作，特别做好对产品关键质量特性有影响的设备维护管理；</w:t>
            </w:r>
          </w:p>
          <w:p w14:paraId="75F3FD7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负责本部门使用材料、产品标识工作，实现材料、生产过程可追溯；</w:t>
            </w:r>
          </w:p>
          <w:p w14:paraId="2C4D1FB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负责在制品、半成品的防护。</w:t>
            </w:r>
          </w:p>
          <w:p w14:paraId="48BAF11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负责组织在本部门发现的不合格评审；参与失效和缺陷的分析工作；</w:t>
            </w:r>
          </w:p>
          <w:p w14:paraId="0C778AB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⑦ 负责本部门安全生产、现场定置管理、劳动保护、环境控制的综合管理工作。</w:t>
            </w:r>
          </w:p>
          <w:p w14:paraId="55EB509A">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4.2.2.2.4</w:t>
            </w:r>
            <w:r>
              <w:rPr>
                <w:rFonts w:hint="eastAsia" w:ascii="仿宋_GB2312" w:hAnsi="仿宋_GB2312" w:eastAsia="仿宋_GB2312" w:cs="仿宋_GB2312"/>
                <w:color w:val="auto"/>
                <w:highlight w:val="none"/>
              </w:rPr>
              <w:t xml:space="preserve"> 综合管理部</w:t>
            </w:r>
          </w:p>
          <w:p w14:paraId="301B6B0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在本部门内宣贯质量政策、法规、标准和公司质量方针，根据公司质量方针、目标组织制订本部门年度质量目标和措施，并负责组织实施；组织开展本部门职工的质量教育和业务培训；</w:t>
            </w:r>
          </w:p>
          <w:p w14:paraId="261A3F2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负责公司组织架构设置、调整和职责确定等工作；</w:t>
            </w:r>
          </w:p>
          <w:p w14:paraId="530394A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负责组织岗位说明书编制及修订；员工资质证书管理工作；</w:t>
            </w:r>
          </w:p>
          <w:p w14:paraId="5A33CD3F">
            <w:pPr>
              <w:spacing w:line="440" w:lineRule="exact"/>
              <w:ind w:firstLine="420"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highlight w:val="none"/>
              </w:rPr>
              <w:t xml:space="preserve">④ </w:t>
            </w:r>
            <w:r>
              <w:rPr>
                <w:rFonts w:hint="eastAsia" w:ascii="仿宋_GB2312" w:hAnsi="仿宋_GB2312" w:eastAsia="仿宋_GB2312" w:cs="仿宋_GB2312"/>
                <w:color w:val="auto"/>
                <w:spacing w:val="-6"/>
                <w:sz w:val="21"/>
                <w:highlight w:val="none"/>
              </w:rPr>
              <w:t>负责公司人力资源规划</w:t>
            </w:r>
            <w:r>
              <w:rPr>
                <w:rFonts w:hint="eastAsia" w:ascii="仿宋_GB2312" w:hAnsi="仿宋_GB2312" w:eastAsia="仿宋_GB2312" w:cs="仿宋_GB2312"/>
                <w:color w:val="auto"/>
                <w:spacing w:val="-6"/>
                <w:sz w:val="21"/>
                <w:highlight w:val="none"/>
                <w:lang w:eastAsia="zh-CN"/>
              </w:rPr>
              <w:t>、</w:t>
            </w:r>
            <w:r>
              <w:rPr>
                <w:rFonts w:hint="eastAsia" w:ascii="仿宋_GB2312" w:hAnsi="仿宋_GB2312" w:eastAsia="仿宋_GB2312" w:cs="仿宋_GB2312"/>
                <w:color w:val="auto"/>
                <w:spacing w:val="-6"/>
                <w:sz w:val="21"/>
                <w:highlight w:val="none"/>
              </w:rPr>
              <w:t>年度人员需求计划、培训计划编制与实施</w:t>
            </w:r>
            <w:r>
              <w:rPr>
                <w:rFonts w:hint="eastAsia" w:ascii="仿宋_GB2312" w:hAnsi="仿宋_GB2312" w:eastAsia="仿宋_GB2312" w:cs="仿宋_GB2312"/>
                <w:color w:val="auto"/>
                <w:spacing w:val="-6"/>
                <w:sz w:val="21"/>
                <w:highlight w:val="none"/>
                <w:lang w:eastAsia="zh-CN"/>
              </w:rPr>
              <w:t>，</w:t>
            </w:r>
            <w:r>
              <w:rPr>
                <w:rFonts w:hint="eastAsia" w:ascii="仿宋_GB2312" w:hAnsi="仿宋_GB2312" w:eastAsia="仿宋_GB2312" w:cs="仿宋_GB2312"/>
                <w:color w:val="auto"/>
                <w:spacing w:val="-6"/>
                <w:sz w:val="21"/>
                <w:highlight w:val="none"/>
              </w:rPr>
              <w:t>对培训有效性进行评价；</w:t>
            </w:r>
          </w:p>
          <w:p w14:paraId="0A383D7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负责人力资源招聘及配置、薪酬福利、社保、住房公积金管理，负责统筹协调公司各部门间的人事调配；</w:t>
            </w:r>
          </w:p>
          <w:p w14:paraId="7353471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负责职称、人事档案、绩效管理工作及提供人事相关证明；</w:t>
            </w:r>
          </w:p>
          <w:p w14:paraId="4A0BE79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⑦ 负责组织公司各类人员任职资格体系建设，开展人事任免、聘任(解聘)、调整等管理；</w:t>
            </w:r>
          </w:p>
          <w:p w14:paraId="01763DA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负责组织工伤、工亡职工善后事宜的相关处理工作；</w:t>
            </w:r>
          </w:p>
          <w:p w14:paraId="219B917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负责公司管理与专业人员职务任免、行政工作计划与报告、各类总结等重要综合文稿的拟制,外来文件管理工作等；</w:t>
            </w:r>
          </w:p>
          <w:p w14:paraId="6C4CEA6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负责公司营业执照、章程登记变更等工商行政工作；</w:t>
            </w:r>
          </w:p>
          <w:p w14:paraId="054CE5D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负责公司对外宣传报道，标志标牌、名片、部门印章制作等；</w:t>
            </w:r>
          </w:p>
          <w:p w14:paraId="2D40F99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负责公司印章、公司领导印鉴管理；</w:t>
            </w:r>
          </w:p>
          <w:p w14:paraId="2CBE404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⑬</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负责公司技术类、管理类、基建类、财务类、实物类等归档文件材料的接收、整理、保管和使用；</w:t>
            </w:r>
          </w:p>
        </w:tc>
      </w:tr>
    </w:tbl>
    <w:p w14:paraId="3E196C30">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F92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751718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5B8609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174DCC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299011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A15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5736DC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069E05C">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003B39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C99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EB01A3B">
            <w:pPr>
              <w:outlineLvl w:val="0"/>
              <w:rPr>
                <w:rFonts w:hint="eastAsia" w:ascii="宋体" w:hAnsi="宋体" w:eastAsia="宋体" w:cs="宋体"/>
                <w:color w:val="auto"/>
                <w:sz w:val="24"/>
                <w:szCs w:val="24"/>
                <w:highlight w:val="none"/>
                <w:lang w:eastAsia="zh-CN"/>
              </w:rPr>
            </w:pPr>
            <w:bookmarkStart w:id="49" w:name="_Toc10058"/>
            <w:bookmarkStart w:id="50" w:name="_Toc1458"/>
            <w:bookmarkStart w:id="51" w:name="_Toc22065"/>
            <w:r>
              <w:rPr>
                <w:rFonts w:hint="eastAsia" w:ascii="宋体" w:hAnsi="宋体" w:eastAsia="宋体" w:cs="宋体"/>
                <w:color w:val="auto"/>
                <w:highlight w:val="none"/>
              </w:rPr>
              <w:t>4.2 组织机构与职责</w:t>
            </w:r>
            <w:bookmarkEnd w:id="49"/>
            <w:bookmarkEnd w:id="50"/>
            <w:bookmarkEnd w:id="51"/>
          </w:p>
        </w:tc>
        <w:tc>
          <w:tcPr>
            <w:tcW w:w="1587" w:type="dxa"/>
            <w:tcBorders>
              <w:top w:val="single" w:color="auto" w:sz="4" w:space="0"/>
              <w:left w:val="single" w:color="auto" w:sz="4" w:space="0"/>
              <w:bottom w:val="single" w:color="auto" w:sz="4" w:space="0"/>
              <w:right w:val="single" w:color="auto" w:sz="4" w:space="0"/>
            </w:tcBorders>
            <w:vAlign w:val="center"/>
          </w:tcPr>
          <w:p w14:paraId="4CA1B50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312A1CC6">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 xml:space="preserve"> 页</w:t>
            </w:r>
          </w:p>
        </w:tc>
      </w:tr>
      <w:tr w14:paraId="7024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04095A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D798130">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9A30E96">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3D8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E7AE6B4">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⑭</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负责公司办公用品、接待物资、礼品及辅料等采购及管理；</w:t>
            </w:r>
          </w:p>
          <w:p w14:paraId="14BC1528">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⑮</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负责公司办公场地、会议室及其设施、展厅、电子显示屏、资料文印管理等；</w:t>
            </w:r>
          </w:p>
          <w:p w14:paraId="6B692EE9">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⑯</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负责公司小车、班车的管理和调配；</w:t>
            </w:r>
          </w:p>
          <w:p w14:paraId="312C85F9">
            <w:pPr>
              <w:spacing w:line="440" w:lineRule="exact"/>
              <w:ind w:firstLine="420" w:firstLineChars="200"/>
              <w:rPr>
                <w:rFonts w:hint="eastAsia" w:ascii="仿宋_GB2312" w:hAnsi="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⑰</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cs="仿宋_GB2312"/>
                <w:color w:val="auto"/>
                <w:sz w:val="21"/>
                <w:szCs w:val="21"/>
                <w:highlight w:val="none"/>
                <w:lang w:val="en-US" w:eastAsia="zh-CN"/>
              </w:rPr>
              <w:t>负责公司安全生产、职业卫生、环境保护的管理工作；</w:t>
            </w:r>
          </w:p>
          <w:p w14:paraId="1C6BC441">
            <w:pPr>
              <w:spacing w:line="440" w:lineRule="exact"/>
              <w:ind w:firstLine="420" w:firstLineChars="200"/>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⑱ 负责公司现场定置管理、劳动保护、环境控制的监督管理工作；</w:t>
            </w:r>
          </w:p>
          <w:p w14:paraId="26B703EE">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 xml:space="preserve">⑲ </w:t>
            </w:r>
            <w:r>
              <w:rPr>
                <w:rFonts w:hint="eastAsia" w:ascii="仿宋_GB2312" w:hAnsi="仿宋_GB2312" w:eastAsia="仿宋_GB2312" w:cs="仿宋_GB2312"/>
                <w:color w:val="auto"/>
                <w:sz w:val="21"/>
                <w:szCs w:val="21"/>
                <w:highlight w:val="none"/>
              </w:rPr>
              <w:t>负责公司交办的其它工作。</w:t>
            </w:r>
          </w:p>
          <w:p w14:paraId="45B9C1E6">
            <w:pPr>
              <w:spacing w:line="440" w:lineRule="exac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4.2.2.2.5</w:t>
            </w:r>
            <w:r>
              <w:rPr>
                <w:rFonts w:hint="eastAsia" w:ascii="仿宋_GB2312" w:hAnsi="仿宋_GB2312" w:eastAsia="仿宋_GB2312" w:cs="仿宋_GB2312"/>
                <w:color w:val="auto"/>
                <w:sz w:val="21"/>
                <w:szCs w:val="21"/>
                <w:highlight w:val="none"/>
              </w:rPr>
              <w:t xml:space="preserve"> </w:t>
            </w:r>
            <w:r>
              <w:rPr>
                <w:rFonts w:hint="eastAsia" w:ascii="仿宋_GB2312" w:hAnsi="仿宋_GB2312" w:cs="仿宋_GB2312"/>
                <w:color w:val="auto"/>
                <w:sz w:val="21"/>
                <w:szCs w:val="21"/>
                <w:highlight w:val="none"/>
                <w:lang w:eastAsia="zh-CN"/>
              </w:rPr>
              <w:t>采购管理部</w:t>
            </w:r>
          </w:p>
          <w:p w14:paraId="5B296B33">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① 在本部门内宣贯质量政策、法规、标准和公司质量方针，根据公司质量方针、目标组织制订本部门年度质量目标和措施，并负责组织实施；组织开展本部门职工的质量教育和业务培训</w:t>
            </w:r>
            <w:r>
              <w:rPr>
                <w:rFonts w:hint="eastAsia" w:ascii="仿宋_GB2312" w:hAnsi="仿宋_GB2312" w:eastAsia="仿宋_GB2312" w:cs="仿宋_GB2312"/>
                <w:color w:val="auto"/>
                <w:sz w:val="21"/>
                <w:szCs w:val="21"/>
                <w:highlight w:val="none"/>
                <w:lang w:eastAsia="zh-CN"/>
              </w:rPr>
              <w:t>；</w:t>
            </w:r>
          </w:p>
          <w:p w14:paraId="2B7EFFB3">
            <w:pPr>
              <w:spacing w:line="440" w:lineRule="exact"/>
              <w:ind w:firstLine="420" w:firstLineChars="200"/>
              <w:rPr>
                <w:rFonts w:hint="eastAsia" w:ascii="仿宋_GB2312" w:hAnsi="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② 负责生产用原主辅材料、低值易耗物资</w:t>
            </w:r>
            <w:r>
              <w:rPr>
                <w:rFonts w:hint="eastAsia" w:ascii="仿宋_GB2312" w:hAnsi="仿宋_GB2312" w:cs="仿宋_GB2312"/>
                <w:color w:val="auto"/>
                <w:sz w:val="21"/>
                <w:szCs w:val="21"/>
                <w:highlight w:val="none"/>
                <w:lang w:eastAsia="zh-CN"/>
              </w:rPr>
              <w:t>、</w:t>
            </w:r>
            <w:r>
              <w:rPr>
                <w:rFonts w:hint="eastAsia" w:ascii="仿宋_GB2312" w:hAnsi="仿宋_GB2312" w:cs="仿宋_GB2312"/>
                <w:color w:val="auto"/>
                <w:sz w:val="21"/>
                <w:szCs w:val="21"/>
                <w:highlight w:val="none"/>
                <w:lang w:val="en-US" w:eastAsia="zh-CN"/>
              </w:rPr>
              <w:t>货运物流</w:t>
            </w:r>
            <w:r>
              <w:rPr>
                <w:rFonts w:hint="eastAsia" w:ascii="仿宋_GB2312" w:hAnsi="仿宋_GB2312" w:eastAsia="仿宋_GB2312" w:cs="仿宋_GB2312"/>
                <w:color w:val="auto"/>
                <w:sz w:val="21"/>
                <w:szCs w:val="21"/>
                <w:highlight w:val="none"/>
              </w:rPr>
              <w:t>的采购工作；</w:t>
            </w:r>
            <w:r>
              <w:rPr>
                <w:rFonts w:hint="eastAsia" w:ascii="仿宋_GB2312" w:hAnsi="仿宋_GB2312" w:cs="仿宋_GB2312"/>
                <w:color w:val="auto"/>
                <w:sz w:val="21"/>
                <w:szCs w:val="21"/>
                <w:highlight w:val="none"/>
                <w:lang w:eastAsia="zh-CN"/>
              </w:rPr>
              <w:t>负责公司设备（含信息化设备及系统）、仪器、模具、备品配件、设备零配件外协加工、货运物流等采购工作；</w:t>
            </w:r>
          </w:p>
          <w:p w14:paraId="6FA13A9F">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③ 负责因供方原因违约的索赔；</w:t>
            </w:r>
          </w:p>
          <w:p w14:paraId="4F01C028">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④ 负责向供应商、重点相关方施加影响，传达公司的环境和职业健康安全管理体系要求，进行相关方环境和职业健康安全行为调查；</w:t>
            </w:r>
          </w:p>
          <w:p w14:paraId="578A8AF6">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⑤ 负责废旧物资的具体处理工作；</w:t>
            </w:r>
          </w:p>
          <w:p w14:paraId="053CA77B">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⑥ 负责公司物资搬运安全操作工作，以及对搬运人员的管理；</w:t>
            </w:r>
          </w:p>
          <w:p w14:paraId="00FDCF0E">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⑦ 负责本部门的环境因素实施控制，参与管理评审、体系运行和内部审核工作</w:t>
            </w:r>
          </w:p>
          <w:p w14:paraId="0FBC39B6">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⑧ 负责原材料的储存管理</w:t>
            </w:r>
            <w:r>
              <w:rPr>
                <w:rFonts w:hint="eastAsia" w:ascii="仿宋_GB2312" w:hAnsi="仿宋_GB2312" w:eastAsia="仿宋_GB2312" w:cs="仿宋_GB2312"/>
                <w:color w:val="auto"/>
                <w:sz w:val="21"/>
                <w:szCs w:val="21"/>
                <w:highlight w:val="none"/>
                <w:lang w:eastAsia="zh-CN"/>
              </w:rPr>
              <w:t>，并</w:t>
            </w:r>
            <w:r>
              <w:rPr>
                <w:rFonts w:hint="eastAsia" w:ascii="仿宋_GB2312" w:hAnsi="仿宋_GB2312" w:eastAsia="仿宋_GB2312" w:cs="仿宋_GB2312"/>
                <w:color w:val="auto"/>
                <w:sz w:val="21"/>
                <w:szCs w:val="21"/>
                <w:highlight w:val="none"/>
              </w:rPr>
              <w:t>保持原材料标识并保持其可追溯性；</w:t>
            </w:r>
          </w:p>
          <w:p w14:paraId="22320469">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⑨</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lang w:eastAsia="zh-CN"/>
              </w:rPr>
              <w:t>负责</w:t>
            </w:r>
            <w:r>
              <w:rPr>
                <w:rFonts w:hint="eastAsia" w:ascii="仿宋_GB2312" w:hAnsi="仿宋_GB2312" w:eastAsia="仿宋_GB2312" w:cs="仿宋_GB2312"/>
                <w:color w:val="auto"/>
                <w:sz w:val="21"/>
                <w:szCs w:val="21"/>
                <w:highlight w:val="none"/>
              </w:rPr>
              <w:t>组织公司不合格原材料的评审；</w:t>
            </w:r>
          </w:p>
          <w:p w14:paraId="2F7C6622">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⑩</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负责公司交办的其它工作</w:t>
            </w:r>
            <w:r>
              <w:rPr>
                <w:rFonts w:hint="eastAsia" w:ascii="仿宋_GB2312" w:hAnsi="仿宋_GB2312" w:eastAsia="仿宋_GB2312" w:cs="仿宋_GB2312"/>
                <w:color w:val="auto"/>
                <w:sz w:val="21"/>
                <w:szCs w:val="21"/>
                <w:highlight w:val="none"/>
                <w:lang w:eastAsia="zh-CN"/>
              </w:rPr>
              <w:t>。</w:t>
            </w:r>
          </w:p>
          <w:p w14:paraId="7B29C950">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4.2.2.2.6</w:t>
            </w:r>
            <w:r>
              <w:rPr>
                <w:rFonts w:hint="eastAsia" w:ascii="仿宋_GB2312" w:hAnsi="仿宋_GB2312" w:eastAsia="仿宋_GB2312" w:cs="仿宋_GB2312"/>
                <w:color w:val="auto"/>
                <w:sz w:val="21"/>
                <w:szCs w:val="21"/>
                <w:highlight w:val="none"/>
              </w:rPr>
              <w:t xml:space="preserve"> </w:t>
            </w:r>
            <w:r>
              <w:rPr>
                <w:rFonts w:hint="eastAsia" w:ascii="仿宋_GB2312" w:hAnsi="仿宋_GB2312" w:cs="仿宋_GB2312"/>
                <w:color w:val="auto"/>
                <w:sz w:val="21"/>
                <w:szCs w:val="21"/>
                <w:highlight w:val="none"/>
                <w:lang w:eastAsia="zh-CN"/>
              </w:rPr>
              <w:t>智能制造部</w:t>
            </w:r>
          </w:p>
          <w:p w14:paraId="0BE3CC0A">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① 在本部门内宣贯质量政策、法规、标准和公司质量方针，根据公司质量方针、目标组织制订本部门年度质量目标和措施，并负责组织实施；组织开展本部门职工的质量教育和业务培训</w:t>
            </w:r>
            <w:r>
              <w:rPr>
                <w:rFonts w:hint="eastAsia" w:ascii="仿宋_GB2312" w:hAnsi="仿宋_GB2312" w:eastAsia="仿宋_GB2312" w:cs="仿宋_GB2312"/>
                <w:color w:val="auto"/>
                <w:sz w:val="21"/>
                <w:szCs w:val="21"/>
                <w:highlight w:val="none"/>
                <w:lang w:eastAsia="zh-CN"/>
              </w:rPr>
              <w:t>；</w:t>
            </w:r>
          </w:p>
          <w:p w14:paraId="04A6AE80">
            <w:pPr>
              <w:spacing w:line="440" w:lineRule="exact"/>
              <w:ind w:firstLine="420" w:firstLineChars="200"/>
              <w:rPr>
                <w:rFonts w:hint="eastAsia" w:ascii="仿宋_GB2312" w:hAnsi="仿宋_GB2312" w:eastAsia="仿宋_GB2312" w:cs="仿宋_GB2312"/>
                <w:i w:val="0"/>
                <w:iCs w:val="0"/>
                <w:color w:val="auto"/>
                <w:sz w:val="21"/>
                <w:szCs w:val="21"/>
                <w:highlight w:val="none"/>
                <w:lang w:val="en-US" w:eastAsia="zh-CN"/>
              </w:rPr>
            </w:pPr>
            <w:r>
              <w:rPr>
                <w:rFonts w:hint="eastAsia" w:ascii="仿宋_GB2312" w:hAnsi="仿宋_GB2312" w:eastAsia="仿宋_GB2312" w:cs="仿宋_GB2312"/>
                <w:color w:val="auto"/>
                <w:sz w:val="21"/>
                <w:szCs w:val="21"/>
                <w:highlight w:val="none"/>
              </w:rPr>
              <w:t xml:space="preserve">② </w:t>
            </w:r>
            <w:r>
              <w:rPr>
                <w:rFonts w:hint="eastAsia" w:ascii="仿宋_GB2312" w:hAnsi="仿宋_GB2312" w:eastAsia="仿宋_GB2312" w:cs="仿宋_GB2312"/>
                <w:i w:val="0"/>
                <w:iCs w:val="0"/>
                <w:color w:val="auto"/>
                <w:sz w:val="21"/>
                <w:szCs w:val="21"/>
                <w:highlight w:val="none"/>
              </w:rPr>
              <w:t>负责公司设备管理，</w:t>
            </w:r>
            <w:r>
              <w:rPr>
                <w:rFonts w:hint="eastAsia" w:ascii="仿宋_GB2312" w:hAnsi="仿宋_GB2312" w:eastAsia="仿宋_GB2312" w:cs="仿宋_GB2312"/>
                <w:i w:val="0"/>
                <w:iCs w:val="0"/>
                <w:color w:val="auto"/>
                <w:sz w:val="21"/>
                <w:szCs w:val="21"/>
                <w:highlight w:val="none"/>
                <w:lang w:eastAsia="zh-CN"/>
              </w:rPr>
              <w:t>负责</w:t>
            </w:r>
            <w:r>
              <w:rPr>
                <w:rFonts w:hint="eastAsia" w:ascii="仿宋_GB2312" w:hAnsi="仿宋_GB2312" w:cs="仿宋_GB2312"/>
                <w:i w:val="0"/>
                <w:iCs w:val="0"/>
                <w:color w:val="auto"/>
                <w:sz w:val="21"/>
                <w:szCs w:val="21"/>
                <w:highlight w:val="none"/>
                <w:lang w:eastAsia="zh-CN"/>
              </w:rPr>
              <w:t>组织</w:t>
            </w:r>
            <w:r>
              <w:rPr>
                <w:rFonts w:hint="eastAsia" w:ascii="仿宋_GB2312" w:hAnsi="仿宋_GB2312" w:eastAsia="仿宋_GB2312" w:cs="仿宋_GB2312"/>
                <w:i w:val="0"/>
                <w:iCs w:val="0"/>
                <w:color w:val="auto"/>
                <w:sz w:val="21"/>
                <w:szCs w:val="21"/>
                <w:highlight w:val="none"/>
              </w:rPr>
              <w:t>设备</w:t>
            </w:r>
            <w:r>
              <w:rPr>
                <w:rFonts w:hint="eastAsia" w:ascii="仿宋_GB2312" w:hAnsi="仿宋_GB2312" w:cs="仿宋_GB2312"/>
                <w:i w:val="0"/>
                <w:iCs w:val="0"/>
                <w:color w:val="auto"/>
                <w:sz w:val="21"/>
                <w:szCs w:val="21"/>
                <w:highlight w:val="none"/>
                <w:lang w:eastAsia="zh-CN"/>
              </w:rPr>
              <w:t>改造评审、新设备购置论证</w:t>
            </w:r>
            <w:r>
              <w:rPr>
                <w:rFonts w:hint="eastAsia" w:ascii="仿宋_GB2312" w:hAnsi="仿宋_GB2312" w:eastAsia="仿宋_GB2312" w:cs="仿宋_GB2312"/>
                <w:i w:val="0"/>
                <w:iCs w:val="0"/>
                <w:color w:val="auto"/>
                <w:sz w:val="21"/>
                <w:szCs w:val="21"/>
                <w:highlight w:val="none"/>
              </w:rPr>
              <w:t>选型</w:t>
            </w:r>
            <w:r>
              <w:rPr>
                <w:rFonts w:hint="eastAsia" w:ascii="仿宋_GB2312" w:hAnsi="仿宋_GB2312" w:cs="仿宋_GB2312"/>
                <w:i w:val="0"/>
                <w:iCs w:val="0"/>
                <w:color w:val="auto"/>
                <w:sz w:val="21"/>
                <w:szCs w:val="21"/>
                <w:highlight w:val="none"/>
                <w:lang w:eastAsia="zh-CN"/>
              </w:rPr>
              <w:t>评审、相关技术方案及技术协议评审、供应商寻源等工作。负责组织设备安装调试及</w:t>
            </w:r>
            <w:r>
              <w:rPr>
                <w:rFonts w:hint="eastAsia" w:ascii="仿宋_GB2312" w:hAnsi="仿宋_GB2312" w:eastAsia="仿宋_GB2312" w:cs="仿宋_GB2312"/>
                <w:i w:val="0"/>
                <w:iCs w:val="0"/>
                <w:color w:val="auto"/>
                <w:sz w:val="21"/>
                <w:szCs w:val="21"/>
                <w:highlight w:val="none"/>
              </w:rPr>
              <w:t>验收；</w:t>
            </w:r>
          </w:p>
          <w:p w14:paraId="542274C1">
            <w:pPr>
              <w:spacing w:line="440" w:lineRule="exact"/>
              <w:ind w:firstLine="420" w:firstLineChars="200"/>
              <w:rPr>
                <w:rFonts w:hint="eastAsia" w:ascii="宋体" w:hAnsi="宋体" w:eastAsia="宋体" w:cs="宋体"/>
                <w:color w:val="auto"/>
                <w:highlight w:val="none"/>
              </w:rPr>
            </w:pPr>
            <w:r>
              <w:rPr>
                <w:rFonts w:hint="eastAsia" w:ascii="仿宋_GB2312" w:hAnsi="仿宋_GB2312" w:eastAsia="仿宋_GB2312" w:cs="仿宋_GB2312"/>
                <w:i w:val="0"/>
                <w:iCs w:val="0"/>
                <w:color w:val="auto"/>
                <w:sz w:val="21"/>
                <w:szCs w:val="21"/>
                <w:highlight w:val="none"/>
              </w:rPr>
              <w:t xml:space="preserve">③ </w:t>
            </w:r>
            <w:r>
              <w:rPr>
                <w:rFonts w:hint="eastAsia" w:ascii="仿宋_GB2312" w:hAnsi="仿宋_GB2312" w:eastAsia="仿宋_GB2312" w:cs="仿宋_GB2312"/>
                <w:i w:val="0"/>
                <w:iCs w:val="0"/>
                <w:strike w:val="0"/>
                <w:dstrike w:val="0"/>
                <w:color w:val="auto"/>
                <w:highlight w:val="none"/>
              </w:rPr>
              <w:t>负责</w:t>
            </w:r>
            <w:r>
              <w:rPr>
                <w:rFonts w:hint="eastAsia" w:ascii="仿宋_GB2312" w:hAnsi="仿宋_GB2312" w:cs="仿宋_GB2312"/>
                <w:i w:val="0"/>
                <w:iCs w:val="0"/>
                <w:strike w:val="0"/>
                <w:dstrike w:val="0"/>
                <w:color w:val="auto"/>
                <w:highlight w:val="none"/>
                <w:lang w:eastAsia="zh-CN"/>
              </w:rPr>
              <w:t>公司数字化设备及系统的需求论证、采购选型工作</w:t>
            </w:r>
            <w:r>
              <w:rPr>
                <w:rFonts w:hint="eastAsia" w:ascii="仿宋_GB2312" w:hAnsi="仿宋_GB2312" w:eastAsia="仿宋_GB2312" w:cs="仿宋_GB2312"/>
                <w:i w:val="0"/>
                <w:iCs w:val="0"/>
                <w:strike w:val="0"/>
                <w:dstrike w:val="0"/>
                <w:color w:val="auto"/>
                <w:highlight w:val="none"/>
              </w:rPr>
              <w:t>；</w:t>
            </w:r>
          </w:p>
        </w:tc>
      </w:tr>
    </w:tbl>
    <w:p w14:paraId="4E358F42">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572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32F524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79E96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008E1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BD99A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30AD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999FA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32EC4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E1488B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45F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3D92746">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52" w:name="_Toc15915"/>
            <w:bookmarkStart w:id="53" w:name="_Toc30237"/>
            <w:bookmarkStart w:id="54" w:name="_Toc25477"/>
            <w:r>
              <w:rPr>
                <w:rFonts w:hint="eastAsia" w:ascii="宋体" w:hAnsi="宋体" w:eastAsia="宋体" w:cs="宋体"/>
                <w:color w:val="auto"/>
                <w:highlight w:val="none"/>
              </w:rPr>
              <w:t>4.2 组织机构与职责</w:t>
            </w:r>
            <w:bookmarkEnd w:id="52"/>
            <w:bookmarkEnd w:id="53"/>
            <w:bookmarkEnd w:id="54"/>
          </w:p>
        </w:tc>
        <w:tc>
          <w:tcPr>
            <w:tcW w:w="1587" w:type="dxa"/>
            <w:tcBorders>
              <w:top w:val="single" w:color="auto" w:sz="4" w:space="0"/>
              <w:left w:val="single" w:color="auto" w:sz="4" w:space="0"/>
              <w:bottom w:val="single" w:color="auto" w:sz="4" w:space="0"/>
              <w:right w:val="single" w:color="auto" w:sz="4" w:space="0"/>
            </w:tcBorders>
            <w:vAlign w:val="center"/>
          </w:tcPr>
          <w:p w14:paraId="4B88EC8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0969825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 xml:space="preserve"> 页</w:t>
            </w:r>
          </w:p>
        </w:tc>
      </w:tr>
      <w:tr w14:paraId="4551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693A0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90F0AE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A217A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5F61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0D227CB">
            <w:pPr>
              <w:spacing w:line="440" w:lineRule="exact"/>
              <w:ind w:firstLine="420" w:firstLineChars="200"/>
              <w:rPr>
                <w:rFonts w:hint="eastAsia" w:ascii="仿宋_GB2312" w:hAnsi="仿宋_GB2312" w:eastAsia="仿宋_GB2312" w:cs="仿宋_GB2312"/>
                <w:i w:val="0"/>
                <w:iCs w:val="0"/>
                <w:color w:val="auto"/>
                <w:sz w:val="21"/>
                <w:szCs w:val="21"/>
                <w:highlight w:val="none"/>
                <w:lang w:eastAsia="zh-CN"/>
              </w:rPr>
            </w:pPr>
            <w:r>
              <w:rPr>
                <w:rFonts w:hint="eastAsia" w:ascii="仿宋_GB2312" w:hAnsi="仿宋_GB2312" w:eastAsia="仿宋_GB2312" w:cs="仿宋_GB2312"/>
                <w:i w:val="0"/>
                <w:iCs w:val="0"/>
                <w:color w:val="auto"/>
                <w:sz w:val="21"/>
                <w:szCs w:val="21"/>
                <w:highlight w:val="none"/>
              </w:rPr>
              <w:t>④</w:t>
            </w:r>
            <w:r>
              <w:rPr>
                <w:rFonts w:hint="eastAsia" w:ascii="仿宋_GB2312" w:hAnsi="仿宋_GB2312" w:eastAsia="仿宋_GB2312" w:cs="仿宋_GB2312"/>
                <w:i w:val="0"/>
                <w:iCs w:val="0"/>
                <w:color w:val="auto"/>
                <w:sz w:val="21"/>
                <w:szCs w:val="21"/>
                <w:highlight w:val="none"/>
                <w:lang w:val="en-US" w:eastAsia="zh-CN"/>
              </w:rPr>
              <w:t xml:space="preserve"> </w:t>
            </w:r>
            <w:r>
              <w:rPr>
                <w:rFonts w:hint="eastAsia" w:ascii="仿宋_GB2312" w:hAnsi="仿宋_GB2312" w:eastAsia="仿宋_GB2312" w:cs="仿宋_GB2312"/>
                <w:i w:val="0"/>
                <w:iCs w:val="0"/>
                <w:color w:val="auto"/>
                <w:sz w:val="21"/>
                <w:szCs w:val="21"/>
                <w:highlight w:val="none"/>
              </w:rPr>
              <w:t>负责公司科研生产设备设施、特种设备（叉车等）的归口管理工作</w:t>
            </w:r>
            <w:r>
              <w:rPr>
                <w:rFonts w:hint="eastAsia" w:ascii="仿宋_GB2312" w:hAnsi="仿宋_GB2312" w:eastAsia="仿宋_GB2312" w:cs="仿宋_GB2312"/>
                <w:i w:val="0"/>
                <w:iCs w:val="0"/>
                <w:color w:val="auto"/>
                <w:sz w:val="21"/>
                <w:szCs w:val="21"/>
                <w:highlight w:val="none"/>
                <w:lang w:eastAsia="zh-CN"/>
              </w:rPr>
              <w:t>；</w:t>
            </w:r>
          </w:p>
          <w:p w14:paraId="26F91B9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color w:val="auto"/>
                <w:highlight w:val="none"/>
              </w:rPr>
            </w:pPr>
            <w:r>
              <w:rPr>
                <w:rFonts w:hint="eastAsia" w:ascii="仿宋_GB2312" w:hAnsi="仿宋_GB2312" w:eastAsia="仿宋_GB2312" w:cs="仿宋_GB2312"/>
                <w:i w:val="0"/>
                <w:iCs w:val="0"/>
                <w:color w:val="auto"/>
                <w:sz w:val="21"/>
                <w:szCs w:val="21"/>
                <w:highlight w:val="none"/>
              </w:rPr>
              <w:t xml:space="preserve">⑤ </w:t>
            </w:r>
            <w:r>
              <w:rPr>
                <w:rFonts w:hint="eastAsia" w:ascii="仿宋_GB2312" w:hAnsi="仿宋_GB2312" w:eastAsia="仿宋_GB2312" w:cs="仿宋_GB2312"/>
                <w:i w:val="0"/>
                <w:iCs w:val="0"/>
                <w:color w:val="auto"/>
                <w:sz w:val="21"/>
                <w:szCs w:val="21"/>
                <w:highlight w:val="none"/>
                <w:lang w:eastAsia="zh-CN"/>
              </w:rPr>
              <w:t>负责公司设备资料的归档；</w:t>
            </w:r>
            <w:r>
              <w:rPr>
                <w:rFonts w:hint="eastAsia" w:ascii="仿宋_GB2312" w:hAnsi="仿宋_GB2312" w:eastAsia="仿宋_GB2312" w:cs="仿宋_GB2312"/>
                <w:i w:val="0"/>
                <w:iCs w:val="0"/>
                <w:color w:val="auto"/>
                <w:highlight w:val="none"/>
              </w:rPr>
              <w:t>⑥ 负责组织相关部门编写设备</w:t>
            </w:r>
            <w:r>
              <w:rPr>
                <w:rFonts w:hint="eastAsia" w:ascii="仿宋_GB2312" w:hAnsi="仿宋_GB2312" w:cs="仿宋_GB2312"/>
                <w:i w:val="0"/>
                <w:iCs w:val="0"/>
                <w:color w:val="auto"/>
                <w:highlight w:val="none"/>
                <w:lang w:eastAsia="zh-CN"/>
              </w:rPr>
              <w:t>安全</w:t>
            </w:r>
            <w:r>
              <w:rPr>
                <w:rFonts w:hint="eastAsia" w:ascii="仿宋_GB2312" w:hAnsi="仿宋_GB2312" w:eastAsia="仿宋_GB2312" w:cs="仿宋_GB2312"/>
                <w:i w:val="0"/>
                <w:iCs w:val="0"/>
                <w:color w:val="auto"/>
                <w:highlight w:val="none"/>
              </w:rPr>
              <w:t>操作规程；</w:t>
            </w:r>
          </w:p>
          <w:p w14:paraId="221772C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strike w:val="0"/>
                <w:color w:val="auto"/>
                <w:highlight w:val="none"/>
              </w:rPr>
            </w:pPr>
            <w:r>
              <w:rPr>
                <w:rFonts w:hint="eastAsia" w:ascii="仿宋_GB2312" w:hAnsi="仿宋_GB2312" w:eastAsia="仿宋_GB2312" w:cs="仿宋_GB2312"/>
                <w:i w:val="0"/>
                <w:iCs w:val="0"/>
                <w:color w:val="auto"/>
                <w:highlight w:val="none"/>
              </w:rPr>
              <w:t>⑦</w:t>
            </w:r>
            <w:r>
              <w:rPr>
                <w:rFonts w:hint="eastAsia" w:ascii="仿宋_GB2312" w:hAnsi="仿宋_GB2312" w:eastAsia="仿宋_GB2312" w:cs="仿宋_GB2312"/>
                <w:i w:val="0"/>
                <w:iCs w:val="0"/>
                <w:color w:val="auto"/>
                <w:highlight w:val="none"/>
                <w:lang w:val="en-US" w:eastAsia="zh-CN"/>
              </w:rPr>
              <w:t xml:space="preserve"> </w:t>
            </w:r>
            <w:r>
              <w:rPr>
                <w:rFonts w:hint="eastAsia" w:ascii="仿宋_GB2312" w:hAnsi="仿宋_GB2312" w:eastAsia="仿宋_GB2312" w:cs="仿宋_GB2312"/>
                <w:i w:val="0"/>
                <w:iCs w:val="0"/>
                <w:strike w:val="0"/>
                <w:dstrike w:val="0"/>
                <w:color w:val="auto"/>
                <w:highlight w:val="none"/>
              </w:rPr>
              <w:t>负责公司</w:t>
            </w:r>
            <w:r>
              <w:rPr>
                <w:rFonts w:hint="eastAsia" w:ascii="仿宋_GB2312" w:hAnsi="仿宋_GB2312" w:cs="仿宋_GB2312"/>
                <w:i w:val="0"/>
                <w:iCs w:val="0"/>
                <w:strike w:val="0"/>
                <w:dstrike w:val="0"/>
                <w:color w:val="auto"/>
                <w:highlight w:val="none"/>
                <w:lang w:eastAsia="zh-CN"/>
              </w:rPr>
              <w:t>信息系统、信息设备和存储设备等信息安全及保密的归口管理</w:t>
            </w:r>
            <w:r>
              <w:rPr>
                <w:rFonts w:hint="eastAsia" w:ascii="仿宋_GB2312" w:hAnsi="仿宋_GB2312" w:eastAsia="仿宋_GB2312" w:cs="仿宋_GB2312"/>
                <w:i w:val="0"/>
                <w:iCs w:val="0"/>
                <w:strike w:val="0"/>
                <w:dstrike w:val="0"/>
                <w:color w:val="auto"/>
                <w:highlight w:val="none"/>
              </w:rPr>
              <w:t>；</w:t>
            </w:r>
          </w:p>
          <w:p w14:paraId="02F6896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strike w:val="0"/>
                <w:dstrike w:val="0"/>
                <w:color w:val="auto"/>
                <w:highlight w:val="none"/>
              </w:rPr>
            </w:pPr>
            <w:r>
              <w:rPr>
                <w:rFonts w:hint="eastAsia" w:ascii="仿宋_GB2312" w:hAnsi="仿宋_GB2312" w:eastAsia="仿宋_GB2312" w:cs="仿宋_GB2312"/>
                <w:i w:val="0"/>
                <w:iCs w:val="0"/>
                <w:strike w:val="0"/>
                <w:dstrike w:val="0"/>
                <w:color w:val="auto"/>
                <w:highlight w:val="none"/>
              </w:rPr>
              <w:t xml:space="preserve">⑧ </w:t>
            </w:r>
            <w:r>
              <w:rPr>
                <w:rFonts w:hint="eastAsia" w:ascii="仿宋_GB2312" w:hAnsi="仿宋_GB2312" w:eastAsia="仿宋_GB2312" w:cs="仿宋_GB2312"/>
                <w:i w:val="0"/>
                <w:iCs w:val="0"/>
                <w:color w:val="auto"/>
                <w:highlight w:val="none"/>
              </w:rPr>
              <w:t>负责设备大项修计划和设备的维修、保养计划的编制并组织实施；</w:t>
            </w:r>
          </w:p>
          <w:p w14:paraId="76DB31F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i w:val="0"/>
                <w:iCs w:val="0"/>
                <w:color w:val="auto"/>
                <w:highlight w:val="none"/>
                <w:lang w:eastAsia="zh-CN"/>
              </w:rPr>
            </w:pPr>
            <w:r>
              <w:rPr>
                <w:rFonts w:hint="eastAsia" w:ascii="仿宋_GB2312" w:hAnsi="仿宋_GB2312" w:eastAsia="仿宋_GB2312" w:cs="仿宋_GB2312"/>
                <w:i w:val="0"/>
                <w:iCs w:val="0"/>
                <w:color w:val="auto"/>
                <w:highlight w:val="none"/>
              </w:rPr>
              <w:t>⑨ 负责了解本行业最新的加工工艺，高效、节能的新型加工设备</w:t>
            </w:r>
            <w:r>
              <w:rPr>
                <w:rFonts w:hint="eastAsia" w:ascii="仿宋_GB2312" w:hAnsi="仿宋_GB2312" w:cs="仿宋_GB2312"/>
                <w:i w:val="0"/>
                <w:iCs w:val="0"/>
                <w:color w:val="auto"/>
                <w:highlight w:val="none"/>
                <w:lang w:eastAsia="zh-CN"/>
              </w:rPr>
              <w:t>；</w:t>
            </w:r>
          </w:p>
          <w:p w14:paraId="5192663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负责公司设备管理维修方面的规章制度的制定和组织实施、检查和考核工作；</w:t>
            </w:r>
          </w:p>
          <w:p w14:paraId="64FED88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w:t>
            </w:r>
            <w:r>
              <w:rPr>
                <w:rFonts w:hint="eastAsia" w:ascii="仿宋_GB2312" w:hAnsi="仿宋_GB2312" w:cs="仿宋_GB2312"/>
                <w:color w:val="auto"/>
                <w:highlight w:val="none"/>
                <w:lang w:eastAsia="zh-CN"/>
              </w:rPr>
              <w:t>设备维修外协服务的采购</w:t>
            </w:r>
            <w:r>
              <w:rPr>
                <w:rFonts w:hint="eastAsia" w:ascii="仿宋_GB2312" w:hAnsi="仿宋_GB2312" w:eastAsia="仿宋_GB2312" w:cs="仿宋_GB2312"/>
                <w:color w:val="auto"/>
                <w:highlight w:val="none"/>
              </w:rPr>
              <w:t>；</w:t>
            </w:r>
          </w:p>
          <w:p w14:paraId="10C6419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负责建立完善固定资产卡片和记录；</w:t>
            </w:r>
          </w:p>
          <w:p w14:paraId="0CEEDB6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color w:val="auto"/>
                <w:highlight w:val="none"/>
                <w:u w:val="none"/>
              </w:rPr>
              <w:t>⑬</w:t>
            </w:r>
            <w:r>
              <w:rPr>
                <w:rFonts w:hint="eastAsia" w:ascii="仿宋_GB2312" w:hAnsi="仿宋_GB2312" w:eastAsia="仿宋_GB2312" w:cs="仿宋_GB2312"/>
                <w:color w:val="auto"/>
                <w:highlight w:val="none"/>
                <w:u w:val="none"/>
                <w:lang w:val="en-US" w:eastAsia="zh-CN"/>
              </w:rPr>
              <w:t xml:space="preserve"> </w:t>
            </w:r>
            <w:r>
              <w:rPr>
                <w:rFonts w:hint="eastAsia" w:ascii="仿宋_GB2312" w:hAnsi="仿宋_GB2312" w:eastAsia="仿宋_GB2312" w:cs="仿宋_GB2312"/>
                <w:color w:val="auto"/>
                <w:highlight w:val="none"/>
                <w:u w:val="none"/>
              </w:rPr>
              <w:t>负责</w:t>
            </w:r>
            <w:r>
              <w:rPr>
                <w:rFonts w:hint="eastAsia" w:ascii="仿宋_GB2312" w:hAnsi="仿宋_GB2312" w:cs="仿宋_GB2312"/>
                <w:color w:val="auto"/>
                <w:highlight w:val="none"/>
                <w:u w:val="none"/>
                <w:lang w:eastAsia="zh-CN"/>
              </w:rPr>
              <w:t>全公司</w:t>
            </w:r>
            <w:r>
              <w:rPr>
                <w:rFonts w:hint="eastAsia" w:ascii="仿宋_GB2312" w:hAnsi="仿宋_GB2312" w:eastAsia="仿宋_GB2312" w:cs="仿宋_GB2312"/>
                <w:color w:val="auto"/>
                <w:highlight w:val="none"/>
                <w:u w:val="none"/>
              </w:rPr>
              <w:t>水、电、气等</w:t>
            </w:r>
            <w:r>
              <w:rPr>
                <w:rFonts w:hint="eastAsia" w:ascii="仿宋_GB2312" w:hAnsi="仿宋_GB2312" w:cs="仿宋_GB2312"/>
                <w:color w:val="auto"/>
                <w:highlight w:val="none"/>
                <w:u w:val="none"/>
                <w:lang w:eastAsia="zh-CN"/>
              </w:rPr>
              <w:t>动力能源的能耗管控、内外运行管理、维修等相关保障工作</w:t>
            </w:r>
            <w:r>
              <w:rPr>
                <w:rFonts w:hint="eastAsia" w:ascii="仿宋_GB2312" w:hAnsi="仿宋_GB2312" w:eastAsia="仿宋_GB2312" w:cs="仿宋_GB2312"/>
                <w:color w:val="auto"/>
                <w:highlight w:val="none"/>
                <w:u w:val="none"/>
              </w:rPr>
              <w:t>；</w:t>
            </w:r>
          </w:p>
          <w:p w14:paraId="2BDE55F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u w:val="none"/>
                <w:lang w:eastAsia="zh-CN"/>
              </w:rPr>
            </w:pPr>
            <w:r>
              <w:rPr>
                <w:rFonts w:hint="eastAsia" w:ascii="仿宋_GB2312" w:hAnsi="仿宋_GB2312" w:eastAsia="仿宋_GB2312" w:cs="仿宋_GB2312"/>
                <w:color w:val="auto"/>
                <w:highlight w:val="none"/>
                <w:u w:val="none"/>
              </w:rPr>
              <w:t>⑭</w:t>
            </w:r>
            <w:r>
              <w:rPr>
                <w:rFonts w:hint="eastAsia" w:ascii="仿宋_GB2312" w:hAnsi="仿宋_GB2312" w:eastAsia="仿宋_GB2312" w:cs="仿宋_GB2312"/>
                <w:color w:val="auto"/>
                <w:highlight w:val="none"/>
                <w:u w:val="none"/>
                <w:lang w:val="en-US" w:eastAsia="zh-CN"/>
              </w:rPr>
              <w:t xml:space="preserve"> </w:t>
            </w:r>
            <w:r>
              <w:rPr>
                <w:rFonts w:hint="eastAsia" w:ascii="仿宋_GB2312" w:hAnsi="仿宋_GB2312" w:cs="仿宋_GB2312"/>
                <w:color w:val="auto"/>
                <w:highlight w:val="none"/>
                <w:u w:val="none"/>
                <w:lang w:val="en-US" w:eastAsia="zh-CN"/>
              </w:rPr>
              <w:t>协助设备使用部门做好新购设备操作人员的培训工作</w:t>
            </w:r>
            <w:r>
              <w:rPr>
                <w:rFonts w:hint="eastAsia" w:ascii="仿宋_GB2312" w:hAnsi="仿宋_GB2312" w:eastAsia="仿宋_GB2312" w:cs="仿宋_GB2312"/>
                <w:color w:val="auto"/>
                <w:highlight w:val="none"/>
                <w:u w:val="none"/>
                <w:lang w:eastAsia="zh-CN"/>
              </w:rPr>
              <w:t>。</w:t>
            </w:r>
          </w:p>
          <w:p w14:paraId="2CD706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4.2.3职能分配</w:t>
            </w:r>
          </w:p>
          <w:p w14:paraId="51A1639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根据本单位组织机构设置的实际情况，将控制要求的实现职能分配到相关部门并明确各部门之间的职能分配关系，明确归口管理部门和相关部门（见附录C）。</w:t>
            </w:r>
          </w:p>
          <w:p w14:paraId="1A886E1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4F175A95">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40B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924CA8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56120C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D3B66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D8F45D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A38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005F97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442F95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DDC0F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245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486FCB8">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auto"/>
                <w:sz w:val="24"/>
                <w:szCs w:val="24"/>
                <w:highlight w:val="none"/>
                <w:lang w:eastAsia="zh-CN"/>
              </w:rPr>
            </w:pPr>
            <w:bookmarkStart w:id="55" w:name="_Toc31020"/>
            <w:bookmarkStart w:id="56" w:name="_Toc5938"/>
            <w:bookmarkStart w:id="57" w:name="_Toc16639"/>
            <w:r>
              <w:rPr>
                <w:rFonts w:hint="eastAsia" w:ascii="宋体" w:hAnsi="宋体" w:eastAsia="宋体" w:cs="宋体"/>
                <w:color w:val="auto"/>
                <w:highlight w:val="none"/>
              </w:rPr>
              <w:t>4.3 培训</w:t>
            </w:r>
            <w:bookmarkEnd w:id="55"/>
            <w:bookmarkEnd w:id="56"/>
            <w:bookmarkEnd w:id="57"/>
          </w:p>
        </w:tc>
        <w:tc>
          <w:tcPr>
            <w:tcW w:w="1587" w:type="dxa"/>
            <w:tcBorders>
              <w:top w:val="single" w:color="auto" w:sz="4" w:space="0"/>
              <w:left w:val="single" w:color="auto" w:sz="4" w:space="0"/>
              <w:bottom w:val="single" w:color="auto" w:sz="4" w:space="0"/>
              <w:right w:val="single" w:color="auto" w:sz="4" w:space="0"/>
            </w:tcBorders>
            <w:vAlign w:val="center"/>
          </w:tcPr>
          <w:p w14:paraId="3DFA5F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985F6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 xml:space="preserve"> 页</w:t>
            </w:r>
          </w:p>
        </w:tc>
      </w:tr>
      <w:tr w14:paraId="4747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2C385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93B37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3A2AB8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59C8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61C98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4.3.1 目的</w:t>
            </w:r>
          </w:p>
          <w:p w14:paraId="2A3D548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为保证质量管理体系的有效运行，确保超柔射频同轴电缆生产线能为用户提供合格产品，应对所有与</w:t>
            </w:r>
            <w:r>
              <w:rPr>
                <w:rFonts w:hint="eastAsia" w:ascii="仿宋_GB2312" w:hAnsi="仿宋_GB2312" w:cs="仿宋_GB2312"/>
                <w:color w:val="auto"/>
                <w:highlight w:val="none"/>
                <w:lang w:eastAsia="zh-CN"/>
              </w:rPr>
              <w:t>该生产线</w:t>
            </w:r>
            <w:r>
              <w:rPr>
                <w:rFonts w:hint="eastAsia" w:ascii="仿宋_GB2312" w:hAnsi="仿宋_GB2312" w:eastAsia="仿宋_GB2312" w:cs="仿宋_GB2312"/>
                <w:color w:val="auto"/>
                <w:highlight w:val="none"/>
              </w:rPr>
              <w:t>产品质量有影响的人员进行培训，以满足质量要求。</w:t>
            </w:r>
          </w:p>
          <w:p w14:paraId="1E01E4A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4.3.2 适用范围</w:t>
            </w:r>
          </w:p>
          <w:p w14:paraId="1C64CC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本要素适用于所有与超柔射频同轴电缆生产线产品质量有关人员的教育培训工作。</w:t>
            </w:r>
          </w:p>
          <w:p w14:paraId="27E19B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4.3.3 职责</w:t>
            </w:r>
          </w:p>
          <w:p w14:paraId="7C13F04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综合管理部是培训的归口部门，负责培训的计划、组织、安排、评价和考核等工作。</w:t>
            </w:r>
          </w:p>
          <w:p w14:paraId="097DE2D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防务装备事业部和质量体系部是主要相关部门，负责为培训提供技术支持。</w:t>
            </w:r>
          </w:p>
          <w:p w14:paraId="4B29AFB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防务装备事业部负责分厂内部培训工作的组织，确保分厂员工满足生产需要。</w:t>
            </w:r>
          </w:p>
          <w:p w14:paraId="5AC02BD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质量体系部负责质量体系内审员的相关培训，确保内审员能力满足要求。</w:t>
            </w:r>
          </w:p>
          <w:p w14:paraId="14CFCF0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 控制要求</w:t>
            </w:r>
          </w:p>
          <w:p w14:paraId="6FF4A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4.3.4.1 综合管理部编制培训控制程序。</w:t>
            </w:r>
          </w:p>
          <w:p w14:paraId="6652C5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4.3.4.2 综合管理部定期收集涉及产品生产活动各方面的培训需求信息，需求信息包括管理性和技术性方面的，如质量管理知识、设备操作规程、检验试验方法等。</w:t>
            </w:r>
          </w:p>
          <w:p w14:paraId="32F63F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4.3.4.3 综合管理部根据相关部门提出的培训需求信息，结合具体生产线相关活动的实际，确定人员培训的需求，制定出切实可行的年度培训计划。培训计划应确定参加培训的人员、时间、方式、频次，在培训的形式、内容和程度上应与产品的生产技术复杂程度相适应；培训计划可根据需要进行必要的调整(增加或取消)，但需按照内部管理规定履行必要的审核、批准手续。</w:t>
            </w:r>
          </w:p>
          <w:p w14:paraId="1292DCF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4.3.4.4 综合管理部制定的培训计划中应确定培训内容，包括国家有关质量方面的法律、法规、政策；专业技术知识、岗位操作规程；新标准、新技术、环保、财务等），对于产品设计、工艺、生产、检验试验、库房和搬运人员，培训计划中必须列新工艺；质量管理/控制程序及要求；先进的管理理念和控制方法；以及其它方面（如保密、安全入新技术和新工艺的培训内容。</w:t>
            </w:r>
          </w:p>
          <w:p w14:paraId="582D4E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4.3.4.5 综合管理部每三年对与产品质量有直接影响的人员进行一次相关知识、技能的培训与考核。当规定的考核期限结束时，或当显示出人员的素质较差时，应进行重新培训、考核。</w:t>
            </w:r>
          </w:p>
          <w:p w14:paraId="4274C51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4.3.4.6综合管理部组织被复线生产线关键和特殊岗位（含关键/特殊工序、检验等）人员培训，考核合格后持证上岗。未经考核证明人员的技能已达到岗位所需的要求之前，不得从事相应岗位</w:t>
            </w:r>
          </w:p>
        </w:tc>
      </w:tr>
    </w:tbl>
    <w:p w14:paraId="4640123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551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D6EB2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6DF1D97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8E0106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CD85C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6187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F92A3B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19A6E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6FE01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DDA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49EEC09">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58" w:name="_Toc14719"/>
            <w:bookmarkStart w:id="59" w:name="_Toc28649"/>
            <w:bookmarkStart w:id="60" w:name="_Toc21760"/>
            <w:r>
              <w:rPr>
                <w:rFonts w:hint="eastAsia" w:ascii="宋体" w:hAnsi="宋体" w:eastAsia="宋体" w:cs="宋体"/>
                <w:color w:val="auto"/>
                <w:highlight w:val="none"/>
              </w:rPr>
              <w:t>4.3 培训</w:t>
            </w:r>
            <w:bookmarkEnd w:id="58"/>
            <w:bookmarkEnd w:id="59"/>
            <w:bookmarkEnd w:id="60"/>
          </w:p>
        </w:tc>
        <w:tc>
          <w:tcPr>
            <w:tcW w:w="1587" w:type="dxa"/>
            <w:tcBorders>
              <w:top w:val="single" w:color="auto" w:sz="4" w:space="0"/>
              <w:left w:val="single" w:color="auto" w:sz="4" w:space="0"/>
              <w:bottom w:val="single" w:color="auto" w:sz="4" w:space="0"/>
              <w:right w:val="single" w:color="auto" w:sz="4" w:space="0"/>
            </w:tcBorders>
            <w:vAlign w:val="center"/>
          </w:tcPr>
          <w:p w14:paraId="0ED6A0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F28CC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16</w:t>
            </w:r>
            <w:r>
              <w:rPr>
                <w:rFonts w:hint="eastAsia" w:ascii="宋体" w:hAnsi="宋体" w:eastAsia="宋体" w:cs="宋体"/>
                <w:color w:val="auto"/>
                <w:highlight w:val="none"/>
              </w:rPr>
              <w:t xml:space="preserve"> 页</w:t>
            </w:r>
          </w:p>
        </w:tc>
      </w:tr>
      <w:tr w14:paraId="3DE4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07425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B38BA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A00B6F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69C6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AD715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的工作，综合管理部对关键和特殊岗位人员的上岗情况进行监督。</w:t>
            </w:r>
          </w:p>
          <w:p w14:paraId="2DBA01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4.3.4.7综合管理部每年至少进行一次培训有效性的评审。通过评审，视其达到预期培训效果的情况，为后期培训活动的策划提供依据。保存培训和培训效果评价的记录。培训记录应注明各期培训的类型、日期、主要内容、参加人员、考核结果等内容，质量部对培训的情况进行监督。</w:t>
            </w:r>
          </w:p>
          <w:p w14:paraId="7A8C39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4.3.5 直接关联的程序文件和作业文件</w:t>
            </w:r>
          </w:p>
          <w:p w14:paraId="7FBFF080">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highlight w:val="none"/>
                <w:lang w:eastAsia="zh-CN"/>
              </w:rPr>
              <w:t>《人力资源控制程序》</w:t>
            </w:r>
          </w:p>
          <w:p w14:paraId="6B261B4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《质量记录控制程序》</w:t>
            </w:r>
          </w:p>
          <w:p w14:paraId="2FC5213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《岗位说明书》</w:t>
            </w:r>
          </w:p>
          <w:p w14:paraId="052A6F2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p>
          <w:p w14:paraId="7174D39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3F6D71BA">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D6C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65552F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7A4BE3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49F17F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ADD542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7BE7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867870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0EBE20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746CD0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F87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663A926">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61" w:name="_Toc13898"/>
            <w:bookmarkStart w:id="62" w:name="_Toc11440"/>
            <w:bookmarkStart w:id="63" w:name="_Toc1763"/>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61"/>
            <w:bookmarkEnd w:id="62"/>
            <w:bookmarkEnd w:id="63"/>
          </w:p>
        </w:tc>
        <w:tc>
          <w:tcPr>
            <w:tcW w:w="1587" w:type="dxa"/>
            <w:tcBorders>
              <w:top w:val="single" w:color="auto" w:sz="4" w:space="0"/>
              <w:left w:val="single" w:color="auto" w:sz="4" w:space="0"/>
              <w:bottom w:val="single" w:color="auto" w:sz="4" w:space="0"/>
              <w:right w:val="single" w:color="auto" w:sz="4" w:space="0"/>
            </w:tcBorders>
            <w:vAlign w:val="center"/>
          </w:tcPr>
          <w:p w14:paraId="5562F11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260098A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17</w:t>
            </w:r>
            <w:r>
              <w:rPr>
                <w:rFonts w:hint="eastAsia" w:ascii="宋体" w:hAnsi="宋体" w:eastAsia="宋体" w:cs="宋体"/>
                <w:color w:val="auto"/>
                <w:highlight w:val="none"/>
              </w:rPr>
              <w:t xml:space="preserve"> 页</w:t>
            </w:r>
          </w:p>
        </w:tc>
      </w:tr>
      <w:tr w14:paraId="34ED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2346B5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0897F8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614C5D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E95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41FED3B">
            <w:pPr>
              <w:pStyle w:val="11"/>
              <w:keepNext w:val="0"/>
              <w:keepLines w:val="0"/>
              <w:pageBreakBefore w:val="0"/>
              <w:kinsoku/>
              <w:wordWrap/>
              <w:overflowPunct/>
              <w:topLinePunct w:val="0"/>
              <w:bidi w:val="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4.4.1 目的</w:t>
            </w:r>
          </w:p>
          <w:p w14:paraId="69652EA0">
            <w:pPr>
              <w:pStyle w:val="11"/>
              <w:keepNext w:val="0"/>
              <w:keepLines w:val="0"/>
              <w:pageBreakBefore w:val="0"/>
              <w:kinsoku/>
              <w:wordWrap/>
              <w:overflowPunct/>
              <w:topLinePunct w:val="0"/>
              <w:bidi w:val="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 xml:space="preserve">    通过对与</w:t>
            </w:r>
            <w:r>
              <w:rPr>
                <w:rFonts w:hint="eastAsia" w:ascii="仿宋_GB2312" w:hAnsi="仿宋_GB2312" w:eastAsia="仿宋_GB2312" w:cs="仿宋_GB2312"/>
                <w:color w:val="auto"/>
                <w:highlight w:val="none"/>
              </w:rPr>
              <w:t>超柔射频同轴电缆生产线</w:t>
            </w:r>
            <w:r>
              <w:rPr>
                <w:rFonts w:hint="eastAsia" w:ascii="仿宋_GB2312" w:hAnsi="仿宋_GB2312" w:eastAsia="仿宋_GB2312" w:cs="仿宋_GB2312"/>
                <w:color w:val="auto"/>
                <w:kern w:val="2"/>
                <w:szCs w:val="21"/>
                <w:highlight w:val="none"/>
              </w:rPr>
              <w:t>相关的文件进行控制，确保执行的文件正确有效。</w:t>
            </w:r>
          </w:p>
          <w:p w14:paraId="2E8A9137">
            <w:pPr>
              <w:pStyle w:val="11"/>
              <w:keepNext w:val="0"/>
              <w:keepLines w:val="0"/>
              <w:pageBreakBefore w:val="0"/>
              <w:kinsoku/>
              <w:wordWrap/>
              <w:overflowPunct/>
              <w:topLinePunct w:val="0"/>
              <w:bidi w:val="0"/>
              <w:spacing w:line="440" w:lineRule="exact"/>
              <w:ind w:left="0" w:leftChars="0" w:right="159"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4.4.2 适用范围</w:t>
            </w:r>
          </w:p>
          <w:p w14:paraId="478B06D7">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质量保证大纲计划、程序文件、作业文件、质量记录以及为保证过程有效策划、运行而编制的其他文件。</w:t>
            </w:r>
          </w:p>
          <w:p w14:paraId="7261388E">
            <w:pPr>
              <w:pStyle w:val="11"/>
              <w:keepNext w:val="0"/>
              <w:keepLines w:val="0"/>
              <w:pageBreakBefore w:val="0"/>
              <w:kinsoku/>
              <w:wordWrap/>
              <w:overflowPunct/>
              <w:topLinePunct w:val="0"/>
              <w:bidi w:val="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4.4.3 职责</w:t>
            </w:r>
          </w:p>
          <w:p w14:paraId="37DE41F6">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lang w:val="en-US" w:eastAsia="zh-CN"/>
              </w:rPr>
            </w:pPr>
            <w:r>
              <w:rPr>
                <w:rFonts w:hint="eastAsia" w:ascii="仿宋_GB2312" w:hAnsi="仿宋_GB2312" w:eastAsia="仿宋_GB2312" w:cs="仿宋_GB2312"/>
                <w:color w:val="auto"/>
                <w:kern w:val="2"/>
                <w:szCs w:val="21"/>
                <w:highlight w:val="none"/>
                <w:lang w:val="en-US" w:eastAsia="zh-CN"/>
              </w:rPr>
              <w:t>综合管理部是文件的归口部门，负责公司技术类、管理类、基建类、财务类、实物类等归档文件材料的接收、整理、保管和使用。</w:t>
            </w:r>
          </w:p>
          <w:p w14:paraId="18F07896">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Cs w:val="21"/>
                <w:highlight w:val="none"/>
              </w:rPr>
              <w:t>质量体系部是质量体系文件的</w:t>
            </w:r>
            <w:r>
              <w:rPr>
                <w:rFonts w:hint="eastAsia" w:ascii="仿宋_GB2312" w:hAnsi="仿宋_GB2312" w:eastAsia="仿宋_GB2312" w:cs="仿宋_GB2312"/>
                <w:color w:val="auto"/>
                <w:kern w:val="2"/>
                <w:szCs w:val="21"/>
                <w:highlight w:val="none"/>
                <w:lang w:eastAsia="zh-CN"/>
              </w:rPr>
              <w:t>管理</w:t>
            </w:r>
            <w:r>
              <w:rPr>
                <w:rFonts w:hint="eastAsia" w:ascii="仿宋_GB2312" w:hAnsi="仿宋_GB2312" w:eastAsia="仿宋_GB2312" w:cs="仿宋_GB2312"/>
                <w:color w:val="auto"/>
                <w:kern w:val="2"/>
                <w:szCs w:val="21"/>
                <w:highlight w:val="none"/>
              </w:rPr>
              <w:t>部门，负责质量体系文件的控制和管理。</w:t>
            </w:r>
          </w:p>
          <w:p w14:paraId="21D6E2FF">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lang w:eastAsia="zh-CN"/>
              </w:rPr>
              <w:t>防务装备事业部</w:t>
            </w:r>
            <w:r>
              <w:rPr>
                <w:rFonts w:hint="eastAsia" w:ascii="仿宋_GB2312" w:hAnsi="仿宋_GB2312" w:eastAsia="仿宋_GB2312" w:cs="仿宋_GB2312"/>
                <w:color w:val="auto"/>
                <w:kern w:val="2"/>
                <w:szCs w:val="21"/>
                <w:highlight w:val="none"/>
              </w:rPr>
              <w:t>是技术文件的</w:t>
            </w:r>
            <w:r>
              <w:rPr>
                <w:rFonts w:hint="eastAsia" w:ascii="仿宋_GB2312" w:hAnsi="仿宋_GB2312" w:eastAsia="仿宋_GB2312" w:cs="仿宋_GB2312"/>
                <w:color w:val="auto"/>
                <w:kern w:val="2"/>
                <w:szCs w:val="21"/>
                <w:highlight w:val="none"/>
                <w:lang w:eastAsia="zh-CN"/>
              </w:rPr>
              <w:t>管理</w:t>
            </w:r>
            <w:r>
              <w:rPr>
                <w:rFonts w:hint="eastAsia" w:ascii="仿宋_GB2312" w:hAnsi="仿宋_GB2312" w:eastAsia="仿宋_GB2312" w:cs="仿宋_GB2312"/>
                <w:color w:val="auto"/>
                <w:kern w:val="2"/>
                <w:szCs w:val="21"/>
                <w:highlight w:val="none"/>
              </w:rPr>
              <w:t>部门，负责技术文件和外来技术文件的控制和管理。</w:t>
            </w:r>
          </w:p>
          <w:p w14:paraId="44A78AAE">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各职能部门是主要相关部门，负责本部门主管文件的控制和管理。</w:t>
            </w:r>
          </w:p>
          <w:p w14:paraId="799929B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4.4.4 控制要求</w:t>
            </w:r>
          </w:p>
          <w:p w14:paraId="0F39C56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4.4.4.1 </w:t>
            </w:r>
            <w:r>
              <w:rPr>
                <w:rFonts w:hint="eastAsia" w:ascii="仿宋_GB2312" w:hAnsi="仿宋_GB2312" w:eastAsia="仿宋_GB2312" w:cs="仿宋_GB2312"/>
                <w:color w:val="auto"/>
                <w:highlight w:val="none"/>
                <w:lang w:val="de-DE"/>
              </w:rPr>
              <w:t>质量保证大纲文件的架构和类别</w:t>
            </w:r>
          </w:p>
          <w:p w14:paraId="3111C1B5">
            <w:pPr>
              <w:keepNext w:val="0"/>
              <w:keepLines w:val="0"/>
              <w:pageBreakBefore w:val="0"/>
              <w:kinsoku/>
              <w:wordWrap/>
              <w:overflowPunct/>
              <w:topLinePunct w:val="0"/>
              <w:bidi w:val="0"/>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 xml:space="preserve"> 从来源上分，分为内部文件和外来文件；</w:t>
            </w:r>
          </w:p>
          <w:p w14:paraId="6183CD55">
            <w:pPr>
              <w:keepNext w:val="0"/>
              <w:keepLines w:val="0"/>
              <w:pageBreakBefore w:val="0"/>
              <w:kinsoku/>
              <w:wordWrap/>
              <w:overflowPunct/>
              <w:topLinePunct w:val="0"/>
              <w:bidi w:val="0"/>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 xml:space="preserve"> 从类别上分，分为管理性文件和技术性文件；</w:t>
            </w:r>
          </w:p>
          <w:p w14:paraId="73D81DE6">
            <w:pPr>
              <w:keepNext w:val="0"/>
              <w:keepLines w:val="0"/>
              <w:pageBreakBefore w:val="0"/>
              <w:kinsoku/>
              <w:wordWrap/>
              <w:overflowPunct/>
              <w:topLinePunct w:val="0"/>
              <w:bidi w:val="0"/>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 xml:space="preserve"> 从层次上分，分为质量保证大纲计划、程序文件、作业文件和质量记录。</w:t>
            </w:r>
          </w:p>
          <w:p w14:paraId="5E57C7BC">
            <w:pPr>
              <w:keepNext w:val="0"/>
              <w:keepLines w:val="0"/>
              <w:pageBreakBefore w:val="0"/>
              <w:kinsoku/>
              <w:wordWrap/>
              <w:overflowPunct/>
              <w:topLinePunct w:val="0"/>
              <w:bidi w:val="0"/>
              <w:spacing w:line="440" w:lineRule="exact"/>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4.4.4.1.1 对生产线程序文件和贯标专用文件独立编号、独立成册。</w:t>
            </w:r>
          </w:p>
          <w:p w14:paraId="5E854993">
            <w:pPr>
              <w:keepNext w:val="0"/>
              <w:keepLines w:val="0"/>
              <w:pageBreakBefore w:val="0"/>
              <w:kinsoku/>
              <w:wordWrap/>
              <w:overflowPunct/>
              <w:topLinePunct w:val="0"/>
              <w:bidi w:val="0"/>
              <w:spacing w:line="440" w:lineRule="exact"/>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 xml:space="preserve">4.4.4.2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lang w:val="de-DE"/>
              </w:rPr>
              <w:t>编制文件控制程序，明确文件的归口管理部门和相关业务文件管理部门，对质量保证大纲所要求文件的分类、编制、审批、标识、发放、使用、更改、换版、作废、销毁和保存做出具体规定。</w:t>
            </w:r>
          </w:p>
          <w:p w14:paraId="40D7EFB1">
            <w:pPr>
              <w:keepNext w:val="0"/>
              <w:keepLines w:val="0"/>
              <w:pageBreakBefore w:val="0"/>
              <w:kinsoku/>
              <w:wordWrap/>
              <w:overflowPunct/>
              <w:topLinePunct w:val="0"/>
              <w:bidi w:val="0"/>
              <w:adjustRightInd w:val="0"/>
              <w:spacing w:line="440" w:lineRule="exact"/>
              <w:ind w:left="-56"/>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 xml:space="preserve">4.4.4.2.1 </w:t>
            </w:r>
            <w:r>
              <w:rPr>
                <w:rFonts w:hint="eastAsia" w:ascii="仿宋_GB2312" w:hAnsi="仿宋_GB2312" w:eastAsia="仿宋_GB2312" w:cs="仿宋_GB2312"/>
                <w:color w:val="auto"/>
                <w:highlight w:val="none"/>
                <w:lang w:val="de-DE"/>
              </w:rPr>
              <w:t>文件的编制、审核、批准</w:t>
            </w:r>
          </w:p>
          <w:p w14:paraId="5BD10B3C">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质量体系部</w:t>
            </w:r>
            <w:r>
              <w:rPr>
                <w:rFonts w:hint="eastAsia" w:ascii="仿宋_GB2312" w:hAnsi="仿宋_GB2312" w:eastAsia="仿宋_GB2312" w:cs="仿宋_GB2312"/>
                <w:color w:val="auto"/>
                <w:highlight w:val="none"/>
                <w:lang w:val="de-DE"/>
              </w:rPr>
              <w:t>组织编制质量保证大纲计划，由质量监督负责人会签，质量保证负责人审核，最高管理者批准；</w:t>
            </w:r>
          </w:p>
          <w:p w14:paraId="29F78F3D">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hint="eastAsia" w:ascii="仿宋_GB2312" w:hAnsi="仿宋_GB2312" w:eastAsia="仿宋_GB2312" w:cs="仿宋_GB2312"/>
                <w:color w:val="auto"/>
                <w:highlight w:val="none"/>
                <w:lang w:val="de-DE" w:eastAsia="zh-CN"/>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质量体系部</w:t>
            </w:r>
            <w:r>
              <w:rPr>
                <w:rFonts w:hint="eastAsia" w:ascii="仿宋_GB2312" w:hAnsi="仿宋_GB2312" w:eastAsia="仿宋_GB2312" w:cs="仿宋_GB2312"/>
                <w:color w:val="auto"/>
                <w:highlight w:val="none"/>
                <w:lang w:val="de-DE"/>
              </w:rPr>
              <w:t>提出编制要求，归口部门编制程序文件，文件编制部门负责人审核，</w:t>
            </w:r>
            <w:r>
              <w:rPr>
                <w:rFonts w:hint="eastAsia" w:ascii="仿宋_GB2312" w:hAnsi="仿宋_GB2312" w:eastAsia="仿宋_GB2312" w:cs="仿宋_GB2312"/>
                <w:color w:val="auto"/>
                <w:highlight w:val="none"/>
                <w:lang w:val="de-DE" w:eastAsia="zh-CN"/>
              </w:rPr>
              <w:t>质量监督负责人审查，</w:t>
            </w:r>
            <w:r>
              <w:rPr>
                <w:rFonts w:hint="eastAsia" w:ascii="仿宋_GB2312" w:hAnsi="仿宋_GB2312" w:eastAsia="仿宋_GB2312" w:cs="仿宋_GB2312"/>
                <w:color w:val="auto"/>
                <w:highlight w:val="none"/>
                <w:lang w:val="de-DE"/>
              </w:rPr>
              <w:t>归口部门</w:t>
            </w:r>
            <w:r>
              <w:rPr>
                <w:rFonts w:hint="eastAsia" w:ascii="仿宋_GB2312" w:hAnsi="仿宋_GB2312" w:eastAsia="仿宋_GB2312" w:cs="仿宋_GB2312"/>
                <w:color w:val="auto"/>
                <w:highlight w:val="none"/>
                <w:lang w:val="de-DE" w:eastAsia="zh-CN"/>
              </w:rPr>
              <w:t>的公司分管领导</w:t>
            </w:r>
            <w:r>
              <w:rPr>
                <w:rFonts w:hint="eastAsia" w:ascii="仿宋_GB2312" w:hAnsi="仿宋_GB2312" w:eastAsia="仿宋_GB2312" w:cs="仿宋_GB2312"/>
                <w:color w:val="auto"/>
                <w:highlight w:val="none"/>
                <w:lang w:val="de-DE"/>
              </w:rPr>
              <w:t>批准</w:t>
            </w:r>
            <w:r>
              <w:rPr>
                <w:rFonts w:hint="eastAsia" w:ascii="仿宋_GB2312" w:hAnsi="仿宋_GB2312" w:eastAsia="仿宋_GB2312" w:cs="仿宋_GB2312"/>
                <w:color w:val="auto"/>
                <w:highlight w:val="none"/>
                <w:lang w:val="de-DE" w:eastAsia="zh-CN"/>
              </w:rPr>
              <w:t>。</w:t>
            </w:r>
          </w:p>
          <w:p w14:paraId="39D1E53C">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ascii="宋体" w:hAnsi="宋体" w:eastAsia="宋体" w:cs="宋体"/>
                <w:color w:val="auto"/>
                <w:highlight w:val="non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职能部门编制并管理</w:t>
            </w:r>
            <w:r>
              <w:rPr>
                <w:rFonts w:hint="eastAsia" w:ascii="仿宋_GB2312" w:hAnsi="仿宋_GB2312" w:eastAsia="仿宋_GB2312" w:cs="仿宋_GB2312"/>
                <w:color w:val="auto"/>
                <w:highlight w:val="none"/>
                <w:lang w:val="de-DE"/>
              </w:rPr>
              <w:t>作业文件</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de-DE"/>
              </w:rPr>
              <w:t>由部门负责人进行审核，由主管领导或授权的责任人批准；</w:t>
            </w:r>
          </w:p>
        </w:tc>
      </w:tr>
    </w:tbl>
    <w:p w14:paraId="0E816A5E">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E7B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2661DAF">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2BD259F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5B7FE9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6D25D0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2CF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290B24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A8339B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F95E6C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EFE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DD0C5A6">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64" w:name="_Toc31996"/>
            <w:bookmarkStart w:id="65" w:name="_Toc15816"/>
            <w:bookmarkStart w:id="66" w:name="_Toc21894"/>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64"/>
            <w:bookmarkEnd w:id="65"/>
            <w:bookmarkEnd w:id="66"/>
          </w:p>
        </w:tc>
        <w:tc>
          <w:tcPr>
            <w:tcW w:w="1587" w:type="dxa"/>
            <w:tcBorders>
              <w:top w:val="single" w:color="auto" w:sz="4" w:space="0"/>
              <w:left w:val="single" w:color="auto" w:sz="4" w:space="0"/>
              <w:bottom w:val="single" w:color="auto" w:sz="4" w:space="0"/>
              <w:right w:val="single" w:color="auto" w:sz="4" w:space="0"/>
            </w:tcBorders>
            <w:vAlign w:val="center"/>
          </w:tcPr>
          <w:p w14:paraId="1F75D8F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40529C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18</w:t>
            </w:r>
            <w:r>
              <w:rPr>
                <w:rFonts w:hint="eastAsia" w:ascii="宋体" w:hAnsi="宋体" w:eastAsia="宋体" w:cs="宋体"/>
                <w:color w:val="auto"/>
                <w:highlight w:val="none"/>
              </w:rPr>
              <w:t xml:space="preserve"> 页</w:t>
            </w:r>
          </w:p>
        </w:tc>
      </w:tr>
      <w:tr w14:paraId="2E6B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406C7E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70F7D5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828CA2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45A8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B44B9AE">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hint="eastAsia" w:ascii="仿宋_GB2312" w:hAnsi="仿宋_GB2312" w:eastAsia="仿宋_GB2312" w:cs="仿宋_GB2312"/>
                <w:color w:val="auto"/>
                <w:kern w:val="2"/>
                <w:sz w:val="21"/>
                <w:szCs w:val="21"/>
                <w:highlight w:val="none"/>
                <w:lang w:val="de-DE" w:eastAsia="zh-CN" w:bidi="ar-SA"/>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kern w:val="2"/>
                <w:sz w:val="21"/>
                <w:szCs w:val="21"/>
                <w:highlight w:val="none"/>
                <w:lang w:val="de-DE" w:eastAsia="zh-CN" w:bidi="ar-SA"/>
              </w:rPr>
              <w:t>文件编制部门负责人审查作业文件所涉及内容，确保文件的适用性、充分性和可操作性。</w:t>
            </w:r>
          </w:p>
          <w:p w14:paraId="2C1B245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在文件所涉及内容的适用性、充分性和可操作性不能确定时，</w:t>
            </w:r>
            <w:r>
              <w:rPr>
                <w:rFonts w:hint="eastAsia" w:ascii="仿宋_GB2312" w:hAnsi="仿宋_GB2312" w:eastAsia="仿宋_GB2312" w:cs="仿宋_GB2312"/>
                <w:color w:val="auto"/>
                <w:highlight w:val="none"/>
              </w:rPr>
              <w:t>文件编制部门负责人</w:t>
            </w:r>
            <w:r>
              <w:rPr>
                <w:rFonts w:hint="eastAsia" w:ascii="仿宋_GB2312" w:hAnsi="仿宋_GB2312" w:eastAsia="仿宋_GB2312" w:cs="仿宋_GB2312"/>
                <w:color w:val="auto"/>
                <w:highlight w:val="none"/>
                <w:lang w:val="de-DE"/>
              </w:rPr>
              <w:t>应组织对文件进行评审，按照评审结论要求，对文件进行完善；必要时对文件内容和要求进行更新，并再次审查和批准。</w:t>
            </w:r>
          </w:p>
          <w:p w14:paraId="6A529E2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4.4.4.2.2 文件的发放和使用</w:t>
            </w:r>
          </w:p>
          <w:p w14:paraId="4595C12B">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归口部门按文件分类分级管理原则对文件进行发放和使用。</w:t>
            </w:r>
          </w:p>
          <w:p w14:paraId="64D4172A">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质量体系部负责质量体系文件的管理，</w:t>
            </w:r>
            <w:r>
              <w:rPr>
                <w:rFonts w:hint="eastAsia" w:ascii="仿宋_GB2312" w:hAnsi="仿宋_GB2312" w:eastAsia="仿宋_GB2312" w:cs="仿宋_GB2312"/>
                <w:color w:val="auto"/>
                <w:highlight w:val="none"/>
                <w:lang w:val="de-DE" w:eastAsia="zh-CN"/>
              </w:rPr>
              <w:t>防务装备事业部</w:t>
            </w:r>
            <w:r>
              <w:rPr>
                <w:rFonts w:hint="eastAsia" w:ascii="仿宋_GB2312" w:hAnsi="仿宋_GB2312" w:eastAsia="仿宋_GB2312" w:cs="仿宋_GB2312"/>
                <w:color w:val="auto"/>
                <w:highlight w:val="none"/>
                <w:lang w:val="de-DE"/>
              </w:rPr>
              <w:t>负责技术文件的管理，各职能部门负责本部门主管文件的管理。</w:t>
            </w:r>
          </w:p>
          <w:p w14:paraId="79D07D2A">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文件的发放由文件编写部门负责，确定发放对象及数量，填写文件发放、回收记录表，经授权人批准后发放至使用部门。</w:t>
            </w:r>
          </w:p>
          <w:p w14:paraId="742748D5">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文件使用部门应集中、分类、有序地存放文件，并标识清楚，保持文件的清晰，易于识别，方便使用和检索。文件破损影响使用时，使用部门可申请置换更新，由文件发放部门将破损文件收回销毁。</w:t>
            </w:r>
          </w:p>
          <w:p w14:paraId="7207C1D1">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4.4.4.2.3 文件的更改、作废、销毁与有效性控制</w:t>
            </w:r>
          </w:p>
          <w:p w14:paraId="4929223E">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文件更改业务管理部门按照《更改控制程序》实施文件更改，履行更改手续；</w:t>
            </w:r>
          </w:p>
          <w:p w14:paraId="3EC4741E">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更改的审批应与原文件一致，当原审批人不在职时，可由接替其工作的人员审批。</w:t>
            </w:r>
          </w:p>
          <w:p w14:paraId="7F8817ED">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文件经多次更改或经评审需大幅度修改时，可进行换版；</w:t>
            </w:r>
          </w:p>
          <w:p w14:paraId="306D143D">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更改或换版后，必须将更改内容或新版本文件按原发放范围和程序进行发放，收回原内容或原版本，予以作废并销毁。如确需保留原版本，由文件发放部门加盖“作废保留”印章留存，确保图纸、技术文件协调一致、现行有效；</w:t>
            </w:r>
          </w:p>
          <w:p w14:paraId="39465AB5">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⑤</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各部门编制《受控文件清单》并进行管理，定期发布，文件一旦换版或增减，应及时更新。</w:t>
            </w:r>
          </w:p>
          <w:p w14:paraId="391AF75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4.4.4.2.4 文件归档保存</w:t>
            </w:r>
          </w:p>
          <w:p w14:paraId="1975D2E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文件归口管理部门明确产品质量形成过程中需要保存的文件，并按《文件控制程序》进行文件的归档和保存。</w:t>
            </w:r>
          </w:p>
          <w:p w14:paraId="73AFE015">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宋体" w:hAnsi="宋体" w:eastAsia="宋体" w:cs="宋体"/>
                <w:color w:val="auto"/>
                <w:kern w:val="2"/>
                <w:sz w:val="21"/>
                <w:szCs w:val="21"/>
                <w:highlight w:val="none"/>
                <w:lang w:val="de-DE" w:eastAsia="zh-CN" w:bidi="ar-SA"/>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lang w:val="de-DE"/>
              </w:rPr>
              <w:t>文件发布后，由文件编制部门将整套有效版本受控原件及时交文件归口部门归档保管；</w:t>
            </w:r>
          </w:p>
        </w:tc>
      </w:tr>
    </w:tbl>
    <w:p w14:paraId="12C7A686">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E7A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253B25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7A067A8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6517F0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8F89F7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63C7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62AA995">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96B3EC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569FF2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09B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B90ABBC">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67" w:name="_Toc29405"/>
            <w:bookmarkStart w:id="68" w:name="_Toc14102"/>
            <w:bookmarkStart w:id="69" w:name="_Toc14080"/>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67"/>
            <w:bookmarkEnd w:id="68"/>
            <w:bookmarkEnd w:id="69"/>
          </w:p>
        </w:tc>
        <w:tc>
          <w:tcPr>
            <w:tcW w:w="1587" w:type="dxa"/>
            <w:tcBorders>
              <w:top w:val="single" w:color="auto" w:sz="4" w:space="0"/>
              <w:left w:val="single" w:color="auto" w:sz="4" w:space="0"/>
              <w:bottom w:val="single" w:color="auto" w:sz="4" w:space="0"/>
              <w:right w:val="single" w:color="auto" w:sz="4" w:space="0"/>
            </w:tcBorders>
            <w:vAlign w:val="center"/>
          </w:tcPr>
          <w:p w14:paraId="776001C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40ED3E3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19</w:t>
            </w:r>
            <w:r>
              <w:rPr>
                <w:rFonts w:hint="eastAsia" w:ascii="宋体" w:hAnsi="宋体" w:eastAsia="宋体" w:cs="宋体"/>
                <w:color w:val="auto"/>
                <w:highlight w:val="none"/>
              </w:rPr>
              <w:t xml:space="preserve"> 页</w:t>
            </w:r>
          </w:p>
        </w:tc>
      </w:tr>
      <w:tr w14:paraId="1387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8F55595">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47BB20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1ABCD1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194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845F905">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文件归口管理部门对保管的文件分类、编目，作好标识，便于检索。</w:t>
            </w:r>
          </w:p>
          <w:p w14:paraId="44EA7BB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4.4.4.2.5 外来文件由对口接收部门负责对文件确认、签收、明确发放范围，并对外来文件进行登记、归档、控制分发，在容易与本公司文件相混时应以适当的方式予以识别。</w:t>
            </w:r>
          </w:p>
          <w:p w14:paraId="2DFC410D">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4.4.4.3 质量体系部编制质量记录控制程序，对记录文件的分类、标识、保管、保留、检索和处置作出规定,对记录这种特殊文件进行管理。相关部门对产品质量形成过程中的材料质量控制记录、生产过程控制记录、过程监测记录、质量检测记录等记录文件应采用不易模糊褪色的笔记录，保持清晰、可辨。</w:t>
            </w:r>
          </w:p>
          <w:p w14:paraId="3829FBA1">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1)</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需要控制的记录的范围：与认证产品质量活动有关的记录。</w:t>
            </w:r>
          </w:p>
          <w:p w14:paraId="28786217">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2)</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记录一般采用表格形式，按照《文件标准化编号规则》进行编号，依顺序编号的方式标识。</w:t>
            </w:r>
          </w:p>
          <w:p w14:paraId="0CA649F7">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3)</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质量体系部编制《质量记录一览表》并明确保存部门、期限。</w:t>
            </w:r>
          </w:p>
          <w:p w14:paraId="20A03E9D">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4)</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记录应能提供产品实现过程的完整质量证据，证明产品满足规定要求的程度。</w:t>
            </w:r>
          </w:p>
          <w:p w14:paraId="25853FA0">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5)</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的保存期限及过期处理：根据产品的寿命周期、顾客和法律法规的要求以及质量管理体系运行的需要，确定记录的保存期限，并记录于《质量记录一览表》中。记录的存档保存时间通常应与产品的寿命周期相一致。用户有明确要求时，应按用户要求确定记录的保存年限。</w:t>
            </w:r>
          </w:p>
          <w:p w14:paraId="160D0514">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eastAsia="zh-CN"/>
              </w:rPr>
              <w:t>一般情况下，贯标线产品的质量记录保存时间≧</w:t>
            </w:r>
            <w:r>
              <w:rPr>
                <w:rFonts w:hint="eastAsia" w:ascii="仿宋_GB2312" w:hAnsi="仿宋_GB2312" w:eastAsia="仿宋_GB2312" w:cs="仿宋_GB2312"/>
                <w:color w:val="auto"/>
                <w:highlight w:val="none"/>
                <w:lang w:val="en-US" w:eastAsia="zh-CN"/>
              </w:rPr>
              <w:t>10年</w:t>
            </w:r>
            <w:r>
              <w:rPr>
                <w:rFonts w:hint="eastAsia" w:ascii="仿宋_GB2312" w:hAnsi="仿宋_GB2312" w:cs="仿宋_GB2312"/>
                <w:color w:val="auto"/>
                <w:highlight w:val="none"/>
                <w:lang w:val="en-US" w:eastAsia="zh-CN"/>
              </w:rPr>
              <w:t>。</w:t>
            </w:r>
          </w:p>
          <w:p w14:paraId="1B6948E3">
            <w:pPr>
              <w:keepNext w:val="0"/>
              <w:keepLines w:val="0"/>
              <w:pageBreakBefore w:val="0"/>
              <w:numPr>
                <w:ilvl w:val="0"/>
                <w:numId w:val="0"/>
              </w:numPr>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4.4.5 直接关联的程序文件和作业文件</w:t>
            </w:r>
          </w:p>
          <w:p w14:paraId="3A333578">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《文件控制程序》</w:t>
            </w:r>
          </w:p>
          <w:p w14:paraId="6FA201A8">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《质量记录控制程序》</w:t>
            </w:r>
          </w:p>
          <w:p w14:paraId="700B742D">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《文件标准化编号规则》</w:t>
            </w:r>
          </w:p>
          <w:p w14:paraId="113050FE">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《文件状态标识规则》</w:t>
            </w:r>
          </w:p>
          <w:p w14:paraId="06C5D784">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《技术文件管理办法》</w:t>
            </w:r>
          </w:p>
          <w:p w14:paraId="23241E4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de-DE"/>
              </w:rPr>
              <w:t>《外来文件管理办法》</w:t>
            </w:r>
          </w:p>
          <w:p w14:paraId="273B3FAE">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5F88A4C2">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834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F3DF25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608027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15CAD3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CA5850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28D3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7D18E3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5E9024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20A7E1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178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4C38AAF">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70" w:name="_Toc7840"/>
            <w:bookmarkStart w:id="71" w:name="_Toc31634"/>
            <w:bookmarkStart w:id="72" w:name="_Toc19981"/>
            <w:r>
              <w:rPr>
                <w:rFonts w:hint="eastAsia" w:ascii="宋体" w:hAnsi="宋体" w:eastAsia="宋体" w:cs="宋体"/>
                <w:color w:val="auto"/>
                <w:highlight w:val="none"/>
              </w:rPr>
              <w:t>4.5 技术秘密</w:t>
            </w:r>
            <w:bookmarkEnd w:id="70"/>
            <w:bookmarkEnd w:id="71"/>
            <w:bookmarkEnd w:id="72"/>
          </w:p>
        </w:tc>
        <w:tc>
          <w:tcPr>
            <w:tcW w:w="1587" w:type="dxa"/>
            <w:tcBorders>
              <w:top w:val="single" w:color="auto" w:sz="4" w:space="0"/>
              <w:left w:val="single" w:color="auto" w:sz="4" w:space="0"/>
              <w:bottom w:val="single" w:color="auto" w:sz="4" w:space="0"/>
              <w:right w:val="single" w:color="auto" w:sz="4" w:space="0"/>
            </w:tcBorders>
            <w:vAlign w:val="center"/>
          </w:tcPr>
          <w:p w14:paraId="0AD5230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4AE2ED9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20</w:t>
            </w:r>
            <w:r>
              <w:rPr>
                <w:rFonts w:hint="eastAsia" w:ascii="宋体" w:hAnsi="宋体" w:eastAsia="宋体" w:cs="宋体"/>
                <w:color w:val="auto"/>
                <w:highlight w:val="none"/>
              </w:rPr>
              <w:t xml:space="preserve"> 页</w:t>
            </w:r>
          </w:p>
        </w:tc>
      </w:tr>
      <w:tr w14:paraId="03D5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A2D53F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F93286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B34683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E46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7675968">
            <w:pPr>
              <w:pStyle w:val="11"/>
              <w:keepNext w:val="0"/>
              <w:keepLines w:val="0"/>
              <w:pageBreakBefore w:val="0"/>
              <w:kinsoku/>
              <w:wordWrap/>
              <w:overflowPunct/>
              <w:topLinePunct w:val="0"/>
              <w:bidi w:val="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4.5 技术秘密控制要求</w:t>
            </w:r>
          </w:p>
          <w:p w14:paraId="5F0680CA">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本产品属于国内外成熟产品，产品技术属于同行共知的技术，该条款不适用。</w:t>
            </w:r>
          </w:p>
          <w:p w14:paraId="750D4C3E">
            <w:pPr>
              <w:pStyle w:val="11"/>
              <w:keepNext w:val="0"/>
              <w:keepLines w:val="0"/>
              <w:pageBreakBefore w:val="0"/>
              <w:kinsoku/>
              <w:wordWrap/>
              <w:overflowPunct/>
              <w:topLinePunct w:val="0"/>
              <w:bidi w:val="0"/>
              <w:spacing w:line="440" w:lineRule="exact"/>
              <w:ind w:left="0" w:leftChars="0" w:right="156" w:rightChars="0" w:firstLine="0" w:firstLineChars="0"/>
              <w:rPr>
                <w:rFonts w:ascii="宋体" w:hAnsi="宋体" w:eastAsia="宋体" w:cs="宋体"/>
                <w:color w:val="auto"/>
                <w:highlight w:val="none"/>
              </w:rPr>
            </w:pPr>
          </w:p>
        </w:tc>
      </w:tr>
    </w:tbl>
    <w:p w14:paraId="2AA1AC60">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3F9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28338E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DE5D5D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868E41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4B25EA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3167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F7F7261">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405C77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14476D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8BF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99" w:type="dxa"/>
            <w:vMerge w:val="restart"/>
            <w:tcBorders>
              <w:top w:val="single" w:color="auto" w:sz="4" w:space="0"/>
              <w:left w:val="single" w:color="auto" w:sz="4" w:space="0"/>
              <w:right w:val="single" w:color="auto" w:sz="4" w:space="0"/>
            </w:tcBorders>
            <w:vAlign w:val="center"/>
          </w:tcPr>
          <w:p w14:paraId="7F0D2510">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73" w:name="_Toc10762"/>
            <w:bookmarkStart w:id="74" w:name="_Toc15371"/>
            <w:bookmarkStart w:id="75" w:name="_Toc28995"/>
            <w:r>
              <w:rPr>
                <w:rFonts w:hint="eastAsia" w:ascii="宋体" w:hAnsi="宋体" w:eastAsia="宋体" w:cs="宋体"/>
                <w:color w:val="auto"/>
                <w:highlight w:val="none"/>
              </w:rPr>
              <w:t>4.6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生产流程图</w:t>
            </w:r>
            <w:bookmarkEnd w:id="73"/>
            <w:bookmarkEnd w:id="74"/>
            <w:bookmarkEnd w:id="75"/>
          </w:p>
        </w:tc>
        <w:tc>
          <w:tcPr>
            <w:tcW w:w="1587" w:type="dxa"/>
            <w:tcBorders>
              <w:top w:val="single" w:color="auto" w:sz="4" w:space="0"/>
              <w:left w:val="single" w:color="auto" w:sz="4" w:space="0"/>
              <w:bottom w:val="single" w:color="auto" w:sz="4" w:space="0"/>
              <w:right w:val="single" w:color="auto" w:sz="4" w:space="0"/>
            </w:tcBorders>
            <w:vAlign w:val="center"/>
          </w:tcPr>
          <w:p w14:paraId="50DF1B9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8D81AE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 xml:space="preserve"> 页</w:t>
            </w:r>
          </w:p>
        </w:tc>
      </w:tr>
      <w:tr w14:paraId="1554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B4D1B1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9461F2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CE0AEE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E39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FA7039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4.6.1 目的</w:t>
            </w:r>
          </w:p>
          <w:p w14:paraId="3A90FC31">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采用图表形式对超柔射频同轴电缆生产线的SFCF4-50-2.5型超柔射频同轴电缆的生产流程及质量控制作出规定。</w:t>
            </w:r>
          </w:p>
          <w:p w14:paraId="3123B18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4.6.2 适用范围</w:t>
            </w:r>
          </w:p>
          <w:p w14:paraId="2C7BDC8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本要素适用于超柔射频同轴电缆生产线生产线产品的生产流程。</w:t>
            </w:r>
          </w:p>
          <w:p w14:paraId="79B23AC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4.6.3 职责</w:t>
            </w:r>
          </w:p>
          <w:p w14:paraId="22F9C0F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是归口部门，负责生产流程图的绘制与管理</w:t>
            </w:r>
            <w:r>
              <w:rPr>
                <w:rFonts w:hint="eastAsia" w:ascii="仿宋_GB2312" w:hAnsi="仿宋_GB2312" w:cs="仿宋_GB2312"/>
                <w:color w:val="auto"/>
                <w:highlight w:val="none"/>
                <w:lang w:eastAsia="zh-CN"/>
              </w:rPr>
              <w:t>，并</w:t>
            </w:r>
            <w:r>
              <w:rPr>
                <w:rFonts w:hint="eastAsia" w:ascii="仿宋_GB2312" w:hAnsi="仿宋_GB2312" w:eastAsia="仿宋_GB2312" w:cs="仿宋_GB2312"/>
                <w:color w:val="auto"/>
                <w:highlight w:val="none"/>
              </w:rPr>
              <w:t>按生产流程图的要求对该生产线产品的生产</w:t>
            </w:r>
            <w:r>
              <w:rPr>
                <w:rFonts w:hint="eastAsia" w:ascii="仿宋_GB2312" w:hAnsi="仿宋_GB2312" w:cs="仿宋_GB2312"/>
                <w:color w:val="auto"/>
                <w:highlight w:val="none"/>
                <w:lang w:eastAsia="zh-CN"/>
              </w:rPr>
              <w:t>、过程检验</w:t>
            </w:r>
            <w:r>
              <w:rPr>
                <w:rFonts w:hint="eastAsia" w:ascii="仿宋_GB2312" w:hAnsi="仿宋_GB2312" w:eastAsia="仿宋_GB2312" w:cs="仿宋_GB2312"/>
                <w:color w:val="auto"/>
                <w:highlight w:val="none"/>
              </w:rPr>
              <w:t>实施控制。</w:t>
            </w:r>
          </w:p>
          <w:p w14:paraId="26E20CC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电力能源事业部</w:t>
            </w:r>
            <w:r>
              <w:rPr>
                <w:rFonts w:hint="eastAsia" w:ascii="仿宋_GB2312" w:hAnsi="仿宋_GB2312" w:eastAsia="仿宋_GB2312" w:cs="仿宋_GB2312"/>
                <w:color w:val="auto"/>
                <w:highlight w:val="none"/>
              </w:rPr>
              <w:t>是主要相关部门，负责按生产流程图的要求对</w:t>
            </w:r>
            <w:r>
              <w:rPr>
                <w:rFonts w:hint="eastAsia" w:ascii="仿宋_GB2312" w:hAnsi="仿宋_GB2312" w:cs="仿宋_GB2312"/>
                <w:color w:val="auto"/>
                <w:highlight w:val="none"/>
                <w:lang w:eastAsia="zh-CN"/>
              </w:rPr>
              <w:t>本事业部</w:t>
            </w:r>
            <w:r>
              <w:rPr>
                <w:rFonts w:hint="eastAsia" w:ascii="仿宋_GB2312" w:hAnsi="仿宋_GB2312" w:eastAsia="仿宋_GB2312" w:cs="仿宋_GB2312"/>
                <w:color w:val="auto"/>
                <w:highlight w:val="none"/>
              </w:rPr>
              <w:t>生产</w:t>
            </w:r>
            <w:r>
              <w:rPr>
                <w:rFonts w:hint="eastAsia" w:ascii="仿宋_GB2312" w:hAnsi="仿宋_GB2312" w:cs="仿宋_GB2312"/>
                <w:color w:val="auto"/>
                <w:highlight w:val="none"/>
                <w:lang w:eastAsia="zh-CN"/>
              </w:rPr>
              <w:t>、检验</w:t>
            </w:r>
            <w:r>
              <w:rPr>
                <w:rFonts w:hint="eastAsia" w:ascii="仿宋_GB2312" w:hAnsi="仿宋_GB2312" w:eastAsia="仿宋_GB2312" w:cs="仿宋_GB2312"/>
                <w:color w:val="auto"/>
                <w:highlight w:val="none"/>
              </w:rPr>
              <w:t>实施控制。</w:t>
            </w:r>
          </w:p>
          <w:p w14:paraId="6704AB3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质量体系部是主要相关部门，负责按生产流程图的要求对该生产线产品的</w:t>
            </w:r>
            <w:r>
              <w:rPr>
                <w:rFonts w:hint="eastAsia" w:ascii="仿宋_GB2312" w:hAnsi="仿宋_GB2312" w:cs="仿宋_GB2312"/>
                <w:color w:val="auto"/>
                <w:highlight w:val="none"/>
                <w:lang w:eastAsia="zh-CN"/>
              </w:rPr>
              <w:t>原材料和产成品</w:t>
            </w:r>
            <w:r>
              <w:rPr>
                <w:rFonts w:hint="eastAsia" w:ascii="仿宋_GB2312" w:hAnsi="仿宋_GB2312" w:eastAsia="仿宋_GB2312" w:cs="仿宋_GB2312"/>
                <w:color w:val="auto"/>
                <w:highlight w:val="none"/>
              </w:rPr>
              <w:t>检验实施控制。</w:t>
            </w:r>
          </w:p>
          <w:p w14:paraId="0A28C8F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4.6.4 控制要求</w:t>
            </w:r>
          </w:p>
          <w:p w14:paraId="5398BFB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4.6.4.1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按照GJB 546B的要求和工艺文件的规定进行工艺策划，编制产品的生产流程图，明确产品生产的步骤、工序流转的顺序，按行业规范规定各道工序名称，确保生产流程图能清晰/清楚地体现生产过程的各项活动，并辅之以相应的标识加以直观表述。</w:t>
            </w:r>
          </w:p>
          <w:p w14:paraId="3F92541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4.6.4.2 生产流程图应反映全部生产过程，并注明产品型号，具体标识要求如下：</w:t>
            </w:r>
          </w:p>
          <w:p w14:paraId="595EFD60">
            <w:pPr>
              <w:keepNext w:val="0"/>
              <w:keepLines w:val="0"/>
              <w:pageBreakBefore w:val="0"/>
              <w:numPr>
                <w:ilvl w:val="0"/>
                <w:numId w:val="7"/>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反映产品制造的所有工序名称（注明首道工序和末道工序）以及测量和检验点，这些工序和测量点应标出简要的名称、文件号、修订版本字母和修订日期。</w:t>
            </w:r>
          </w:p>
          <w:p w14:paraId="55A251E2">
            <w:pPr>
              <w:keepNext w:val="0"/>
              <w:keepLines w:val="0"/>
              <w:pageBreakBefore w:val="0"/>
              <w:numPr>
                <w:ilvl w:val="0"/>
                <w:numId w:val="7"/>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标明所有原材料、零部件、在制品进入流程图的位置，注明原材料、零部件、在制品的名称，标出对应的检验文件编号；</w:t>
            </w:r>
          </w:p>
          <w:p w14:paraId="607A026B">
            <w:pPr>
              <w:keepNext w:val="0"/>
              <w:keepLines w:val="0"/>
              <w:pageBreakBefore w:val="0"/>
              <w:numPr>
                <w:ilvl w:val="0"/>
                <w:numId w:val="7"/>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标识关键工序及相应的质量控制点；</w:t>
            </w:r>
          </w:p>
          <w:p w14:paraId="340C9D6B">
            <w:pPr>
              <w:keepNext w:val="0"/>
              <w:keepLines w:val="0"/>
              <w:pageBreakBefore w:val="0"/>
              <w:numPr>
                <w:ilvl w:val="0"/>
                <w:numId w:val="7"/>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标识特殊工序；</w:t>
            </w:r>
          </w:p>
          <w:p w14:paraId="7E50E9D7">
            <w:pPr>
              <w:keepNext w:val="0"/>
              <w:keepLines w:val="0"/>
              <w:pageBreakBefore w:val="0"/>
              <w:numPr>
                <w:ilvl w:val="0"/>
                <w:numId w:val="7"/>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标识外包、外协过程及外协控制文件编号；</w:t>
            </w:r>
          </w:p>
          <w:p w14:paraId="12B22C8C">
            <w:pPr>
              <w:keepNext w:val="0"/>
              <w:keepLines w:val="0"/>
              <w:pageBreakBefore w:val="0"/>
              <w:numPr>
                <w:ilvl w:val="0"/>
                <w:numId w:val="7"/>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标注每个过程工序需要控制的最主要的物理特性（气压、温度、湿度等）、保持过程控制所需的控制容差以及其他形式的控制图。</w:t>
            </w:r>
          </w:p>
          <w:p w14:paraId="0A40A5ED">
            <w:pPr>
              <w:keepNext w:val="0"/>
              <w:keepLines w:val="0"/>
              <w:pageBreakBefore w:val="0"/>
              <w:kinsoku/>
              <w:wordWrap/>
              <w:overflowPunct/>
              <w:topLinePunct w:val="0"/>
              <w:bidi w:val="0"/>
              <w:spacing w:line="440" w:lineRule="exact"/>
              <w:rPr>
                <w:rFonts w:ascii="宋体" w:hAnsi="宋体" w:eastAsia="宋体" w:cs="宋体"/>
                <w:color w:val="auto"/>
                <w:highlight w:val="none"/>
              </w:rPr>
            </w:pPr>
            <w:r>
              <w:rPr>
                <w:rFonts w:hint="eastAsia" w:ascii="仿宋_GB2312" w:hAnsi="仿宋_GB2312" w:eastAsia="仿宋_GB2312" w:cs="仿宋_GB2312"/>
                <w:color w:val="auto"/>
                <w:highlight w:val="none"/>
              </w:rPr>
              <w:t>4.6.5直接关联的程序文件和作业文件</w:t>
            </w:r>
          </w:p>
        </w:tc>
      </w:tr>
      <w:tr w14:paraId="0DB4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EEA845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651C7D7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91685D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C87CFF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513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E96253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5686BE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D994FD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3DA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D98C38F">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76" w:name="_Toc13444"/>
            <w:bookmarkStart w:id="77" w:name="_Toc8537"/>
            <w:bookmarkStart w:id="78" w:name="_Toc4805"/>
            <w:r>
              <w:rPr>
                <w:rFonts w:hint="eastAsia" w:ascii="宋体" w:hAnsi="宋体" w:eastAsia="宋体" w:cs="宋体"/>
                <w:color w:val="auto"/>
                <w:highlight w:val="none"/>
              </w:rPr>
              <w:t>4.6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生产流程图</w:t>
            </w:r>
            <w:bookmarkEnd w:id="76"/>
            <w:bookmarkEnd w:id="77"/>
            <w:bookmarkEnd w:id="78"/>
          </w:p>
        </w:tc>
        <w:tc>
          <w:tcPr>
            <w:tcW w:w="1587" w:type="dxa"/>
            <w:tcBorders>
              <w:top w:val="single" w:color="auto" w:sz="4" w:space="0"/>
              <w:left w:val="single" w:color="auto" w:sz="4" w:space="0"/>
              <w:bottom w:val="single" w:color="auto" w:sz="4" w:space="0"/>
              <w:right w:val="single" w:color="auto" w:sz="4" w:space="0"/>
            </w:tcBorders>
            <w:vAlign w:val="center"/>
          </w:tcPr>
          <w:p w14:paraId="0540913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6457225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 xml:space="preserve"> 页</w:t>
            </w:r>
          </w:p>
        </w:tc>
      </w:tr>
      <w:tr w14:paraId="6B0C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11275FB">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8D94B4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A7BE19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0CE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45B665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《文件控制程序》</w:t>
            </w:r>
          </w:p>
          <w:p w14:paraId="1A7D96DC">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《生产流程图编制细则》</w:t>
            </w:r>
          </w:p>
          <w:p w14:paraId="34003585">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《关键工序确认规定》</w:t>
            </w:r>
          </w:p>
          <w:p w14:paraId="4C560381">
            <w:pPr>
              <w:keepNext w:val="0"/>
              <w:keepLines w:val="0"/>
              <w:pageBreakBefore w:val="0"/>
              <w:kinsoku/>
              <w:wordWrap/>
              <w:overflowPunct/>
              <w:topLinePunct w:val="0"/>
              <w:bidi w:val="0"/>
              <w:spacing w:line="440" w:lineRule="exact"/>
              <w:ind w:firstLine="420" w:firstLineChars="200"/>
              <w:rPr>
                <w:rFonts w:hint="eastAsia" w:ascii="宋体" w:hAnsi="宋体" w:eastAsia="宋体" w:cs="宋体"/>
                <w:color w:val="auto"/>
                <w:highlight w:val="none"/>
                <w:lang w:eastAsia="zh-CN"/>
              </w:rPr>
            </w:pPr>
            <w:r>
              <w:rPr>
                <w:rFonts w:hint="eastAsia" w:ascii="仿宋_GB2312" w:hAnsi="仿宋_GB2312" w:eastAsia="仿宋_GB2312" w:cs="仿宋_GB2312"/>
                <w:color w:val="auto"/>
                <w:highlight w:val="none"/>
                <w:lang w:eastAsia="zh-CN"/>
              </w:rPr>
              <w:t>《特殊工序确认规定》</w:t>
            </w:r>
          </w:p>
        </w:tc>
      </w:tr>
    </w:tbl>
    <w:p w14:paraId="457F7C14">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015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224763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388F9F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6A1DD5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08B088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30B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2B672C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5901E9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CBC6BE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843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C262749">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79" w:name="_Toc12316"/>
            <w:bookmarkStart w:id="80" w:name="_Toc4038"/>
            <w:bookmarkStart w:id="81" w:name="_Toc20595"/>
            <w:r>
              <w:rPr>
                <w:rFonts w:hint="eastAsia" w:ascii="宋体" w:hAnsi="宋体" w:eastAsia="宋体" w:cs="宋体"/>
                <w:color w:val="auto"/>
                <w:highlight w:val="none"/>
              </w:rPr>
              <w:t>4.7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工作环境</w:t>
            </w:r>
            <w:bookmarkEnd w:id="79"/>
            <w:bookmarkEnd w:id="80"/>
            <w:bookmarkEnd w:id="81"/>
          </w:p>
        </w:tc>
        <w:tc>
          <w:tcPr>
            <w:tcW w:w="1587" w:type="dxa"/>
            <w:tcBorders>
              <w:top w:val="single" w:color="auto" w:sz="4" w:space="0"/>
              <w:left w:val="single" w:color="auto" w:sz="4" w:space="0"/>
              <w:bottom w:val="single" w:color="auto" w:sz="4" w:space="0"/>
              <w:right w:val="single" w:color="auto" w:sz="4" w:space="0"/>
            </w:tcBorders>
            <w:vAlign w:val="center"/>
          </w:tcPr>
          <w:p w14:paraId="0B9975C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610204B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rPr>
              <w:t xml:space="preserve"> 页</w:t>
            </w:r>
          </w:p>
        </w:tc>
      </w:tr>
      <w:tr w14:paraId="06B4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7BBACB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CCB76A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EC30B8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F06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2" w:hRule="atLeast"/>
          <w:jc w:val="center"/>
        </w:trPr>
        <w:tc>
          <w:tcPr>
            <w:tcW w:w="9077" w:type="dxa"/>
            <w:gridSpan w:val="3"/>
            <w:tcBorders>
              <w:left w:val="single" w:color="auto" w:sz="4" w:space="0"/>
              <w:bottom w:val="single" w:color="auto" w:sz="4" w:space="0"/>
              <w:right w:val="single" w:color="auto" w:sz="4" w:space="0"/>
            </w:tcBorders>
          </w:tcPr>
          <w:p w14:paraId="05B04BF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4.7.1目的</w:t>
            </w:r>
          </w:p>
          <w:p w14:paraId="3984D5C4">
            <w:pPr>
              <w:keepNext w:val="0"/>
              <w:keepLines w:val="0"/>
              <w:pageBreakBefore w:val="0"/>
              <w:kinsoku/>
              <w:wordWrap/>
              <w:overflowPunct/>
              <w:topLinePunct w:val="0"/>
              <w:bidi w:val="0"/>
              <w:spacing w:line="440" w:lineRule="exact"/>
              <w:ind w:firstLine="42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对生产线上所有产品的生产、检验、试验和贮存场所的工作环境进行控制管理，以满足产品对工作环境的要求。</w:t>
            </w:r>
          </w:p>
          <w:p w14:paraId="4078CB8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4.7.2 适用范围</w:t>
            </w:r>
          </w:p>
          <w:p w14:paraId="3311C750">
            <w:pPr>
              <w:keepNext w:val="0"/>
              <w:keepLines w:val="0"/>
              <w:pageBreakBefore w:val="0"/>
              <w:kinsoku/>
              <w:wordWrap/>
              <w:overflowPunct/>
              <w:topLinePunct w:val="0"/>
              <w:bidi w:val="0"/>
              <w:spacing w:line="440" w:lineRule="exact"/>
              <w:ind w:firstLine="42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本要求适用于超柔射频同轴电缆生产线产品的生产、检验、试验和贮存场所。</w:t>
            </w:r>
          </w:p>
          <w:p w14:paraId="3CEB000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4.7.3 职责</w:t>
            </w:r>
          </w:p>
          <w:p w14:paraId="5C5DBD19">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是归口部门，负责提出工作环境控制要求，并对其进行监控、记录，以及工作环境超出规定时的处置工作。</w:t>
            </w:r>
          </w:p>
          <w:p w14:paraId="62EBF05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、质量体系部、</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highlight w:val="none"/>
              </w:rPr>
              <w:t>是主要相关部门，负责在规定的工作环境条件下进行工作，并对工作环境参数进行监控并记录，以及工作环境超出规定时的处置工作。</w:t>
            </w:r>
            <w:r>
              <w:rPr>
                <w:rFonts w:hint="eastAsia" w:ascii="仿宋_GB2312" w:hAnsi="仿宋_GB2312" w:eastAsia="仿宋_GB2312" w:cs="仿宋_GB2312"/>
                <w:color w:val="auto"/>
                <w:highlight w:val="none"/>
                <w:lang w:eastAsia="zh-CN"/>
              </w:rPr>
              <w:t>质量提体系部还</w:t>
            </w:r>
            <w:r>
              <w:rPr>
                <w:rFonts w:hint="eastAsia" w:ascii="仿宋_GB2312" w:hAnsi="仿宋_GB2312" w:eastAsia="仿宋_GB2312" w:cs="仿宋_GB2312"/>
                <w:color w:val="auto"/>
                <w:highlight w:val="none"/>
              </w:rPr>
              <w:t>负责相关设施的配备及检测。</w:t>
            </w:r>
          </w:p>
          <w:p w14:paraId="441F47B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4.7.4 控制要求</w:t>
            </w:r>
          </w:p>
          <w:p w14:paraId="21775242">
            <w:pPr>
              <w:keepNext w:val="0"/>
              <w:keepLines w:val="0"/>
              <w:pageBreakBefore w:val="0"/>
              <w:numPr>
                <w:ilvl w:val="0"/>
                <w:numId w:val="8"/>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识别、确定为确保产品符合有关生产、检验和试验以及贮存要求所需的工作场所。根据产品特性要求和生产过程的特点，对产品生产、检验、试验和贮存场所工作环境（温度、湿度、洁净度、防静电等）控制要求的维护、保持，编制程序文件或其他文件中做出规定，并在工艺文件中体现出相应的环境条件要求。</w:t>
            </w:r>
          </w:p>
          <w:p w14:paraId="3A794842">
            <w:pPr>
              <w:keepNext w:val="0"/>
              <w:keepLines w:val="0"/>
              <w:pageBreakBefore w:val="0"/>
              <w:numPr>
                <w:ilvl w:val="0"/>
                <w:numId w:val="8"/>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部配备并规定用于工作环境监测与控制的手段/装置和方法。提出工作环境参数实施适时监控的频次和要求，对建立并保存的监控记录做出规定。制定环境监测和控制装置进行定期检定的要求。</w:t>
            </w:r>
          </w:p>
          <w:p w14:paraId="0D77F222">
            <w:pPr>
              <w:keepNext w:val="0"/>
              <w:keepLines w:val="0"/>
              <w:pageBreakBefore w:val="0"/>
              <w:numPr>
                <w:ilvl w:val="0"/>
                <w:numId w:val="8"/>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当工作环境监控参数超过规定极限时，应停止生产加工、检验和试验，直至采取纠正措施使其恢复到允许的控制范围。同时，对在超过极限规定工作环境中所生产、检验的过程产品应进行质量评估，并做出必要的处置。</w:t>
            </w:r>
          </w:p>
          <w:p w14:paraId="094FE55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4.7.5直接关联的程序文件和作业文件</w:t>
            </w:r>
          </w:p>
          <w:p w14:paraId="33DA4E8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《工作环境控制程序》</w:t>
            </w:r>
          </w:p>
          <w:p w14:paraId="1184744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《质量记录控制程序》</w:t>
            </w:r>
          </w:p>
          <w:p w14:paraId="145022E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《生产现场6S管理办法》</w:t>
            </w:r>
          </w:p>
          <w:p w14:paraId="7AF62C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《生产现场定置管理制度》</w:t>
            </w:r>
          </w:p>
        </w:tc>
      </w:tr>
    </w:tbl>
    <w:p w14:paraId="48AF028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B87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0354AE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7A749A1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CBCC68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7A7EDC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798B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4A5CD6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EE5FB4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110C59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EC4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EEDAE97">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82" w:name="_Toc24107"/>
            <w:bookmarkStart w:id="83" w:name="_Toc317"/>
            <w:bookmarkStart w:id="84" w:name="_Toc2765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2"/>
            <w:bookmarkEnd w:id="83"/>
            <w:bookmarkEnd w:id="84"/>
          </w:p>
        </w:tc>
        <w:tc>
          <w:tcPr>
            <w:tcW w:w="1587" w:type="dxa"/>
            <w:tcBorders>
              <w:top w:val="single" w:color="auto" w:sz="4" w:space="0"/>
              <w:left w:val="single" w:color="auto" w:sz="4" w:space="0"/>
              <w:bottom w:val="single" w:color="auto" w:sz="4" w:space="0"/>
              <w:right w:val="single" w:color="auto" w:sz="4" w:space="0"/>
            </w:tcBorders>
            <w:vAlign w:val="center"/>
          </w:tcPr>
          <w:p w14:paraId="7CDE64D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25F6BD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 xml:space="preserve"> 页</w:t>
            </w:r>
          </w:p>
        </w:tc>
      </w:tr>
      <w:tr w14:paraId="731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D63A78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F2FA07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3876D6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AF1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7" w:hRule="atLeast"/>
          <w:jc w:val="center"/>
        </w:trPr>
        <w:tc>
          <w:tcPr>
            <w:tcW w:w="9077" w:type="dxa"/>
            <w:gridSpan w:val="3"/>
            <w:tcBorders>
              <w:left w:val="single" w:color="auto" w:sz="4" w:space="0"/>
              <w:bottom w:val="single" w:color="auto" w:sz="4" w:space="0"/>
              <w:right w:val="single" w:color="auto" w:sz="4" w:space="0"/>
            </w:tcBorders>
            <w:vAlign w:val="top"/>
          </w:tcPr>
          <w:p w14:paraId="154B090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4.8.1 目的</w:t>
            </w:r>
          </w:p>
          <w:p w14:paraId="196A46EC">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制定并执行超柔射频同轴电缆生产线产品生产过程质量控制所需文件，确保生产过程受控，预防不合格的发生，满足产品质量一致性要求。</w:t>
            </w:r>
          </w:p>
          <w:p w14:paraId="5BF0701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4.8.2 适用范围</w:t>
            </w:r>
          </w:p>
          <w:p w14:paraId="64D83CBC">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本条款适用于超柔射频同轴电缆生产线产品加工全过程的质量控制。</w:t>
            </w:r>
          </w:p>
          <w:p w14:paraId="6F586E4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4.8.3 职责</w:t>
            </w:r>
          </w:p>
          <w:p w14:paraId="1956762A">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是归口部门，负责生产过程控制技术文件的编制，并按其文件实施生产过程控制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负责</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生产过程检验文件的编制以及检验工作的实施。</w:t>
            </w:r>
          </w:p>
          <w:p w14:paraId="0FA6463D">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是主要相关部门，负责按照生产过程控制文件规定实施生产过程控制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负责</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生产过程检验文件的编制以及检验工作的实施。</w:t>
            </w:r>
          </w:p>
          <w:p w14:paraId="34928A5A">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质量体系部是主要相关部门</w:t>
            </w:r>
            <w:r>
              <w:rPr>
                <w:rFonts w:hint="eastAsia" w:ascii="仿宋_GB2312" w:hAnsi="仿宋_GB2312" w:eastAsia="仿宋_GB2312" w:cs="仿宋_GB2312"/>
                <w:color w:val="auto"/>
                <w:highlight w:val="none"/>
                <w:lang w:eastAsia="zh-CN"/>
              </w:rPr>
              <w:t>，负责生产线</w:t>
            </w:r>
            <w:r>
              <w:rPr>
                <w:rFonts w:hint="eastAsia" w:ascii="仿宋_GB2312" w:hAnsi="仿宋_GB2312" w:cs="仿宋_GB2312"/>
                <w:color w:val="auto"/>
                <w:highlight w:val="none"/>
                <w:lang w:eastAsia="zh-CN"/>
              </w:rPr>
              <w:t>原材料检验、产成品检验、</w:t>
            </w:r>
            <w:r>
              <w:rPr>
                <w:rFonts w:hint="eastAsia" w:ascii="仿宋_GB2312" w:hAnsi="仿宋_GB2312" w:eastAsia="仿宋_GB2312" w:cs="仿宋_GB2312"/>
                <w:color w:val="auto"/>
                <w:highlight w:val="none"/>
                <w:lang w:eastAsia="zh-CN"/>
              </w:rPr>
              <w:t>检验技术人员能力培训。</w:t>
            </w:r>
          </w:p>
          <w:p w14:paraId="0345B6DC">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rPr>
              <w:t>是主要相关部门，负责生产设备控制文件的编制以及设备的购置和管理。</w:t>
            </w:r>
          </w:p>
          <w:p w14:paraId="4C307E4D">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 控制要求</w:t>
            </w:r>
          </w:p>
          <w:p w14:paraId="04A6A295">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编制并执行生产过程控制程序，从人员控制、设备管理、材料控制、工艺方法控制、环境控制、测量控制等方面，对生产线实施控制。</w:t>
            </w:r>
          </w:p>
          <w:p w14:paraId="311BE5F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4.8.4.1 人员控制要求</w:t>
            </w:r>
          </w:p>
          <w:p w14:paraId="56668D7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1）人员的控制执行培训控制程序，生产线各类人员应熟悉相应的生产线控制要求，对生产线的文件、设备、原材料、生产操作、过程检验、生产环境进行有效控制。</w:t>
            </w:r>
          </w:p>
          <w:p w14:paraId="708C82A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产品工艺、生产、检验、库房、搬运和试验人员，应经培训，考核合格后上岗，关键和特殊岗位（含关键/特殊工序、检验等）人员须经培训、考核，合格后持证上岗。关键、特殊工序人员发生变化时应重新进行确认。</w:t>
            </w:r>
          </w:p>
          <w:p w14:paraId="5A81A36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4.8.4.2 设备控制要求</w:t>
            </w:r>
          </w:p>
          <w:p w14:paraId="04066E9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1）设备的控制执行生产设备控制程序，</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lang w:eastAsia="zh-CN"/>
              </w:rPr>
              <w:t>根据防务装备事业部提供的工艺要求，</w:t>
            </w:r>
            <w:r>
              <w:rPr>
                <w:rFonts w:hint="eastAsia" w:ascii="仿宋_GB2312" w:hAnsi="仿宋_GB2312" w:eastAsia="仿宋_GB2312" w:cs="仿宋_GB2312"/>
                <w:color w:val="auto"/>
                <w:highlight w:val="none"/>
              </w:rPr>
              <w:t>编制生产线所有生产设备（工装夹具）及软件清单，标明并核实设备具备满足工艺规定要求的能力，证实配置的生产设备是适宜的且其生产能力满足稳定批生产的条件，对设备实施动态管理。对生产设备进行标识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完好标识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关键或特殊工序标识等，认证合格后还应张贴贯标标识）。</w:t>
            </w:r>
          </w:p>
        </w:tc>
      </w:tr>
    </w:tbl>
    <w:p w14:paraId="2EAC2B6E">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53B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8C1BE8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6BF34EB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D58189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D0D248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4EBC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1ADB2D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2B3713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00BC15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479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785B476">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85" w:name="_Toc12149"/>
            <w:bookmarkStart w:id="86" w:name="_Toc9983"/>
            <w:bookmarkStart w:id="87" w:name="_Toc1949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5"/>
            <w:bookmarkEnd w:id="86"/>
            <w:bookmarkEnd w:id="87"/>
          </w:p>
        </w:tc>
        <w:tc>
          <w:tcPr>
            <w:tcW w:w="1587" w:type="dxa"/>
            <w:tcBorders>
              <w:top w:val="single" w:color="auto" w:sz="4" w:space="0"/>
              <w:left w:val="single" w:color="auto" w:sz="4" w:space="0"/>
              <w:bottom w:val="single" w:color="auto" w:sz="4" w:space="0"/>
              <w:right w:val="single" w:color="auto" w:sz="4" w:space="0"/>
            </w:tcBorders>
            <w:vAlign w:val="center"/>
          </w:tcPr>
          <w:p w14:paraId="35CCDF0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B54421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25</w:t>
            </w:r>
            <w:r>
              <w:rPr>
                <w:rFonts w:hint="eastAsia" w:ascii="宋体" w:hAnsi="宋体" w:eastAsia="宋体" w:cs="宋体"/>
                <w:color w:val="auto"/>
                <w:highlight w:val="none"/>
              </w:rPr>
              <w:t xml:space="preserve"> 页</w:t>
            </w:r>
          </w:p>
        </w:tc>
      </w:tr>
      <w:tr w14:paraId="6496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2A199B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58D096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9E6B22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324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2C6A63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对生产和服务使用的计算机软件，应经确认和审批，工装夹具应有必要的标识予以区分，使用前应进行符合性确认</w:t>
            </w:r>
            <w:r>
              <w:rPr>
                <w:rFonts w:hint="eastAsia" w:ascii="仿宋_GB2312" w:hAnsi="仿宋_GB2312" w:cs="仿宋_GB2312"/>
                <w:color w:val="auto"/>
                <w:highlight w:val="none"/>
                <w:lang w:eastAsia="zh-CN"/>
              </w:rPr>
              <w:t>。</w:t>
            </w:r>
          </w:p>
          <w:p w14:paraId="37E53E2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color w:val="auto"/>
                <w:kern w:val="2"/>
                <w:sz w:val="21"/>
                <w:szCs w:val="21"/>
                <w:highlight w:val="none"/>
                <w:lang w:val="en-US" w:eastAsia="zh-CN" w:bidi="ar-SA"/>
              </w:rPr>
              <w:t>2）</w:t>
            </w: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w:t>
            </w:r>
            <w:r>
              <w:rPr>
                <w:rFonts w:hint="eastAsia" w:ascii="仿宋_GB2312" w:hAnsi="仿宋_GB2312" w:eastAsia="仿宋_GB2312" w:cs="仿宋_GB2312"/>
                <w:color w:val="auto"/>
                <w:highlight w:val="none"/>
                <w:lang w:eastAsia="zh-CN"/>
              </w:rPr>
              <w:t>根据防务装备事业部提供的工艺要求，负责</w:t>
            </w:r>
            <w:r>
              <w:rPr>
                <w:rFonts w:hint="eastAsia" w:ascii="仿宋_GB2312" w:hAnsi="仿宋_GB2312" w:eastAsia="仿宋_GB2312" w:cs="仿宋_GB2312"/>
                <w:color w:val="auto"/>
                <w:highlight w:val="none"/>
              </w:rPr>
              <w:t>编制生产过程中使用的检测设备（工装夹具）清单，清单应包括设备的名称、型号、编号、用途、校准周期、工艺要求、精度等内容。</w:t>
            </w: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w:t>
            </w:r>
            <w:r>
              <w:rPr>
                <w:rFonts w:hint="eastAsia" w:ascii="仿宋_GB2312" w:hAnsi="仿宋_GB2312" w:eastAsia="仿宋_GB2312" w:cs="仿宋_GB2312"/>
                <w:color w:val="auto"/>
                <w:highlight w:val="none"/>
                <w:lang w:eastAsia="zh-CN"/>
              </w:rPr>
              <w:t>按规定的校准周期</w:t>
            </w:r>
            <w:r>
              <w:rPr>
                <w:rFonts w:hint="eastAsia" w:ascii="仿宋_GB2312" w:hAnsi="仿宋_GB2312" w:eastAsia="仿宋_GB2312" w:cs="仿宋_GB2312"/>
                <w:color w:val="auto"/>
                <w:highlight w:val="none"/>
              </w:rPr>
              <w:t>对</w:t>
            </w:r>
            <w:r>
              <w:rPr>
                <w:rFonts w:hint="eastAsia" w:ascii="仿宋_GB2312" w:hAnsi="仿宋_GB2312" w:eastAsia="仿宋_GB2312" w:cs="仿宋_GB2312"/>
                <w:color w:val="auto"/>
                <w:highlight w:val="none"/>
                <w:lang w:eastAsia="zh-CN"/>
              </w:rPr>
              <w:t>检测计量设备进行检定校准，使检测计量设备处于完好、有效授控状态，并负责对其进行标识（</w:t>
            </w:r>
            <w:r>
              <w:rPr>
                <w:rFonts w:hint="eastAsia" w:ascii="仿宋_GB2312" w:hAnsi="仿宋_GB2312" w:eastAsia="仿宋_GB2312" w:cs="仿宋_GB2312"/>
                <w:color w:val="auto"/>
                <w:highlight w:val="none"/>
              </w:rPr>
              <w:t>计量</w:t>
            </w:r>
            <w:r>
              <w:rPr>
                <w:rFonts w:hint="eastAsia" w:ascii="仿宋_GB2312" w:hAnsi="仿宋_GB2312" w:eastAsia="仿宋_GB2312" w:cs="仿宋_GB2312"/>
                <w:color w:val="auto"/>
                <w:highlight w:val="none"/>
                <w:lang w:eastAsia="zh-CN"/>
              </w:rPr>
              <w:t>合格</w:t>
            </w:r>
            <w:r>
              <w:rPr>
                <w:rFonts w:hint="eastAsia" w:ascii="仿宋_GB2312" w:hAnsi="仿宋_GB2312" w:eastAsia="仿宋_GB2312" w:cs="仿宋_GB2312"/>
                <w:color w:val="auto"/>
                <w:highlight w:val="none"/>
              </w:rPr>
              <w:t>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w:t>
            </w:r>
          </w:p>
          <w:p w14:paraId="0A750114">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3</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按规定的周期组织对生产设备进行检定及确认，定期对设备进行维护</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生产线设备应始终处于完好、有效受控状态。对于无法检定的专用设备，</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lang w:eastAsia="zh-CN"/>
              </w:rPr>
              <w:t>组织</w:t>
            </w:r>
            <w:r>
              <w:rPr>
                <w:rFonts w:hint="eastAsia" w:ascii="仿宋_GB2312" w:hAnsi="仿宋_GB2312" w:eastAsia="仿宋_GB2312" w:cs="仿宋_GB2312"/>
                <w:color w:val="auto"/>
                <w:highlight w:val="none"/>
              </w:rPr>
              <w:t>编制验证方法文件，通过工艺验证等方法确认其适宜性和符合性。</w:t>
            </w:r>
          </w:p>
          <w:p w14:paraId="658DBCAD">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4</w:t>
            </w:r>
            <w:r>
              <w:rPr>
                <w:rFonts w:hint="eastAsia" w:ascii="仿宋_GB2312" w:hAnsi="仿宋_GB2312" w:eastAsia="仿宋_GB2312" w:cs="仿宋_GB2312"/>
                <w:color w:val="auto"/>
                <w:highlight w:val="none"/>
              </w:rPr>
              <w:t>）设备操作规程齐备，作业现场应有现行有效的设备操作规程；明确安全注意事项、记录要求等。</w:t>
            </w:r>
          </w:p>
          <w:p w14:paraId="50B9D951">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5</w:t>
            </w:r>
            <w:r>
              <w:rPr>
                <w:rFonts w:hint="eastAsia" w:ascii="仿宋_GB2312" w:hAnsi="仿宋_GB2312" w:eastAsia="仿宋_GB2312" w:cs="仿宋_GB2312"/>
                <w:color w:val="auto"/>
                <w:highlight w:val="none"/>
              </w:rPr>
              <w:t>）按照GJB 3014建立SPC体系，</w:t>
            </w:r>
            <w:r>
              <w:rPr>
                <w:rFonts w:hint="eastAsia" w:ascii="仿宋_GB2312" w:hAnsi="仿宋_GB2312" w:cs="仿宋_GB2312"/>
                <w:color w:val="auto"/>
                <w:highlight w:val="none"/>
                <w:lang w:eastAsia="zh-CN"/>
              </w:rPr>
              <w:t>应按规定对</w:t>
            </w:r>
            <w:r>
              <w:rPr>
                <w:rFonts w:hint="eastAsia" w:ascii="仿宋_GB2312" w:hAnsi="仿宋_GB2312" w:eastAsia="仿宋_GB2312" w:cs="仿宋_GB2312"/>
                <w:color w:val="auto"/>
                <w:highlight w:val="none"/>
              </w:rPr>
              <w:t>关键工序使用的测量系统</w:t>
            </w:r>
            <w:r>
              <w:rPr>
                <w:rFonts w:hint="eastAsia" w:ascii="仿宋_GB2312" w:hAnsi="仿宋_GB2312" w:cs="仿宋_GB2312"/>
                <w:color w:val="auto"/>
                <w:highlight w:val="none"/>
                <w:lang w:eastAsia="zh-CN"/>
              </w:rPr>
              <w:t>进</w:t>
            </w:r>
            <w:r>
              <w:rPr>
                <w:rFonts w:hint="eastAsia" w:ascii="仿宋_GB2312" w:hAnsi="仿宋_GB2312" w:eastAsia="仿宋_GB2312" w:cs="仿宋_GB2312"/>
                <w:color w:val="auto"/>
                <w:highlight w:val="none"/>
              </w:rPr>
              <w:t>测试</w:t>
            </w:r>
            <w:r>
              <w:rPr>
                <w:rFonts w:hint="eastAsia" w:ascii="仿宋_GB2312" w:hAnsi="仿宋_GB2312" w:cs="仿宋_GB2312"/>
                <w:color w:val="auto"/>
                <w:highlight w:val="none"/>
                <w:lang w:eastAsia="zh-CN"/>
              </w:rPr>
              <w:t>，对其测试</w:t>
            </w:r>
            <w:r>
              <w:rPr>
                <w:rFonts w:hint="eastAsia" w:ascii="仿宋_GB2312" w:hAnsi="仿宋_GB2312" w:eastAsia="仿宋_GB2312" w:cs="仿宋_GB2312"/>
                <w:color w:val="auto"/>
                <w:highlight w:val="none"/>
              </w:rPr>
              <w:t>的重复性和再现性等进行分析并形成文件，确保测试能力满足使用要求。</w:t>
            </w:r>
          </w:p>
          <w:p w14:paraId="42692D7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6</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生产</w:t>
            </w:r>
            <w:r>
              <w:rPr>
                <w:rFonts w:hint="eastAsia" w:ascii="仿宋_GB2312" w:hAnsi="仿宋_GB2312" w:eastAsia="仿宋_GB2312" w:cs="仿宋_GB2312"/>
                <w:color w:val="auto"/>
                <w:highlight w:val="none"/>
              </w:rPr>
              <w:t>设备更换应符合生产设备控制程序的规定要求。</w:t>
            </w:r>
          </w:p>
          <w:p w14:paraId="30EFA0A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4.8.4.3 材料控制要求</w:t>
            </w:r>
          </w:p>
          <w:p w14:paraId="1F79F74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1）生产所领用的材料应有合格标识、标识内容完整，且与该工序生产产品的要求相符。</w:t>
            </w:r>
          </w:p>
          <w:p w14:paraId="779E01D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根据产品特性要求和生产过程的特点，必要时应对水、电、气的控制要求和容差作出规定，明确制造过程和控制中使用的所有气体和化学原料成分及要求（适用时，包括杂质的比例和类型）。</w:t>
            </w:r>
          </w:p>
          <w:p w14:paraId="1346C76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highlight w:val="none"/>
              </w:rPr>
              <w:t>3）</w:t>
            </w:r>
            <w:r>
              <w:rPr>
                <w:rFonts w:hint="eastAsia" w:ascii="仿宋_GB2312" w:hAnsi="仿宋_GB2312" w:eastAsia="仿宋_GB2312" w:cs="仿宋_GB2312"/>
                <w:color w:val="auto"/>
                <w:spacing w:val="-6"/>
                <w:sz w:val="21"/>
                <w:highlight w:val="none"/>
                <w:lang w:eastAsia="zh-CN"/>
              </w:rPr>
              <w:t>防务装备事业部</w:t>
            </w:r>
            <w:r>
              <w:rPr>
                <w:rFonts w:hint="eastAsia" w:ascii="仿宋_GB2312" w:hAnsi="仿宋_GB2312" w:eastAsia="仿宋_GB2312" w:cs="仿宋_GB2312"/>
                <w:color w:val="auto"/>
                <w:spacing w:val="-6"/>
                <w:sz w:val="21"/>
                <w:highlight w:val="none"/>
              </w:rPr>
              <w:t>制定生产过程材料贮存控制办法，明确包括贮存条件、特殊材料（尤其是有限寿命材料）管理、发放控制、超期处置、不合格处理等要求，对生产现场的材料实施有效控制。</w:t>
            </w:r>
          </w:p>
          <w:p w14:paraId="78968A5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4.8.4.4 工艺控制要求 </w:t>
            </w:r>
          </w:p>
          <w:p w14:paraId="3964D6F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编制产品生产过程所必须的作业文件，如工艺文件、作业指导书等，满足产品规范规定的电性能和质量等级等要求。</w:t>
            </w:r>
          </w:p>
          <w:p w14:paraId="723B79BB">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spacing w:val="-6"/>
                <w:sz w:val="21"/>
                <w:highlight w:val="none"/>
              </w:rPr>
              <w:t>作业文件必须涵盖所有工序，完整齐套。作业文件对人员、工装、设备、操作方法、生产环境、过程参数、检验试验、生产环境等提出具体的技术要求。作业现场应有适用、有效的作业文件。</w:t>
            </w:r>
          </w:p>
        </w:tc>
      </w:tr>
    </w:tbl>
    <w:p w14:paraId="3253EB47">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794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82FD22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7D62A8C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4CF360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B96B36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43D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20F7EE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D852B0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C95191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49F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F97B5F2">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88" w:name="_Toc25899"/>
            <w:bookmarkStart w:id="89" w:name="_Toc28811"/>
            <w:bookmarkStart w:id="90" w:name="_Toc16624"/>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8"/>
            <w:bookmarkEnd w:id="89"/>
            <w:bookmarkEnd w:id="90"/>
          </w:p>
        </w:tc>
        <w:tc>
          <w:tcPr>
            <w:tcW w:w="1587" w:type="dxa"/>
            <w:tcBorders>
              <w:top w:val="single" w:color="auto" w:sz="4" w:space="0"/>
              <w:left w:val="single" w:color="auto" w:sz="4" w:space="0"/>
              <w:bottom w:val="single" w:color="auto" w:sz="4" w:space="0"/>
              <w:right w:val="single" w:color="auto" w:sz="4" w:space="0"/>
            </w:tcBorders>
            <w:vAlign w:val="center"/>
          </w:tcPr>
          <w:p w14:paraId="0B5C377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7DCB61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26</w:t>
            </w:r>
            <w:r>
              <w:rPr>
                <w:rFonts w:hint="eastAsia" w:ascii="宋体" w:hAnsi="宋体" w:eastAsia="宋体" w:cs="宋体"/>
                <w:color w:val="auto"/>
                <w:highlight w:val="none"/>
              </w:rPr>
              <w:t xml:space="preserve"> 页</w:t>
            </w:r>
          </w:p>
        </w:tc>
      </w:tr>
      <w:tr w14:paraId="6DF4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F2F1F8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7B06C1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BA6AE4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DE4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156C1C6">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制定特殊工序的作业文件，明确生产设备、加工对象、工艺参数，工艺参数的控制方法、环境条件、必要时试样的制取等要求。 对于关键、特殊工序，还应编制工艺质量控制规范，内容包括监测项目、项目指标、方法、频次、仪器等要求。确定关键工序、特殊工序和工序质量控制点，制定对每个质量控制点的检查要点、检查方法和接收准则，按规定明确关键工序能力指数并规定相关处理办法。</w:t>
            </w:r>
          </w:p>
          <w:p w14:paraId="6FC83DF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关键、特殊工序工艺参数的确定和变更必须经过评审和必要的验证。</w:t>
            </w:r>
          </w:p>
          <w:p w14:paraId="25BB7EC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应保证生产线工艺流程科学合理，能有效保证产品质量。在生产流程图中标明首道工序、末道工序、关键工序、特殊工序、外包工序、材料进入点、检验控制点及相应的作业文件编号等。在作业文件中规定禁、限用工艺，并制定控制办法。</w:t>
            </w:r>
          </w:p>
          <w:p w14:paraId="713EC50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3）</w:t>
            </w:r>
            <w:r>
              <w:rPr>
                <w:rFonts w:hint="eastAsia" w:ascii="仿宋_GB2312" w:hAnsi="仿宋_GB2312" w:eastAsia="仿宋_GB2312" w:cs="仿宋_GB2312"/>
                <w:color w:val="auto"/>
                <w:highlight w:val="none"/>
              </w:rPr>
              <w:t>事业部在进行生产过程关键工序监测时，需对产品进行首检和过程检验、自检和专检、首件检验，并记录。</w:t>
            </w:r>
          </w:p>
          <w:p w14:paraId="3404A64C">
            <w:pPr>
              <w:pStyle w:val="11"/>
              <w:keepNext w:val="0"/>
              <w:keepLines w:val="0"/>
              <w:pageBreakBefore w:val="0"/>
              <w:widowControl w:val="0"/>
              <w:kinsoku/>
              <w:wordWrap/>
              <w:overflowPunct/>
              <w:topLinePunct w:val="0"/>
              <w:bidi w:val="0"/>
              <w:adjustRightInd w:val="0"/>
              <w:spacing w:line="440" w:lineRule="exact"/>
              <w:ind w:left="0" w:leftChars="0" w:right="0" w:rightChars="0" w:firstLine="420" w:firstLineChars="200"/>
              <w:rPr>
                <w:rFonts w:hint="eastAsia" w:ascii="仿宋_GB2312" w:hAnsi="仿宋_GB2312" w:eastAsia="仿宋_GB2312" w:cs="仿宋_GB2312"/>
                <w:color w:val="auto"/>
                <w:highlight w:val="none"/>
              </w:rPr>
            </w:pPr>
            <w:r>
              <w:rPr>
                <w:rFonts w:hint="eastAsia" w:ascii="仿宋_GB2312" w:eastAsia="仿宋_GB2312"/>
                <w:color w:val="auto"/>
                <w:sz w:val="21"/>
                <w:szCs w:val="21"/>
                <w:highlight w:val="none"/>
              </w:rPr>
              <w:t>进行生产过程关键工序监测时，可采用控制图或其他适用统计图表的形式作为控制记录，表征控制参数的波动情况。</w:t>
            </w:r>
            <w:r>
              <w:rPr>
                <w:rFonts w:hint="eastAsia" w:ascii="仿宋_GB2312" w:hAnsi="仿宋_GB2312" w:eastAsia="仿宋_GB2312" w:cs="仿宋_GB2312"/>
                <w:color w:val="auto"/>
                <w:highlight w:val="none"/>
              </w:rPr>
              <w:t>当控制记录表明关键工序的工艺过程参数超出规定的控制界限或出现异常时，需进行质量分析和评价，确定应采取的改进措施。</w:t>
            </w:r>
            <w:r>
              <w:rPr>
                <w:rFonts w:hint="eastAsia" w:ascii="仿宋_GB2312" w:eastAsia="仿宋_GB2312"/>
                <w:color w:val="auto"/>
                <w:kern w:val="2"/>
                <w:sz w:val="21"/>
                <w:szCs w:val="21"/>
                <w:highlight w:val="none"/>
              </w:rPr>
              <w:t>当产品规范规定时，应根据相关规范及GJB3014规定编制并执行统计过程控制(SPC)体系文件。</w:t>
            </w:r>
          </w:p>
          <w:p w14:paraId="76FB9187">
            <w:pPr>
              <w:keepNext w:val="0"/>
              <w:keepLines w:val="0"/>
              <w:pageBreakBefore w:val="0"/>
              <w:numPr>
                <w:ilvl w:val="0"/>
                <w:numId w:val="9"/>
              </w:numPr>
              <w:kinsoku/>
              <w:wordWrap/>
              <w:overflowPunct/>
              <w:topLinePunct w:val="0"/>
              <w:bidi w:val="0"/>
              <w:spacing w:line="440" w:lineRule="exact"/>
              <w:ind w:firstLine="420" w:firstLineChars="200"/>
              <w:rPr>
                <w:rFonts w:hint="eastAsia" w:ascii="仿宋_GB2312"/>
                <w:color w:val="auto"/>
                <w:sz w:val="21"/>
                <w:szCs w:val="21"/>
                <w:highlight w:val="none"/>
                <w:lang w:eastAsia="zh-CN"/>
              </w:rPr>
            </w:pPr>
            <w:r>
              <w:rPr>
                <w:rFonts w:hint="eastAsia" w:ascii="仿宋_GB2312" w:eastAsia="仿宋_GB2312"/>
                <w:color w:val="auto"/>
                <w:sz w:val="21"/>
                <w:szCs w:val="21"/>
                <w:highlight w:val="none"/>
              </w:rPr>
              <w:t>制定对每个质量控制点的检查要点、检查方法和接收准则，按规定明确关键工序能力指数并规定相关处理办法</w:t>
            </w:r>
            <w:r>
              <w:rPr>
                <w:rFonts w:hint="eastAsia" w:ascii="仿宋_GB2312"/>
                <w:color w:val="auto"/>
                <w:sz w:val="21"/>
                <w:szCs w:val="21"/>
                <w:highlight w:val="none"/>
                <w:lang w:eastAsia="zh-CN"/>
              </w:rPr>
              <w:t>。</w:t>
            </w:r>
          </w:p>
          <w:p w14:paraId="4ED9D6D4">
            <w:pPr>
              <w:keepNext w:val="0"/>
              <w:keepLines w:val="0"/>
              <w:pageBreakBefore w:val="0"/>
              <w:numPr>
                <w:ilvl w:val="0"/>
                <w:numId w:val="9"/>
              </w:numPr>
              <w:kinsoku/>
              <w:wordWrap/>
              <w:overflowPunct/>
              <w:topLinePunct w:val="0"/>
              <w:bidi w:val="0"/>
              <w:spacing w:line="440" w:lineRule="exact"/>
              <w:ind w:firstLine="420" w:firstLineChars="200"/>
              <w:rPr>
                <w:rFonts w:hint="eastAsia" w:ascii="仿宋_GB2312"/>
                <w:color w:val="auto"/>
                <w:sz w:val="21"/>
                <w:szCs w:val="21"/>
                <w:highlight w:val="none"/>
                <w:lang w:eastAsia="zh-CN"/>
              </w:rPr>
            </w:pPr>
            <w:r>
              <w:rPr>
                <w:rFonts w:hint="eastAsia" w:ascii="仿宋_GB2312"/>
                <w:color w:val="auto"/>
                <w:sz w:val="21"/>
                <w:szCs w:val="21"/>
                <w:highlight w:val="none"/>
                <w:lang w:eastAsia="zh-CN"/>
              </w:rPr>
              <w:t>防务装备事业部制定特殊工序的作业文件，明确生产设备、加工对象、工艺参数，工艺参数的控制方法、环境条件、必要时试样的制取等要求。</w:t>
            </w:r>
          </w:p>
          <w:p w14:paraId="1D4EA7AE">
            <w:pPr>
              <w:keepNext w:val="0"/>
              <w:keepLines w:val="0"/>
              <w:pageBreakBefore w:val="0"/>
              <w:numPr>
                <w:ilvl w:val="0"/>
                <w:numId w:val="9"/>
              </w:numPr>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color w:val="auto"/>
                <w:sz w:val="21"/>
                <w:szCs w:val="21"/>
                <w:highlight w:val="none"/>
                <w:lang w:eastAsia="zh-CN"/>
              </w:rPr>
              <w:t>工序工艺参数的确定和变更必须经过评审和必要的验证。</w:t>
            </w:r>
          </w:p>
          <w:p w14:paraId="6564F7FF">
            <w:pPr>
              <w:keepNext w:val="0"/>
              <w:keepLines w:val="0"/>
              <w:pageBreakBefore w:val="0"/>
              <w:numPr>
                <w:ilvl w:val="0"/>
                <w:numId w:val="9"/>
              </w:numPr>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执行不合格品控制程序并依据产品特点和有关规范的规定，明确产品生产过程的返工控制要求，包括返工产品所采用的工艺、程序、材料和验证要求等，对返工产品实施有效控制。</w:t>
            </w:r>
          </w:p>
          <w:p w14:paraId="48B3BBCB">
            <w:pPr>
              <w:keepNext w:val="0"/>
              <w:keepLines w:val="0"/>
              <w:pageBreakBefore w:val="0"/>
              <w:numPr>
                <w:ilvl w:val="0"/>
                <w:numId w:val="9"/>
              </w:numPr>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生产过程应执行</w:t>
            </w:r>
            <w:r>
              <w:rPr>
                <w:rFonts w:hint="eastAsia" w:ascii="仿宋_GB2312" w:hAnsi="仿宋_GB2312" w:cs="仿宋_GB2312"/>
                <w:color w:val="auto"/>
                <w:highlight w:val="none"/>
                <w:lang w:eastAsia="zh-CN"/>
              </w:rPr>
              <w:t>产品标识和可追溯性控制程序</w:t>
            </w:r>
            <w:r>
              <w:rPr>
                <w:rFonts w:hint="eastAsia" w:ascii="仿宋_GB2312" w:hAnsi="仿宋_GB2312" w:eastAsia="仿宋_GB2312" w:cs="仿宋_GB2312"/>
                <w:color w:val="auto"/>
                <w:highlight w:val="none"/>
              </w:rPr>
              <w:t>,实行批次管理，控制要求包括以下内容:</w:t>
            </w:r>
          </w:p>
          <w:p w14:paraId="459D8574">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根据产品特点、技术条件及合同要求确定批次管理范围，对实施批次管理的产品进行编号、标识。规定适当的标识方法，必须能够追随产品的全部生产过程，确保使用的标识号是系统的、有序的，作废了的标识号不能再次使用，每批零部件、材料、产品标识应具有唯一性。</w:t>
            </w:r>
          </w:p>
        </w:tc>
      </w:tr>
    </w:tbl>
    <w:p w14:paraId="0DD7FF2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476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E6E4F2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21C647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058DFB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21A949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EAA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41EBA71">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850467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D3D91D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679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0E611FA">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91" w:name="_Toc15108"/>
            <w:bookmarkStart w:id="92" w:name="_Toc19554"/>
            <w:bookmarkStart w:id="93" w:name="_Toc17768"/>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91"/>
            <w:bookmarkEnd w:id="92"/>
            <w:bookmarkEnd w:id="93"/>
          </w:p>
        </w:tc>
        <w:tc>
          <w:tcPr>
            <w:tcW w:w="1587" w:type="dxa"/>
            <w:tcBorders>
              <w:top w:val="single" w:color="auto" w:sz="4" w:space="0"/>
              <w:left w:val="single" w:color="auto" w:sz="4" w:space="0"/>
              <w:bottom w:val="single" w:color="auto" w:sz="4" w:space="0"/>
              <w:right w:val="single" w:color="auto" w:sz="4" w:space="0"/>
            </w:tcBorders>
            <w:vAlign w:val="center"/>
          </w:tcPr>
          <w:p w14:paraId="238DD50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A17985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27</w:t>
            </w:r>
            <w:r>
              <w:rPr>
                <w:rFonts w:hint="eastAsia" w:ascii="宋体" w:hAnsi="宋体" w:eastAsia="宋体" w:cs="宋体"/>
                <w:color w:val="auto"/>
                <w:highlight w:val="none"/>
              </w:rPr>
              <w:t xml:space="preserve"> 页</w:t>
            </w:r>
          </w:p>
        </w:tc>
      </w:tr>
      <w:tr w14:paraId="0308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43405B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1951D4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31D0DA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982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28FB2AC">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② </w:t>
            </w:r>
            <w:r>
              <w:rPr>
                <w:rFonts w:hint="eastAsia" w:ascii="仿宋_GB2312" w:hAnsi="仿宋_GB2312" w:eastAsia="仿宋_GB2312" w:cs="仿宋_GB2312"/>
                <w:color w:val="auto"/>
                <w:highlight w:val="none"/>
              </w:rPr>
              <w:t>规定建立、填写、传递、保管批次凭证（如原材料检验单、生产随工单、筛选单、不合格品处理单、合格证）的方法和要求。</w:t>
            </w:r>
          </w:p>
          <w:p w14:paraId="33BA45BE">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③ </w:t>
            </w:r>
            <w:r>
              <w:rPr>
                <w:rFonts w:hint="eastAsia" w:ascii="仿宋_GB2312" w:hAnsi="仿宋_GB2312" w:eastAsia="仿宋_GB2312" w:cs="仿宋_GB2312"/>
                <w:color w:val="auto"/>
                <w:highlight w:val="none"/>
              </w:rPr>
              <w:t>规定原材料领用、加工、装配、检验、保管、交验、包装、运输、储存各阶段的管理方法。</w:t>
            </w:r>
          </w:p>
          <w:p w14:paraId="4B00D60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宋体" w:hAnsi="宋体" w:eastAsia="宋体" w:cs="宋体"/>
                <w:color w:val="auto"/>
                <w:highlight w:val="none"/>
              </w:rPr>
              <w:t>④</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按生产批建立生产流程卡（随工单），流程卡应详细记录生产过程的生产批号、数量、质量等级、执行标准，使用的材料/零件批次号，工序名称、设备编号、主要工艺参数、操作者、检验者、检验数量、日期等适用的要求。</w:t>
            </w:r>
          </w:p>
          <w:p w14:paraId="0A7D95A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highlight w:val="none"/>
              </w:rPr>
              <w:t xml:space="preserve">4.8.4.5 </w:t>
            </w:r>
            <w:r>
              <w:rPr>
                <w:rFonts w:hint="eastAsia" w:ascii="仿宋_GB2312" w:hAnsi="仿宋_GB2312" w:eastAsia="仿宋_GB2312" w:cs="仿宋_GB2312"/>
                <w:color w:val="auto"/>
                <w:kern w:val="0"/>
                <w:highlight w:val="none"/>
              </w:rPr>
              <w:t>环境控制要求</w:t>
            </w:r>
          </w:p>
          <w:p w14:paraId="32D8382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rPr>
              <w:t>1)</w:t>
            </w:r>
            <w:r>
              <w:rPr>
                <w:rFonts w:hint="eastAsia" w:ascii="仿宋_GB2312" w:hAnsi="仿宋_GB2312" w:cs="仿宋_GB2312"/>
                <w:color w:val="auto"/>
                <w:kern w:val="0"/>
                <w:highlight w:val="none"/>
                <w:lang w:eastAsia="zh-CN"/>
              </w:rPr>
              <w:t>各事业部应编</w:t>
            </w:r>
            <w:r>
              <w:rPr>
                <w:rFonts w:hint="eastAsia" w:ascii="仿宋_GB2312" w:hAnsi="仿宋_GB2312" w:eastAsia="仿宋_GB2312" w:cs="仿宋_GB2312"/>
                <w:color w:val="auto"/>
                <w:highlight w:val="none"/>
                <w:lang w:eastAsia="zh-CN"/>
              </w:rPr>
              <w:t>制</w:t>
            </w:r>
            <w:r>
              <w:rPr>
                <w:rFonts w:hint="eastAsia" w:ascii="仿宋_GB2312" w:hAnsi="仿宋_GB2312" w:eastAsia="仿宋_GB2312" w:cs="仿宋_GB2312"/>
                <w:color w:val="auto"/>
                <w:highlight w:val="none"/>
              </w:rPr>
              <w:t>定置管理图</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kern w:val="0"/>
                <w:highlight w:val="none"/>
              </w:rPr>
              <w:t>在生产现场应实行定置管理</w:t>
            </w:r>
            <w:r>
              <w:rPr>
                <w:rFonts w:hint="eastAsia" w:ascii="仿宋_GB2312" w:hAnsi="仿宋_GB2312" w:cs="仿宋_GB2312"/>
                <w:color w:val="auto"/>
                <w:kern w:val="0"/>
                <w:highlight w:val="none"/>
                <w:lang w:eastAsia="zh-CN"/>
              </w:rPr>
              <w:t>，</w:t>
            </w:r>
            <w:r>
              <w:rPr>
                <w:rFonts w:hint="eastAsia" w:ascii="仿宋_GB2312" w:hAnsi="仿宋_GB2312" w:eastAsia="仿宋_GB2312" w:cs="仿宋_GB2312"/>
                <w:color w:val="auto"/>
                <w:highlight w:val="none"/>
              </w:rPr>
              <w:t>定制管理的主要内容包括设备及其位置、人员确定、产品存放等，</w:t>
            </w:r>
            <w:r>
              <w:rPr>
                <w:rFonts w:hint="eastAsia" w:ascii="仿宋_GB2312" w:hAnsi="仿宋_GB2312" w:eastAsia="仿宋_GB2312" w:cs="仿宋_GB2312"/>
                <w:color w:val="auto"/>
                <w:kern w:val="0"/>
                <w:highlight w:val="none"/>
              </w:rPr>
              <w:t>定置管理图应根据产品特点和工艺流程进行编制</w:t>
            </w:r>
            <w:r>
              <w:rPr>
                <w:rFonts w:hint="eastAsia" w:ascii="仿宋_GB2312" w:hAnsi="仿宋_GB2312" w:eastAsia="仿宋_GB2312" w:cs="仿宋_GB2312"/>
                <w:color w:val="auto"/>
                <w:kern w:val="0"/>
                <w:highlight w:val="none"/>
                <w:lang w:eastAsia="zh-CN"/>
              </w:rPr>
              <w:t>，</w:t>
            </w:r>
            <w:r>
              <w:rPr>
                <w:rFonts w:hint="eastAsia" w:ascii="仿宋_GB2312" w:hAnsi="仿宋_GB2312" w:eastAsia="仿宋_GB2312" w:cs="仿宋_GB2312"/>
                <w:color w:val="auto"/>
                <w:highlight w:val="none"/>
              </w:rPr>
              <w:t>并得到相关人员的审批，</w:t>
            </w:r>
            <w:r>
              <w:rPr>
                <w:rFonts w:hint="eastAsia" w:ascii="仿宋_GB2312" w:hAnsi="仿宋_GB2312" w:eastAsia="仿宋_GB2312" w:cs="仿宋_GB2312"/>
                <w:color w:val="auto"/>
                <w:highlight w:val="none"/>
                <w:lang w:eastAsia="zh-CN"/>
              </w:rPr>
              <w:t>事业部生产制造部</w:t>
            </w:r>
            <w:r>
              <w:rPr>
                <w:rFonts w:hint="eastAsia" w:ascii="仿宋_GB2312" w:hAnsi="仿宋_GB2312" w:eastAsia="仿宋_GB2312" w:cs="仿宋_GB2312"/>
                <w:color w:val="auto"/>
                <w:highlight w:val="none"/>
              </w:rPr>
              <w:t>按要求实施定置管理。当发生重要定置改变时，</w:t>
            </w:r>
            <w:r>
              <w:rPr>
                <w:rFonts w:hint="eastAsia" w:ascii="仿宋_GB2312" w:hAnsi="仿宋_GB2312" w:eastAsia="仿宋_GB2312" w:cs="仿宋_GB2312"/>
                <w:color w:val="auto"/>
                <w:highlight w:val="none"/>
                <w:lang w:eastAsia="zh-CN"/>
              </w:rPr>
              <w:t>事业部</w:t>
            </w:r>
            <w:r>
              <w:rPr>
                <w:rFonts w:hint="eastAsia" w:ascii="仿宋_GB2312" w:hAnsi="仿宋_GB2312" w:cs="仿宋_GB2312"/>
                <w:color w:val="auto"/>
                <w:highlight w:val="none"/>
                <w:lang w:eastAsia="zh-CN"/>
              </w:rPr>
              <w:t>应</w:t>
            </w:r>
            <w:r>
              <w:rPr>
                <w:rFonts w:hint="eastAsia" w:ascii="仿宋_GB2312" w:hAnsi="仿宋_GB2312" w:eastAsia="仿宋_GB2312" w:cs="仿宋_GB2312"/>
                <w:color w:val="auto"/>
                <w:highlight w:val="none"/>
              </w:rPr>
              <w:t>报</w:t>
            </w:r>
            <w:r>
              <w:rPr>
                <w:rFonts w:hint="eastAsia" w:ascii="仿宋_GB2312" w:hAnsi="仿宋_GB2312" w:eastAsia="仿宋_GB2312" w:cs="仿宋_GB2312"/>
                <w:color w:val="auto"/>
                <w:highlight w:val="none"/>
                <w:lang w:eastAsia="zh-CN"/>
              </w:rPr>
              <w:t>防务装备事业部生产线主管技术员，防务装备事业部</w:t>
            </w:r>
            <w:r>
              <w:rPr>
                <w:rFonts w:hint="eastAsia" w:ascii="仿宋_GB2312" w:hAnsi="仿宋_GB2312" w:cs="仿宋_GB2312"/>
                <w:color w:val="auto"/>
                <w:highlight w:val="none"/>
                <w:lang w:eastAsia="zh-CN"/>
              </w:rPr>
              <w:t>立即向质量体系部报备该信息，质量体系部</w:t>
            </w:r>
            <w:r>
              <w:rPr>
                <w:rFonts w:hint="eastAsia" w:ascii="仿宋_GB2312" w:hAnsi="仿宋_GB2312" w:eastAsia="仿宋_GB2312" w:cs="仿宋_GB2312"/>
                <w:color w:val="auto"/>
                <w:highlight w:val="none"/>
              </w:rPr>
              <w:t>按相关规定</w:t>
            </w:r>
            <w:r>
              <w:rPr>
                <w:rFonts w:hint="eastAsia" w:ascii="仿宋_GB2312" w:hAnsi="仿宋_GB2312" w:eastAsia="仿宋_GB2312" w:cs="仿宋_GB2312"/>
                <w:color w:val="auto"/>
                <w:highlight w:val="none"/>
                <w:lang w:eastAsia="zh-CN"/>
              </w:rPr>
              <w:t>上报</w:t>
            </w:r>
            <w:r>
              <w:rPr>
                <w:rFonts w:hint="eastAsia" w:ascii="仿宋_GB2312" w:hAnsi="仿宋_GB2312" w:eastAsia="仿宋_GB2312" w:cs="仿宋_GB2312"/>
                <w:color w:val="auto"/>
                <w:highlight w:val="none"/>
              </w:rPr>
              <w:t>鉴定机构。</w:t>
            </w:r>
          </w:p>
          <w:p w14:paraId="3FAD7BF8">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2)在工艺文件中明确生产、检验、试验符合产品技术要求的工作环境（如温度、湿度、清洁度、多余物、防静电等）控制要求，并实施实时监控，建立并保存监控记录。环境监测和控制装置应定期检定。</w:t>
            </w:r>
          </w:p>
          <w:p w14:paraId="0558B9DB">
            <w:pPr>
              <w:keepNext w:val="0"/>
              <w:keepLines w:val="0"/>
              <w:pageBreakBefore w:val="0"/>
              <w:widowControl w:val="0"/>
              <w:kinsoku/>
              <w:wordWrap/>
              <w:overflowPunct/>
              <w:topLinePunct w:val="0"/>
              <w:autoSpaceDE/>
              <w:autoSpaceDN/>
              <w:bidi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)生产、检验、试验场所的温度、湿度等环境条件符合生产技术文件要</w:t>
            </w:r>
            <w:r>
              <w:rPr>
                <w:rFonts w:hint="eastAsia" w:ascii="仿宋_GB2312" w:hAnsi="仿宋_GB2312" w:eastAsia="仿宋_GB2312" w:cs="仿宋_GB2312"/>
                <w:color w:val="auto"/>
                <w:highlight w:val="none"/>
                <w:lang w:eastAsia="zh-CN"/>
              </w:rPr>
              <w:t>求</w:t>
            </w:r>
            <w:r>
              <w:rPr>
                <w:rFonts w:hint="eastAsia" w:ascii="仿宋_GB2312" w:hAnsi="仿宋_GB2312" w:eastAsia="仿宋_GB2312" w:cs="仿宋_GB2312"/>
                <w:color w:val="auto"/>
                <w:highlight w:val="none"/>
              </w:rPr>
              <w:t>。</w:t>
            </w:r>
          </w:p>
          <w:p w14:paraId="5BB864EF">
            <w:pPr>
              <w:keepNext w:val="0"/>
              <w:keepLines w:val="0"/>
              <w:pageBreakBefore w:val="0"/>
              <w:widowControl w:val="0"/>
              <w:kinsoku/>
              <w:wordWrap/>
              <w:overflowPunct/>
              <w:topLinePunct w:val="0"/>
              <w:autoSpaceDE/>
              <w:autoSpaceDN/>
              <w:bidi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当工作环境监控参数超过规定极限时，应停止生产加工、检验和试验，直至采取纠正措施使其恢复到允许的控制范围。同时，对在超过极限规定工作环境中所生产、检验的过程产品应进行质量评估，并做出必要的处置。</w:t>
            </w:r>
          </w:p>
          <w:p w14:paraId="39D918B6">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4.8.4.6 测量控制要求</w:t>
            </w:r>
          </w:p>
          <w:p w14:paraId="4E37270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编制产品生产过程的首件检验、工序检验、筛选和成品检验文件，其内容至少应包括：抽样方案、检验项目、检验方法、结果判定与处理方法、标识方法等。</w:t>
            </w:r>
          </w:p>
          <w:p w14:paraId="14316BD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按检验文件对半成品和成品进行检验，检验记录应真实、齐全，能够完整反映产品的质量状况，检验合格后应填写合格证明文件并在指定部位做上合格标志（或挂合格标签）。应体现产品（批）标识与相应质量证明文件的对应关系。</w:t>
            </w:r>
          </w:p>
          <w:p w14:paraId="41A08645">
            <w:pPr>
              <w:keepNext w:val="0"/>
              <w:keepLines w:val="0"/>
              <w:pageBreakBefore w:val="0"/>
              <w:kinsoku/>
              <w:wordWrap/>
              <w:overflowPunct/>
              <w:topLinePunct w:val="0"/>
              <w:bidi w:val="0"/>
              <w:spacing w:line="440" w:lineRule="exact"/>
              <w:rPr>
                <w:rFonts w:ascii="宋体" w:hAnsi="宋体" w:eastAsia="宋体" w:cs="宋体"/>
                <w:b/>
                <w:bCs/>
                <w:color w:val="auto"/>
                <w:highlight w:val="none"/>
              </w:rPr>
            </w:pPr>
            <w:r>
              <w:rPr>
                <w:rFonts w:hint="eastAsia" w:ascii="仿宋_GB2312" w:hAnsi="仿宋_GB2312" w:eastAsia="仿宋_GB2312" w:cs="仿宋_GB2312"/>
                <w:color w:val="auto"/>
                <w:highlight w:val="none"/>
              </w:rPr>
              <w:t>4.8.5 直接关联的程序文件和作业文件</w:t>
            </w:r>
          </w:p>
        </w:tc>
      </w:tr>
    </w:tbl>
    <w:p w14:paraId="1D378BCB">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708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1AA6CE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9CADDC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06A02E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D0E3CF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442A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4E7F3A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F7BDC1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CB605D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069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5FD842E">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94" w:name="_Toc3910"/>
            <w:bookmarkStart w:id="95" w:name="_Toc11901"/>
            <w:bookmarkStart w:id="96" w:name="_Toc30829"/>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94"/>
            <w:bookmarkEnd w:id="95"/>
            <w:bookmarkEnd w:id="96"/>
          </w:p>
        </w:tc>
        <w:tc>
          <w:tcPr>
            <w:tcW w:w="1587" w:type="dxa"/>
            <w:tcBorders>
              <w:top w:val="single" w:color="auto" w:sz="4" w:space="0"/>
              <w:left w:val="single" w:color="auto" w:sz="4" w:space="0"/>
              <w:bottom w:val="single" w:color="auto" w:sz="4" w:space="0"/>
              <w:right w:val="single" w:color="auto" w:sz="4" w:space="0"/>
            </w:tcBorders>
            <w:vAlign w:val="center"/>
          </w:tcPr>
          <w:p w14:paraId="58A85F8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DD8ABA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 xml:space="preserve"> 页</w:t>
            </w:r>
          </w:p>
        </w:tc>
      </w:tr>
      <w:tr w14:paraId="1FCE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E839DE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48A962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E26F05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EA5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D8368B8">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highlight w:val="none"/>
                <w:lang w:eastAsia="zh-CN"/>
              </w:rPr>
              <w:t>《人力资源控制程序》</w:t>
            </w:r>
          </w:p>
          <w:p w14:paraId="37D4028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《生产设备控制程序》</w:t>
            </w:r>
          </w:p>
          <w:p w14:paraId="168DAF3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《不合格品控制程序》</w:t>
            </w:r>
          </w:p>
          <w:p w14:paraId="15F93F3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《文件控制程序》</w:t>
            </w:r>
          </w:p>
          <w:p w14:paraId="314640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《工作环境控制程序》</w:t>
            </w:r>
          </w:p>
          <w:p w14:paraId="4275F9C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《产品标识及可追溯性控制程序》</w:t>
            </w:r>
          </w:p>
          <w:p w14:paraId="75BBCB6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《检验、试验控制程序》 </w:t>
            </w:r>
          </w:p>
          <w:p w14:paraId="77E87B1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生产过程控制程序》</w:t>
            </w:r>
          </w:p>
          <w:p w14:paraId="5879267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《关键工序控制程序》</w:t>
            </w:r>
          </w:p>
          <w:p w14:paraId="2527AA6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《特殊工序控制程序》</w:t>
            </w:r>
          </w:p>
          <w:p w14:paraId="15A3222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《生产线生产设备管理规定》</w:t>
            </w:r>
          </w:p>
          <w:p w14:paraId="1F7FE38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《计算机软件确认规范》</w:t>
            </w:r>
          </w:p>
          <w:p w14:paraId="69C7601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《关键、重点设备管理办法》</w:t>
            </w:r>
          </w:p>
          <w:p w14:paraId="27E56AF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《模具管理办法》</w:t>
            </w:r>
          </w:p>
          <w:p w14:paraId="3132021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《设备资料管理制度》</w:t>
            </w:r>
          </w:p>
          <w:p w14:paraId="6E3EEAB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《产品批次管理办法》</w:t>
            </w:r>
          </w:p>
          <w:p w14:paraId="03DEBC3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《返工返修管理办法》</w:t>
            </w:r>
          </w:p>
          <w:p w14:paraId="1290971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《工装夹具管理规定》</w:t>
            </w:r>
          </w:p>
          <w:p w14:paraId="05B75F09">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lang w:eastAsia="zh-CN"/>
              </w:rPr>
              <w:t>《产品序列号管理办法》</w:t>
            </w:r>
          </w:p>
        </w:tc>
      </w:tr>
    </w:tbl>
    <w:p w14:paraId="1972BE16">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6DF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C0B232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1165AE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AB4A66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746556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5969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A74CF1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4B7A79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C94867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49F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0077F2C">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97" w:name="_Toc2585"/>
            <w:bookmarkStart w:id="98" w:name="_Toc22454"/>
            <w:bookmarkStart w:id="99" w:name="_Toc27711"/>
            <w:r>
              <w:rPr>
                <w:rFonts w:hint="eastAsia" w:ascii="宋体" w:hAnsi="宋体" w:eastAsia="宋体" w:cs="宋体"/>
                <w:color w:val="auto"/>
                <w:highlight w:val="none"/>
              </w:rPr>
              <w:t>4.9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关键工序和特殊工序控制</w:t>
            </w:r>
            <w:bookmarkEnd w:id="97"/>
            <w:bookmarkEnd w:id="98"/>
            <w:bookmarkEnd w:id="99"/>
          </w:p>
        </w:tc>
        <w:tc>
          <w:tcPr>
            <w:tcW w:w="1587" w:type="dxa"/>
            <w:tcBorders>
              <w:top w:val="single" w:color="auto" w:sz="4" w:space="0"/>
              <w:left w:val="single" w:color="auto" w:sz="4" w:space="0"/>
              <w:bottom w:val="single" w:color="auto" w:sz="4" w:space="0"/>
              <w:right w:val="single" w:color="auto" w:sz="4" w:space="0"/>
            </w:tcBorders>
            <w:vAlign w:val="center"/>
          </w:tcPr>
          <w:p w14:paraId="30A49A1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7A90C0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29</w:t>
            </w:r>
            <w:r>
              <w:rPr>
                <w:rFonts w:hint="eastAsia" w:ascii="宋体" w:hAnsi="宋体" w:eastAsia="宋体" w:cs="宋体"/>
                <w:color w:val="auto"/>
                <w:highlight w:val="none"/>
              </w:rPr>
              <w:t xml:space="preserve"> 页</w:t>
            </w:r>
          </w:p>
        </w:tc>
      </w:tr>
      <w:tr w14:paraId="6D85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31B25E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ABA99B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D5458B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2C9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A90575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4.9.1 目的</w:t>
            </w:r>
          </w:p>
          <w:p w14:paraId="127CD04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制定并执行超柔射频同轴电缆生产线产品生产过程质量控制所需文件，确保生产过程受控，预防不合格的发生，满足产品质量一致性要求。</w:t>
            </w:r>
          </w:p>
          <w:p w14:paraId="2117A4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4.9.2 适用范围</w:t>
            </w:r>
          </w:p>
          <w:p w14:paraId="384B610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本条款适用于超柔射频同轴电缆生产线产品加工全过程的质量控制。</w:t>
            </w:r>
          </w:p>
          <w:p w14:paraId="5D3BEE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4.9.3 职责</w:t>
            </w:r>
          </w:p>
          <w:p w14:paraId="02228EA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是关键工序和特殊工序控制的归口部门，负责关键工序和特殊工序控制文件的编制，负责关键工序和特殊工序控制要求的实施。</w:t>
            </w:r>
          </w:p>
          <w:p w14:paraId="3AF45CE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是主要相关部门，负责对本部门关键工序和特殊工序控制要求的实施。</w:t>
            </w:r>
          </w:p>
          <w:p w14:paraId="2457C7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4.9.4.1关键工序的控制</w:t>
            </w:r>
          </w:p>
          <w:p w14:paraId="5127B26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编制关键工序控制程序。</w:t>
            </w:r>
          </w:p>
          <w:p w14:paraId="12E6941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1)识别出“对形成产品质量起决定作用的过程”</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如：绕包绝缘、绕包屏蔽</w:t>
            </w:r>
            <w:r>
              <w:rPr>
                <w:rFonts w:hint="eastAsia" w:ascii="仿宋_GB2312" w:hAnsi="仿宋_GB2312" w:cs="仿宋_GB2312"/>
                <w:color w:val="auto"/>
                <w:highlight w:val="none"/>
                <w:lang w:eastAsia="zh-CN"/>
              </w:rPr>
              <w:t>工序</w:t>
            </w:r>
            <w:r>
              <w:rPr>
                <w:rFonts w:hint="eastAsia" w:ascii="仿宋_GB2312" w:hAnsi="仿宋_GB2312" w:eastAsia="仿宋_GB2312" w:cs="仿宋_GB2312"/>
                <w:color w:val="auto"/>
                <w:highlight w:val="none"/>
              </w:rPr>
              <w:t>，将其确定为关键工序。</w:t>
            </w:r>
          </w:p>
          <w:p w14:paraId="134A6A6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编制关键工序明细表，一般包括：工序名称、质量特性、控制因素、控制范围及要求、方法等内容。</w:t>
            </w:r>
          </w:p>
          <w:p w14:paraId="21C4A7D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3)在工艺文件中对关键工序的控制要求进行规定，明确控制的项目/内容、控制的方法和要求以及使用的控制记录等。除此之外，控制的内容还应包括：</w:t>
            </w:r>
          </w:p>
          <w:p w14:paraId="2F9578D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对关键工序进行标识。包括：在过程/工序场所或岗位做出标识，在工艺文件及过程(工艺)规程上做出标识，在操作人员的上岗证上做出相应标识等。</w:t>
            </w:r>
          </w:p>
          <w:p w14:paraId="59B4060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② </w:t>
            </w:r>
            <w:r>
              <w:rPr>
                <w:rFonts w:hint="eastAsia" w:ascii="仿宋_GB2312" w:hAnsi="仿宋_GB2312" w:eastAsia="仿宋_GB2312" w:cs="仿宋_GB2312"/>
                <w:color w:val="auto"/>
                <w:highlight w:val="none"/>
              </w:rPr>
              <w:t>设置控制点，明确需监视和控制的过程参数和产品的关键或重要特性。</w:t>
            </w:r>
          </w:p>
          <w:p w14:paraId="7FF427E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③ </w:t>
            </w:r>
            <w:r>
              <w:rPr>
                <w:rFonts w:hint="eastAsia" w:ascii="仿宋_GB2312" w:hAnsi="仿宋_GB2312" w:eastAsia="仿宋_GB2312" w:cs="仿宋_GB2312"/>
                <w:color w:val="auto"/>
                <w:highlight w:val="none"/>
              </w:rPr>
              <w:t>使用生产过程收集的数据计算控制界限，制作分析用控制图和控制用控制图，进行过程能力分析，检查生产过程是否稳定，过程能力是否足够。</w:t>
            </w:r>
          </w:p>
          <w:p w14:paraId="4F1002A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④ </w:t>
            </w:r>
            <w:r>
              <w:rPr>
                <w:rFonts w:hint="eastAsia" w:ascii="仿宋_GB2312" w:hAnsi="仿宋_GB2312" w:eastAsia="仿宋_GB2312" w:cs="仿宋_GB2312"/>
                <w:color w:val="auto"/>
                <w:highlight w:val="none"/>
              </w:rPr>
              <w:t>实施首件（批）自检和专检，当测量装置能给出具体测量值时，应记录实测数据。</w:t>
            </w:r>
          </w:p>
          <w:p w14:paraId="4ED105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⑤ </w:t>
            </w:r>
            <w:r>
              <w:rPr>
                <w:rFonts w:hint="eastAsia" w:ascii="仿宋_GB2312" w:hAnsi="仿宋_GB2312" w:eastAsia="仿宋_GB2312" w:cs="仿宋_GB2312"/>
                <w:color w:val="auto"/>
                <w:highlight w:val="none"/>
              </w:rPr>
              <w:t>可行时，对关键或重要特性进行百分之百检验。确因产品特点和批量的原因不能实施百分之百检验时，可采用抽样方案或用其他方法验证。</w:t>
            </w:r>
          </w:p>
          <w:p w14:paraId="307F586F">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4.9.4.2特殊工序的控制</w:t>
            </w:r>
          </w:p>
        </w:tc>
      </w:tr>
    </w:tbl>
    <w:p w14:paraId="40345997">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6DE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D844B5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2C2D801D">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AA4174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56C3B0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C04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E7F990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FEA988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9AF46C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27D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63F618F">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00" w:name="_Toc21995"/>
            <w:bookmarkStart w:id="101" w:name="_Toc25599"/>
            <w:bookmarkStart w:id="102" w:name="_Toc10698"/>
            <w:r>
              <w:rPr>
                <w:rFonts w:hint="eastAsia" w:ascii="宋体" w:hAnsi="宋体" w:eastAsia="宋体" w:cs="宋体"/>
                <w:color w:val="auto"/>
                <w:highlight w:val="none"/>
              </w:rPr>
              <w:t>4.9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关键工序和特殊工序控制</w:t>
            </w:r>
            <w:bookmarkEnd w:id="100"/>
            <w:bookmarkEnd w:id="101"/>
            <w:bookmarkEnd w:id="102"/>
          </w:p>
        </w:tc>
        <w:tc>
          <w:tcPr>
            <w:tcW w:w="1587" w:type="dxa"/>
            <w:tcBorders>
              <w:top w:val="single" w:color="auto" w:sz="4" w:space="0"/>
              <w:left w:val="single" w:color="auto" w:sz="4" w:space="0"/>
              <w:bottom w:val="single" w:color="auto" w:sz="4" w:space="0"/>
              <w:right w:val="single" w:color="auto" w:sz="4" w:space="0"/>
            </w:tcBorders>
            <w:vAlign w:val="center"/>
          </w:tcPr>
          <w:p w14:paraId="4DF6EC4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1EABD1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30</w:t>
            </w:r>
            <w:r>
              <w:rPr>
                <w:rFonts w:hint="eastAsia" w:ascii="宋体" w:hAnsi="宋体" w:eastAsia="宋体" w:cs="宋体"/>
                <w:color w:val="auto"/>
                <w:highlight w:val="none"/>
              </w:rPr>
              <w:t xml:space="preserve"> 页</w:t>
            </w:r>
          </w:p>
        </w:tc>
      </w:tr>
      <w:tr w14:paraId="04BE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C87CB8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D764AA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FABC74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D04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214FA7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防务装备</w:t>
            </w:r>
            <w:r>
              <w:rPr>
                <w:rFonts w:hint="eastAsia" w:ascii="仿宋_GB2312" w:hAnsi="仿宋_GB2312" w:eastAsia="仿宋_GB2312" w:cs="仿宋_GB2312"/>
                <w:color w:val="auto"/>
                <w:highlight w:val="none"/>
              </w:rPr>
              <w:t>事业部编制特殊工序控制程序，明确特殊工序确认准则、标识方法、实施监控的方法、再确认的时机和方法等。</w:t>
            </w:r>
          </w:p>
          <w:p w14:paraId="7645F30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1)制定用于评审、批准确认特殊过程的准则，以及对这些过程实施监控的方法。</w:t>
            </w:r>
          </w:p>
          <w:p w14:paraId="309F443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2)对这些过程所使用的设备能力进行认可，并对操作人员的资格进行考核和鉴定。</w:t>
            </w:r>
          </w:p>
          <w:p w14:paraId="1B151B59">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3)规定对该类过程实施再确认的时机、方法和程序，以便在过程要素要求（含材料、工艺方法、人员、设备、环境等）发生变更、产品出现严重质量问题、长期停工后恢复生产等情况下对过程状态进行再次确认。</w:t>
            </w:r>
          </w:p>
          <w:p w14:paraId="4C3B265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4.9.5直接关联的程序文件和作业文件</w:t>
            </w:r>
          </w:p>
          <w:p w14:paraId="214EB48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《关键工序控制程序》</w:t>
            </w:r>
          </w:p>
          <w:p w14:paraId="04BDE7C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《特殊工序控制程序》</w:t>
            </w:r>
          </w:p>
          <w:p w14:paraId="5DE9D51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《关键过程控制方法》</w:t>
            </w:r>
          </w:p>
          <w:p w14:paraId="0E67481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《关键工序确认规定》</w:t>
            </w:r>
          </w:p>
          <w:p w14:paraId="186504C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《特殊工序确认规定》</w:t>
            </w:r>
          </w:p>
          <w:p w14:paraId="030CF23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《计量器具周期检定/校准管理程序》</w:t>
            </w:r>
          </w:p>
          <w:p w14:paraId="32BD2734">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42B61950">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0F4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FD4F9C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9A54CD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60983B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B5FBA6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714E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E05C7B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F81E12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B2E618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B9C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164E675">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03" w:name="_Toc10039"/>
            <w:bookmarkStart w:id="104" w:name="_Toc11946"/>
            <w:bookmarkStart w:id="105" w:name="_Toc26934"/>
            <w:r>
              <w:rPr>
                <w:rFonts w:hint="eastAsia" w:ascii="宋体" w:hAnsi="宋体" w:eastAsia="宋体" w:cs="宋体"/>
                <w:color w:val="auto"/>
                <w:highlight w:val="none"/>
              </w:rPr>
              <w:t>4.10 统计过程控制</w:t>
            </w:r>
            <w:bookmarkEnd w:id="103"/>
            <w:bookmarkEnd w:id="104"/>
            <w:bookmarkEnd w:id="105"/>
          </w:p>
        </w:tc>
        <w:tc>
          <w:tcPr>
            <w:tcW w:w="1587" w:type="dxa"/>
            <w:tcBorders>
              <w:top w:val="single" w:color="auto" w:sz="4" w:space="0"/>
              <w:left w:val="single" w:color="auto" w:sz="4" w:space="0"/>
              <w:bottom w:val="single" w:color="auto" w:sz="4" w:space="0"/>
              <w:right w:val="single" w:color="auto" w:sz="4" w:space="0"/>
            </w:tcBorders>
            <w:vAlign w:val="center"/>
          </w:tcPr>
          <w:p w14:paraId="72CA924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FC7BB8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31</w:t>
            </w:r>
            <w:r>
              <w:rPr>
                <w:rFonts w:hint="eastAsia" w:ascii="宋体" w:hAnsi="宋体" w:eastAsia="宋体" w:cs="宋体"/>
                <w:color w:val="auto"/>
                <w:highlight w:val="none"/>
              </w:rPr>
              <w:t xml:space="preserve"> 页</w:t>
            </w:r>
          </w:p>
        </w:tc>
      </w:tr>
      <w:tr w14:paraId="2AAD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87FA4A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6A99D6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984603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2EA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89B1F6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bookmarkStart w:id="106" w:name="_Toc21248"/>
            <w:bookmarkStart w:id="107" w:name="_Toc30275"/>
            <w:bookmarkStart w:id="108" w:name="_Toc12919"/>
            <w:r>
              <w:rPr>
                <w:rFonts w:hint="eastAsia" w:ascii="仿宋_GB2312" w:hAnsi="仿宋_GB2312" w:eastAsia="仿宋_GB2312" w:cs="仿宋_GB2312"/>
                <w:color w:val="auto"/>
                <w:sz w:val="21"/>
                <w:szCs w:val="21"/>
                <w:highlight w:val="none"/>
              </w:rPr>
              <w:t>4.10.1 目的</w:t>
            </w:r>
          </w:p>
          <w:p w14:paraId="3C9232F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通过建立统计过程控制体系，实施统计过程控制，预防不合格的发生，提高产品关键工序质量一致性水平。</w:t>
            </w:r>
          </w:p>
          <w:p w14:paraId="152D76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4.10.2 适用范围</w:t>
            </w:r>
          </w:p>
          <w:p w14:paraId="0F7102F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超柔射频同轴电缆生产线SPC控制点的质量控制。</w:t>
            </w:r>
          </w:p>
          <w:p w14:paraId="55F5BA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4.10.3 职责</w:t>
            </w:r>
          </w:p>
          <w:p w14:paraId="389F0F2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防务装备</w:t>
            </w:r>
            <w:r>
              <w:rPr>
                <w:rFonts w:hint="eastAsia" w:ascii="仿宋_GB2312" w:hAnsi="仿宋_GB2312" w:eastAsia="仿宋_GB2312" w:cs="仿宋_GB2312"/>
                <w:color w:val="auto"/>
                <w:sz w:val="21"/>
                <w:szCs w:val="21"/>
                <w:highlight w:val="none"/>
              </w:rPr>
              <w:t>事业部是统计过程控制的归口部门，负责统计过程控制体系建立</w:t>
            </w:r>
            <w:r>
              <w:rPr>
                <w:rFonts w:hint="eastAsia" w:ascii="仿宋_GB2312" w:hAnsi="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负责确定需进行SPC控制的工序及工艺参数，并对统计过程实施控制。</w:t>
            </w:r>
          </w:p>
          <w:p w14:paraId="6A5E8EB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 控制要求</w:t>
            </w:r>
          </w:p>
          <w:p w14:paraId="081AD1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4.10.4.1 </w:t>
            </w:r>
            <w:r>
              <w:rPr>
                <w:rFonts w:hint="eastAsia" w:ascii="仿宋_GB2312" w:hAnsi="仿宋_GB2312" w:cs="仿宋_GB2312"/>
                <w:color w:val="auto"/>
                <w:sz w:val="21"/>
                <w:szCs w:val="21"/>
                <w:highlight w:val="none"/>
                <w:lang w:eastAsia="zh-CN"/>
              </w:rPr>
              <w:t>防务装备</w:t>
            </w:r>
            <w:r>
              <w:rPr>
                <w:rFonts w:hint="eastAsia" w:ascii="仿宋_GB2312" w:hAnsi="仿宋_GB2312" w:eastAsia="仿宋_GB2312" w:cs="仿宋_GB2312"/>
                <w:color w:val="auto"/>
                <w:sz w:val="21"/>
                <w:szCs w:val="21"/>
                <w:highlight w:val="none"/>
              </w:rPr>
              <w:t>事业部按照GJB973A-2004《柔软和半硬射频电缆通用规范》及GJB 3014的规定，结合产品以及制造过程的特点和具体情况，建立生产线统计过程控制(SPC)体系，编制并执行统计过程控制程序。</w:t>
            </w:r>
          </w:p>
          <w:p w14:paraId="148596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4.10.4.2 SPC体系的建立应依照GJB 3014标准要求，编制SPC实施计划，明确实施SPC的组织机构、适用范围、目标、实施的方法、工序及测试设备的要求等。</w:t>
            </w:r>
          </w:p>
          <w:p w14:paraId="08E02D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4.10.4.3 按产品规范要求明确需进行SPC控制的工序及需要控制的工艺参数，确定控制参数、控制范围和控制方法。</w:t>
            </w:r>
          </w:p>
          <w:p w14:paraId="3D6989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4.10.4.4 编制工序SPC实施细则，针对每个工序具体规定SPC技术应用的方法。</w:t>
            </w:r>
          </w:p>
          <w:p w14:paraId="38F6E3E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主要实施步骤如下：</w:t>
            </w:r>
          </w:p>
          <w:p w14:paraId="376F992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 通过对生产线工艺过程的分析确定对形成产品质量起决定作用的工序为关键工序，并对关键工序实施SPC控制；</w:t>
            </w:r>
          </w:p>
          <w:p w14:paraId="6A7DAFF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 确定关键工序的质量特性参数，制定特性参数的数据采集方案，采集并分析数据的分布情况；</w:t>
            </w:r>
          </w:p>
          <w:p w14:paraId="2B36455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 确定测试仪器的选用方法，对测量仪器的重复性和再现性进行评价；</w:t>
            </w:r>
          </w:p>
          <w:p w14:paraId="2953F3D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 选择合适的方法计算工序能力指数，评价工序能力。当工序能力达不到期望值时，应开</w:t>
            </w:r>
            <w:bookmarkEnd w:id="106"/>
            <w:bookmarkEnd w:id="107"/>
            <w:bookmarkEnd w:id="108"/>
            <w:r>
              <w:rPr>
                <w:rFonts w:hint="eastAsia" w:ascii="仿宋_GB2312" w:hAnsi="仿宋_GB2312" w:eastAsia="仿宋_GB2312" w:cs="仿宋_GB2312"/>
                <w:color w:val="auto"/>
                <w:sz w:val="21"/>
                <w:szCs w:val="21"/>
                <w:highlight w:val="none"/>
              </w:rPr>
              <w:t>展工艺技术攻关，从人、机、料、法、环、测六个主要方面寻找工艺改进的机会；</w:t>
            </w:r>
          </w:p>
          <w:p w14:paraId="6F02521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 合理选择分析用控制图，对工序是否处于统计受控状态进行分析和评估；</w:t>
            </w:r>
          </w:p>
        </w:tc>
      </w:tr>
    </w:tbl>
    <w:p w14:paraId="4B528F65">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A46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D29680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0E96A98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B329C6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3610FF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F5C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F4435A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EA299B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462B7B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1F3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1BC150A">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4.10 统计过程控制</w:t>
            </w:r>
          </w:p>
        </w:tc>
        <w:tc>
          <w:tcPr>
            <w:tcW w:w="1587" w:type="dxa"/>
            <w:tcBorders>
              <w:top w:val="single" w:color="auto" w:sz="4" w:space="0"/>
              <w:left w:val="single" w:color="auto" w:sz="4" w:space="0"/>
              <w:bottom w:val="single" w:color="auto" w:sz="4" w:space="0"/>
              <w:right w:val="single" w:color="auto" w:sz="4" w:space="0"/>
            </w:tcBorders>
            <w:vAlign w:val="center"/>
          </w:tcPr>
          <w:p w14:paraId="0389961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6AEDEC1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32</w:t>
            </w:r>
            <w:r>
              <w:rPr>
                <w:rFonts w:hint="eastAsia" w:ascii="宋体" w:hAnsi="宋体" w:eastAsia="宋体" w:cs="宋体"/>
                <w:color w:val="auto"/>
                <w:highlight w:val="none"/>
              </w:rPr>
              <w:t xml:space="preserve"> 页</w:t>
            </w:r>
          </w:p>
        </w:tc>
      </w:tr>
      <w:tr w14:paraId="57EA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66D5A12">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E8EF31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374312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552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783A24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 经分析、确认工序处于统计受控状态时，方可采用控制用控制图对生产过程实施监控；</w:t>
            </w:r>
          </w:p>
          <w:p w14:paraId="3C14A88F">
            <w:pPr>
              <w:keepNext w:val="0"/>
              <w:keepLines w:val="0"/>
              <w:pageBreakBefore w:val="0"/>
              <w:widowControl w:val="0"/>
              <w:kinsoku/>
              <w:wordWrap/>
              <w:overflowPunct/>
              <w:topLinePunct w:val="0"/>
              <w:autoSpaceDE/>
              <w:autoSpaceDN/>
              <w:bidi w:val="0"/>
              <w:adjustRightInd/>
              <w:snapToGrid/>
              <w:spacing w:line="440" w:lineRule="exact"/>
              <w:ind w:left="-2" w:leftChars="-1"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 通过将采集数据在控制图上实时描点，判定生产过程中工序是否持续处于稳定受控状态。当发现控制图上数据点的分布不符合判稳规则时，应及时进行分析，采取必要的措施；</w:t>
            </w:r>
          </w:p>
          <w:p w14:paraId="4A902079">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 控制图使用一段时间后，应重新采集数据，更新控制图的控制界限，以促进工序控制的不断改进和工序质量一致性的不断提高。</w:t>
            </w:r>
          </w:p>
          <w:p w14:paraId="42A9FDF3">
            <w:pPr>
              <w:keepNext w:val="0"/>
              <w:keepLines w:val="0"/>
              <w:pageBreakBefore w:val="0"/>
              <w:widowControl w:val="0"/>
              <w:tabs>
                <w:tab w:val="center" w:pos="5040"/>
              </w:tabs>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4.10.4.5 生产线SPC考核工序及考核指标：</w:t>
            </w:r>
          </w:p>
          <w:p w14:paraId="6EC91D7D">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绕包绝缘（Cpk≥1.0） </w:t>
            </w:r>
            <w:r>
              <w:rPr>
                <w:rFonts w:hint="eastAsia" w:ascii="仿宋_GB2312" w:hAnsi="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 xml:space="preserve">  绕包屏蔽（Cpk≥1.0）  </w:t>
            </w:r>
          </w:p>
          <w:p w14:paraId="4EDC6E7D">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Cpk值计算公式：</w:t>
            </w:r>
          </w:p>
          <w:p w14:paraId="5EEEF845">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2"/>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position w:val="-24"/>
                <w:sz w:val="21"/>
                <w:szCs w:val="21"/>
                <w:highlight w:val="none"/>
              </w:rPr>
              <w:object>
                <v:shape id="_x0000_i1025" o:spt="75" type="#_x0000_t75" style="height:31.3pt;width:339.85pt;" o:ole="t" filled="f" stroked="f" coordsize="21600,21600">
                  <v:path/>
                  <v:fill on="f" focussize="0,0"/>
                  <v:stroke on="f"/>
                  <v:imagedata r:id="rId29" o:title=""/>
                  <o:lock v:ext="edit" grouping="f" rotation="f" text="f" aspectratio="t"/>
                  <w10:wrap type="none"/>
                  <w10:anchorlock/>
                </v:shape>
                <o:OLEObject Type="Embed" ProgID="Equation.KSEE3" ShapeID="_x0000_i1025" DrawAspect="Content" ObjectID="_1468075725" r:id="rId28">
                  <o:LockedField>false</o:LockedField>
                </o:OLEObject>
              </w:object>
            </w:r>
          </w:p>
          <w:p w14:paraId="2C1409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4.10.5直接关联的程序文件和作业文件</w:t>
            </w:r>
          </w:p>
          <w:p w14:paraId="793BC0AA">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《统计过程控制程序》</w:t>
            </w:r>
          </w:p>
          <w:p w14:paraId="2665DABB">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宋体" w:eastAsia="仿宋_GB2312" w:cs="仿宋_GB2312"/>
                <w:i w:val="0"/>
                <w:iCs w:val="0"/>
                <w:color w:val="auto"/>
                <w:kern w:val="0"/>
                <w:sz w:val="21"/>
                <w:szCs w:val="21"/>
                <w:highlight w:val="none"/>
                <w:u w:val="none"/>
                <w:lang w:val="en-US" w:eastAsia="zh-CN" w:bidi="ar"/>
              </w:rPr>
              <w:t>生产线SPC实施计划</w:t>
            </w:r>
            <w:r>
              <w:rPr>
                <w:rFonts w:hint="eastAsia" w:ascii="仿宋_GB2312" w:hAnsi="仿宋_GB2312" w:eastAsia="仿宋_GB2312" w:cs="仿宋_GB2312"/>
                <w:color w:val="auto"/>
                <w:sz w:val="21"/>
                <w:szCs w:val="21"/>
                <w:highlight w:val="none"/>
              </w:rPr>
              <w:t>》</w:t>
            </w:r>
          </w:p>
          <w:p w14:paraId="64DA3656">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宋体" w:eastAsia="仿宋_GB2312" w:cs="仿宋_GB2312"/>
                <w:i w:val="0"/>
                <w:iCs w:val="0"/>
                <w:color w:val="auto"/>
                <w:kern w:val="0"/>
                <w:sz w:val="21"/>
                <w:szCs w:val="21"/>
                <w:highlight w:val="none"/>
                <w:u w:val="none"/>
                <w:lang w:val="en-US" w:eastAsia="zh-CN" w:bidi="ar"/>
              </w:rPr>
              <w:t>超柔射频同轴电缆生产线SPC实施细则</w:t>
            </w:r>
            <w:r>
              <w:rPr>
                <w:rFonts w:hint="eastAsia" w:ascii="仿宋_GB2312" w:hAnsi="仿宋_GB2312" w:eastAsia="仿宋_GB2312" w:cs="仿宋_GB2312"/>
                <w:color w:val="auto"/>
                <w:sz w:val="21"/>
                <w:szCs w:val="21"/>
                <w:highlight w:val="none"/>
              </w:rPr>
              <w:t>》</w:t>
            </w:r>
          </w:p>
          <w:p w14:paraId="2EE9A387">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《SPC自审核实施细则》</w:t>
            </w:r>
          </w:p>
          <w:p w14:paraId="2F60C5D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《技术归零管理归零工作办法》</w:t>
            </w:r>
          </w:p>
          <w:p w14:paraId="62EC614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p>
        </w:tc>
      </w:tr>
    </w:tbl>
    <w:p w14:paraId="3D27A6E3">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1F3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3C110E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565A825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7838B3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5CEA18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E9C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BF8F9B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AE9528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2ED790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EBB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A1FA816">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09" w:name="_Toc1565"/>
            <w:bookmarkStart w:id="110" w:name="_Toc21198"/>
            <w:bookmarkStart w:id="111" w:name="_Toc21777"/>
            <w:r>
              <w:rPr>
                <w:rFonts w:hint="eastAsia" w:ascii="宋体" w:hAnsi="宋体" w:eastAsia="宋体" w:cs="宋体"/>
                <w:color w:val="auto"/>
                <w:highlight w:val="none"/>
              </w:rPr>
              <w:t>4.11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失效分析</w:t>
            </w:r>
            <w:bookmarkEnd w:id="109"/>
            <w:bookmarkEnd w:id="110"/>
            <w:bookmarkEnd w:id="111"/>
          </w:p>
        </w:tc>
        <w:tc>
          <w:tcPr>
            <w:tcW w:w="1587" w:type="dxa"/>
            <w:tcBorders>
              <w:top w:val="single" w:color="auto" w:sz="4" w:space="0"/>
              <w:left w:val="single" w:color="auto" w:sz="4" w:space="0"/>
              <w:bottom w:val="single" w:color="auto" w:sz="4" w:space="0"/>
              <w:right w:val="single" w:color="auto" w:sz="4" w:space="0"/>
            </w:tcBorders>
            <w:vAlign w:val="center"/>
          </w:tcPr>
          <w:p w14:paraId="22BFDD9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4121710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33</w:t>
            </w:r>
            <w:r>
              <w:rPr>
                <w:rFonts w:hint="eastAsia" w:ascii="宋体" w:hAnsi="宋体" w:eastAsia="宋体" w:cs="宋体"/>
                <w:color w:val="auto"/>
                <w:highlight w:val="none"/>
              </w:rPr>
              <w:t xml:space="preserve"> 页</w:t>
            </w:r>
          </w:p>
        </w:tc>
      </w:tr>
      <w:tr w14:paraId="2500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E68C06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1733DD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96474D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873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354BC0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4.11.1 目的</w:t>
            </w:r>
          </w:p>
          <w:p w14:paraId="675CB256">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8" w:firstLineChars="200"/>
              <w:rPr>
                <w:rFonts w:hint="eastAsia" w:ascii="仿宋_GB2312" w:hAnsi="仿宋_GB2312" w:eastAsia="仿宋_GB2312" w:cs="仿宋_GB2312"/>
                <w:color w:val="auto"/>
                <w:spacing w:val="0"/>
                <w:kern w:val="2"/>
                <w:szCs w:val="21"/>
                <w:highlight w:val="none"/>
              </w:rPr>
            </w:pPr>
            <w:bookmarkStart w:id="112" w:name="_Toc387311272"/>
            <w:bookmarkStart w:id="113" w:name="_Toc387311032"/>
            <w:r>
              <w:rPr>
                <w:rFonts w:hint="eastAsia" w:ascii="仿宋_GB2312" w:hAnsi="仿宋_GB2312" w:eastAsia="仿宋_GB2312" w:cs="仿宋_GB2312"/>
                <w:color w:val="auto"/>
                <w:sz w:val="21"/>
                <w:szCs w:val="21"/>
                <w:highlight w:val="none"/>
              </w:rPr>
              <w:t>超柔射频同轴电缆</w:t>
            </w:r>
            <w:r>
              <w:rPr>
                <w:rFonts w:hint="eastAsia" w:ascii="仿宋_GB2312" w:hAnsi="仿宋_GB2312" w:eastAsia="仿宋_GB2312" w:cs="仿宋_GB2312"/>
                <w:color w:val="auto"/>
                <w:sz w:val="21"/>
                <w:szCs w:val="21"/>
                <w:highlight w:val="none"/>
                <w:lang w:eastAsia="zh-CN"/>
              </w:rPr>
              <w:t>生产线</w:t>
            </w:r>
            <w:r>
              <w:rPr>
                <w:rFonts w:hint="eastAsia" w:ascii="仿宋_GB2312" w:hAnsi="仿宋_GB2312" w:eastAsia="仿宋_GB2312" w:cs="仿宋_GB2312"/>
                <w:color w:val="auto"/>
                <w:spacing w:val="0"/>
                <w:kern w:val="2"/>
                <w:szCs w:val="21"/>
                <w:highlight w:val="none"/>
              </w:rPr>
              <w:t>失效产品数量超过规定时，进行分析、纠正，以预防和消除不合格。</w:t>
            </w:r>
            <w:bookmarkEnd w:id="112"/>
            <w:bookmarkEnd w:id="113"/>
          </w:p>
          <w:p w14:paraId="62194BA7">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bookmarkStart w:id="114" w:name="_Toc387311033"/>
            <w:bookmarkStart w:id="115" w:name="_Toc387311273"/>
            <w:r>
              <w:rPr>
                <w:rFonts w:hint="eastAsia" w:ascii="仿宋_GB2312" w:hAnsi="仿宋_GB2312" w:eastAsia="仿宋_GB2312" w:cs="仿宋_GB2312"/>
                <w:color w:val="auto"/>
                <w:spacing w:val="0"/>
                <w:kern w:val="2"/>
                <w:szCs w:val="21"/>
                <w:highlight w:val="none"/>
              </w:rPr>
              <w:t>4.11.2 适用范围</w:t>
            </w:r>
            <w:bookmarkEnd w:id="114"/>
            <w:bookmarkEnd w:id="115"/>
          </w:p>
          <w:p w14:paraId="1890EAF5">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bookmarkStart w:id="116" w:name="_Toc387311274"/>
            <w:bookmarkStart w:id="117" w:name="_Toc387311034"/>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z w:val="21"/>
                <w:szCs w:val="21"/>
                <w:highlight w:val="none"/>
              </w:rPr>
              <w:t>超柔射频同轴电缆</w:t>
            </w:r>
            <w:r>
              <w:rPr>
                <w:rFonts w:hint="eastAsia" w:ascii="仿宋_GB2312" w:hAnsi="仿宋_GB2312" w:eastAsia="仿宋_GB2312" w:cs="仿宋_GB2312"/>
                <w:color w:val="auto"/>
                <w:szCs w:val="21"/>
                <w:highlight w:val="none"/>
              </w:rPr>
              <w:t>生产线产品</w:t>
            </w:r>
            <w:r>
              <w:rPr>
                <w:rFonts w:hint="eastAsia" w:ascii="仿宋_GB2312" w:hAnsi="仿宋_GB2312" w:eastAsia="仿宋_GB2312" w:cs="仿宋_GB2312"/>
                <w:color w:val="auto"/>
                <w:spacing w:val="0"/>
                <w:kern w:val="2"/>
                <w:szCs w:val="21"/>
                <w:highlight w:val="none"/>
              </w:rPr>
              <w:t>在生产过程、鉴定试验、质量一致性检验、现场使用发生的产品、半成品失效。</w:t>
            </w:r>
            <w:bookmarkEnd w:id="116"/>
            <w:bookmarkEnd w:id="117"/>
          </w:p>
          <w:p w14:paraId="3D26ABF3">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bookmarkStart w:id="118" w:name="_Toc387311035"/>
            <w:bookmarkStart w:id="119" w:name="_Toc387311275"/>
            <w:r>
              <w:rPr>
                <w:rFonts w:hint="eastAsia" w:ascii="仿宋_GB2312" w:hAnsi="仿宋_GB2312" w:eastAsia="仿宋_GB2312" w:cs="仿宋_GB2312"/>
                <w:color w:val="auto"/>
                <w:spacing w:val="0"/>
                <w:kern w:val="2"/>
                <w:szCs w:val="21"/>
                <w:highlight w:val="none"/>
              </w:rPr>
              <w:t>4.11.3 职责</w:t>
            </w:r>
            <w:bookmarkEnd w:id="118"/>
            <w:bookmarkEnd w:id="119"/>
          </w:p>
          <w:p w14:paraId="02EEE7C9">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8" w:firstLineChars="200"/>
              <w:rPr>
                <w:rFonts w:hint="eastAsia" w:ascii="仿宋_GB2312" w:hAnsi="仿宋_GB2312" w:eastAsia="仿宋_GB2312" w:cs="仿宋_GB2312"/>
                <w:color w:val="auto"/>
                <w:szCs w:val="21"/>
                <w:highlight w:val="none"/>
              </w:rPr>
            </w:pPr>
            <w:bookmarkStart w:id="120" w:name="_Toc387311036"/>
            <w:bookmarkStart w:id="121" w:name="_Toc387311276"/>
            <w:r>
              <w:rPr>
                <w:rFonts w:hint="eastAsia" w:ascii="仿宋_GB2312" w:hAnsi="仿宋_GB2312" w:eastAsia="仿宋_GB2312" w:cs="仿宋_GB2312"/>
                <w:color w:val="auto"/>
                <w:szCs w:val="21"/>
                <w:highlight w:val="none"/>
                <w:lang w:eastAsia="zh-CN"/>
              </w:rPr>
              <w:t>防务装备事业部</w:t>
            </w:r>
            <w:r>
              <w:rPr>
                <w:rFonts w:hint="eastAsia" w:ascii="仿宋_GB2312" w:hAnsi="仿宋_GB2312" w:eastAsia="仿宋_GB2312" w:cs="仿宋_GB2312"/>
                <w:color w:val="auto"/>
                <w:szCs w:val="21"/>
                <w:highlight w:val="none"/>
              </w:rPr>
              <w:t>是失效分析控制的归口部门，负责失效原因分析、纠正措施的制定和实施。</w:t>
            </w:r>
          </w:p>
          <w:p w14:paraId="119AF8AE">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8"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质量体系部是失效分析控制的主要相关部门</w:t>
            </w:r>
            <w:r>
              <w:rPr>
                <w:rFonts w:hint="eastAsia" w:ascii="仿宋_GB2312" w:hAnsi="仿宋_GB2312" w:eastAsia="仿宋_GB2312" w:cs="仿宋_GB2312"/>
                <w:color w:val="auto"/>
                <w:szCs w:val="21"/>
                <w:highlight w:val="none"/>
                <w:lang w:eastAsia="zh-CN"/>
              </w:rPr>
              <w:t>，负责</w:t>
            </w:r>
            <w:r>
              <w:rPr>
                <w:rFonts w:hint="eastAsia" w:ascii="仿宋_GB2312" w:hAnsi="仿宋_GB2312" w:eastAsia="仿宋_GB2312" w:cs="仿宋_GB2312"/>
                <w:color w:val="auto"/>
                <w:szCs w:val="21"/>
                <w:highlight w:val="none"/>
              </w:rPr>
              <w:t>失效分析工作的组织和相关资料的上报</w:t>
            </w:r>
            <w:bookmarkEnd w:id="120"/>
            <w:bookmarkEnd w:id="121"/>
            <w:r>
              <w:rPr>
                <w:rFonts w:hint="eastAsia" w:ascii="仿宋_GB2312" w:hAnsi="仿宋_GB2312" w:eastAsia="仿宋_GB2312" w:cs="仿宋_GB2312"/>
                <w:color w:val="auto"/>
                <w:szCs w:val="21"/>
                <w:highlight w:val="none"/>
                <w:lang w:eastAsia="zh-CN"/>
              </w:rPr>
              <w:t>。</w:t>
            </w:r>
          </w:p>
          <w:p w14:paraId="49441AF2">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396" w:firstLineChars="200"/>
              <w:rPr>
                <w:rFonts w:hint="eastAsia" w:ascii="仿宋_GB2312" w:hAnsi="仿宋_GB2312" w:eastAsia="仿宋_GB2312" w:cs="仿宋_GB2312"/>
                <w:color w:val="auto"/>
                <w:spacing w:val="-6"/>
                <w:sz w:val="21"/>
                <w:szCs w:val="21"/>
                <w:highlight w:val="none"/>
              </w:rPr>
            </w:pPr>
            <w:bookmarkStart w:id="122" w:name="_Toc387311037"/>
            <w:bookmarkStart w:id="123" w:name="_Toc387311277"/>
            <w:r>
              <w:rPr>
                <w:rFonts w:hint="eastAsia" w:ascii="仿宋_GB2312" w:hAnsi="仿宋_GB2312" w:eastAsia="仿宋_GB2312" w:cs="仿宋_GB2312"/>
                <w:color w:val="auto"/>
                <w:spacing w:val="-6"/>
                <w:sz w:val="21"/>
                <w:szCs w:val="21"/>
                <w:highlight w:val="none"/>
                <w:lang w:eastAsia="zh-CN"/>
              </w:rPr>
              <w:t>电力能源事业部</w:t>
            </w:r>
            <w:r>
              <w:rPr>
                <w:rFonts w:hint="eastAsia" w:ascii="仿宋_GB2312" w:hAnsi="仿宋_GB2312" w:eastAsia="仿宋_GB2312" w:cs="仿宋_GB2312"/>
                <w:color w:val="auto"/>
                <w:spacing w:val="-6"/>
                <w:sz w:val="21"/>
                <w:szCs w:val="21"/>
                <w:highlight w:val="none"/>
              </w:rPr>
              <w:t>是失效分析控制的主要相关部门，参与失效原因分析、纠正措施的制定和实施。</w:t>
            </w:r>
            <w:bookmarkEnd w:id="122"/>
            <w:bookmarkEnd w:id="123"/>
          </w:p>
          <w:p w14:paraId="20C3ECA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 控制要求</w:t>
            </w:r>
          </w:p>
          <w:p w14:paraId="76DF274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4.11.4.1 防务装备事业部编制失效分析控制程序，用于分析和确定电子元器件的失效模式、失效机理和引发失效的原因，寻找一种能够解决问题有效的纠正措施和改进方法。</w:t>
            </w:r>
          </w:p>
          <w:p w14:paraId="19FF12A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4.11.4.2 失效分析程序文件内容包括失效分析程序、失效呈报程序、失效分析报告和失效分析设备等四个方面。</w:t>
            </w:r>
          </w:p>
          <w:p w14:paraId="01D93C1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4.11.4.3 在鉴定检验和质量一致性检验期间元器件的失效数超过产品规范所允许的数量时，或用户方使用发生失效时，质量体系部要组织防务装备事业部</w:t>
            </w:r>
            <w:r>
              <w:rPr>
                <w:rFonts w:hint="eastAsia" w:ascii="仿宋_GB2312" w:hAnsi="仿宋_GB2312" w:eastAsia="仿宋_GB2312" w:cs="仿宋_GB2312"/>
                <w:color w:val="auto"/>
                <w:highlight w:val="none"/>
                <w:lang w:eastAsia="zh-CN"/>
              </w:rPr>
              <w:t>和</w:t>
            </w:r>
            <w:r>
              <w:rPr>
                <w:rFonts w:hint="eastAsia" w:ascii="仿宋_GB2312" w:hAnsi="仿宋_GB2312" w:eastAsia="仿宋_GB2312" w:cs="仿宋_GB2312"/>
                <w:color w:val="auto"/>
                <w:highlight w:val="none"/>
              </w:rPr>
              <w:t>相关部门</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在收到失效样品和相关资料30天内向鉴定机构作出失效分析报告；必要时，失效分析报告要有纠正措施。如果在已判定失效机理以后，再次发生属于相同失效机理的类似失效，那么至少要对前后两次失效的产品进行再次分析。</w:t>
            </w:r>
          </w:p>
          <w:p w14:paraId="7FB4402A">
            <w:pPr>
              <w:pStyle w:val="11"/>
              <w:keepNext w:val="0"/>
              <w:keepLines w:val="0"/>
              <w:pageBreakBefore w:val="0"/>
              <w:widowControl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highlight w:val="none"/>
              </w:rPr>
              <w:t xml:space="preserve">4.11.4.4 </w:t>
            </w:r>
            <w:r>
              <w:rPr>
                <w:rFonts w:hint="eastAsia" w:ascii="仿宋_GB2312" w:hAnsi="仿宋_GB2312" w:eastAsia="仿宋_GB2312" w:cs="仿宋_GB2312"/>
                <w:color w:val="auto"/>
                <w:spacing w:val="2"/>
                <w:szCs w:val="21"/>
                <w:highlight w:val="none"/>
                <w:lang w:val="zh-CN"/>
              </w:rPr>
              <w:t>质量体系部组织防务装备事业部在知晓鉴定合格的产品出现失效后的5个工作日内向鉴定机构报告，报告内容为：</w:t>
            </w:r>
          </w:p>
          <w:p w14:paraId="2A4CBC97">
            <w:pPr>
              <w:pStyle w:val="11"/>
              <w:keepNext w:val="0"/>
              <w:keepLines w:val="0"/>
              <w:pageBreakBefore w:val="0"/>
              <w:widowControl w:val="0"/>
              <w:kinsoku/>
              <w:wordWrap/>
              <w:overflowPunct/>
              <w:topLinePunct w:val="0"/>
              <w:bidi w:val="0"/>
              <w:spacing w:line="440" w:lineRule="exact"/>
              <w:ind w:left="0" w:leftChars="0" w:right="0" w:rightChars="0" w:firstLine="428" w:firstLineChars="20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1) </w:t>
            </w:r>
            <w:r>
              <w:rPr>
                <w:rFonts w:hint="eastAsia" w:ascii="仿宋_GB2312" w:hAnsi="仿宋_GB2312" w:eastAsia="仿宋_GB2312" w:cs="仿宋_GB2312"/>
                <w:color w:val="auto"/>
                <w:spacing w:val="2"/>
                <w:szCs w:val="21"/>
                <w:highlight w:val="none"/>
                <w:lang w:val="zh-CN"/>
              </w:rPr>
              <w:t>元器件的名称、型号规格、质量等级、生产批次、数量、同批质量检验情况、同批使用数量。</w:t>
            </w:r>
          </w:p>
          <w:p w14:paraId="0B861DB9">
            <w:pPr>
              <w:pStyle w:val="11"/>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8"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spacing w:val="2"/>
                <w:szCs w:val="21"/>
                <w:highlight w:val="none"/>
              </w:rPr>
              <w:t xml:space="preserve">2) </w:t>
            </w:r>
            <w:r>
              <w:rPr>
                <w:rFonts w:hint="eastAsia" w:ascii="仿宋_GB2312" w:hAnsi="仿宋_GB2312" w:eastAsia="仿宋_GB2312" w:cs="仿宋_GB2312"/>
                <w:color w:val="auto"/>
                <w:spacing w:val="2"/>
                <w:szCs w:val="21"/>
                <w:highlight w:val="none"/>
                <w:lang w:val="zh-CN"/>
              </w:rPr>
              <w:t>初步描述元器件失效时的工作条件和试验条件，详细准确记录元器件失效的工作状态和现场失效现象，根据元器件失效的时机（检验或使用过程、已装机使用）记录元器件的测试情况，如短路、开路、参数超差。判定可能的失效模式。</w:t>
            </w:r>
          </w:p>
        </w:tc>
      </w:tr>
    </w:tbl>
    <w:p w14:paraId="497A968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CFB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4BF780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FBCECB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E304F8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95A4B2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5C0F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0E9867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60E1E6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F62AEE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B1D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C77F01E">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24" w:name="_Toc29538"/>
            <w:bookmarkStart w:id="125" w:name="_Toc25427"/>
            <w:bookmarkStart w:id="126" w:name="_Toc19020"/>
            <w:r>
              <w:rPr>
                <w:rFonts w:hint="eastAsia" w:ascii="宋体" w:hAnsi="宋体" w:eastAsia="宋体" w:cs="宋体"/>
                <w:color w:val="auto"/>
                <w:highlight w:val="none"/>
              </w:rPr>
              <w:t>4.11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失效分析</w:t>
            </w:r>
            <w:bookmarkEnd w:id="124"/>
            <w:bookmarkEnd w:id="125"/>
            <w:bookmarkEnd w:id="126"/>
          </w:p>
        </w:tc>
        <w:tc>
          <w:tcPr>
            <w:tcW w:w="1587" w:type="dxa"/>
            <w:tcBorders>
              <w:top w:val="single" w:color="auto" w:sz="4" w:space="0"/>
              <w:left w:val="single" w:color="auto" w:sz="4" w:space="0"/>
              <w:bottom w:val="single" w:color="auto" w:sz="4" w:space="0"/>
              <w:right w:val="single" w:color="auto" w:sz="4" w:space="0"/>
            </w:tcBorders>
            <w:vAlign w:val="center"/>
          </w:tcPr>
          <w:p w14:paraId="6E1BFF2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6697A5B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34</w:t>
            </w:r>
            <w:r>
              <w:rPr>
                <w:rFonts w:hint="eastAsia" w:ascii="宋体" w:hAnsi="宋体" w:eastAsia="宋体" w:cs="宋体"/>
                <w:color w:val="auto"/>
                <w:highlight w:val="none"/>
              </w:rPr>
              <w:t xml:space="preserve"> 页</w:t>
            </w:r>
          </w:p>
        </w:tc>
      </w:tr>
      <w:tr w14:paraId="1A90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BCAC191">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C8BD47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C27797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342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35D17E9">
            <w:pPr>
              <w:pStyle w:val="11"/>
              <w:keepNext w:val="0"/>
              <w:keepLines w:val="0"/>
              <w:pageBreakBefore w:val="0"/>
              <w:widowControl w:val="0"/>
              <w:numPr>
                <w:ilvl w:val="0"/>
                <w:numId w:val="10"/>
              </w:numPr>
              <w:kinsoku/>
              <w:wordWrap/>
              <w:overflowPunct/>
              <w:topLinePunct w:val="0"/>
              <w:bidi w:val="0"/>
              <w:spacing w:line="440" w:lineRule="exact"/>
              <w:ind w:left="0" w:leftChars="0" w:right="0" w:rightChars="0"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lang w:val="zh-CN"/>
              </w:rPr>
              <w:t>发现和送交失效元器件的单位。</w:t>
            </w:r>
          </w:p>
          <w:p w14:paraId="381E2D7A">
            <w:pPr>
              <w:pStyle w:val="11"/>
              <w:keepNext w:val="0"/>
              <w:keepLines w:val="0"/>
              <w:pageBreakBefore w:val="0"/>
              <w:widowControl w:val="0"/>
              <w:kinsoku/>
              <w:wordWrap/>
              <w:overflowPunct/>
              <w:topLinePunct w:val="0"/>
              <w:bidi w:val="0"/>
              <w:spacing w:line="440" w:lineRule="exact"/>
              <w:ind w:left="420" w:leftChars="200" w:right="0" w:rightChars="0" w:firstLine="0" w:firstLineChars="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4）</w:t>
            </w:r>
            <w:r>
              <w:rPr>
                <w:rFonts w:hint="eastAsia" w:ascii="仿宋_GB2312" w:hAnsi="仿宋_GB2312" w:eastAsia="仿宋_GB2312" w:cs="仿宋_GB2312"/>
                <w:color w:val="auto"/>
                <w:spacing w:val="2"/>
                <w:highlight w:val="none"/>
                <w:lang w:val="zh-CN"/>
              </w:rPr>
              <w:t>失效元器件的技术状态及记录，即生产过程记录、产品检验和试验记录。</w:t>
            </w:r>
          </w:p>
          <w:p w14:paraId="2868DA59">
            <w:pPr>
              <w:pStyle w:val="11"/>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8" w:firstLineChars="200"/>
              <w:textAlignment w:val="auto"/>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5) </w:t>
            </w:r>
            <w:r>
              <w:rPr>
                <w:rFonts w:hint="eastAsia" w:ascii="仿宋_GB2312" w:hAnsi="仿宋_GB2312" w:eastAsia="仿宋_GB2312" w:cs="仿宋_GB2312"/>
                <w:color w:val="auto"/>
                <w:spacing w:val="2"/>
                <w:szCs w:val="21"/>
                <w:highlight w:val="none"/>
                <w:lang w:val="zh-CN"/>
              </w:rPr>
              <w:t>若元器件在寿命试验时失效，应报告元器件已经工作的时间，按相关产品规范的规定计算失效率水平，以判定是否符合要求。</w:t>
            </w:r>
          </w:p>
          <w:p w14:paraId="2613BF2F">
            <w:pPr>
              <w:pStyle w:val="11"/>
              <w:keepNext w:val="0"/>
              <w:keepLines w:val="0"/>
              <w:pageBreakBefore w:val="0"/>
              <w:widowControl w:val="0"/>
              <w:kinsoku/>
              <w:wordWrap/>
              <w:overflowPunct/>
              <w:topLinePunct w:val="0"/>
              <w:bidi w:val="0"/>
              <w:spacing w:line="440" w:lineRule="exact"/>
              <w:ind w:left="197" w:leftChars="94" w:right="0" w:rightChars="0" w:firstLine="214" w:firstLineChars="10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6) </w:t>
            </w:r>
            <w:r>
              <w:rPr>
                <w:rFonts w:hint="eastAsia" w:ascii="仿宋_GB2312" w:hAnsi="仿宋_GB2312" w:eastAsia="仿宋_GB2312" w:cs="仿宋_GB2312"/>
                <w:color w:val="auto"/>
                <w:spacing w:val="2"/>
                <w:szCs w:val="21"/>
                <w:highlight w:val="none"/>
                <w:lang w:val="zh-CN"/>
              </w:rPr>
              <w:t>根据失效分析情况判定可能的失效原因。</w:t>
            </w:r>
          </w:p>
          <w:p w14:paraId="6D5D623A">
            <w:pPr>
              <w:pStyle w:val="11"/>
              <w:keepNext w:val="0"/>
              <w:keepLines w:val="0"/>
              <w:pageBreakBefore w:val="0"/>
              <w:widowControl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spacing w:val="-6"/>
                <w:sz w:val="21"/>
                <w:szCs w:val="21"/>
                <w:highlight w:val="none"/>
                <w:lang w:val="zh-CN"/>
              </w:rPr>
            </w:pPr>
            <w:r>
              <w:rPr>
                <w:rFonts w:hint="eastAsia" w:ascii="仿宋_GB2312" w:hAnsi="仿宋_GB2312" w:eastAsia="仿宋_GB2312" w:cs="仿宋_GB2312"/>
                <w:color w:val="auto"/>
                <w:highlight w:val="none"/>
              </w:rPr>
              <w:t xml:space="preserve">4.11.4.5 </w:t>
            </w:r>
            <w:r>
              <w:rPr>
                <w:rFonts w:hint="eastAsia" w:ascii="仿宋_GB2312" w:hAnsi="仿宋_GB2312" w:eastAsia="仿宋_GB2312" w:cs="仿宋_GB2312"/>
                <w:color w:val="auto"/>
                <w:spacing w:val="-6"/>
                <w:sz w:val="21"/>
                <w:szCs w:val="21"/>
                <w:highlight w:val="none"/>
                <w:lang w:val="zh-CN"/>
              </w:rPr>
              <w:t>需要时，质量体系部向鉴定机构提交详细的失效分析报告，失效分析记录应至少存档</w:t>
            </w:r>
            <w:r>
              <w:rPr>
                <w:rFonts w:hint="eastAsia" w:ascii="仿宋_GB2312" w:hAnsi="仿宋_GB2312" w:eastAsia="仿宋_GB2312" w:cs="仿宋_GB2312"/>
                <w:color w:val="auto"/>
                <w:spacing w:val="-6"/>
                <w:sz w:val="21"/>
                <w:szCs w:val="21"/>
                <w:highlight w:val="none"/>
              </w:rPr>
              <w:t>1</w:t>
            </w:r>
            <w:r>
              <w:rPr>
                <w:rFonts w:hint="eastAsia" w:ascii="仿宋_GB2312" w:hAnsi="仿宋_GB2312" w:eastAsia="仿宋_GB2312" w:cs="仿宋_GB2312"/>
                <w:color w:val="auto"/>
                <w:spacing w:val="-6"/>
                <w:sz w:val="21"/>
                <w:szCs w:val="21"/>
                <w:highlight w:val="none"/>
                <w:lang w:val="zh-CN"/>
              </w:rPr>
              <w:t>0年。</w:t>
            </w:r>
          </w:p>
          <w:p w14:paraId="531BD3C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 xml:space="preserve">4.11.4.6 </w:t>
            </w:r>
            <w:r>
              <w:rPr>
                <w:rFonts w:hint="eastAsia" w:ascii="仿宋_GB2312" w:hAnsi="仿宋_GB2312" w:cs="仿宋_GB2312"/>
                <w:color w:val="auto"/>
                <w:spacing w:val="2"/>
                <w:highlight w:val="none"/>
                <w:lang w:val="zh-CN"/>
              </w:rPr>
              <w:t>防务装备事业部</w:t>
            </w:r>
            <w:r>
              <w:rPr>
                <w:rFonts w:hint="eastAsia" w:ascii="仿宋_GB2312" w:hAnsi="仿宋_GB2312" w:eastAsia="仿宋_GB2312" w:cs="仿宋_GB2312"/>
                <w:color w:val="auto"/>
                <w:spacing w:val="2"/>
                <w:highlight w:val="none"/>
                <w:lang w:val="zh-CN"/>
              </w:rPr>
              <w:t>编制失效分析报告，失效分析报告应包括以下内容：</w:t>
            </w:r>
          </w:p>
          <w:p w14:paraId="31FF67C9">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1)</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失效背景的简要描述。</w:t>
            </w:r>
          </w:p>
          <w:p w14:paraId="6642CDFC">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2)</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如实记录分析现象和过程，确认样品失效时的状态，呈现的失效模式及确定的失效部位。</w:t>
            </w:r>
          </w:p>
          <w:p w14:paraId="7AEDA0D7">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3)</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分析的结果，包括失效的机理和造成失效的原因,批次性质量问题或非批次性质量问题。</w:t>
            </w:r>
          </w:p>
          <w:p w14:paraId="104FBF49">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4)</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建议采取的纠正措施。</w:t>
            </w:r>
          </w:p>
          <w:p w14:paraId="4456F8C5">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5)</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分析人员负责编写失效分析报告，相关技术负责人和质量监督负责人负责审核报告内容，质量保证负责人签发报告。</w:t>
            </w:r>
          </w:p>
          <w:p w14:paraId="489E843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 xml:space="preserve">4.11.4.7 </w:t>
            </w: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负责对产品失效的原因进行收集、归类和传递，并承担对产品失效的原因进行分析、处置、制定纠正措施</w:t>
            </w:r>
            <w:r>
              <w:rPr>
                <w:rFonts w:hint="eastAsia" w:ascii="仿宋_GB2312" w:hAnsi="仿宋_GB2312" w:cs="仿宋_GB2312"/>
                <w:color w:val="auto"/>
                <w:highlight w:val="none"/>
                <w:lang w:eastAsia="zh-CN"/>
              </w:rPr>
              <w:t>和</w:t>
            </w:r>
            <w:r>
              <w:rPr>
                <w:rFonts w:hint="eastAsia" w:ascii="仿宋_GB2312" w:hAnsi="仿宋_GB2312" w:eastAsia="仿宋_GB2312" w:cs="仿宋_GB2312"/>
                <w:color w:val="auto"/>
                <w:highlight w:val="none"/>
              </w:rPr>
              <w:t>反馈等相关工作。</w:t>
            </w:r>
            <w:r>
              <w:rPr>
                <w:rFonts w:hint="eastAsia" w:ascii="仿宋_GB2312" w:hAnsi="仿宋_GB2312" w:eastAsia="仿宋_GB2312" w:cs="仿宋_GB2312"/>
                <w:color w:val="auto"/>
                <w:spacing w:val="2"/>
                <w:highlight w:val="none"/>
                <w:lang w:val="zh-CN"/>
              </w:rPr>
              <w:t>质量体系部</w:t>
            </w:r>
            <w:r>
              <w:rPr>
                <w:rFonts w:hint="eastAsia" w:ascii="仿宋_GB2312" w:hAnsi="仿宋_GB2312" w:cs="仿宋_GB2312"/>
                <w:color w:val="auto"/>
                <w:highlight w:val="none"/>
                <w:lang w:eastAsia="zh-CN"/>
              </w:rPr>
              <w:t>负责</w:t>
            </w:r>
            <w:r>
              <w:rPr>
                <w:rFonts w:hint="eastAsia" w:ascii="仿宋_GB2312" w:hAnsi="仿宋_GB2312" w:eastAsia="仿宋_GB2312" w:cs="仿宋_GB2312"/>
                <w:color w:val="auto"/>
                <w:spacing w:val="2"/>
                <w:highlight w:val="none"/>
                <w:lang w:val="zh-CN"/>
              </w:rPr>
              <w:t>保持失效分析记录的存档，存档时间从发生最后类似失效时算起至少保存</w:t>
            </w:r>
            <w:r>
              <w:rPr>
                <w:rFonts w:hint="eastAsia" w:ascii="仿宋_GB2312" w:hAnsi="仿宋_GB2312" w:eastAsia="仿宋_GB2312" w:cs="仿宋_GB2312"/>
                <w:color w:val="auto"/>
                <w:spacing w:val="2"/>
                <w:highlight w:val="none"/>
              </w:rPr>
              <w:t>10</w:t>
            </w:r>
            <w:r>
              <w:rPr>
                <w:rFonts w:hint="eastAsia" w:ascii="仿宋_GB2312" w:hAnsi="仿宋_GB2312" w:eastAsia="仿宋_GB2312" w:cs="仿宋_GB2312"/>
                <w:color w:val="auto"/>
                <w:spacing w:val="2"/>
                <w:highlight w:val="none"/>
                <w:lang w:val="zh-CN"/>
              </w:rPr>
              <w:t>年。</w:t>
            </w:r>
          </w:p>
          <w:p w14:paraId="324C96B1">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4.11.4.8 </w:t>
            </w:r>
            <w:r>
              <w:rPr>
                <w:rFonts w:hint="eastAsia" w:ascii="仿宋_GB2312" w:hAnsi="仿宋_GB2312" w:cs="仿宋_GB2312"/>
                <w:color w:val="auto"/>
                <w:highlight w:val="none"/>
                <w:lang w:eastAsia="zh-CN"/>
              </w:rPr>
              <w:t>综合管理部</w:t>
            </w:r>
            <w:r>
              <w:rPr>
                <w:rFonts w:hint="eastAsia" w:ascii="仿宋_GB2312" w:hAnsi="仿宋_GB2312" w:eastAsia="仿宋_GB2312" w:cs="仿宋_GB2312"/>
                <w:color w:val="auto"/>
                <w:highlight w:val="none"/>
              </w:rPr>
              <w:t>应</w:t>
            </w:r>
            <w:r>
              <w:rPr>
                <w:rFonts w:hint="eastAsia" w:ascii="仿宋_GB2312" w:hAnsi="仿宋_GB2312" w:cs="仿宋_GB2312"/>
                <w:color w:val="auto"/>
                <w:highlight w:val="none"/>
                <w:lang w:eastAsia="zh-CN"/>
              </w:rPr>
              <w:t>保障</w:t>
            </w:r>
            <w:r>
              <w:rPr>
                <w:rFonts w:hint="eastAsia" w:ascii="仿宋_GB2312" w:hAnsi="仿宋_GB2312" w:eastAsia="仿宋_GB2312" w:cs="仿宋_GB2312"/>
                <w:color w:val="auto"/>
                <w:highlight w:val="none"/>
              </w:rPr>
              <w:t>失效分析人员所需能力</w:t>
            </w:r>
            <w:r>
              <w:rPr>
                <w:rFonts w:hint="eastAsia" w:ascii="仿宋_GB2312" w:hAnsi="仿宋_GB2312" w:cs="仿宋_GB2312"/>
                <w:color w:val="auto"/>
                <w:highlight w:val="none"/>
                <w:lang w:eastAsia="zh-CN"/>
              </w:rPr>
              <w:t>的培训和考核，防务装备事业部应明确</w:t>
            </w:r>
            <w:r>
              <w:rPr>
                <w:rFonts w:hint="eastAsia" w:ascii="仿宋_GB2312" w:hAnsi="仿宋_GB2312" w:eastAsia="仿宋_GB2312" w:cs="仿宋_GB2312"/>
                <w:color w:val="auto"/>
                <w:highlight w:val="none"/>
              </w:rPr>
              <w:t>进行失效分析的环境要求</w:t>
            </w:r>
            <w:r>
              <w:rPr>
                <w:rFonts w:hint="eastAsia" w:ascii="仿宋_GB2312" w:hAnsi="仿宋_GB2312" w:cs="仿宋_GB2312"/>
                <w:color w:val="auto"/>
                <w:highlight w:val="none"/>
                <w:lang w:eastAsia="zh-CN"/>
              </w:rPr>
              <w:t>，质量体系部应保障</w:t>
            </w:r>
            <w:r>
              <w:rPr>
                <w:rFonts w:hint="eastAsia" w:ascii="仿宋_GB2312" w:hAnsi="仿宋_GB2312" w:eastAsia="仿宋_GB2312" w:cs="仿宋_GB2312"/>
                <w:color w:val="auto"/>
                <w:highlight w:val="none"/>
              </w:rPr>
              <w:t>失效分析</w:t>
            </w:r>
            <w:r>
              <w:rPr>
                <w:rFonts w:hint="eastAsia" w:ascii="仿宋_GB2312" w:hAnsi="仿宋_GB2312" w:cs="仿宋_GB2312"/>
                <w:color w:val="auto"/>
                <w:highlight w:val="none"/>
                <w:lang w:eastAsia="zh-CN"/>
              </w:rPr>
              <w:t>所需</w:t>
            </w:r>
            <w:r>
              <w:rPr>
                <w:rFonts w:hint="eastAsia" w:ascii="仿宋_GB2312" w:hAnsi="仿宋_GB2312" w:eastAsia="仿宋_GB2312" w:cs="仿宋_GB2312"/>
                <w:color w:val="auto"/>
                <w:highlight w:val="none"/>
              </w:rPr>
              <w:t>仪表</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设备具有对其产品失效分析所需的能力。失效分析设备可以是</w:t>
            </w:r>
            <w:r>
              <w:rPr>
                <w:rFonts w:hint="eastAsia" w:ascii="仿宋_GB2312" w:hAnsi="仿宋_GB2312" w:cs="仿宋_GB2312"/>
                <w:color w:val="auto"/>
                <w:highlight w:val="none"/>
                <w:lang w:eastAsia="zh-CN"/>
              </w:rPr>
              <w:t>本公司</w:t>
            </w:r>
            <w:r>
              <w:rPr>
                <w:rFonts w:hint="eastAsia" w:ascii="仿宋_GB2312" w:hAnsi="仿宋_GB2312" w:eastAsia="仿宋_GB2312" w:cs="仿宋_GB2312"/>
                <w:color w:val="auto"/>
                <w:highlight w:val="none"/>
              </w:rPr>
              <w:t>的设备，也可以是按合同另行安排其它有资格的单位的设备，应检定合格并在有效的计量、检定周期内。质量体系部以清单形式列出失效分析所需的设备，清单</w:t>
            </w:r>
            <w:r>
              <w:rPr>
                <w:rFonts w:hint="eastAsia" w:ascii="仿宋_GB2312" w:hAnsi="仿宋_GB2312" w:eastAsia="仿宋_GB2312" w:cs="仿宋_GB2312"/>
                <w:color w:val="auto"/>
                <w:spacing w:val="-6"/>
                <w:sz w:val="21"/>
                <w:highlight w:val="none"/>
              </w:rPr>
              <w:t>包括设备的名称、型号、制造厂、编号、存放地点、用途、设备工作范围、精度、校准周期等内容。</w:t>
            </w:r>
          </w:p>
          <w:p w14:paraId="03E8AAD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4.11.5 直接关联的程序文件和作业文件</w:t>
            </w:r>
          </w:p>
          <w:p w14:paraId="1BC9FC4A">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《失效分析控制程序》</w:t>
            </w:r>
          </w:p>
          <w:p w14:paraId="7E3F64E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《失效分析实施细则》</w:t>
            </w:r>
          </w:p>
          <w:p w14:paraId="18D21E13">
            <w:pPr>
              <w:keepNext w:val="0"/>
              <w:keepLines w:val="0"/>
              <w:pageBreakBefore w:val="0"/>
              <w:kinsoku/>
              <w:wordWrap/>
              <w:overflowPunct/>
              <w:topLinePunct w:val="0"/>
              <w:bidi w:val="0"/>
              <w:spacing w:line="440" w:lineRule="exact"/>
              <w:rPr>
                <w:rFonts w:ascii="宋体" w:hAnsi="宋体" w:eastAsia="宋体" w:cs="宋体"/>
                <w:color w:val="auto"/>
                <w:highlight w:val="none"/>
              </w:rPr>
            </w:pPr>
          </w:p>
          <w:p w14:paraId="1F90CF38">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306634FB">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D03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EF21CBD">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85CCEB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5193DD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0121CA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61A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9BF821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12E24F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B4F3DD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64B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6F721CC">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27" w:name="_Toc27513"/>
            <w:bookmarkStart w:id="128" w:name="_Toc27560"/>
            <w:bookmarkStart w:id="129" w:name="_Toc19586"/>
            <w:r>
              <w:rPr>
                <w:rFonts w:hint="eastAsia" w:ascii="宋体" w:hAnsi="宋体" w:eastAsia="宋体" w:cs="宋体"/>
                <w:color w:val="auto"/>
                <w:highlight w:val="none"/>
              </w:rPr>
              <w:t>4.12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纠正措施与改进</w:t>
            </w:r>
            <w:bookmarkEnd w:id="127"/>
            <w:bookmarkEnd w:id="128"/>
            <w:bookmarkEnd w:id="129"/>
          </w:p>
        </w:tc>
        <w:tc>
          <w:tcPr>
            <w:tcW w:w="1587" w:type="dxa"/>
            <w:tcBorders>
              <w:top w:val="single" w:color="auto" w:sz="4" w:space="0"/>
              <w:left w:val="single" w:color="auto" w:sz="4" w:space="0"/>
              <w:bottom w:val="single" w:color="auto" w:sz="4" w:space="0"/>
              <w:right w:val="single" w:color="auto" w:sz="4" w:space="0"/>
            </w:tcBorders>
            <w:vAlign w:val="center"/>
          </w:tcPr>
          <w:p w14:paraId="0F0B85E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E20949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35</w:t>
            </w:r>
            <w:r>
              <w:rPr>
                <w:rFonts w:hint="eastAsia" w:ascii="宋体" w:hAnsi="宋体" w:eastAsia="宋体" w:cs="宋体"/>
                <w:color w:val="auto"/>
                <w:highlight w:val="none"/>
              </w:rPr>
              <w:t xml:space="preserve"> 页</w:t>
            </w:r>
          </w:p>
        </w:tc>
      </w:tr>
      <w:tr w14:paraId="09BA4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EE483B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918CEE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E9B17A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323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3175182">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4.12.1 目的</w:t>
            </w:r>
          </w:p>
          <w:p w14:paraId="204AF38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对失效或异常采取纠正与改进措施，使鉴定合格产品的失效数量、关键工序过程能力控制在规范允许的范围内。</w:t>
            </w:r>
          </w:p>
          <w:p w14:paraId="3531369D">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4.12.2 适用范围</w:t>
            </w:r>
          </w:p>
          <w:p w14:paraId="00EFF012">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w:t>
            </w:r>
            <w:r>
              <w:rPr>
                <w:rFonts w:hint="eastAsia" w:ascii="仿宋_GB2312" w:hAnsi="仿宋_GB2312" w:eastAsia="仿宋_GB2312" w:cs="仿宋_GB2312"/>
                <w:color w:val="auto"/>
                <w:sz w:val="21"/>
                <w:szCs w:val="21"/>
                <w:highlight w:val="none"/>
              </w:rPr>
              <w:t>超柔射频同轴电缆</w:t>
            </w:r>
            <w:r>
              <w:rPr>
                <w:rFonts w:hint="eastAsia" w:ascii="仿宋_GB2312" w:hAnsi="仿宋_GB2312" w:cs="仿宋_GB2312"/>
                <w:color w:val="auto"/>
                <w:sz w:val="21"/>
                <w:szCs w:val="21"/>
                <w:highlight w:val="none"/>
                <w:lang w:eastAsia="zh-CN"/>
              </w:rPr>
              <w:t>生产线</w:t>
            </w:r>
            <w:r>
              <w:rPr>
                <w:rFonts w:hint="eastAsia" w:ascii="仿宋_GB2312" w:hAnsi="仿宋_GB2312" w:eastAsia="仿宋_GB2312" w:cs="仿宋_GB2312"/>
                <w:color w:val="auto"/>
                <w:highlight w:val="none"/>
              </w:rPr>
              <w:t>产品失效数超过规定范围或控制记录表明关键过程超出规定的控制限时，所采取的纠正措施和预防措施。</w:t>
            </w:r>
          </w:p>
          <w:p w14:paraId="7974B0B9">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4.12.3 职责 </w:t>
            </w:r>
          </w:p>
          <w:p w14:paraId="1602F33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质量体系部是纠正措施与改进控制的归口部门，负责纠正措施与改进控制工作的组织和验证。</w:t>
            </w:r>
          </w:p>
          <w:p w14:paraId="274D91C3">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是纠正措施与改进控制的主要相关部门，参与纠正措施与改进计划的制定和实施。</w:t>
            </w:r>
          </w:p>
          <w:p w14:paraId="7D63453E">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4.12.4 控制要求</w:t>
            </w:r>
          </w:p>
          <w:p w14:paraId="3500F09D">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4.12.4.1 </w:t>
            </w:r>
            <w:r>
              <w:rPr>
                <w:rFonts w:hint="eastAsia" w:ascii="仿宋_GB2312" w:hAnsi="仿宋_GB2312" w:eastAsia="仿宋_GB2312" w:cs="仿宋_GB2312"/>
                <w:color w:val="auto"/>
                <w:spacing w:val="2"/>
                <w:szCs w:val="21"/>
                <w:highlight w:val="none"/>
              </w:rPr>
              <w:t>当出现鉴定合格的产品在质量一致性检验中发生失效，失效数量超过产品规范所规定控制范围时，质量体系部组织相关部门查找失效的原因及失效模式对其进行分析，在原因分析的基础上拟制相应的纠正措施，并通过试验数据来证明其改进措施或试验方案的有效性，以确保类似的失效得以消除。</w:t>
            </w:r>
          </w:p>
          <w:p w14:paraId="4A82EB3A">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4.12.4.2 </w:t>
            </w:r>
            <w:r>
              <w:rPr>
                <w:rFonts w:hint="eastAsia" w:ascii="仿宋_GB2312" w:hAnsi="仿宋_GB2312" w:eastAsia="仿宋_GB2312" w:cs="仿宋_GB2312"/>
                <w:color w:val="auto"/>
                <w:spacing w:val="2"/>
                <w:szCs w:val="21"/>
                <w:highlight w:val="none"/>
              </w:rPr>
              <w:t>当用户使用过程中发生器件失效时，</w:t>
            </w:r>
            <w:r>
              <w:rPr>
                <w:rFonts w:hint="eastAsia" w:ascii="仿宋_GB2312" w:hAnsi="仿宋_GB2312" w:eastAsia="仿宋_GB2312" w:cs="仿宋_GB2312"/>
                <w:color w:val="auto"/>
                <w:spacing w:val="2"/>
                <w:szCs w:val="21"/>
                <w:highlight w:val="none"/>
                <w:lang w:eastAsia="zh-CN"/>
              </w:rPr>
              <w:t>防务装备事业部</w:t>
            </w:r>
            <w:r>
              <w:rPr>
                <w:rFonts w:hint="eastAsia" w:ascii="仿宋_GB2312" w:hAnsi="仿宋_GB2312" w:eastAsia="仿宋_GB2312" w:cs="仿宋_GB2312"/>
                <w:color w:val="auto"/>
                <w:spacing w:val="2"/>
                <w:szCs w:val="21"/>
                <w:highlight w:val="none"/>
              </w:rPr>
              <w:t>按照用户要求组织进行失效分析，</w:t>
            </w:r>
            <w:r>
              <w:rPr>
                <w:rFonts w:hint="eastAsia" w:ascii="仿宋_GB2312" w:hAnsi="仿宋_GB2312" w:eastAsia="仿宋_GB2312" w:cs="仿宋_GB2312"/>
                <w:color w:val="auto"/>
                <w:spacing w:val="0"/>
                <w:sz w:val="21"/>
                <w:szCs w:val="21"/>
                <w:highlight w:val="none"/>
              </w:rPr>
              <w:t>通过故障定位，机理分析找出失效原因，制定相应的纠正措施，并对所采取的纠正措施予以验证。</w:t>
            </w:r>
          </w:p>
          <w:p w14:paraId="74C25370">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4.12.4.3 </w:t>
            </w:r>
            <w:r>
              <w:rPr>
                <w:rFonts w:hint="eastAsia" w:ascii="仿宋_GB2312" w:hAnsi="仿宋_GB2312" w:eastAsia="仿宋_GB2312" w:cs="仿宋_GB2312"/>
                <w:color w:val="auto"/>
                <w:spacing w:val="2"/>
                <w:szCs w:val="21"/>
                <w:highlight w:val="none"/>
              </w:rPr>
              <w:t>当产品加工过程中控制记录表明加工过程超出控制界限，发生失效时，</w:t>
            </w:r>
            <w:r>
              <w:rPr>
                <w:rFonts w:hint="eastAsia" w:ascii="仿宋_GB2312" w:hAnsi="仿宋_GB2312" w:eastAsia="仿宋_GB2312" w:cs="仿宋_GB2312"/>
                <w:color w:val="auto"/>
                <w:spacing w:val="2"/>
                <w:szCs w:val="21"/>
                <w:highlight w:val="none"/>
                <w:lang w:eastAsia="zh-CN"/>
              </w:rPr>
              <w:t>防务装备事业部</w:t>
            </w:r>
            <w:r>
              <w:rPr>
                <w:rFonts w:hint="eastAsia" w:ascii="仿宋_GB2312" w:hAnsi="仿宋_GB2312" w:eastAsia="仿宋_GB2312" w:cs="仿宋_GB2312"/>
                <w:color w:val="auto"/>
                <w:spacing w:val="2"/>
                <w:szCs w:val="21"/>
                <w:highlight w:val="none"/>
              </w:rPr>
              <w:t>通过对人、机、料、法、环、测六方面的复核，找出造成失效的原因，采取相应的纠正措施，避免类似问题的重复发生。</w:t>
            </w:r>
          </w:p>
          <w:p w14:paraId="120692E4">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strike/>
                <w:color w:val="auto"/>
                <w:spacing w:val="0"/>
                <w:sz w:val="21"/>
                <w:szCs w:val="21"/>
                <w:highlight w:val="none"/>
              </w:rPr>
            </w:pPr>
            <w:r>
              <w:rPr>
                <w:rFonts w:hint="eastAsia" w:ascii="仿宋_GB2312" w:hAnsi="仿宋_GB2312" w:eastAsia="仿宋_GB2312" w:cs="仿宋_GB2312"/>
                <w:color w:val="auto"/>
                <w:highlight w:val="none"/>
              </w:rPr>
              <w:t xml:space="preserve">4.12.4.4 </w:t>
            </w:r>
            <w:r>
              <w:rPr>
                <w:rFonts w:hint="eastAsia" w:ascii="仿宋_GB2312" w:hAnsi="仿宋_GB2312" w:eastAsia="仿宋_GB2312" w:cs="仿宋_GB2312"/>
                <w:color w:val="auto"/>
                <w:spacing w:val="0"/>
                <w:sz w:val="21"/>
                <w:szCs w:val="21"/>
                <w:highlight w:val="none"/>
              </w:rPr>
              <w:t>对这些产品失效所采取的纠正措施需经过鉴定机构的认可，方可实施；当纠正措施仅限于是对工厂内部控制文件的改进措施时，措施计划可由</w:t>
            </w:r>
            <w:r>
              <w:rPr>
                <w:rFonts w:hint="eastAsia" w:ascii="仿宋_GB2312" w:hAnsi="仿宋_GB2312" w:eastAsia="仿宋_GB2312" w:cs="仿宋_GB2312"/>
                <w:color w:val="auto"/>
                <w:spacing w:val="0"/>
                <w:sz w:val="21"/>
                <w:szCs w:val="21"/>
                <w:highlight w:val="none"/>
                <w:lang w:eastAsia="zh-CN"/>
              </w:rPr>
              <w:t>质量保证负责</w:t>
            </w:r>
            <w:r>
              <w:rPr>
                <w:rFonts w:hint="eastAsia" w:ascii="仿宋_GB2312" w:hAnsi="仿宋_GB2312" w:eastAsia="仿宋_GB2312" w:cs="仿宋_GB2312"/>
                <w:color w:val="auto"/>
                <w:spacing w:val="0"/>
                <w:sz w:val="21"/>
                <w:szCs w:val="21"/>
                <w:highlight w:val="none"/>
              </w:rPr>
              <w:t>人签字批准后实施。</w:t>
            </w:r>
          </w:p>
          <w:p w14:paraId="370ECE15">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4.12.4.5</w:t>
            </w:r>
            <w:r>
              <w:rPr>
                <w:rFonts w:hint="eastAsia" w:ascii="仿宋_GB2312" w:hAnsi="仿宋_GB2312" w:eastAsia="仿宋_GB2312" w:cs="仿宋_GB2312"/>
                <w:color w:val="auto"/>
                <w:spacing w:val="2"/>
                <w:highlight w:val="none"/>
              </w:rPr>
              <w:t>必要时，防务装备事业部需对所采取的纠正措施编制试验方案并进行样品试验验证；如用户或鉴定机构要求时，归口部门在纠正措施实施前，提供对这些失效所采取的纠正措施的验证方案，注意：验证试验所采用的试验样品应是在受控的生产线上正常生产的，只是在建议更改的工序上采取纠正措施。</w:t>
            </w:r>
          </w:p>
        </w:tc>
      </w:tr>
    </w:tbl>
    <w:p w14:paraId="345B431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26C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974A0A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454059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C019BB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B47D82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7D78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145F9C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704ED2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D54F50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3AE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8A95DF4">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30" w:name="_Toc10220"/>
            <w:bookmarkStart w:id="131" w:name="_Toc9210"/>
            <w:bookmarkStart w:id="132" w:name="_Toc4504"/>
            <w:r>
              <w:rPr>
                <w:rFonts w:hint="eastAsia" w:ascii="宋体" w:hAnsi="宋体" w:eastAsia="宋体" w:cs="宋体"/>
                <w:color w:val="auto"/>
                <w:highlight w:val="none"/>
              </w:rPr>
              <w:t>4.12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纠正措施与改进</w:t>
            </w:r>
            <w:bookmarkEnd w:id="130"/>
            <w:bookmarkEnd w:id="131"/>
            <w:bookmarkEnd w:id="132"/>
          </w:p>
        </w:tc>
        <w:tc>
          <w:tcPr>
            <w:tcW w:w="1587" w:type="dxa"/>
            <w:tcBorders>
              <w:top w:val="single" w:color="auto" w:sz="4" w:space="0"/>
              <w:left w:val="single" w:color="auto" w:sz="4" w:space="0"/>
              <w:bottom w:val="single" w:color="auto" w:sz="4" w:space="0"/>
              <w:right w:val="single" w:color="auto" w:sz="4" w:space="0"/>
            </w:tcBorders>
            <w:vAlign w:val="center"/>
          </w:tcPr>
          <w:p w14:paraId="6998E1F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D17956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36</w:t>
            </w:r>
            <w:r>
              <w:rPr>
                <w:rFonts w:hint="eastAsia" w:ascii="宋体" w:hAnsi="宋体" w:eastAsia="宋体" w:cs="宋体"/>
                <w:color w:val="auto"/>
                <w:highlight w:val="none"/>
              </w:rPr>
              <w:t xml:space="preserve"> 页</w:t>
            </w:r>
          </w:p>
        </w:tc>
      </w:tr>
      <w:tr w14:paraId="0484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89B088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44C3B0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DFC977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868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9B92D45">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试验方案中需说明在什么样的环境、设备和仪器、机械、光学和标准参数下进行的试验，以便于证实提出的纠正措施建议是合理可行的；同时还应说明对生产工序、生产工艺或检验工艺等文件的任何更改建议，以及可能会造成对产品质量产生的不良影响。在完成试验后，将验证报告提交鉴定机构确认后方可实施纠正措施。</w:t>
            </w:r>
          </w:p>
          <w:p w14:paraId="52B5BDD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4.12.4.6 经鉴定机构确认后的纠正措施计划，方可正式实施，按GJB 546B-2011标准4.12.3规定将实施结果报告鉴定机构，并提供纠正措施生效的日期、已修改文件清单及标识、实施纠正措施的首批产品和（或）质量一致性检验合格产品的批号等相关资料。</w:t>
            </w:r>
          </w:p>
          <w:p w14:paraId="7D7F575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4.12.5 直接关联的程序文件和作业文件</w:t>
            </w:r>
          </w:p>
          <w:p w14:paraId="0AC6BDD4">
            <w:pPr>
              <w:pStyle w:val="11"/>
              <w:keepNext w:val="0"/>
              <w:keepLines w:val="0"/>
              <w:pageBreakBefore w:val="0"/>
              <w:kinsoku/>
              <w:wordWrap/>
              <w:overflowPunct/>
              <w:topLinePunct w:val="0"/>
              <w:bidi w:val="0"/>
              <w:spacing w:line="440" w:lineRule="exact"/>
              <w:ind w:left="-31" w:leftChars="-15" w:right="-105"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zh-CN"/>
              </w:rPr>
              <w:t>纠正改进措施控制程序</w:t>
            </w:r>
            <w:r>
              <w:rPr>
                <w:rFonts w:hint="eastAsia" w:ascii="仿宋_GB2312" w:hAnsi="仿宋_GB2312" w:eastAsia="仿宋_GB2312" w:cs="仿宋_GB2312"/>
                <w:color w:val="auto"/>
                <w:highlight w:val="none"/>
              </w:rPr>
              <w:t>》</w:t>
            </w:r>
          </w:p>
          <w:p w14:paraId="7FB802C4">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742EB577">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769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40B5CC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0A41EECD">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965754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79C251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4042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AC8ED1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C13372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7E5DDC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A5E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F53E4FF">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33" w:name="_Toc14026"/>
            <w:bookmarkStart w:id="134" w:name="_Toc10885"/>
            <w:bookmarkStart w:id="135" w:name="_Toc19172"/>
            <w:r>
              <w:rPr>
                <w:rFonts w:hint="eastAsia" w:ascii="宋体" w:hAnsi="宋体" w:eastAsia="宋体" w:cs="宋体"/>
                <w:color w:val="auto"/>
                <w:highlight w:val="none"/>
              </w:rPr>
              <w:t>4.13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测量和试验设备的控制</w:t>
            </w:r>
            <w:bookmarkEnd w:id="133"/>
            <w:bookmarkEnd w:id="134"/>
            <w:bookmarkEnd w:id="135"/>
          </w:p>
        </w:tc>
        <w:tc>
          <w:tcPr>
            <w:tcW w:w="1587" w:type="dxa"/>
            <w:tcBorders>
              <w:top w:val="single" w:color="auto" w:sz="4" w:space="0"/>
              <w:left w:val="single" w:color="auto" w:sz="4" w:space="0"/>
              <w:bottom w:val="single" w:color="auto" w:sz="4" w:space="0"/>
              <w:right w:val="single" w:color="auto" w:sz="4" w:space="0"/>
            </w:tcBorders>
            <w:vAlign w:val="center"/>
          </w:tcPr>
          <w:p w14:paraId="3F3F832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53DA35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37</w:t>
            </w:r>
            <w:r>
              <w:rPr>
                <w:rFonts w:hint="eastAsia" w:ascii="宋体" w:hAnsi="宋体" w:eastAsia="宋体" w:cs="宋体"/>
                <w:color w:val="auto"/>
                <w:highlight w:val="none"/>
              </w:rPr>
              <w:t xml:space="preserve"> 页</w:t>
            </w:r>
          </w:p>
        </w:tc>
      </w:tr>
      <w:tr w14:paraId="4E5E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E7DF90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27DA25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52CDA8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BC1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9" w:hRule="atLeast"/>
          <w:jc w:val="center"/>
        </w:trPr>
        <w:tc>
          <w:tcPr>
            <w:tcW w:w="9077" w:type="dxa"/>
            <w:gridSpan w:val="3"/>
            <w:tcBorders>
              <w:left w:val="single" w:color="auto" w:sz="4" w:space="0"/>
              <w:bottom w:val="single" w:color="auto" w:sz="4" w:space="0"/>
              <w:right w:val="single" w:color="auto" w:sz="4" w:space="0"/>
            </w:tcBorders>
          </w:tcPr>
          <w:p w14:paraId="1C133F6D">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4.13.1 目的</w:t>
            </w:r>
          </w:p>
          <w:p w14:paraId="134385C0">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w:t>
            </w:r>
            <w:r>
              <w:rPr>
                <w:rFonts w:hint="eastAsia" w:ascii="仿宋_GB2312" w:hAnsi="仿宋_GB2312" w:eastAsia="仿宋_GB2312" w:cs="仿宋_GB2312"/>
                <w:color w:val="auto"/>
                <w:sz w:val="21"/>
                <w:szCs w:val="21"/>
                <w:highlight w:val="none"/>
              </w:rPr>
              <w:t>超柔射频同轴电缆</w:t>
            </w:r>
            <w:r>
              <w:rPr>
                <w:rFonts w:hint="eastAsia" w:ascii="仿宋_GB2312" w:hAnsi="仿宋_GB2312" w:eastAsia="仿宋_GB2312" w:cs="仿宋_GB2312"/>
                <w:color w:val="auto"/>
                <w:highlight w:val="none"/>
              </w:rPr>
              <w:t>生产线上的测量和试验设备进行控制，保证满足生产加工过程的使用要求并真实地反映产品的性能参数和质量水平。</w:t>
            </w:r>
          </w:p>
          <w:p w14:paraId="4388688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4.13.2  适用范围</w:t>
            </w:r>
          </w:p>
          <w:p w14:paraId="2EB19EA0">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适用于生产实现过程中测量和试验设备的控制。</w:t>
            </w:r>
          </w:p>
          <w:p w14:paraId="49BF43D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4.13.3 职责</w:t>
            </w:r>
          </w:p>
          <w:p w14:paraId="4D6097F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质量体系部是测量和试验设备控制的归口部门，负责测量和试验设备的统一管理和检定。负责</w:t>
            </w:r>
            <w:r>
              <w:rPr>
                <w:rFonts w:hint="eastAsia" w:ascii="仿宋_GB2312" w:hAnsi="仿宋_GB2312" w:cs="仿宋_GB2312"/>
                <w:color w:val="auto"/>
                <w:highlight w:val="none"/>
                <w:lang w:eastAsia="zh-CN"/>
              </w:rPr>
              <w:t>所使用</w:t>
            </w:r>
            <w:r>
              <w:rPr>
                <w:rFonts w:hint="eastAsia" w:ascii="仿宋_GB2312" w:hAnsi="仿宋_GB2312" w:eastAsia="仿宋_GB2312" w:cs="仿宋_GB2312"/>
                <w:color w:val="auto"/>
                <w:highlight w:val="none"/>
              </w:rPr>
              <w:t>测量和试验设备的日常维护和使用。</w:t>
            </w:r>
          </w:p>
          <w:p w14:paraId="3A724E6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是测量和试验设备控制的主要相关部门，负责</w:t>
            </w:r>
            <w:r>
              <w:rPr>
                <w:rFonts w:hint="eastAsia" w:ascii="仿宋_GB2312" w:hAnsi="仿宋_GB2312" w:cs="仿宋_GB2312"/>
                <w:color w:val="auto"/>
                <w:highlight w:val="none"/>
                <w:lang w:eastAsia="zh-CN"/>
              </w:rPr>
              <w:t>所使用</w:t>
            </w:r>
            <w:r>
              <w:rPr>
                <w:rFonts w:hint="eastAsia" w:ascii="仿宋_GB2312" w:hAnsi="仿宋_GB2312" w:eastAsia="仿宋_GB2312" w:cs="仿宋_GB2312"/>
                <w:color w:val="auto"/>
                <w:highlight w:val="none"/>
              </w:rPr>
              <w:t>测量和试验设备的日常维护和使用。</w:t>
            </w:r>
          </w:p>
          <w:p w14:paraId="5D5F778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 控制要求</w:t>
            </w:r>
          </w:p>
          <w:p w14:paraId="43C1C9D1">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质量体系部编制检定/校准及计量确认程序。</w:t>
            </w:r>
          </w:p>
          <w:p w14:paraId="08EC015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4.13.4.1 计量室编制测量仪器和试验设备清单，清单中应包括仪器、设备的名称、型号、制造厂、编号、存放部门及地点、用途、设备工作范围、精度、校准周期等内容，并对清单进行动态管理。</w:t>
            </w:r>
          </w:p>
          <w:p w14:paraId="69B3123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4.13.4.2 对每类自编测量仪器、试验设备的检定规程/校准规范和要求进行规定并执行。</w:t>
            </w:r>
          </w:p>
          <w:p w14:paraId="304B900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4.13.4.3 每台测量仪器、检测设备按要求建立档案，保存这些设备的原始资料、验收文件、检定记录/校准证书、维修记录等。</w:t>
            </w:r>
          </w:p>
          <w:p w14:paraId="53519E6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4.13.4.4 对每台仪器仪表、计量器具、试验设备的状态（合格、准用、限用、禁用、停用、封存等）、使用有效期（检定合格证）、确认人（单位）、操作要求（操作规程）等进行挂牌或张贴标识，以便于了解这些设备的状态和相关操作方法。对设备位置变动会影响其测量性能的测量设备，需实施定置管理。</w:t>
            </w:r>
          </w:p>
          <w:p w14:paraId="0BF22F9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生产和检验共用的测量设备应贴上“生产和检验共用”标识牌，提示在用于检验前应先进行运行检查，并保持记录。</w:t>
            </w:r>
          </w:p>
          <w:p w14:paraId="4FF0538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已通过生产线认证的鉴定批产品，其检测和试验用的设备仪器还应贴上军标线认证标志以示区别，并提示今后生产该认证产品时，必须在这些设备仪器上进行。</w:t>
            </w:r>
          </w:p>
          <w:p w14:paraId="46C21988">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设备的检定/校准和确认记录（含测量软件的确认记录）至少应保存5年。</w:t>
            </w:r>
          </w:p>
        </w:tc>
      </w:tr>
    </w:tbl>
    <w:p w14:paraId="4664685B">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507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6EA2E8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8C27A5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A63D18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CEE750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498E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849B22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741F73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CA4A38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224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9927526">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36" w:name="_Toc5885"/>
            <w:bookmarkStart w:id="137" w:name="_Toc22405"/>
            <w:bookmarkStart w:id="138" w:name="_Toc22542"/>
            <w:r>
              <w:rPr>
                <w:rFonts w:hint="eastAsia" w:ascii="宋体" w:hAnsi="宋体" w:eastAsia="宋体" w:cs="宋体"/>
                <w:color w:val="auto"/>
                <w:highlight w:val="none"/>
              </w:rPr>
              <w:t>4.13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测量和试验设备的控制</w:t>
            </w:r>
            <w:bookmarkEnd w:id="136"/>
            <w:bookmarkEnd w:id="137"/>
            <w:bookmarkEnd w:id="138"/>
          </w:p>
        </w:tc>
        <w:tc>
          <w:tcPr>
            <w:tcW w:w="1587" w:type="dxa"/>
            <w:tcBorders>
              <w:top w:val="single" w:color="auto" w:sz="4" w:space="0"/>
              <w:left w:val="single" w:color="auto" w:sz="4" w:space="0"/>
              <w:bottom w:val="single" w:color="auto" w:sz="4" w:space="0"/>
              <w:right w:val="single" w:color="auto" w:sz="4" w:space="0"/>
            </w:tcBorders>
            <w:vAlign w:val="center"/>
          </w:tcPr>
          <w:p w14:paraId="6E8F394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0B516DA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38</w:t>
            </w:r>
            <w:r>
              <w:rPr>
                <w:rFonts w:hint="eastAsia" w:ascii="宋体" w:hAnsi="宋体" w:eastAsia="宋体" w:cs="宋体"/>
                <w:color w:val="auto"/>
                <w:highlight w:val="none"/>
              </w:rPr>
              <w:t xml:space="preserve"> 页</w:t>
            </w:r>
          </w:p>
        </w:tc>
      </w:tr>
      <w:tr w14:paraId="31B6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E65256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17868B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9C8E2E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513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3BDDA911">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4.13.4.5 对仪器仪表、计量器具、试验设备进行动态管理。</w:t>
            </w:r>
          </w:p>
          <w:p w14:paraId="716474B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4.13.4.6 制定相应防护规定,确保仪器仪表、计量器具、试验设备在搬运、运输、贮存和维修时</w:t>
            </w:r>
          </w:p>
          <w:p w14:paraId="43492741">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Cs w:val="21"/>
                <w:highlight w:val="none"/>
              </w:rPr>
              <w:t>防止损坏和失效。</w:t>
            </w:r>
          </w:p>
          <w:p w14:paraId="553EEDC9">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4.13.4.7 </w:t>
            </w:r>
            <w:r>
              <w:rPr>
                <w:rFonts w:hint="eastAsia" w:ascii="仿宋_GB2312" w:hAnsi="仿宋_GB2312" w:eastAsia="仿宋_GB2312" w:cs="仿宋_GB2312"/>
                <w:color w:val="auto"/>
                <w:spacing w:val="2"/>
                <w:szCs w:val="21"/>
                <w:highlight w:val="none"/>
              </w:rPr>
              <w:t>当生产和检验设备可以共用,用作于检验设备之前，先进行运行检查并做好相关记录，确保其各项能力满足测量要求。</w:t>
            </w:r>
          </w:p>
          <w:p w14:paraId="4F5DFFE5">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4.13.4.8</w:t>
            </w:r>
            <w:r>
              <w:rPr>
                <w:rFonts w:hint="eastAsia" w:ascii="仿宋_GB2312" w:hAnsi="仿宋_GB2312" w:eastAsia="仿宋_GB2312" w:cs="仿宋_GB2312"/>
                <w:color w:val="auto"/>
                <w:szCs w:val="21"/>
                <w:highlight w:val="none"/>
              </w:rPr>
              <w:t>当承制单位或试验机构的测量设备在进行校准/检定中所使用的规程没有可依据的国家标准时，承制单位应编制相应的规程并经鉴定机构确认后方可执行。</w:t>
            </w:r>
          </w:p>
          <w:p w14:paraId="7A62D07F">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highlight w:val="none"/>
              </w:rPr>
              <w:t>4.13.4.9当计算机软件用于规定要求的监视和测量时，应确认其满足预期用途的能力。确认应在初次使用前进行，并在必要时予以重新确认。</w:t>
            </w:r>
          </w:p>
          <w:p w14:paraId="68B6C13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4.13.5 直接关联的程序文件和作业文件</w:t>
            </w:r>
          </w:p>
          <w:p w14:paraId="5C809BD1">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《计量器具分类管理程序》</w:t>
            </w:r>
          </w:p>
          <w:p w14:paraId="46D8547C">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《确认间隔管理程序》</w:t>
            </w:r>
          </w:p>
          <w:p w14:paraId="121BE292">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《计量器具周期检定/校准管理程序》</w:t>
            </w:r>
          </w:p>
          <w:p w14:paraId="310BD643">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《计量确认标记管理程序》</w:t>
            </w:r>
          </w:p>
          <w:p w14:paraId="50B33B94">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《不合格计量器具的管理、纠正、追溯程序》</w:t>
            </w:r>
          </w:p>
          <w:p w14:paraId="72382297">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《环境管理程序》</w:t>
            </w:r>
          </w:p>
          <w:p w14:paraId="05237FA6">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《计量器具检定/校准计量确认程序》</w:t>
            </w:r>
          </w:p>
          <w:p w14:paraId="630DC3E3">
            <w:pPr>
              <w:spacing w:line="440" w:lineRule="exact"/>
              <w:ind w:firstLine="420" w:firstLineChars="200"/>
              <w:rPr>
                <w:rFonts w:hint="eastAsia" w:ascii="仿宋_GB2312" w:hAnsi="仿宋_GB2312" w:eastAsia="仿宋_GB2312" w:cs="仿宋_GB2312"/>
                <w:color w:val="auto"/>
                <w:kern w:val="0"/>
                <w:sz w:val="21"/>
                <w:szCs w:val="20"/>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《计量器具运行检查程序》</w:t>
            </w:r>
          </w:p>
          <w:p w14:paraId="6145F4D2">
            <w:pPr>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0"/>
                <w:highlight w:val="none"/>
                <w:lang w:val="en-US" w:eastAsia="zh-CN" w:bidi="ar-SA"/>
              </w:rPr>
              <w:t>《生产和检验共用设备管理办法》</w:t>
            </w:r>
          </w:p>
        </w:tc>
      </w:tr>
    </w:tbl>
    <w:p w14:paraId="33056F47">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D80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CBEEB6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90FE54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42275A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597CBA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A2A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C25624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03188F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1EC07A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290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57193FD">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39" w:name="_Toc25977"/>
            <w:bookmarkStart w:id="140" w:name="_Toc31509"/>
            <w:bookmarkStart w:id="141" w:name="_Toc20872"/>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39"/>
            <w:bookmarkEnd w:id="140"/>
            <w:bookmarkEnd w:id="141"/>
          </w:p>
        </w:tc>
        <w:tc>
          <w:tcPr>
            <w:tcW w:w="1587" w:type="dxa"/>
            <w:tcBorders>
              <w:top w:val="single" w:color="auto" w:sz="4" w:space="0"/>
              <w:left w:val="single" w:color="auto" w:sz="4" w:space="0"/>
              <w:bottom w:val="single" w:color="auto" w:sz="4" w:space="0"/>
              <w:right w:val="single" w:color="auto" w:sz="4" w:space="0"/>
            </w:tcBorders>
            <w:vAlign w:val="center"/>
          </w:tcPr>
          <w:p w14:paraId="12717C3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5F7E04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39</w:t>
            </w:r>
            <w:r>
              <w:rPr>
                <w:rFonts w:hint="eastAsia" w:ascii="宋体" w:hAnsi="宋体" w:eastAsia="宋体" w:cs="宋体"/>
                <w:color w:val="auto"/>
                <w:highlight w:val="none"/>
              </w:rPr>
              <w:t xml:space="preserve"> 页</w:t>
            </w:r>
          </w:p>
        </w:tc>
      </w:tr>
      <w:tr w14:paraId="7CDA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3405BE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8848B5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6F6C25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2E8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8533F6F">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4.14.1 目的</w:t>
            </w:r>
          </w:p>
          <w:p w14:paraId="156C19B0">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对</w:t>
            </w:r>
            <w:r>
              <w:rPr>
                <w:rFonts w:hint="eastAsia" w:ascii="仿宋_GB2312" w:hAnsi="仿宋_GB2312" w:eastAsia="仿宋_GB2312" w:cs="仿宋_GB2312"/>
                <w:color w:val="auto"/>
                <w:sz w:val="21"/>
                <w:szCs w:val="21"/>
                <w:highlight w:val="none"/>
              </w:rPr>
              <w:t>超柔射频同轴电缆</w:t>
            </w:r>
            <w:r>
              <w:rPr>
                <w:rFonts w:hint="eastAsia" w:ascii="仿宋_GB2312" w:hAnsi="仿宋_GB2312" w:eastAsia="仿宋_GB2312" w:cs="仿宋_GB2312"/>
                <w:color w:val="auto"/>
                <w:szCs w:val="21"/>
                <w:highlight w:val="none"/>
              </w:rPr>
              <w:t>生产线产品</w:t>
            </w:r>
            <w:r>
              <w:rPr>
                <w:rFonts w:hint="eastAsia" w:ascii="仿宋_GB2312" w:hAnsi="仿宋_GB2312" w:eastAsia="仿宋_GB2312" w:cs="仿宋_GB2312"/>
                <w:color w:val="auto"/>
                <w:spacing w:val="0"/>
                <w:kern w:val="2"/>
                <w:szCs w:val="21"/>
                <w:highlight w:val="none"/>
              </w:rPr>
              <w:t>涉及的原材料采购、验收、贮存进行管理，以满足产品实现的需要。</w:t>
            </w:r>
          </w:p>
          <w:p w14:paraId="11057A2B">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4.14.2 适用范围</w:t>
            </w:r>
          </w:p>
          <w:p w14:paraId="7AA62A1E">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z w:val="21"/>
                <w:szCs w:val="21"/>
                <w:highlight w:val="none"/>
              </w:rPr>
              <w:t>超柔射频同轴电缆</w:t>
            </w:r>
            <w:r>
              <w:rPr>
                <w:rFonts w:hint="eastAsia" w:ascii="仿宋_GB2312" w:hAnsi="仿宋_GB2312" w:eastAsia="仿宋_GB2312" w:cs="仿宋_GB2312"/>
                <w:color w:val="auto"/>
                <w:szCs w:val="21"/>
                <w:highlight w:val="none"/>
              </w:rPr>
              <w:t>生产线产品</w:t>
            </w:r>
            <w:r>
              <w:rPr>
                <w:rFonts w:hint="eastAsia" w:ascii="仿宋_GB2312" w:hAnsi="仿宋_GB2312" w:eastAsia="仿宋_GB2312" w:cs="仿宋_GB2312"/>
                <w:color w:val="auto"/>
                <w:spacing w:val="0"/>
                <w:kern w:val="2"/>
                <w:szCs w:val="21"/>
                <w:highlight w:val="none"/>
              </w:rPr>
              <w:t>原材料采购、验收、存储过程控制。</w:t>
            </w:r>
          </w:p>
          <w:p w14:paraId="3BA2A78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4.14.3 职责</w:t>
            </w:r>
          </w:p>
          <w:p w14:paraId="52BB4D9B">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采购管理部</w:t>
            </w:r>
            <w:r>
              <w:rPr>
                <w:rFonts w:hint="eastAsia" w:ascii="仿宋_GB2312" w:hAnsi="仿宋_GB2312" w:eastAsia="仿宋_GB2312" w:cs="仿宋_GB2312"/>
                <w:color w:val="auto"/>
                <w:spacing w:val="0"/>
                <w:kern w:val="2"/>
                <w:szCs w:val="21"/>
                <w:highlight w:val="none"/>
              </w:rPr>
              <w:t>是采购控制的归口部门，负责原材料采购和</w:t>
            </w:r>
            <w:r>
              <w:rPr>
                <w:rFonts w:hint="eastAsia" w:ascii="仿宋_GB2312" w:hAnsi="仿宋_GB2312" w:eastAsia="仿宋_GB2312" w:cs="仿宋_GB2312"/>
                <w:color w:val="auto"/>
                <w:kern w:val="2"/>
                <w:szCs w:val="21"/>
                <w:highlight w:val="none"/>
              </w:rPr>
              <w:t>仓储管理</w:t>
            </w:r>
            <w:r>
              <w:rPr>
                <w:rFonts w:hint="eastAsia" w:ascii="仿宋_GB2312" w:hAnsi="仿宋_GB2312" w:eastAsia="仿宋_GB2312" w:cs="仿宋_GB2312"/>
                <w:color w:val="auto"/>
                <w:spacing w:val="0"/>
                <w:kern w:val="2"/>
                <w:szCs w:val="21"/>
                <w:highlight w:val="none"/>
              </w:rPr>
              <w:t>；</w:t>
            </w:r>
          </w:p>
          <w:p w14:paraId="5064E214">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防务装备事业部</w:t>
            </w:r>
            <w:r>
              <w:rPr>
                <w:rFonts w:hint="eastAsia" w:ascii="仿宋_GB2312" w:hAnsi="仿宋_GB2312" w:eastAsia="仿宋_GB2312" w:cs="仿宋_GB2312"/>
                <w:color w:val="auto"/>
                <w:spacing w:val="0"/>
                <w:kern w:val="2"/>
                <w:szCs w:val="21"/>
                <w:highlight w:val="none"/>
              </w:rPr>
              <w:t>门是采购控制的主要相关部门，负责原材料采购规范和关键、重要材料清单的编制；</w:t>
            </w:r>
            <w:r>
              <w:rPr>
                <w:rFonts w:hint="eastAsia" w:ascii="仿宋_GB2312" w:hAnsi="仿宋_GB2312" w:eastAsia="仿宋_GB2312" w:cs="仿宋_GB2312"/>
                <w:color w:val="auto"/>
                <w:kern w:val="2"/>
                <w:szCs w:val="21"/>
                <w:highlight w:val="none"/>
              </w:rPr>
              <w:t>负责本事业部的材料仓储管理。</w:t>
            </w:r>
          </w:p>
          <w:p w14:paraId="55D8A181">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质量体系部是采购控制的主要相关部门，负责原材料的检验</w:t>
            </w:r>
            <w:r>
              <w:rPr>
                <w:rFonts w:hint="eastAsia" w:ascii="仿宋_GB2312" w:hAnsi="仿宋_GB2312" w:eastAsia="仿宋_GB2312" w:cs="仿宋_GB2312"/>
                <w:color w:val="auto"/>
                <w:spacing w:val="0"/>
                <w:kern w:val="2"/>
                <w:szCs w:val="21"/>
                <w:highlight w:val="none"/>
                <w:lang w:eastAsia="zh-CN"/>
              </w:rPr>
              <w:t>，负责合格供方的评价、管理</w:t>
            </w:r>
            <w:r>
              <w:rPr>
                <w:rFonts w:hint="eastAsia" w:ascii="仿宋_GB2312" w:hAnsi="仿宋_GB2312" w:eastAsia="仿宋_GB2312" w:cs="仿宋_GB2312"/>
                <w:color w:val="auto"/>
                <w:spacing w:val="0"/>
                <w:kern w:val="2"/>
                <w:szCs w:val="21"/>
                <w:highlight w:val="none"/>
              </w:rPr>
              <w:t>。</w:t>
            </w:r>
          </w:p>
          <w:p w14:paraId="58266341">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4.14.4 控制要求</w:t>
            </w:r>
          </w:p>
          <w:p w14:paraId="399554FD">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4.14.4.1</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spacing w:val="2"/>
                <w:kern w:val="0"/>
                <w:highlight w:val="none"/>
              </w:rPr>
              <w:t>编制</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采购控制程序</w:t>
            </w:r>
            <w:r>
              <w:rPr>
                <w:rFonts w:hint="eastAsia" w:ascii="仿宋_GB2312" w:hAnsi="仿宋_GB2312" w:cs="仿宋_GB2312"/>
                <w:color w:val="auto"/>
                <w:spacing w:val="2"/>
                <w:kern w:val="0"/>
                <w:highlight w:val="none"/>
                <w:lang w:eastAsia="zh-CN"/>
              </w:rPr>
              <w:t>》，质量体系部编制《供方管理控制程序》</w:t>
            </w:r>
            <w:r>
              <w:rPr>
                <w:rFonts w:hint="eastAsia" w:ascii="仿宋_GB2312" w:hAnsi="仿宋_GB2312" w:eastAsia="仿宋_GB2312" w:cs="仿宋_GB2312"/>
                <w:color w:val="auto"/>
                <w:spacing w:val="2"/>
                <w:kern w:val="0"/>
                <w:highlight w:val="none"/>
              </w:rPr>
              <w:t>。以保证采购的所有产品和服务满足产品设计的要求。采购过程控制包括：对供应商的选择，采购文件的控制，供方的监督，对采购产品的检验控制。对购进材料</w:t>
            </w:r>
            <w:r>
              <w:rPr>
                <w:rFonts w:hint="eastAsia" w:ascii="仿宋_GB2312" w:hAnsi="仿宋_GB2312" w:eastAsia="仿宋_GB2312" w:cs="仿宋_GB2312"/>
                <w:color w:val="auto"/>
                <w:highlight w:val="none"/>
              </w:rPr>
              <w:t>的出入库管理及贮存、防护、标识、使用的控制</w:t>
            </w:r>
            <w:r>
              <w:rPr>
                <w:rFonts w:hint="eastAsia" w:ascii="仿宋_GB2312" w:hAnsi="仿宋_GB2312" w:eastAsia="仿宋_GB2312" w:cs="仿宋_GB2312"/>
                <w:color w:val="auto"/>
                <w:spacing w:val="2"/>
                <w:kern w:val="0"/>
                <w:highlight w:val="none"/>
              </w:rPr>
              <w:t>。</w:t>
            </w:r>
          </w:p>
          <w:p w14:paraId="0601C05D">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4.14.4.2 </w:t>
            </w:r>
            <w:r>
              <w:rPr>
                <w:rFonts w:hint="eastAsia" w:ascii="仿宋_GB2312" w:hAnsi="仿宋_GB2312" w:eastAsia="仿宋_GB2312" w:cs="仿宋_GB2312"/>
                <w:color w:val="auto"/>
                <w:spacing w:val="2"/>
                <w:kern w:val="0"/>
                <w:highlight w:val="none"/>
              </w:rPr>
              <w:t>采购过程控制</w:t>
            </w:r>
          </w:p>
          <w:p w14:paraId="37321BD2">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szCs w:val="22"/>
                <w:highlight w:val="none"/>
              </w:rPr>
            </w:pPr>
            <w:r>
              <w:rPr>
                <w:rFonts w:hint="eastAsia" w:ascii="仿宋_GB2312" w:hAnsi="仿宋_GB2312" w:eastAsia="仿宋_GB2312" w:cs="仿宋_GB2312"/>
                <w:color w:val="auto"/>
                <w:spacing w:val="2"/>
                <w:sz w:val="21"/>
                <w:szCs w:val="22"/>
                <w:highlight w:val="none"/>
                <w:lang w:val="en-US" w:eastAsia="zh-CN" w:bidi="ar-SA"/>
              </w:rPr>
              <w:t xml:space="preserve">1)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编制《原材料采购规范》，明确采购控制要求；</w:t>
            </w:r>
            <w:r>
              <w:rPr>
                <w:rFonts w:hint="eastAsia" w:ascii="仿宋_GB2312" w:hAnsi="仿宋_GB2312" w:eastAsia="仿宋_GB2312" w:cs="仿宋_GB2312"/>
                <w:color w:val="auto"/>
                <w:highlight w:val="none"/>
                <w:lang w:eastAsia="zh-CN"/>
              </w:rPr>
              <w:t>采购管理部</w:t>
            </w:r>
            <w:r>
              <w:rPr>
                <w:rFonts w:hint="eastAsia" w:ascii="仿宋_GB2312" w:hAnsi="仿宋_GB2312" w:eastAsia="仿宋_GB2312" w:cs="仿宋_GB2312"/>
                <w:color w:val="auto"/>
                <w:highlight w:val="none"/>
              </w:rPr>
              <w:t>在采购合同中明确采购的型号、规格、数量、执行的标准、质量等级、主要特性技术要求、验收要求、监制要求等必要的要</w:t>
            </w:r>
            <w:r>
              <w:rPr>
                <w:rFonts w:hint="eastAsia" w:ascii="仿宋_GB2312" w:hAnsi="仿宋_GB2312" w:eastAsia="仿宋_GB2312" w:cs="仿宋_GB2312"/>
                <w:color w:val="auto"/>
                <w:szCs w:val="22"/>
                <w:highlight w:val="none"/>
              </w:rPr>
              <w:t>求。</w:t>
            </w:r>
          </w:p>
          <w:p w14:paraId="2C41B4DF">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sz w:val="21"/>
                <w:highlight w:val="none"/>
                <w:lang w:val="en-US" w:eastAsia="zh-CN" w:bidi="ar-SA"/>
              </w:rPr>
              <w:t xml:space="preserve">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识别并建立产品的关键、重要材料清单，内容包括：名称、型号/规格、供应商、采购依据标准、入厂检验规范、储存有效期等。</w:t>
            </w:r>
          </w:p>
          <w:p w14:paraId="2F0352A5">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sz w:val="21"/>
                <w:highlight w:val="none"/>
                <w:lang w:val="en-US" w:eastAsia="zh-CN" w:bidi="ar-SA"/>
              </w:rPr>
              <w:t xml:space="preserve">3) </w:t>
            </w:r>
            <w:r>
              <w:rPr>
                <w:rFonts w:hint="eastAsia" w:ascii="仿宋_GB2312" w:hAnsi="仿宋_GB2312" w:eastAsia="仿宋_GB2312" w:cs="仿宋_GB2312"/>
                <w:color w:val="auto"/>
                <w:szCs w:val="22"/>
                <w:highlight w:val="none"/>
                <w:lang w:eastAsia="zh-CN"/>
              </w:rPr>
              <w:t>质量体系部</w:t>
            </w:r>
            <w:r>
              <w:rPr>
                <w:rFonts w:hint="eastAsia" w:ascii="仿宋_GB2312" w:hAnsi="仿宋_GB2312" w:eastAsia="仿宋_GB2312" w:cs="仿宋_GB2312"/>
                <w:color w:val="auto"/>
                <w:szCs w:val="22"/>
                <w:highlight w:val="none"/>
              </w:rPr>
              <w:t>编制</w:t>
            </w:r>
            <w:r>
              <w:rPr>
                <w:rFonts w:hint="eastAsia" w:ascii="仿宋_GB2312" w:hAnsi="仿宋_GB2312" w:eastAsia="仿宋_GB2312" w:cs="仿宋_GB2312"/>
                <w:color w:val="auto"/>
                <w:highlight w:val="none"/>
              </w:rPr>
              <w:t>供方评价准则，用于选择、评价和重新评价供方的依据。根据评价结果建立合格供应商名录。对用户要求控制的采购产品，应邀请用户参与对供方的评价和选择。评价结果及评价所引起的任何必要措施的记录应妥善保</w:t>
            </w:r>
            <w:r>
              <w:rPr>
                <w:rFonts w:hint="eastAsia" w:ascii="仿宋_GB2312" w:hAnsi="仿宋_GB2312" w:eastAsia="仿宋_GB2312" w:cs="仿宋_GB2312"/>
                <w:color w:val="auto"/>
                <w:szCs w:val="22"/>
                <w:highlight w:val="none"/>
              </w:rPr>
              <w:t>存。</w:t>
            </w:r>
          </w:p>
          <w:p w14:paraId="0FAD942F">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szCs w:val="22"/>
                <w:highlight w:val="none"/>
              </w:rPr>
            </w:pPr>
            <w:r>
              <w:rPr>
                <w:rFonts w:hint="eastAsia" w:ascii="仿宋_GB2312" w:hAnsi="仿宋_GB2312" w:eastAsia="仿宋_GB2312" w:cs="仿宋_GB2312"/>
                <w:color w:val="auto"/>
                <w:spacing w:val="2"/>
                <w:sz w:val="21"/>
                <w:szCs w:val="22"/>
                <w:highlight w:val="none"/>
                <w:lang w:val="en-US" w:eastAsia="zh-CN" w:bidi="ar-SA"/>
              </w:rPr>
              <w:t xml:space="preserve">4) </w:t>
            </w:r>
            <w:r>
              <w:rPr>
                <w:rFonts w:hint="eastAsia" w:ascii="仿宋_GB2312" w:hAnsi="仿宋_GB2312" w:eastAsia="仿宋_GB2312" w:cs="仿宋_GB2312"/>
                <w:color w:val="auto"/>
                <w:kern w:val="2"/>
                <w:szCs w:val="21"/>
                <w:highlight w:val="none"/>
                <w:lang w:eastAsia="zh-CN"/>
              </w:rPr>
              <w:t>防务装备事业部</w:t>
            </w:r>
            <w:r>
              <w:rPr>
                <w:rFonts w:hint="eastAsia" w:ascii="仿宋_GB2312" w:hAnsi="仿宋_GB2312" w:eastAsia="仿宋_GB2312" w:cs="仿宋_GB2312"/>
                <w:color w:val="auto"/>
                <w:kern w:val="2"/>
                <w:szCs w:val="21"/>
                <w:highlight w:val="none"/>
              </w:rPr>
              <w:t>负责本事业部的材料出入库及贮存、防护、标识、使用管理控制</w:t>
            </w:r>
            <w:r>
              <w:rPr>
                <w:rFonts w:hint="eastAsia" w:ascii="仿宋_GB2312" w:hAnsi="仿宋_GB2312" w:eastAsia="仿宋_GB2312" w:cs="仿宋_GB2312"/>
                <w:color w:val="auto"/>
                <w:highlight w:val="none"/>
              </w:rPr>
              <w:t>。</w:t>
            </w:r>
          </w:p>
          <w:p w14:paraId="204806BC">
            <w:pPr>
              <w:keepNext w:val="0"/>
              <w:keepLines w:val="0"/>
              <w:pageBreakBefore w:val="0"/>
              <w:kinsoku/>
              <w:wordWrap/>
              <w:overflowPunct/>
              <w:topLinePunct w:val="0"/>
              <w:bidi w:val="0"/>
              <w:spacing w:line="440" w:lineRule="exact"/>
              <w:rPr>
                <w:rFonts w:ascii="宋体" w:hAnsi="宋体" w:eastAsia="宋体" w:cs="宋体"/>
                <w:color w:val="auto"/>
                <w:spacing w:val="2"/>
                <w:kern w:val="0"/>
                <w:sz w:val="21"/>
                <w:szCs w:val="21"/>
                <w:highlight w:val="none"/>
                <w:lang w:val="en-US" w:eastAsia="zh-CN" w:bidi="ar-SA"/>
              </w:rPr>
            </w:pPr>
            <w:r>
              <w:rPr>
                <w:rFonts w:hint="eastAsia" w:ascii="仿宋_GB2312" w:hAnsi="仿宋_GB2312" w:eastAsia="仿宋_GB2312" w:cs="仿宋_GB2312"/>
                <w:color w:val="auto"/>
                <w:highlight w:val="none"/>
              </w:rPr>
              <w:t xml:space="preserve">4.14.4.3 </w:t>
            </w:r>
            <w:r>
              <w:rPr>
                <w:rFonts w:hint="eastAsia" w:ascii="仿宋_GB2312" w:hAnsi="仿宋_GB2312" w:eastAsia="仿宋_GB2312" w:cs="仿宋_GB2312"/>
                <w:color w:val="auto"/>
                <w:spacing w:val="2"/>
                <w:kern w:val="0"/>
                <w:highlight w:val="none"/>
              </w:rPr>
              <w:t>采购材料的检验控制：</w:t>
            </w:r>
          </w:p>
        </w:tc>
      </w:tr>
    </w:tbl>
    <w:p w14:paraId="01FAD4B9">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045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94D6C4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305C3E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A998B7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80A0A9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6675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7EA012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8156B3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0BD606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D79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A6464EE">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42" w:name="_Toc11342"/>
            <w:bookmarkStart w:id="143" w:name="_Toc26494"/>
            <w:bookmarkStart w:id="144" w:name="_Toc439"/>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42"/>
            <w:bookmarkEnd w:id="143"/>
            <w:bookmarkEnd w:id="144"/>
          </w:p>
        </w:tc>
        <w:tc>
          <w:tcPr>
            <w:tcW w:w="1587" w:type="dxa"/>
            <w:tcBorders>
              <w:top w:val="single" w:color="auto" w:sz="4" w:space="0"/>
              <w:left w:val="single" w:color="auto" w:sz="4" w:space="0"/>
              <w:bottom w:val="single" w:color="auto" w:sz="4" w:space="0"/>
              <w:right w:val="single" w:color="auto" w:sz="4" w:space="0"/>
            </w:tcBorders>
            <w:vAlign w:val="center"/>
          </w:tcPr>
          <w:p w14:paraId="761EE42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44F9C27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40</w:t>
            </w:r>
            <w:r>
              <w:rPr>
                <w:rFonts w:hint="eastAsia" w:ascii="宋体" w:hAnsi="宋体" w:eastAsia="宋体" w:cs="宋体"/>
                <w:color w:val="auto"/>
                <w:highlight w:val="none"/>
              </w:rPr>
              <w:t xml:space="preserve"> 页</w:t>
            </w:r>
          </w:p>
        </w:tc>
      </w:tr>
      <w:tr w14:paraId="358F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F54E77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2078AB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7739E0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E72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0AC37D77">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kern w:val="0"/>
                <w:szCs w:val="22"/>
                <w:highlight w:val="none"/>
              </w:rPr>
              <w:t>1）质量体系部编写采购材料检验操作文件，内容包括检验的分组、抽样和试验程序、完成</w:t>
            </w:r>
            <w:r>
              <w:rPr>
                <w:rFonts w:hint="eastAsia" w:ascii="仿宋_GB2312" w:hAnsi="仿宋_GB2312" w:eastAsia="仿宋_GB2312" w:cs="仿宋_GB2312"/>
                <w:color w:val="auto"/>
                <w:highlight w:val="none"/>
              </w:rPr>
              <w:t>检验的日期受试材料的数量、接受和拒收准则、检验的频次以及验证方法。</w:t>
            </w:r>
          </w:p>
          <w:p w14:paraId="1A697118">
            <w:pPr>
              <w:keepNext w:val="0"/>
              <w:keepLines w:val="0"/>
              <w:pageBreakBefore w:val="0"/>
              <w:numPr>
                <w:ilvl w:val="0"/>
                <w:numId w:val="0"/>
              </w:numPr>
              <w:kinsoku/>
              <w:wordWrap/>
              <w:overflowPunct/>
              <w:topLinePunct w:val="0"/>
              <w:bidi w:val="0"/>
              <w:spacing w:line="440" w:lineRule="exact"/>
              <w:ind w:left="0" w:leftChars="0"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质量体系部按照采购材料检验操作文件对采购材料进行检验和验证，以确保采购的产品满足规定的采购要求。材料经验证、确认满足要求后方可使用。</w:t>
            </w:r>
          </w:p>
          <w:p w14:paraId="7D5821D3">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lang w:val="en-US" w:eastAsia="zh-CN"/>
              </w:rPr>
              <w:t>3）</w:t>
            </w:r>
            <w:r>
              <w:rPr>
                <w:rFonts w:hint="eastAsia" w:ascii="仿宋_GB2312" w:hAnsi="仿宋_GB2312" w:eastAsia="仿宋_GB2312" w:cs="仿宋_GB2312"/>
                <w:color w:val="auto"/>
                <w:spacing w:val="2"/>
                <w:kern w:val="0"/>
                <w:highlight w:val="none"/>
              </w:rPr>
              <w:t>采购产品的检验及验证记录应妥善保存。</w:t>
            </w:r>
          </w:p>
          <w:p w14:paraId="09B49CA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4.14.4.4 </w:t>
            </w:r>
            <w:r>
              <w:rPr>
                <w:rFonts w:hint="eastAsia" w:ascii="仿宋_GB2312" w:hAnsi="仿宋_GB2312" w:eastAsia="仿宋_GB2312" w:cs="仿宋_GB2312"/>
                <w:color w:val="auto"/>
                <w:spacing w:val="2"/>
                <w:kern w:val="0"/>
                <w:highlight w:val="none"/>
              </w:rPr>
              <w:t>采购材料和出、入库控制</w:t>
            </w:r>
          </w:p>
          <w:p w14:paraId="12F95BF8">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cs="仿宋_GB2312"/>
                <w:color w:val="auto"/>
                <w:spacing w:val="2"/>
                <w:kern w:val="0"/>
                <w:highlight w:val="none"/>
                <w:lang w:eastAsia="zh-CN"/>
              </w:rPr>
              <w:t>采购管理部</w:t>
            </w:r>
            <w:r>
              <w:rPr>
                <w:rFonts w:hint="eastAsia" w:ascii="仿宋_GB2312" w:hAnsi="仿宋_GB2312" w:eastAsia="仿宋_GB2312" w:cs="仿宋_GB2312"/>
                <w:color w:val="auto"/>
                <w:spacing w:val="2"/>
                <w:kern w:val="0"/>
                <w:highlight w:val="none"/>
              </w:rPr>
              <w:t>编制采购控制程序和</w:t>
            </w:r>
            <w:r>
              <w:rPr>
                <w:rFonts w:hint="eastAsia" w:ascii="仿宋_GB2312" w:hAnsi="仿宋_GB2312" w:eastAsia="仿宋_GB2312" w:cs="仿宋_GB2312"/>
                <w:color w:val="auto"/>
                <w:highlight w:val="none"/>
              </w:rPr>
              <w:t>库房管理办法，以控制有限寿命材料老化的因素、防止将合格与不合格的材料或成品相混杂；</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按文件规定对本部门的材料进行出、入库管理。采购材料文件应规定下列内容：</w:t>
            </w:r>
          </w:p>
          <w:p w14:paraId="4F16D583">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1）</w:t>
            </w:r>
            <w:r>
              <w:rPr>
                <w:rFonts w:hint="eastAsia" w:ascii="仿宋_GB2312" w:hAnsi="仿宋_GB2312" w:eastAsia="仿宋_GB2312" w:cs="仿宋_GB2312"/>
                <w:color w:val="auto"/>
                <w:spacing w:val="2"/>
                <w:kern w:val="0"/>
                <w:highlight w:val="none"/>
              </w:rPr>
              <w:t>采购材料进货后在完成所需的检验/试验（或收到必要的试验报告）之前不得使用的管理方法；</w:t>
            </w:r>
          </w:p>
          <w:p w14:paraId="796887F3">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原材料（特别是有限寿命材料）的管理和标识方法；</w:t>
            </w:r>
          </w:p>
          <w:p w14:paraId="56C9D02F">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不合格材料与合格材料的隔离和标识方法；</w:t>
            </w:r>
          </w:p>
          <w:p w14:paraId="56C9D3C0">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对库房进行区域划分，方便管理材料；</w:t>
            </w:r>
          </w:p>
          <w:p w14:paraId="36792244">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5）</w:t>
            </w:r>
            <w:r>
              <w:rPr>
                <w:rFonts w:hint="eastAsia" w:ascii="仿宋_GB2312" w:hAnsi="仿宋_GB2312" w:eastAsia="仿宋_GB2312" w:cs="仿宋_GB2312"/>
                <w:color w:val="auto"/>
                <w:spacing w:val="2"/>
                <w:kern w:val="0"/>
                <w:highlight w:val="none"/>
              </w:rPr>
              <w:t>获得材料必要的试验报告、证明资料的渠道和方法；</w:t>
            </w:r>
          </w:p>
          <w:p w14:paraId="584E71F9">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6）</w:t>
            </w:r>
            <w:r>
              <w:rPr>
                <w:rFonts w:hint="eastAsia" w:ascii="仿宋_GB2312" w:hAnsi="仿宋_GB2312" w:eastAsia="仿宋_GB2312" w:cs="仿宋_GB2312"/>
                <w:color w:val="auto"/>
                <w:spacing w:val="2"/>
                <w:kern w:val="0"/>
                <w:highlight w:val="none"/>
              </w:rPr>
              <w:t>材料检验合格和不合格的标识方法，能清楚表明材料的接收或拒收状态。</w:t>
            </w:r>
          </w:p>
          <w:p w14:paraId="403D7B39">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7）</w:t>
            </w:r>
            <w:r>
              <w:rPr>
                <w:rFonts w:hint="eastAsia" w:ascii="仿宋_GB2312" w:hAnsi="仿宋_GB2312" w:eastAsia="仿宋_GB2312" w:cs="仿宋_GB2312"/>
                <w:color w:val="auto"/>
                <w:highlight w:val="none"/>
              </w:rPr>
              <w:t>入库和出库物资贮存和搬运的方法。</w:t>
            </w:r>
          </w:p>
          <w:p w14:paraId="1363EF1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4.14.4.5 </w:t>
            </w:r>
            <w:r>
              <w:rPr>
                <w:rFonts w:hint="eastAsia" w:ascii="仿宋_GB2312" w:hAnsi="仿宋_GB2312" w:eastAsia="仿宋_GB2312" w:cs="仿宋_GB2312"/>
                <w:color w:val="auto"/>
                <w:spacing w:val="2"/>
                <w:kern w:val="0"/>
                <w:highlight w:val="none"/>
              </w:rPr>
              <w:t>合格材料的管理实施要求</w:t>
            </w:r>
          </w:p>
          <w:p w14:paraId="7ABC3CFD">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lang w:val="en-US" w:eastAsia="zh-CN"/>
              </w:rPr>
              <w:t>1）</w:t>
            </w:r>
            <w:r>
              <w:rPr>
                <w:rFonts w:hint="eastAsia" w:ascii="仿宋_GB2312" w:hAnsi="仿宋_GB2312" w:eastAsia="仿宋_GB2312" w:cs="仿宋_GB2312"/>
                <w:color w:val="auto"/>
                <w:spacing w:val="2"/>
                <w:kern w:val="0"/>
                <w:highlight w:val="none"/>
              </w:rPr>
              <w:t>制定材料检验状态标识的制度；</w:t>
            </w:r>
          </w:p>
          <w:p w14:paraId="5F064C10">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lang w:eastAsia="zh-CN"/>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由授权的检验人员负责给出检验状态标识</w:t>
            </w:r>
            <w:r>
              <w:rPr>
                <w:rFonts w:hint="eastAsia" w:ascii="仿宋_GB2312" w:hAnsi="仿宋_GB2312" w:eastAsia="仿宋_GB2312" w:cs="仿宋_GB2312"/>
                <w:color w:val="auto"/>
                <w:spacing w:val="2"/>
                <w:kern w:val="0"/>
                <w:highlight w:val="none"/>
                <w:lang w:eastAsia="zh-CN"/>
              </w:rPr>
              <w:t>；</w:t>
            </w:r>
          </w:p>
          <w:p w14:paraId="0ADBC85C">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当贮存场所发生异常情况后，应对其影响的后果进行评价。必要时采用复验的方式确认所存材料的合格状态。</w:t>
            </w:r>
          </w:p>
          <w:p w14:paraId="77854B3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4.14.4.6 </w:t>
            </w:r>
            <w:r>
              <w:rPr>
                <w:rFonts w:hint="eastAsia" w:ascii="仿宋_GB2312" w:hAnsi="仿宋_GB2312" w:eastAsia="仿宋_GB2312" w:cs="仿宋_GB2312"/>
                <w:color w:val="auto"/>
                <w:spacing w:val="2"/>
                <w:kern w:val="0"/>
                <w:highlight w:val="none"/>
              </w:rPr>
              <w:t>不合格材料的管理实施要求</w:t>
            </w:r>
          </w:p>
          <w:p w14:paraId="119E6E96">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1）编制不合格材料的标识制度；</w:t>
            </w:r>
          </w:p>
          <w:p w14:paraId="61BE0294">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kern w:val="0"/>
                <w:highlight w:val="none"/>
                <w:lang w:eastAsia="zh-CN"/>
              </w:rPr>
            </w:pPr>
            <w:r>
              <w:rPr>
                <w:rFonts w:hint="eastAsia" w:ascii="仿宋_GB2312" w:hAnsi="仿宋_GB2312" w:eastAsia="仿宋_GB2312" w:cs="仿宋_GB2312"/>
                <w:color w:val="auto"/>
                <w:spacing w:val="2"/>
                <w:kern w:val="0"/>
                <w:highlight w:val="none"/>
              </w:rPr>
              <w:t>2）划分不合格隔离区域,防止与合格材料相混淆</w:t>
            </w:r>
            <w:r>
              <w:rPr>
                <w:rFonts w:hint="eastAsia" w:ascii="仿宋_GB2312" w:hAnsi="仿宋_GB2312" w:eastAsia="仿宋_GB2312" w:cs="仿宋_GB2312"/>
                <w:color w:val="auto"/>
                <w:spacing w:val="2"/>
                <w:kern w:val="0"/>
                <w:highlight w:val="none"/>
                <w:lang w:eastAsia="zh-CN"/>
              </w:rPr>
              <w:t>；</w:t>
            </w:r>
          </w:p>
          <w:p w14:paraId="73B38BD0">
            <w:pPr>
              <w:keepNext w:val="0"/>
              <w:keepLines w:val="0"/>
              <w:pageBreakBefore w:val="0"/>
              <w:kinsoku/>
              <w:wordWrap/>
              <w:overflowPunct/>
              <w:topLinePunct w:val="0"/>
              <w:bidi w:val="0"/>
              <w:spacing w:line="440" w:lineRule="exact"/>
              <w:ind w:firstLine="428"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2"/>
                <w:kern w:val="0"/>
                <w:highlight w:val="none"/>
              </w:rPr>
              <w:t>3）规定不合格材料的处置方法。</w:t>
            </w:r>
          </w:p>
        </w:tc>
      </w:tr>
    </w:tbl>
    <w:p w14:paraId="0ED38C1F">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054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28AB84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911F89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40546B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F9E10A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BF1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4F4C8A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ADB4FA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102E0F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824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6636CE7">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45" w:name="_Toc14118"/>
            <w:bookmarkStart w:id="146" w:name="_Toc11916"/>
            <w:bookmarkStart w:id="147" w:name="_Toc21024"/>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45"/>
            <w:bookmarkEnd w:id="146"/>
            <w:bookmarkEnd w:id="147"/>
          </w:p>
        </w:tc>
        <w:tc>
          <w:tcPr>
            <w:tcW w:w="1587" w:type="dxa"/>
            <w:tcBorders>
              <w:top w:val="single" w:color="auto" w:sz="4" w:space="0"/>
              <w:left w:val="single" w:color="auto" w:sz="4" w:space="0"/>
              <w:bottom w:val="single" w:color="auto" w:sz="4" w:space="0"/>
              <w:right w:val="single" w:color="auto" w:sz="4" w:space="0"/>
            </w:tcBorders>
            <w:vAlign w:val="center"/>
          </w:tcPr>
          <w:p w14:paraId="32CC6B1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77FD80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41</w:t>
            </w:r>
            <w:r>
              <w:rPr>
                <w:rFonts w:hint="eastAsia" w:ascii="宋体" w:hAnsi="宋体" w:eastAsia="宋体" w:cs="宋体"/>
                <w:color w:val="auto"/>
                <w:highlight w:val="none"/>
              </w:rPr>
              <w:t xml:space="preserve"> 页</w:t>
            </w:r>
          </w:p>
        </w:tc>
      </w:tr>
      <w:tr w14:paraId="3231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36114E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E6C4A0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BE7546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69E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7A5F63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4.14.4.</w:t>
            </w:r>
            <w:r>
              <w:rPr>
                <w:rFonts w:hint="eastAsia" w:ascii="仿宋_GB2312" w:hAnsi="仿宋_GB2312" w:eastAsia="仿宋_GB2312" w:cs="仿宋_GB2312"/>
                <w:color w:val="auto"/>
                <w:spacing w:val="2"/>
                <w:kern w:val="0"/>
                <w:highlight w:val="none"/>
                <w:lang w:val="en-US" w:eastAsia="zh-CN"/>
              </w:rPr>
              <w:t>7</w:t>
            </w:r>
            <w:r>
              <w:rPr>
                <w:rFonts w:hint="eastAsia" w:ascii="仿宋_GB2312" w:hAnsi="仿宋_GB2312" w:eastAsia="仿宋_GB2312" w:cs="仿宋_GB2312"/>
                <w:color w:val="auto"/>
                <w:spacing w:val="2"/>
                <w:kern w:val="0"/>
                <w:highlight w:val="none"/>
              </w:rPr>
              <w:t xml:space="preserve"> 材料的可追溯性要求</w:t>
            </w:r>
          </w:p>
          <w:p w14:paraId="726CF046">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1）</w:t>
            </w:r>
            <w:r>
              <w:rPr>
                <w:rFonts w:hint="eastAsia" w:ascii="仿宋_GB2312" w:hAnsi="仿宋_GB2312" w:eastAsia="仿宋_GB2312" w:cs="仿宋_GB2312"/>
                <w:color w:val="auto"/>
                <w:spacing w:val="2"/>
                <w:kern w:val="0"/>
                <w:highlight w:val="none"/>
              </w:rPr>
              <w:t>接收材料时，应对材料进行批次标识，当可能时，应在整个过程中保持此标识；</w:t>
            </w:r>
          </w:p>
          <w:p w14:paraId="3B9CB91C">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kern w:val="2"/>
                <w:sz w:val="21"/>
                <w:szCs w:val="21"/>
                <w:highlight w:val="none"/>
                <w:lang w:val="en-US" w:eastAsia="zh-CN" w:bidi="ar-SA"/>
              </w:rPr>
              <w:t>2）</w:t>
            </w:r>
            <w:r>
              <w:rPr>
                <w:rFonts w:hint="eastAsia" w:ascii="仿宋_GB2312" w:hAnsi="仿宋_GB2312" w:eastAsia="仿宋_GB2312" w:cs="仿宋_GB2312"/>
                <w:color w:val="auto"/>
                <w:spacing w:val="2"/>
                <w:kern w:val="0"/>
                <w:highlight w:val="none"/>
              </w:rPr>
              <w:t>应标识成品元器件，并能正确识别其生产批次；应保存每个批次使用材料的批次以及分批材料的记录，以追溯到原材料的批次；</w:t>
            </w:r>
          </w:p>
          <w:p w14:paraId="024F9AF2">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保存每个生产批所使用的各批或分批材料的记录。</w:t>
            </w:r>
          </w:p>
          <w:p w14:paraId="52D8853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4.14.5 直接关联的程序文件和作业文件 </w:t>
            </w:r>
          </w:p>
          <w:p w14:paraId="21EE57D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pacing w:val="2"/>
                <w:kern w:val="0"/>
                <w:highlight w:val="none"/>
              </w:rPr>
              <w:t>供方</w:t>
            </w:r>
            <w:r>
              <w:rPr>
                <w:rFonts w:hint="eastAsia" w:ascii="仿宋_GB2312" w:hAnsi="仿宋_GB2312" w:cs="仿宋_GB2312"/>
                <w:color w:val="auto"/>
                <w:spacing w:val="2"/>
                <w:kern w:val="0"/>
                <w:highlight w:val="none"/>
                <w:lang w:eastAsia="zh-CN"/>
              </w:rPr>
              <w:t>管理控制</w:t>
            </w:r>
            <w:r>
              <w:rPr>
                <w:rFonts w:hint="eastAsia" w:ascii="仿宋_GB2312" w:hAnsi="仿宋_GB2312" w:eastAsia="仿宋_GB2312" w:cs="仿宋_GB2312"/>
                <w:color w:val="auto"/>
                <w:spacing w:val="2"/>
                <w:kern w:val="0"/>
                <w:highlight w:val="none"/>
              </w:rPr>
              <w:t>程序</w:t>
            </w:r>
            <w:r>
              <w:rPr>
                <w:rFonts w:hint="eastAsia" w:ascii="仿宋_GB2312" w:hAnsi="仿宋_GB2312" w:eastAsia="仿宋_GB2312" w:cs="仿宋_GB2312"/>
                <w:color w:val="auto"/>
                <w:highlight w:val="none"/>
              </w:rPr>
              <w:t>》</w:t>
            </w:r>
          </w:p>
          <w:p w14:paraId="21F1E2F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pacing w:val="2"/>
                <w:kern w:val="0"/>
                <w:highlight w:val="none"/>
              </w:rPr>
              <w:t>采购控制程序</w:t>
            </w:r>
            <w:r>
              <w:rPr>
                <w:rFonts w:hint="eastAsia" w:ascii="仿宋_GB2312" w:hAnsi="仿宋_GB2312" w:eastAsia="仿宋_GB2312" w:cs="仿宋_GB2312"/>
                <w:color w:val="auto"/>
                <w:highlight w:val="none"/>
              </w:rPr>
              <w:t>》</w:t>
            </w:r>
          </w:p>
          <w:p w14:paraId="1A866668">
            <w:pPr>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《不合格品控制程序》</w:t>
            </w:r>
          </w:p>
          <w:p w14:paraId="492B7BF9">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《供方风险评估与管控办法》</w:t>
            </w:r>
          </w:p>
          <w:p w14:paraId="413C55B2">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《合格供方的选择、评价、绩效监视及再评价准则》</w:t>
            </w:r>
          </w:p>
          <w:p w14:paraId="17FF834C">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《采购计划管理规定》</w:t>
            </w:r>
          </w:p>
          <w:p w14:paraId="7FAC4AB4">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《合同管理办法》</w:t>
            </w:r>
          </w:p>
          <w:p w14:paraId="4586724C">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《采购管理办法》</w:t>
            </w:r>
          </w:p>
          <w:p w14:paraId="77933650">
            <w:pPr>
              <w:keepNext w:val="0"/>
              <w:keepLines w:val="0"/>
              <w:pageBreakBefore w:val="0"/>
              <w:kinsoku/>
              <w:wordWrap/>
              <w:overflowPunct/>
              <w:topLinePunct w:val="0"/>
              <w:bidi w:val="0"/>
              <w:spacing w:line="440" w:lineRule="exact"/>
              <w:ind w:firstLine="428"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2"/>
                <w:kern w:val="0"/>
                <w:highlight w:val="none"/>
                <w:lang w:val="en-US" w:eastAsia="zh-CN"/>
              </w:rPr>
              <w:t>《物资采购管理规定》</w:t>
            </w:r>
          </w:p>
        </w:tc>
      </w:tr>
    </w:tbl>
    <w:p w14:paraId="204E2D0F">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B4C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78D3B8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7DE64EED">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ACEE7E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453CD8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682B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7FD871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127171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775542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41B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793DDAE">
            <w:pPr>
              <w:keepNext w:val="0"/>
              <w:keepLines w:val="0"/>
              <w:pageBreakBefore w:val="0"/>
              <w:kinsoku/>
              <w:wordWrap/>
              <w:overflowPunct/>
              <w:topLinePunct w:val="0"/>
              <w:bidi w:val="0"/>
              <w:spacing w:line="440" w:lineRule="exact"/>
              <w:outlineLvl w:val="1"/>
              <w:rPr>
                <w:rFonts w:hint="eastAsia" w:ascii="宋体" w:hAnsi="宋体" w:eastAsia="宋体" w:cs="宋体"/>
                <w:b/>
                <w:bCs/>
                <w:color w:val="auto"/>
                <w:sz w:val="24"/>
                <w:szCs w:val="24"/>
                <w:highlight w:val="none"/>
                <w:lang w:eastAsia="zh-CN"/>
              </w:rPr>
            </w:pPr>
            <w:bookmarkStart w:id="148" w:name="_Toc22019"/>
            <w:bookmarkStart w:id="149" w:name="_Toc22955"/>
            <w:bookmarkStart w:id="150" w:name="_Toc16326"/>
            <w:r>
              <w:rPr>
                <w:rFonts w:hint="eastAsia" w:ascii="宋体" w:hAnsi="宋体" w:eastAsia="宋体" w:cs="宋体"/>
                <w:color w:val="auto"/>
                <w:highlight w:val="none"/>
              </w:rPr>
              <w:t>4.15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产品的标识和可追溯性</w:t>
            </w:r>
            <w:bookmarkEnd w:id="148"/>
            <w:bookmarkEnd w:id="149"/>
            <w:bookmarkEnd w:id="150"/>
          </w:p>
        </w:tc>
        <w:tc>
          <w:tcPr>
            <w:tcW w:w="1587" w:type="dxa"/>
            <w:tcBorders>
              <w:top w:val="single" w:color="auto" w:sz="4" w:space="0"/>
              <w:left w:val="single" w:color="auto" w:sz="4" w:space="0"/>
              <w:bottom w:val="single" w:color="auto" w:sz="4" w:space="0"/>
              <w:right w:val="single" w:color="auto" w:sz="4" w:space="0"/>
            </w:tcBorders>
            <w:vAlign w:val="center"/>
          </w:tcPr>
          <w:p w14:paraId="0D93052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8B1C18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42</w:t>
            </w:r>
            <w:r>
              <w:rPr>
                <w:rFonts w:hint="eastAsia" w:ascii="宋体" w:hAnsi="宋体" w:eastAsia="宋体" w:cs="宋体"/>
                <w:color w:val="auto"/>
                <w:highlight w:val="none"/>
              </w:rPr>
              <w:t xml:space="preserve"> 页</w:t>
            </w:r>
          </w:p>
        </w:tc>
      </w:tr>
      <w:tr w14:paraId="0E7B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199" w:type="dxa"/>
            <w:vMerge w:val="continue"/>
            <w:tcBorders>
              <w:left w:val="single" w:color="auto" w:sz="4" w:space="0"/>
              <w:right w:val="single" w:color="auto" w:sz="4" w:space="0"/>
            </w:tcBorders>
            <w:vAlign w:val="center"/>
          </w:tcPr>
          <w:p w14:paraId="182FC7C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7DADAF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8A3E8C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2B8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70E9EB86">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4.15.1 目的</w:t>
            </w:r>
          </w:p>
          <w:p w14:paraId="53CC6584">
            <w:pPr>
              <w:keepNext w:val="0"/>
              <w:keepLines w:val="0"/>
              <w:pageBreakBefore w:val="0"/>
              <w:widowControl w:val="0"/>
              <w:kinsoku/>
              <w:wordWrap/>
              <w:overflowPunct/>
              <w:topLinePunct w:val="0"/>
              <w:autoSpaceDE/>
              <w:autoSpaceDN/>
              <w:bidi w:val="0"/>
              <w:adjustRightInd/>
              <w:snapToGrid/>
              <w:spacing w:line="430" w:lineRule="exact"/>
              <w:ind w:firstLine="420"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建立并且执行产品标识和可追溯性程序，以便追溯和确定通过了相应的筛选、鉴定和质量一致性检验的合格产品。</w:t>
            </w:r>
          </w:p>
          <w:p w14:paraId="4BD68E09">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4.15.2 适用范围</w:t>
            </w:r>
          </w:p>
          <w:p w14:paraId="5E2811BD">
            <w:pPr>
              <w:keepNext w:val="0"/>
              <w:keepLines w:val="0"/>
              <w:pageBreakBefore w:val="0"/>
              <w:widowControl w:val="0"/>
              <w:kinsoku/>
              <w:wordWrap/>
              <w:overflowPunct/>
              <w:topLinePunct w:val="0"/>
              <w:autoSpaceDE/>
              <w:autoSpaceDN/>
              <w:bidi w:val="0"/>
              <w:adjustRightInd/>
              <w:snapToGrid/>
              <w:spacing w:line="430" w:lineRule="exact"/>
              <w:ind w:firstLine="420"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适用于</w:t>
            </w:r>
            <w:r>
              <w:rPr>
                <w:rFonts w:hint="eastAsia" w:ascii="仿宋_GB2312" w:hAnsi="仿宋_GB2312" w:eastAsia="仿宋_GB2312" w:cs="仿宋_GB2312"/>
                <w:color w:val="auto"/>
                <w:sz w:val="21"/>
                <w:szCs w:val="21"/>
                <w:highlight w:val="none"/>
              </w:rPr>
              <w:t>超柔射频同轴电缆</w:t>
            </w:r>
            <w:r>
              <w:rPr>
                <w:rFonts w:hint="eastAsia" w:ascii="仿宋_GB2312" w:hAnsi="仿宋_GB2312" w:eastAsia="仿宋_GB2312" w:cs="仿宋_GB2312"/>
                <w:b w:val="0"/>
                <w:bCs w:val="0"/>
                <w:color w:val="auto"/>
                <w:highlight w:val="none"/>
              </w:rPr>
              <w:t>生产线产品的标识和可追溯性控制。</w:t>
            </w:r>
          </w:p>
          <w:p w14:paraId="28EFDAA3">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4.15.3 职责</w:t>
            </w:r>
          </w:p>
          <w:p w14:paraId="495A5DDD">
            <w:pPr>
              <w:keepNext w:val="0"/>
              <w:keepLines w:val="0"/>
              <w:pageBreakBefore w:val="0"/>
              <w:widowControl w:val="0"/>
              <w:kinsoku/>
              <w:wordWrap/>
              <w:overflowPunct/>
              <w:topLinePunct w:val="0"/>
              <w:autoSpaceDE/>
              <w:autoSpaceDN/>
              <w:bidi w:val="0"/>
              <w:adjustRightInd/>
              <w:snapToGrid/>
              <w:spacing w:line="430" w:lineRule="exact"/>
              <w:ind w:firstLine="420"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lang w:eastAsia="zh-CN"/>
              </w:rPr>
              <w:t>防务装备事业部</w:t>
            </w:r>
            <w:r>
              <w:rPr>
                <w:rFonts w:hint="eastAsia" w:ascii="仿宋_GB2312" w:hAnsi="仿宋_GB2312" w:eastAsia="仿宋_GB2312" w:cs="仿宋_GB2312"/>
                <w:b w:val="0"/>
                <w:bCs w:val="0"/>
                <w:color w:val="auto"/>
                <w:highlight w:val="none"/>
              </w:rPr>
              <w:t>是产品标识和可追溯性控制的归口部门，负责</w:t>
            </w:r>
            <w:r>
              <w:rPr>
                <w:rFonts w:hint="eastAsia" w:ascii="仿宋_GB2312" w:hAnsi="仿宋_GB2312" w:cs="仿宋_GB2312"/>
                <w:b w:val="0"/>
                <w:bCs w:val="0"/>
                <w:color w:val="auto"/>
                <w:spacing w:val="2"/>
                <w:kern w:val="0"/>
                <w:highlight w:val="none"/>
                <w:lang w:eastAsia="zh-CN"/>
              </w:rPr>
              <w:t>《产品标识和可追溯性控制程序》</w:t>
            </w:r>
            <w:r>
              <w:rPr>
                <w:rFonts w:hint="eastAsia" w:ascii="仿宋_GB2312" w:hAnsi="仿宋_GB2312" w:eastAsia="仿宋_GB2312" w:cs="仿宋_GB2312"/>
                <w:b w:val="0"/>
                <w:bCs w:val="0"/>
                <w:color w:val="auto"/>
                <w:highlight w:val="none"/>
              </w:rPr>
              <w:t>的编制，负责生产现场和</w:t>
            </w:r>
            <w:r>
              <w:rPr>
                <w:rFonts w:hint="eastAsia" w:ascii="仿宋_GB2312" w:hAnsi="仿宋_GB2312" w:cs="仿宋_GB2312"/>
                <w:b w:val="0"/>
                <w:bCs w:val="0"/>
                <w:color w:val="auto"/>
                <w:highlight w:val="none"/>
                <w:lang w:eastAsia="zh-CN"/>
              </w:rPr>
              <w:t>本事业部</w:t>
            </w:r>
            <w:r>
              <w:rPr>
                <w:rFonts w:hint="eastAsia" w:ascii="仿宋_GB2312" w:hAnsi="仿宋_GB2312" w:eastAsia="仿宋_GB2312" w:cs="仿宋_GB2312"/>
                <w:b w:val="0"/>
                <w:bCs w:val="0"/>
                <w:color w:val="auto"/>
                <w:highlight w:val="none"/>
              </w:rPr>
              <w:t>库房的产品、材料标识和可追溯性记录的管理和检查。</w:t>
            </w:r>
          </w:p>
          <w:p w14:paraId="51E7E0EA">
            <w:pPr>
              <w:keepNext w:val="0"/>
              <w:keepLines w:val="0"/>
              <w:pageBreakBefore w:val="0"/>
              <w:widowControl w:val="0"/>
              <w:kinsoku/>
              <w:wordWrap/>
              <w:overflowPunct/>
              <w:topLinePunct w:val="0"/>
              <w:autoSpaceDE/>
              <w:autoSpaceDN/>
              <w:bidi w:val="0"/>
              <w:adjustRightInd/>
              <w:snapToGrid/>
              <w:spacing w:line="430" w:lineRule="exact"/>
              <w:ind w:firstLine="420"/>
              <w:textAlignment w:val="auto"/>
              <w:rPr>
                <w:rFonts w:hint="eastAsia" w:ascii="仿宋_GB2312" w:hAnsi="仿宋_GB2312" w:eastAsia="仿宋_GB2312" w:cs="仿宋_GB2312"/>
                <w:b w:val="0"/>
                <w:bCs w:val="0"/>
                <w:color w:val="auto"/>
                <w:highlight w:val="none"/>
              </w:rPr>
            </w:pPr>
            <w:r>
              <w:rPr>
                <w:rFonts w:hint="eastAsia" w:ascii="仿宋_GB2312" w:hAnsi="仿宋_GB2312" w:cs="仿宋_GB2312"/>
                <w:b w:val="0"/>
                <w:bCs w:val="0"/>
                <w:color w:val="auto"/>
                <w:highlight w:val="none"/>
                <w:lang w:eastAsia="zh-CN"/>
              </w:rPr>
              <w:t>采购管理部</w:t>
            </w:r>
            <w:r>
              <w:rPr>
                <w:rFonts w:hint="eastAsia" w:ascii="仿宋_GB2312" w:hAnsi="仿宋_GB2312" w:eastAsia="仿宋_GB2312" w:cs="仿宋_GB2312"/>
                <w:b w:val="0"/>
                <w:bCs w:val="0"/>
                <w:color w:val="auto"/>
                <w:highlight w:val="none"/>
              </w:rPr>
              <w:t>是产品标识和可追溯性控制的主要相关部门，负责外购材料可追溯性记录的管理</w:t>
            </w:r>
            <w:r>
              <w:rPr>
                <w:rFonts w:hint="eastAsia" w:ascii="仿宋_GB2312" w:hAnsi="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rPr>
              <w:t>负责</w:t>
            </w:r>
            <w:r>
              <w:rPr>
                <w:rFonts w:hint="eastAsia" w:ascii="仿宋_GB2312" w:hAnsi="仿宋_GB2312" w:cs="仿宋_GB2312"/>
                <w:b w:val="0"/>
                <w:bCs w:val="0"/>
                <w:color w:val="auto"/>
                <w:highlight w:val="none"/>
                <w:lang w:eastAsia="zh-CN"/>
              </w:rPr>
              <w:t>本部门库房</w:t>
            </w:r>
            <w:r>
              <w:rPr>
                <w:rFonts w:hint="eastAsia" w:ascii="仿宋_GB2312" w:hAnsi="仿宋_GB2312" w:eastAsia="仿宋_GB2312" w:cs="仿宋_GB2312"/>
                <w:b w:val="0"/>
                <w:bCs w:val="0"/>
                <w:color w:val="auto"/>
                <w:highlight w:val="none"/>
              </w:rPr>
              <w:t>的产品、材料标识和可追溯性记录的管理和检查。</w:t>
            </w:r>
          </w:p>
          <w:p w14:paraId="53E2FD6B">
            <w:pPr>
              <w:keepNext w:val="0"/>
              <w:keepLines w:val="0"/>
              <w:pageBreakBefore w:val="0"/>
              <w:widowControl w:val="0"/>
              <w:kinsoku/>
              <w:wordWrap/>
              <w:overflowPunct/>
              <w:topLinePunct w:val="0"/>
              <w:autoSpaceDE/>
              <w:autoSpaceDN/>
              <w:bidi w:val="0"/>
              <w:adjustRightInd/>
              <w:snapToGrid/>
              <w:spacing w:line="430" w:lineRule="exact"/>
              <w:ind w:firstLine="42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lang w:eastAsia="zh-CN"/>
              </w:rPr>
              <w:t>电力能源事业部</w:t>
            </w:r>
            <w:r>
              <w:rPr>
                <w:rFonts w:hint="eastAsia" w:ascii="仿宋_GB2312" w:hAnsi="仿宋_GB2312" w:eastAsia="仿宋_GB2312" w:cs="仿宋_GB2312"/>
                <w:b w:val="0"/>
                <w:bCs w:val="0"/>
                <w:color w:val="auto"/>
                <w:highlight w:val="none"/>
              </w:rPr>
              <w:t>是产品标识和可追溯性控制的主要相关部门，负责本事业部产品的标识和可追溯性记录的管理。</w:t>
            </w:r>
          </w:p>
          <w:p w14:paraId="5C6465EF">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4.15.4 控制要求</w:t>
            </w:r>
          </w:p>
          <w:p w14:paraId="55FE38EF">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 xml:space="preserve">4.15.4.1 </w:t>
            </w:r>
            <w:r>
              <w:rPr>
                <w:rFonts w:hint="eastAsia" w:ascii="仿宋_GB2312" w:hAnsi="仿宋_GB2312" w:eastAsia="仿宋_GB2312" w:cs="仿宋_GB2312"/>
                <w:b w:val="0"/>
                <w:bCs w:val="0"/>
                <w:color w:val="auto"/>
                <w:highlight w:val="none"/>
                <w:lang w:eastAsia="zh-CN"/>
              </w:rPr>
              <w:t>防务装备事业部</w:t>
            </w:r>
            <w:r>
              <w:rPr>
                <w:rFonts w:hint="eastAsia" w:ascii="仿宋_GB2312" w:hAnsi="仿宋_GB2312" w:eastAsia="仿宋_GB2312" w:cs="仿宋_GB2312"/>
                <w:b w:val="0"/>
                <w:bCs w:val="0"/>
                <w:color w:val="auto"/>
                <w:spacing w:val="2"/>
                <w:kern w:val="0"/>
                <w:highlight w:val="none"/>
              </w:rPr>
              <w:t>建立并执行</w:t>
            </w:r>
            <w:r>
              <w:rPr>
                <w:rFonts w:hint="eastAsia" w:ascii="仿宋_GB2312" w:hAnsi="仿宋_GB2312" w:cs="仿宋_GB2312"/>
                <w:b w:val="0"/>
                <w:bCs w:val="0"/>
                <w:color w:val="auto"/>
                <w:spacing w:val="2"/>
                <w:kern w:val="0"/>
                <w:highlight w:val="none"/>
                <w:lang w:eastAsia="zh-CN"/>
              </w:rPr>
              <w:t>《产品标识和可追溯性控制程序》</w:t>
            </w:r>
            <w:r>
              <w:rPr>
                <w:rFonts w:hint="eastAsia" w:ascii="仿宋_GB2312" w:hAnsi="仿宋_GB2312" w:eastAsia="仿宋_GB2312" w:cs="仿宋_GB2312"/>
                <w:b w:val="0"/>
                <w:bCs w:val="0"/>
                <w:color w:val="auto"/>
                <w:spacing w:val="2"/>
                <w:kern w:val="0"/>
                <w:highlight w:val="none"/>
              </w:rPr>
              <w:t>，将标识与可追溯性贯穿于产品实现的各个阶段以及计划的产品工作寿命周期内。</w:t>
            </w:r>
          </w:p>
          <w:p w14:paraId="64C03934">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 xml:space="preserve">4.15.4.2 </w:t>
            </w:r>
            <w:r>
              <w:rPr>
                <w:rFonts w:hint="eastAsia" w:ascii="仿宋_GB2312" w:hAnsi="仿宋_GB2312" w:eastAsia="仿宋_GB2312" w:cs="仿宋_GB2312"/>
                <w:b w:val="0"/>
                <w:bCs w:val="0"/>
                <w:color w:val="auto"/>
                <w:spacing w:val="2"/>
                <w:kern w:val="0"/>
                <w:highlight w:val="none"/>
              </w:rPr>
              <w:t>对产品的标识应符合下列规定：</w:t>
            </w:r>
          </w:p>
          <w:p w14:paraId="75CCAAEA">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sz w:val="21"/>
                <w:szCs w:val="21"/>
                <w:highlight w:val="none"/>
                <w:lang w:val="en-US" w:eastAsia="zh-CN" w:bidi="ar-SA"/>
              </w:rPr>
              <w:t>1）</w:t>
            </w:r>
            <w:r>
              <w:rPr>
                <w:rFonts w:hint="eastAsia" w:ascii="仿宋_GB2312" w:hAnsi="仿宋_GB2312" w:eastAsia="仿宋_GB2312" w:cs="仿宋_GB2312"/>
                <w:b w:val="0"/>
                <w:bCs w:val="0"/>
                <w:color w:val="auto"/>
                <w:spacing w:val="2"/>
                <w:kern w:val="0"/>
                <w:highlight w:val="none"/>
              </w:rPr>
              <w:t>为满足可追溯要求，对每批零件/材料、产品的标识应具有唯一性。</w:t>
            </w:r>
          </w:p>
          <w:p w14:paraId="11247E24">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highlight w:val="none"/>
              </w:rPr>
              <w:t>标识的方式可视具体情况而定。例如，对于同一生产线可采用下列一种或几种方法加以标识：采用表示生产日期的日期编码，用以标识随时间连续加工制造出来的产品；采用批次编号，用以标识同类的组和相同条件下生产出来的批产品；采用顺序号，用以标识必须保持自身数据的单个产品等。</w:t>
            </w:r>
          </w:p>
          <w:p w14:paraId="28034ECC">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highlight w:val="none"/>
              </w:rPr>
              <w:t>产品的标识可直接制作在产品上，当不能直接在产品上标识时，允许制作在包装物或其他载体上（如标签、标牌、套管），也可利用流程卡、质量证明文件或其他记录方式标识。</w:t>
            </w:r>
          </w:p>
          <w:p w14:paraId="6EB8C201">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spacing w:val="2"/>
                <w:kern w:val="0"/>
                <w:highlight w:val="none"/>
              </w:rPr>
              <w:t>又如，对于不同生产线/设备加工的产品（批），可在上述标识的基础上分别再加上能区分生产线/设备的代号或代码等。</w:t>
            </w:r>
          </w:p>
          <w:p w14:paraId="28B3ED61">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kern w:val="2"/>
                <w:sz w:val="21"/>
                <w:szCs w:val="21"/>
                <w:highlight w:val="none"/>
                <w:lang w:val="en-US" w:eastAsia="zh-CN" w:bidi="ar-SA"/>
              </w:rPr>
              <w:t>2）</w:t>
            </w:r>
            <w:r>
              <w:rPr>
                <w:rFonts w:hint="eastAsia" w:ascii="仿宋_GB2312" w:hAnsi="仿宋_GB2312" w:eastAsia="仿宋_GB2312" w:cs="仿宋_GB2312"/>
                <w:b w:val="0"/>
                <w:bCs w:val="0"/>
                <w:color w:val="auto"/>
                <w:spacing w:val="2"/>
                <w:kern w:val="0"/>
                <w:highlight w:val="none"/>
              </w:rPr>
              <w:t>确保使用的标识号是系统的、有序的，保证作废了的标识号不会再次使用。</w:t>
            </w:r>
          </w:p>
          <w:p w14:paraId="5CAABE4D">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ascii="宋体" w:hAnsi="宋体" w:eastAsia="宋体" w:cs="宋体"/>
                <w:b w:val="0"/>
                <w:bCs w:val="0"/>
                <w:color w:val="auto"/>
                <w:kern w:val="2"/>
                <w:sz w:val="21"/>
                <w:szCs w:val="21"/>
                <w:highlight w:val="none"/>
                <w:lang w:val="en-US" w:eastAsia="zh-CN" w:bidi="ar-SA"/>
              </w:rPr>
            </w:pPr>
            <w:r>
              <w:rPr>
                <w:rFonts w:hint="eastAsia" w:ascii="仿宋_GB2312" w:hAnsi="仿宋_GB2312" w:eastAsia="仿宋_GB2312" w:cs="仿宋_GB2312"/>
                <w:b w:val="0"/>
                <w:bCs w:val="0"/>
                <w:color w:val="auto"/>
                <w:kern w:val="2"/>
                <w:sz w:val="21"/>
                <w:szCs w:val="21"/>
                <w:highlight w:val="none"/>
                <w:lang w:val="en-US" w:eastAsia="zh-CN" w:bidi="ar-SA"/>
              </w:rPr>
              <w:t>3）</w:t>
            </w:r>
            <w:r>
              <w:rPr>
                <w:rFonts w:hint="eastAsia" w:ascii="仿宋_GB2312" w:hAnsi="仿宋_GB2312" w:eastAsia="仿宋_GB2312" w:cs="仿宋_GB2312"/>
                <w:b w:val="0"/>
                <w:bCs w:val="0"/>
                <w:color w:val="auto"/>
                <w:spacing w:val="2"/>
                <w:kern w:val="0"/>
                <w:highlight w:val="none"/>
              </w:rPr>
              <w:t>应按产品批次建立生产流程卡（随工单），以此作为实现对生产过程标识和可追溯的</w:t>
            </w:r>
            <w:r>
              <w:rPr>
                <w:rFonts w:hint="eastAsia" w:ascii="仿宋_GB2312" w:hAnsi="仿宋_GB2312" w:eastAsia="仿宋_GB2312" w:cs="仿宋_GB2312"/>
                <w:color w:val="auto"/>
                <w:spacing w:val="2"/>
                <w:kern w:val="0"/>
                <w:highlight w:val="none"/>
              </w:rPr>
              <w:t>主</w:t>
            </w:r>
          </w:p>
        </w:tc>
      </w:tr>
    </w:tbl>
    <w:p w14:paraId="3CA994EB">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0E6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567AF4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771BA66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64DE74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D173EA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460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538440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8BE279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836DAE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23B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3730B5A">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51" w:name="_Toc5467"/>
            <w:bookmarkStart w:id="152" w:name="_Toc10148"/>
            <w:bookmarkStart w:id="153" w:name="_Toc25322"/>
            <w:r>
              <w:rPr>
                <w:rFonts w:hint="eastAsia" w:ascii="宋体" w:hAnsi="宋体" w:eastAsia="宋体" w:cs="宋体"/>
                <w:color w:val="auto"/>
                <w:highlight w:val="none"/>
              </w:rPr>
              <w:t>4.15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产品的标识和可追溯性</w:t>
            </w:r>
            <w:bookmarkEnd w:id="151"/>
            <w:bookmarkEnd w:id="152"/>
            <w:bookmarkEnd w:id="153"/>
          </w:p>
        </w:tc>
        <w:tc>
          <w:tcPr>
            <w:tcW w:w="1587" w:type="dxa"/>
            <w:tcBorders>
              <w:top w:val="single" w:color="auto" w:sz="4" w:space="0"/>
              <w:left w:val="single" w:color="auto" w:sz="4" w:space="0"/>
              <w:bottom w:val="single" w:color="auto" w:sz="4" w:space="0"/>
              <w:right w:val="single" w:color="auto" w:sz="4" w:space="0"/>
            </w:tcBorders>
            <w:vAlign w:val="center"/>
          </w:tcPr>
          <w:p w14:paraId="3DF9510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BDED7F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43</w:t>
            </w:r>
            <w:r>
              <w:rPr>
                <w:rFonts w:hint="eastAsia" w:ascii="宋体" w:hAnsi="宋体" w:eastAsia="宋体" w:cs="宋体"/>
                <w:color w:val="auto"/>
                <w:highlight w:val="none"/>
              </w:rPr>
              <w:t xml:space="preserve"> 页</w:t>
            </w:r>
          </w:p>
        </w:tc>
      </w:tr>
      <w:tr w14:paraId="406B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1FF6A3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C01F50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69DA5C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704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5D513AA5">
            <w:pPr>
              <w:keepNext w:val="0"/>
              <w:keepLines w:val="0"/>
              <w:pageBreakBefore w:val="0"/>
              <w:tabs>
                <w:tab w:val="left" w:pos="900"/>
              </w:tabs>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要载体。流程卡应详细记录产品（批）投料、使用的材料/零件、加工、装配、调试、检验数量、质量状态，以及操作者、检验者和操作活动有关的资料、设备、日期等内容，批次管理中产品的批次标识可作为进行追溯时的标识。</w:t>
            </w:r>
          </w:p>
          <w:p w14:paraId="00A413DA">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生产过程建立的原始记录应体现与产品（批）标识（如批号）保持的一致性或能体现直接的对应关系。</w:t>
            </w:r>
          </w:p>
          <w:p w14:paraId="5D30A454">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5）</w:t>
            </w:r>
            <w:r>
              <w:rPr>
                <w:rFonts w:hint="eastAsia" w:ascii="仿宋_GB2312" w:hAnsi="仿宋_GB2312" w:eastAsia="仿宋_GB2312" w:cs="仿宋_GB2312"/>
                <w:color w:val="auto"/>
                <w:spacing w:val="2"/>
                <w:kern w:val="0"/>
                <w:highlight w:val="none"/>
              </w:rPr>
              <w:t>应体现产品标识与相应质量证明文件的对应关系。</w:t>
            </w:r>
          </w:p>
          <w:p w14:paraId="157B49D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4.15.4.3 </w:t>
            </w:r>
            <w:r>
              <w:rPr>
                <w:rFonts w:hint="eastAsia" w:ascii="仿宋_GB2312" w:hAnsi="仿宋_GB2312" w:eastAsia="仿宋_GB2312" w:cs="仿宋_GB2312"/>
                <w:color w:val="auto"/>
                <w:spacing w:val="2"/>
                <w:kern w:val="0"/>
                <w:highlight w:val="none"/>
              </w:rPr>
              <w:t>通过建立适宜的标识，至少应实现如下的可追溯性：</w:t>
            </w:r>
          </w:p>
          <w:p w14:paraId="5BD0E3C4">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1）</w:t>
            </w:r>
            <w:r>
              <w:rPr>
                <w:rFonts w:hint="eastAsia" w:ascii="仿宋_GB2312" w:hAnsi="仿宋_GB2312" w:eastAsia="仿宋_GB2312" w:cs="仿宋_GB2312"/>
                <w:color w:val="auto"/>
                <w:spacing w:val="2"/>
                <w:kern w:val="0"/>
                <w:highlight w:val="none"/>
              </w:rPr>
              <w:t>对生产所用材料、零件、组件的批次和质量状况，以及供方的相关信息的追溯。</w:t>
            </w:r>
          </w:p>
          <w:p w14:paraId="0CCB2B4B">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对产品交付前生产全过程的控制情况，包括产品（批）加工过程的操作人员、设备等状态的追溯。</w:t>
            </w:r>
          </w:p>
          <w:p w14:paraId="5CD3A93C">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对产品筛选、检验和试验过程的状态及结果的追溯。</w:t>
            </w:r>
          </w:p>
          <w:p w14:paraId="4519684A">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对产品交付后的分布及场所的追溯。</w:t>
            </w:r>
          </w:p>
          <w:p w14:paraId="3796AB7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4.15.5 直接关联的程序文件和作业文</w:t>
            </w:r>
          </w:p>
          <w:p w14:paraId="23E245E5">
            <w:pPr>
              <w:tabs>
                <w:tab w:val="left" w:pos="993"/>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《产品标识和可追溯性控制程序》</w:t>
            </w:r>
          </w:p>
          <w:p w14:paraId="2F689368">
            <w:pPr>
              <w:spacing w:line="440" w:lineRule="exact"/>
              <w:ind w:firstLine="428"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kern w:val="0"/>
                <w:highlight w:val="none"/>
              </w:rPr>
              <w:t>《</w:t>
            </w:r>
            <w:r>
              <w:rPr>
                <w:rFonts w:hint="eastAsia" w:ascii="仿宋_GB2312" w:hAnsi="仿宋_GB2312" w:eastAsia="仿宋_GB2312" w:cs="仿宋_GB2312"/>
                <w:color w:val="auto"/>
                <w:highlight w:val="none"/>
              </w:rPr>
              <w:t>半成品管理办法</w:t>
            </w:r>
            <w:r>
              <w:rPr>
                <w:rFonts w:hint="eastAsia" w:ascii="仿宋_GB2312" w:hAnsi="仿宋_GB2312" w:eastAsia="仿宋_GB2312" w:cs="仿宋_GB2312"/>
                <w:color w:val="auto"/>
                <w:spacing w:val="2"/>
                <w:kern w:val="0"/>
                <w:highlight w:val="none"/>
              </w:rPr>
              <w:t>》</w:t>
            </w:r>
          </w:p>
          <w:p w14:paraId="6D5334A7">
            <w:pPr>
              <w:tabs>
                <w:tab w:val="left" w:pos="900"/>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w:t>
            </w:r>
            <w:r>
              <w:rPr>
                <w:rFonts w:hint="eastAsia" w:ascii="仿宋_GB2312" w:hAnsi="仿宋_GB2312" w:eastAsia="仿宋_GB2312" w:cs="仿宋_GB2312"/>
                <w:color w:val="auto"/>
                <w:highlight w:val="none"/>
              </w:rPr>
              <w:t>在制品库房管理规定</w:t>
            </w:r>
            <w:r>
              <w:rPr>
                <w:rFonts w:hint="eastAsia" w:ascii="仿宋_GB2312" w:hAnsi="仿宋_GB2312" w:eastAsia="仿宋_GB2312" w:cs="仿宋_GB2312"/>
                <w:color w:val="auto"/>
                <w:spacing w:val="2"/>
                <w:kern w:val="0"/>
                <w:highlight w:val="none"/>
              </w:rPr>
              <w:t>》</w:t>
            </w:r>
          </w:p>
          <w:p w14:paraId="254D011C">
            <w:pPr>
              <w:tabs>
                <w:tab w:val="left" w:pos="993"/>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《原材料批次管理规定》</w:t>
            </w:r>
          </w:p>
          <w:p w14:paraId="7B043832">
            <w:pPr>
              <w:spacing w:line="44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仿宋_GB2312" w:hAnsi="宋体" w:eastAsia="仿宋_GB2312" w:cs="仿宋_GB2312"/>
                <w:i w:val="0"/>
                <w:iCs w:val="0"/>
                <w:color w:val="auto"/>
                <w:kern w:val="0"/>
                <w:sz w:val="21"/>
                <w:szCs w:val="21"/>
                <w:highlight w:val="none"/>
                <w:u w:val="none"/>
                <w:lang w:val="en-US" w:eastAsia="zh-CN" w:bidi="ar"/>
              </w:rPr>
              <w:t>产品序列号管理办法</w:t>
            </w:r>
            <w:r>
              <w:rPr>
                <w:rFonts w:hint="eastAsia" w:ascii="宋体" w:hAnsi="宋体" w:eastAsia="宋体" w:cs="宋体"/>
                <w:color w:val="auto"/>
                <w:highlight w:val="none"/>
                <w:lang w:eastAsia="zh-CN"/>
              </w:rPr>
              <w:t>》</w:t>
            </w:r>
          </w:p>
          <w:p w14:paraId="3122E147">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7C96F477">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3EF912DC">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058030B6">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0A19336C">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30715B9D">
            <w:pPr>
              <w:keepNext w:val="0"/>
              <w:keepLines w:val="0"/>
              <w:pageBreakBefore w:val="0"/>
              <w:kinsoku/>
              <w:wordWrap/>
              <w:overflowPunct/>
              <w:topLinePunct w:val="0"/>
              <w:bidi w:val="0"/>
              <w:spacing w:line="440" w:lineRule="exact"/>
              <w:rPr>
                <w:rFonts w:ascii="宋体" w:hAnsi="宋体" w:eastAsia="宋体" w:cs="宋体"/>
                <w:color w:val="auto"/>
                <w:kern w:val="2"/>
                <w:sz w:val="21"/>
                <w:szCs w:val="21"/>
                <w:highlight w:val="none"/>
                <w:lang w:val="en-US" w:eastAsia="zh-CN" w:bidi="ar-SA"/>
              </w:rPr>
            </w:pPr>
          </w:p>
        </w:tc>
      </w:tr>
    </w:tbl>
    <w:p w14:paraId="45746445">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60F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F4D375F">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560669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C0CF7B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91FFFC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4D3E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37AFD1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3A806A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96345E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7C4A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3988E8D">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54" w:name="_Toc25369"/>
            <w:bookmarkStart w:id="155" w:name="_Toc897"/>
            <w:bookmarkStart w:id="156" w:name="_Toc18605"/>
            <w:r>
              <w:rPr>
                <w:rFonts w:hint="eastAsia" w:ascii="宋体" w:hAnsi="宋体" w:eastAsia="宋体" w:cs="宋体"/>
                <w:color w:val="auto"/>
                <w:highlight w:val="none"/>
              </w:rPr>
              <w:t>4.16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分承制方的控制</w:t>
            </w:r>
            <w:bookmarkEnd w:id="154"/>
            <w:bookmarkEnd w:id="155"/>
            <w:bookmarkEnd w:id="156"/>
          </w:p>
        </w:tc>
        <w:tc>
          <w:tcPr>
            <w:tcW w:w="1587" w:type="dxa"/>
            <w:tcBorders>
              <w:top w:val="single" w:color="auto" w:sz="4" w:space="0"/>
              <w:left w:val="single" w:color="auto" w:sz="4" w:space="0"/>
              <w:bottom w:val="single" w:color="auto" w:sz="4" w:space="0"/>
              <w:right w:val="single" w:color="auto" w:sz="4" w:space="0"/>
            </w:tcBorders>
            <w:vAlign w:val="center"/>
          </w:tcPr>
          <w:p w14:paraId="3958B24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37FB3D8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44</w:t>
            </w:r>
            <w:r>
              <w:rPr>
                <w:rFonts w:hint="eastAsia" w:ascii="宋体" w:hAnsi="宋体" w:eastAsia="宋体" w:cs="宋体"/>
                <w:color w:val="auto"/>
                <w:highlight w:val="none"/>
              </w:rPr>
              <w:t xml:space="preserve"> 页</w:t>
            </w:r>
          </w:p>
        </w:tc>
      </w:tr>
      <w:tr w14:paraId="27D7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2EC201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B2B7A4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6A9881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9B2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9D1CEA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4.16.1 目的</w:t>
            </w:r>
          </w:p>
          <w:p w14:paraId="50EBD5E4">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 xml:space="preserve">    对超柔射频同轴电缆</w:t>
            </w:r>
            <w:r>
              <w:rPr>
                <w:rFonts w:hint="eastAsia" w:ascii="仿宋_GB2312" w:hAnsi="仿宋_GB2312" w:eastAsia="仿宋_GB2312" w:cs="仿宋_GB2312"/>
                <w:color w:val="auto"/>
                <w:szCs w:val="21"/>
                <w:highlight w:val="none"/>
              </w:rPr>
              <w:t>生产线</w:t>
            </w:r>
            <w:r>
              <w:rPr>
                <w:rFonts w:hint="eastAsia" w:ascii="仿宋_GB2312" w:hAnsi="仿宋_GB2312" w:eastAsia="仿宋_GB2312" w:cs="仿宋_GB2312"/>
                <w:color w:val="auto"/>
                <w:spacing w:val="0"/>
                <w:kern w:val="2"/>
                <w:szCs w:val="21"/>
                <w:highlight w:val="none"/>
              </w:rPr>
              <w:t>中需外包的过程进行控制和管理，确保产品满足要求。</w:t>
            </w:r>
          </w:p>
          <w:p w14:paraId="77C56A6F">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4.16.2 适用范围</w:t>
            </w:r>
          </w:p>
          <w:p w14:paraId="403BA26E">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适用于超柔射频同轴电缆</w:t>
            </w:r>
            <w:r>
              <w:rPr>
                <w:rFonts w:hint="eastAsia" w:ascii="仿宋_GB2312" w:hAnsi="仿宋_GB2312" w:eastAsia="仿宋_GB2312" w:cs="仿宋_GB2312"/>
                <w:color w:val="auto"/>
                <w:szCs w:val="21"/>
                <w:highlight w:val="none"/>
              </w:rPr>
              <w:t>生产线产品中对</w:t>
            </w:r>
            <w:r>
              <w:rPr>
                <w:rFonts w:hint="eastAsia" w:ascii="仿宋_GB2312" w:hAnsi="仿宋_GB2312" w:eastAsia="仿宋_GB2312" w:cs="仿宋_GB2312"/>
                <w:color w:val="auto"/>
                <w:spacing w:val="0"/>
                <w:kern w:val="2"/>
                <w:szCs w:val="21"/>
                <w:highlight w:val="none"/>
              </w:rPr>
              <w:t>分承制方的控制。</w:t>
            </w:r>
          </w:p>
          <w:p w14:paraId="10BBA21D">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4.16.3 职责</w:t>
            </w:r>
          </w:p>
          <w:p w14:paraId="734754E0">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sz w:val="21"/>
                <w:szCs w:val="24"/>
                <w:highlight w:val="none"/>
                <w:lang w:eastAsia="zh-CN"/>
              </w:rPr>
            </w:pPr>
            <w:r>
              <w:rPr>
                <w:rFonts w:hint="eastAsia" w:ascii="仿宋_GB2312" w:hAnsi="仿宋_GB2312" w:eastAsia="仿宋_GB2312" w:cs="仿宋_GB2312"/>
                <w:color w:val="auto"/>
                <w:spacing w:val="0"/>
                <w:kern w:val="10"/>
                <w:sz w:val="21"/>
                <w:szCs w:val="24"/>
                <w:highlight w:val="none"/>
                <w:lang w:eastAsia="zh-CN"/>
              </w:rPr>
              <w:t>质量体系</w:t>
            </w:r>
            <w:r>
              <w:rPr>
                <w:rFonts w:hint="eastAsia" w:ascii="仿宋_GB2312" w:hAnsi="仿宋_GB2312" w:eastAsia="仿宋_GB2312" w:cs="仿宋_GB2312"/>
                <w:color w:val="auto"/>
                <w:spacing w:val="0"/>
                <w:kern w:val="10"/>
                <w:sz w:val="21"/>
                <w:szCs w:val="24"/>
                <w:highlight w:val="none"/>
              </w:rPr>
              <w:t>部是分承制方控制的归口部门，</w:t>
            </w:r>
            <w:r>
              <w:rPr>
                <w:rFonts w:hint="eastAsia" w:ascii="仿宋_GB2312" w:hAnsi="仿宋_GB2312" w:eastAsia="仿宋_GB2312" w:cs="仿宋_GB2312"/>
                <w:color w:val="auto"/>
                <w:spacing w:val="0"/>
                <w:kern w:val="10"/>
                <w:sz w:val="21"/>
                <w:szCs w:val="24"/>
                <w:highlight w:val="none"/>
                <w:lang w:eastAsia="zh-CN"/>
              </w:rPr>
              <w:t>负责编制《外包过程控制程序》，</w:t>
            </w:r>
            <w:r>
              <w:rPr>
                <w:rFonts w:hint="eastAsia" w:ascii="仿宋_GB2312" w:hAnsi="仿宋_GB2312" w:eastAsia="仿宋_GB2312" w:cs="仿宋_GB2312"/>
                <w:color w:val="auto"/>
                <w:spacing w:val="0"/>
                <w:kern w:val="10"/>
                <w:sz w:val="21"/>
                <w:szCs w:val="24"/>
                <w:highlight w:val="none"/>
              </w:rPr>
              <w:t>建立合格分承制方（也称为外包方）管理制度，</w:t>
            </w:r>
            <w:r>
              <w:rPr>
                <w:rFonts w:hint="eastAsia" w:ascii="仿宋_GB2312" w:hAnsi="仿宋_GB2312" w:eastAsia="仿宋_GB2312" w:cs="仿宋_GB2312"/>
                <w:color w:val="auto"/>
                <w:spacing w:val="0"/>
                <w:kern w:val="10"/>
                <w:sz w:val="21"/>
                <w:szCs w:val="24"/>
                <w:highlight w:val="none"/>
                <w:lang w:eastAsia="zh-CN"/>
              </w:rPr>
              <w:t>编制</w:t>
            </w:r>
            <w:r>
              <w:rPr>
                <w:rFonts w:hint="eastAsia" w:ascii="仿宋_GB2312" w:hAnsi="仿宋_GB2312" w:eastAsia="仿宋_GB2312" w:cs="仿宋_GB2312"/>
                <w:color w:val="auto"/>
                <w:spacing w:val="0"/>
                <w:kern w:val="10"/>
                <w:sz w:val="21"/>
                <w:szCs w:val="24"/>
                <w:highlight w:val="none"/>
              </w:rPr>
              <w:t>合格分承制方清单</w:t>
            </w:r>
            <w:r>
              <w:rPr>
                <w:rFonts w:hint="eastAsia" w:ascii="仿宋_GB2312" w:hAnsi="仿宋_GB2312" w:eastAsia="仿宋_GB2312" w:cs="仿宋_GB2312"/>
                <w:color w:val="auto"/>
                <w:spacing w:val="0"/>
                <w:kern w:val="10"/>
                <w:sz w:val="21"/>
                <w:szCs w:val="24"/>
                <w:highlight w:val="none"/>
                <w:lang w:eastAsia="zh-CN"/>
              </w:rPr>
              <w:t>，</w:t>
            </w:r>
            <w:r>
              <w:rPr>
                <w:rFonts w:hint="eastAsia" w:ascii="仿宋_GB2312" w:hAnsi="仿宋_GB2312" w:eastAsia="仿宋_GB2312" w:cs="仿宋_GB2312"/>
                <w:color w:val="auto"/>
                <w:spacing w:val="0"/>
                <w:kern w:val="10"/>
                <w:sz w:val="21"/>
                <w:szCs w:val="24"/>
                <w:highlight w:val="none"/>
              </w:rPr>
              <w:t>报鉴定机构审查、备案并提交相关用户备案。负责检验试验过程（周期试验）</w:t>
            </w:r>
            <w:r>
              <w:rPr>
                <w:rFonts w:hint="eastAsia" w:ascii="仿宋_GB2312" w:hAnsi="仿宋_GB2312" w:eastAsia="仿宋_GB2312" w:cs="仿宋_GB2312"/>
                <w:color w:val="auto"/>
                <w:spacing w:val="0"/>
                <w:kern w:val="10"/>
                <w:sz w:val="21"/>
                <w:szCs w:val="24"/>
                <w:highlight w:val="none"/>
                <w:lang w:eastAsia="zh-CN"/>
              </w:rPr>
              <w:t>和</w:t>
            </w:r>
            <w:r>
              <w:rPr>
                <w:rFonts w:hint="eastAsia" w:ascii="仿宋_GB2312" w:hAnsi="仿宋_GB2312" w:eastAsia="仿宋_GB2312" w:cs="仿宋_GB2312"/>
                <w:color w:val="auto"/>
                <w:spacing w:val="0"/>
                <w:kern w:val="10"/>
                <w:sz w:val="21"/>
                <w:szCs w:val="24"/>
                <w:highlight w:val="none"/>
              </w:rPr>
              <w:t>计量过程</w:t>
            </w:r>
            <w:r>
              <w:rPr>
                <w:rFonts w:hint="eastAsia" w:ascii="仿宋_GB2312" w:hAnsi="仿宋_GB2312" w:eastAsia="仿宋_GB2312" w:cs="仿宋_GB2312"/>
                <w:color w:val="auto"/>
                <w:spacing w:val="0"/>
                <w:sz w:val="21"/>
                <w:szCs w:val="24"/>
                <w:highlight w:val="none"/>
              </w:rPr>
              <w:t>的分承制方的确定、</w:t>
            </w:r>
            <w:r>
              <w:rPr>
                <w:rFonts w:hint="eastAsia" w:ascii="仿宋_GB2312" w:hAnsi="仿宋_GB2312" w:eastAsia="仿宋_GB2312" w:cs="仿宋_GB2312"/>
                <w:color w:val="auto"/>
                <w:spacing w:val="0"/>
                <w:kern w:val="2"/>
                <w:sz w:val="21"/>
                <w:szCs w:val="21"/>
                <w:highlight w:val="none"/>
              </w:rPr>
              <w:t>管理，</w:t>
            </w:r>
            <w:r>
              <w:rPr>
                <w:rFonts w:hint="eastAsia" w:ascii="仿宋_GB2312" w:hAnsi="仿宋_GB2312" w:eastAsia="仿宋_GB2312" w:cs="仿宋_GB2312"/>
                <w:color w:val="auto"/>
                <w:spacing w:val="0"/>
                <w:kern w:val="10"/>
                <w:sz w:val="21"/>
                <w:szCs w:val="24"/>
                <w:highlight w:val="none"/>
              </w:rPr>
              <w:t>对分承制方的资质进行审查，</w:t>
            </w:r>
            <w:r>
              <w:rPr>
                <w:rFonts w:hint="eastAsia" w:ascii="仿宋_GB2312" w:hAnsi="仿宋_GB2312" w:eastAsia="仿宋_GB2312" w:cs="仿宋_GB2312"/>
                <w:color w:val="auto"/>
                <w:spacing w:val="0"/>
                <w:kern w:val="2"/>
                <w:sz w:val="21"/>
                <w:szCs w:val="21"/>
                <w:highlight w:val="none"/>
              </w:rPr>
              <w:t>与分承制方签订技术协议</w:t>
            </w:r>
            <w:r>
              <w:rPr>
                <w:rFonts w:hint="eastAsia" w:ascii="仿宋_GB2312" w:hAnsi="仿宋_GB2312" w:eastAsia="仿宋_GB2312" w:cs="仿宋_GB2312"/>
                <w:color w:val="auto"/>
                <w:spacing w:val="0"/>
                <w:sz w:val="21"/>
                <w:szCs w:val="24"/>
                <w:highlight w:val="none"/>
              </w:rPr>
              <w:t>和控制</w:t>
            </w:r>
            <w:r>
              <w:rPr>
                <w:rFonts w:hint="eastAsia" w:ascii="仿宋_GB2312" w:hAnsi="仿宋_GB2312" w:eastAsia="仿宋_GB2312" w:cs="仿宋_GB2312"/>
                <w:color w:val="auto"/>
                <w:spacing w:val="0"/>
                <w:sz w:val="21"/>
                <w:szCs w:val="24"/>
                <w:highlight w:val="none"/>
                <w:lang w:eastAsia="zh-CN"/>
              </w:rPr>
              <w:t>。</w:t>
            </w:r>
          </w:p>
          <w:p w14:paraId="334779F4">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防务装备事业部</w:t>
            </w:r>
            <w:r>
              <w:rPr>
                <w:rFonts w:hint="eastAsia" w:ascii="仿宋_GB2312" w:hAnsi="仿宋_GB2312" w:eastAsia="仿宋_GB2312" w:cs="仿宋_GB2312"/>
                <w:color w:val="auto"/>
                <w:spacing w:val="0"/>
                <w:kern w:val="2"/>
                <w:szCs w:val="21"/>
                <w:highlight w:val="none"/>
              </w:rPr>
              <w:t>是</w:t>
            </w:r>
            <w:r>
              <w:rPr>
                <w:rFonts w:hint="eastAsia" w:ascii="仿宋_GB2312" w:hAnsi="仿宋_GB2312" w:eastAsia="仿宋_GB2312" w:cs="仿宋_GB2312"/>
                <w:color w:val="auto"/>
                <w:kern w:val="10"/>
                <w:szCs w:val="24"/>
                <w:highlight w:val="none"/>
              </w:rPr>
              <w:t>分承制方控制的</w:t>
            </w:r>
            <w:r>
              <w:rPr>
                <w:rFonts w:hint="eastAsia" w:ascii="仿宋_GB2312" w:hAnsi="仿宋_GB2312" w:eastAsia="仿宋_GB2312" w:cs="仿宋_GB2312"/>
                <w:color w:val="auto"/>
                <w:spacing w:val="0"/>
                <w:kern w:val="10"/>
                <w:sz w:val="21"/>
                <w:szCs w:val="24"/>
                <w:highlight w:val="none"/>
              </w:rPr>
              <w:t>主要相关部门</w:t>
            </w:r>
            <w:r>
              <w:rPr>
                <w:rFonts w:hint="eastAsia" w:ascii="仿宋_GB2312" w:hAnsi="仿宋_GB2312" w:eastAsia="仿宋_GB2312" w:cs="仿宋_GB2312"/>
                <w:color w:val="auto"/>
                <w:kern w:val="10"/>
                <w:szCs w:val="24"/>
                <w:highlight w:val="none"/>
              </w:rPr>
              <w:t>，</w:t>
            </w:r>
            <w:r>
              <w:rPr>
                <w:rFonts w:hint="eastAsia" w:ascii="仿宋_GB2312" w:hAnsi="仿宋_GB2312" w:eastAsia="仿宋_GB2312" w:cs="仿宋_GB2312"/>
                <w:color w:val="auto"/>
                <w:spacing w:val="0"/>
                <w:kern w:val="2"/>
                <w:szCs w:val="21"/>
                <w:highlight w:val="none"/>
              </w:rPr>
              <w:t>负责</w:t>
            </w:r>
            <w:r>
              <w:rPr>
                <w:rFonts w:hint="eastAsia" w:ascii="仿宋_GB2312" w:hAnsi="仿宋_GB2312" w:eastAsia="仿宋_GB2312" w:cs="仿宋_GB2312"/>
                <w:color w:val="auto"/>
                <w:spacing w:val="0"/>
                <w:kern w:val="2"/>
                <w:szCs w:val="21"/>
                <w:highlight w:val="none"/>
                <w:lang w:eastAsia="zh-CN"/>
              </w:rPr>
              <w:t>组织</w:t>
            </w:r>
            <w:r>
              <w:rPr>
                <w:rFonts w:hint="eastAsia" w:ascii="仿宋_GB2312" w:hAnsi="仿宋_GB2312" w:eastAsia="仿宋_GB2312" w:cs="仿宋_GB2312"/>
                <w:color w:val="auto"/>
                <w:szCs w:val="24"/>
                <w:highlight w:val="none"/>
              </w:rPr>
              <w:t>生产工序外协过程的确定</w:t>
            </w:r>
            <w:r>
              <w:rPr>
                <w:rFonts w:hint="eastAsia" w:ascii="仿宋_GB2312" w:hAnsi="仿宋_GB2312" w:eastAsia="仿宋_GB2312" w:cs="仿宋_GB2312"/>
                <w:color w:val="auto"/>
                <w:spacing w:val="0"/>
                <w:kern w:val="2"/>
                <w:szCs w:val="21"/>
                <w:highlight w:val="none"/>
              </w:rPr>
              <w:t>，负责</w:t>
            </w:r>
            <w:r>
              <w:rPr>
                <w:rFonts w:hint="eastAsia" w:ascii="仿宋_GB2312" w:hAnsi="仿宋_GB2312" w:eastAsia="仿宋_GB2312" w:cs="仿宋_GB2312"/>
                <w:color w:val="auto"/>
                <w:spacing w:val="0"/>
                <w:kern w:val="2"/>
                <w:szCs w:val="21"/>
                <w:highlight w:val="none"/>
                <w:lang w:eastAsia="zh-CN"/>
              </w:rPr>
              <w:t>工序</w:t>
            </w:r>
            <w:r>
              <w:rPr>
                <w:rFonts w:hint="eastAsia" w:ascii="仿宋_GB2312" w:hAnsi="仿宋_GB2312" w:eastAsia="仿宋_GB2312" w:cs="仿宋_GB2312"/>
                <w:color w:val="auto"/>
                <w:spacing w:val="0"/>
                <w:kern w:val="2"/>
                <w:szCs w:val="21"/>
                <w:highlight w:val="none"/>
              </w:rPr>
              <w:t>分承制方的</w:t>
            </w:r>
            <w:r>
              <w:rPr>
                <w:rFonts w:hint="eastAsia" w:ascii="仿宋_GB2312" w:hAnsi="仿宋_GB2312" w:eastAsia="仿宋_GB2312" w:cs="仿宋_GB2312"/>
                <w:color w:val="auto"/>
                <w:spacing w:val="0"/>
                <w:kern w:val="2"/>
                <w:szCs w:val="21"/>
                <w:highlight w:val="none"/>
                <w:lang w:eastAsia="zh-CN"/>
              </w:rPr>
              <w:t>确认、</w:t>
            </w:r>
            <w:r>
              <w:rPr>
                <w:rFonts w:hint="eastAsia" w:ascii="仿宋_GB2312" w:hAnsi="仿宋_GB2312" w:eastAsia="仿宋_GB2312" w:cs="仿宋_GB2312"/>
                <w:color w:val="auto"/>
                <w:spacing w:val="0"/>
                <w:kern w:val="2"/>
                <w:szCs w:val="21"/>
                <w:highlight w:val="none"/>
              </w:rPr>
              <w:t>管理，与外包方签订正式的技术协议和质量保证协议或合同。</w:t>
            </w:r>
          </w:p>
          <w:p w14:paraId="621CC640">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4.16.4 控制要求</w:t>
            </w:r>
          </w:p>
          <w:p w14:paraId="5D4E5C70">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6"/>
                <w:kern w:val="0"/>
                <w:sz w:val="21"/>
                <w:highlight w:val="none"/>
              </w:rPr>
            </w:pPr>
            <w:r>
              <w:rPr>
                <w:rFonts w:hint="eastAsia" w:ascii="仿宋_GB2312" w:hAnsi="仿宋_GB2312" w:eastAsia="仿宋_GB2312" w:cs="仿宋_GB2312"/>
                <w:color w:val="auto"/>
                <w:spacing w:val="0"/>
                <w:sz w:val="21"/>
                <w:highlight w:val="none"/>
              </w:rPr>
              <w:t xml:space="preserve">4.16.4.1 </w:t>
            </w:r>
            <w:r>
              <w:rPr>
                <w:rFonts w:hint="eastAsia" w:ascii="仿宋_GB2312" w:hAnsi="仿宋_GB2312" w:eastAsia="仿宋_GB2312" w:cs="仿宋_GB2312"/>
                <w:color w:val="auto"/>
                <w:spacing w:val="-6"/>
                <w:kern w:val="0"/>
                <w:sz w:val="21"/>
                <w:highlight w:val="none"/>
              </w:rPr>
              <w:t>本生产线无</w:t>
            </w:r>
            <w:r>
              <w:rPr>
                <w:rFonts w:hint="eastAsia" w:ascii="仿宋_GB2312" w:hAnsi="仿宋_GB2312" w:eastAsia="仿宋_GB2312" w:cs="仿宋_GB2312"/>
                <w:color w:val="auto"/>
                <w:spacing w:val="-6"/>
                <w:sz w:val="21"/>
                <w:szCs w:val="24"/>
                <w:highlight w:val="none"/>
              </w:rPr>
              <w:t>生产</w:t>
            </w:r>
            <w:r>
              <w:rPr>
                <w:rFonts w:hint="eastAsia" w:ascii="仿宋_GB2312" w:hAnsi="仿宋_GB2312" w:eastAsia="仿宋_GB2312" w:cs="仿宋_GB2312"/>
                <w:color w:val="auto"/>
                <w:spacing w:val="-6"/>
                <w:kern w:val="0"/>
                <w:sz w:val="21"/>
                <w:highlight w:val="none"/>
              </w:rPr>
              <w:t>工序外包和检验试验外包，只有计量校准外包，执行《外包过程控制程序》。</w:t>
            </w:r>
          </w:p>
          <w:p w14:paraId="7E063255">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6"/>
                <w:kern w:val="0"/>
                <w:sz w:val="21"/>
                <w:highlight w:val="none"/>
              </w:rPr>
            </w:pPr>
            <w:r>
              <w:rPr>
                <w:rFonts w:hint="eastAsia" w:ascii="仿宋_GB2312" w:hAnsi="仿宋_GB2312" w:eastAsia="仿宋_GB2312" w:cs="仿宋_GB2312"/>
                <w:color w:val="auto"/>
                <w:spacing w:val="0"/>
                <w:sz w:val="21"/>
                <w:highlight w:val="none"/>
              </w:rPr>
              <w:t xml:space="preserve">4.16.4.2 </w:t>
            </w:r>
            <w:r>
              <w:rPr>
                <w:rFonts w:hint="eastAsia" w:ascii="仿宋_GB2312" w:hAnsi="仿宋_GB2312" w:eastAsia="仿宋_GB2312" w:cs="仿宋_GB2312"/>
                <w:color w:val="auto"/>
                <w:spacing w:val="-6"/>
                <w:kern w:val="0"/>
                <w:sz w:val="21"/>
                <w:highlight w:val="none"/>
              </w:rPr>
              <w:t>工厂确保对外包过程的控制，并不免除其提供满足所有顾客和法律法规要求产品的责任。</w:t>
            </w:r>
          </w:p>
          <w:p w14:paraId="28C054E1">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4.16.4</w:t>
            </w:r>
            <w:r>
              <w:rPr>
                <w:rFonts w:hint="eastAsia" w:ascii="仿宋_GB2312" w:hAnsi="仿宋_GB2312" w:eastAsia="仿宋_GB2312" w:cs="仿宋_GB2312"/>
                <w:color w:val="auto"/>
                <w:spacing w:val="2"/>
                <w:kern w:val="0"/>
                <w:highlight w:val="none"/>
              </w:rPr>
              <w:t>.3 分承制方的基本要求</w:t>
            </w:r>
          </w:p>
          <w:p w14:paraId="242362B7">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1）质量体系部编制</w:t>
            </w:r>
            <w:r>
              <w:rPr>
                <w:rFonts w:hint="eastAsia" w:ascii="仿宋_GB2312" w:hAnsi="仿宋_GB2312" w:eastAsia="仿宋_GB2312" w:cs="仿宋_GB2312"/>
                <w:color w:val="auto"/>
                <w:spacing w:val="-6"/>
                <w:kern w:val="0"/>
                <w:sz w:val="21"/>
                <w:highlight w:val="none"/>
              </w:rPr>
              <w:t>《外包过程控制程序》</w:t>
            </w:r>
            <w:r>
              <w:rPr>
                <w:rFonts w:hint="eastAsia" w:ascii="仿宋_GB2312" w:hAnsi="仿宋_GB2312" w:eastAsia="仿宋_GB2312" w:cs="仿宋_GB2312"/>
                <w:color w:val="auto"/>
                <w:spacing w:val="0"/>
                <w:kern w:val="2"/>
                <w:sz w:val="21"/>
                <w:szCs w:val="21"/>
                <w:highlight w:val="none"/>
                <w:lang w:val="en-US" w:eastAsia="zh-CN" w:bidi="ar-SA"/>
              </w:rPr>
              <w:t>。</w:t>
            </w:r>
          </w:p>
          <w:p w14:paraId="5596998D">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优先选择有能力的外包供方（尽量选择通过军标体系认证的企业），定期对外包方进行评价；形成合格外包方清单，并报鉴定机构审查、备案并提交相关用户备案。</w:t>
            </w:r>
          </w:p>
          <w:p w14:paraId="714C5E02">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对分承制方的确认至少应包括以下事项：</w:t>
            </w:r>
          </w:p>
          <w:p w14:paraId="617864B9">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① 分承制方的资质、资格、长期提供稳定外包的能力。</w:t>
            </w:r>
          </w:p>
          <w:p w14:paraId="069F6472">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② 分承制方的生产设备能力和人员资格。</w:t>
            </w:r>
          </w:p>
          <w:p w14:paraId="5F6446D4">
            <w:pPr>
              <w:keepNext w:val="0"/>
              <w:keepLines w:val="0"/>
              <w:pageBreakBefore w:val="0"/>
              <w:numPr>
                <w:ilvl w:val="0"/>
                <w:numId w:val="0"/>
              </w:numPr>
              <w:kinsoku/>
              <w:wordWrap/>
              <w:overflowPunct/>
              <w:topLinePunct w:val="0"/>
              <w:autoSpaceDE w:val="0"/>
              <w:autoSpaceDN w:val="0"/>
              <w:bidi w:val="0"/>
              <w:snapToGrid w:val="0"/>
              <w:spacing w:line="440" w:lineRule="exact"/>
              <w:ind w:left="885"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③ 产品检验、试验以及交付验证方法、判定接收准则。</w:t>
            </w:r>
          </w:p>
          <w:p w14:paraId="6A3833BD">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 xml:space="preserve">④ 产品标识、搬运、包装、防护、贮存、运输及保障条件等。 </w:t>
            </w:r>
          </w:p>
          <w:p w14:paraId="4DC5EE03">
            <w:pPr>
              <w:keepNext w:val="0"/>
              <w:keepLines w:val="0"/>
              <w:pageBreakBefore w:val="0"/>
              <w:widowControl/>
              <w:numPr>
                <w:ilvl w:val="0"/>
                <w:numId w:val="0"/>
              </w:numPr>
              <w:kinsoku/>
              <w:wordWrap/>
              <w:overflowPunct/>
              <w:topLinePunct w:val="0"/>
              <w:autoSpaceDE w:val="0"/>
              <w:autoSpaceDN w:val="0"/>
              <w:bidi w:val="0"/>
              <w:adjustRightInd/>
              <w:snapToGrid w:val="0"/>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2）质量体系部与</w:t>
            </w:r>
            <w:r>
              <w:rPr>
                <w:rFonts w:hint="eastAsia" w:ascii="仿宋_GB2312" w:hAnsi="仿宋_GB2312" w:eastAsia="仿宋_GB2312" w:cs="仿宋_GB2312"/>
                <w:color w:val="auto"/>
                <w:spacing w:val="-6"/>
                <w:kern w:val="0"/>
                <w:sz w:val="21"/>
                <w:highlight w:val="none"/>
              </w:rPr>
              <w:t>计量校准外包</w:t>
            </w:r>
            <w:r>
              <w:rPr>
                <w:rFonts w:hint="eastAsia" w:ascii="仿宋_GB2312" w:hAnsi="仿宋_GB2312" w:eastAsia="仿宋_GB2312" w:cs="仿宋_GB2312"/>
                <w:color w:val="auto"/>
                <w:spacing w:val="0"/>
                <w:kern w:val="2"/>
                <w:sz w:val="21"/>
                <w:szCs w:val="21"/>
                <w:highlight w:val="none"/>
                <w:lang w:val="en-US" w:eastAsia="zh-CN" w:bidi="ar-SA"/>
              </w:rPr>
              <w:t>方签订正式的技术协议或质量保证协议或合同；</w:t>
            </w:r>
          </w:p>
          <w:p w14:paraId="5CEBEA6F">
            <w:pPr>
              <w:keepNext w:val="0"/>
              <w:keepLines w:val="0"/>
              <w:pageBreakBefore w:val="0"/>
              <w:widowControl/>
              <w:kinsoku/>
              <w:wordWrap/>
              <w:overflowPunct/>
              <w:topLinePunct w:val="0"/>
              <w:autoSpaceDE w:val="0"/>
              <w:autoSpaceDN w:val="0"/>
              <w:bidi w:val="0"/>
              <w:snapToGrid w:val="0"/>
              <w:spacing w:line="440" w:lineRule="exact"/>
              <w:ind w:left="0" w:leftChars="0"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3）应对外包方的加工过程实施监控，并保持记录。</w:t>
            </w:r>
          </w:p>
          <w:p w14:paraId="5654A98D">
            <w:pPr>
              <w:keepNext w:val="0"/>
              <w:keepLines w:val="0"/>
              <w:pageBreakBefore w:val="0"/>
              <w:widowControl/>
              <w:kinsoku/>
              <w:wordWrap/>
              <w:overflowPunct/>
              <w:topLinePunct w:val="0"/>
              <w:autoSpaceDE w:val="0"/>
              <w:autoSpaceDN w:val="0"/>
              <w:bidi w:val="0"/>
              <w:snapToGrid w:val="0"/>
              <w:spacing w:line="440" w:lineRule="exact"/>
              <w:ind w:left="0" w:leftChars="0" w:firstLine="420" w:firstLineChars="200"/>
              <w:textAlignment w:val="auto"/>
              <w:rPr>
                <w:rFonts w:hint="eastAsia" w:ascii="宋体" w:hAnsi="宋体" w:eastAsia="宋体" w:cs="宋体"/>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4）要求外包方的所有相关记录应具有可追溯性。</w:t>
            </w:r>
          </w:p>
        </w:tc>
      </w:tr>
    </w:tbl>
    <w:p w14:paraId="7B2D020B">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353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E653A9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22B0A8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58E4E7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D6C414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1AE9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359662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BB1B3A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920996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AAE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4DD643D">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57" w:name="_Toc3145"/>
            <w:bookmarkStart w:id="158" w:name="_Toc22317"/>
            <w:bookmarkStart w:id="159" w:name="_Toc1806"/>
            <w:r>
              <w:rPr>
                <w:rFonts w:hint="eastAsia" w:ascii="宋体" w:hAnsi="宋体" w:eastAsia="宋体" w:cs="宋体"/>
                <w:color w:val="auto"/>
                <w:highlight w:val="none"/>
              </w:rPr>
              <w:t>4.16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分承制方的控制</w:t>
            </w:r>
            <w:bookmarkEnd w:id="157"/>
            <w:bookmarkEnd w:id="158"/>
            <w:bookmarkEnd w:id="159"/>
          </w:p>
        </w:tc>
        <w:tc>
          <w:tcPr>
            <w:tcW w:w="1587" w:type="dxa"/>
            <w:tcBorders>
              <w:top w:val="single" w:color="auto" w:sz="4" w:space="0"/>
              <w:left w:val="single" w:color="auto" w:sz="4" w:space="0"/>
              <w:bottom w:val="single" w:color="auto" w:sz="4" w:space="0"/>
              <w:right w:val="single" w:color="auto" w:sz="4" w:space="0"/>
            </w:tcBorders>
            <w:vAlign w:val="center"/>
          </w:tcPr>
          <w:p w14:paraId="0AF1AD9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DCEA2C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45</w:t>
            </w:r>
            <w:r>
              <w:rPr>
                <w:rFonts w:hint="eastAsia" w:ascii="宋体" w:hAnsi="宋体" w:eastAsia="宋体" w:cs="宋体"/>
                <w:color w:val="auto"/>
                <w:highlight w:val="none"/>
              </w:rPr>
              <w:t xml:space="preserve"> 页</w:t>
            </w:r>
          </w:p>
        </w:tc>
      </w:tr>
      <w:tr w14:paraId="5DE2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AAE1131">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6DB050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B9D4FD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164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5C4EEB15">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0"/>
                <w:kern w:val="2"/>
                <w:szCs w:val="21"/>
                <w:highlight w:val="none"/>
              </w:rPr>
              <w:t xml:space="preserve">4.16.5 </w:t>
            </w:r>
            <w:r>
              <w:rPr>
                <w:rFonts w:hint="eastAsia" w:ascii="仿宋_GB2312" w:hAnsi="仿宋_GB2312" w:eastAsia="仿宋_GB2312" w:cs="仿宋_GB2312"/>
                <w:color w:val="auto"/>
                <w:szCs w:val="21"/>
                <w:highlight w:val="none"/>
              </w:rPr>
              <w:t>直接关联的程序文件和作业文件</w:t>
            </w:r>
          </w:p>
          <w:p w14:paraId="5ED64850">
            <w:pPr>
              <w:pStyle w:val="12"/>
              <w:keepNext w:val="0"/>
              <w:keepLines w:val="0"/>
              <w:pageBreakBefore w:val="0"/>
              <w:widowControl w:val="0"/>
              <w:numPr>
                <w:ilvl w:val="2"/>
                <w:numId w:val="0"/>
              </w:numPr>
              <w:kinsoku/>
              <w:wordWrap/>
              <w:overflowPunct/>
              <w:topLinePunct w:val="0"/>
              <w:autoSpaceDE/>
              <w:autoSpaceDN/>
              <w:bidi w:val="0"/>
              <w:adjustRightInd w:val="0"/>
              <w:snapToGrid/>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《外包过程控制程序》</w:t>
            </w:r>
          </w:p>
          <w:p w14:paraId="2F9E6970">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《合格供方的选择、评价、绩效监视及再评价准则》</w:t>
            </w:r>
          </w:p>
        </w:tc>
      </w:tr>
    </w:tbl>
    <w:p w14:paraId="04769344">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44A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23F688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5B6858E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EF5289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259902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77F8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2EE9E1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1CAF7A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60CAA3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C0C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B8A6E5A">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60" w:name="_Toc31938"/>
            <w:bookmarkStart w:id="161" w:name="_Toc22642"/>
            <w:bookmarkStart w:id="162" w:name="_Toc1252"/>
            <w:r>
              <w:rPr>
                <w:rFonts w:hint="eastAsia" w:ascii="宋体" w:hAnsi="宋体" w:eastAsia="宋体" w:cs="宋体"/>
                <w:color w:val="auto"/>
                <w:highlight w:val="none"/>
              </w:rPr>
              <w:t>4.17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产品防护</w:t>
            </w:r>
            <w:bookmarkEnd w:id="160"/>
            <w:bookmarkEnd w:id="161"/>
            <w:bookmarkEnd w:id="162"/>
          </w:p>
        </w:tc>
        <w:tc>
          <w:tcPr>
            <w:tcW w:w="1587" w:type="dxa"/>
            <w:tcBorders>
              <w:top w:val="single" w:color="auto" w:sz="4" w:space="0"/>
              <w:left w:val="single" w:color="auto" w:sz="4" w:space="0"/>
              <w:bottom w:val="single" w:color="auto" w:sz="4" w:space="0"/>
              <w:right w:val="single" w:color="auto" w:sz="4" w:space="0"/>
            </w:tcBorders>
            <w:vAlign w:val="center"/>
          </w:tcPr>
          <w:p w14:paraId="37450A1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F7EEF4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46</w:t>
            </w:r>
            <w:r>
              <w:rPr>
                <w:rFonts w:hint="eastAsia" w:ascii="宋体" w:hAnsi="宋体" w:eastAsia="宋体" w:cs="宋体"/>
                <w:color w:val="auto"/>
                <w:highlight w:val="none"/>
              </w:rPr>
              <w:t xml:space="preserve"> 页</w:t>
            </w:r>
          </w:p>
        </w:tc>
      </w:tr>
      <w:tr w14:paraId="68CD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422B19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FF91A0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D32F66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C45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3387569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4.17.1 目的</w:t>
            </w:r>
          </w:p>
          <w:p w14:paraId="2A8EF54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对产品的防护实施控制，使其在生产、检验、贮存、流转搬运以及长距离运输过程中有必要的物理保护，确保其在这些过程中不遭受损坏。</w:t>
            </w:r>
          </w:p>
          <w:p w14:paraId="209F664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4.17.2 适用范围</w:t>
            </w:r>
          </w:p>
          <w:p w14:paraId="6F584A9E">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w:t>
            </w:r>
            <w:r>
              <w:rPr>
                <w:rFonts w:hint="eastAsia" w:ascii="仿宋_GB2312" w:hAnsi="仿宋_GB2312" w:eastAsia="仿宋_GB2312" w:cs="仿宋_GB2312"/>
                <w:color w:val="auto"/>
                <w:spacing w:val="0"/>
                <w:kern w:val="2"/>
                <w:szCs w:val="21"/>
                <w:highlight w:val="none"/>
              </w:rPr>
              <w:t>超柔射频同轴电缆</w:t>
            </w:r>
            <w:r>
              <w:rPr>
                <w:rFonts w:hint="eastAsia" w:ascii="仿宋_GB2312" w:hAnsi="仿宋_GB2312" w:eastAsia="仿宋_GB2312" w:cs="仿宋_GB2312"/>
                <w:color w:val="auto"/>
                <w:highlight w:val="none"/>
              </w:rPr>
              <w:t>生产线涉及的原材料、零部件、半成品、成品的标识、搬运、包装、贮存过程。</w:t>
            </w:r>
          </w:p>
          <w:p w14:paraId="1BF0B08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4.17.3 职责</w:t>
            </w:r>
          </w:p>
          <w:p w14:paraId="13B1FC2F">
            <w:pPr>
              <w:keepNext w:val="0"/>
              <w:keepLines w:val="0"/>
              <w:pageBreakBefore w:val="0"/>
              <w:kinsoku/>
              <w:wordWrap/>
              <w:overflowPunct/>
              <w:topLinePunct w:val="0"/>
              <w:bidi w:val="0"/>
              <w:spacing w:line="440" w:lineRule="exact"/>
              <w:ind w:firstLine="525" w:firstLineChars="25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是产品防护的归口部门，负责产品防护要求的编制，负责</w:t>
            </w:r>
            <w:r>
              <w:rPr>
                <w:rFonts w:hint="eastAsia" w:ascii="仿宋_GB2312" w:hAnsi="仿宋_GB2312" w:eastAsia="仿宋_GB2312" w:cs="仿宋_GB2312"/>
                <w:color w:val="auto"/>
                <w:highlight w:val="none"/>
                <w:lang w:eastAsia="zh-CN"/>
              </w:rPr>
              <w:t>入库后原材料</w:t>
            </w:r>
            <w:r>
              <w:rPr>
                <w:rFonts w:hint="eastAsia" w:ascii="仿宋_GB2312" w:hAnsi="仿宋_GB2312" w:eastAsia="仿宋_GB2312" w:cs="仿宋_GB2312"/>
                <w:color w:val="auto"/>
                <w:highlight w:val="none"/>
              </w:rPr>
              <w:t>的防护控制</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生产过程中产品的防护控制</w:t>
            </w:r>
            <w:r>
              <w:rPr>
                <w:rFonts w:hint="eastAsia" w:ascii="仿宋_GB2312" w:hAnsi="仿宋_GB2312" w:eastAsia="仿宋_GB2312" w:cs="仿宋_GB2312"/>
                <w:color w:val="auto"/>
                <w:highlight w:val="none"/>
                <w:lang w:eastAsia="zh-CN"/>
              </w:rPr>
              <w:t>、成品的防护控制、</w:t>
            </w:r>
            <w:r>
              <w:rPr>
                <w:rFonts w:hint="eastAsia" w:ascii="仿宋_GB2312" w:hAnsi="仿宋_GB2312" w:eastAsia="仿宋_GB2312" w:cs="仿宋_GB2312"/>
                <w:color w:val="auto"/>
                <w:highlight w:val="none"/>
              </w:rPr>
              <w:t>检验试验过程产品防护控制。</w:t>
            </w:r>
          </w:p>
          <w:p w14:paraId="3D3A532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是产品防护的主要相关部门，负责</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生产过程中产品的防护控制。</w:t>
            </w:r>
          </w:p>
          <w:p w14:paraId="6470749A">
            <w:pPr>
              <w:keepNext w:val="0"/>
              <w:keepLines w:val="0"/>
              <w:pageBreakBefore w:val="0"/>
              <w:kinsoku/>
              <w:wordWrap/>
              <w:overflowPunct/>
              <w:topLinePunct w:val="0"/>
              <w:bidi w:val="0"/>
              <w:spacing w:line="440" w:lineRule="exact"/>
              <w:ind w:firstLine="396"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spacing w:val="-6"/>
                <w:sz w:val="21"/>
                <w:highlight w:val="none"/>
                <w:lang w:eastAsia="zh-CN"/>
              </w:rPr>
              <w:t>采购管理部</w:t>
            </w:r>
            <w:r>
              <w:rPr>
                <w:rFonts w:hint="eastAsia" w:ascii="仿宋_GB2312" w:hAnsi="仿宋_GB2312" w:eastAsia="仿宋_GB2312" w:cs="仿宋_GB2312"/>
                <w:color w:val="auto"/>
                <w:spacing w:val="-6"/>
                <w:sz w:val="21"/>
                <w:highlight w:val="none"/>
                <w:lang w:eastAsia="zh-CN"/>
              </w:rPr>
              <w:t>是产品防护的主要相关部门，负责</w:t>
            </w:r>
            <w:r>
              <w:rPr>
                <w:rFonts w:hint="eastAsia" w:ascii="仿宋_GB2312" w:hAnsi="仿宋_GB2312" w:cs="仿宋_GB2312"/>
                <w:color w:val="auto"/>
                <w:spacing w:val="-6"/>
                <w:sz w:val="21"/>
                <w:highlight w:val="none"/>
                <w:lang w:eastAsia="zh-CN"/>
              </w:rPr>
              <w:t>购回公司后各使用单位领出前的</w:t>
            </w:r>
            <w:r>
              <w:rPr>
                <w:rFonts w:hint="eastAsia" w:ascii="仿宋_GB2312" w:hAnsi="仿宋_GB2312" w:eastAsia="仿宋_GB2312" w:cs="仿宋_GB2312"/>
                <w:color w:val="auto"/>
                <w:spacing w:val="-6"/>
                <w:sz w:val="21"/>
                <w:highlight w:val="none"/>
                <w:lang w:eastAsia="zh-CN"/>
              </w:rPr>
              <w:t>原材料防护控制。</w:t>
            </w:r>
          </w:p>
          <w:p w14:paraId="491DFAB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4.17.4 控制要求</w:t>
            </w:r>
          </w:p>
          <w:p w14:paraId="287BCA6C">
            <w:pPr>
              <w:pStyle w:val="11"/>
              <w:keepNext w:val="0"/>
              <w:keepLines w:val="0"/>
              <w:pageBreakBefore w:val="0"/>
              <w:kinsoku/>
              <w:wordWrap/>
              <w:overflowPunct/>
              <w:topLinePunct w:val="0"/>
              <w:bidi w:val="0"/>
              <w:spacing w:line="440" w:lineRule="exact"/>
              <w:ind w:left="199" w:leftChars="0" w:right="0" w:rightChars="0" w:hanging="199" w:hangingChars="95"/>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4.17.4.1 </w:t>
            </w:r>
            <w:r>
              <w:rPr>
                <w:rFonts w:hint="eastAsia" w:ascii="仿宋_GB2312" w:hAnsi="仿宋_GB2312" w:eastAsia="仿宋_GB2312" w:cs="仿宋_GB2312"/>
                <w:color w:val="auto"/>
                <w:spacing w:val="2"/>
                <w:szCs w:val="21"/>
                <w:highlight w:val="none"/>
              </w:rPr>
              <w:t>产品防护包括产品标识、搬运、包装、贮存和保护。</w:t>
            </w:r>
          </w:p>
          <w:p w14:paraId="666DE065">
            <w:pPr>
              <w:pStyle w:val="11"/>
              <w:keepNext w:val="0"/>
              <w:keepLines w:val="0"/>
              <w:pageBreakBefore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4.17.4.2 </w:t>
            </w:r>
            <w:r>
              <w:rPr>
                <w:rFonts w:hint="eastAsia" w:ascii="仿宋_GB2312" w:hAnsi="仿宋_GB2312" w:eastAsia="仿宋_GB2312" w:cs="仿宋_GB2312"/>
                <w:color w:val="auto"/>
                <w:kern w:val="2"/>
                <w:sz w:val="21"/>
                <w:szCs w:val="21"/>
                <w:highlight w:val="none"/>
                <w:lang w:val="en-US" w:eastAsia="zh-CN" w:bidi="ar-SA"/>
              </w:rPr>
              <w:t>防务装备事业部</w:t>
            </w:r>
            <w:r>
              <w:rPr>
                <w:rFonts w:hint="eastAsia" w:ascii="仿宋_GB2312" w:hAnsi="仿宋_GB2312" w:eastAsia="仿宋_GB2312" w:cs="仿宋_GB2312"/>
                <w:color w:val="auto"/>
                <w:spacing w:val="2"/>
                <w:szCs w:val="21"/>
                <w:highlight w:val="none"/>
              </w:rPr>
              <w:t>编制</w:t>
            </w:r>
            <w:r>
              <w:rPr>
                <w:rFonts w:hint="eastAsia" w:ascii="仿宋_GB2312" w:hAnsi="仿宋_GB2312" w:eastAsia="仿宋_GB2312" w:cs="仿宋_GB2312"/>
                <w:color w:val="auto"/>
                <w:spacing w:val="2"/>
                <w:szCs w:val="21"/>
                <w:highlight w:val="none"/>
                <w:lang w:eastAsia="zh-CN"/>
              </w:rPr>
              <w:t>《</w:t>
            </w:r>
            <w:r>
              <w:rPr>
                <w:rFonts w:hint="eastAsia" w:ascii="仿宋_GB2312" w:hAnsi="仿宋_GB2312" w:eastAsia="仿宋_GB2312" w:cs="仿宋_GB2312"/>
                <w:color w:val="auto"/>
                <w:spacing w:val="2"/>
                <w:szCs w:val="21"/>
                <w:highlight w:val="none"/>
              </w:rPr>
              <w:t>产品防护控制程序</w:t>
            </w:r>
            <w:r>
              <w:rPr>
                <w:rFonts w:hint="eastAsia" w:ascii="仿宋_GB2312" w:hAnsi="仿宋_GB2312" w:eastAsia="仿宋_GB2312" w:cs="仿宋_GB2312"/>
                <w:color w:val="auto"/>
                <w:spacing w:val="2"/>
                <w:szCs w:val="21"/>
                <w:highlight w:val="none"/>
                <w:lang w:eastAsia="zh-CN"/>
              </w:rPr>
              <w:t>》</w:t>
            </w:r>
            <w:r>
              <w:rPr>
                <w:rFonts w:hint="eastAsia" w:ascii="仿宋_GB2312" w:hAnsi="仿宋_GB2312" w:eastAsia="仿宋_GB2312" w:cs="仿宋_GB2312"/>
                <w:color w:val="auto"/>
                <w:spacing w:val="2"/>
                <w:szCs w:val="21"/>
                <w:highlight w:val="none"/>
              </w:rPr>
              <w:t>，覆盖对原材料、零部件、半成品以及成品</w:t>
            </w:r>
            <w:r>
              <w:rPr>
                <w:rFonts w:hint="eastAsia" w:ascii="仿宋_GB2312" w:hAnsi="仿宋_GB2312" w:eastAsia="仿宋_GB2312" w:cs="仿宋_GB2312"/>
                <w:color w:val="auto"/>
                <w:spacing w:val="2"/>
                <w:szCs w:val="21"/>
                <w:highlight w:val="none"/>
                <w:lang w:eastAsia="zh-CN"/>
              </w:rPr>
              <w:t>（含检验试验过程的产品）</w:t>
            </w:r>
            <w:r>
              <w:rPr>
                <w:rFonts w:hint="eastAsia" w:ascii="仿宋_GB2312" w:hAnsi="仿宋_GB2312" w:eastAsia="仿宋_GB2312" w:cs="仿宋_GB2312"/>
                <w:color w:val="auto"/>
                <w:spacing w:val="2"/>
                <w:szCs w:val="21"/>
                <w:highlight w:val="none"/>
              </w:rPr>
              <w:t>的控制要求。应保证在生产和检验期间对其提供所需的物理保护、在受控的贮存场所贮存、流转搬运以及长距离运输过程中对元器件提供必要的物理保护，确保元器件在这些过程中不遭受损坏。主要的控制要求包括：</w:t>
            </w:r>
          </w:p>
          <w:p w14:paraId="3A3736AD">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2"/>
                <w:kern w:val="2"/>
                <w:sz w:val="21"/>
                <w:szCs w:val="21"/>
                <w:highlight w:val="none"/>
                <w:lang w:val="en-US" w:eastAsia="zh-CN" w:bidi="ar-SA"/>
              </w:rPr>
              <w:t>1）</w:t>
            </w:r>
            <w:r>
              <w:rPr>
                <w:rFonts w:hint="eastAsia" w:ascii="仿宋_GB2312" w:hAnsi="仿宋_GB2312" w:eastAsia="仿宋_GB2312" w:cs="仿宋_GB2312"/>
                <w:color w:val="auto"/>
                <w:spacing w:val="-6"/>
                <w:sz w:val="21"/>
                <w:highlight w:val="none"/>
              </w:rPr>
              <w:t>根据贮存物品的特性，应分别规定对原材料、零部件、半成品以及成品贮存场所的环境要求；</w:t>
            </w:r>
          </w:p>
          <w:p w14:paraId="42CAE360">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spacing w:val="2"/>
                <w:kern w:val="2"/>
                <w:sz w:val="21"/>
                <w:szCs w:val="21"/>
                <w:highlight w:val="none"/>
                <w:lang w:val="en-US" w:eastAsia="zh-CN" w:bidi="ar-SA"/>
              </w:rPr>
              <w:t>2）</w:t>
            </w:r>
            <w:r>
              <w:rPr>
                <w:rFonts w:hint="eastAsia" w:ascii="仿宋_GB2312" w:hAnsi="仿宋_GB2312" w:eastAsia="仿宋_GB2312" w:cs="仿宋_GB2312"/>
                <w:color w:val="auto"/>
                <w:spacing w:val="2"/>
                <w:highlight w:val="none"/>
              </w:rPr>
              <w:t>制订有效的控制办法对有限寿命的物品实施控制；超贮存期的物品，应及时设立“待处理”标识或实施必要的隔离，且在发放前须进行复验；</w:t>
            </w:r>
          </w:p>
          <w:p w14:paraId="2DEF3C2E">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2"/>
                <w:kern w:val="2"/>
                <w:sz w:val="21"/>
                <w:szCs w:val="21"/>
                <w:highlight w:val="none"/>
                <w:lang w:val="en-US" w:eastAsia="zh-CN" w:bidi="ar-SA"/>
              </w:rPr>
              <w:t>3）</w:t>
            </w:r>
            <w:r>
              <w:rPr>
                <w:rFonts w:hint="eastAsia" w:ascii="仿宋_GB2312" w:hAnsi="仿宋_GB2312" w:eastAsia="仿宋_GB2312" w:cs="仿宋_GB2312"/>
                <w:color w:val="auto"/>
                <w:spacing w:val="-6"/>
                <w:sz w:val="21"/>
                <w:highlight w:val="none"/>
              </w:rPr>
              <w:t>应确保物品在贮存期间标识清晰、按批存放、摆放整齐，并采取必要的防损坏、防丢失措施；</w:t>
            </w:r>
          </w:p>
          <w:p w14:paraId="687B0A13">
            <w:pPr>
              <w:pStyle w:val="11"/>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left="0" w:leftChars="0" w:right="0" w:rightChars="0" w:firstLine="420" w:firstLineChars="200"/>
              <w:textAlignment w:val="auto"/>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 w:val="21"/>
                <w:szCs w:val="21"/>
                <w:highlight w:val="none"/>
                <w:lang w:val="en-US" w:eastAsia="zh-CN" w:bidi="ar-SA"/>
              </w:rPr>
              <w:t>4</w:t>
            </w:r>
            <w:r>
              <w:rPr>
                <w:rFonts w:hint="eastAsia" w:ascii="仿宋_GB2312" w:hAnsi="仿宋_GB2312" w:eastAsia="仿宋_GB2312" w:cs="仿宋_GB2312"/>
                <w:color w:val="auto"/>
                <w:spacing w:val="2"/>
                <w:kern w:val="2"/>
                <w:sz w:val="21"/>
                <w:szCs w:val="21"/>
                <w:highlight w:val="none"/>
                <w:lang w:val="en-US" w:eastAsia="zh-CN" w:bidi="ar-SA"/>
              </w:rPr>
              <w:t>）</w:t>
            </w:r>
            <w:r>
              <w:rPr>
                <w:rFonts w:hint="eastAsia" w:ascii="仿宋_GB2312" w:hAnsi="仿宋_GB2312" w:eastAsia="仿宋_GB2312" w:cs="仿宋_GB2312"/>
                <w:color w:val="auto"/>
                <w:spacing w:val="2"/>
                <w:szCs w:val="21"/>
                <w:highlight w:val="none"/>
              </w:rPr>
              <w:t>成品贮存场所应只贮存经质量一致性检验合格的元器件；</w:t>
            </w:r>
          </w:p>
          <w:p w14:paraId="5CDEE17A">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0"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kern w:val="2"/>
                <w:sz w:val="21"/>
                <w:szCs w:val="21"/>
                <w:highlight w:val="none"/>
                <w:lang w:val="en-US" w:eastAsia="zh-CN" w:bidi="ar-SA"/>
              </w:rPr>
              <w:t>5</w:t>
            </w:r>
            <w:r>
              <w:rPr>
                <w:rFonts w:hint="eastAsia" w:ascii="仿宋_GB2312" w:hAnsi="仿宋_GB2312" w:eastAsia="仿宋_GB2312" w:cs="仿宋_GB2312"/>
                <w:color w:val="auto"/>
                <w:spacing w:val="2"/>
                <w:kern w:val="2"/>
                <w:sz w:val="21"/>
                <w:szCs w:val="21"/>
                <w:highlight w:val="none"/>
                <w:lang w:val="en-US" w:eastAsia="zh-CN" w:bidi="ar-SA"/>
              </w:rPr>
              <w:t>）</w:t>
            </w:r>
            <w:r>
              <w:rPr>
                <w:rFonts w:hint="eastAsia" w:ascii="仿宋_GB2312" w:hAnsi="仿宋_GB2312" w:eastAsia="仿宋_GB2312" w:cs="仿宋_GB2312"/>
                <w:color w:val="auto"/>
                <w:spacing w:val="2"/>
                <w:highlight w:val="none"/>
              </w:rPr>
              <w:t>发放贮存的物品时，应依照“先进先出”原则，并建立物品分发台账，确保账、物、卡相符和必要的可追溯性；</w:t>
            </w:r>
          </w:p>
          <w:p w14:paraId="34BA1B95">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宋体" w:hAnsi="宋体" w:eastAsia="仿宋_GB2312" w:cs="宋体"/>
                <w:color w:val="auto"/>
                <w:spacing w:val="2"/>
                <w:highlight w:val="none"/>
                <w:lang w:val="en-US" w:eastAsia="zh-CN"/>
              </w:rPr>
            </w:pPr>
            <w:r>
              <w:rPr>
                <w:rFonts w:hint="eastAsia" w:ascii="仿宋_GB2312" w:hAnsi="仿宋_GB2312" w:eastAsia="仿宋_GB2312" w:cs="仿宋_GB2312"/>
                <w:color w:val="auto"/>
                <w:spacing w:val="2"/>
                <w:kern w:val="2"/>
                <w:sz w:val="21"/>
                <w:szCs w:val="21"/>
                <w:highlight w:val="none"/>
                <w:lang w:val="en-US" w:eastAsia="zh-CN" w:bidi="ar-SA"/>
              </w:rPr>
              <w:t>6）</w:t>
            </w:r>
            <w:r>
              <w:rPr>
                <w:rFonts w:hint="eastAsia" w:ascii="仿宋_GB2312" w:hAnsi="仿宋_GB2312" w:eastAsia="仿宋_GB2312" w:cs="仿宋_GB2312"/>
                <w:color w:val="auto"/>
                <w:spacing w:val="2"/>
                <w:highlight w:val="none"/>
              </w:rPr>
              <w:t>应根据产品通用规范要求、产品特点及用户的特殊要求，对产品进行包装（含内包装和外包装），对静电敏感器件和片式元件应规定特殊的包装方法。具体要求：</w:t>
            </w:r>
          </w:p>
        </w:tc>
      </w:tr>
    </w:tbl>
    <w:p w14:paraId="0C467BEF">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E57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E9C683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07D69C2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6EDE4C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6751E3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7080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C84CD7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35B52A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51DAE8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365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9056DB4">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63" w:name="_Toc18480"/>
            <w:bookmarkStart w:id="164" w:name="_Toc10102"/>
            <w:bookmarkStart w:id="165" w:name="_Toc24548"/>
            <w:r>
              <w:rPr>
                <w:rFonts w:hint="eastAsia" w:ascii="宋体" w:hAnsi="宋体" w:eastAsia="宋体" w:cs="宋体"/>
                <w:color w:val="auto"/>
                <w:highlight w:val="none"/>
              </w:rPr>
              <w:t>4.17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产品防护</w:t>
            </w:r>
            <w:bookmarkEnd w:id="163"/>
            <w:bookmarkEnd w:id="164"/>
            <w:bookmarkEnd w:id="165"/>
          </w:p>
        </w:tc>
        <w:tc>
          <w:tcPr>
            <w:tcW w:w="1587" w:type="dxa"/>
            <w:tcBorders>
              <w:top w:val="single" w:color="auto" w:sz="4" w:space="0"/>
              <w:left w:val="single" w:color="auto" w:sz="4" w:space="0"/>
              <w:bottom w:val="single" w:color="auto" w:sz="4" w:space="0"/>
              <w:right w:val="single" w:color="auto" w:sz="4" w:space="0"/>
            </w:tcBorders>
            <w:vAlign w:val="center"/>
          </w:tcPr>
          <w:p w14:paraId="6214C6C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7409BB4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47</w:t>
            </w:r>
            <w:r>
              <w:rPr>
                <w:rFonts w:hint="eastAsia" w:ascii="宋体" w:hAnsi="宋体" w:eastAsia="宋体" w:cs="宋体"/>
                <w:color w:val="auto"/>
                <w:highlight w:val="none"/>
              </w:rPr>
              <w:t xml:space="preserve"> 页</w:t>
            </w:r>
          </w:p>
        </w:tc>
      </w:tr>
      <w:tr w14:paraId="028D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2CD444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65DC54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D4D797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1A1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533D85E6">
            <w:pPr>
              <w:pStyle w:val="11"/>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0" w:firstLineChars="200"/>
              <w:rPr>
                <w:rFonts w:hint="eastAsia" w:ascii="仿宋_GB2312" w:hAnsi="仿宋_GB2312" w:eastAsia="仿宋_GB2312" w:cs="仿宋_GB2312"/>
                <w:color w:val="auto"/>
                <w:spacing w:val="-6"/>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 xml:space="preserve">① </w:t>
            </w:r>
            <w:r>
              <w:rPr>
                <w:rFonts w:hint="eastAsia" w:ascii="仿宋_GB2312" w:hAnsi="仿宋_GB2312" w:eastAsia="仿宋_GB2312" w:cs="仿宋_GB2312"/>
                <w:color w:val="auto"/>
                <w:spacing w:val="-6"/>
                <w:sz w:val="21"/>
                <w:szCs w:val="21"/>
                <w:highlight w:val="none"/>
                <w:lang w:val="en-US" w:eastAsia="zh-CN" w:bidi="ar-SA"/>
              </w:rPr>
              <w:t>内包装上的标识应包括：型号、规格、数量、质量等级、生产批号和日期代号、商标、承制方；</w:t>
            </w:r>
          </w:p>
          <w:p w14:paraId="61844593">
            <w:pPr>
              <w:pStyle w:val="11"/>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 w:val="21"/>
                <w:szCs w:val="21"/>
                <w:highlight w:val="none"/>
                <w:lang w:val="en-US" w:eastAsia="zh-CN" w:bidi="ar-SA"/>
              </w:rPr>
              <w:t>② 适用时，</w:t>
            </w:r>
            <w:r>
              <w:rPr>
                <w:rFonts w:hint="eastAsia" w:ascii="仿宋_GB2312" w:hAnsi="仿宋_GB2312" w:eastAsia="仿宋_GB2312" w:cs="仿宋_GB2312"/>
                <w:color w:val="auto"/>
                <w:szCs w:val="21"/>
                <w:highlight w:val="none"/>
              </w:rPr>
              <w:t>外包装上除应在明显位置设置防潮防雨、防倒置、防碎、防振等标识外，还应注明承制方名称和通讯地址；</w:t>
            </w:r>
          </w:p>
          <w:p w14:paraId="77FE14EA">
            <w:pPr>
              <w:pStyle w:val="11"/>
              <w:keepNext w:val="0"/>
              <w:keepLines w:val="0"/>
              <w:pageBreakBefore w:val="0"/>
              <w:numPr>
                <w:ilvl w:val="0"/>
                <w:numId w:val="0"/>
              </w:numPr>
              <w:kinsoku/>
              <w:wordWrap/>
              <w:overflowPunct/>
              <w:topLinePunct w:val="0"/>
              <w:bidi w:val="0"/>
              <w:spacing w:line="440" w:lineRule="exact"/>
              <w:ind w:left="0" w:leftChars="0" w:right="0"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 w:val="21"/>
                <w:szCs w:val="21"/>
                <w:highlight w:val="none"/>
                <w:lang w:val="en-US" w:eastAsia="zh-CN" w:bidi="ar-SA"/>
              </w:rPr>
              <w:t xml:space="preserve">③ </w:t>
            </w:r>
            <w:r>
              <w:rPr>
                <w:rFonts w:hint="eastAsia" w:ascii="仿宋_GB2312" w:hAnsi="仿宋_GB2312" w:eastAsia="仿宋_GB2312" w:cs="仿宋_GB2312"/>
                <w:color w:val="auto"/>
                <w:szCs w:val="21"/>
                <w:highlight w:val="none"/>
              </w:rPr>
              <w:t>选用的包装应牢固、可靠，应确保在搬运、贮存和运输过程中不会自行损坏。</w:t>
            </w:r>
          </w:p>
          <w:p w14:paraId="504B9A3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highlight w:val="none"/>
              </w:rPr>
              <w:t xml:space="preserve">4.17.4.3 </w:t>
            </w:r>
            <w:r>
              <w:rPr>
                <w:rFonts w:hint="eastAsia" w:ascii="仿宋_GB2312" w:hAnsi="仿宋_GB2312" w:eastAsia="仿宋_GB2312" w:cs="仿宋_GB2312"/>
                <w:color w:val="auto"/>
                <w:kern w:val="0"/>
                <w:highlight w:val="none"/>
              </w:rPr>
              <w:t>应选用适宜的搬运手段和运输方式，以保证物品在搬运、运输过程中装卸方便，包装不遭受损坏。</w:t>
            </w:r>
          </w:p>
          <w:p w14:paraId="50D87816">
            <w:pPr>
              <w:pStyle w:val="11"/>
              <w:keepNext w:val="0"/>
              <w:keepLines w:val="0"/>
              <w:pageBreakBefore w:val="0"/>
              <w:widowControl w:val="0"/>
              <w:kinsoku/>
              <w:wordWrap/>
              <w:overflowPunct/>
              <w:topLinePunct w:val="0"/>
              <w:bidi w:val="0"/>
              <w:adjustRightInd w:val="0"/>
              <w:spacing w:line="440" w:lineRule="exact"/>
              <w:ind w:left="199" w:leftChars="0" w:right="0" w:rightChars="0" w:hanging="199" w:hangingChars="95"/>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4.17.5 直接关联的程序文件和作业文件</w:t>
            </w:r>
          </w:p>
          <w:p w14:paraId="3B5AE7D2">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《产品防护控制程序》</w:t>
            </w:r>
          </w:p>
          <w:p w14:paraId="30563C64">
            <w:pPr>
              <w:spacing w:line="440" w:lineRule="exact"/>
              <w:ind w:firstLine="630" w:firstLineChars="300"/>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《成品库管理规定》</w:t>
            </w:r>
          </w:p>
          <w:p w14:paraId="0AA99D6B">
            <w:pPr>
              <w:spacing w:line="440" w:lineRule="exact"/>
              <w:ind w:firstLine="630" w:firstLineChars="3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《有特殊储存材料要求及有限寿命材料的标识和管理办法》</w:t>
            </w:r>
          </w:p>
          <w:p w14:paraId="2D14426C">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《原材料库房管理规定》</w:t>
            </w:r>
          </w:p>
          <w:p w14:paraId="4DA2A342">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《搬运、储存、防护管理办法》</w:t>
            </w:r>
          </w:p>
          <w:p w14:paraId="759A708E">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《包装管理规定》</w:t>
            </w:r>
          </w:p>
          <w:p w14:paraId="4A188F8C">
            <w:pPr>
              <w:keepNext w:val="0"/>
              <w:keepLines w:val="0"/>
              <w:pageBreakBefore w:val="0"/>
              <w:kinsoku/>
              <w:wordWrap/>
              <w:overflowPunct/>
              <w:topLinePunct w:val="0"/>
              <w:bidi w:val="0"/>
              <w:spacing w:line="440" w:lineRule="exact"/>
              <w:ind w:firstLine="642" w:firstLineChars="300"/>
              <w:rPr>
                <w:rFonts w:ascii="宋体" w:hAnsi="宋体" w:eastAsia="宋体" w:cs="宋体"/>
                <w:color w:val="auto"/>
                <w:spacing w:val="2"/>
                <w:kern w:val="2"/>
                <w:sz w:val="21"/>
                <w:szCs w:val="21"/>
                <w:highlight w:val="none"/>
                <w:lang w:val="en-US" w:eastAsia="zh-CN" w:bidi="ar-SA"/>
              </w:rPr>
            </w:pPr>
          </w:p>
        </w:tc>
      </w:tr>
    </w:tbl>
    <w:p w14:paraId="3B017E7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206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A416AE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46D03F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1927C7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43DDF0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2BA9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72A4165">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40BD8D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B4F1A0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8B8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0A9C2DB">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66" w:name="_Toc26488"/>
            <w:bookmarkStart w:id="167" w:name="_Toc6673"/>
            <w:bookmarkStart w:id="168" w:name="_Toc26862"/>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bookmarkEnd w:id="166"/>
            <w:bookmarkEnd w:id="167"/>
            <w:bookmarkEnd w:id="168"/>
          </w:p>
        </w:tc>
        <w:tc>
          <w:tcPr>
            <w:tcW w:w="1587" w:type="dxa"/>
            <w:tcBorders>
              <w:top w:val="single" w:color="auto" w:sz="4" w:space="0"/>
              <w:left w:val="single" w:color="auto" w:sz="4" w:space="0"/>
              <w:bottom w:val="single" w:color="auto" w:sz="4" w:space="0"/>
              <w:right w:val="single" w:color="auto" w:sz="4" w:space="0"/>
            </w:tcBorders>
            <w:vAlign w:val="center"/>
          </w:tcPr>
          <w:p w14:paraId="51EB2AD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3E1FD20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48</w:t>
            </w:r>
            <w:r>
              <w:rPr>
                <w:rFonts w:hint="eastAsia" w:ascii="宋体" w:hAnsi="宋体" w:eastAsia="宋体" w:cs="宋体"/>
                <w:color w:val="auto"/>
                <w:highlight w:val="none"/>
              </w:rPr>
              <w:t xml:space="preserve"> 页</w:t>
            </w:r>
          </w:p>
        </w:tc>
      </w:tr>
      <w:tr w14:paraId="4956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DE6727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A48A4F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3FBD46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A01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19ADEFE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4.18.1 目的</w:t>
            </w:r>
          </w:p>
          <w:p w14:paraId="57E643C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通过编制质量保证工作文件，确定承制方质量保证的质量职责、工作流程及要求等内容，满足产品规范中关于产品质量一致性检验、鉴定检验、合格资格的保持、失效率维持及升级等适用的质量保证要求。</w:t>
            </w:r>
          </w:p>
          <w:p w14:paraId="66C7023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4.18.2 适用范围</w:t>
            </w:r>
          </w:p>
          <w:p w14:paraId="7ECDBB6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本章节适用于超柔射频同轴电缆生产线内部和外部的质量控制。</w:t>
            </w:r>
          </w:p>
          <w:p w14:paraId="43311E0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4.18.3 职责</w:t>
            </w:r>
          </w:p>
          <w:p w14:paraId="305A21D0">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w:t>
            </w:r>
            <w:r>
              <w:rPr>
                <w:rFonts w:hint="eastAsia" w:ascii="仿宋_GB2312" w:hAnsi="仿宋_GB2312" w:cs="仿宋_GB2312"/>
                <w:color w:val="auto"/>
                <w:highlight w:val="none"/>
                <w:lang w:eastAsia="zh-CN"/>
              </w:rPr>
              <w:t>体系</w:t>
            </w:r>
            <w:r>
              <w:rPr>
                <w:rFonts w:hint="eastAsia" w:ascii="仿宋_GB2312" w:hAnsi="仿宋_GB2312" w:eastAsia="仿宋_GB2312" w:cs="仿宋_GB2312"/>
                <w:color w:val="auto"/>
                <w:highlight w:val="none"/>
              </w:rPr>
              <w:t>部是质量保证的归口部门，负责生产线质量保证工作的组织策划。</w:t>
            </w:r>
          </w:p>
          <w:p w14:paraId="5A1C4324">
            <w:pPr>
              <w:pStyle w:val="4"/>
              <w:keepNext w:val="0"/>
              <w:keepLines w:val="0"/>
              <w:pageBreakBefore w:val="0"/>
              <w:widowControl w:val="0"/>
              <w:kinsoku/>
              <w:wordWrap/>
              <w:overflowPunct/>
              <w:topLinePunct w:val="0"/>
              <w:autoSpaceDE/>
              <w:autoSpaceDN/>
              <w:bidi w:val="0"/>
              <w:adjustRightInd/>
              <w:snapToGrid/>
              <w:spacing w:line="440" w:lineRule="exact"/>
              <w:ind w:right="0" w:firstLine="420" w:firstLineChars="20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防务装备事业部</w:t>
            </w:r>
            <w:r>
              <w:rPr>
                <w:rFonts w:hint="eastAsia" w:ascii="仿宋_GB2312" w:hAnsi="仿宋_GB2312" w:eastAsia="仿宋_GB2312" w:cs="仿宋_GB2312"/>
                <w:color w:val="auto"/>
                <w:szCs w:val="21"/>
                <w:highlight w:val="none"/>
              </w:rPr>
              <w:t>是质量保证的主要相关部门，负责生产线技术指标的确定，负责生产线产品的交付和服务控制。</w:t>
            </w:r>
          </w:p>
          <w:p w14:paraId="4787445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4.18.4 控制要求</w:t>
            </w:r>
          </w:p>
          <w:p w14:paraId="528E192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2"/>
                <w:kern w:val="0"/>
                <w:highlight w:val="none"/>
              </w:rPr>
              <w:t>4.18.4.1</w:t>
            </w:r>
            <w:r>
              <w:rPr>
                <w:rFonts w:hint="eastAsia" w:ascii="仿宋_GB2312" w:hAnsi="仿宋_GB2312" w:cs="仿宋_GB2312"/>
                <w:color w:val="auto"/>
                <w:spacing w:val="2"/>
                <w:kern w:val="0"/>
                <w:highlight w:val="none"/>
                <w:lang w:eastAsia="zh-CN"/>
              </w:rPr>
              <w:t>质量体系部编制《</w:t>
            </w:r>
            <w:r>
              <w:rPr>
                <w:rFonts w:hint="eastAsia" w:ascii="仿宋_GB2312" w:hAnsi="仿宋_GB2312" w:eastAsia="仿宋_GB2312" w:cs="仿宋_GB2312"/>
                <w:color w:val="auto"/>
                <w:spacing w:val="2"/>
                <w:kern w:val="0"/>
                <w:highlight w:val="none"/>
              </w:rPr>
              <w:t>不合格品控制程序</w:t>
            </w:r>
            <w:r>
              <w:rPr>
                <w:rFonts w:hint="eastAsia" w:ascii="仿宋_GB2312" w:hAnsi="仿宋_GB2312" w:cs="仿宋_GB2312"/>
                <w:color w:val="auto"/>
                <w:spacing w:val="2"/>
                <w:kern w:val="0"/>
                <w:highlight w:val="none"/>
                <w:lang w:eastAsia="zh-CN"/>
              </w:rPr>
              <w:t>》，防务装备事业部</w:t>
            </w:r>
            <w:r>
              <w:rPr>
                <w:rFonts w:hint="eastAsia" w:ascii="仿宋_GB2312" w:hAnsi="仿宋_GB2312" w:eastAsia="仿宋_GB2312" w:cs="仿宋_GB2312"/>
                <w:color w:val="auto"/>
                <w:spacing w:val="2"/>
                <w:kern w:val="0"/>
                <w:highlight w:val="none"/>
              </w:rPr>
              <w:t>按照通用规范和详细规范的规定，根据质量一致性检验、鉴定检验、合格资格的保持、失效率维持及升级等质量保证要求</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编制</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检验、试验控制程序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产品交付和服务控制程序</w:t>
            </w:r>
            <w:r>
              <w:rPr>
                <w:rFonts w:hint="eastAsia" w:ascii="仿宋_GB2312" w:hAnsi="仿宋_GB2312" w:cs="仿宋_GB2312"/>
                <w:color w:val="auto"/>
                <w:spacing w:val="2"/>
                <w:kern w:val="0"/>
                <w:highlight w:val="none"/>
                <w:lang w:eastAsia="zh-CN"/>
              </w:rPr>
              <w:t>》、《失效分析控制程序》</w:t>
            </w:r>
            <w:r>
              <w:rPr>
                <w:rFonts w:hint="eastAsia" w:ascii="仿宋_GB2312" w:hAnsi="仿宋_GB2312" w:eastAsia="仿宋_GB2312" w:cs="仿宋_GB2312"/>
                <w:color w:val="auto"/>
                <w:spacing w:val="2"/>
                <w:kern w:val="0"/>
                <w:highlight w:val="none"/>
              </w:rPr>
              <w:t>等文件</w:t>
            </w:r>
            <w:r>
              <w:rPr>
                <w:rFonts w:hint="eastAsia" w:ascii="仿宋_GB2312" w:hAnsi="仿宋_GB2312" w:cs="仿宋_GB2312"/>
                <w:color w:val="auto"/>
                <w:spacing w:val="2"/>
                <w:kern w:val="0"/>
                <w:highlight w:val="none"/>
                <w:lang w:eastAsia="zh-CN"/>
              </w:rPr>
              <w:t>，规定各部门的质量保证工作职责。</w:t>
            </w:r>
          </w:p>
          <w:p w14:paraId="478126B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4.18.4.2质量保证工作主要内容与要求：</w:t>
            </w:r>
          </w:p>
          <w:p w14:paraId="67571FC1">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2"/>
                <w:kern w:val="0"/>
                <w:highlight w:val="none"/>
              </w:rPr>
              <w:t xml:space="preserve">1) </w:t>
            </w:r>
            <w:r>
              <w:rPr>
                <w:rFonts w:hint="eastAsia" w:ascii="仿宋_GB2312" w:hAnsi="仿宋_GB2312" w:cs="仿宋_GB2312"/>
                <w:color w:val="auto"/>
                <w:spacing w:val="0"/>
                <w:kern w:val="0"/>
                <w:sz w:val="21"/>
                <w:highlight w:val="none"/>
                <w:lang w:eastAsia="zh-CN"/>
              </w:rPr>
              <w:t>质量体系部</w:t>
            </w:r>
            <w:r>
              <w:rPr>
                <w:rFonts w:hint="eastAsia" w:ascii="仿宋_GB2312" w:hAnsi="仿宋_GB2312" w:eastAsia="仿宋_GB2312" w:cs="仿宋_GB2312"/>
                <w:color w:val="auto"/>
                <w:spacing w:val="0"/>
                <w:kern w:val="0"/>
                <w:sz w:val="21"/>
                <w:highlight w:val="none"/>
              </w:rPr>
              <w:t>按照GJB 546B-2011、ZZR-Q/XC 20048－2017《SFCF4-50-2.5型超柔射频同轴电缆详细规范》的要求，</w:t>
            </w:r>
            <w:r>
              <w:rPr>
                <w:rFonts w:hint="eastAsia" w:ascii="仿宋_GB2312" w:hAnsi="仿宋_GB2312" w:cs="仿宋_GB2312"/>
                <w:color w:val="auto"/>
                <w:spacing w:val="0"/>
                <w:kern w:val="0"/>
                <w:sz w:val="21"/>
                <w:highlight w:val="none"/>
                <w:lang w:eastAsia="zh-CN"/>
              </w:rPr>
              <w:t>组织</w:t>
            </w:r>
            <w:r>
              <w:rPr>
                <w:rFonts w:hint="eastAsia" w:ascii="仿宋_GB2312" w:hAnsi="仿宋_GB2312" w:eastAsia="仿宋_GB2312" w:cs="仿宋_GB2312"/>
                <w:color w:val="auto"/>
                <w:spacing w:val="0"/>
                <w:kern w:val="0"/>
                <w:sz w:val="21"/>
                <w:highlight w:val="none"/>
              </w:rPr>
              <w:t>编制</w:t>
            </w:r>
            <w:r>
              <w:rPr>
                <w:rFonts w:hint="eastAsia" w:ascii="仿宋_GB2312" w:hAnsi="仿宋_GB2312" w:eastAsia="仿宋_GB2312" w:cs="仿宋_GB2312"/>
                <w:color w:val="auto"/>
                <w:highlight w:val="none"/>
              </w:rPr>
              <w:t>超柔射频同轴电缆</w:t>
            </w:r>
            <w:r>
              <w:rPr>
                <w:rFonts w:hint="eastAsia" w:ascii="仿宋_GB2312" w:hAnsi="仿宋_GB2312" w:eastAsia="仿宋_GB2312" w:cs="仿宋_GB2312"/>
                <w:color w:val="auto"/>
                <w:spacing w:val="0"/>
                <w:kern w:val="0"/>
                <w:sz w:val="21"/>
                <w:highlight w:val="none"/>
              </w:rPr>
              <w:t>生产线</w:t>
            </w:r>
            <w:r>
              <w:rPr>
                <w:rFonts w:hint="eastAsia" w:ascii="仿宋_GB2312" w:hAnsi="仿宋_GB2312" w:cs="仿宋_GB2312"/>
                <w:color w:val="auto"/>
                <w:spacing w:val="0"/>
                <w:kern w:val="0"/>
                <w:sz w:val="21"/>
                <w:highlight w:val="none"/>
                <w:lang w:eastAsia="zh-CN"/>
              </w:rPr>
              <w:t>的</w:t>
            </w:r>
            <w:r>
              <w:rPr>
                <w:rFonts w:hint="eastAsia" w:ascii="仿宋_GB2312" w:hAnsi="仿宋_GB2312" w:eastAsia="仿宋_GB2312" w:cs="仿宋_GB2312"/>
                <w:color w:val="auto"/>
                <w:spacing w:val="0"/>
                <w:kern w:val="0"/>
                <w:sz w:val="21"/>
                <w:highlight w:val="none"/>
              </w:rPr>
              <w:t>大纲计划及其一系列支持性文件（全称大纲文件），作为质量保证工作的基本文件。在这些文件中详细说明如何按照GJB 546B的要求开展和实施质量保证工作，并规定质量保证工作人员的质量职责。</w:t>
            </w:r>
          </w:p>
          <w:p w14:paraId="40358BC6">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z w:val="21"/>
                <w:highlight w:val="none"/>
              </w:rPr>
            </w:pPr>
            <w:r>
              <w:rPr>
                <w:rFonts w:hint="eastAsia" w:ascii="仿宋_GB2312" w:hAnsi="仿宋_GB2312" w:eastAsia="仿宋_GB2312" w:cs="仿宋_GB2312"/>
                <w:color w:val="auto"/>
                <w:spacing w:val="2"/>
                <w:kern w:val="0"/>
                <w:highlight w:val="none"/>
              </w:rPr>
              <w:t xml:space="preserve">2) </w:t>
            </w:r>
            <w:r>
              <w:rPr>
                <w:rFonts w:hint="eastAsia" w:ascii="仿宋_GB2312" w:hAnsi="仿宋_GB2312" w:eastAsia="仿宋_GB2312" w:cs="仿宋_GB2312"/>
                <w:color w:val="auto"/>
                <w:sz w:val="21"/>
                <w:highlight w:val="none"/>
              </w:rPr>
              <w:t>鉴定检验、质量一致性检验的评定准则按照</w:t>
            </w:r>
            <w:r>
              <w:rPr>
                <w:rFonts w:hint="eastAsia" w:ascii="仿宋_GB2312" w:hAnsi="仿宋_GB2312" w:eastAsia="仿宋_GB2312" w:cs="仿宋_GB2312"/>
                <w:color w:val="auto"/>
                <w:spacing w:val="0"/>
                <w:kern w:val="0"/>
                <w:sz w:val="21"/>
                <w:highlight w:val="none"/>
              </w:rPr>
              <w:t>ZZR-Q/XC 20048－2017</w:t>
            </w:r>
            <w:r>
              <w:rPr>
                <w:rFonts w:hint="eastAsia" w:ascii="仿宋_GB2312" w:hAnsi="仿宋_GB2312" w:eastAsia="仿宋_GB2312" w:cs="仿宋_GB2312"/>
                <w:color w:val="auto"/>
                <w:sz w:val="21"/>
                <w:highlight w:val="none"/>
              </w:rPr>
              <w:t>规定执行。</w:t>
            </w:r>
          </w:p>
          <w:p w14:paraId="764012EB">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lang w:val="en-US" w:eastAsia="zh-CN" w:bidi="ar-SA"/>
              </w:rPr>
              <w:t>本生产线涉及质量一致性检验的程序完全在公司内实施。质量一致性检验的A组和B组检验按逐个检验批进行；C组检验每年进行一次；</w:t>
            </w:r>
          </w:p>
          <w:p w14:paraId="3279889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0"/>
                <w:kern w:val="0"/>
                <w:sz w:val="21"/>
                <w:szCs w:val="21"/>
                <w:highlight w:val="none"/>
                <w:lang w:val="en-US" w:eastAsia="zh-CN" w:bidi="ar-SA"/>
              </w:rPr>
              <w:t>本生产线</w:t>
            </w:r>
            <w:r>
              <w:rPr>
                <w:rFonts w:hint="eastAsia" w:ascii="仿宋_GB2312" w:hAnsi="仿宋_GB2312" w:eastAsia="仿宋_GB2312" w:cs="仿宋_GB2312"/>
                <w:color w:val="auto"/>
                <w:spacing w:val="0"/>
                <w:kern w:val="0"/>
                <w:sz w:val="21"/>
                <w:highlight w:val="none"/>
              </w:rPr>
              <w:t>涉及鉴定检验的程序，由</w:t>
            </w:r>
            <w:r>
              <w:rPr>
                <w:rFonts w:hint="eastAsia" w:ascii="仿宋_GB2312" w:hAnsi="仿宋_GB2312" w:cs="仿宋_GB2312"/>
                <w:color w:val="auto"/>
                <w:spacing w:val="0"/>
                <w:kern w:val="0"/>
                <w:sz w:val="21"/>
                <w:highlight w:val="none"/>
                <w:lang w:eastAsia="zh-CN"/>
              </w:rPr>
              <w:t>防务装备事业部</w:t>
            </w:r>
            <w:r>
              <w:rPr>
                <w:rFonts w:hint="eastAsia" w:ascii="仿宋_GB2312" w:hAnsi="仿宋_GB2312" w:eastAsia="仿宋_GB2312" w:cs="仿宋_GB2312"/>
                <w:color w:val="auto"/>
                <w:spacing w:val="0"/>
                <w:kern w:val="0"/>
                <w:sz w:val="21"/>
                <w:highlight w:val="none"/>
              </w:rPr>
              <w:t>负责按ZZR-Q/XC 20048－2017要求准备样品并制订鉴定试验方案，</w:t>
            </w:r>
            <w:r>
              <w:rPr>
                <w:rFonts w:hint="eastAsia" w:ascii="仿宋_GB2312" w:hAnsi="仿宋_GB2312" w:cs="仿宋_GB2312"/>
                <w:color w:val="auto"/>
                <w:spacing w:val="0"/>
                <w:kern w:val="0"/>
                <w:sz w:val="21"/>
                <w:highlight w:val="none"/>
                <w:lang w:eastAsia="zh-CN"/>
              </w:rPr>
              <w:t>质量体系部将其</w:t>
            </w:r>
            <w:r>
              <w:rPr>
                <w:rFonts w:hint="eastAsia" w:ascii="仿宋_GB2312" w:hAnsi="仿宋_GB2312" w:eastAsia="仿宋_GB2312" w:cs="仿宋_GB2312"/>
                <w:color w:val="auto"/>
                <w:spacing w:val="0"/>
                <w:kern w:val="0"/>
                <w:sz w:val="21"/>
                <w:highlight w:val="none"/>
              </w:rPr>
              <w:t>报送上级主管部门认可的试验室进行</w:t>
            </w:r>
            <w:r>
              <w:rPr>
                <w:rFonts w:hint="eastAsia" w:ascii="仿宋_GB2312" w:hAnsi="仿宋_GB2312" w:cs="仿宋_GB2312"/>
                <w:color w:val="auto"/>
                <w:spacing w:val="0"/>
                <w:kern w:val="0"/>
                <w:sz w:val="21"/>
                <w:highlight w:val="none"/>
                <w:lang w:eastAsia="zh-CN"/>
              </w:rPr>
              <w:t>鉴定试验</w:t>
            </w:r>
            <w:r>
              <w:rPr>
                <w:rFonts w:hint="eastAsia" w:ascii="仿宋_GB2312" w:hAnsi="仿宋_GB2312" w:eastAsia="仿宋_GB2312" w:cs="仿宋_GB2312"/>
                <w:color w:val="auto"/>
                <w:spacing w:val="0"/>
                <w:kern w:val="0"/>
                <w:sz w:val="21"/>
                <w:highlight w:val="none"/>
              </w:rPr>
              <w:t>。</w:t>
            </w:r>
          </w:p>
          <w:p w14:paraId="18611E10">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hAnsi="宋体" w:eastAsia="仿宋_GB2312" w:cs="宋体"/>
                <w:color w:val="auto"/>
                <w:highlight w:val="none"/>
                <w:lang w:val="en-US" w:eastAsia="zh-CN"/>
              </w:rPr>
            </w:pPr>
            <w:r>
              <w:rPr>
                <w:rFonts w:hint="eastAsia" w:ascii="仿宋_GB2312" w:hAnsi="仿宋_GB2312" w:eastAsia="仿宋_GB2312" w:cs="仿宋_GB2312"/>
                <w:color w:val="auto"/>
                <w:spacing w:val="0"/>
                <w:kern w:val="0"/>
                <w:sz w:val="21"/>
                <w:szCs w:val="21"/>
                <w:highlight w:val="none"/>
                <w:lang w:val="en-US" w:eastAsia="zh-CN" w:bidi="ar-SA"/>
              </w:rPr>
              <w:t>3) 质量体系部编制《不合格品控制程序》，在该文件中明确当质量保证工作中</w:t>
            </w:r>
            <w:r>
              <w:rPr>
                <w:rFonts w:hint="eastAsia" w:ascii="仿宋_GB2312" w:hAnsi="仿宋_GB2312" w:eastAsia="仿宋_GB2312" w:cs="仿宋_GB2312"/>
                <w:color w:val="auto"/>
                <w:spacing w:val="2"/>
                <w:kern w:val="0"/>
                <w:highlight w:val="none"/>
              </w:rPr>
              <w:t>发现不符合</w:t>
            </w:r>
            <w:r>
              <w:rPr>
                <w:rFonts w:hint="eastAsia" w:ascii="仿宋_GB2312" w:hAnsi="仿宋_GB2312" w:eastAsia="仿宋_GB2312" w:cs="仿宋_GB2312"/>
                <w:color w:val="auto"/>
                <w:spacing w:val="2"/>
                <w:kern w:val="0"/>
                <w:highlight w:val="none"/>
                <w:lang w:eastAsia="zh-CN"/>
              </w:rPr>
              <w:t>接</w:t>
            </w:r>
          </w:p>
        </w:tc>
      </w:tr>
    </w:tbl>
    <w:p w14:paraId="3EED5483">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631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9532F2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A81AC6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DECD7A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FBE684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66F4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8F69F8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F0A0E6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4A2D3E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E69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DF5335A">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69" w:name="_Toc4591"/>
            <w:bookmarkStart w:id="170" w:name="_Toc25597"/>
            <w:bookmarkStart w:id="171" w:name="_Toc6803"/>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bookmarkEnd w:id="169"/>
            <w:bookmarkEnd w:id="170"/>
            <w:bookmarkEnd w:id="171"/>
          </w:p>
        </w:tc>
        <w:tc>
          <w:tcPr>
            <w:tcW w:w="1587" w:type="dxa"/>
            <w:tcBorders>
              <w:top w:val="single" w:color="auto" w:sz="4" w:space="0"/>
              <w:left w:val="single" w:color="auto" w:sz="4" w:space="0"/>
              <w:bottom w:val="single" w:color="auto" w:sz="4" w:space="0"/>
              <w:right w:val="single" w:color="auto" w:sz="4" w:space="0"/>
            </w:tcBorders>
            <w:vAlign w:val="center"/>
          </w:tcPr>
          <w:p w14:paraId="2792B92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0F645B9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49</w:t>
            </w:r>
            <w:r>
              <w:rPr>
                <w:rFonts w:hint="eastAsia" w:ascii="宋体" w:hAnsi="宋体" w:eastAsia="宋体" w:cs="宋体"/>
                <w:color w:val="auto"/>
                <w:highlight w:val="none"/>
              </w:rPr>
              <w:t xml:space="preserve"> 页</w:t>
            </w:r>
          </w:p>
        </w:tc>
      </w:tr>
      <w:tr w14:paraId="4626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98DA3D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187E80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C18124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7C4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2359F2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收准则</w:t>
            </w:r>
            <w:r>
              <w:rPr>
                <w:rFonts w:hint="eastAsia" w:ascii="仿宋_GB2312" w:hAnsi="仿宋_GB2312" w:eastAsia="仿宋_GB2312" w:cs="仿宋_GB2312"/>
                <w:color w:val="auto"/>
                <w:spacing w:val="2"/>
                <w:kern w:val="0"/>
                <w:highlight w:val="none"/>
                <w:lang w:eastAsia="zh-CN"/>
              </w:rPr>
              <w:t>时，</w:t>
            </w:r>
            <w:r>
              <w:rPr>
                <w:rFonts w:hint="eastAsia" w:ascii="仿宋_GB2312" w:hAnsi="仿宋_GB2312" w:cs="仿宋_GB2312"/>
                <w:color w:val="auto"/>
                <w:spacing w:val="2"/>
                <w:kern w:val="0"/>
                <w:highlight w:val="none"/>
                <w:lang w:eastAsia="zh-CN"/>
              </w:rPr>
              <w:t>公司对其的处置准则（</w:t>
            </w:r>
            <w:r>
              <w:rPr>
                <w:rFonts w:hint="eastAsia" w:ascii="仿宋_GB2312" w:hAnsi="仿宋_GB2312" w:eastAsia="仿宋_GB2312" w:cs="仿宋_GB2312"/>
                <w:color w:val="auto"/>
                <w:spacing w:val="2"/>
                <w:kern w:val="0"/>
                <w:highlight w:val="none"/>
              </w:rPr>
              <w:t>包括失效分析、返工、拒收或重新提交的方式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，确保不合格得到有效的识别与控制。</w:t>
            </w:r>
          </w:p>
          <w:p w14:paraId="74173719">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 xml:space="preserve">4) </w:t>
            </w:r>
            <w:r>
              <w:rPr>
                <w:rFonts w:hint="eastAsia" w:ascii="仿宋_GB2312" w:hAnsi="仿宋_GB2312" w:cs="仿宋_GB2312"/>
                <w:color w:val="auto"/>
                <w:spacing w:val="2"/>
                <w:kern w:val="0"/>
                <w:highlight w:val="none"/>
                <w:lang w:eastAsia="zh-CN"/>
              </w:rPr>
              <w:t>用于生产线的</w:t>
            </w:r>
            <w:r>
              <w:rPr>
                <w:rFonts w:hint="eastAsia" w:ascii="仿宋_GB2312" w:hAnsi="仿宋_GB2312" w:eastAsia="仿宋_GB2312" w:cs="仿宋_GB2312"/>
                <w:color w:val="auto"/>
                <w:sz w:val="21"/>
                <w:highlight w:val="none"/>
              </w:rPr>
              <w:t>检验和试验设备应符合技术规范的要求，按规定进行检定、校准和控制，且在检定有效期内。</w:t>
            </w:r>
          </w:p>
          <w:p w14:paraId="4603FC54">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cs="仿宋_GB2312"/>
                <w:color w:val="auto"/>
                <w:spacing w:val="2"/>
                <w:kern w:val="0"/>
                <w:highlight w:val="none"/>
                <w:lang w:eastAsia="zh-CN"/>
              </w:rPr>
            </w:pPr>
            <w:r>
              <w:rPr>
                <w:rFonts w:hint="eastAsia" w:ascii="仿宋_GB2312" w:hAnsi="仿宋_GB2312" w:cs="仿宋_GB2312"/>
                <w:color w:val="auto"/>
                <w:spacing w:val="2"/>
                <w:kern w:val="0"/>
                <w:highlight w:val="none"/>
                <w:lang w:val="en-US" w:eastAsia="zh-CN"/>
              </w:rPr>
              <w:t>5</w:t>
            </w:r>
            <w:r>
              <w:rPr>
                <w:rFonts w:hint="eastAsia" w:ascii="仿宋_GB2312" w:hAnsi="仿宋_GB2312" w:eastAsia="仿宋_GB2312" w:cs="仿宋_GB2312"/>
                <w:color w:val="auto"/>
                <w:spacing w:val="2"/>
                <w:kern w:val="0"/>
                <w:highlight w:val="none"/>
              </w:rPr>
              <w:t xml:space="preserve">) </w:t>
            </w:r>
            <w:r>
              <w:rPr>
                <w:rFonts w:hint="eastAsia" w:ascii="仿宋_GB2312" w:hAnsi="仿宋_GB2312" w:cs="仿宋_GB2312"/>
                <w:color w:val="auto"/>
                <w:spacing w:val="2"/>
                <w:kern w:val="0"/>
                <w:highlight w:val="none"/>
                <w:lang w:eastAsia="zh-CN"/>
              </w:rPr>
              <w:t>防务装备事业部对同型号产品生产、试验所使用的文件、材料、工艺方法实施控制，制定控制办法和产品质量一致性评价办法；编制《统计过程控制程序》，采用数理统计分析方法进行统计分析，规定</w:t>
            </w:r>
            <w:r>
              <w:rPr>
                <w:rFonts w:hint="eastAsia" w:ascii="仿宋_GB2312" w:hAnsi="仿宋_GB2312" w:cs="仿宋_GB2312"/>
                <w:b/>
                <w:bCs/>
                <w:i w:val="0"/>
                <w:iCs w:val="0"/>
                <w:color w:val="auto"/>
                <w:spacing w:val="2"/>
                <w:kern w:val="0"/>
                <w:highlight w:val="none"/>
                <w:lang w:eastAsia="zh-CN"/>
              </w:rPr>
              <w:t>质量一致性检验时产品批次间一致性指标要求</w:t>
            </w:r>
            <w:r>
              <w:rPr>
                <w:rFonts w:hint="eastAsia" w:ascii="仿宋_GB2312" w:hAnsi="仿宋_GB2312" w:cs="仿宋_GB2312"/>
                <w:color w:val="auto"/>
                <w:spacing w:val="2"/>
                <w:kern w:val="0"/>
                <w:highlight w:val="none"/>
                <w:lang w:eastAsia="zh-CN"/>
              </w:rPr>
              <w:t>，保证产品偏差在规定的合理范围内。</w:t>
            </w:r>
          </w:p>
          <w:p w14:paraId="63429570">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cs="仿宋_GB2312"/>
                <w:color w:val="auto"/>
                <w:spacing w:val="2"/>
                <w:kern w:val="0"/>
                <w:highlight w:val="none"/>
                <w:lang w:eastAsia="zh-CN"/>
              </w:rPr>
            </w:pPr>
            <w:r>
              <w:rPr>
                <w:rFonts w:hint="eastAsia" w:ascii="仿宋_GB2312" w:hAnsi="仿宋_GB2312" w:cs="仿宋_GB2312"/>
                <w:color w:val="auto"/>
                <w:spacing w:val="2"/>
                <w:kern w:val="0"/>
                <w:highlight w:val="none"/>
                <w:lang w:eastAsia="zh-CN"/>
              </w:rPr>
              <w:t>确保产品经过规定的检验和试验项目，并能表明符合接收准则的要求后，才能放行与交付。</w:t>
            </w:r>
          </w:p>
          <w:p w14:paraId="441B4A63">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2"/>
                <w:kern w:val="0"/>
                <w:highlight w:val="none"/>
              </w:rPr>
            </w:pPr>
            <w:r>
              <w:rPr>
                <w:rFonts w:hint="eastAsia" w:ascii="仿宋_GB2312" w:hAnsi="仿宋_GB2312" w:cs="仿宋_GB2312"/>
                <w:color w:val="auto"/>
                <w:spacing w:val="2"/>
                <w:kern w:val="0"/>
                <w:highlight w:val="none"/>
                <w:lang w:val="en-US" w:eastAsia="zh-CN"/>
              </w:rPr>
              <w:t>6</w:t>
            </w:r>
            <w:r>
              <w:rPr>
                <w:rFonts w:hint="eastAsia" w:ascii="仿宋_GB2312" w:hAnsi="仿宋_GB2312" w:eastAsia="仿宋_GB2312" w:cs="仿宋_GB2312"/>
                <w:color w:val="auto"/>
                <w:spacing w:val="2"/>
                <w:kern w:val="0"/>
                <w:highlight w:val="none"/>
              </w:rPr>
              <w:t xml:space="preserve">) </w:t>
            </w:r>
            <w:r>
              <w:rPr>
                <w:rFonts w:hint="eastAsia" w:ascii="仿宋_GB2312" w:hAnsi="仿宋_GB2312" w:cs="仿宋_GB2312"/>
                <w:color w:val="auto"/>
                <w:spacing w:val="2"/>
                <w:kern w:val="0"/>
                <w:highlight w:val="none"/>
                <w:lang w:eastAsia="zh-CN"/>
              </w:rPr>
              <w:t>防务装备事业部编制《</w:t>
            </w:r>
            <w:r>
              <w:rPr>
                <w:rFonts w:hint="eastAsia" w:ascii="仿宋_GB2312" w:hAnsi="仿宋_GB2312" w:eastAsia="仿宋_GB2312" w:cs="仿宋_GB2312"/>
                <w:color w:val="auto"/>
                <w:spacing w:val="2"/>
                <w:kern w:val="0"/>
                <w:highlight w:val="none"/>
              </w:rPr>
              <w:t>产品交付</w:t>
            </w:r>
            <w:r>
              <w:rPr>
                <w:rFonts w:hint="eastAsia" w:ascii="仿宋_GB2312" w:hAnsi="仿宋_GB2312" w:cs="仿宋_GB2312"/>
                <w:color w:val="auto"/>
                <w:spacing w:val="2"/>
                <w:kern w:val="0"/>
                <w:highlight w:val="none"/>
                <w:lang w:eastAsia="zh-CN"/>
              </w:rPr>
              <w:t>与</w:t>
            </w:r>
            <w:r>
              <w:rPr>
                <w:rFonts w:hint="eastAsia" w:ascii="仿宋_GB2312" w:hAnsi="仿宋_GB2312" w:eastAsia="仿宋_GB2312" w:cs="仿宋_GB2312"/>
                <w:color w:val="auto"/>
                <w:spacing w:val="2"/>
                <w:kern w:val="0"/>
                <w:highlight w:val="none"/>
              </w:rPr>
              <w:t>服务控制程序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，规定产品交付时的确认活动，明确应按规定提交的合格证明和相关文件，必要时提供其他保障资源，完成产品使用和维护的技术支持。</w:t>
            </w:r>
          </w:p>
          <w:p w14:paraId="7AD2DCB0">
            <w:pPr>
              <w:pStyle w:val="11"/>
              <w:spacing w:line="440" w:lineRule="exact"/>
              <w:ind w:left="203" w:leftChars="0" w:right="-180" w:rightChars="-86" w:hanging="203" w:hangingChars="95"/>
              <w:rPr>
                <w:rFonts w:hint="eastAsia" w:ascii="仿宋_GB2312" w:hAnsi="仿宋_GB2312" w:eastAsia="仿宋_GB2312" w:cs="仿宋_GB2312"/>
                <w:color w:val="auto"/>
                <w:spacing w:val="2"/>
                <w:kern w:val="0"/>
                <w:sz w:val="21"/>
                <w:szCs w:val="21"/>
                <w:highlight w:val="none"/>
                <w:lang w:val="en-US" w:eastAsia="zh-CN" w:bidi="ar-SA"/>
              </w:rPr>
            </w:pPr>
            <w:r>
              <w:rPr>
                <w:rFonts w:hint="eastAsia" w:ascii="仿宋_GB2312" w:hAnsi="仿宋_GB2312" w:eastAsia="仿宋_GB2312" w:cs="仿宋_GB2312"/>
                <w:color w:val="auto"/>
                <w:spacing w:val="2"/>
                <w:kern w:val="0"/>
                <w:sz w:val="21"/>
                <w:szCs w:val="21"/>
                <w:highlight w:val="none"/>
                <w:lang w:val="en-US" w:eastAsia="zh-CN" w:bidi="ar-SA"/>
              </w:rPr>
              <w:t>4.18.4.3生产线技术指标要求</w:t>
            </w:r>
          </w:p>
          <w:p w14:paraId="564FEC8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pacing w:val="2"/>
                <w:kern w:val="0"/>
                <w:sz w:val="21"/>
                <w:szCs w:val="21"/>
                <w:highlight w:val="none"/>
                <w:lang w:val="en-US" w:eastAsia="zh-CN" w:bidi="ar-SA"/>
              </w:rPr>
            </w:pPr>
            <w:r>
              <w:rPr>
                <w:rFonts w:hint="eastAsia" w:ascii="仿宋_GB2312" w:hAnsi="仿宋_GB2312" w:eastAsia="仿宋_GB2312" w:cs="仿宋_GB2312"/>
                <w:color w:val="auto"/>
                <w:spacing w:val="2"/>
                <w:kern w:val="0"/>
                <w:sz w:val="21"/>
                <w:szCs w:val="21"/>
                <w:highlight w:val="none"/>
                <w:lang w:val="en-US" w:eastAsia="zh-CN" w:bidi="ar-SA"/>
              </w:rPr>
              <w:t>4.18.4.3.1产品成品率指标</w:t>
            </w:r>
          </w:p>
          <w:p w14:paraId="7A234BBA">
            <w:pPr>
              <w:pStyle w:val="11"/>
              <w:spacing w:line="440" w:lineRule="exact"/>
              <w:ind w:left="197" w:leftChars="94" w:right="-180" w:rightChars="-86" w:firstLine="214" w:firstLineChars="100"/>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① 关键工序合格率指标（见表1）</w:t>
            </w:r>
          </w:p>
          <w:p w14:paraId="5A24A375">
            <w:pPr>
              <w:pStyle w:val="11"/>
              <w:keepNext w:val="0"/>
              <w:keepLines w:val="0"/>
              <w:pageBreakBefore w:val="0"/>
              <w:widowControl/>
              <w:kinsoku/>
              <w:wordWrap/>
              <w:overflowPunct/>
              <w:topLinePunct w:val="0"/>
              <w:autoSpaceDE/>
              <w:autoSpaceDN/>
              <w:bidi w:val="0"/>
              <w:adjustRightInd/>
              <w:snapToGrid/>
              <w:spacing w:after="156" w:afterLines="50" w:line="440" w:lineRule="exact"/>
              <w:ind w:left="0" w:leftChars="0" w:right="0" w:rightChars="0" w:firstLine="0" w:firstLineChars="0"/>
              <w:jc w:val="center"/>
              <w:textAlignment w:val="auto"/>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表1 关键工序合格率指标</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1"/>
              <w:gridCol w:w="2381"/>
              <w:gridCol w:w="2381"/>
            </w:tblGrid>
            <w:tr w14:paraId="0741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3" w:hRule="atLeast"/>
                <w:jc w:val="center"/>
              </w:trPr>
              <w:tc>
                <w:tcPr>
                  <w:tcW w:w="2381" w:type="dxa"/>
                  <w:noWrap w:val="0"/>
                  <w:vAlign w:val="center"/>
                </w:tcPr>
                <w:p w14:paraId="4FC3460F">
                  <w:pPr>
                    <w:pStyle w:val="11"/>
                    <w:widowControl w:val="0"/>
                    <w:spacing w:line="240" w:lineRule="auto"/>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工序名称</w:t>
                  </w:r>
                </w:p>
              </w:tc>
              <w:tc>
                <w:tcPr>
                  <w:tcW w:w="2381" w:type="dxa"/>
                  <w:noWrap w:val="0"/>
                  <w:vAlign w:val="center"/>
                </w:tcPr>
                <w:p w14:paraId="38AA564A">
                  <w:pPr>
                    <w:pStyle w:val="11"/>
                    <w:widowControl w:val="0"/>
                    <w:spacing w:line="240" w:lineRule="auto"/>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代表产品型号</w:t>
                  </w:r>
                </w:p>
              </w:tc>
              <w:tc>
                <w:tcPr>
                  <w:tcW w:w="2381" w:type="dxa"/>
                  <w:noWrap w:val="0"/>
                  <w:vAlign w:val="center"/>
                </w:tcPr>
                <w:p w14:paraId="2834F6FD">
                  <w:pPr>
                    <w:pStyle w:val="11"/>
                    <w:widowControl w:val="0"/>
                    <w:spacing w:line="240" w:lineRule="auto"/>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合格率</w:t>
                  </w:r>
                </w:p>
              </w:tc>
            </w:tr>
            <w:tr w14:paraId="169A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381" w:type="dxa"/>
                  <w:noWrap w:val="0"/>
                  <w:vAlign w:val="center"/>
                </w:tcPr>
                <w:p w14:paraId="10129D1C">
                  <w:pPr>
                    <w:pStyle w:val="11"/>
                    <w:widowControl w:val="0"/>
                    <w:spacing w:line="240" w:lineRule="auto"/>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绕包绝缘</w:t>
                  </w:r>
                </w:p>
              </w:tc>
              <w:tc>
                <w:tcPr>
                  <w:tcW w:w="2381" w:type="dxa"/>
                  <w:noWrap w:val="0"/>
                  <w:vAlign w:val="center"/>
                </w:tcPr>
                <w:p w14:paraId="59FE40BF">
                  <w:pPr>
                    <w:adjustRightInd w:val="0"/>
                    <w:snapToGri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w:t>
                  </w:r>
                  <w:r>
                    <w:rPr>
                      <w:rFonts w:hint="eastAsia" w:ascii="仿宋_GB2312" w:hAnsi="仿宋_GB2312" w:eastAsia="仿宋_GB2312" w:cs="仿宋_GB2312"/>
                      <w:color w:val="auto"/>
                      <w:sz w:val="21"/>
                      <w:szCs w:val="21"/>
                      <w:highlight w:val="none"/>
                      <w:vertAlign w:val="subscript"/>
                    </w:rPr>
                    <w:t>4</w:t>
                  </w:r>
                  <w:r>
                    <w:rPr>
                      <w:rFonts w:hint="eastAsia" w:ascii="仿宋_GB2312" w:hAnsi="仿宋_GB2312" w:eastAsia="仿宋_GB2312" w:cs="仿宋_GB2312"/>
                      <w:color w:val="auto"/>
                      <w:sz w:val="21"/>
                      <w:szCs w:val="21"/>
                      <w:highlight w:val="none"/>
                    </w:rPr>
                    <w:t>-50-2.5</w:t>
                  </w:r>
                </w:p>
              </w:tc>
              <w:tc>
                <w:tcPr>
                  <w:tcW w:w="2381" w:type="dxa"/>
                  <w:noWrap w:val="0"/>
                  <w:vAlign w:val="center"/>
                </w:tcPr>
                <w:p w14:paraId="5E7A1782">
                  <w:pPr>
                    <w:pStyle w:val="11"/>
                    <w:widowControl w:val="0"/>
                    <w:spacing w:line="240" w:lineRule="auto"/>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85%</w:t>
                  </w:r>
                </w:p>
              </w:tc>
            </w:tr>
            <w:tr w14:paraId="7065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381" w:type="dxa"/>
                  <w:noWrap w:val="0"/>
                  <w:vAlign w:val="center"/>
                </w:tcPr>
                <w:p w14:paraId="5092CF35">
                  <w:pPr>
                    <w:pStyle w:val="11"/>
                    <w:widowControl w:val="0"/>
                    <w:spacing w:line="240" w:lineRule="auto"/>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绕包屏蔽</w:t>
                  </w:r>
                </w:p>
              </w:tc>
              <w:tc>
                <w:tcPr>
                  <w:tcW w:w="2381" w:type="dxa"/>
                  <w:noWrap w:val="0"/>
                  <w:vAlign w:val="center"/>
                </w:tcPr>
                <w:p w14:paraId="1AA5E1AD">
                  <w:pPr>
                    <w:adjustRightInd w:val="0"/>
                    <w:snapToGri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w:t>
                  </w:r>
                  <w:r>
                    <w:rPr>
                      <w:rFonts w:hint="eastAsia" w:ascii="仿宋_GB2312" w:hAnsi="仿宋_GB2312" w:eastAsia="仿宋_GB2312" w:cs="仿宋_GB2312"/>
                      <w:color w:val="auto"/>
                      <w:sz w:val="21"/>
                      <w:szCs w:val="21"/>
                      <w:highlight w:val="none"/>
                      <w:vertAlign w:val="subscript"/>
                    </w:rPr>
                    <w:t>4</w:t>
                  </w:r>
                  <w:r>
                    <w:rPr>
                      <w:rFonts w:hint="eastAsia" w:ascii="仿宋_GB2312" w:hAnsi="仿宋_GB2312" w:eastAsia="仿宋_GB2312" w:cs="仿宋_GB2312"/>
                      <w:color w:val="auto"/>
                      <w:sz w:val="21"/>
                      <w:szCs w:val="21"/>
                      <w:highlight w:val="none"/>
                    </w:rPr>
                    <w:t>-50-2.5</w:t>
                  </w:r>
                </w:p>
              </w:tc>
              <w:tc>
                <w:tcPr>
                  <w:tcW w:w="2381" w:type="dxa"/>
                  <w:noWrap w:val="0"/>
                  <w:vAlign w:val="center"/>
                </w:tcPr>
                <w:p w14:paraId="0FB5CFA9">
                  <w:pPr>
                    <w:pStyle w:val="11"/>
                    <w:widowControl w:val="0"/>
                    <w:spacing w:line="240" w:lineRule="auto"/>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85%</w:t>
                  </w:r>
                </w:p>
              </w:tc>
            </w:tr>
          </w:tbl>
          <w:p w14:paraId="467D1DDD">
            <w:pPr>
              <w:pStyle w:val="11"/>
              <w:keepNext w:val="0"/>
              <w:keepLines w:val="0"/>
              <w:pageBreakBefore w:val="0"/>
              <w:widowControl/>
              <w:kinsoku/>
              <w:wordWrap/>
              <w:overflowPunct/>
              <w:topLinePunct w:val="0"/>
              <w:autoSpaceDE/>
              <w:autoSpaceDN/>
              <w:bidi w:val="0"/>
              <w:adjustRightInd/>
              <w:snapToGrid/>
              <w:spacing w:line="440" w:lineRule="exact"/>
              <w:ind w:leftChars="176" w:right="0" w:rightChars="0" w:firstLine="0" w:firstLineChars="0"/>
              <w:textAlignment w:val="auto"/>
              <w:rPr>
                <w:rFonts w:hint="eastAsia" w:ascii="仿宋_GB2312" w:hAnsi="仿宋_GB2312" w:eastAsia="仿宋_GB2312" w:cs="仿宋_GB2312"/>
                <w:color w:val="auto"/>
                <w:spacing w:val="2"/>
                <w:sz w:val="21"/>
                <w:szCs w:val="21"/>
                <w:highlight w:val="none"/>
                <w:lang w:eastAsia="zh-CN"/>
              </w:rPr>
            </w:pPr>
            <w:r>
              <w:rPr>
                <w:rFonts w:hint="eastAsia" w:ascii="仿宋_GB2312" w:hAnsi="仿宋_GB2312" w:eastAsia="仿宋_GB2312" w:cs="仿宋_GB2312"/>
                <w:color w:val="auto"/>
                <w:spacing w:val="2"/>
                <w:sz w:val="21"/>
                <w:szCs w:val="21"/>
                <w:highlight w:val="none"/>
              </w:rPr>
              <w:t>② 产品总投入产出率</w:t>
            </w:r>
            <w:r>
              <w:rPr>
                <w:rFonts w:hint="eastAsia" w:ascii="仿宋_GB2312" w:hAnsi="仿宋_GB2312" w:eastAsia="仿宋_GB2312" w:cs="仿宋_GB2312"/>
                <w:color w:val="auto"/>
                <w:spacing w:val="2"/>
                <w:sz w:val="21"/>
                <w:szCs w:val="21"/>
                <w:highlight w:val="none"/>
                <w:lang w:eastAsia="zh-CN"/>
              </w:rPr>
              <w:t>目标（见表</w:t>
            </w:r>
            <w:r>
              <w:rPr>
                <w:rFonts w:hint="eastAsia" w:ascii="仿宋_GB2312" w:hAnsi="仿宋_GB2312" w:eastAsia="仿宋_GB2312" w:cs="仿宋_GB2312"/>
                <w:color w:val="auto"/>
                <w:spacing w:val="2"/>
                <w:sz w:val="21"/>
                <w:szCs w:val="21"/>
                <w:highlight w:val="none"/>
                <w:lang w:val="en-US" w:eastAsia="zh-CN"/>
              </w:rPr>
              <w:t>2</w:t>
            </w:r>
            <w:r>
              <w:rPr>
                <w:rFonts w:hint="eastAsia" w:ascii="仿宋_GB2312" w:hAnsi="仿宋_GB2312" w:eastAsia="仿宋_GB2312" w:cs="仿宋_GB2312"/>
                <w:color w:val="auto"/>
                <w:spacing w:val="2"/>
                <w:sz w:val="21"/>
                <w:szCs w:val="21"/>
                <w:highlight w:val="none"/>
                <w:lang w:eastAsia="zh-CN"/>
              </w:rPr>
              <w:t>）</w:t>
            </w:r>
          </w:p>
          <w:p w14:paraId="3CB01836">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仿宋_GB2312" w:hAnsi="仿宋_GB2312" w:eastAsia="仿宋_GB2312" w:cs="仿宋_GB2312"/>
                <w:b/>
                <w:bCs/>
                <w:color w:val="auto"/>
                <w:spacing w:val="2"/>
                <w:sz w:val="21"/>
                <w:szCs w:val="21"/>
                <w:highlight w:val="none"/>
                <w:lang w:eastAsia="zh-CN"/>
              </w:rPr>
            </w:pPr>
            <w:r>
              <w:rPr>
                <w:rFonts w:hint="eastAsia" w:ascii="仿宋_GB2312" w:hAnsi="仿宋_GB2312" w:eastAsia="仿宋_GB2312" w:cs="仿宋_GB2312"/>
                <w:color w:val="auto"/>
                <w:spacing w:val="2"/>
                <w:sz w:val="21"/>
                <w:szCs w:val="21"/>
                <w:highlight w:val="none"/>
              </w:rPr>
              <w:t>表</w:t>
            </w:r>
            <w:r>
              <w:rPr>
                <w:rFonts w:hint="eastAsia" w:ascii="仿宋_GB2312" w:hAnsi="仿宋_GB2312" w:eastAsia="仿宋_GB2312" w:cs="仿宋_GB2312"/>
                <w:color w:val="auto"/>
                <w:spacing w:val="2"/>
                <w:sz w:val="21"/>
                <w:szCs w:val="21"/>
                <w:highlight w:val="none"/>
                <w:lang w:val="en-US" w:eastAsia="zh-CN"/>
              </w:rPr>
              <w:t>2</w:t>
            </w:r>
            <w:r>
              <w:rPr>
                <w:rFonts w:hint="eastAsia" w:ascii="仿宋_GB2312" w:hAnsi="仿宋_GB2312" w:eastAsia="仿宋_GB2312" w:cs="仿宋_GB2312"/>
                <w:color w:val="auto"/>
                <w:spacing w:val="2"/>
                <w:sz w:val="21"/>
                <w:szCs w:val="21"/>
                <w:highlight w:val="none"/>
              </w:rPr>
              <w:t xml:space="preserve"> 产品总投入产出率</w:t>
            </w:r>
            <w:r>
              <w:rPr>
                <w:rFonts w:hint="eastAsia" w:ascii="仿宋_GB2312" w:hAnsi="仿宋_GB2312" w:eastAsia="仿宋_GB2312" w:cs="仿宋_GB2312"/>
                <w:color w:val="auto"/>
                <w:spacing w:val="2"/>
                <w:sz w:val="21"/>
                <w:szCs w:val="21"/>
                <w:highlight w:val="none"/>
                <w:lang w:eastAsia="zh-CN"/>
              </w:rPr>
              <w:t>目标</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6"/>
              <w:gridCol w:w="3317"/>
            </w:tblGrid>
            <w:tr w14:paraId="387A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3036" w:type="dxa"/>
                  <w:noWrap w:val="0"/>
                  <w:vAlign w:val="center"/>
                </w:tcPr>
                <w:p w14:paraId="3838793D">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代表产品型号</w:t>
                  </w:r>
                </w:p>
              </w:tc>
              <w:tc>
                <w:tcPr>
                  <w:tcW w:w="3317" w:type="dxa"/>
                  <w:noWrap w:val="0"/>
                  <w:vAlign w:val="center"/>
                </w:tcPr>
                <w:p w14:paraId="4D6CEA18">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投入产出率目标</w:t>
                  </w:r>
                </w:p>
              </w:tc>
            </w:tr>
            <w:tr w14:paraId="5691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036" w:type="dxa"/>
                  <w:noWrap w:val="0"/>
                  <w:vAlign w:val="center"/>
                </w:tcPr>
                <w:p w14:paraId="62A6F037">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w:t>
                  </w:r>
                  <w:r>
                    <w:rPr>
                      <w:rFonts w:hint="eastAsia" w:ascii="仿宋_GB2312" w:hAnsi="仿宋_GB2312" w:eastAsia="仿宋_GB2312" w:cs="仿宋_GB2312"/>
                      <w:color w:val="auto"/>
                      <w:sz w:val="21"/>
                      <w:szCs w:val="21"/>
                      <w:highlight w:val="none"/>
                      <w:vertAlign w:val="subscript"/>
                    </w:rPr>
                    <w:t>4</w:t>
                  </w:r>
                  <w:r>
                    <w:rPr>
                      <w:rFonts w:hint="eastAsia" w:ascii="仿宋_GB2312" w:hAnsi="仿宋_GB2312" w:eastAsia="仿宋_GB2312" w:cs="仿宋_GB2312"/>
                      <w:color w:val="auto"/>
                      <w:sz w:val="21"/>
                      <w:szCs w:val="21"/>
                      <w:highlight w:val="none"/>
                    </w:rPr>
                    <w:t xml:space="preserve">-50-2.5 </w:t>
                  </w:r>
                </w:p>
              </w:tc>
              <w:tc>
                <w:tcPr>
                  <w:tcW w:w="3317" w:type="dxa"/>
                  <w:noWrap w:val="0"/>
                  <w:vAlign w:val="center"/>
                </w:tcPr>
                <w:p w14:paraId="4A0E608A">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80%</w:t>
                  </w:r>
                </w:p>
              </w:tc>
            </w:tr>
          </w:tbl>
          <w:p w14:paraId="46B470F0">
            <w:pPr>
              <w:pStyle w:val="11"/>
              <w:spacing w:line="440" w:lineRule="exact"/>
              <w:ind w:left="0" w:leftChars="0" w:right="-180" w:rightChars="-86" w:firstLine="428" w:firstLineChars="200"/>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③ 产品投入产出率计算方法</w:t>
            </w:r>
          </w:p>
          <w:p w14:paraId="6D87E15F">
            <w:pPr>
              <w:pStyle w:val="11"/>
              <w:spacing w:line="440" w:lineRule="exact"/>
              <w:ind w:left="197" w:leftChars="94" w:right="-180" w:rightChars="-86" w:firstLine="214" w:firstLineChars="100"/>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产品投入产出率=产出/投入×100%</w:t>
            </w:r>
          </w:p>
          <w:p w14:paraId="4430AE2F">
            <w:pPr>
              <w:pStyle w:val="11"/>
              <w:spacing w:line="440" w:lineRule="exact"/>
              <w:ind w:left="197" w:leftChars="94" w:right="-180" w:rightChars="-86" w:firstLine="107" w:firstLineChars="50"/>
              <w:rPr>
                <w:rFonts w:ascii="宋体" w:hAnsi="宋体" w:eastAsia="宋体" w:cs="宋体"/>
                <w:color w:val="auto"/>
                <w:highlight w:val="none"/>
              </w:rPr>
            </w:pPr>
            <w:r>
              <w:rPr>
                <w:rFonts w:hint="eastAsia" w:ascii="仿宋_GB2312" w:hAnsi="仿宋_GB2312" w:eastAsia="仿宋_GB2312" w:cs="仿宋_GB2312"/>
                <w:color w:val="auto"/>
                <w:spacing w:val="2"/>
                <w:sz w:val="21"/>
                <w:szCs w:val="21"/>
                <w:highlight w:val="none"/>
              </w:rPr>
              <w:t>(考核时机：未加应力条件下，产品刚下线进行电性能参数测试时)</w:t>
            </w:r>
          </w:p>
        </w:tc>
      </w:tr>
    </w:tbl>
    <w:p w14:paraId="0BA46964">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E9F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CE30A7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453A4A0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755F2E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C5AF93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3B6F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5D7B57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455389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815EC5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988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B6D5B40">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p>
        </w:tc>
        <w:tc>
          <w:tcPr>
            <w:tcW w:w="1587" w:type="dxa"/>
            <w:tcBorders>
              <w:top w:val="single" w:color="auto" w:sz="4" w:space="0"/>
              <w:left w:val="single" w:color="auto" w:sz="4" w:space="0"/>
              <w:bottom w:val="single" w:color="auto" w:sz="4" w:space="0"/>
              <w:right w:val="single" w:color="auto" w:sz="4" w:space="0"/>
            </w:tcBorders>
            <w:vAlign w:val="center"/>
          </w:tcPr>
          <w:p w14:paraId="5DA884C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9D32E7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50</w:t>
            </w:r>
            <w:r>
              <w:rPr>
                <w:rFonts w:hint="eastAsia" w:ascii="宋体" w:hAnsi="宋体" w:eastAsia="宋体" w:cs="宋体"/>
                <w:color w:val="auto"/>
                <w:highlight w:val="none"/>
              </w:rPr>
              <w:t xml:space="preserve"> 页</w:t>
            </w:r>
          </w:p>
        </w:tc>
      </w:tr>
      <w:tr w14:paraId="0A20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16C849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ED3184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9FE22E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8C7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8DA7B05">
            <w:pPr>
              <w:pStyle w:val="11"/>
              <w:keepNext w:val="0"/>
              <w:keepLines w:val="0"/>
              <w:pageBreakBefore w:val="0"/>
              <w:kinsoku/>
              <w:wordWrap/>
              <w:overflowPunct/>
              <w:topLinePunct w:val="0"/>
              <w:bidi w:val="0"/>
              <w:spacing w:line="440" w:lineRule="exact"/>
              <w:ind w:left="0" w:leftChars="0" w:right="-180" w:rightChars="-86"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4.18.</w:t>
            </w:r>
            <w:r>
              <w:rPr>
                <w:rFonts w:hint="eastAsia" w:ascii="仿宋_GB2312" w:hAnsi="仿宋_GB2312" w:eastAsia="仿宋_GB2312" w:cs="仿宋_GB2312"/>
                <w:color w:val="auto"/>
                <w:highlight w:val="none"/>
                <w:lang w:val="en-US" w:eastAsia="zh-CN"/>
              </w:rPr>
              <w:t>4.4</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spacing w:val="2"/>
                <w:szCs w:val="21"/>
                <w:highlight w:val="none"/>
              </w:rPr>
              <w:t>质量保证记录要求</w:t>
            </w:r>
          </w:p>
          <w:p w14:paraId="7533B19C">
            <w:pPr>
              <w:pStyle w:val="11"/>
              <w:keepNext w:val="0"/>
              <w:keepLines w:val="0"/>
              <w:pageBreakBefore w:val="0"/>
              <w:kinsoku/>
              <w:wordWrap/>
              <w:overflowPunct/>
              <w:topLinePunct w:val="0"/>
              <w:bidi w:val="0"/>
              <w:spacing w:line="440" w:lineRule="exact"/>
              <w:ind w:left="0" w:leftChars="0" w:right="0" w:righ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工作记录包括筛选报告、检验和试验记录、合格资格保持报告、失效分析与纠正措施记录（适用时）、失效率等级维持和升级方案（适用时）等。这些记录应能证明产品符合检验、试验（接收准则）的要求</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均应如实、详细、完整填写，签署齐全，并妥善保存。</w:t>
            </w:r>
          </w:p>
          <w:p w14:paraId="6B536895">
            <w:pPr>
              <w:pStyle w:val="11"/>
              <w:keepNext w:val="0"/>
              <w:keepLines w:val="0"/>
              <w:pageBreakBefore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4.18.4.5 试验样品的保存要求</w:t>
            </w:r>
          </w:p>
          <w:p w14:paraId="3782CD7C">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质量体系部技术员建立试验样品台账，记录样品来源、数量、批号、试验项目、试验结果、试验人员、样品去向等信息，完成样品的试验后，将剩余样品入样品库保存，库房管理员需对试验样品进行标识，并进行登记建账管理。</w:t>
            </w:r>
          </w:p>
          <w:p w14:paraId="24C0C31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4.18.5 直接关联的程序文件和作业文件</w:t>
            </w:r>
          </w:p>
          <w:p w14:paraId="45FC65CF">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《检验和试验控制程序》</w:t>
            </w:r>
          </w:p>
          <w:p w14:paraId="26350801">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《设计开发控制程序》</w:t>
            </w:r>
          </w:p>
          <w:p w14:paraId="0BCF35B4">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《不合格品控制程序》</w:t>
            </w:r>
          </w:p>
          <w:p w14:paraId="1A31A739">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《产品交付和服务控制程序》</w:t>
            </w:r>
          </w:p>
          <w:p w14:paraId="0E2C8A77">
            <w:pPr>
              <w:pStyle w:val="11"/>
              <w:widowControl w:val="0"/>
              <w:adjustRightInd w:val="0"/>
              <w:spacing w:line="440" w:lineRule="exact"/>
              <w:ind w:left="567" w:leftChars="270" w:right="-105" w:firstLine="105" w:firstLineChars="5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w:t>
            </w:r>
            <w:r>
              <w:rPr>
                <w:rFonts w:hint="eastAsia" w:ascii="仿宋_GB2312" w:hAnsi="仿宋_GB2312" w:eastAsia="仿宋_GB2312" w:cs="仿宋_GB2312"/>
                <w:color w:val="auto"/>
                <w:spacing w:val="2"/>
                <w:szCs w:val="21"/>
                <w:highlight w:val="none"/>
              </w:rPr>
              <w:t>检验印章管理办法</w:t>
            </w:r>
            <w:r>
              <w:rPr>
                <w:rFonts w:hint="eastAsia" w:ascii="仿宋_GB2312" w:hAnsi="仿宋_GB2312" w:eastAsia="仿宋_GB2312" w:cs="仿宋_GB2312"/>
                <w:color w:val="auto"/>
                <w:kern w:val="2"/>
                <w:szCs w:val="21"/>
                <w:highlight w:val="none"/>
              </w:rPr>
              <w:t>》</w:t>
            </w:r>
          </w:p>
          <w:p w14:paraId="7339E6C4">
            <w:pPr>
              <w:pStyle w:val="11"/>
              <w:widowControl w:val="0"/>
              <w:adjustRightInd w:val="0"/>
              <w:spacing w:line="440" w:lineRule="exact"/>
              <w:ind w:left="567" w:leftChars="270" w:right="-105" w:firstLine="105" w:firstLineChars="5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《产品放行准则》</w:t>
            </w:r>
          </w:p>
          <w:p w14:paraId="257CAB66">
            <w:pPr>
              <w:keepNext w:val="0"/>
              <w:keepLines w:val="0"/>
              <w:pageBreakBefore w:val="0"/>
              <w:kinsoku/>
              <w:wordWrap/>
              <w:overflowPunct/>
              <w:topLinePunct w:val="0"/>
              <w:bidi w:val="0"/>
              <w:spacing w:line="440" w:lineRule="exact"/>
              <w:rPr>
                <w:rFonts w:ascii="宋体" w:hAnsi="宋体" w:eastAsia="宋体" w:cs="宋体"/>
                <w:color w:val="auto"/>
                <w:highlight w:val="none"/>
              </w:rPr>
            </w:pPr>
          </w:p>
          <w:p w14:paraId="7E218F9F">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383D76D2">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988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19E74B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24DC2AB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68B9F9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0A43A9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2F26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DD7B72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519B12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65F662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936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5C3B2FA">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72" w:name="_Toc6733"/>
            <w:bookmarkStart w:id="173" w:name="_Toc15908"/>
            <w:bookmarkStart w:id="174" w:name="_Toc26590"/>
            <w:r>
              <w:rPr>
                <w:rFonts w:hint="eastAsia" w:ascii="宋体" w:hAnsi="宋体" w:eastAsia="宋体" w:cs="宋体"/>
                <w:color w:val="auto"/>
                <w:highlight w:val="none"/>
              </w:rPr>
              <w:t>4.19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更改控制</w:t>
            </w:r>
            <w:bookmarkEnd w:id="172"/>
            <w:bookmarkEnd w:id="173"/>
            <w:bookmarkEnd w:id="174"/>
          </w:p>
        </w:tc>
        <w:tc>
          <w:tcPr>
            <w:tcW w:w="1587" w:type="dxa"/>
            <w:tcBorders>
              <w:top w:val="single" w:color="auto" w:sz="4" w:space="0"/>
              <w:left w:val="single" w:color="auto" w:sz="4" w:space="0"/>
              <w:bottom w:val="single" w:color="auto" w:sz="4" w:space="0"/>
              <w:right w:val="single" w:color="auto" w:sz="4" w:space="0"/>
            </w:tcBorders>
            <w:vAlign w:val="center"/>
          </w:tcPr>
          <w:p w14:paraId="3EC426C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9AF767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51</w:t>
            </w:r>
            <w:r>
              <w:rPr>
                <w:rFonts w:hint="eastAsia" w:ascii="宋体" w:hAnsi="宋体" w:eastAsia="宋体" w:cs="宋体"/>
                <w:color w:val="auto"/>
                <w:highlight w:val="none"/>
              </w:rPr>
              <w:t xml:space="preserve"> 页</w:t>
            </w:r>
          </w:p>
        </w:tc>
      </w:tr>
      <w:tr w14:paraId="0768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01F883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F43BE7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E817AB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53C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74B5EB8">
            <w:pPr>
              <w:keepNext w:val="0"/>
              <w:keepLines w:val="0"/>
              <w:pageBreakBefore w:val="0"/>
              <w:kinsoku/>
              <w:wordWrap/>
              <w:overflowPunct/>
              <w:topLinePunct w:val="0"/>
              <w:bidi w:val="0"/>
              <w:adjustRightInd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4.19.1 目的</w:t>
            </w:r>
          </w:p>
          <w:p w14:paraId="62900719">
            <w:pPr>
              <w:keepNext w:val="0"/>
              <w:keepLines w:val="0"/>
              <w:pageBreakBefore w:val="0"/>
              <w:kinsoku/>
              <w:wordWrap/>
              <w:overflowPunct/>
              <w:topLinePunct w:val="0"/>
              <w:bidi w:val="0"/>
              <w:snapToGrid w:val="0"/>
              <w:spacing w:line="440" w:lineRule="exact"/>
              <w:ind w:firstLine="396"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6"/>
                <w:sz w:val="21"/>
                <w:highlight w:val="none"/>
              </w:rPr>
              <w:t>为保证超柔射频同轴电缆生产线产品符合设计要求并满足使用要求，需对技术状态变化进行控制。</w:t>
            </w:r>
          </w:p>
          <w:p w14:paraId="52626D4F">
            <w:pPr>
              <w:keepNext w:val="0"/>
              <w:keepLines w:val="0"/>
              <w:pageBreakBefore w:val="0"/>
              <w:kinsoku/>
              <w:wordWrap/>
              <w:overflowPunct/>
              <w:topLinePunct w:val="0"/>
              <w:bidi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4.19.2 适用范围</w:t>
            </w:r>
          </w:p>
          <w:p w14:paraId="1552F3E3">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适用于超柔射频同轴电缆生产线产品已固化的技术状态更改。</w:t>
            </w:r>
          </w:p>
          <w:p w14:paraId="21C1395E">
            <w:pPr>
              <w:keepNext w:val="0"/>
              <w:keepLines w:val="0"/>
              <w:pageBreakBefore w:val="0"/>
              <w:kinsoku/>
              <w:wordWrap/>
              <w:overflowPunct/>
              <w:topLinePunct w:val="0"/>
              <w:bidi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4.19.3 职责</w:t>
            </w:r>
          </w:p>
          <w:p w14:paraId="7A05EB41">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更改控制的归口部门，负责</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更改控制文件的编制、更改控制管理及更改的实施。</w:t>
            </w:r>
          </w:p>
          <w:p w14:paraId="6B3C479D">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cs="仿宋_GB2312"/>
                <w:color w:val="auto"/>
                <w:highlight w:val="none"/>
                <w:lang w:eastAsia="zh-CN"/>
              </w:rPr>
              <w:t>电力能源事业部、</w:t>
            </w:r>
            <w:r>
              <w:rPr>
                <w:rFonts w:hint="eastAsia" w:ascii="仿宋_GB2312" w:hAnsi="仿宋_GB2312" w:eastAsia="仿宋_GB2312" w:cs="仿宋_GB2312"/>
                <w:color w:val="auto"/>
                <w:highlight w:val="none"/>
              </w:rPr>
              <w:t>质量体系部、</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rPr>
              <w:t>、综合管理部是主要相关部门，负责</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更改的实施</w:t>
            </w:r>
            <w:r>
              <w:rPr>
                <w:rFonts w:hint="eastAsia" w:ascii="仿宋_GB2312" w:hAnsi="仿宋_GB2312" w:cs="仿宋_GB2312"/>
                <w:color w:val="auto"/>
                <w:highlight w:val="none"/>
                <w:lang w:eastAsia="zh-CN"/>
              </w:rPr>
              <w:t>。</w:t>
            </w:r>
          </w:p>
          <w:p w14:paraId="44C8B9EE">
            <w:pPr>
              <w:pStyle w:val="11"/>
              <w:keepNext w:val="0"/>
              <w:keepLines w:val="0"/>
              <w:pageBreakBefore w:val="0"/>
              <w:kinsoku/>
              <w:wordWrap/>
              <w:overflowPunct/>
              <w:topLinePunct w:val="0"/>
              <w:bidi w:val="0"/>
              <w:spacing w:line="440" w:lineRule="exact"/>
              <w:ind w:left="199" w:leftChars="0" w:right="0" w:rightChars="0" w:hanging="199" w:hangingChars="95"/>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4.19.4 控制要求</w:t>
            </w:r>
          </w:p>
          <w:p w14:paraId="2C1B46E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4.19.4.1 本条实为技术状态控制内容，可以参考GJB 3206规定，按照“论证充分、试验验证、各方认可、审批完备、落实到位”的原则执行。</w:t>
            </w:r>
          </w:p>
          <w:p w14:paraId="74DBB8A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4.19.4.2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更改控制程序</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，对已经定型和认证鉴定合格的产品在结构、材料（含供方）、工艺、设备等方面发生的变更实施控制，内容应包括变更的评审、流程要求、验</w:t>
            </w:r>
            <w:r>
              <w:rPr>
                <w:rFonts w:hint="eastAsia" w:ascii="仿宋_GB2312" w:hAnsi="仿宋_GB2312" w:eastAsia="仿宋_GB2312" w:cs="仿宋_GB2312"/>
                <w:color w:val="auto"/>
                <w:spacing w:val="-6"/>
                <w:sz w:val="21"/>
                <w:highlight w:val="none"/>
              </w:rPr>
              <w:t>证要求以及必须的补充鉴定试验。未经鉴定机构审查和确认，经鉴定合格的产品基线，不得进行更改。</w:t>
            </w:r>
          </w:p>
          <w:p w14:paraId="76FB2C3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4.19.4.3 当相关产品规范（如产品执行总规范）有规定时，应按规范规定的更改控制要求进行，并将该规范纳入质量保证大纲的引用文件；当相关产品规范未作规定时，程序文件应明确规定更改的级别控制及要求。</w:t>
            </w:r>
          </w:p>
          <w:p w14:paraId="667AFF2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4.19.4.4 除另有规定外，更改的级别一般分两级：重要更改和次要更改。</w:t>
            </w:r>
          </w:p>
          <w:p w14:paraId="7EC417C6">
            <w:pPr>
              <w:keepNext w:val="0"/>
              <w:keepLines w:val="0"/>
              <w:pageBreakBefore w:val="0"/>
              <w:numPr>
                <w:ilvl w:val="0"/>
                <w:numId w:val="0"/>
              </w:numPr>
              <w:kinsoku/>
              <w:wordWrap/>
              <w:overflowPunct/>
              <w:topLinePunct w:val="0"/>
              <w:bidi w:val="0"/>
              <w:snapToGrid w:val="0"/>
              <w:spacing w:line="440" w:lineRule="exact"/>
              <w:ind w:left="0" w:leftChars="0" w:firstLine="425" w:firstLineChars="0"/>
              <w:rPr>
                <w:rFonts w:hint="eastAsia" w:ascii="仿宋_GB2312" w:hAnsi="仿宋_GB2312" w:eastAsia="仿宋_GB2312" w:cs="仿宋_GB2312"/>
                <w:color w:val="auto"/>
                <w:highlight w:val="none"/>
              </w:rPr>
            </w:pPr>
            <w:r>
              <w:rPr>
                <w:rFonts w:hint="default" w:ascii="仿宋_GB2312" w:hAnsi="仿宋_GB2312" w:eastAsia="仿宋_GB2312" w:cs="仿宋_GB2312"/>
                <w:color w:val="auto"/>
                <w:kern w:val="2"/>
                <w:sz w:val="21"/>
                <w:szCs w:val="21"/>
                <w:highlight w:val="none"/>
                <w:lang w:val="en-US" w:eastAsia="zh-CN" w:bidi="ar-SA"/>
              </w:rPr>
              <w:t>1)</w:t>
            </w:r>
            <w:r>
              <w:rPr>
                <w:rFonts w:hint="eastAsia" w:ascii="仿宋_GB2312" w:hAnsi="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重要更改：对产品的主要原材料(供方)、结构、零部件、生产流程、关键工艺、关键设备以及可能对产品性能、质量、可靠性、产品的互换性、使用性能等造成影响的更改，均应视之为重要更改。对于重要更改，应进行评审、验证和确认，并应报鉴定机构审查和确认，在没有得到鉴定机构审查和确认前，不得进行重要更改，更不能将未经审查确认的更改后生产的元器件交付用户使用。</w:t>
            </w:r>
          </w:p>
          <w:p w14:paraId="1E8D7A02">
            <w:pPr>
              <w:keepNext w:val="0"/>
              <w:keepLines w:val="0"/>
              <w:pageBreakBefore w:val="0"/>
              <w:kinsoku/>
              <w:wordWrap/>
              <w:overflowPunct/>
              <w:topLinePunct w:val="0"/>
              <w:bidi w:val="0"/>
              <w:snapToGrid w:val="0"/>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highlight w:val="none"/>
              </w:rPr>
              <w:t>重要更改的评审应包括评价对产品组成成分及可能的影响，包括对已交付产品在互换性上的影响，更改的评审结果、评审要求、采取的措施记录、评审记录，以及与更改有关的试验验证记</w:t>
            </w:r>
          </w:p>
        </w:tc>
      </w:tr>
    </w:tbl>
    <w:p w14:paraId="46061984">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A21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2A366A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2997C7C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BB16EC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082145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450CF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81EC49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9B5D5D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BDFFD8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373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EF5D22D">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75" w:name="_Toc8896"/>
            <w:bookmarkStart w:id="176" w:name="_Toc10536"/>
            <w:bookmarkStart w:id="177" w:name="_Toc11340"/>
            <w:r>
              <w:rPr>
                <w:rFonts w:hint="eastAsia" w:ascii="宋体" w:hAnsi="宋体" w:eastAsia="宋体" w:cs="宋体"/>
                <w:color w:val="auto"/>
                <w:highlight w:val="none"/>
              </w:rPr>
              <w:t>4.19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更改控制</w:t>
            </w:r>
            <w:bookmarkEnd w:id="175"/>
            <w:bookmarkEnd w:id="176"/>
            <w:bookmarkEnd w:id="177"/>
          </w:p>
        </w:tc>
        <w:tc>
          <w:tcPr>
            <w:tcW w:w="1587" w:type="dxa"/>
            <w:tcBorders>
              <w:top w:val="single" w:color="auto" w:sz="4" w:space="0"/>
              <w:left w:val="single" w:color="auto" w:sz="4" w:space="0"/>
              <w:bottom w:val="single" w:color="auto" w:sz="4" w:space="0"/>
              <w:right w:val="single" w:color="auto" w:sz="4" w:space="0"/>
            </w:tcBorders>
            <w:vAlign w:val="center"/>
          </w:tcPr>
          <w:p w14:paraId="322B52A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1DA8D97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52</w:t>
            </w:r>
            <w:r>
              <w:rPr>
                <w:rFonts w:hint="eastAsia" w:ascii="宋体" w:hAnsi="宋体" w:eastAsia="宋体" w:cs="宋体"/>
                <w:color w:val="auto"/>
                <w:highlight w:val="none"/>
              </w:rPr>
              <w:t xml:space="preserve"> 页</w:t>
            </w:r>
          </w:p>
        </w:tc>
      </w:tr>
      <w:tr w14:paraId="4E8C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56B08E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AAB5A1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F8F533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EE1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63A4F0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录均应归档管理，规定不少于五年的保存期。</w:t>
            </w:r>
          </w:p>
          <w:p w14:paraId="2D56EC38">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当重要更改通过评审认为不能通过单项试验证明维持满足原有技术质量要求或得到改善提高时，鉴定机构有权决定进行部分或全部鉴定。</w:t>
            </w:r>
          </w:p>
          <w:p w14:paraId="73E0D987">
            <w:pPr>
              <w:keepNext w:val="0"/>
              <w:keepLines w:val="0"/>
              <w:pageBreakBefore w:val="0"/>
              <w:numPr>
                <w:ilvl w:val="0"/>
                <w:numId w:val="11"/>
              </w:numPr>
              <w:kinsoku/>
              <w:wordWrap/>
              <w:overflowPunct/>
              <w:topLinePunct w:val="0"/>
              <w:bidi w:val="0"/>
              <w:snapToGrid w:val="0"/>
              <w:spacing w:line="440" w:lineRule="exact"/>
              <w:ind w:left="0" w:lef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次要更改：除重要更改以外的所有更改。次要更改应建立程序，明确向鉴定机构报告、备案的人员及责任，并向鉴定机构报告更改的时间点，必要时还应向鉴定机构报告必要的试验验证项目和验证结果，当鉴定机构认为有必要时，次要更改也需要进行部分或全部重新鉴定。次要更改中，属勘误译印、修正描图、统一标注方法、进一步明确技术要求等不影响满足产品要求或产品质量的更改和补充，可由</w:t>
            </w:r>
            <w:r>
              <w:rPr>
                <w:rFonts w:hint="eastAsia" w:ascii="仿宋_GB2312" w:hAnsi="仿宋_GB2312" w:eastAsia="仿宋_GB2312" w:cs="仿宋_GB2312"/>
                <w:color w:val="auto"/>
                <w:highlight w:val="none"/>
                <w:lang w:eastAsia="zh-CN"/>
              </w:rPr>
              <w:t>公司</w:t>
            </w:r>
            <w:r>
              <w:rPr>
                <w:rFonts w:hint="eastAsia" w:ascii="仿宋_GB2312" w:hAnsi="仿宋_GB2312" w:eastAsia="仿宋_GB2312" w:cs="仿宋_GB2312"/>
                <w:color w:val="auto"/>
                <w:highlight w:val="none"/>
              </w:rPr>
              <w:t>自行批准，在年度维持报告中统计、明确各类更改的次数。</w:t>
            </w:r>
          </w:p>
          <w:p w14:paraId="3D63806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4.19.4.5 无论是重要更改还是次要更改，承制单位对更改各环节建立文件化的程序要求，对具体产品的重要更改和次要更改进行可操作的定义区分，并明确更改的评审要求、记录要求及相关的记录资料存档要求。</w:t>
            </w:r>
          </w:p>
          <w:p w14:paraId="207950EE">
            <w:pPr>
              <w:pStyle w:val="11"/>
              <w:keepNext w:val="0"/>
              <w:keepLines w:val="0"/>
              <w:pageBreakBefore w:val="0"/>
              <w:kinsoku/>
              <w:wordWrap/>
              <w:overflowPunct/>
              <w:topLinePunct w:val="0"/>
              <w:bidi w:val="0"/>
              <w:spacing w:line="440" w:lineRule="exact"/>
              <w:ind w:left="340" w:leftChars="0" w:right="0" w:rightChars="0" w:hanging="340" w:hangingChars="16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kern w:val="2"/>
                <w:szCs w:val="21"/>
                <w:highlight w:val="none"/>
              </w:rPr>
              <w:t xml:space="preserve">4.19.4.6 </w:t>
            </w:r>
            <w:r>
              <w:rPr>
                <w:rFonts w:hint="eastAsia" w:ascii="仿宋_GB2312" w:hAnsi="仿宋_GB2312" w:eastAsia="仿宋_GB2312" w:cs="仿宋_GB2312"/>
                <w:color w:val="auto"/>
                <w:szCs w:val="21"/>
                <w:highlight w:val="none"/>
              </w:rPr>
              <w:t>更改评审应对更改可能造成的影响进行全面评价，评审产生的结论或措施应归档保存。</w:t>
            </w:r>
          </w:p>
          <w:p w14:paraId="6EC47202">
            <w:pPr>
              <w:keepNext w:val="0"/>
              <w:keepLines w:val="0"/>
              <w:pageBreakBefore w:val="0"/>
              <w:kinsoku/>
              <w:wordWrap/>
              <w:overflowPunct/>
              <w:topLinePunct w:val="0"/>
              <w:bidi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4.19.5 直接关联的程序文件和作业文件</w:t>
            </w:r>
          </w:p>
          <w:p w14:paraId="4940C76C">
            <w:pPr>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《技术更改控制程序》</w:t>
            </w:r>
          </w:p>
          <w:p w14:paraId="57E36F7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《技术状态管理办法》</w:t>
            </w:r>
          </w:p>
          <w:p w14:paraId="669AEF9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《技术状态项及其技术状态基线文件管理办法》</w:t>
            </w:r>
          </w:p>
          <w:p w14:paraId="54A0386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《技术文件更改控制规定》</w:t>
            </w:r>
          </w:p>
          <w:p w14:paraId="11017AEA">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530A92BB">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196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B98888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031495C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4445C5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B8A1EF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65CC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0FD3D6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114BD0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C49216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FA9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37197C9">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78" w:name="_Toc485"/>
            <w:bookmarkStart w:id="179" w:name="_Toc17396"/>
            <w:bookmarkStart w:id="180" w:name="_Toc28021"/>
            <w:r>
              <w:rPr>
                <w:rFonts w:hint="eastAsia" w:ascii="宋体" w:hAnsi="宋体" w:eastAsia="宋体" w:cs="宋体"/>
                <w:color w:val="auto"/>
                <w:highlight w:val="none"/>
              </w:rPr>
              <w:t>4.20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内部质量审核</w:t>
            </w:r>
            <w:bookmarkEnd w:id="178"/>
            <w:bookmarkEnd w:id="179"/>
            <w:bookmarkEnd w:id="180"/>
          </w:p>
        </w:tc>
        <w:tc>
          <w:tcPr>
            <w:tcW w:w="1587" w:type="dxa"/>
            <w:tcBorders>
              <w:top w:val="single" w:color="auto" w:sz="4" w:space="0"/>
              <w:left w:val="single" w:color="auto" w:sz="4" w:space="0"/>
              <w:bottom w:val="single" w:color="auto" w:sz="4" w:space="0"/>
              <w:right w:val="single" w:color="auto" w:sz="4" w:space="0"/>
            </w:tcBorders>
            <w:vAlign w:val="center"/>
          </w:tcPr>
          <w:p w14:paraId="5733F65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67B4A29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53</w:t>
            </w:r>
            <w:r>
              <w:rPr>
                <w:rFonts w:hint="eastAsia" w:ascii="宋体" w:hAnsi="宋体" w:eastAsia="宋体" w:cs="宋体"/>
                <w:color w:val="auto"/>
                <w:highlight w:val="none"/>
              </w:rPr>
              <w:t xml:space="preserve"> 页</w:t>
            </w:r>
          </w:p>
        </w:tc>
      </w:tr>
      <w:tr w14:paraId="1D8C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27D57C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EA9837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C8A59D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5CA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3D726FC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4.20.1 目的  </w:t>
            </w:r>
          </w:p>
          <w:p w14:paraId="0A815FFF">
            <w:pPr>
              <w:pStyle w:val="14"/>
              <w:keepNext w:val="0"/>
              <w:keepLines w:val="0"/>
              <w:pageBreakBefore w:val="0"/>
              <w:tabs>
                <w:tab w:val="left" w:pos="-9"/>
                <w:tab w:val="clear" w:pos="176"/>
              </w:tabs>
              <w:kinsoku/>
              <w:wordWrap/>
              <w:overflowPunct/>
              <w:topLinePunct w:val="0"/>
              <w:bidi w:val="0"/>
              <w:spacing w:before="0" w:line="440" w:lineRule="exact"/>
              <w:ind w:left="0" w:leftChars="0" w:right="0" w:rightChars="0" w:firstLine="420" w:firstLineChars="20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采用内部质量审核方式，确认超柔射频同轴电缆生产线的符合性及有效性，确保持续符合相关规范要求。</w:t>
            </w:r>
          </w:p>
          <w:p w14:paraId="3F015C1D">
            <w:pPr>
              <w:pStyle w:val="14"/>
              <w:keepNext w:val="0"/>
              <w:keepLines w:val="0"/>
              <w:pageBreakBefore w:val="0"/>
              <w:kinsoku/>
              <w:wordWrap/>
              <w:overflowPunct/>
              <w:topLinePunct w:val="0"/>
              <w:bidi w:val="0"/>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4.20.2  适用范围</w:t>
            </w:r>
          </w:p>
          <w:p w14:paraId="203B0B6A">
            <w:pPr>
              <w:pStyle w:val="14"/>
              <w:keepNext w:val="0"/>
              <w:keepLines w:val="0"/>
              <w:pageBreakBefore w:val="0"/>
              <w:tabs>
                <w:tab w:val="left" w:pos="-9"/>
                <w:tab w:val="clear" w:pos="176"/>
              </w:tabs>
              <w:kinsoku/>
              <w:wordWrap/>
              <w:overflowPunct/>
              <w:topLinePunct w:val="0"/>
              <w:bidi w:val="0"/>
              <w:spacing w:before="0" w:line="440" w:lineRule="exact"/>
              <w:ind w:left="0" w:leftChars="0" w:right="0" w:rightChars="0" w:firstLine="420" w:firstLineChars="20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适用于超柔射频同轴电缆生产线产品的内部质量审核。</w:t>
            </w:r>
          </w:p>
          <w:p w14:paraId="06187CD8">
            <w:pPr>
              <w:pStyle w:val="14"/>
              <w:keepNext w:val="0"/>
              <w:keepLines w:val="0"/>
              <w:pageBreakBefore w:val="0"/>
              <w:kinsoku/>
              <w:wordWrap/>
              <w:overflowPunct/>
              <w:topLinePunct w:val="0"/>
              <w:bidi w:val="0"/>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4.20.3  职责</w:t>
            </w:r>
          </w:p>
          <w:p w14:paraId="41CE32CD">
            <w:pPr>
              <w:pStyle w:val="4"/>
              <w:keepNext w:val="0"/>
              <w:keepLines w:val="0"/>
              <w:pageBreakBefore w:val="0"/>
              <w:kinsoku/>
              <w:wordWrap/>
              <w:overflowPunct/>
              <w:topLinePunct w:val="0"/>
              <w:bidi w:val="0"/>
              <w:spacing w:line="440" w:lineRule="exact"/>
              <w:ind w:left="777" w:right="-105" w:hanging="42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质量体系部是内部质量审核的归口部门，负责内部质量审核工作的组织和实施。</w:t>
            </w:r>
          </w:p>
          <w:p w14:paraId="2B178D5B">
            <w:pPr>
              <w:pStyle w:val="14"/>
              <w:keepNext w:val="0"/>
              <w:keepLines w:val="0"/>
              <w:pageBreakBefore w:val="0"/>
              <w:widowControl/>
              <w:kinsoku/>
              <w:wordWrap/>
              <w:overflowPunct/>
              <w:topLinePunct w:val="0"/>
              <w:autoSpaceDE w:val="0"/>
              <w:autoSpaceDN w:val="0"/>
              <w:bidi w:val="0"/>
              <w:adjustRightInd w:val="0"/>
              <w:snapToGrid w:val="0"/>
              <w:spacing w:before="0"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各质量体系成员单位负责接受和配合内部审核，准备和提供与本部门工作有关的审核所需资料，对审核中涉及本部门责任的问题项制定并实施纠正措施，确保纠正措施的有效性。</w:t>
            </w:r>
          </w:p>
          <w:p w14:paraId="1A6167AB">
            <w:pPr>
              <w:pStyle w:val="14"/>
              <w:keepNext w:val="0"/>
              <w:keepLines w:val="0"/>
              <w:pageBreakBefore w:val="0"/>
              <w:kinsoku/>
              <w:wordWrap/>
              <w:overflowPunct/>
              <w:topLinePunct w:val="0"/>
              <w:bidi w:val="0"/>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4.20.4  控制要求</w:t>
            </w:r>
          </w:p>
          <w:p w14:paraId="171D27E7">
            <w:pPr>
              <w:pStyle w:val="11"/>
              <w:keepNext w:val="0"/>
              <w:keepLines w:val="0"/>
              <w:pageBreakBefore w:val="0"/>
              <w:kinsoku/>
              <w:wordWrap/>
              <w:overflowPunct/>
              <w:topLinePunct w:val="0"/>
              <w:bidi w:val="0"/>
              <w:spacing w:line="440" w:lineRule="exact"/>
              <w:ind w:left="0" w:leftChars="0" w:right="0" w:rightChars="0" w:firstLine="413" w:firstLineChars="197"/>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zCs w:val="21"/>
                <w:highlight w:val="none"/>
              </w:rPr>
              <w:t>质量体系部</w:t>
            </w:r>
            <w:r>
              <w:rPr>
                <w:rFonts w:hint="eastAsia" w:ascii="仿宋_GB2312" w:hAnsi="仿宋_GB2312" w:eastAsia="仿宋_GB2312" w:cs="仿宋_GB2312"/>
                <w:color w:val="auto"/>
                <w:spacing w:val="2"/>
                <w:szCs w:val="21"/>
                <w:highlight w:val="none"/>
              </w:rPr>
              <w:t>编制内部质量审核程序，以便：</w:t>
            </w:r>
          </w:p>
          <w:p w14:paraId="28CD81BE">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1）</w:t>
            </w:r>
            <w:r>
              <w:rPr>
                <w:rFonts w:hint="eastAsia" w:ascii="仿宋_GB2312" w:hAnsi="仿宋_GB2312" w:eastAsia="仿宋_GB2312" w:cs="仿宋_GB2312"/>
                <w:color w:val="auto"/>
                <w:szCs w:val="21"/>
                <w:highlight w:val="none"/>
              </w:rPr>
              <w:t>质量体系部</w:t>
            </w:r>
            <w:r>
              <w:rPr>
                <w:rFonts w:hint="eastAsia" w:ascii="仿宋_GB2312" w:hAnsi="仿宋_GB2312" w:eastAsia="仿宋_GB2312" w:cs="仿宋_GB2312"/>
                <w:color w:val="auto"/>
                <w:spacing w:val="2"/>
                <w:szCs w:val="21"/>
                <w:highlight w:val="none"/>
              </w:rPr>
              <w:t>针对拟审核的过程和区域的状况和重要性，对审核方案进行策划。</w:t>
            </w:r>
          </w:p>
          <w:p w14:paraId="24D3D868">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2）</w:t>
            </w:r>
            <w:r>
              <w:rPr>
                <w:rFonts w:hint="eastAsia" w:ascii="仿宋_GB2312" w:hAnsi="仿宋_GB2312" w:eastAsia="仿宋_GB2312" w:cs="仿宋_GB2312"/>
                <w:color w:val="auto"/>
                <w:spacing w:val="2"/>
                <w:szCs w:val="21"/>
                <w:highlight w:val="none"/>
              </w:rPr>
              <w:t>规定审核的范围、频次，制定审核计划，内部质量审核至少每6个月进行一次，需要时，可增加审核的频次。</w:t>
            </w:r>
          </w:p>
          <w:p w14:paraId="40BF8BEE">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3）</w:t>
            </w:r>
            <w:r>
              <w:rPr>
                <w:rFonts w:hint="eastAsia" w:ascii="仿宋_GB2312" w:hAnsi="仿宋_GB2312" w:eastAsia="仿宋_GB2312" w:cs="仿宋_GB2312"/>
                <w:color w:val="auto"/>
                <w:spacing w:val="2"/>
                <w:szCs w:val="21"/>
                <w:highlight w:val="none"/>
              </w:rPr>
              <w:t>应制定审核内容符合本大纲计划全部要求（4.1～4.21）的内部质量审核项目清单，并将其列入大纲文件（见附录I）。</w:t>
            </w:r>
          </w:p>
          <w:p w14:paraId="098D2404">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sz w:val="21"/>
                <w:szCs w:val="21"/>
                <w:highlight w:val="none"/>
                <w:lang w:val="en-US" w:eastAsia="zh-CN" w:bidi="ar-SA"/>
              </w:rPr>
              <w:t>）</w:t>
            </w:r>
            <w:r>
              <w:rPr>
                <w:rFonts w:hint="eastAsia" w:ascii="仿宋_GB2312" w:hAnsi="仿宋_GB2312" w:eastAsia="仿宋_GB2312" w:cs="仿宋_GB2312"/>
                <w:color w:val="auto"/>
                <w:spacing w:val="2"/>
                <w:kern w:val="0"/>
                <w:highlight w:val="none"/>
              </w:rPr>
              <w:t>为确保审核过程的客观、公正和有效性，不允许内审核员审核本部门。</w:t>
            </w:r>
            <w:r>
              <w:rPr>
                <w:rFonts w:hint="eastAsia" w:ascii="仿宋_GB2312" w:hAnsi="仿宋_GB2312" w:eastAsia="仿宋_GB2312" w:cs="仿宋_GB2312"/>
                <w:color w:val="auto"/>
                <w:spacing w:val="2"/>
                <w:kern w:val="0"/>
                <w:highlight w:val="none"/>
                <w:lang w:eastAsia="zh-CN"/>
              </w:rPr>
              <w:t>公司</w:t>
            </w:r>
            <w:r>
              <w:rPr>
                <w:rFonts w:hint="eastAsia" w:ascii="仿宋_GB2312" w:hAnsi="仿宋_GB2312" w:eastAsia="仿宋_GB2312" w:cs="仿宋_GB2312"/>
                <w:color w:val="auto"/>
                <w:spacing w:val="2"/>
                <w:kern w:val="0"/>
                <w:highlight w:val="none"/>
              </w:rPr>
              <w:t>应确保审核员经过相应培训并具有相应能力。</w:t>
            </w:r>
          </w:p>
          <w:p w14:paraId="1040E6BF">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5）</w:t>
            </w:r>
            <w:r>
              <w:rPr>
                <w:rFonts w:hint="eastAsia" w:ascii="仿宋_GB2312" w:hAnsi="仿宋_GB2312" w:eastAsia="仿宋_GB2312" w:cs="仿宋_GB2312"/>
                <w:color w:val="auto"/>
                <w:spacing w:val="2"/>
                <w:szCs w:val="21"/>
                <w:highlight w:val="none"/>
              </w:rPr>
              <w:t>审核活动完成后，应以书面的审核报告形式将审核结果（包括审核发现的与所批准的程序或规范要求有差异的情况）传递至受审核部门。</w:t>
            </w:r>
          </w:p>
          <w:p w14:paraId="7FBCD2D6">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6）</w:t>
            </w:r>
            <w:r>
              <w:rPr>
                <w:rFonts w:hint="eastAsia" w:ascii="仿宋_GB2312" w:hAnsi="仿宋_GB2312" w:eastAsia="仿宋_GB2312" w:cs="仿宋_GB2312"/>
                <w:color w:val="auto"/>
                <w:spacing w:val="2"/>
                <w:szCs w:val="21"/>
                <w:highlight w:val="none"/>
              </w:rPr>
              <w:t>应对审核发现的问题进行原因分析、纠正措施和措施有效性的跟踪验证。所有纠正措施应在实施之前获得质量保证部门的同意，质量保证部门确保及时地跟踪和督促责任部门对所有不符合情形采取纠正措施。</w:t>
            </w:r>
          </w:p>
          <w:p w14:paraId="27354BB4">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7）</w:t>
            </w:r>
            <w:r>
              <w:rPr>
                <w:rFonts w:hint="eastAsia" w:ascii="仿宋_GB2312" w:hAnsi="仿宋_GB2312" w:eastAsia="仿宋_GB2312" w:cs="仿宋_GB2312"/>
                <w:color w:val="auto"/>
                <w:spacing w:val="2"/>
                <w:szCs w:val="21"/>
                <w:highlight w:val="none"/>
              </w:rPr>
              <w:t>做好审核活动的记录，对所有发现的不符合情形均应记录在相应的审核项目清单中。</w:t>
            </w:r>
          </w:p>
          <w:p w14:paraId="42CFBCE9">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宋体" w:hAnsi="宋体" w:eastAsia="宋体" w:cs="宋体"/>
                <w:color w:val="auto"/>
                <w:highlight w:val="none"/>
                <w:lang w:val="en-US" w:eastAsia="zh-CN"/>
              </w:rPr>
            </w:pPr>
            <w:r>
              <w:rPr>
                <w:rFonts w:hint="eastAsia" w:ascii="仿宋_GB2312" w:hAnsi="仿宋_GB2312" w:eastAsia="仿宋_GB2312" w:cs="仿宋_GB2312"/>
                <w:color w:val="auto"/>
                <w:spacing w:val="2"/>
                <w:sz w:val="21"/>
                <w:szCs w:val="21"/>
                <w:highlight w:val="none"/>
                <w:lang w:val="en-US" w:eastAsia="zh-CN" w:bidi="ar-SA"/>
              </w:rPr>
              <w:t>8）</w:t>
            </w:r>
            <w:r>
              <w:rPr>
                <w:rFonts w:hint="eastAsia" w:ascii="仿宋_GB2312" w:hAnsi="仿宋_GB2312" w:eastAsia="仿宋_GB2312" w:cs="仿宋_GB2312"/>
                <w:color w:val="auto"/>
                <w:spacing w:val="2"/>
                <w:szCs w:val="21"/>
                <w:highlight w:val="none"/>
              </w:rPr>
              <w:t>按规定要求对审核过程的所有记录实施归档管理，包含：审核计划、审核报告、审核项目清单，以及针对审核发现问题的原因分析、纠正措施和措施有效性跟踪验证记录等。</w:t>
            </w:r>
          </w:p>
        </w:tc>
      </w:tr>
    </w:tbl>
    <w:p w14:paraId="3EDC943E">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807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4912DB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39ADA1C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DD5C70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5BC572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0588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D40DD6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3F9A11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66F0DD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6CE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BCBDBA9">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4.20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内部质量审核</w:t>
            </w:r>
          </w:p>
        </w:tc>
        <w:tc>
          <w:tcPr>
            <w:tcW w:w="1587" w:type="dxa"/>
            <w:tcBorders>
              <w:top w:val="single" w:color="auto" w:sz="4" w:space="0"/>
              <w:left w:val="single" w:color="auto" w:sz="4" w:space="0"/>
              <w:bottom w:val="single" w:color="auto" w:sz="4" w:space="0"/>
              <w:right w:val="single" w:color="auto" w:sz="4" w:space="0"/>
            </w:tcBorders>
            <w:vAlign w:val="center"/>
          </w:tcPr>
          <w:p w14:paraId="7555379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26F1430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54</w:t>
            </w:r>
            <w:r>
              <w:rPr>
                <w:rFonts w:hint="eastAsia" w:ascii="宋体" w:hAnsi="宋体" w:eastAsia="宋体" w:cs="宋体"/>
                <w:color w:val="auto"/>
                <w:highlight w:val="none"/>
              </w:rPr>
              <w:t xml:space="preserve"> 页</w:t>
            </w:r>
          </w:p>
        </w:tc>
      </w:tr>
      <w:tr w14:paraId="26B2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9B9416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23C77D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738FF1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28B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6C8BDCE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4.20.5  直接关联的程序文件和作业文件</w:t>
            </w:r>
          </w:p>
          <w:p w14:paraId="2DBD0F1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《内部质量审核程序</w:t>
            </w:r>
            <w:r>
              <w:rPr>
                <w:rFonts w:hint="eastAsia" w:ascii="仿宋_GB2312" w:hAnsi="仿宋_GB2312" w:eastAsia="仿宋_GB2312" w:cs="仿宋_GB2312"/>
                <w:color w:val="auto"/>
                <w:highlight w:val="none"/>
                <w:lang w:eastAsia="zh-CN"/>
              </w:rPr>
              <w:t>》</w:t>
            </w:r>
          </w:p>
          <w:p w14:paraId="42F479A0">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宋体" w:hAnsi="宋体" w:eastAsia="宋体" w:cs="宋体"/>
                <w:color w:val="auto"/>
                <w:highlight w:val="none"/>
                <w:lang w:val="en-US" w:eastAsia="zh-CN"/>
              </w:rPr>
            </w:pPr>
            <w:r>
              <w:rPr>
                <w:rFonts w:hint="eastAsia" w:ascii="仿宋_GB2312" w:hAnsi="仿宋_GB2312" w:eastAsia="仿宋_GB2312" w:cs="仿宋_GB2312"/>
                <w:color w:val="auto"/>
                <w:highlight w:val="none"/>
                <w:lang w:eastAsia="zh-CN"/>
              </w:rPr>
              <w:t>《文件控制程序》</w:t>
            </w:r>
          </w:p>
        </w:tc>
      </w:tr>
    </w:tbl>
    <w:p w14:paraId="4D8C6672">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0AC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B8D07E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超柔射频同轴电缆生产线产品</w:t>
            </w:r>
          </w:p>
          <w:p w14:paraId="14691A5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4D7EBC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125412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JZXL/QA(GB)-0202(B)-2025</w:t>
            </w:r>
          </w:p>
        </w:tc>
      </w:tr>
      <w:tr w14:paraId="4A4D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F9A990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5BB464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F7B398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719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F8D6BCB">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81" w:name="_Toc28278"/>
            <w:bookmarkStart w:id="182" w:name="_Toc20609"/>
            <w:bookmarkStart w:id="183" w:name="_Toc12356"/>
            <w:r>
              <w:rPr>
                <w:rFonts w:hint="eastAsia" w:ascii="宋体" w:hAnsi="宋体" w:eastAsia="宋体" w:cs="宋体"/>
                <w:color w:val="auto"/>
                <w:spacing w:val="2"/>
                <w:kern w:val="0"/>
                <w:highlight w:val="none"/>
              </w:rPr>
              <w:t>4.21</w:t>
            </w:r>
            <w:r>
              <w:rPr>
                <w:rFonts w:hint="eastAsia" w:ascii="宋体" w:hAnsi="宋体" w:eastAsia="宋体" w:cs="宋体"/>
                <w:color w:val="auto"/>
                <w:spacing w:val="2"/>
                <w:kern w:val="0"/>
                <w:highlight w:val="none"/>
                <w:lang w:val="en-US" w:eastAsia="zh-CN"/>
              </w:rPr>
              <w:t xml:space="preserve"> </w:t>
            </w:r>
            <w:r>
              <w:rPr>
                <w:rFonts w:hint="eastAsia" w:ascii="仿宋_GB2312" w:hAnsi="仿宋_GB2312" w:eastAsia="仿宋_GB2312" w:cs="仿宋_GB2312"/>
                <w:color w:val="auto"/>
                <w:spacing w:val="0"/>
                <w:kern w:val="2"/>
                <w:sz w:val="21"/>
                <w:szCs w:val="21"/>
                <w:highlight w:val="none"/>
                <w:lang w:val="en-US" w:eastAsia="zh-CN" w:bidi="ar-SA"/>
              </w:rPr>
              <w:t>宇航级元器件</w:t>
            </w:r>
            <w:bookmarkEnd w:id="181"/>
            <w:bookmarkEnd w:id="182"/>
            <w:bookmarkEnd w:id="183"/>
          </w:p>
        </w:tc>
        <w:tc>
          <w:tcPr>
            <w:tcW w:w="1587" w:type="dxa"/>
            <w:tcBorders>
              <w:top w:val="single" w:color="auto" w:sz="4" w:space="0"/>
              <w:left w:val="single" w:color="auto" w:sz="4" w:space="0"/>
              <w:bottom w:val="single" w:color="auto" w:sz="4" w:space="0"/>
              <w:right w:val="single" w:color="auto" w:sz="4" w:space="0"/>
            </w:tcBorders>
            <w:vAlign w:val="center"/>
          </w:tcPr>
          <w:p w14:paraId="3530E36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共55页</w:t>
            </w:r>
          </w:p>
        </w:tc>
        <w:tc>
          <w:tcPr>
            <w:tcW w:w="3291" w:type="dxa"/>
            <w:tcBorders>
              <w:top w:val="single" w:color="auto" w:sz="4" w:space="0"/>
              <w:left w:val="single" w:color="auto" w:sz="4" w:space="0"/>
              <w:bottom w:val="single" w:color="auto" w:sz="4" w:space="0"/>
              <w:right w:val="single" w:color="auto" w:sz="4" w:space="0"/>
            </w:tcBorders>
            <w:vAlign w:val="center"/>
          </w:tcPr>
          <w:p w14:paraId="5C18863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55</w:t>
            </w:r>
            <w:r>
              <w:rPr>
                <w:rFonts w:hint="eastAsia" w:ascii="宋体" w:hAnsi="宋体" w:eastAsia="宋体" w:cs="宋体"/>
                <w:color w:val="auto"/>
                <w:highlight w:val="none"/>
              </w:rPr>
              <w:t xml:space="preserve"> 页</w:t>
            </w:r>
          </w:p>
        </w:tc>
      </w:tr>
      <w:tr w14:paraId="2599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D9EA82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BF935E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59D43D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AB1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CCE5F9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4.21宇航级元器件的控制要求</w:t>
            </w:r>
          </w:p>
          <w:p w14:paraId="7A188628">
            <w:pPr>
              <w:pStyle w:val="14"/>
              <w:keepNext w:val="0"/>
              <w:keepLines w:val="0"/>
              <w:pageBreakBefore w:val="0"/>
              <w:tabs>
                <w:tab w:val="left" w:pos="-9"/>
                <w:tab w:val="clear" w:pos="176"/>
              </w:tabs>
              <w:kinsoku/>
              <w:wordWrap/>
              <w:overflowPunct/>
              <w:topLinePunct w:val="0"/>
              <w:bidi w:val="0"/>
              <w:spacing w:before="0" w:line="440" w:lineRule="exact"/>
              <w:ind w:left="0" w:leftChars="0" w:right="0" w:rightChars="0" w:firstLine="420" w:firstLineChars="200"/>
              <w:rPr>
                <w:rFonts w:cs="宋体"/>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该产品不属于宇航级元器件，该条不适用</w:t>
            </w:r>
            <w:r>
              <w:rPr>
                <w:rFonts w:hint="eastAsia" w:cs="宋体"/>
                <w:color w:val="auto"/>
                <w:spacing w:val="0"/>
                <w:kern w:val="2"/>
                <w:sz w:val="21"/>
                <w:szCs w:val="21"/>
                <w:highlight w:val="none"/>
              </w:rPr>
              <w:t>。</w:t>
            </w:r>
          </w:p>
          <w:p w14:paraId="0DD19BBE">
            <w:pPr>
              <w:keepNext w:val="0"/>
              <w:keepLines w:val="0"/>
              <w:pageBreakBefore w:val="0"/>
              <w:kinsoku/>
              <w:wordWrap/>
              <w:overflowPunct/>
              <w:topLinePunct w:val="0"/>
              <w:bidi w:val="0"/>
              <w:spacing w:line="440" w:lineRule="exact"/>
              <w:rPr>
                <w:rFonts w:ascii="宋体" w:hAnsi="宋体" w:eastAsia="宋体" w:cs="宋体"/>
                <w:color w:val="auto"/>
                <w:highlight w:val="none"/>
              </w:rPr>
            </w:pPr>
          </w:p>
          <w:p w14:paraId="7989ED6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 </w:t>
            </w:r>
          </w:p>
          <w:p w14:paraId="1A1FC42C">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350CDEF7">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p w14:paraId="612124A8">
      <w:pPr>
        <w:outlineLvl w:val="0"/>
        <w:rPr>
          <w:rFonts w:hint="eastAsia" w:ascii="仿宋_GB2312" w:hAnsi="仿宋_GB2312" w:eastAsia="仿宋_GB2312" w:cs="仿宋_GB2312"/>
          <w:color w:val="auto"/>
          <w:highlight w:val="none"/>
          <w:lang w:val="en-US" w:eastAsia="zh-CN"/>
        </w:rPr>
      </w:pPr>
      <w:bookmarkStart w:id="184" w:name="_Toc3719"/>
      <w:r>
        <w:rPr>
          <w:rFonts w:hint="eastAsia" w:ascii="仿宋_GB2312" w:hAnsi="仿宋_GB2312" w:eastAsia="仿宋_GB2312" w:cs="仿宋_GB2312"/>
          <w:color w:val="auto"/>
          <w:highlight w:val="none"/>
          <w:lang w:val="en-US" w:eastAsia="zh-CN"/>
        </w:rPr>
        <w:t>附录A  单位简介</w:t>
      </w:r>
      <w:bookmarkEnd w:id="184"/>
      <w:r>
        <w:rPr>
          <w:rFonts w:hint="eastAsia" w:ascii="仿宋_GB2312" w:hAnsi="仿宋_GB2312" w:eastAsia="仿宋_GB2312" w:cs="仿宋_GB2312"/>
          <w:color w:val="auto"/>
          <w:highlight w:val="none"/>
          <w:lang w:val="en-US" w:eastAsia="zh-CN"/>
        </w:rPr>
        <w:t xml:space="preserve"> </w:t>
      </w:r>
    </w:p>
    <w:p w14:paraId="36D8D03B">
      <w:pPr>
        <w:keepNext w:val="0"/>
        <w:keepLines w:val="0"/>
        <w:pageBreakBefore w:val="0"/>
        <w:widowControl w:val="0"/>
        <w:kinsoku/>
        <w:wordWrap/>
        <w:overflowPunct w:val="0"/>
        <w:topLinePunct w:val="0"/>
        <w:autoSpaceDE/>
        <w:autoSpaceDN/>
        <w:bidi w:val="0"/>
        <w:adjustRightInd/>
        <w:snapToGrid/>
        <w:jc w:val="center"/>
        <w:textAlignment w:val="auto"/>
        <w:outlineLvl w:val="0"/>
        <w:rPr>
          <w:rFonts w:hint="eastAsia" w:ascii="仿宋_GB2312" w:hAnsi="仿宋_GB2312" w:eastAsia="仿宋_GB2312" w:cs="仿宋_GB2312"/>
          <w:b/>
          <w:bCs/>
          <w:color w:val="auto"/>
          <w:sz w:val="24"/>
          <w:szCs w:val="24"/>
          <w:highlight w:val="none"/>
        </w:rPr>
      </w:pPr>
      <w:bookmarkStart w:id="185" w:name="_Toc14221"/>
      <w:r>
        <w:rPr>
          <w:rFonts w:hint="eastAsia" w:ascii="仿宋_GB2312" w:hAnsi="仿宋_GB2312" w:eastAsia="仿宋_GB2312" w:cs="仿宋_GB2312"/>
          <w:b/>
          <w:bCs/>
          <w:color w:val="auto"/>
          <w:sz w:val="24"/>
          <w:szCs w:val="24"/>
          <w:highlight w:val="none"/>
        </w:rPr>
        <w:t>四川九洲线缆有限责任公司简介</w:t>
      </w:r>
    </w:p>
    <w:p w14:paraId="4A4A333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四川九洲线缆有限责任公司（国营第六〇八厂） 是四川九洲投资控股集团成员企业，宇航级高可靠元器件科研生产单位、轨道交通线缆引领者，专业从事光电线缆及电气互联产品研发、制造、服务的国家高新技术企业，拥有防务装备线缆、电气互联产品、电气装备线缆、输配电线缆、通信线缆及材料等大类产品，广泛应用于航空航天、军事电子、电力能源、轨道交通、石化矿业、装备制造和通信等领域。</w:t>
      </w:r>
    </w:p>
    <w:p w14:paraId="2B113C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始建于1970年，拥有绵阳、东台两大生产制造基地，占地554亩，注册资本4.78亿元，总资产28.1亿元，员工1000余人，年营业收入60余亿元。下属江苏东强股份有限公司、深圳九洲蓉胜科技有限公司、四川九洲顺达科技有限公司。</w:t>
      </w:r>
    </w:p>
    <w:p w14:paraId="18152A5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是国家级专精特新“小巨人”企业、国家级“绿色工厂”、省级企业技术中心、四川省军用特种线缆及组件工程技术研究中心，是中国电器工业协会电线电缆分会理事单位、中国铁道企业管理协会理事单位、中国交通运输协会轨道交通安全技术专委会理事单位、中国通信企业协会理事单位、中国电力企业联合会会员单位、全国电线电缆标准化技术委员会会员单位、煤炭工业煤矿安全标准化技术委员会单位、中国电子元器件协会光电线缆分会理事单位、防静电及阻燃材料分技术委员会单位。建立了质量管理体系、环境管理体系、职业健康安全管理体系、汽车行业质量管理体系、航空业质量管理体系、能源管理等体系，拥有全国工业产品生产许可证、矿用产品安全标志证书、军用电子元器件制造厂生产线认证、铁路CRCC、3C、PCCC、泰尔、燃烧性能标识授权书、汽车充电传导系统产品认证、光伏系统用电缆等产品认证。</w:t>
      </w:r>
    </w:p>
    <w:p w14:paraId="7ED8977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拥有生产厂房18万余平米，120余条专业化生产线，长期承担国家、省、市重点科研项目，拥有授权专利445项，其中发明专利28项，主持或参与修/制订国家、行业标准50余项。掌握双层超薄壁含氟聚合物绝缘一次性成型、低驻波稳相射频同轴电缆、新能源汽车大功率充电电缆、轨道交通数字信号及网络数据电缆、27.5KV机车动力电缆、-196℃深冷光电复合缆、60万次弯折40GHz稳相电缆、特高压架空绞线、低烟无卤等电力电缆、铝合金等特种电缆、超低故障率复杂电缆网等核心技术产品。</w:t>
      </w:r>
    </w:p>
    <w:p w14:paraId="36044F7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公司以产出为中心，追求增量；以奋斗者为本，追求绩效；长期艰苦奋斗；发动全员智慧，激励创新。致力成为卓越的电线电缆与电气互联产品服务型制造商。</w:t>
      </w:r>
    </w:p>
    <w:p w14:paraId="5BD0B889">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p>
    <w:p w14:paraId="5BD859B9">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公司地址：绵阳高新区科技城大道南段89号</w:t>
      </w:r>
    </w:p>
    <w:p w14:paraId="1222A3A8">
      <w:pPr>
        <w:keepNext w:val="0"/>
        <w:keepLines w:val="0"/>
        <w:pageBreakBefore w:val="0"/>
        <w:widowControl w:val="0"/>
        <w:kinsoku/>
        <w:wordWrap/>
        <w:overflowPunct/>
        <w:topLinePunct w:val="0"/>
        <w:bidi w:val="0"/>
        <w:spacing w:line="440" w:lineRule="exact"/>
        <w:textAlignment w:val="auto"/>
        <w:outlineLvl w:val="0"/>
        <w:rPr>
          <w:rFonts w:hint="default"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 xml:space="preserve">公司电话：（0816）2544300 </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lang w:val="en-US" w:eastAsia="zh-CN"/>
        </w:rPr>
        <w:t>（0816）</w:t>
      </w:r>
      <w:r>
        <w:rPr>
          <w:rFonts w:hint="eastAsia" w:ascii="仿宋_GB2312" w:hAnsi="仿宋_GB2312" w:cs="仿宋_GB2312"/>
          <w:b w:val="0"/>
          <w:bCs w:val="0"/>
          <w:color w:val="auto"/>
          <w:sz w:val="21"/>
          <w:szCs w:val="21"/>
          <w:highlight w:val="none"/>
          <w:lang w:val="en-US" w:eastAsia="zh-CN"/>
        </w:rPr>
        <w:t>2543463</w:t>
      </w:r>
    </w:p>
    <w:p w14:paraId="741B4FDE">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 xml:space="preserve">传    真：（0816）2532120    </w:t>
      </w:r>
    </w:p>
    <w:p w14:paraId="73BD2D81">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邮政编码：621000</w:t>
      </w:r>
    </w:p>
    <w:p w14:paraId="6D9DF736">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rPr>
      </w:pPr>
      <w:r>
        <w:rPr>
          <w:rFonts w:hint="eastAsia" w:ascii="仿宋_GB2312" w:hAnsi="仿宋_GB2312" w:eastAsia="仿宋_GB2312" w:cs="仿宋_GB2312"/>
          <w:b w:val="0"/>
          <w:bCs w:val="0"/>
          <w:color w:val="auto"/>
          <w:sz w:val="21"/>
          <w:szCs w:val="21"/>
          <w:highlight w:val="none"/>
          <w:lang w:val="en-US" w:eastAsia="zh-CN"/>
        </w:rPr>
        <w:t>附录B</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rPr>
        <w:t>组织机构图</w:t>
      </w:r>
      <w:bookmarkEnd w:id="185"/>
    </w:p>
    <w:p w14:paraId="14B78AEB">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组织机构图</w:t>
      </w:r>
    </w:p>
    <w:p w14:paraId="6D0D98C1">
      <w:pPr>
        <w:jc w:val="left"/>
        <w:rPr>
          <w:rFonts w:hint="default"/>
          <w:b/>
          <w:bCs/>
          <w:color w:val="auto"/>
          <w:highlight w:val="none"/>
          <w:lang w:val="en-US" w:eastAsia="zh-CN"/>
        </w:rPr>
      </w:pPr>
      <w:r>
        <w:rPr>
          <w:rFonts w:hint="default"/>
          <w:b/>
          <w:bCs/>
          <w:color w:val="auto"/>
          <w:highlight w:val="none"/>
          <w:lang w:val="en-US" w:eastAsia="zh-CN"/>
        </w:rPr>
        <w:drawing>
          <wp:inline distT="0" distB="0" distL="114300" distR="114300">
            <wp:extent cx="5902325" cy="3345815"/>
            <wp:effectExtent l="0" t="0" r="3175" b="6985"/>
            <wp:docPr id="24" name="图片 24" descr="组织架构 （超柔生产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组织架构 （超柔生产线）"/>
                    <pic:cNvPicPr>
                      <a:picLocks noChangeAspect="1"/>
                    </pic:cNvPicPr>
                  </pic:nvPicPr>
                  <pic:blipFill>
                    <a:blip r:embed="rId30"/>
                    <a:stretch>
                      <a:fillRect/>
                    </a:stretch>
                  </pic:blipFill>
                  <pic:spPr>
                    <a:xfrm>
                      <a:off x="0" y="0"/>
                      <a:ext cx="5902325" cy="3345815"/>
                    </a:xfrm>
                    <a:prstGeom prst="rect">
                      <a:avLst/>
                    </a:prstGeom>
                  </pic:spPr>
                </pic:pic>
              </a:graphicData>
            </a:graphic>
          </wp:inline>
        </w:drawing>
      </w:r>
    </w:p>
    <w:p w14:paraId="22379D04">
      <w:pPr>
        <w:jc w:val="both"/>
        <w:rPr>
          <w:rFonts w:hint="default"/>
          <w:b/>
          <w:bCs/>
          <w:color w:val="auto"/>
          <w:highlight w:val="none"/>
          <w:lang w:val="en-US" w:eastAsia="zh-CN"/>
        </w:rPr>
        <w:sectPr>
          <w:headerReference r:id="rId8" w:type="default"/>
          <w:footerReference r:id="rId9" w:type="default"/>
          <w:pgSz w:w="11906" w:h="16838"/>
          <w:pgMar w:top="1440" w:right="1485" w:bottom="1276" w:left="1803" w:header="851" w:footer="992" w:gutter="0"/>
          <w:pgNumType w:fmt="decimal" w:start="1"/>
          <w:cols w:space="0" w:num="1"/>
          <w:rtlGutter w:val="0"/>
          <w:docGrid w:type="linesAndChars" w:linePitch="319" w:charSpace="39"/>
        </w:sectPr>
      </w:pPr>
    </w:p>
    <w:p w14:paraId="0E207490">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eastAsia="zh-CN"/>
        </w:rPr>
      </w:pPr>
      <w:r>
        <w:rPr>
          <w:rFonts w:hint="eastAsia" w:ascii="仿宋_GB2312" w:hAnsi="仿宋_GB2312" w:eastAsia="仿宋_GB2312" w:cs="仿宋_GB2312"/>
          <w:b w:val="0"/>
          <w:bCs w:val="0"/>
          <w:color w:val="auto"/>
          <w:sz w:val="21"/>
          <w:szCs w:val="21"/>
          <w:highlight w:val="none"/>
          <w:lang w:val="en-US" w:eastAsia="zh-CN"/>
        </w:rPr>
        <w:t>附录B</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rPr>
        <w:t>组织机构图</w:t>
      </w:r>
      <w:r>
        <w:rPr>
          <w:rFonts w:hint="eastAsia" w:ascii="仿宋_GB2312" w:hAnsi="仿宋_GB2312" w:cs="仿宋_GB2312"/>
          <w:b w:val="0"/>
          <w:bCs w:val="0"/>
          <w:color w:val="auto"/>
          <w:sz w:val="21"/>
          <w:szCs w:val="21"/>
          <w:highlight w:val="none"/>
          <w:lang w:eastAsia="zh-CN"/>
        </w:rPr>
        <w:t>（续）</w:t>
      </w:r>
    </w:p>
    <w:p w14:paraId="64221F55">
      <w:pPr>
        <w:rPr>
          <w:rFonts w:hint="default"/>
          <w:b/>
          <w:bCs/>
          <w:color w:val="auto"/>
          <w:highlight w:val="none"/>
          <w:lang w:val="en-US" w:eastAsia="zh-CN"/>
        </w:rPr>
      </w:pPr>
    </w:p>
    <w:p w14:paraId="117BB696">
      <w:pPr>
        <w:jc w:val="center"/>
        <w:rPr>
          <w:rFonts w:hint="eastAsia" w:ascii="仿宋_GB2312" w:hAnsi="仿宋_GB2312" w:eastAsia="仿宋_GB2312" w:cs="仿宋_GB2312"/>
          <w:b/>
          <w:bCs/>
          <w:color w:val="auto"/>
          <w:sz w:val="21"/>
          <w:szCs w:val="21"/>
          <w:highlight w:val="none"/>
          <w:lang w:eastAsia="zh-CN"/>
        </w:rPr>
      </w:pPr>
      <w:r>
        <w:rPr>
          <w:rFonts w:hint="eastAsia" w:ascii="仿宋_GB2312" w:hAnsi="仿宋_GB2312" w:eastAsia="仿宋_GB2312" w:cs="仿宋_GB2312"/>
          <w:b/>
          <w:bCs/>
          <w:color w:val="auto"/>
          <w:sz w:val="21"/>
          <w:szCs w:val="21"/>
          <w:highlight w:val="none"/>
        </w:rPr>
        <w:t>组织机构图</w:t>
      </w:r>
      <w:r>
        <w:rPr>
          <w:rFonts w:hint="eastAsia" w:ascii="仿宋_GB2312" w:hAnsi="仿宋_GB2312" w:eastAsia="仿宋_GB2312" w:cs="仿宋_GB2312"/>
          <w:b/>
          <w:bCs/>
          <w:color w:val="auto"/>
          <w:sz w:val="21"/>
          <w:szCs w:val="21"/>
          <w:highlight w:val="none"/>
          <w:lang w:eastAsia="zh-CN"/>
        </w:rPr>
        <w:drawing>
          <wp:inline distT="0" distB="0" distL="114300" distR="114300">
            <wp:extent cx="8947150" cy="3811905"/>
            <wp:effectExtent l="0" t="0" r="6350" b="17145"/>
            <wp:docPr id="25" name="图片 25" descr="（超柔射频电缆）生产线组织、职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超柔射频电缆）生产线组织、职能"/>
                    <pic:cNvPicPr>
                      <a:picLocks noChangeAspect="1"/>
                    </pic:cNvPicPr>
                  </pic:nvPicPr>
                  <pic:blipFill>
                    <a:blip r:embed="rId31"/>
                    <a:stretch>
                      <a:fillRect/>
                    </a:stretch>
                  </pic:blipFill>
                  <pic:spPr>
                    <a:xfrm>
                      <a:off x="0" y="0"/>
                      <a:ext cx="8947150" cy="3811905"/>
                    </a:xfrm>
                    <a:prstGeom prst="rect">
                      <a:avLst/>
                    </a:prstGeom>
                  </pic:spPr>
                </pic:pic>
              </a:graphicData>
            </a:graphic>
          </wp:inline>
        </w:drawing>
      </w:r>
    </w:p>
    <w:p w14:paraId="6054B97F">
      <w:pPr>
        <w:jc w:val="center"/>
        <w:rPr>
          <w:rFonts w:hint="eastAsia" w:eastAsia="仿宋_GB2312"/>
          <w:b/>
          <w:bCs/>
          <w:color w:val="auto"/>
          <w:highlight w:val="none"/>
          <w:lang w:val="en-US" w:eastAsia="zh-CN"/>
        </w:rPr>
        <w:sectPr>
          <w:footerReference r:id="rId10" w:type="default"/>
          <w:pgSz w:w="16838" w:h="11906" w:orient="landscape"/>
          <w:pgMar w:top="1803" w:right="1440" w:bottom="1485" w:left="1276" w:header="851" w:footer="992" w:gutter="0"/>
          <w:pgNumType w:fmt="decimal" w:start="1"/>
          <w:cols w:space="0" w:num="1"/>
          <w:rtlGutter w:val="0"/>
          <w:docGrid w:type="linesAndChars" w:linePitch="319" w:charSpace="39"/>
        </w:sectPr>
      </w:pPr>
    </w:p>
    <w:p w14:paraId="78C8C475">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bookmarkStart w:id="186" w:name="_Toc10697"/>
      <w:r>
        <w:rPr>
          <w:rFonts w:hint="eastAsia" w:ascii="仿宋_GB2312" w:hAnsi="仿宋_GB2312" w:eastAsia="仿宋_GB2312" w:cs="仿宋_GB2312"/>
          <w:b w:val="0"/>
          <w:bCs w:val="0"/>
          <w:color w:val="auto"/>
          <w:sz w:val="21"/>
          <w:szCs w:val="21"/>
          <w:highlight w:val="none"/>
          <w:lang w:val="en-US" w:eastAsia="zh-CN"/>
        </w:rPr>
        <w:t>附录C  质量职能分配表</w:t>
      </w:r>
      <w:bookmarkEnd w:id="186"/>
    </w:p>
    <w:p w14:paraId="067FC9BE">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hint="default"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质量职能分配表</w:t>
      </w:r>
    </w:p>
    <w:tbl>
      <w:tblPr>
        <w:tblStyle w:val="8"/>
        <w:tblW w:w="9667" w:type="dxa"/>
        <w:jc w:val="center"/>
        <w:tblLayout w:type="fixed"/>
        <w:tblCellMar>
          <w:top w:w="0" w:type="dxa"/>
          <w:left w:w="0" w:type="dxa"/>
          <w:bottom w:w="0" w:type="dxa"/>
          <w:right w:w="0" w:type="dxa"/>
        </w:tblCellMar>
      </w:tblPr>
      <w:tblGrid>
        <w:gridCol w:w="3700"/>
        <w:gridCol w:w="967"/>
        <w:gridCol w:w="961"/>
        <w:gridCol w:w="1025"/>
        <w:gridCol w:w="1011"/>
        <w:gridCol w:w="1011"/>
        <w:gridCol w:w="992"/>
      </w:tblGrid>
      <w:tr w14:paraId="187270A2">
        <w:tblPrEx>
          <w:tblCellMar>
            <w:top w:w="0" w:type="dxa"/>
            <w:left w:w="0" w:type="dxa"/>
            <w:bottom w:w="0" w:type="dxa"/>
            <w:right w:w="0" w:type="dxa"/>
          </w:tblCellMar>
        </w:tblPrEx>
        <w:trPr>
          <w:cantSplit/>
          <w:trHeight w:val="1662" w:hRule="atLeast"/>
          <w:jc w:val="center"/>
        </w:trPr>
        <w:tc>
          <w:tcPr>
            <w:tcW w:w="3700" w:type="dxa"/>
            <w:tcBorders>
              <w:top w:val="single" w:color="auto" w:sz="4" w:space="0"/>
              <w:left w:val="single" w:color="auto" w:sz="4" w:space="0"/>
              <w:bottom w:val="single" w:color="auto" w:sz="4" w:space="0"/>
              <w:right w:val="single" w:color="auto" w:sz="4" w:space="0"/>
            </w:tcBorders>
            <w:noWrap w:val="0"/>
            <w:vAlign w:val="top"/>
            <mc:AlternateContent>
              <mc:Choice Requires="wpsCustomData">
                <wpsCustomData:diagonals>
                  <wpsCustomData:diagonal from="10000" to="30000">
                    <wpsCustomData:border w:val="single" w:color="auto" w:sz="4" w:space="0"/>
                  </wpsCustomData:diagonal>
                </wpsCustomData:diagonals>
              </mc:Choice>
            </mc:AlternateContent>
          </w:tcPr>
          <w:p w14:paraId="35177C0C">
            <w:pPr>
              <w:autoSpaceDE w:val="0"/>
              <w:autoSpaceDN w:val="0"/>
              <w:spacing w:line="280" w:lineRule="exact"/>
              <w:ind w:left="1199" w:hanging="1310" w:hangingChars="624"/>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mc:AlternateContent>
                <mc:Choice Requires="wps">
                  <w:drawing>
                    <wp:anchor distT="0" distB="0" distL="114300" distR="114300" simplePos="0" relativeHeight="251661312" behindDoc="0" locked="0" layoutInCell="1" allowOverlap="1">
                      <wp:simplePos x="0" y="0"/>
                      <wp:positionH relativeFrom="page">
                        <wp:posOffset>10160</wp:posOffset>
                      </wp:positionH>
                      <wp:positionV relativeFrom="paragraph">
                        <wp:posOffset>1905</wp:posOffset>
                      </wp:positionV>
                      <wp:extent cx="2351405" cy="1059815"/>
                      <wp:effectExtent l="1905" t="4445" r="8890" b="21590"/>
                      <wp:wrapNone/>
                      <wp:docPr id="51" name="任意多边形 51"/>
                      <wp:cNvGraphicFramePr/>
                      <a:graphic xmlns:a="http://schemas.openxmlformats.org/drawingml/2006/main">
                        <a:graphicData uri="http://schemas.microsoft.com/office/word/2010/wordprocessingShape">
                          <wps:wsp>
                            <wps:cNvSpPr/>
                            <wps:spPr>
                              <a:xfrm>
                                <a:off x="0" y="0"/>
                                <a:ext cx="2351405" cy="1059815"/>
                              </a:xfrm>
                              <a:custGeom>
                                <a:avLst/>
                                <a:gdLst/>
                                <a:ahLst/>
                                <a:cxnLst/>
                                <a:pathLst>
                                  <a:path w="3885" h="2130">
                                    <a:moveTo>
                                      <a:pt x="0" y="0"/>
                                    </a:moveTo>
                                    <a:lnTo>
                                      <a:pt x="3885" y="2130"/>
                                    </a:lnTo>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0.8pt;margin-top:0.15pt;height:83.45pt;width:185.15pt;mso-position-horizontal-relative:page;z-index:251661312;mso-width-relative:page;mso-height-relative:page;" fillcolor="#FFFFFF" filled="t" stroked="t" coordsize="3885,2130" o:gfxdata="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uwEig1AAAAAYBAAAPAAAAAAAAAAEAIAAAACIAAABkcnMv&#10;ZG93bnJldi54bWxQSwECFAAUAAAACACHTuJAHJNAIEACAAC/BAAADgAAAAAAAAABACAAAAAjAQAA&#10;ZHJzL2Uyb0RvYy54bWxQSwUGAAAAAAYABgBZAQAA1QUAAAAA&#10;" path="m0,0l3885,2130e">
                      <v:fill on="t" focussize="0,0"/>
                      <v:stroke color="#000000" joinstyle="round"/>
                      <v:imagedata o:title=""/>
                      <o:lock v:ext="edit" aspectratio="f"/>
                    </v:shape>
                  </w:pict>
                </mc:Fallback>
              </mc:AlternateContent>
            </w:r>
            <w:r>
              <w:rPr>
                <w:rFonts w:hint="eastAsia" w:ascii="仿宋_GB2312" w:hAnsi="仿宋_GB2312" w:eastAsia="仿宋_GB2312" w:cs="仿宋_GB2312"/>
                <w:color w:val="auto"/>
                <w:sz w:val="21"/>
                <w:szCs w:val="21"/>
                <w:highlight w:val="none"/>
              </w:rPr>
              <w:t xml:space="preserve">                </w:t>
            </w:r>
          </w:p>
          <w:p w14:paraId="62558796">
            <w:pPr>
              <w:autoSpaceDE w:val="0"/>
              <w:autoSpaceDN w:val="0"/>
              <w:spacing w:line="280" w:lineRule="exact"/>
              <w:ind w:left="993" w:leftChars="473" w:firstLine="997" w:firstLineChars="475"/>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w:t>
            </w:r>
          </w:p>
          <w:p w14:paraId="48CE076B">
            <w:pPr>
              <w:autoSpaceDE w:val="0"/>
              <w:autoSpaceDN w:val="0"/>
              <w:spacing w:line="280" w:lineRule="exact"/>
              <w:ind w:left="793" w:leftChars="185" w:hanging="405" w:hangingChars="193"/>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大纲计划</w:t>
            </w:r>
          </w:p>
          <w:p w14:paraId="07D37E73">
            <w:pPr>
              <w:autoSpaceDE w:val="0"/>
              <w:autoSpaceDN w:val="0"/>
              <w:snapToGrid w:val="0"/>
              <w:spacing w:line="280" w:lineRule="exact"/>
              <w:ind w:left="793" w:leftChars="185" w:hanging="405" w:hangingChars="193"/>
              <mc:AlternateContent>
                <mc:Choice Requires="wpsCustomData">
                  <wpsCustomData:diagonalParaType/>
                </mc:Choice>
              </mc:AlternateConten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大纲计划</w:t>
            </w:r>
          </w:p>
          <w:p w14:paraId="6EB0CF09">
            <w:pPr>
              <w:autoSpaceDE w:val="0"/>
              <w:autoSpaceDN w:val="0"/>
              <w:spacing w:line="280" w:lineRule="exact"/>
              <w:ind w:left="993" w:leftChars="473" w:firstLine="997" w:firstLineChars="475"/>
              <w:rPr>
                <w:rFonts w:hint="eastAsia" w:ascii="仿宋_GB2312" w:hAnsi="仿宋_GB2312" w:eastAsia="仿宋_GB2312" w:cs="仿宋_GB2312"/>
                <w:color w:val="auto"/>
                <w:sz w:val="21"/>
                <w:szCs w:val="21"/>
                <w:highlight w:val="none"/>
              </w:rPr>
            </w:pPr>
          </w:p>
          <w:p w14:paraId="588F4904">
            <w:pPr>
              <w:autoSpaceDE w:val="0"/>
              <w:autoSpaceDN w:val="0"/>
              <w:spacing w:line="280" w:lineRule="exact"/>
              <w:ind w:left="993" w:leftChars="473" w:firstLine="997" w:firstLineChars="475"/>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组织机构</w:t>
            </w:r>
          </w:p>
          <w:p w14:paraId="1880CC14">
            <w:pPr>
              <w:autoSpaceDE w:val="0"/>
              <w:autoSpaceDN w:val="0"/>
              <w:spacing w:line="280" w:lineRule="exact"/>
              <w:ind w:left="793" w:leftChars="185" w:hanging="405" w:hangingChars="193"/>
              <w:rPr>
                <w:rFonts w:hint="eastAsia" w:ascii="仿宋_GB2312" w:hAnsi="仿宋_GB2312" w:eastAsia="仿宋_GB2312" w:cs="仿宋_GB2312"/>
                <w:color w:val="auto"/>
                <w:sz w:val="21"/>
                <w:szCs w:val="21"/>
                <w:highlight w:val="none"/>
              </w:rPr>
            </w:pPr>
          </w:p>
        </w:tc>
        <w:tc>
          <w:tcPr>
            <w:tcW w:w="967" w:type="dxa"/>
            <w:tcBorders>
              <w:top w:val="single" w:color="auto" w:sz="4" w:space="0"/>
              <w:left w:val="single" w:color="auto" w:sz="4" w:space="0"/>
              <w:bottom w:val="single" w:color="auto" w:sz="4" w:space="0"/>
              <w:right w:val="single" w:color="auto" w:sz="4" w:space="0"/>
            </w:tcBorders>
            <w:noWrap w:val="0"/>
            <w:vAlign w:val="center"/>
          </w:tcPr>
          <w:p w14:paraId="5AD0F1BF">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w:t>
            </w:r>
          </w:p>
          <w:p w14:paraId="69E141CE">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量</w:t>
            </w:r>
          </w:p>
          <w:p w14:paraId="0C344282">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体</w:t>
            </w:r>
          </w:p>
          <w:p w14:paraId="5D5FFC83">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系</w:t>
            </w:r>
          </w:p>
          <w:p w14:paraId="0ED94C97">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961" w:type="dxa"/>
            <w:tcBorders>
              <w:top w:val="single" w:color="auto" w:sz="6" w:space="0"/>
              <w:left w:val="single" w:color="auto" w:sz="4" w:space="0"/>
              <w:bottom w:val="single" w:color="auto" w:sz="6" w:space="0"/>
              <w:right w:val="single" w:color="auto" w:sz="4" w:space="0"/>
            </w:tcBorders>
            <w:noWrap w:val="0"/>
            <w:vAlign w:val="center"/>
          </w:tcPr>
          <w:p w14:paraId="75208982">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智</w:t>
            </w:r>
          </w:p>
          <w:p w14:paraId="0003AAE7">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能</w:t>
            </w:r>
          </w:p>
          <w:p w14:paraId="683FB0C4">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制</w:t>
            </w:r>
          </w:p>
          <w:p w14:paraId="52D2CAF5">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造</w:t>
            </w:r>
          </w:p>
          <w:p w14:paraId="68D4F9F7">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1025" w:type="dxa"/>
            <w:tcBorders>
              <w:top w:val="single" w:color="auto" w:sz="6" w:space="0"/>
              <w:left w:val="single" w:color="auto" w:sz="4" w:space="0"/>
              <w:bottom w:val="single" w:color="auto" w:sz="6" w:space="0"/>
              <w:right w:val="single" w:color="auto" w:sz="4" w:space="0"/>
            </w:tcBorders>
            <w:noWrap w:val="0"/>
            <w:vAlign w:val="center"/>
          </w:tcPr>
          <w:p w14:paraId="711F9E2C">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w:t>
            </w:r>
          </w:p>
          <w:p w14:paraId="1B866D3C">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务</w:t>
            </w:r>
          </w:p>
          <w:p w14:paraId="234AB967">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装</w:t>
            </w:r>
          </w:p>
          <w:p w14:paraId="195A8F82">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备</w:t>
            </w:r>
          </w:p>
          <w:p w14:paraId="27281109">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事</w:t>
            </w:r>
          </w:p>
          <w:p w14:paraId="0FF6D298">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业</w:t>
            </w:r>
          </w:p>
          <w:p w14:paraId="029E9D35">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1011" w:type="dxa"/>
            <w:tcBorders>
              <w:top w:val="single" w:color="auto" w:sz="6" w:space="0"/>
              <w:left w:val="single" w:color="auto" w:sz="4" w:space="0"/>
              <w:bottom w:val="single" w:color="auto" w:sz="6" w:space="0"/>
              <w:right w:val="single" w:color="auto" w:sz="4" w:space="0"/>
            </w:tcBorders>
            <w:noWrap w:val="0"/>
            <w:vAlign w:val="center"/>
          </w:tcPr>
          <w:p w14:paraId="166BF84A">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pacing w:val="20"/>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电</w:t>
            </w:r>
          </w:p>
          <w:p w14:paraId="3A0C992B">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pacing w:val="20"/>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力</w:t>
            </w:r>
          </w:p>
          <w:p w14:paraId="7EE5401B">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pacing w:val="20"/>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能</w:t>
            </w:r>
          </w:p>
          <w:p w14:paraId="6C8F3480">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pacing w:val="20"/>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源</w:t>
            </w:r>
          </w:p>
          <w:p w14:paraId="71CF9BA4">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pacing w:val="20"/>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事</w:t>
            </w:r>
          </w:p>
          <w:p w14:paraId="39670BD2">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pacing w:val="20"/>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业</w:t>
            </w:r>
          </w:p>
          <w:p w14:paraId="16D8524B">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部</w:t>
            </w:r>
          </w:p>
        </w:tc>
        <w:tc>
          <w:tcPr>
            <w:tcW w:w="1011" w:type="dxa"/>
            <w:tcBorders>
              <w:top w:val="single" w:color="auto" w:sz="6" w:space="0"/>
              <w:left w:val="single" w:color="auto" w:sz="4" w:space="0"/>
              <w:bottom w:val="single" w:color="auto" w:sz="6" w:space="0"/>
              <w:right w:val="single" w:color="auto" w:sz="4" w:space="0"/>
            </w:tcBorders>
            <w:noWrap w:val="0"/>
            <w:vAlign w:val="center"/>
          </w:tcPr>
          <w:p w14:paraId="6EC1F6A7">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采</w:t>
            </w:r>
          </w:p>
          <w:p w14:paraId="5BB12AB0">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购</w:t>
            </w:r>
          </w:p>
          <w:p w14:paraId="03B818B0">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管</w:t>
            </w:r>
          </w:p>
          <w:p w14:paraId="7D0DB52E">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理</w:t>
            </w:r>
          </w:p>
          <w:p w14:paraId="2CC504BA">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992" w:type="dxa"/>
            <w:tcBorders>
              <w:top w:val="single" w:color="auto" w:sz="6" w:space="0"/>
              <w:left w:val="single" w:color="auto" w:sz="4" w:space="0"/>
              <w:bottom w:val="single" w:color="auto" w:sz="6" w:space="0"/>
              <w:right w:val="single" w:color="auto" w:sz="4" w:space="0"/>
            </w:tcBorders>
            <w:noWrap w:val="0"/>
            <w:vAlign w:val="center"/>
          </w:tcPr>
          <w:p w14:paraId="7CBC55D1">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综</w:t>
            </w:r>
          </w:p>
          <w:p w14:paraId="4A2E5B4A">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w:t>
            </w:r>
          </w:p>
          <w:p w14:paraId="4255EA2D">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管</w:t>
            </w:r>
          </w:p>
          <w:p w14:paraId="69EF9B1A">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理</w:t>
            </w:r>
          </w:p>
          <w:p w14:paraId="5CA03108">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r>
      <w:tr w14:paraId="32D5F2E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386E41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 组织机构与职责</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9A5BB7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nil"/>
              <w:left w:val="single" w:color="auto" w:sz="4" w:space="0"/>
              <w:bottom w:val="single" w:color="auto" w:sz="4" w:space="0"/>
              <w:right w:val="single" w:color="auto" w:sz="4" w:space="0"/>
            </w:tcBorders>
            <w:noWrap w:val="0"/>
            <w:vAlign w:val="center"/>
          </w:tcPr>
          <w:p w14:paraId="59E2FEC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nil"/>
              <w:left w:val="single" w:color="auto" w:sz="4" w:space="0"/>
              <w:bottom w:val="single" w:color="auto" w:sz="4" w:space="0"/>
              <w:right w:val="single" w:color="auto" w:sz="4" w:space="0"/>
            </w:tcBorders>
            <w:noWrap w:val="0"/>
            <w:vAlign w:val="center"/>
          </w:tcPr>
          <w:p w14:paraId="4D33444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619BB3C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2396CCE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nil"/>
              <w:left w:val="single" w:color="auto" w:sz="4" w:space="0"/>
              <w:bottom w:val="single" w:color="auto" w:sz="4" w:space="0"/>
              <w:right w:val="single" w:color="auto" w:sz="4" w:space="0"/>
            </w:tcBorders>
            <w:noWrap w:val="0"/>
            <w:vAlign w:val="center"/>
          </w:tcPr>
          <w:p w14:paraId="165311A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6055C8A">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26A3DEB">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4.3 培训</w:t>
            </w:r>
          </w:p>
        </w:tc>
        <w:tc>
          <w:tcPr>
            <w:tcW w:w="967" w:type="dxa"/>
            <w:tcBorders>
              <w:top w:val="nil"/>
              <w:left w:val="single" w:color="auto" w:sz="4" w:space="0"/>
              <w:bottom w:val="single" w:color="auto" w:sz="4" w:space="0"/>
              <w:right w:val="single" w:color="auto" w:sz="2" w:space="0"/>
            </w:tcBorders>
            <w:noWrap w:val="0"/>
            <w:vAlign w:val="center"/>
          </w:tcPr>
          <w:p w14:paraId="008D608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nil"/>
              <w:left w:val="single" w:color="auto" w:sz="4" w:space="0"/>
              <w:bottom w:val="single" w:color="auto" w:sz="4" w:space="0"/>
              <w:right w:val="single" w:color="auto" w:sz="4" w:space="0"/>
            </w:tcBorders>
            <w:noWrap w:val="0"/>
            <w:vAlign w:val="center"/>
          </w:tcPr>
          <w:p w14:paraId="510EAC2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nil"/>
              <w:left w:val="single" w:color="auto" w:sz="4" w:space="0"/>
              <w:bottom w:val="single" w:color="auto" w:sz="4" w:space="0"/>
              <w:right w:val="single" w:color="auto" w:sz="4" w:space="0"/>
            </w:tcBorders>
            <w:noWrap w:val="0"/>
            <w:vAlign w:val="center"/>
          </w:tcPr>
          <w:p w14:paraId="0600FD1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0A5679A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45631D2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nil"/>
              <w:left w:val="single" w:color="auto" w:sz="4" w:space="0"/>
              <w:bottom w:val="single" w:color="auto" w:sz="4" w:space="0"/>
              <w:right w:val="single" w:color="auto" w:sz="4" w:space="0"/>
            </w:tcBorders>
            <w:noWrap w:val="0"/>
            <w:vAlign w:val="center"/>
          </w:tcPr>
          <w:p w14:paraId="0F97890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283D8CB7">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5C69A4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 文件控制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46F442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779FE8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67E1262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C93179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614795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C86B7F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2CA734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7D497EE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4.5 技术秘密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DBB1CC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6868FB5B">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61" w:type="dxa"/>
            <w:tcBorders>
              <w:top w:val="single" w:color="auto" w:sz="4" w:space="0"/>
              <w:left w:val="single" w:color="auto" w:sz="4" w:space="0"/>
              <w:bottom w:val="single" w:color="auto" w:sz="4" w:space="0"/>
              <w:right w:val="single" w:color="auto" w:sz="4" w:space="0"/>
            </w:tcBorders>
            <w:noWrap w:val="0"/>
            <w:vAlign w:val="center"/>
          </w:tcPr>
          <w:p w14:paraId="3EEA55D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68700CF4">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14B86F7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0F9B8922">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83FCF9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50747838">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C76E49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22F6845D">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15EB080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32BCA88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4D11E3C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120426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4.6 生产流程图</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01876A5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01F8DDC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6FEE21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D7290A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F25351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E46E24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F48B09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6107232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4.7 工作环境</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DA05DA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1D5CC0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A8E947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620228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B6B530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95F5DC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2A66A023">
        <w:tblPrEx>
          <w:tblCellMar>
            <w:top w:w="0" w:type="dxa"/>
            <w:left w:w="0" w:type="dxa"/>
            <w:bottom w:w="0" w:type="dxa"/>
            <w:right w:w="0" w:type="dxa"/>
          </w:tblCellMar>
        </w:tblPrEx>
        <w:trPr>
          <w:trHeight w:val="363"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C6CA16B">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4.8 生产过程控制文件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1A9D0A0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5244DBC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50050A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4A6DF4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32D294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5A87C5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59C9DB6">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1BB3D6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4.9 关键工序和特殊工序控制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90D973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F7D9BB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C10157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6D39C1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497EFF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1D1ACF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87B407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BA53958">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 统计过程控制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27A698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53684E8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F8FA15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DC955E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D800AA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60D243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1A8374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D71C0C0">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4.11 失效分析</w:t>
            </w:r>
            <w:r>
              <w:rPr>
                <w:rFonts w:hint="eastAsia" w:ascii="仿宋_GB2312" w:hAnsi="仿宋_GB2312" w:eastAsia="仿宋_GB2312" w:cs="仿宋_GB2312"/>
                <w:color w:val="auto"/>
                <w:sz w:val="21"/>
                <w:szCs w:val="21"/>
                <w:highlight w:val="none"/>
                <w:lang w:val="en-US" w:eastAsia="zh-CN"/>
              </w:rPr>
              <w:t xml:space="preserve">                                                                                                                                                             </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393EBA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7C20DD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BE39B0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59439A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ED8790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DB4C55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5296BD55">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18D575A">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4.12 纠正措施与改进</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AF8AC5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4BC63A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CBE71A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476787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0C367D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5E9679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0EBDE93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5864CAC">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4.13 测量和试验设备的控制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0808EC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314F8C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BB0FEB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32A2B6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1778EA2">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3F2CEC15">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4775C2A">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B84BFA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 采购</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BE4801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D7AEC47">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6134C85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3AE7DD7">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94CBA9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F18A51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FF7AEF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79CAE1A">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4.14.1 采购过程</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ED6C5D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FCAA36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5BF011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ED803B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E18A89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CE09AEF">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4DA54566">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4C2607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4.14.2 采购材料的检验</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7492FB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0AA7285">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C899F9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0F79BE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2340E9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856A9AE">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71B985C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AC8F146">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4.14.3 采购材料和出、入库管理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E6B04B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DDD6AE7">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CAAF6C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C2542F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672698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50AADC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1879312F">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17C0453">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4.14.4 合格材料的管理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52F48C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3D5C974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9033FE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BE9690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52D19A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AAEBFEB">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8AE1DAB">
        <w:tblPrEx>
          <w:tblCellMar>
            <w:top w:w="0" w:type="dxa"/>
            <w:left w:w="0" w:type="dxa"/>
            <w:bottom w:w="0" w:type="dxa"/>
            <w:right w:w="0" w:type="dxa"/>
          </w:tblCellMar>
        </w:tblPrEx>
        <w:trPr>
          <w:trHeight w:val="442"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D7842ED">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4.14.5 不合格材料的管理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1C7C7BB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40D0366">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126F0B0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E7C2FE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5C2F38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59CFC33">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4F1C229C">
        <w:tblPrEx>
          <w:tblCellMar>
            <w:top w:w="0" w:type="dxa"/>
            <w:left w:w="0" w:type="dxa"/>
            <w:bottom w:w="0" w:type="dxa"/>
            <w:right w:w="0" w:type="dxa"/>
          </w:tblCellMar>
        </w:tblPrEx>
        <w:trPr>
          <w:trHeight w:val="441"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608ABC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4.14.6 材料的可追溯性</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AF290C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515AD84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52362A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83DBD0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C48857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EDE148F">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003C81B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6E88D028">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4.15 产品的标识和可追溯性</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50DBC3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6884B63">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99817D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CFD242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1BDD0D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DEC457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5C03275D">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780AD35C">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4.16 分承制方的控制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9D3E32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02D85BA6">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78B613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C081E71">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152C8E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E2BE43E">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38B925F8">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C1D44A3">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4.17 产品防护</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C408CA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ADD1F78">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C17A77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B8FE82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4744C16">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843F6F0">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0DF174D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CEED99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4.18 质量保证</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13BC31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1FAF5A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352ABA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9D8EC1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F2C90B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E8FDA3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5B9A2007">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8CCBAF6">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4.19 更改控制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0BA03B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84A0B8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3A9D4E9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CD4AEF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A119D5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EB33ED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EAFFAA1">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0BB601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4.20 内部质量审核</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793679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4FDA78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DF7033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273386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0E40E9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0BA69E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441FBD09">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10EED7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4.21 宇航级元器件</w:t>
            </w:r>
          </w:p>
        </w:tc>
        <w:tc>
          <w:tcPr>
            <w:tcW w:w="967" w:type="dxa"/>
            <w:tcBorders>
              <w:top w:val="single" w:color="auto" w:sz="4" w:space="0"/>
              <w:left w:val="single" w:color="auto" w:sz="4" w:space="0"/>
              <w:bottom w:val="single" w:color="auto" w:sz="4" w:space="0"/>
              <w:right w:val="single" w:color="auto" w:sz="2" w:space="0"/>
            </w:tcBorders>
            <w:noWrap w:val="0"/>
            <w:vAlign w:val="top"/>
          </w:tcPr>
          <w:p w14:paraId="35964BF4">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top"/>
          </w:tcPr>
          <w:p w14:paraId="66F8B20B">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top"/>
          </w:tcPr>
          <w:p w14:paraId="2A645B8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70B23CD">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top"/>
          </w:tcPr>
          <w:p w14:paraId="14F3B87B">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top"/>
          </w:tcPr>
          <w:p w14:paraId="1B5EECA6">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bl>
    <w:p w14:paraId="1F31E8D1">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default"/>
          <w:b/>
          <w:bCs/>
          <w:color w:val="auto"/>
          <w:highlight w:val="none"/>
          <w:lang w:val="en-US" w:eastAsia="zh-CN"/>
        </w:rPr>
      </w:pPr>
      <w:r>
        <w:rPr>
          <w:rFonts w:hint="eastAsia" w:ascii="宋体" w:hAnsi="宋体" w:eastAsia="宋体" w:cs="宋体"/>
          <w:color w:val="auto"/>
          <w:highlight w:val="none"/>
        </w:rPr>
        <w:t xml:space="preserve">注：▲  归口管理部门       ○  </w:t>
      </w:r>
      <w:r>
        <w:rPr>
          <w:rFonts w:hint="eastAsia" w:ascii="宋体" w:hAnsi="宋体" w:eastAsia="宋体" w:cs="宋体"/>
          <w:color w:val="auto"/>
          <w:highlight w:val="none"/>
          <w:lang w:eastAsia="zh-CN"/>
        </w:rPr>
        <w:t>主要</w:t>
      </w:r>
      <w:r>
        <w:rPr>
          <w:rFonts w:hint="eastAsia" w:ascii="宋体" w:hAnsi="宋体" w:eastAsia="宋体" w:cs="宋体"/>
          <w:color w:val="auto"/>
          <w:highlight w:val="none"/>
        </w:rPr>
        <w:t>相关部门      — 不适用</w:t>
      </w:r>
    </w:p>
    <w:p w14:paraId="50558BF3">
      <w:pPr>
        <w:rPr>
          <w:rFonts w:hint="default"/>
          <w:b/>
          <w:bCs/>
          <w:color w:val="auto"/>
          <w:highlight w:val="none"/>
          <w:lang w:val="en-US" w:eastAsia="zh-CN"/>
        </w:rPr>
        <w:sectPr>
          <w:footerReference r:id="rId11" w:type="default"/>
          <w:pgSz w:w="11906" w:h="16838"/>
          <w:pgMar w:top="1440" w:right="1485" w:bottom="1276" w:left="1803" w:header="851" w:footer="992" w:gutter="0"/>
          <w:pgNumType w:fmt="decimal" w:start="1"/>
          <w:cols w:space="0" w:num="1"/>
          <w:rtlGutter w:val="0"/>
          <w:docGrid w:type="linesAndChars" w:linePitch="319" w:charSpace="39"/>
        </w:sectPr>
      </w:pPr>
    </w:p>
    <w:p w14:paraId="78D4C003">
      <w:pPr>
        <w:outlineLvl w:val="0"/>
        <w:rPr>
          <w:rFonts w:hint="eastAsia" w:ascii="仿宋_GB2312" w:hAnsi="仿宋_GB2312" w:eastAsia="仿宋_GB2312" w:cs="仿宋_GB2312"/>
          <w:color w:val="auto"/>
          <w:sz w:val="21"/>
          <w:szCs w:val="21"/>
          <w:highlight w:val="none"/>
        </w:rPr>
      </w:pPr>
      <w:bookmarkStart w:id="187" w:name="_Toc4602"/>
      <w:r>
        <w:rPr>
          <w:rFonts w:hint="eastAsia" w:ascii="仿宋_GB2312" w:hAnsi="仿宋_GB2312" w:eastAsia="仿宋_GB2312" w:cs="仿宋_GB2312"/>
          <w:color w:val="auto"/>
          <w:sz w:val="21"/>
          <w:szCs w:val="21"/>
          <w:highlight w:val="none"/>
        </w:rPr>
        <w:t>附录D  代表/扩展品种清单</w:t>
      </w:r>
      <w:bookmarkEnd w:id="187"/>
    </w:p>
    <w:p w14:paraId="44FD367E">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代表/扩展品种清单</w:t>
      </w:r>
    </w:p>
    <w:tbl>
      <w:tblPr>
        <w:tblStyle w:val="8"/>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1132"/>
        <w:gridCol w:w="1706"/>
        <w:gridCol w:w="1068"/>
        <w:gridCol w:w="676"/>
        <w:gridCol w:w="1616"/>
        <w:gridCol w:w="2933"/>
      </w:tblGrid>
      <w:tr w14:paraId="7757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446" w:type="dxa"/>
            <w:noWrap w:val="0"/>
            <w:vAlign w:val="center"/>
          </w:tcPr>
          <w:p w14:paraId="1B88CB64">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132" w:type="dxa"/>
            <w:noWrap w:val="0"/>
            <w:vAlign w:val="center"/>
          </w:tcPr>
          <w:p w14:paraId="73BA3DC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产品型号</w:t>
            </w:r>
          </w:p>
          <w:p w14:paraId="7A4A70B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规格</w:t>
            </w:r>
          </w:p>
        </w:tc>
        <w:tc>
          <w:tcPr>
            <w:tcW w:w="1706" w:type="dxa"/>
            <w:noWrap w:val="0"/>
            <w:vAlign w:val="center"/>
          </w:tcPr>
          <w:p w14:paraId="670E2D1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产品详细规范编号及确认号</w:t>
            </w:r>
          </w:p>
        </w:tc>
        <w:tc>
          <w:tcPr>
            <w:tcW w:w="1068" w:type="dxa"/>
            <w:noWrap w:val="0"/>
            <w:vAlign w:val="center"/>
          </w:tcPr>
          <w:p w14:paraId="444D7E3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总规范</w:t>
            </w:r>
          </w:p>
          <w:p w14:paraId="2CE1135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676" w:type="dxa"/>
            <w:noWrap w:val="0"/>
            <w:vAlign w:val="center"/>
          </w:tcPr>
          <w:p w14:paraId="263CBFB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类型</w:t>
            </w:r>
          </w:p>
        </w:tc>
        <w:tc>
          <w:tcPr>
            <w:tcW w:w="1616" w:type="dxa"/>
            <w:noWrap w:val="0"/>
            <w:vAlign w:val="center"/>
          </w:tcPr>
          <w:p w14:paraId="77E2B86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工艺文件编号</w:t>
            </w:r>
          </w:p>
        </w:tc>
        <w:tc>
          <w:tcPr>
            <w:tcW w:w="2933" w:type="dxa"/>
            <w:noWrap w:val="0"/>
            <w:vAlign w:val="center"/>
          </w:tcPr>
          <w:p w14:paraId="7E8006C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关键指标</w:t>
            </w:r>
          </w:p>
        </w:tc>
      </w:tr>
      <w:tr w14:paraId="0927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446" w:type="dxa"/>
            <w:noWrap w:val="0"/>
            <w:vAlign w:val="center"/>
          </w:tcPr>
          <w:p w14:paraId="0E4C92D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132" w:type="dxa"/>
            <w:noWrap w:val="0"/>
            <w:vAlign w:val="center"/>
          </w:tcPr>
          <w:p w14:paraId="6BCB4B1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SFCF</w:t>
            </w:r>
            <w:r>
              <w:rPr>
                <w:rFonts w:hint="eastAsia" w:ascii="仿宋_GB2312" w:hAnsi="仿宋_GB2312" w:eastAsia="仿宋_GB2312" w:cs="仿宋_GB2312"/>
                <w:color w:val="auto"/>
                <w:highlight w:val="none"/>
                <w:vertAlign w:val="subscript"/>
              </w:rPr>
              <w:t>4</w:t>
            </w:r>
            <w:r>
              <w:rPr>
                <w:rFonts w:hint="eastAsia" w:ascii="仿宋_GB2312" w:hAnsi="仿宋_GB2312" w:eastAsia="仿宋_GB2312" w:cs="仿宋_GB2312"/>
                <w:color w:val="auto"/>
                <w:highlight w:val="none"/>
              </w:rPr>
              <w:t>-50-2.5</w:t>
            </w:r>
          </w:p>
        </w:tc>
        <w:tc>
          <w:tcPr>
            <w:tcW w:w="1706" w:type="dxa"/>
            <w:noWrap w:val="0"/>
            <w:vAlign w:val="center"/>
          </w:tcPr>
          <w:p w14:paraId="026875EC">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ZZR-Q/XC 20048-2020</w:t>
            </w:r>
          </w:p>
          <w:p w14:paraId="53ED6DD5">
            <w:pPr>
              <w:adjustRightInd w:val="0"/>
              <w:spacing w:line="38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highlight w:val="none"/>
              </w:rPr>
              <w:t>JLCH61090023</w:t>
            </w:r>
          </w:p>
        </w:tc>
        <w:tc>
          <w:tcPr>
            <w:tcW w:w="1068" w:type="dxa"/>
            <w:noWrap w:val="0"/>
            <w:vAlign w:val="center"/>
          </w:tcPr>
          <w:p w14:paraId="7EBF4F27">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GJB973A-</w:t>
            </w:r>
          </w:p>
          <w:p w14:paraId="52D6885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2004</w:t>
            </w:r>
          </w:p>
        </w:tc>
        <w:tc>
          <w:tcPr>
            <w:tcW w:w="676" w:type="dxa"/>
            <w:noWrap w:val="0"/>
            <w:vAlign w:val="center"/>
          </w:tcPr>
          <w:p w14:paraId="7280E521">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代表</w:t>
            </w:r>
          </w:p>
          <w:p w14:paraId="3C96F4D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品种</w:t>
            </w:r>
          </w:p>
        </w:tc>
        <w:tc>
          <w:tcPr>
            <w:tcW w:w="1616" w:type="dxa"/>
            <w:noWrap w:val="0"/>
            <w:vAlign w:val="center"/>
          </w:tcPr>
          <w:p w14:paraId="4E9C6F11">
            <w:pPr>
              <w:spacing w:line="240" w:lineRule="atLeas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highlight w:val="none"/>
              </w:rPr>
              <w:t>JZL4.850.090</w:t>
            </w:r>
          </w:p>
        </w:tc>
        <w:tc>
          <w:tcPr>
            <w:tcW w:w="2933" w:type="dxa"/>
            <w:noWrap w:val="0"/>
            <w:vAlign w:val="center"/>
          </w:tcPr>
          <w:p w14:paraId="69818635">
            <w:pPr>
              <w:spacing w:line="240" w:lineRule="atLeas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1、介质耐电压：DC1000V；</w:t>
            </w:r>
          </w:p>
          <w:p w14:paraId="5E4364A8">
            <w:pPr>
              <w:spacing w:line="240" w:lineRule="atLeas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2、插耗：</w:t>
            </w:r>
          </w:p>
          <w:p w14:paraId="226F04E4">
            <w:pPr>
              <w:spacing w:line="240" w:lineRule="atLeas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300MHz≤0.12dB/m，</w:t>
            </w:r>
          </w:p>
          <w:p w14:paraId="3AE6FF62">
            <w:pPr>
              <w:adjustRightInd w:val="0"/>
              <w:spacing w:line="240" w:lineRule="atLeas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10GHz≤1.9dB/m；</w:t>
            </w:r>
          </w:p>
          <w:p w14:paraId="306E3A5B">
            <w:pPr>
              <w:spacing w:line="240" w:lineRule="atLeas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3、电压驻波比：≤1.5</w:t>
            </w:r>
          </w:p>
          <w:p w14:paraId="49F8FE07">
            <w:pPr>
              <w:spacing w:line="240" w:lineRule="atLeas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(300MHz—10GHz)；</w:t>
            </w:r>
          </w:p>
          <w:p w14:paraId="326348BF">
            <w:pPr>
              <w:spacing w:line="240" w:lineRule="atLeas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4、特性阻抗：</w:t>
            </w:r>
          </w:p>
          <w:p w14:paraId="4EB88743">
            <w:pPr>
              <w:spacing w:line="240" w:lineRule="atLeas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50Ω±3Ω（200 MHz）。</w:t>
            </w:r>
          </w:p>
        </w:tc>
      </w:tr>
    </w:tbl>
    <w:p w14:paraId="29BE9282">
      <w:pPr>
        <w:rPr>
          <w:rFonts w:hint="eastAsia" w:ascii="仿宋_GB2312" w:hAnsi="仿宋_GB2312" w:eastAsia="仿宋_GB2312" w:cs="仿宋_GB2312"/>
          <w:color w:val="auto"/>
          <w:sz w:val="21"/>
          <w:szCs w:val="21"/>
          <w:highlight w:val="none"/>
          <w:lang w:val="en-US" w:eastAsia="zh-CN"/>
        </w:rPr>
        <w:sectPr>
          <w:footerReference r:id="rId12" w:type="default"/>
          <w:pgSz w:w="11906" w:h="16838"/>
          <w:pgMar w:top="1440" w:right="1485" w:bottom="1276" w:left="1803" w:header="851" w:footer="992" w:gutter="0"/>
          <w:pgNumType w:fmt="decimal" w:start="1"/>
          <w:cols w:space="0" w:num="1"/>
          <w:rtlGutter w:val="0"/>
          <w:docGrid w:type="linesAndChars" w:linePitch="319" w:charSpace="39"/>
        </w:sectPr>
      </w:pPr>
    </w:p>
    <w:p w14:paraId="41929B57">
      <w:pPr>
        <w:outlineLvl w:val="0"/>
        <w:rPr>
          <w:color w:val="auto"/>
          <w:highlight w:val="none"/>
        </w:rPr>
      </w:pPr>
      <w:bookmarkStart w:id="188" w:name="_Toc105"/>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bookmarkEnd w:id="188"/>
    </w:p>
    <w:p w14:paraId="78CF6220">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drawing>
          <wp:inline distT="0" distB="0" distL="114300" distR="114300">
            <wp:extent cx="8834755" cy="5097780"/>
            <wp:effectExtent l="0" t="0" r="4445" b="7620"/>
            <wp:docPr id="4" name="图片 4" descr="生产流程图（超柔）2025.9.6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生产流程图（超柔）2025.9.6_00"/>
                    <pic:cNvPicPr>
                      <a:picLocks noChangeAspect="1"/>
                    </pic:cNvPicPr>
                  </pic:nvPicPr>
                  <pic:blipFill>
                    <a:blip r:embed="rId32"/>
                    <a:srcRect l="6868" t="8506" r="8520" b="8959"/>
                    <a:stretch>
                      <a:fillRect/>
                    </a:stretch>
                  </pic:blipFill>
                  <pic:spPr>
                    <a:xfrm>
                      <a:off x="0" y="0"/>
                      <a:ext cx="8834755" cy="5097780"/>
                    </a:xfrm>
                    <a:prstGeom prst="rect">
                      <a:avLst/>
                    </a:prstGeom>
                  </pic:spPr>
                </pic:pic>
              </a:graphicData>
            </a:graphic>
          </wp:inline>
        </w:drawing>
      </w:r>
    </w:p>
    <w:p w14:paraId="157B5991">
      <w:pPr>
        <w:jc w:val="center"/>
        <w:rPr>
          <w:rFonts w:hint="eastAsia" w:ascii="宋体" w:hAnsi="宋体" w:eastAsia="宋体"/>
          <w:color w:val="auto"/>
          <w:sz w:val="24"/>
          <w:szCs w:val="24"/>
          <w:highlight w:val="none"/>
          <w:lang w:eastAsia="zh-CN"/>
        </w:rPr>
        <w:sectPr>
          <w:footerReference r:id="rId13" w:type="default"/>
          <w:pgSz w:w="16838" w:h="11906" w:orient="landscape"/>
          <w:pgMar w:top="1803" w:right="1440" w:bottom="1485" w:left="1276" w:header="851" w:footer="992" w:gutter="0"/>
          <w:pgNumType w:fmt="decimal"/>
          <w:cols w:space="0" w:num="1"/>
          <w:rtlGutter w:val="0"/>
          <w:docGrid w:type="linesAndChars" w:linePitch="319" w:charSpace="39"/>
        </w:sectPr>
      </w:pPr>
    </w:p>
    <w:p w14:paraId="789C3589">
      <w:pPr>
        <w:outlineLvl w:val="0"/>
        <w:rPr>
          <w:rFonts w:hint="eastAsia" w:ascii="仿宋_GB2312" w:hAnsi="仿宋_GB2312" w:eastAsia="仿宋_GB2312" w:cs="仿宋_GB2312"/>
          <w:color w:val="auto"/>
          <w:highlight w:val="none"/>
        </w:rPr>
      </w:pPr>
      <w:bookmarkStart w:id="189" w:name="_Toc30859"/>
      <w:r>
        <w:rPr>
          <w:rFonts w:hint="eastAsia" w:ascii="仿宋_GB2312" w:hAnsi="仿宋_GB2312" w:eastAsia="仿宋_GB2312" w:cs="仿宋_GB2312"/>
          <w:color w:val="auto"/>
          <w:highlight w:val="none"/>
        </w:rPr>
        <w:t>附录E.2  生产区域定置图</w:t>
      </w:r>
      <w:bookmarkEnd w:id="189"/>
    </w:p>
    <w:p w14:paraId="23E58602">
      <w:pP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drawing>
          <wp:inline distT="0" distB="0" distL="114300" distR="114300">
            <wp:extent cx="8185150" cy="4762500"/>
            <wp:effectExtent l="0" t="0" r="6350" b="0"/>
            <wp:docPr id="2" name="图片 2" descr="104#定置管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04#定置管理图"/>
                    <pic:cNvPicPr>
                      <a:picLocks noChangeAspect="1"/>
                    </pic:cNvPicPr>
                  </pic:nvPicPr>
                  <pic:blipFill>
                    <a:blip r:embed="rId33"/>
                    <a:srcRect t="7793" b="12195"/>
                    <a:stretch>
                      <a:fillRect/>
                    </a:stretch>
                  </pic:blipFill>
                  <pic:spPr>
                    <a:xfrm>
                      <a:off x="0" y="0"/>
                      <a:ext cx="8185150" cy="4762500"/>
                    </a:xfrm>
                    <a:prstGeom prst="rect">
                      <a:avLst/>
                    </a:prstGeom>
                  </pic:spPr>
                </pic:pic>
              </a:graphicData>
            </a:graphic>
          </wp:inline>
        </w:drawing>
      </w:r>
    </w:p>
    <w:p w14:paraId="0E973858">
      <w:pPr>
        <w:rPr>
          <w:rFonts w:hint="eastAsia" w:ascii="仿宋_GB2312" w:hAnsi="仿宋_GB2312" w:eastAsia="仿宋_GB2312" w:cs="仿宋_GB2312"/>
          <w:color w:val="auto"/>
          <w:highlight w:val="none"/>
        </w:rPr>
        <w:sectPr>
          <w:footerReference r:id="rId14" w:type="default"/>
          <w:pgSz w:w="16838" w:h="11906" w:orient="landscape"/>
          <w:pgMar w:top="1803" w:right="1440" w:bottom="1485" w:left="1276" w:header="851" w:footer="992" w:gutter="0"/>
          <w:pgNumType w:fmt="decimal"/>
          <w:cols w:space="0" w:num="1"/>
          <w:rtlGutter w:val="0"/>
          <w:docGrid w:type="linesAndChars" w:linePitch="319" w:charSpace="39"/>
        </w:sectPr>
      </w:pPr>
    </w:p>
    <w:p w14:paraId="27E13079">
      <w:pPr>
        <w:rPr>
          <w:rFonts w:hint="eastAsia" w:ascii="仿宋_GB2312" w:hAnsi="仿宋_GB2312" w:cs="仿宋_GB2312"/>
          <w:color w:val="auto"/>
          <w:highlight w:val="none"/>
          <w:lang w:eastAsia="zh-CN"/>
        </w:rPr>
      </w:pPr>
      <w:r>
        <w:rPr>
          <w:rFonts w:hint="eastAsia" w:ascii="仿宋_GB2312" w:hAnsi="仿宋_GB2312" w:eastAsia="仿宋_GB2312" w:cs="仿宋_GB2312"/>
          <w:color w:val="auto"/>
          <w:highlight w:val="none"/>
        </w:rPr>
        <w:t>附录E.2  生产区域定置图</w:t>
      </w:r>
      <w:r>
        <w:rPr>
          <w:rFonts w:hint="eastAsia" w:ascii="仿宋_GB2312" w:hAnsi="仿宋_GB2312" w:cs="仿宋_GB2312"/>
          <w:color w:val="auto"/>
          <w:highlight w:val="none"/>
          <w:lang w:eastAsia="zh-CN"/>
        </w:rPr>
        <w:t>（续）</w:t>
      </w:r>
    </w:p>
    <w:p w14:paraId="036486CD">
      <w:pPr>
        <w:rPr>
          <w:rFonts w:hint="eastAsia" w:ascii="仿宋_GB2312" w:hAnsi="仿宋_GB2312" w:cs="仿宋_GB2312"/>
          <w:color w:val="auto"/>
          <w:highlight w:val="none"/>
          <w:lang w:eastAsia="zh-CN"/>
        </w:rPr>
      </w:pPr>
    </w:p>
    <w:p w14:paraId="7CF3A4F2">
      <w:pPr>
        <w:rPr>
          <w:rFonts w:hint="eastAsia" w:eastAsia="仿宋_GB2312"/>
          <w:color w:val="auto"/>
          <w:highlight w:val="none"/>
          <w:lang w:val="en-US" w:eastAsia="zh-CN"/>
        </w:rPr>
      </w:pPr>
      <w:r>
        <w:rPr>
          <w:rFonts w:hint="eastAsia" w:eastAsia="仿宋_GB2312"/>
          <w:color w:val="auto"/>
          <w:highlight w:val="none"/>
          <w:lang w:val="en-US" w:eastAsia="zh-CN"/>
        </w:rPr>
        <w:drawing>
          <wp:inline distT="0" distB="0" distL="114300" distR="114300">
            <wp:extent cx="9030970" cy="5033010"/>
            <wp:effectExtent l="0" t="0" r="17780" b="15240"/>
            <wp:docPr id="1" name="图片 1" descr="超柔定置管理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超柔定置管理图_00"/>
                    <pic:cNvPicPr>
                      <a:picLocks noChangeAspect="1"/>
                    </pic:cNvPicPr>
                  </pic:nvPicPr>
                  <pic:blipFill>
                    <a:blip r:embed="rId34"/>
                    <a:srcRect l="7677" t="15121" r="10235" b="20146"/>
                    <a:stretch>
                      <a:fillRect/>
                    </a:stretch>
                  </pic:blipFill>
                  <pic:spPr>
                    <a:xfrm>
                      <a:off x="0" y="0"/>
                      <a:ext cx="9030970" cy="5033010"/>
                    </a:xfrm>
                    <a:prstGeom prst="rect">
                      <a:avLst/>
                    </a:prstGeom>
                  </pic:spPr>
                </pic:pic>
              </a:graphicData>
            </a:graphic>
          </wp:inline>
        </w:drawing>
      </w:r>
    </w:p>
    <w:p w14:paraId="7007BB95">
      <w:pPr>
        <w:rPr>
          <w:rFonts w:hint="eastAsia" w:eastAsia="仿宋_GB2312"/>
          <w:color w:val="auto"/>
          <w:highlight w:val="none"/>
          <w:lang w:val="en-US" w:eastAsia="zh-CN"/>
        </w:rPr>
        <w:sectPr>
          <w:footerReference r:id="rId15" w:type="default"/>
          <w:pgSz w:w="16838" w:h="11906" w:orient="landscape"/>
          <w:pgMar w:top="1803" w:right="1440" w:bottom="1485" w:left="1276" w:header="851" w:footer="992" w:gutter="0"/>
          <w:pgNumType w:fmt="decimal"/>
          <w:cols w:space="0" w:num="1"/>
          <w:rtlGutter w:val="0"/>
          <w:docGrid w:type="linesAndChars" w:linePitch="319" w:charSpace="39"/>
        </w:sectPr>
      </w:pPr>
    </w:p>
    <w:p w14:paraId="1DEA6083">
      <w:pPr>
        <w:spacing w:line="380" w:lineRule="exact"/>
        <w:outlineLvl w:val="0"/>
        <w:rPr>
          <w:rFonts w:hint="eastAsia" w:ascii="仿宋_GB2312" w:hAnsi="仿宋_GB2312" w:eastAsia="仿宋_GB2312" w:cs="仿宋_GB2312"/>
          <w:color w:val="auto"/>
          <w:sz w:val="21"/>
          <w:szCs w:val="21"/>
          <w:highlight w:val="none"/>
        </w:rPr>
      </w:pPr>
      <w:bookmarkStart w:id="190" w:name="_Toc26186"/>
      <w:r>
        <w:rPr>
          <w:rFonts w:hint="eastAsia" w:ascii="仿宋_GB2312" w:hAnsi="仿宋_GB2312" w:eastAsia="仿宋_GB2312" w:cs="仿宋_GB2312"/>
          <w:color w:val="auto"/>
          <w:sz w:val="21"/>
          <w:szCs w:val="21"/>
          <w:highlight w:val="none"/>
        </w:rPr>
        <w:t>附录E.3  生产环境控制要求清单</w:t>
      </w:r>
      <w:bookmarkEnd w:id="190"/>
    </w:p>
    <w:p w14:paraId="4F26C244">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ind w:left="0" w:leftChars="0" w:firstLine="0" w:firstLineChars="0"/>
        <w:jc w:val="center"/>
        <w:textAlignment w:val="auto"/>
        <w:outlineLvl w:val="0"/>
        <w:rPr>
          <w:rFonts w:hint="eastAsia" w:ascii="仿宋_GB2312" w:hAnsi="仿宋_GB2312" w:eastAsia="仿宋_GB2312" w:cs="仿宋_GB2312"/>
          <w:b/>
          <w:bCs/>
          <w:color w:val="auto"/>
          <w:sz w:val="21"/>
          <w:szCs w:val="21"/>
          <w:highlight w:val="none"/>
        </w:rPr>
      </w:pPr>
      <w:bookmarkStart w:id="191" w:name="_Toc27387"/>
      <w:bookmarkStart w:id="192" w:name="_Toc7926"/>
      <w:bookmarkStart w:id="193" w:name="_Toc26057"/>
      <w:r>
        <w:rPr>
          <w:rFonts w:hint="eastAsia" w:ascii="仿宋_GB2312" w:hAnsi="仿宋_GB2312" w:eastAsia="仿宋_GB2312" w:cs="仿宋_GB2312"/>
          <w:b/>
          <w:bCs/>
          <w:color w:val="auto"/>
          <w:sz w:val="21"/>
          <w:szCs w:val="21"/>
          <w:highlight w:val="none"/>
        </w:rPr>
        <w:t>生产环境控制要求清单</w:t>
      </w:r>
      <w:bookmarkEnd w:id="191"/>
      <w:bookmarkEnd w:id="192"/>
      <w:bookmarkEnd w:id="193"/>
    </w:p>
    <w:tbl>
      <w:tblPr>
        <w:tblStyle w:val="8"/>
        <w:tblW w:w="8857" w:type="dxa"/>
        <w:tblInd w:w="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467"/>
        <w:gridCol w:w="5533"/>
      </w:tblGrid>
      <w:tr w14:paraId="3145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857" w:type="dxa"/>
            <w:noWrap w:val="0"/>
            <w:vAlign w:val="center"/>
          </w:tcPr>
          <w:p w14:paraId="516E01AA">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2467" w:type="dxa"/>
            <w:noWrap w:val="0"/>
            <w:vAlign w:val="center"/>
          </w:tcPr>
          <w:p w14:paraId="7D9B5B88">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生产场所</w:t>
            </w:r>
          </w:p>
        </w:tc>
        <w:tc>
          <w:tcPr>
            <w:tcW w:w="5533" w:type="dxa"/>
            <w:noWrap w:val="0"/>
            <w:vAlign w:val="center"/>
          </w:tcPr>
          <w:p w14:paraId="716D83E1">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环境控制要求</w:t>
            </w:r>
          </w:p>
        </w:tc>
      </w:tr>
      <w:tr w14:paraId="5C81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857" w:type="dxa"/>
            <w:noWrap w:val="0"/>
            <w:vAlign w:val="center"/>
          </w:tcPr>
          <w:p w14:paraId="6A1E5733">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2467" w:type="dxa"/>
            <w:noWrap w:val="0"/>
            <w:vAlign w:val="center"/>
          </w:tcPr>
          <w:p w14:paraId="45C4F2C3">
            <w:pPr>
              <w:adjustRightInd w:val="0"/>
              <w:spacing w:line="380" w:lineRule="exact"/>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电力能源事业部</w:t>
            </w:r>
          </w:p>
          <w:p w14:paraId="5C434A32">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highlight w:val="none"/>
                <w:lang w:val="en-US" w:eastAsia="zh-CN"/>
              </w:rPr>
              <w:t>（绞线）</w:t>
            </w:r>
          </w:p>
        </w:tc>
        <w:tc>
          <w:tcPr>
            <w:tcW w:w="5533" w:type="dxa"/>
            <w:noWrap w:val="0"/>
            <w:vAlign w:val="center"/>
          </w:tcPr>
          <w:p w14:paraId="085FD1EB">
            <w:pPr>
              <w:adjustRightInd w:val="0"/>
              <w:spacing w:line="380" w:lineRule="exact"/>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温度：环境温度为(-10～30)℃，相对湿度为不大于80%；</w:t>
            </w:r>
          </w:p>
          <w:p w14:paraId="6BEBBF0C">
            <w:pPr>
              <w:adjustRightInd w:val="0"/>
              <w:spacing w:line="380" w:lineRule="exact"/>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highlight w:val="none"/>
              </w:rPr>
              <w:t>洁净度：工作区域或设备应清洁干净，不得有灰尘、油污等污染半成品或成品。</w:t>
            </w:r>
          </w:p>
        </w:tc>
      </w:tr>
      <w:tr w14:paraId="3248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88" w:hRule="atLeast"/>
        </w:trPr>
        <w:tc>
          <w:tcPr>
            <w:tcW w:w="857" w:type="dxa"/>
            <w:noWrap w:val="0"/>
            <w:vAlign w:val="center"/>
          </w:tcPr>
          <w:p w14:paraId="6D85F675">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p>
        </w:tc>
        <w:tc>
          <w:tcPr>
            <w:tcW w:w="2467" w:type="dxa"/>
            <w:noWrap w:val="0"/>
            <w:vAlign w:val="center"/>
          </w:tcPr>
          <w:p w14:paraId="5CB4177C">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防务装备</w:t>
            </w:r>
            <w:r>
              <w:rPr>
                <w:rFonts w:hint="eastAsia" w:ascii="仿宋_GB2312" w:hAnsi="仿宋_GB2312" w:eastAsia="仿宋_GB2312" w:cs="仿宋_GB2312"/>
                <w:color w:val="auto"/>
                <w:highlight w:val="none"/>
              </w:rPr>
              <w:t>事业部</w:t>
            </w:r>
          </w:p>
          <w:p w14:paraId="60D62957">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（绕包绝缘、绕包屏蔽、绕包护套）</w:t>
            </w:r>
          </w:p>
        </w:tc>
        <w:tc>
          <w:tcPr>
            <w:tcW w:w="5533" w:type="dxa"/>
            <w:noWrap w:val="0"/>
            <w:vAlign w:val="center"/>
          </w:tcPr>
          <w:p w14:paraId="13097300">
            <w:pPr>
              <w:adjustRightInd w:val="0"/>
              <w:spacing w:line="38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温度：环境温度为(18～25)℃，相对湿度为不大于80%；</w:t>
            </w:r>
          </w:p>
          <w:p w14:paraId="4E41ED12">
            <w:pPr>
              <w:adjustRightInd w:val="0"/>
              <w:spacing w:line="38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洁净度：工作区域或设备应清洁干净，不得有灰尘、油污等污染半成品或成品。</w:t>
            </w:r>
          </w:p>
        </w:tc>
      </w:tr>
      <w:tr w14:paraId="3D3F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trPr>
        <w:tc>
          <w:tcPr>
            <w:tcW w:w="857" w:type="dxa"/>
            <w:noWrap w:val="0"/>
            <w:vAlign w:val="center"/>
          </w:tcPr>
          <w:p w14:paraId="5B1A67C9">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w:t>
            </w:r>
          </w:p>
        </w:tc>
        <w:tc>
          <w:tcPr>
            <w:tcW w:w="2467" w:type="dxa"/>
            <w:noWrap w:val="0"/>
            <w:vAlign w:val="center"/>
          </w:tcPr>
          <w:p w14:paraId="53FC1BEC">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防务装备</w:t>
            </w:r>
            <w:r>
              <w:rPr>
                <w:rFonts w:hint="eastAsia" w:ascii="仿宋_GB2312" w:hAnsi="仿宋_GB2312" w:eastAsia="仿宋_GB2312" w:cs="仿宋_GB2312"/>
                <w:color w:val="auto"/>
                <w:highlight w:val="none"/>
              </w:rPr>
              <w:t>事业部</w:t>
            </w:r>
          </w:p>
          <w:p w14:paraId="7771FD07">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（编织屏蔽、成圈、包装）</w:t>
            </w:r>
          </w:p>
        </w:tc>
        <w:tc>
          <w:tcPr>
            <w:tcW w:w="5533" w:type="dxa"/>
            <w:noWrap w:val="0"/>
            <w:vAlign w:val="center"/>
          </w:tcPr>
          <w:p w14:paraId="4A526964">
            <w:pPr>
              <w:adjustRightInd w:val="0"/>
              <w:spacing w:line="38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温度：环境温度为(-10～30)℃，相对湿度为不大于80%；</w:t>
            </w:r>
          </w:p>
          <w:p w14:paraId="412894DC">
            <w:pPr>
              <w:adjustRightInd w:val="0"/>
              <w:spacing w:line="38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洁净度：工作区域或设备应清洁干净，不得有灰尘、油污等污染半成品或成品。</w:t>
            </w:r>
          </w:p>
        </w:tc>
      </w:tr>
    </w:tbl>
    <w:p w14:paraId="22232C5A">
      <w:pPr>
        <w:rPr>
          <w:rFonts w:hint="eastAsia" w:ascii="仿宋_GB2312" w:hAnsi="仿宋_GB2312" w:eastAsia="仿宋_GB2312" w:cs="仿宋_GB2312"/>
          <w:color w:val="auto"/>
          <w:sz w:val="24"/>
          <w:szCs w:val="24"/>
          <w:highlight w:val="none"/>
          <w:lang w:val="en-US" w:eastAsia="zh-CN"/>
        </w:rPr>
        <w:sectPr>
          <w:footerReference r:id="rId16" w:type="default"/>
          <w:pgSz w:w="11906" w:h="16838"/>
          <w:pgMar w:top="1440" w:right="1485" w:bottom="1276" w:left="1803" w:header="851" w:footer="992" w:gutter="0"/>
          <w:pgNumType w:fmt="decimal" w:start="4"/>
          <w:cols w:space="0" w:num="1"/>
          <w:rtlGutter w:val="0"/>
          <w:docGrid w:type="linesAndChars" w:linePitch="319" w:charSpace="39"/>
        </w:sectPr>
      </w:pPr>
    </w:p>
    <w:p w14:paraId="687B418E">
      <w:pPr>
        <w:spacing w:before="0" w:after="0"/>
        <w:outlineLvl w:val="0"/>
        <w:rPr>
          <w:rFonts w:hint="eastAsia" w:ascii="仿宋_GB2312" w:hAnsi="仿宋_GB2312" w:eastAsia="仿宋_GB2312" w:cs="仿宋_GB2312"/>
          <w:color w:val="auto"/>
          <w:sz w:val="24"/>
          <w:szCs w:val="28"/>
          <w:highlight w:val="none"/>
        </w:rPr>
      </w:pPr>
      <w:bookmarkStart w:id="194" w:name="_Toc3885"/>
      <w:r>
        <w:rPr>
          <w:rFonts w:hint="eastAsia" w:ascii="仿宋_GB2312" w:hAnsi="仿宋_GB2312" w:eastAsia="仿宋_GB2312" w:cs="仿宋_GB2312"/>
          <w:color w:val="auto"/>
          <w:sz w:val="21"/>
          <w:szCs w:val="21"/>
          <w:highlight w:val="none"/>
        </w:rPr>
        <w:t>附录E.4  关键原材料清单</w:t>
      </w:r>
      <w:bookmarkEnd w:id="194"/>
    </w:p>
    <w:p w14:paraId="0CD979FA">
      <w:pPr>
        <w:keepNext w:val="0"/>
        <w:keepLines w:val="0"/>
        <w:pageBreakBefore w:val="0"/>
        <w:widowControl w:val="0"/>
        <w:kinsoku/>
        <w:wordWrap/>
        <w:overflowPunct/>
        <w:topLinePunct w:val="0"/>
        <w:autoSpaceDE/>
        <w:autoSpaceDN/>
        <w:bidi w:val="0"/>
        <w:adjustRightInd/>
        <w:snapToGrid/>
        <w:spacing w:before="0" w:after="161" w:afterLines="50" w:line="240" w:lineRule="exact"/>
        <w:ind w:left="0" w:firstLine="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关 键 原 材 料 清 单</w:t>
      </w:r>
    </w:p>
    <w:p w14:paraId="703E1CA5">
      <w:pPr>
        <w:rPr>
          <w:rFonts w:hint="eastAsia" w:eastAsia="仿宋_GB2312"/>
          <w:color w:val="auto"/>
          <w:highlight w:val="none"/>
          <w:lang w:val="en-US" w:eastAsia="zh-CN"/>
        </w:rPr>
      </w:pPr>
    </w:p>
    <w:tbl>
      <w:tblPr>
        <w:tblStyle w:val="8"/>
        <w:tblW w:w="14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443"/>
        <w:gridCol w:w="1142"/>
        <w:gridCol w:w="1965"/>
        <w:gridCol w:w="1875"/>
        <w:gridCol w:w="1824"/>
        <w:gridCol w:w="1862"/>
        <w:gridCol w:w="3474"/>
      </w:tblGrid>
      <w:tr w14:paraId="2BB6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0" w:type="dxa"/>
            <w:noWrap w:val="0"/>
            <w:vAlign w:val="center"/>
          </w:tcPr>
          <w:p w14:paraId="48BC7DDD">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1443" w:type="dxa"/>
            <w:noWrap w:val="0"/>
            <w:vAlign w:val="center"/>
          </w:tcPr>
          <w:p w14:paraId="563E2420">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原材料名称</w:t>
            </w:r>
          </w:p>
        </w:tc>
        <w:tc>
          <w:tcPr>
            <w:tcW w:w="1142" w:type="dxa"/>
            <w:noWrap w:val="0"/>
            <w:vAlign w:val="center"/>
          </w:tcPr>
          <w:p w14:paraId="1D8CB679">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型号</w:t>
            </w:r>
          </w:p>
        </w:tc>
        <w:tc>
          <w:tcPr>
            <w:tcW w:w="1965" w:type="dxa"/>
            <w:noWrap w:val="0"/>
            <w:vAlign w:val="center"/>
          </w:tcPr>
          <w:p w14:paraId="5C144E78">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1875" w:type="dxa"/>
            <w:noWrap w:val="0"/>
            <w:vAlign w:val="center"/>
          </w:tcPr>
          <w:p w14:paraId="4FA81551">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采购规范</w:t>
            </w:r>
          </w:p>
        </w:tc>
        <w:tc>
          <w:tcPr>
            <w:tcW w:w="1824" w:type="dxa"/>
            <w:noWrap w:val="0"/>
            <w:vAlign w:val="center"/>
          </w:tcPr>
          <w:p w14:paraId="68C6461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4"/>
                <w:szCs w:val="24"/>
                <w:highlight w:val="none"/>
                <w:lang w:eastAsia="zh-CN"/>
              </w:rPr>
              <w:t>合格供方</w:t>
            </w:r>
            <w:r>
              <w:rPr>
                <w:rFonts w:hint="eastAsia" w:ascii="仿宋_GB2312" w:hAnsi="仿宋_GB2312" w:eastAsia="仿宋_GB2312" w:cs="仿宋_GB2312"/>
                <w:color w:val="auto"/>
                <w:sz w:val="21"/>
                <w:szCs w:val="21"/>
                <w:highlight w:val="none"/>
              </w:rPr>
              <w:t>名称</w:t>
            </w:r>
          </w:p>
          <w:p w14:paraId="619935F5">
            <w:pPr>
              <w:adjustRightInd w:val="0"/>
              <w:spacing w:line="38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cs="仿宋_GB2312"/>
                <w:color w:val="auto"/>
                <w:sz w:val="21"/>
                <w:szCs w:val="21"/>
                <w:highlight w:val="none"/>
                <w:lang w:eastAsia="zh-CN"/>
              </w:rPr>
              <w:t>（生产</w:t>
            </w:r>
            <w:r>
              <w:rPr>
                <w:rFonts w:hint="eastAsia" w:ascii="仿宋_GB2312" w:hAnsi="仿宋_GB2312" w:eastAsia="仿宋_GB2312" w:cs="仿宋_GB2312"/>
                <w:color w:val="auto"/>
                <w:sz w:val="21"/>
                <w:szCs w:val="21"/>
                <w:highlight w:val="none"/>
              </w:rPr>
              <w:t>厂</w:t>
            </w:r>
            <w:r>
              <w:rPr>
                <w:rFonts w:hint="eastAsia" w:ascii="仿宋_GB2312" w:hAnsi="仿宋_GB2312" w:cs="仿宋_GB2312"/>
                <w:color w:val="auto"/>
                <w:sz w:val="21"/>
                <w:szCs w:val="21"/>
                <w:highlight w:val="none"/>
                <w:lang w:eastAsia="zh-CN"/>
              </w:rPr>
              <w:t>家）</w:t>
            </w:r>
          </w:p>
        </w:tc>
        <w:tc>
          <w:tcPr>
            <w:tcW w:w="1862" w:type="dxa"/>
            <w:noWrap w:val="0"/>
            <w:vAlign w:val="center"/>
          </w:tcPr>
          <w:p w14:paraId="54B228F6">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进厂检验规范</w:t>
            </w:r>
          </w:p>
        </w:tc>
        <w:tc>
          <w:tcPr>
            <w:tcW w:w="3474" w:type="dxa"/>
            <w:noWrap w:val="0"/>
            <w:vAlign w:val="center"/>
          </w:tcPr>
          <w:p w14:paraId="6937A37B">
            <w:pPr>
              <w:adjustRightInd w:val="0"/>
              <w:spacing w:line="38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储存条件</w:t>
            </w:r>
          </w:p>
        </w:tc>
      </w:tr>
      <w:tr w14:paraId="72EF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6" w:hRule="atLeast"/>
          <w:jc w:val="center"/>
        </w:trPr>
        <w:tc>
          <w:tcPr>
            <w:tcW w:w="700" w:type="dxa"/>
            <w:noWrap w:val="0"/>
            <w:vAlign w:val="center"/>
          </w:tcPr>
          <w:p w14:paraId="07C47723">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1443" w:type="dxa"/>
            <w:noWrap w:val="0"/>
            <w:vAlign w:val="center"/>
          </w:tcPr>
          <w:p w14:paraId="4E31CF08">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镀银圆铜单线</w:t>
            </w:r>
          </w:p>
        </w:tc>
        <w:tc>
          <w:tcPr>
            <w:tcW w:w="1142" w:type="dxa"/>
            <w:noWrap w:val="0"/>
            <w:vAlign w:val="center"/>
          </w:tcPr>
          <w:p w14:paraId="79730B3F">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TRY</w:t>
            </w:r>
          </w:p>
        </w:tc>
        <w:tc>
          <w:tcPr>
            <w:tcW w:w="1965" w:type="dxa"/>
            <w:noWrap w:val="0"/>
            <w:vAlign w:val="center"/>
          </w:tcPr>
          <w:p w14:paraId="142962AB">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ϕ0.2、ϕ0.10</w:t>
            </w:r>
          </w:p>
        </w:tc>
        <w:tc>
          <w:tcPr>
            <w:tcW w:w="1875" w:type="dxa"/>
            <w:noWrap w:val="0"/>
            <w:vAlign w:val="center"/>
          </w:tcPr>
          <w:p w14:paraId="58787338">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Q/XC 2010A-2019</w:t>
            </w:r>
          </w:p>
        </w:tc>
        <w:tc>
          <w:tcPr>
            <w:tcW w:w="1824" w:type="dxa"/>
            <w:noWrap w:val="0"/>
            <w:vAlign w:val="center"/>
          </w:tcPr>
          <w:p w14:paraId="15B274BA">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常州恒丰特导股份有限公司</w:t>
            </w:r>
          </w:p>
        </w:tc>
        <w:tc>
          <w:tcPr>
            <w:tcW w:w="1862" w:type="dxa"/>
            <w:noWrap w:val="0"/>
            <w:vAlign w:val="center"/>
          </w:tcPr>
          <w:p w14:paraId="2B768ABC">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JB/T 3135-2011</w:t>
            </w:r>
          </w:p>
        </w:tc>
        <w:tc>
          <w:tcPr>
            <w:tcW w:w="3474" w:type="dxa"/>
            <w:vMerge w:val="restart"/>
            <w:noWrap w:val="0"/>
            <w:vAlign w:val="center"/>
          </w:tcPr>
          <w:p w14:paraId="237BDF1A">
            <w:pPr>
              <w:adjustRightInd w:val="0"/>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、储存过程必须确保包装物的完好，不允许产品直接裸露在空气中，对于未使用完或暂时不用的产品必须及时包装，金属材料包装时必须在里层加牛皮纸；</w:t>
            </w:r>
          </w:p>
          <w:p w14:paraId="1269BA4F">
            <w:pPr>
              <w:adjustRightInd w:val="0"/>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、储存和生产过程避免产品与硫化物接触，杜绝该类化合物对产品的直接损伤；</w:t>
            </w:r>
          </w:p>
          <w:p w14:paraId="39096C07">
            <w:pPr>
              <w:adjustRightInd w:val="0"/>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、储存过程中严禁将产品置于酸、碱环境中，避免强光直射，避免液体浸入；</w:t>
            </w:r>
          </w:p>
          <w:p w14:paraId="4D18093D">
            <w:pPr>
              <w:adjustRightInd w:val="0"/>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4</w:t>
            </w:r>
            <w:r>
              <w:rPr>
                <w:rFonts w:hint="eastAsia" w:ascii="仿宋_GB2312" w:hAnsi="仿宋_GB2312" w:eastAsia="仿宋_GB2312" w:cs="仿宋_GB2312"/>
                <w:color w:val="auto"/>
                <w:highlight w:val="none"/>
              </w:rPr>
              <w:t>、贮存地应干燥、通风、避光；</w:t>
            </w:r>
          </w:p>
          <w:p w14:paraId="10D175FE">
            <w:pPr>
              <w:adjustRightInd w:val="0"/>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rPr>
              <w:t>、上述条件下镀银铜线、镀银铜带贮存期为120天。</w:t>
            </w:r>
          </w:p>
        </w:tc>
      </w:tr>
      <w:tr w14:paraId="2978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700" w:type="dxa"/>
            <w:noWrap w:val="0"/>
            <w:vAlign w:val="center"/>
          </w:tcPr>
          <w:p w14:paraId="70144A24">
            <w:pPr>
              <w:adjustRightInd w:val="0"/>
              <w:spacing w:line="38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p>
        </w:tc>
        <w:tc>
          <w:tcPr>
            <w:tcW w:w="1443" w:type="dxa"/>
            <w:noWrap w:val="0"/>
            <w:vAlign w:val="center"/>
          </w:tcPr>
          <w:p w14:paraId="3F7E477D">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镀银铜带</w:t>
            </w:r>
          </w:p>
        </w:tc>
        <w:tc>
          <w:tcPr>
            <w:tcW w:w="1142" w:type="dxa"/>
            <w:noWrap w:val="0"/>
            <w:vAlign w:val="center"/>
          </w:tcPr>
          <w:p w14:paraId="75122D1D">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2μm</w:t>
            </w:r>
          </w:p>
        </w:tc>
        <w:tc>
          <w:tcPr>
            <w:tcW w:w="1965" w:type="dxa"/>
            <w:noWrap w:val="0"/>
            <w:vAlign w:val="center"/>
          </w:tcPr>
          <w:p w14:paraId="4217583B">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2.3/0.05</w:t>
            </w:r>
          </w:p>
        </w:tc>
        <w:tc>
          <w:tcPr>
            <w:tcW w:w="1875" w:type="dxa"/>
            <w:noWrap w:val="0"/>
            <w:vAlign w:val="center"/>
          </w:tcPr>
          <w:p w14:paraId="118C6BC5">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Q/XC 2010A-2019</w:t>
            </w:r>
          </w:p>
        </w:tc>
        <w:tc>
          <w:tcPr>
            <w:tcW w:w="1824" w:type="dxa"/>
            <w:noWrap w:val="0"/>
            <w:vAlign w:val="center"/>
          </w:tcPr>
          <w:p w14:paraId="01593C94">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常州鸿德科技有限公司</w:t>
            </w:r>
          </w:p>
        </w:tc>
        <w:tc>
          <w:tcPr>
            <w:tcW w:w="1862" w:type="dxa"/>
            <w:noWrap w:val="0"/>
            <w:vAlign w:val="center"/>
          </w:tcPr>
          <w:p w14:paraId="4AE497FD">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ZZR-Q/XC 20048-2017</w:t>
            </w:r>
          </w:p>
        </w:tc>
        <w:tc>
          <w:tcPr>
            <w:tcW w:w="3474" w:type="dxa"/>
            <w:vMerge w:val="continue"/>
            <w:noWrap w:val="0"/>
            <w:vAlign w:val="center"/>
          </w:tcPr>
          <w:p w14:paraId="5B78E92F">
            <w:pPr>
              <w:adjustRightInd w:val="0"/>
              <w:spacing w:line="380" w:lineRule="exact"/>
              <w:rPr>
                <w:rFonts w:hint="eastAsia" w:ascii="仿宋_GB2312" w:hAnsi="仿宋_GB2312" w:eastAsia="仿宋_GB2312" w:cs="仿宋_GB2312"/>
                <w:color w:val="auto"/>
                <w:highlight w:val="none"/>
              </w:rPr>
            </w:pPr>
          </w:p>
        </w:tc>
      </w:tr>
      <w:tr w14:paraId="7D8C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700" w:type="dxa"/>
            <w:vMerge w:val="restart"/>
            <w:noWrap w:val="0"/>
            <w:vAlign w:val="center"/>
          </w:tcPr>
          <w:p w14:paraId="386D86BA">
            <w:pPr>
              <w:adjustRightInd w:val="0"/>
              <w:spacing w:line="380" w:lineRule="exact"/>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w:t>
            </w:r>
          </w:p>
        </w:tc>
        <w:tc>
          <w:tcPr>
            <w:tcW w:w="1443" w:type="dxa"/>
            <w:vMerge w:val="restart"/>
            <w:noWrap w:val="0"/>
            <w:vAlign w:val="center"/>
          </w:tcPr>
          <w:p w14:paraId="4BF1A777">
            <w:pPr>
              <w:adjustRightInd w:val="0"/>
              <w:spacing w:line="32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微孔聚四氟乙烯绕包带</w:t>
            </w:r>
          </w:p>
          <w:p w14:paraId="5DCAC134">
            <w:pPr>
              <w:adjustRightInd w:val="0"/>
              <w:spacing w:line="320" w:lineRule="exact"/>
              <w:jc w:val="center"/>
              <w:rPr>
                <w:rFonts w:hint="eastAsia" w:ascii="仿宋_GB2312" w:hAnsi="仿宋_GB2312" w:eastAsia="仿宋_GB2312" w:cs="仿宋_GB2312"/>
                <w:color w:val="auto"/>
                <w:kern w:val="2"/>
                <w:sz w:val="21"/>
                <w:szCs w:val="21"/>
                <w:highlight w:val="none"/>
                <w:lang w:val="en-US" w:eastAsia="zh-CN" w:bidi="ar-SA"/>
              </w:rPr>
            </w:pPr>
          </w:p>
        </w:tc>
        <w:tc>
          <w:tcPr>
            <w:tcW w:w="1142" w:type="dxa"/>
            <w:noWrap w:val="0"/>
            <w:vAlign w:val="center"/>
          </w:tcPr>
          <w:p w14:paraId="5A668197">
            <w:pPr>
              <w:jc w:val="center"/>
              <w:rPr>
                <w:rFonts w:hint="eastAsia" w:ascii="仿宋_GB2312" w:hAnsi="仿宋_GB2312" w:eastAsia="仿宋_GB2312" w:cs="仿宋_GB2312"/>
                <w:color w:val="auto"/>
                <w:kern w:val="2"/>
                <w:sz w:val="21"/>
                <w:szCs w:val="21"/>
                <w:highlight w:val="none"/>
                <w:vertAlign w:val="superscript"/>
                <w:lang w:val="en-US" w:eastAsia="zh-CN" w:bidi="ar-SA"/>
              </w:rPr>
            </w:pPr>
            <w:r>
              <w:rPr>
                <w:rFonts w:hint="eastAsia" w:ascii="仿宋_GB2312" w:hAnsi="仿宋_GB2312" w:eastAsia="仿宋_GB2312" w:cs="仿宋_GB2312"/>
                <w:color w:val="auto"/>
                <w:highlight w:val="none"/>
              </w:rPr>
              <w:t>0.7g/cm</w:t>
            </w:r>
            <w:r>
              <w:rPr>
                <w:rFonts w:hint="eastAsia" w:ascii="仿宋_GB2312" w:hAnsi="仿宋_GB2312" w:eastAsia="仿宋_GB2312" w:cs="仿宋_GB2312"/>
                <w:color w:val="auto"/>
                <w:highlight w:val="none"/>
                <w:vertAlign w:val="superscript"/>
              </w:rPr>
              <w:t>3</w:t>
            </w:r>
          </w:p>
        </w:tc>
        <w:tc>
          <w:tcPr>
            <w:tcW w:w="1965" w:type="dxa"/>
            <w:noWrap w:val="0"/>
            <w:vAlign w:val="center"/>
          </w:tcPr>
          <w:p w14:paraId="419993A3">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8/0.127、13/0.127</w:t>
            </w:r>
          </w:p>
        </w:tc>
        <w:tc>
          <w:tcPr>
            <w:tcW w:w="1875" w:type="dxa"/>
            <w:vMerge w:val="restart"/>
            <w:noWrap w:val="0"/>
            <w:vAlign w:val="center"/>
          </w:tcPr>
          <w:p w14:paraId="7ACFC392">
            <w:pPr>
              <w:jc w:val="center"/>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highlight w:val="none"/>
              </w:rPr>
              <w:t>Q/XC 2010A-2019</w:t>
            </w:r>
          </w:p>
        </w:tc>
        <w:tc>
          <w:tcPr>
            <w:tcW w:w="1824" w:type="dxa"/>
            <w:vMerge w:val="restart"/>
            <w:noWrap w:val="0"/>
            <w:vAlign w:val="center"/>
          </w:tcPr>
          <w:p w14:paraId="7E7C3F6A">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lang w:val="en-US" w:eastAsia="zh-CN"/>
              </w:rPr>
              <w:t>深圳市富程威科技股份有限公司</w:t>
            </w:r>
          </w:p>
        </w:tc>
        <w:tc>
          <w:tcPr>
            <w:tcW w:w="1862" w:type="dxa"/>
            <w:vMerge w:val="restart"/>
            <w:noWrap w:val="0"/>
            <w:vAlign w:val="center"/>
          </w:tcPr>
          <w:p w14:paraId="54B40B8B">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GJB 973A-2004</w:t>
            </w:r>
          </w:p>
        </w:tc>
        <w:tc>
          <w:tcPr>
            <w:tcW w:w="3474" w:type="dxa"/>
            <w:vMerge w:val="restart"/>
            <w:noWrap w:val="0"/>
            <w:vAlign w:val="center"/>
          </w:tcPr>
          <w:p w14:paraId="5D28C261">
            <w:pPr>
              <w:adjustRightInd w:val="0"/>
              <w:spacing w:line="38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储存产品的环境温度在18-27℃范围内，湿度不大于80%；</w:t>
            </w:r>
          </w:p>
        </w:tc>
      </w:tr>
      <w:tr w14:paraId="2760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00" w:type="dxa"/>
            <w:vMerge w:val="continue"/>
            <w:noWrap w:val="0"/>
            <w:vAlign w:val="center"/>
          </w:tcPr>
          <w:p w14:paraId="055C341E">
            <w:pPr>
              <w:adjustRightInd w:val="0"/>
              <w:spacing w:line="380" w:lineRule="exact"/>
              <w:jc w:val="center"/>
              <w:rPr>
                <w:rFonts w:hint="eastAsia" w:ascii="仿宋_GB2312" w:hAnsi="仿宋_GB2312" w:eastAsia="仿宋_GB2312" w:cs="仿宋_GB2312"/>
                <w:color w:val="auto"/>
                <w:highlight w:val="none"/>
              </w:rPr>
            </w:pPr>
          </w:p>
        </w:tc>
        <w:tc>
          <w:tcPr>
            <w:tcW w:w="1443" w:type="dxa"/>
            <w:vMerge w:val="continue"/>
            <w:noWrap w:val="0"/>
            <w:vAlign w:val="center"/>
          </w:tcPr>
          <w:p w14:paraId="324E3600">
            <w:pPr>
              <w:adjustRightInd w:val="0"/>
              <w:spacing w:line="320" w:lineRule="exact"/>
              <w:jc w:val="center"/>
              <w:rPr>
                <w:rFonts w:hint="eastAsia" w:ascii="仿宋_GB2312" w:hAnsi="仿宋_GB2312" w:eastAsia="仿宋_GB2312" w:cs="仿宋_GB2312"/>
                <w:color w:val="auto"/>
                <w:kern w:val="2"/>
                <w:sz w:val="21"/>
                <w:szCs w:val="21"/>
                <w:highlight w:val="none"/>
                <w:lang w:val="en-US" w:eastAsia="zh-CN" w:bidi="ar-SA"/>
              </w:rPr>
            </w:pPr>
          </w:p>
        </w:tc>
        <w:tc>
          <w:tcPr>
            <w:tcW w:w="1142" w:type="dxa"/>
            <w:noWrap w:val="0"/>
            <w:vAlign w:val="center"/>
          </w:tcPr>
          <w:p w14:paraId="5EA25FA8">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1.6g/cm</w:t>
            </w:r>
            <w:r>
              <w:rPr>
                <w:rFonts w:hint="eastAsia" w:ascii="仿宋_GB2312" w:hAnsi="仿宋_GB2312" w:eastAsia="仿宋_GB2312" w:cs="仿宋_GB2312"/>
                <w:color w:val="auto"/>
                <w:highlight w:val="none"/>
                <w:vertAlign w:val="superscript"/>
              </w:rPr>
              <w:t>3</w:t>
            </w:r>
          </w:p>
        </w:tc>
        <w:tc>
          <w:tcPr>
            <w:tcW w:w="1965" w:type="dxa"/>
            <w:noWrap w:val="0"/>
            <w:vAlign w:val="center"/>
          </w:tcPr>
          <w:p w14:paraId="104C3BD8">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13/0.127、13/0.076</w:t>
            </w:r>
          </w:p>
        </w:tc>
        <w:tc>
          <w:tcPr>
            <w:tcW w:w="1875" w:type="dxa"/>
            <w:vMerge w:val="continue"/>
            <w:noWrap w:val="0"/>
            <w:vAlign w:val="center"/>
          </w:tcPr>
          <w:p w14:paraId="51BC1FF0">
            <w:pPr>
              <w:jc w:val="center"/>
              <w:rPr>
                <w:rFonts w:hint="eastAsia" w:ascii="仿宋_GB2312" w:hAnsi="仿宋_GB2312" w:eastAsia="仿宋_GB2312" w:cs="仿宋_GB2312"/>
                <w:color w:val="auto"/>
                <w:highlight w:val="none"/>
              </w:rPr>
            </w:pPr>
          </w:p>
        </w:tc>
        <w:tc>
          <w:tcPr>
            <w:tcW w:w="1824" w:type="dxa"/>
            <w:vMerge w:val="continue"/>
            <w:noWrap w:val="0"/>
            <w:vAlign w:val="center"/>
          </w:tcPr>
          <w:p w14:paraId="2AA63D77">
            <w:pPr>
              <w:adjustRightInd w:val="0"/>
              <w:spacing w:line="380" w:lineRule="exact"/>
              <w:jc w:val="center"/>
              <w:rPr>
                <w:rFonts w:hint="eastAsia" w:ascii="仿宋_GB2312" w:hAnsi="仿宋_GB2312" w:eastAsia="仿宋_GB2312" w:cs="仿宋_GB2312"/>
                <w:color w:val="auto"/>
                <w:highlight w:val="none"/>
              </w:rPr>
            </w:pPr>
          </w:p>
        </w:tc>
        <w:tc>
          <w:tcPr>
            <w:tcW w:w="1862" w:type="dxa"/>
            <w:vMerge w:val="continue"/>
            <w:noWrap w:val="0"/>
            <w:vAlign w:val="center"/>
          </w:tcPr>
          <w:p w14:paraId="4113CF89">
            <w:pPr>
              <w:adjustRightInd w:val="0"/>
              <w:spacing w:line="380" w:lineRule="exact"/>
              <w:jc w:val="center"/>
              <w:rPr>
                <w:rFonts w:hint="eastAsia" w:ascii="仿宋_GB2312" w:hAnsi="仿宋_GB2312" w:eastAsia="仿宋_GB2312" w:cs="仿宋_GB2312"/>
                <w:color w:val="auto"/>
                <w:highlight w:val="none"/>
              </w:rPr>
            </w:pPr>
          </w:p>
        </w:tc>
        <w:tc>
          <w:tcPr>
            <w:tcW w:w="3474" w:type="dxa"/>
            <w:vMerge w:val="continue"/>
            <w:noWrap w:val="0"/>
            <w:vAlign w:val="center"/>
          </w:tcPr>
          <w:p w14:paraId="6E4B10F0">
            <w:pPr>
              <w:adjustRightInd w:val="0"/>
              <w:spacing w:line="380" w:lineRule="exact"/>
              <w:rPr>
                <w:rFonts w:hint="eastAsia" w:ascii="仿宋_GB2312" w:hAnsi="仿宋_GB2312" w:eastAsia="仿宋_GB2312" w:cs="仿宋_GB2312"/>
                <w:color w:val="auto"/>
                <w:highlight w:val="none"/>
              </w:rPr>
            </w:pPr>
          </w:p>
        </w:tc>
      </w:tr>
    </w:tbl>
    <w:p w14:paraId="5120F486">
      <w:pPr>
        <w:tabs>
          <w:tab w:val="left" w:pos="13223"/>
        </w:tabs>
        <w:bidi w:val="0"/>
        <w:jc w:val="left"/>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ab/>
      </w:r>
    </w:p>
    <w:p w14:paraId="3EA9E251">
      <w:pP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br w:type="page"/>
      </w:r>
    </w:p>
    <w:p w14:paraId="06FE3B1D">
      <w:pPr>
        <w:spacing w:afterLines="50" w:line="380" w:lineRule="exact"/>
        <w:outlineLvl w:val="0"/>
        <w:rPr>
          <w:rFonts w:hint="eastAsia" w:ascii="仿宋_GB2312" w:hAnsi="仿宋_GB2312" w:eastAsia="仿宋_GB2312" w:cs="仿宋_GB2312"/>
          <w:color w:val="auto"/>
          <w:sz w:val="21"/>
          <w:szCs w:val="21"/>
          <w:highlight w:val="none"/>
        </w:rPr>
      </w:pPr>
      <w:bookmarkStart w:id="195" w:name="_Toc20489"/>
      <w:r>
        <w:rPr>
          <w:rFonts w:hint="eastAsia" w:ascii="仿宋_GB2312" w:hAnsi="仿宋_GB2312" w:eastAsia="仿宋_GB2312" w:cs="仿宋_GB2312"/>
          <w:color w:val="auto"/>
          <w:sz w:val="21"/>
          <w:szCs w:val="21"/>
          <w:highlight w:val="none"/>
        </w:rPr>
        <w:t>附录E.5  生产设备清单</w:t>
      </w:r>
      <w:bookmarkEnd w:id="195"/>
    </w:p>
    <w:p w14:paraId="7DB1889E">
      <w:pPr>
        <w:spacing w:afterLines="50" w:line="380" w:lineRule="exact"/>
        <w:jc w:val="center"/>
        <w:outlineLvl w:val="0"/>
        <w:rPr>
          <w:rFonts w:hint="eastAsia" w:ascii="仿宋_GB2312" w:hAnsi="仿宋_GB2312" w:eastAsia="仿宋_GB2312" w:cs="仿宋_GB2312"/>
          <w:b/>
          <w:bCs/>
          <w:color w:val="auto"/>
          <w:sz w:val="21"/>
          <w:szCs w:val="21"/>
          <w:highlight w:val="none"/>
        </w:rPr>
      </w:pPr>
      <w:bookmarkStart w:id="196" w:name="_Toc30816"/>
      <w:bookmarkStart w:id="197" w:name="_Toc27854"/>
      <w:bookmarkStart w:id="198" w:name="_Toc22636"/>
      <w:r>
        <w:rPr>
          <w:rFonts w:hint="eastAsia" w:ascii="仿宋_GB2312" w:hAnsi="仿宋_GB2312" w:eastAsia="仿宋_GB2312" w:cs="仿宋_GB2312"/>
          <w:b/>
          <w:bCs/>
          <w:color w:val="auto"/>
          <w:sz w:val="21"/>
          <w:szCs w:val="21"/>
          <w:highlight w:val="none"/>
          <w:lang w:eastAsia="zh-CN"/>
        </w:rPr>
        <w:t>电力能源事业部</w:t>
      </w:r>
      <w:r>
        <w:rPr>
          <w:rFonts w:hint="eastAsia" w:ascii="仿宋_GB2312" w:hAnsi="仿宋_GB2312" w:eastAsia="仿宋_GB2312" w:cs="仿宋_GB2312"/>
          <w:b/>
          <w:bCs/>
          <w:color w:val="auto"/>
          <w:sz w:val="21"/>
          <w:szCs w:val="21"/>
          <w:highlight w:val="none"/>
        </w:rPr>
        <w:t>生产设备清单</w:t>
      </w:r>
      <w:bookmarkEnd w:id="196"/>
      <w:bookmarkEnd w:id="197"/>
      <w:bookmarkEnd w:id="198"/>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70"/>
        <w:gridCol w:w="1799"/>
        <w:gridCol w:w="1417"/>
        <w:gridCol w:w="2552"/>
        <w:gridCol w:w="2737"/>
        <w:gridCol w:w="1498"/>
        <w:gridCol w:w="1842"/>
      </w:tblGrid>
      <w:tr w14:paraId="7CF9AE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09" w:type="dxa"/>
            <w:tcBorders>
              <w:top w:val="single" w:color="auto" w:sz="4" w:space="0"/>
              <w:left w:val="single" w:color="auto" w:sz="4" w:space="0"/>
            </w:tcBorders>
            <w:noWrap w:val="0"/>
            <w:vAlign w:val="center"/>
          </w:tcPr>
          <w:p w14:paraId="61128267">
            <w:pPr>
              <w:widowControl/>
              <w:jc w:val="center"/>
              <w:rPr>
                <w:rFonts w:hint="eastAsia" w:ascii="楷体_GB2312" w:hAnsi="楷体_GB2312" w:eastAsia="楷体_GB2312" w:cs="楷体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序号</w:t>
            </w:r>
          </w:p>
        </w:tc>
        <w:tc>
          <w:tcPr>
            <w:tcW w:w="1670" w:type="dxa"/>
            <w:tcBorders>
              <w:top w:val="single" w:color="auto" w:sz="4" w:space="0"/>
              <w:bottom w:val="single" w:color="auto" w:sz="4" w:space="0"/>
            </w:tcBorders>
            <w:noWrap w:val="0"/>
            <w:vAlign w:val="center"/>
          </w:tcPr>
          <w:p w14:paraId="4EF33397">
            <w:pPr>
              <w:widowControl/>
              <w:jc w:val="center"/>
              <w:rPr>
                <w:rFonts w:hint="eastAsia" w:ascii="楷体_GB2312" w:hAnsi="楷体_GB2312" w:eastAsia="楷体_GB2312" w:cs="楷体_GB2312"/>
                <w:bCs/>
                <w:color w:val="auto"/>
                <w:kern w:val="0"/>
                <w:sz w:val="21"/>
                <w:szCs w:val="21"/>
                <w:highlight w:val="none"/>
                <w:lang w:val="en-US" w:eastAsia="zh-CN"/>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799" w:type="dxa"/>
            <w:tcBorders>
              <w:top w:val="single" w:color="auto" w:sz="4" w:space="0"/>
            </w:tcBorders>
            <w:noWrap w:val="0"/>
            <w:vAlign w:val="center"/>
          </w:tcPr>
          <w:p w14:paraId="57326D25">
            <w:pPr>
              <w:widowControl/>
              <w:jc w:val="center"/>
              <w:rPr>
                <w:rFonts w:hint="eastAsia" w:ascii="楷体_GB2312" w:hAnsi="楷体_GB2312" w:eastAsia="楷体_GB2312" w:cs="楷体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设备编号</w:t>
            </w:r>
          </w:p>
        </w:tc>
        <w:tc>
          <w:tcPr>
            <w:tcW w:w="1417" w:type="dxa"/>
            <w:tcBorders>
              <w:top w:val="single" w:color="auto" w:sz="4" w:space="0"/>
            </w:tcBorders>
            <w:noWrap w:val="0"/>
            <w:vAlign w:val="center"/>
          </w:tcPr>
          <w:p w14:paraId="04ABC29A">
            <w:pPr>
              <w:widowControl/>
              <w:jc w:val="center"/>
              <w:rPr>
                <w:rFonts w:hint="eastAsia" w:ascii="楷体_GB2312" w:hAnsi="楷体_GB2312" w:eastAsia="楷体_GB2312" w:cs="楷体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生产工序</w:t>
            </w:r>
          </w:p>
        </w:tc>
        <w:tc>
          <w:tcPr>
            <w:tcW w:w="2552" w:type="dxa"/>
            <w:tcBorders>
              <w:top w:val="single" w:color="auto" w:sz="4" w:space="0"/>
            </w:tcBorders>
            <w:noWrap w:val="0"/>
            <w:vAlign w:val="center"/>
          </w:tcPr>
          <w:p w14:paraId="0ACA87DD">
            <w:pPr>
              <w:widowControl/>
              <w:jc w:val="center"/>
              <w:rPr>
                <w:rFonts w:hint="eastAsia" w:ascii="楷体_GB2312" w:hAnsi="楷体_GB2312" w:eastAsia="楷体_GB2312" w:cs="楷体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设备能力</w:t>
            </w:r>
          </w:p>
        </w:tc>
        <w:tc>
          <w:tcPr>
            <w:tcW w:w="2737" w:type="dxa"/>
            <w:tcBorders>
              <w:top w:val="single" w:color="auto" w:sz="4" w:space="0"/>
            </w:tcBorders>
            <w:noWrap w:val="0"/>
            <w:vAlign w:val="center"/>
          </w:tcPr>
          <w:p w14:paraId="53DFE27D">
            <w:pPr>
              <w:widowControl/>
              <w:jc w:val="center"/>
              <w:rPr>
                <w:rFonts w:hint="eastAsia" w:ascii="楷体_GB2312" w:hAnsi="楷体_GB2312" w:eastAsia="楷体_GB2312" w:cs="楷体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工艺要求</w:t>
            </w:r>
          </w:p>
        </w:tc>
        <w:tc>
          <w:tcPr>
            <w:tcW w:w="1498" w:type="dxa"/>
            <w:tcBorders>
              <w:top w:val="single" w:color="auto" w:sz="4" w:space="0"/>
            </w:tcBorders>
            <w:noWrap w:val="0"/>
            <w:vAlign w:val="center"/>
          </w:tcPr>
          <w:p w14:paraId="0812701A">
            <w:pPr>
              <w:widowControl/>
              <w:jc w:val="center"/>
              <w:rPr>
                <w:rFonts w:hint="eastAsia" w:ascii="楷体_GB2312" w:hAnsi="楷体_GB2312" w:eastAsia="楷体_GB2312" w:cs="楷体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操作手册</w:t>
            </w:r>
          </w:p>
        </w:tc>
        <w:tc>
          <w:tcPr>
            <w:tcW w:w="1842" w:type="dxa"/>
            <w:tcBorders>
              <w:top w:val="single" w:color="auto" w:sz="4" w:space="0"/>
              <w:right w:val="single" w:color="auto" w:sz="4" w:space="0"/>
            </w:tcBorders>
            <w:noWrap w:val="0"/>
            <w:vAlign w:val="center"/>
          </w:tcPr>
          <w:p w14:paraId="482684EC">
            <w:pPr>
              <w:widowControl/>
              <w:jc w:val="center"/>
              <w:rPr>
                <w:rFonts w:hint="eastAsia" w:ascii="楷体_GB2312" w:hAnsi="楷体_GB2312" w:eastAsia="楷体_GB2312" w:cs="楷体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检定规程</w:t>
            </w:r>
          </w:p>
        </w:tc>
      </w:tr>
      <w:tr w14:paraId="73C9B1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09" w:type="dxa"/>
            <w:tcBorders>
              <w:left w:val="single" w:color="auto" w:sz="4" w:space="0"/>
            </w:tcBorders>
            <w:noWrap w:val="0"/>
            <w:vAlign w:val="center"/>
          </w:tcPr>
          <w:p w14:paraId="01E6F494">
            <w:pPr>
              <w:widowControl/>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1</w:t>
            </w:r>
          </w:p>
        </w:tc>
        <w:tc>
          <w:tcPr>
            <w:tcW w:w="1670" w:type="dxa"/>
            <w:tcBorders>
              <w:top w:val="single" w:color="auto" w:sz="4" w:space="0"/>
            </w:tcBorders>
            <w:noWrap w:val="0"/>
            <w:vAlign w:val="center"/>
          </w:tcPr>
          <w:p w14:paraId="151EAC1E">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BM560-D</w:t>
            </w:r>
          </w:p>
          <w:p w14:paraId="51FE8AA5">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双钮绞束线机</w:t>
            </w:r>
          </w:p>
        </w:tc>
        <w:tc>
          <w:tcPr>
            <w:tcW w:w="1799" w:type="dxa"/>
            <w:noWrap w:val="0"/>
            <w:vAlign w:val="center"/>
          </w:tcPr>
          <w:p w14:paraId="497147D2">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036270708（4）</w:t>
            </w:r>
          </w:p>
        </w:tc>
        <w:tc>
          <w:tcPr>
            <w:tcW w:w="1417" w:type="dxa"/>
            <w:noWrap w:val="0"/>
            <w:vAlign w:val="center"/>
          </w:tcPr>
          <w:p w14:paraId="1C3ADC66">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绞线</w:t>
            </w:r>
          </w:p>
        </w:tc>
        <w:tc>
          <w:tcPr>
            <w:tcW w:w="2552" w:type="dxa"/>
            <w:noWrap w:val="0"/>
            <w:vAlign w:val="center"/>
          </w:tcPr>
          <w:p w14:paraId="522C6BA6">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单线外径：</w:t>
            </w:r>
          </w:p>
          <w:p w14:paraId="5A9842D9">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φ0.07-φ0.36</w:t>
            </w:r>
          </w:p>
          <w:p w14:paraId="7E559F7E">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管体转速Max：3500rpm</w:t>
            </w:r>
          </w:p>
          <w:p w14:paraId="145412CF">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绞合节距：4.61-63.94mm</w:t>
            </w:r>
          </w:p>
        </w:tc>
        <w:tc>
          <w:tcPr>
            <w:tcW w:w="2737" w:type="dxa"/>
            <w:noWrap w:val="0"/>
            <w:vAlign w:val="center"/>
          </w:tcPr>
          <w:p w14:paraId="6EE05F4B">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单线进线外径：</w:t>
            </w:r>
          </w:p>
          <w:p w14:paraId="17EC8B8A">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φ0.102-0.32mm</w:t>
            </w:r>
          </w:p>
          <w:p w14:paraId="0F1B318A">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节距：17-22mm</w:t>
            </w:r>
          </w:p>
        </w:tc>
        <w:tc>
          <w:tcPr>
            <w:tcW w:w="1498" w:type="dxa"/>
            <w:noWrap w:val="0"/>
            <w:vAlign w:val="center"/>
          </w:tcPr>
          <w:p w14:paraId="2199B934">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操Ⅰ-22-2013</w:t>
            </w:r>
          </w:p>
        </w:tc>
        <w:tc>
          <w:tcPr>
            <w:tcW w:w="1842" w:type="dxa"/>
            <w:tcBorders>
              <w:right w:val="single" w:color="auto" w:sz="4" w:space="0"/>
            </w:tcBorders>
            <w:noWrap w:val="0"/>
            <w:vAlign w:val="center"/>
          </w:tcPr>
          <w:p w14:paraId="56BC60E2">
            <w:pPr>
              <w:widowControl/>
              <w:spacing w:line="288" w:lineRule="auto"/>
              <w:jc w:val="center"/>
              <w:rPr>
                <w:rFonts w:hint="eastAsia" w:ascii="楷体_GB2312" w:hAnsi="楷体_GB2312" w:eastAsia="楷体_GB2312" w:cs="楷体_GB2312"/>
                <w:color w:val="auto"/>
                <w:kern w:val="0"/>
                <w:sz w:val="21"/>
                <w:szCs w:val="21"/>
                <w:highlight w:val="none"/>
              </w:rPr>
            </w:pPr>
            <w:r>
              <w:rPr>
                <w:rFonts w:hint="eastAsia" w:ascii="楷体_GB2312" w:hAnsi="楷体_GB2312" w:eastAsia="楷体_GB2312" w:cs="楷体_GB2312"/>
                <w:color w:val="auto"/>
                <w:kern w:val="0"/>
                <w:sz w:val="21"/>
                <w:szCs w:val="21"/>
                <w:highlight w:val="none"/>
              </w:rPr>
              <w:t>SB/G08-2013</w:t>
            </w:r>
          </w:p>
        </w:tc>
      </w:tr>
    </w:tbl>
    <w:p w14:paraId="6AC3D335">
      <w:pP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br w:type="page"/>
      </w:r>
    </w:p>
    <w:p w14:paraId="66F778F3">
      <w:pPr>
        <w:spacing w:afterLines="50" w:line="380" w:lineRule="exact"/>
        <w:rPr>
          <w:rFonts w:hint="eastAsia" w:ascii="仿宋_GB2312" w:hAnsi="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附录E.5  生产设备清单</w:t>
      </w:r>
      <w:r>
        <w:rPr>
          <w:rFonts w:hint="eastAsia" w:ascii="仿宋_GB2312" w:hAnsi="仿宋_GB2312" w:cs="仿宋_GB2312"/>
          <w:color w:val="auto"/>
          <w:sz w:val="21"/>
          <w:szCs w:val="21"/>
          <w:highlight w:val="none"/>
          <w:lang w:eastAsia="zh-CN"/>
        </w:rPr>
        <w:t>（续）</w:t>
      </w:r>
    </w:p>
    <w:p w14:paraId="48551C92">
      <w:pPr>
        <w:keepNext w:val="0"/>
        <w:keepLines w:val="0"/>
        <w:pageBreakBefore w:val="0"/>
        <w:widowControl w:val="0"/>
        <w:kinsoku/>
        <w:wordWrap/>
        <w:overflowPunct/>
        <w:topLinePunct w:val="0"/>
        <w:autoSpaceDE/>
        <w:autoSpaceDN/>
        <w:bidi w:val="0"/>
        <w:adjustRightInd/>
        <w:snapToGrid/>
        <w:spacing w:before="161" w:beforeLines="50" w:afterLines="50" w:line="380" w:lineRule="exact"/>
        <w:jc w:val="center"/>
        <w:textAlignment w:val="auto"/>
        <w:outlineLvl w:val="0"/>
        <w:rPr>
          <w:rFonts w:hint="eastAsia" w:ascii="仿宋_GB2312" w:hAnsi="仿宋_GB2312" w:eastAsia="仿宋_GB2312" w:cs="仿宋_GB2312"/>
          <w:b/>
          <w:bCs/>
          <w:color w:val="auto"/>
          <w:sz w:val="21"/>
          <w:szCs w:val="21"/>
          <w:highlight w:val="none"/>
        </w:rPr>
      </w:pPr>
      <w:bookmarkStart w:id="199" w:name="_Toc8261"/>
      <w:bookmarkStart w:id="200" w:name="_Toc20865"/>
      <w:bookmarkStart w:id="201" w:name="_Toc27562"/>
      <w:r>
        <w:rPr>
          <w:rFonts w:hint="eastAsia" w:ascii="仿宋_GB2312" w:hAnsi="仿宋_GB2312" w:eastAsia="仿宋_GB2312" w:cs="仿宋_GB2312"/>
          <w:b/>
          <w:bCs/>
          <w:color w:val="auto"/>
          <w:sz w:val="21"/>
          <w:szCs w:val="21"/>
          <w:highlight w:val="none"/>
          <w:lang w:eastAsia="zh-CN"/>
        </w:rPr>
        <w:t>防务装备事业部</w:t>
      </w:r>
      <w:r>
        <w:rPr>
          <w:rFonts w:hint="eastAsia" w:ascii="仿宋_GB2312" w:hAnsi="仿宋_GB2312" w:eastAsia="仿宋_GB2312" w:cs="仿宋_GB2312"/>
          <w:b/>
          <w:bCs/>
          <w:color w:val="auto"/>
          <w:sz w:val="21"/>
          <w:szCs w:val="21"/>
          <w:highlight w:val="none"/>
        </w:rPr>
        <w:t>生产设备清单</w:t>
      </w:r>
      <w:bookmarkEnd w:id="199"/>
      <w:bookmarkEnd w:id="200"/>
      <w:bookmarkEnd w:id="201"/>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70"/>
        <w:gridCol w:w="1799"/>
        <w:gridCol w:w="1417"/>
        <w:gridCol w:w="2552"/>
        <w:gridCol w:w="2737"/>
        <w:gridCol w:w="1498"/>
        <w:gridCol w:w="1842"/>
      </w:tblGrid>
      <w:tr w14:paraId="0D0371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6F35C5E">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序号</w:t>
            </w:r>
          </w:p>
        </w:tc>
        <w:tc>
          <w:tcPr>
            <w:tcW w:w="1670" w:type="dxa"/>
            <w:tcBorders>
              <w:top w:val="single" w:color="auto" w:sz="4" w:space="0"/>
              <w:left w:val="single" w:color="auto" w:sz="4" w:space="0"/>
              <w:bottom w:val="single" w:color="auto" w:sz="4" w:space="0"/>
              <w:right w:val="single" w:color="auto" w:sz="4" w:space="0"/>
            </w:tcBorders>
            <w:noWrap w:val="0"/>
            <w:vAlign w:val="center"/>
          </w:tcPr>
          <w:p w14:paraId="6548BDC2">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w:t>
            </w:r>
            <w:r>
              <w:rPr>
                <w:rFonts w:hint="eastAsia" w:ascii="仿宋_GB2312" w:hAnsi="仿宋_GB2312" w:cs="仿宋_GB2312"/>
                <w:bCs/>
                <w:color w:val="auto"/>
                <w:kern w:val="0"/>
                <w:sz w:val="21"/>
                <w:szCs w:val="21"/>
                <w:highlight w:val="none"/>
                <w:lang w:eastAsia="zh-CN"/>
              </w:rPr>
              <w:t>型号</w:t>
            </w:r>
            <w:r>
              <w:rPr>
                <w:rFonts w:hint="eastAsia" w:ascii="仿宋_GB2312" w:hAnsi="仿宋_GB2312" w:cs="仿宋_GB2312"/>
                <w:bCs/>
                <w:color w:val="auto"/>
                <w:kern w:val="0"/>
                <w:sz w:val="21"/>
                <w:szCs w:val="21"/>
                <w:highlight w:val="none"/>
                <w:lang w:val="en-US" w:eastAsia="zh-CN"/>
              </w:rPr>
              <w:t>/</w:t>
            </w:r>
            <w:r>
              <w:rPr>
                <w:rFonts w:hint="eastAsia" w:ascii="仿宋_GB2312" w:hAnsi="仿宋_GB2312" w:eastAsia="仿宋_GB2312" w:cs="仿宋_GB2312"/>
                <w:bCs/>
                <w:color w:val="auto"/>
                <w:kern w:val="0"/>
                <w:sz w:val="21"/>
                <w:szCs w:val="21"/>
                <w:highlight w:val="none"/>
              </w:rPr>
              <w:t>名称</w:t>
            </w:r>
          </w:p>
        </w:tc>
        <w:tc>
          <w:tcPr>
            <w:tcW w:w="1799" w:type="dxa"/>
            <w:tcBorders>
              <w:top w:val="single" w:color="auto" w:sz="4" w:space="0"/>
              <w:left w:val="single" w:color="auto" w:sz="4" w:space="0"/>
              <w:bottom w:val="single" w:color="auto" w:sz="4" w:space="0"/>
              <w:right w:val="single" w:color="auto" w:sz="4" w:space="0"/>
            </w:tcBorders>
            <w:noWrap w:val="0"/>
            <w:vAlign w:val="center"/>
          </w:tcPr>
          <w:p w14:paraId="7F24101F">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设备编号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EA8BB89">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生产工序</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26B803FE">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设备能力</w:t>
            </w:r>
          </w:p>
        </w:tc>
        <w:tc>
          <w:tcPr>
            <w:tcW w:w="2737" w:type="dxa"/>
            <w:tcBorders>
              <w:top w:val="single" w:color="auto" w:sz="4" w:space="0"/>
              <w:left w:val="single" w:color="auto" w:sz="4" w:space="0"/>
              <w:bottom w:val="single" w:color="auto" w:sz="4" w:space="0"/>
              <w:right w:val="single" w:color="auto" w:sz="4" w:space="0"/>
            </w:tcBorders>
            <w:noWrap w:val="0"/>
            <w:vAlign w:val="center"/>
          </w:tcPr>
          <w:p w14:paraId="6B3C4229">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工艺要求</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3729D20">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操作手册</w:t>
            </w:r>
          </w:p>
        </w:tc>
        <w:tc>
          <w:tcPr>
            <w:tcW w:w="1842" w:type="dxa"/>
            <w:tcBorders>
              <w:top w:val="single" w:color="auto" w:sz="4" w:space="0"/>
              <w:left w:val="single" w:color="auto" w:sz="4" w:space="0"/>
              <w:bottom w:val="single" w:color="auto" w:sz="4" w:space="0"/>
              <w:right w:val="single" w:color="auto" w:sz="4" w:space="0"/>
            </w:tcBorders>
            <w:noWrap w:val="0"/>
            <w:vAlign w:val="center"/>
          </w:tcPr>
          <w:p w14:paraId="6ED5C264">
            <w:pPr>
              <w:widowControl/>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检定规程</w:t>
            </w:r>
          </w:p>
        </w:tc>
      </w:tr>
      <w:tr w14:paraId="0EB4A6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16646AC3">
            <w:pPr>
              <w:widowControl/>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tc>
        <w:tc>
          <w:tcPr>
            <w:tcW w:w="1670" w:type="dxa"/>
            <w:tcBorders>
              <w:top w:val="single" w:color="auto" w:sz="4" w:space="0"/>
              <w:left w:val="single" w:color="auto" w:sz="4" w:space="0"/>
              <w:bottom w:val="single" w:color="auto" w:sz="4" w:space="0"/>
              <w:right w:val="single" w:color="auto" w:sz="4" w:space="0"/>
            </w:tcBorders>
            <w:noWrap w:val="0"/>
            <w:vAlign w:val="center"/>
          </w:tcPr>
          <w:p w14:paraId="4B668EB6">
            <w:pPr>
              <w:widowControl/>
              <w:spacing w:line="240" w:lineRule="auto"/>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TSLV2</w:t>
            </w:r>
          </w:p>
          <w:p w14:paraId="3078B68F">
            <w:pPr>
              <w:widowControl/>
              <w:spacing w:line="240" w:lineRule="auto"/>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航天航空用</w:t>
            </w:r>
          </w:p>
          <w:p w14:paraId="47CC2274">
            <w:pPr>
              <w:widowControl/>
              <w:spacing w:line="240" w:lineRule="auto"/>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超薄绝缘电缆</w:t>
            </w:r>
          </w:p>
          <w:p w14:paraId="54F8E7EC">
            <w:pPr>
              <w:widowControl/>
              <w:spacing w:line="240" w:lineRule="auto"/>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生产线</w:t>
            </w:r>
          </w:p>
        </w:tc>
        <w:tc>
          <w:tcPr>
            <w:tcW w:w="1799" w:type="dxa"/>
            <w:tcBorders>
              <w:top w:val="single" w:color="auto" w:sz="4" w:space="0"/>
              <w:left w:val="single" w:color="auto" w:sz="4" w:space="0"/>
              <w:bottom w:val="single" w:color="auto" w:sz="4" w:space="0"/>
              <w:right w:val="single" w:color="auto" w:sz="4" w:space="0"/>
            </w:tcBorders>
            <w:noWrap w:val="0"/>
            <w:vAlign w:val="center"/>
          </w:tcPr>
          <w:p w14:paraId="4C6CD458">
            <w:pPr>
              <w:widowControl/>
              <w:spacing w:line="240" w:lineRule="auto"/>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036270719（2）</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09334C7">
            <w:pPr>
              <w:widowControl/>
              <w:spacing w:line="240" w:lineRule="auto"/>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绕包绝缘、</w:t>
            </w:r>
          </w:p>
          <w:p w14:paraId="731DEDAB">
            <w:pPr>
              <w:widowControl/>
              <w:spacing w:line="240" w:lineRule="auto"/>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屏蔽、护套</w:t>
            </w:r>
          </w:p>
          <w:p w14:paraId="7FD1462F">
            <w:pPr>
              <w:widowControl/>
              <w:spacing w:line="240" w:lineRule="auto"/>
              <w:jc w:val="center"/>
              <w:rPr>
                <w:rFonts w:hint="eastAsia" w:ascii="仿宋_GB2312" w:hAnsi="仿宋_GB2312" w:eastAsia="仿宋_GB2312" w:cs="仿宋_GB2312"/>
                <w:color w:val="auto"/>
                <w:kern w:val="0"/>
                <w:sz w:val="21"/>
                <w:szCs w:val="21"/>
                <w:highlight w:val="none"/>
                <w:lang w:val="en-US" w:eastAsia="zh-CN" w:bidi="ar-SA"/>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22DA7788">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最大速度：50m/min</w:t>
            </w:r>
          </w:p>
          <w:p w14:paraId="5C16121E">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节距：1.0-20mm</w:t>
            </w:r>
          </w:p>
          <w:p w14:paraId="37223174">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线芯外径：φ0.3-5.0mm</w:t>
            </w:r>
          </w:p>
          <w:p w14:paraId="1073D0D2">
            <w:pPr>
              <w:widowControl/>
              <w:spacing w:line="240" w:lineRule="auto"/>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 xml:space="preserve">外经：φ0.5-7.0mm   </w:t>
            </w:r>
          </w:p>
        </w:tc>
        <w:tc>
          <w:tcPr>
            <w:tcW w:w="2737" w:type="dxa"/>
            <w:tcBorders>
              <w:top w:val="single" w:color="auto" w:sz="4" w:space="0"/>
              <w:left w:val="single" w:color="auto" w:sz="4" w:space="0"/>
              <w:bottom w:val="single" w:color="auto" w:sz="4" w:space="0"/>
              <w:right w:val="single" w:color="auto" w:sz="4" w:space="0"/>
            </w:tcBorders>
            <w:noWrap w:val="0"/>
            <w:vAlign w:val="center"/>
          </w:tcPr>
          <w:p w14:paraId="537E3EB9">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生产速度（Max）：1.0m/min</w:t>
            </w:r>
          </w:p>
          <w:p w14:paraId="4045E45B">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节距：1.0-8.0mm</w:t>
            </w:r>
          </w:p>
          <w:p w14:paraId="2CDC3BA0">
            <w:pPr>
              <w:widowControl/>
              <w:spacing w:line="240" w:lineRule="auto"/>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 xml:space="preserve">外经（Max）：φ4.5mm   </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18FA7371">
            <w:pPr>
              <w:widowControl/>
              <w:spacing w:line="240" w:lineRule="auto"/>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z w:val="21"/>
                <w:szCs w:val="21"/>
                <w:highlight w:val="none"/>
              </w:rPr>
              <w:t>操Ⅲ-22-2015</w:t>
            </w:r>
          </w:p>
        </w:tc>
        <w:tc>
          <w:tcPr>
            <w:tcW w:w="1842" w:type="dxa"/>
            <w:tcBorders>
              <w:top w:val="single" w:color="auto" w:sz="4" w:space="0"/>
              <w:left w:val="single" w:color="auto" w:sz="4" w:space="0"/>
              <w:bottom w:val="single" w:color="auto" w:sz="4" w:space="0"/>
              <w:right w:val="single" w:color="auto" w:sz="4" w:space="0"/>
            </w:tcBorders>
            <w:noWrap w:val="0"/>
            <w:vAlign w:val="center"/>
          </w:tcPr>
          <w:p w14:paraId="0C6491C0">
            <w:pPr>
              <w:widowControl/>
              <w:spacing w:line="240" w:lineRule="auto"/>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SB/G12-2016</w:t>
            </w:r>
          </w:p>
        </w:tc>
      </w:tr>
      <w:tr w14:paraId="291587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BF9F108">
            <w:pPr>
              <w:widowControl/>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w:t>
            </w:r>
          </w:p>
        </w:tc>
        <w:tc>
          <w:tcPr>
            <w:tcW w:w="1670" w:type="dxa"/>
            <w:tcBorders>
              <w:top w:val="single" w:color="auto" w:sz="4" w:space="0"/>
              <w:left w:val="single" w:color="auto" w:sz="4" w:space="0"/>
              <w:bottom w:val="single" w:color="auto" w:sz="4" w:space="0"/>
              <w:right w:val="single" w:color="auto" w:sz="4" w:space="0"/>
            </w:tcBorders>
            <w:noWrap w:val="0"/>
            <w:vAlign w:val="center"/>
          </w:tcPr>
          <w:p w14:paraId="74595CED">
            <w:pPr>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GSB-1A型</w:t>
            </w:r>
          </w:p>
          <w:p w14:paraId="6A707D80">
            <w:pPr>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高速编织机</w:t>
            </w:r>
          </w:p>
        </w:tc>
        <w:tc>
          <w:tcPr>
            <w:tcW w:w="1799" w:type="dxa"/>
            <w:tcBorders>
              <w:top w:val="single" w:color="auto" w:sz="4" w:space="0"/>
              <w:left w:val="single" w:color="auto" w:sz="4" w:space="0"/>
              <w:bottom w:val="single" w:color="auto" w:sz="4" w:space="0"/>
              <w:right w:val="single" w:color="auto" w:sz="4" w:space="0"/>
            </w:tcBorders>
            <w:noWrap w:val="0"/>
            <w:vAlign w:val="center"/>
          </w:tcPr>
          <w:p w14:paraId="213068E6">
            <w:pPr>
              <w:pStyle w:val="6"/>
              <w:pBdr>
                <w:bottom w:val="none" w:color="auto" w:sz="0" w:space="0"/>
              </w:pBdr>
              <w:tabs>
                <w:tab w:val="clear" w:pos="4153"/>
                <w:tab w:val="clear" w:pos="8306"/>
              </w:tabs>
              <w:snapToGrid/>
              <w:spacing w:line="240" w:lineRule="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036270100（43）</w:t>
            </w:r>
          </w:p>
          <w:p w14:paraId="3A35D9A9">
            <w:pPr>
              <w:pStyle w:val="6"/>
              <w:pBdr>
                <w:bottom w:val="none" w:color="auto" w:sz="0" w:space="0"/>
              </w:pBdr>
              <w:tabs>
                <w:tab w:val="clear" w:pos="4153"/>
                <w:tab w:val="clear" w:pos="8306"/>
              </w:tabs>
              <w:snapToGrid/>
              <w:spacing w:line="240" w:lineRule="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036270100（44）</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913384D">
            <w:pPr>
              <w:widowControl/>
              <w:spacing w:line="240" w:lineRule="auto"/>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编织屏蔽</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029BD8A">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编织外经：φ1.0-14mm</w:t>
            </w:r>
          </w:p>
          <w:p w14:paraId="19B4AFB8">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节距：3.2-64mm</w:t>
            </w:r>
          </w:p>
          <w:p w14:paraId="7927309D">
            <w:pPr>
              <w:widowControl/>
              <w:spacing w:line="240" w:lineRule="auto"/>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转速：50-150rpm</w:t>
            </w:r>
          </w:p>
        </w:tc>
        <w:tc>
          <w:tcPr>
            <w:tcW w:w="2737" w:type="dxa"/>
            <w:tcBorders>
              <w:top w:val="single" w:color="auto" w:sz="4" w:space="0"/>
              <w:left w:val="single" w:color="auto" w:sz="4" w:space="0"/>
              <w:bottom w:val="single" w:color="auto" w:sz="4" w:space="0"/>
              <w:right w:val="single" w:color="auto" w:sz="4" w:space="0"/>
            </w:tcBorders>
            <w:noWrap w:val="0"/>
            <w:vAlign w:val="center"/>
          </w:tcPr>
          <w:p w14:paraId="3D16081D">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编织外经（Max）：φ3.3 mm</w:t>
            </w:r>
          </w:p>
          <w:p w14:paraId="421CA46B">
            <w:pPr>
              <w:widowControl/>
              <w:spacing w:line="240" w:lineRule="auto"/>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节距：9-11mm</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269AD3F">
            <w:pPr>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操Ⅱ-04-2013</w:t>
            </w:r>
          </w:p>
        </w:tc>
        <w:tc>
          <w:tcPr>
            <w:tcW w:w="1842" w:type="dxa"/>
            <w:tcBorders>
              <w:top w:val="single" w:color="auto" w:sz="4" w:space="0"/>
              <w:left w:val="single" w:color="auto" w:sz="4" w:space="0"/>
              <w:bottom w:val="single" w:color="auto" w:sz="4" w:space="0"/>
              <w:right w:val="single" w:color="auto" w:sz="4" w:space="0"/>
            </w:tcBorders>
            <w:noWrap w:val="0"/>
            <w:vAlign w:val="center"/>
          </w:tcPr>
          <w:p w14:paraId="32DF99CD">
            <w:pPr>
              <w:spacing w:line="240" w:lineRule="auto"/>
              <w:ind w:right="-258" w:rightChars="-137" w:firstLine="189" w:firstLineChars="100"/>
              <w:jc w:val="both"/>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SB/G13-2013</w:t>
            </w:r>
          </w:p>
        </w:tc>
      </w:tr>
      <w:tr w14:paraId="1AA2D5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45373887">
            <w:pPr>
              <w:widowControl/>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3</w:t>
            </w:r>
          </w:p>
        </w:tc>
        <w:tc>
          <w:tcPr>
            <w:tcW w:w="1670" w:type="dxa"/>
            <w:tcBorders>
              <w:top w:val="single" w:color="auto" w:sz="4" w:space="0"/>
              <w:left w:val="single" w:color="auto" w:sz="4" w:space="0"/>
              <w:bottom w:val="single" w:color="auto" w:sz="4" w:space="0"/>
              <w:right w:val="single" w:color="auto" w:sz="4" w:space="0"/>
            </w:tcBorders>
            <w:noWrap w:val="0"/>
            <w:vAlign w:val="center"/>
          </w:tcPr>
          <w:p w14:paraId="7CEFD9BE">
            <w:pPr>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DB-GCQ-120A</w:t>
            </w:r>
          </w:p>
          <w:p w14:paraId="5C620689">
            <w:pPr>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主动放线</w:t>
            </w:r>
          </w:p>
          <w:p w14:paraId="22C8993A">
            <w:pPr>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火花成圈机</w:t>
            </w:r>
          </w:p>
        </w:tc>
        <w:tc>
          <w:tcPr>
            <w:tcW w:w="1799" w:type="dxa"/>
            <w:tcBorders>
              <w:top w:val="single" w:color="auto" w:sz="4" w:space="0"/>
              <w:left w:val="single" w:color="auto" w:sz="4" w:space="0"/>
              <w:bottom w:val="single" w:color="auto" w:sz="4" w:space="0"/>
              <w:right w:val="single" w:color="auto" w:sz="4" w:space="0"/>
            </w:tcBorders>
            <w:noWrap w:val="0"/>
            <w:vAlign w:val="center"/>
          </w:tcPr>
          <w:p w14:paraId="23D5B160">
            <w:pPr>
              <w:pStyle w:val="6"/>
              <w:pBdr>
                <w:bottom w:val="none" w:color="auto" w:sz="0" w:space="0"/>
              </w:pBdr>
              <w:tabs>
                <w:tab w:val="clear" w:pos="4153"/>
                <w:tab w:val="clear" w:pos="8306"/>
              </w:tabs>
              <w:snapToGrid/>
              <w:spacing w:line="240" w:lineRule="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036250625（12）</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86A5A17">
            <w:pPr>
              <w:widowControl/>
              <w:spacing w:line="240" w:lineRule="auto"/>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成圈（成轴）</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0EFFCBD6">
            <w:pPr>
              <w:widowControl/>
              <w:spacing w:line="240" w:lineRule="auto"/>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线芯外径：φ0.9-7.0mm</w:t>
            </w:r>
          </w:p>
          <w:p w14:paraId="03F2B389">
            <w:pPr>
              <w:widowControl/>
              <w:spacing w:line="240" w:lineRule="auto"/>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复绕速度：10-120m/min</w:t>
            </w:r>
          </w:p>
        </w:tc>
        <w:tc>
          <w:tcPr>
            <w:tcW w:w="2737" w:type="dxa"/>
            <w:tcBorders>
              <w:top w:val="single" w:color="auto" w:sz="4" w:space="0"/>
              <w:left w:val="single" w:color="auto" w:sz="4" w:space="0"/>
              <w:bottom w:val="single" w:color="auto" w:sz="4" w:space="0"/>
              <w:right w:val="single" w:color="auto" w:sz="4" w:space="0"/>
            </w:tcBorders>
            <w:noWrap w:val="0"/>
            <w:vAlign w:val="center"/>
          </w:tcPr>
          <w:p w14:paraId="4D1F0CAE">
            <w:pPr>
              <w:widowControl/>
              <w:spacing w:line="240" w:lineRule="auto"/>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电缆外经（Max）：φ4.5mm</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171F46E">
            <w:pPr>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操Ⅱ-37-2013</w:t>
            </w:r>
          </w:p>
        </w:tc>
        <w:tc>
          <w:tcPr>
            <w:tcW w:w="1842" w:type="dxa"/>
            <w:tcBorders>
              <w:top w:val="single" w:color="auto" w:sz="4" w:space="0"/>
              <w:left w:val="single" w:color="auto" w:sz="4" w:space="0"/>
              <w:bottom w:val="single" w:color="auto" w:sz="4" w:space="0"/>
              <w:right w:val="single" w:color="auto" w:sz="4" w:space="0"/>
            </w:tcBorders>
            <w:noWrap w:val="0"/>
            <w:vAlign w:val="center"/>
          </w:tcPr>
          <w:p w14:paraId="41D7435C">
            <w:pPr>
              <w:spacing w:line="240" w:lineRule="auto"/>
              <w:ind w:right="-258" w:rightChars="-137"/>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SB/G04-2013</w:t>
            </w:r>
          </w:p>
        </w:tc>
      </w:tr>
    </w:tbl>
    <w:p w14:paraId="222ACE9E">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br w:type="page"/>
      </w:r>
    </w:p>
    <w:p w14:paraId="04F81F61">
      <w:pPr>
        <w:spacing w:afterLines="50" w:line="380" w:lineRule="exact"/>
        <w:outlineLvl w:val="0"/>
        <w:rPr>
          <w:rFonts w:hint="eastAsia" w:ascii="仿宋_GB2312" w:hAnsi="仿宋_GB2312" w:eastAsia="仿宋_GB2312" w:cs="仿宋_GB2312"/>
          <w:color w:val="auto"/>
          <w:highlight w:val="none"/>
        </w:rPr>
      </w:pPr>
      <w:bookmarkStart w:id="202" w:name="_Toc31952"/>
      <w:bookmarkStart w:id="203" w:name="_Toc6349"/>
      <w:bookmarkStart w:id="204" w:name="_Toc26076"/>
      <w:r>
        <w:rPr>
          <w:rFonts w:hint="eastAsia" w:ascii="仿宋_GB2312" w:hAnsi="仿宋_GB2312" w:eastAsia="仿宋_GB2312" w:cs="仿宋_GB2312"/>
          <w:color w:val="auto"/>
          <w:highlight w:val="none"/>
        </w:rPr>
        <w:t>附录E.6  检验试验设备清单</w:t>
      </w:r>
      <w:bookmarkEnd w:id="202"/>
      <w:bookmarkEnd w:id="203"/>
      <w:bookmarkEnd w:id="204"/>
    </w:p>
    <w:p w14:paraId="3D8FDE0A">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检验试验设备清单</w:t>
      </w:r>
    </w:p>
    <w:tbl>
      <w:tblPr>
        <w:tblStyle w:val="8"/>
        <w:tblW w:w="15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513"/>
        <w:gridCol w:w="1327"/>
        <w:gridCol w:w="1620"/>
        <w:gridCol w:w="1845"/>
        <w:gridCol w:w="1637"/>
        <w:gridCol w:w="1852"/>
        <w:gridCol w:w="911"/>
        <w:gridCol w:w="1369"/>
        <w:gridCol w:w="1125"/>
        <w:gridCol w:w="1372"/>
      </w:tblGrid>
      <w:tr w14:paraId="75E4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469" w:type="dxa"/>
            <w:noWrap w:val="0"/>
            <w:vAlign w:val="center"/>
          </w:tcPr>
          <w:p w14:paraId="444EF7F6">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513" w:type="dxa"/>
            <w:noWrap w:val="0"/>
            <w:vAlign w:val="center"/>
          </w:tcPr>
          <w:p w14:paraId="0437D228">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w:t>
            </w:r>
            <w:r>
              <w:rPr>
                <w:rFonts w:hint="eastAsia" w:ascii="仿宋_GB2312" w:hAnsi="仿宋_GB2312" w:cs="仿宋_GB2312"/>
                <w:color w:val="auto"/>
                <w:sz w:val="21"/>
                <w:szCs w:val="21"/>
                <w:highlight w:val="none"/>
                <w:lang w:eastAsia="zh-CN"/>
              </w:rPr>
              <w:t>型号</w:t>
            </w: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名称</w:t>
            </w:r>
          </w:p>
        </w:tc>
        <w:tc>
          <w:tcPr>
            <w:tcW w:w="1327" w:type="dxa"/>
            <w:noWrap w:val="0"/>
            <w:vAlign w:val="center"/>
          </w:tcPr>
          <w:p w14:paraId="7C0538B7">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1620" w:type="dxa"/>
            <w:noWrap w:val="0"/>
            <w:vAlign w:val="center"/>
          </w:tcPr>
          <w:p w14:paraId="746C487E">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845" w:type="dxa"/>
            <w:noWrap w:val="0"/>
            <w:vAlign w:val="center"/>
          </w:tcPr>
          <w:p w14:paraId="0EB4DDCE">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637" w:type="dxa"/>
            <w:noWrap w:val="0"/>
            <w:vAlign w:val="center"/>
          </w:tcPr>
          <w:p w14:paraId="6440AADF">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852" w:type="dxa"/>
            <w:noWrap w:val="0"/>
            <w:vAlign w:val="center"/>
          </w:tcPr>
          <w:p w14:paraId="1432AE01">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911" w:type="dxa"/>
            <w:noWrap w:val="0"/>
            <w:vAlign w:val="center"/>
          </w:tcPr>
          <w:p w14:paraId="3DF09D37">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340D7D58">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369" w:type="dxa"/>
            <w:noWrap w:val="0"/>
            <w:vAlign w:val="center"/>
          </w:tcPr>
          <w:p w14:paraId="2C3ABBA9">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332F1986">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125" w:type="dxa"/>
            <w:noWrap w:val="0"/>
            <w:vAlign w:val="center"/>
          </w:tcPr>
          <w:p w14:paraId="57464853">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6900D8A5">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372" w:type="dxa"/>
            <w:noWrap w:val="0"/>
            <w:vAlign w:val="center"/>
          </w:tcPr>
          <w:p w14:paraId="2A0F4DD5">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w:t>
            </w:r>
          </w:p>
          <w:p w14:paraId="0F27EA8D">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地点</w:t>
            </w:r>
          </w:p>
        </w:tc>
      </w:tr>
      <w:tr w14:paraId="640B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69" w:type="dxa"/>
            <w:noWrap w:val="0"/>
            <w:vAlign w:val="center"/>
          </w:tcPr>
          <w:p w14:paraId="1D1B65A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513" w:type="dxa"/>
            <w:noWrap w:val="0"/>
            <w:vAlign w:val="center"/>
          </w:tcPr>
          <w:p w14:paraId="7222E9B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0～25）mm</w:t>
            </w:r>
          </w:p>
          <w:p w14:paraId="494A963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千分尺</w:t>
            </w:r>
          </w:p>
        </w:tc>
        <w:tc>
          <w:tcPr>
            <w:tcW w:w="1327" w:type="dxa"/>
            <w:noWrap w:val="0"/>
            <w:vAlign w:val="center"/>
          </w:tcPr>
          <w:p w14:paraId="5FD65625">
            <w:pPr>
              <w:spacing w:line="280" w:lineRule="exact"/>
              <w:ind w:firstLine="378" w:firstLineChars="20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Q-136</w:t>
            </w:r>
          </w:p>
        </w:tc>
        <w:tc>
          <w:tcPr>
            <w:tcW w:w="1620" w:type="dxa"/>
            <w:noWrap w:val="0"/>
            <w:vAlign w:val="center"/>
          </w:tcPr>
          <w:p w14:paraId="51251AF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w:t>
            </w:r>
          </w:p>
        </w:tc>
        <w:tc>
          <w:tcPr>
            <w:tcW w:w="1845" w:type="dxa"/>
            <w:noWrap w:val="0"/>
            <w:vAlign w:val="center"/>
          </w:tcPr>
          <w:p w14:paraId="155A5ED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内导体直径</w:t>
            </w:r>
          </w:p>
        </w:tc>
        <w:tc>
          <w:tcPr>
            <w:tcW w:w="1637" w:type="dxa"/>
            <w:noWrap w:val="0"/>
            <w:vAlign w:val="center"/>
          </w:tcPr>
          <w:p w14:paraId="6FB9AED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1852" w:type="dxa"/>
            <w:noWrap w:val="0"/>
            <w:vAlign w:val="center"/>
          </w:tcPr>
          <w:p w14:paraId="7D3D7D6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911" w:type="dxa"/>
            <w:noWrap w:val="0"/>
            <w:vAlign w:val="center"/>
          </w:tcPr>
          <w:p w14:paraId="00C3EFD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04DEF4D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JJG21-2008</w:t>
            </w:r>
          </w:p>
        </w:tc>
        <w:tc>
          <w:tcPr>
            <w:tcW w:w="1125" w:type="dxa"/>
            <w:noWrap w:val="0"/>
            <w:vAlign w:val="center"/>
          </w:tcPr>
          <w:p w14:paraId="0E7202F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372" w:type="dxa"/>
            <w:noWrap w:val="0"/>
            <w:vAlign w:val="center"/>
          </w:tcPr>
          <w:p w14:paraId="1969BC5A">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防务装备</w:t>
            </w:r>
          </w:p>
          <w:p w14:paraId="7EBB391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事业部</w:t>
            </w:r>
            <w:r>
              <w:rPr>
                <w:rFonts w:hint="eastAsia" w:ascii="仿宋_GB2312" w:hAnsi="仿宋_GB2312" w:eastAsia="仿宋_GB2312" w:cs="仿宋_GB2312"/>
                <w:color w:val="auto"/>
                <w:sz w:val="21"/>
                <w:szCs w:val="21"/>
                <w:highlight w:val="none"/>
              </w:rPr>
              <w:t>检验站</w:t>
            </w:r>
          </w:p>
        </w:tc>
      </w:tr>
      <w:tr w14:paraId="2F6A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69" w:type="dxa"/>
            <w:noWrap w:val="0"/>
            <w:vAlign w:val="center"/>
          </w:tcPr>
          <w:p w14:paraId="0A42FFD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1513" w:type="dxa"/>
            <w:noWrap w:val="0"/>
            <w:vAlign w:val="center"/>
          </w:tcPr>
          <w:p w14:paraId="5B97D09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0～25）mm</w:t>
            </w:r>
          </w:p>
          <w:p w14:paraId="13FCF2C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千分尺</w:t>
            </w:r>
          </w:p>
        </w:tc>
        <w:tc>
          <w:tcPr>
            <w:tcW w:w="1327" w:type="dxa"/>
            <w:noWrap w:val="0"/>
            <w:vAlign w:val="center"/>
          </w:tcPr>
          <w:p w14:paraId="78CA1B04">
            <w:pPr>
              <w:spacing w:line="280" w:lineRule="exact"/>
              <w:ind w:firstLine="378" w:firstLineChars="20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Q-457</w:t>
            </w:r>
          </w:p>
        </w:tc>
        <w:tc>
          <w:tcPr>
            <w:tcW w:w="1620" w:type="dxa"/>
            <w:noWrap w:val="0"/>
            <w:vAlign w:val="center"/>
          </w:tcPr>
          <w:p w14:paraId="4DFB8CC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w:t>
            </w:r>
          </w:p>
        </w:tc>
        <w:tc>
          <w:tcPr>
            <w:tcW w:w="1845" w:type="dxa"/>
            <w:noWrap w:val="0"/>
            <w:vAlign w:val="center"/>
          </w:tcPr>
          <w:p w14:paraId="01F45C6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内导体直径</w:t>
            </w:r>
          </w:p>
        </w:tc>
        <w:tc>
          <w:tcPr>
            <w:tcW w:w="1637" w:type="dxa"/>
            <w:noWrap w:val="0"/>
            <w:vAlign w:val="center"/>
          </w:tcPr>
          <w:p w14:paraId="548B144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1852" w:type="dxa"/>
            <w:noWrap w:val="0"/>
            <w:vAlign w:val="center"/>
          </w:tcPr>
          <w:p w14:paraId="5F8C63A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911" w:type="dxa"/>
            <w:noWrap w:val="0"/>
            <w:vAlign w:val="center"/>
          </w:tcPr>
          <w:p w14:paraId="05E28E6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41AD48E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JJG21-2008</w:t>
            </w:r>
          </w:p>
        </w:tc>
        <w:tc>
          <w:tcPr>
            <w:tcW w:w="1125" w:type="dxa"/>
            <w:noWrap w:val="0"/>
            <w:vAlign w:val="center"/>
          </w:tcPr>
          <w:p w14:paraId="7F098CE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372" w:type="dxa"/>
            <w:noWrap w:val="0"/>
            <w:vAlign w:val="center"/>
          </w:tcPr>
          <w:p w14:paraId="2754E1C2">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5E0DCA3E">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6FD4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69" w:type="dxa"/>
            <w:noWrap w:val="0"/>
            <w:vAlign w:val="center"/>
          </w:tcPr>
          <w:p w14:paraId="7FA5013F">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w:t>
            </w:r>
          </w:p>
        </w:tc>
        <w:tc>
          <w:tcPr>
            <w:tcW w:w="1513" w:type="dxa"/>
            <w:noWrap w:val="0"/>
            <w:vAlign w:val="center"/>
          </w:tcPr>
          <w:p w14:paraId="2B46C19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p w14:paraId="35109D0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327" w:type="dxa"/>
            <w:noWrap w:val="0"/>
            <w:vAlign w:val="center"/>
          </w:tcPr>
          <w:p w14:paraId="30BD353E">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K--121</w:t>
            </w:r>
          </w:p>
        </w:tc>
        <w:tc>
          <w:tcPr>
            <w:tcW w:w="1620" w:type="dxa"/>
            <w:noWrap w:val="0"/>
            <w:vAlign w:val="center"/>
          </w:tcPr>
          <w:p w14:paraId="6275AB1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 mm</w:t>
            </w:r>
          </w:p>
        </w:tc>
        <w:tc>
          <w:tcPr>
            <w:tcW w:w="1845" w:type="dxa"/>
            <w:noWrap w:val="0"/>
            <w:vAlign w:val="center"/>
          </w:tcPr>
          <w:p w14:paraId="5FABA351">
            <w:pPr>
              <w:spacing w:line="240" w:lineRule="exact"/>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外导体外径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电缆外径</w:t>
            </w:r>
          </w:p>
        </w:tc>
        <w:tc>
          <w:tcPr>
            <w:tcW w:w="1637" w:type="dxa"/>
            <w:noWrap w:val="0"/>
            <w:vAlign w:val="center"/>
          </w:tcPr>
          <w:p w14:paraId="7C0213EA">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852" w:type="dxa"/>
            <w:noWrap w:val="0"/>
            <w:vAlign w:val="center"/>
          </w:tcPr>
          <w:p w14:paraId="197D1B6F">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911" w:type="dxa"/>
            <w:noWrap w:val="0"/>
            <w:vAlign w:val="center"/>
          </w:tcPr>
          <w:p w14:paraId="083E0EA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51EA996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125" w:type="dxa"/>
            <w:noWrap w:val="0"/>
            <w:vAlign w:val="center"/>
          </w:tcPr>
          <w:p w14:paraId="470F5C7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372" w:type="dxa"/>
            <w:noWrap w:val="0"/>
            <w:vAlign w:val="center"/>
          </w:tcPr>
          <w:p w14:paraId="6101B6D2">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防务装备</w:t>
            </w:r>
          </w:p>
          <w:p w14:paraId="1915C5F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事业部</w:t>
            </w:r>
            <w:r>
              <w:rPr>
                <w:rFonts w:hint="eastAsia" w:ascii="仿宋_GB2312" w:hAnsi="仿宋_GB2312" w:eastAsia="仿宋_GB2312" w:cs="仿宋_GB2312"/>
                <w:color w:val="auto"/>
                <w:sz w:val="21"/>
                <w:szCs w:val="21"/>
                <w:highlight w:val="none"/>
              </w:rPr>
              <w:t>检验站</w:t>
            </w:r>
          </w:p>
        </w:tc>
      </w:tr>
      <w:tr w14:paraId="597B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69" w:type="dxa"/>
            <w:noWrap w:val="0"/>
            <w:vAlign w:val="center"/>
          </w:tcPr>
          <w:p w14:paraId="7248B30D">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w:t>
            </w:r>
          </w:p>
        </w:tc>
        <w:tc>
          <w:tcPr>
            <w:tcW w:w="1513" w:type="dxa"/>
            <w:noWrap w:val="0"/>
            <w:vAlign w:val="center"/>
          </w:tcPr>
          <w:p w14:paraId="444A7AC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p w14:paraId="634FB14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327" w:type="dxa"/>
            <w:noWrap w:val="0"/>
            <w:vAlign w:val="center"/>
          </w:tcPr>
          <w:p w14:paraId="39259C4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K-327</w:t>
            </w:r>
          </w:p>
        </w:tc>
        <w:tc>
          <w:tcPr>
            <w:tcW w:w="1620" w:type="dxa"/>
            <w:noWrap w:val="0"/>
            <w:vAlign w:val="center"/>
          </w:tcPr>
          <w:p w14:paraId="342B99D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 mm</w:t>
            </w:r>
          </w:p>
        </w:tc>
        <w:tc>
          <w:tcPr>
            <w:tcW w:w="1845" w:type="dxa"/>
            <w:noWrap w:val="0"/>
            <w:vAlign w:val="center"/>
          </w:tcPr>
          <w:p w14:paraId="0E070D6C">
            <w:pPr>
              <w:adjustRightInd w:val="0"/>
              <w:spacing w:line="240" w:lineRule="exact"/>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外导体外径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电缆外径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尺寸稳定性</w:t>
            </w:r>
          </w:p>
        </w:tc>
        <w:tc>
          <w:tcPr>
            <w:tcW w:w="1637" w:type="dxa"/>
            <w:noWrap w:val="0"/>
            <w:vAlign w:val="center"/>
          </w:tcPr>
          <w:p w14:paraId="46024AF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852" w:type="dxa"/>
            <w:noWrap w:val="0"/>
            <w:vAlign w:val="center"/>
          </w:tcPr>
          <w:p w14:paraId="6309026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911" w:type="dxa"/>
            <w:noWrap w:val="0"/>
            <w:vAlign w:val="center"/>
          </w:tcPr>
          <w:p w14:paraId="72A97D8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2D4A962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125" w:type="dxa"/>
            <w:noWrap w:val="0"/>
            <w:vAlign w:val="center"/>
          </w:tcPr>
          <w:p w14:paraId="301FC76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372" w:type="dxa"/>
            <w:noWrap w:val="0"/>
            <w:vAlign w:val="center"/>
          </w:tcPr>
          <w:p w14:paraId="03003997">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683BA511">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62C9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69" w:type="dxa"/>
            <w:noWrap w:val="0"/>
            <w:vAlign w:val="center"/>
          </w:tcPr>
          <w:p w14:paraId="61571D05">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1513" w:type="dxa"/>
            <w:noWrap w:val="0"/>
            <w:vAlign w:val="center"/>
          </w:tcPr>
          <w:p w14:paraId="45E9DA0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N5234A</w:t>
            </w:r>
          </w:p>
          <w:p w14:paraId="0AAFD95E">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pacing w:val="-6"/>
                <w:sz w:val="21"/>
                <w:szCs w:val="21"/>
                <w:highlight w:val="none"/>
              </w:rPr>
              <w:t>矢量网络分析仪</w:t>
            </w:r>
          </w:p>
        </w:tc>
        <w:tc>
          <w:tcPr>
            <w:tcW w:w="1327" w:type="dxa"/>
            <w:noWrap w:val="0"/>
            <w:vAlign w:val="center"/>
          </w:tcPr>
          <w:p w14:paraId="64038C4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MY52241233</w:t>
            </w:r>
          </w:p>
        </w:tc>
        <w:tc>
          <w:tcPr>
            <w:tcW w:w="1620" w:type="dxa"/>
            <w:noWrap w:val="0"/>
            <w:vAlign w:val="center"/>
          </w:tcPr>
          <w:p w14:paraId="09F9E4ED">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电平：±1.0dB</w:t>
            </w:r>
          </w:p>
          <w:p w14:paraId="60F8D96F">
            <w:pPr>
              <w:spacing w:line="2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频率准确度：±1×10</w:t>
            </w:r>
            <w:r>
              <w:rPr>
                <w:rFonts w:hint="eastAsia" w:ascii="仿宋_GB2312" w:hAnsi="仿宋_GB2312" w:eastAsia="仿宋_GB2312" w:cs="仿宋_GB2312"/>
                <w:color w:val="auto"/>
                <w:sz w:val="21"/>
                <w:szCs w:val="21"/>
                <w:highlight w:val="none"/>
                <w:vertAlign w:val="superscript"/>
              </w:rPr>
              <w:t>-6</w:t>
            </w:r>
          </w:p>
        </w:tc>
        <w:tc>
          <w:tcPr>
            <w:tcW w:w="1845" w:type="dxa"/>
            <w:noWrap w:val="0"/>
            <w:vAlign w:val="center"/>
          </w:tcPr>
          <w:p w14:paraId="521D97C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特性阻抗、衰减常数、电压驻波比、延时</w:t>
            </w:r>
          </w:p>
        </w:tc>
        <w:tc>
          <w:tcPr>
            <w:tcW w:w="1637" w:type="dxa"/>
            <w:noWrap w:val="0"/>
            <w:vAlign w:val="center"/>
          </w:tcPr>
          <w:p w14:paraId="040866D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10MHz-40GHz</w:t>
            </w:r>
          </w:p>
        </w:tc>
        <w:tc>
          <w:tcPr>
            <w:tcW w:w="1852" w:type="dxa"/>
            <w:noWrap w:val="0"/>
            <w:vAlign w:val="center"/>
          </w:tcPr>
          <w:p w14:paraId="6449E09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0.03GHz～10GHz </w:t>
            </w:r>
          </w:p>
        </w:tc>
        <w:tc>
          <w:tcPr>
            <w:tcW w:w="911" w:type="dxa"/>
            <w:noWrap w:val="0"/>
            <w:vAlign w:val="center"/>
          </w:tcPr>
          <w:p w14:paraId="761F4F4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042CBD4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w:t>
            </w:r>
            <w:r>
              <w:rPr>
                <w:rFonts w:hint="eastAsia" w:ascii="仿宋_GB2312" w:hAnsi="仿宋_GB2312" w:eastAsia="仿宋_GB2312" w:cs="仿宋_GB2312"/>
                <w:color w:val="auto"/>
                <w:sz w:val="21"/>
                <w:szCs w:val="21"/>
                <w:highlight w:val="none"/>
                <w:lang w:eastAsia="zh-CN"/>
              </w:rPr>
              <w:t>（军工）</w:t>
            </w:r>
            <w:r>
              <w:rPr>
                <w:rFonts w:hint="eastAsia" w:ascii="仿宋_GB2312" w:hAnsi="仿宋_GB2312" w:eastAsia="仿宋_GB2312" w:cs="仿宋_GB2312"/>
                <w:color w:val="auto"/>
                <w:sz w:val="21"/>
                <w:szCs w:val="21"/>
                <w:highlight w:val="none"/>
                <w:lang w:val="en-US" w:eastAsia="zh-CN"/>
              </w:rPr>
              <w:t>232-2020</w:t>
            </w:r>
          </w:p>
        </w:tc>
        <w:tc>
          <w:tcPr>
            <w:tcW w:w="1125" w:type="dxa"/>
            <w:noWrap w:val="0"/>
            <w:vAlign w:val="center"/>
          </w:tcPr>
          <w:p w14:paraId="694F7D0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033-2016</w:t>
            </w:r>
          </w:p>
        </w:tc>
        <w:tc>
          <w:tcPr>
            <w:tcW w:w="1372" w:type="dxa"/>
            <w:noWrap w:val="0"/>
            <w:vAlign w:val="center"/>
          </w:tcPr>
          <w:p w14:paraId="44C7C4ED">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防务装备</w:t>
            </w:r>
          </w:p>
          <w:p w14:paraId="38BEB23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事业</w:t>
            </w:r>
            <w:r>
              <w:rPr>
                <w:rFonts w:hint="eastAsia" w:ascii="仿宋_GB2312" w:hAnsi="仿宋_GB2312" w:eastAsia="仿宋_GB2312" w:cs="仿宋_GB2312"/>
                <w:color w:val="auto"/>
                <w:sz w:val="21"/>
                <w:szCs w:val="21"/>
                <w:highlight w:val="none"/>
              </w:rPr>
              <w:t>部</w:t>
            </w:r>
          </w:p>
        </w:tc>
      </w:tr>
      <w:tr w14:paraId="1E80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69" w:type="dxa"/>
            <w:noWrap w:val="0"/>
            <w:vAlign w:val="center"/>
          </w:tcPr>
          <w:p w14:paraId="44F0EDCD">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w:t>
            </w:r>
          </w:p>
        </w:tc>
        <w:tc>
          <w:tcPr>
            <w:tcW w:w="1513" w:type="dxa"/>
            <w:noWrap w:val="0"/>
            <w:vAlign w:val="center"/>
          </w:tcPr>
          <w:p w14:paraId="02DB9A90">
            <w:pPr>
              <w:spacing w:line="280" w:lineRule="exact"/>
              <w:jc w:val="center"/>
              <w:rPr>
                <w:rFonts w:hint="eastAsia" w:ascii="仿宋_GB2312" w:hAnsi="仿宋_GB2312" w:eastAsia="仿宋_GB2312" w:cs="仿宋_GB2312"/>
                <w:color w:val="auto"/>
                <w:kern w:val="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rPr>
              <w:t>ZJ2618A</w:t>
            </w:r>
          </w:p>
          <w:p w14:paraId="5A9A9123">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电容测量仪</w:t>
            </w:r>
          </w:p>
        </w:tc>
        <w:tc>
          <w:tcPr>
            <w:tcW w:w="1327" w:type="dxa"/>
            <w:noWrap w:val="0"/>
            <w:vAlign w:val="center"/>
          </w:tcPr>
          <w:p w14:paraId="472BDDB0">
            <w:pPr>
              <w:pStyle w:val="6"/>
              <w:pBdr>
                <w:bottom w:val="none" w:color="auto" w:sz="0" w:space="0"/>
              </w:pBdr>
              <w:tabs>
                <w:tab w:val="clear" w:pos="4153"/>
                <w:tab w:val="clear" w:pos="8306"/>
              </w:tabs>
              <w:snapToGrid/>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101193</w:t>
            </w:r>
          </w:p>
        </w:tc>
        <w:tc>
          <w:tcPr>
            <w:tcW w:w="1620" w:type="dxa"/>
            <w:noWrap w:val="0"/>
            <w:vAlign w:val="center"/>
          </w:tcPr>
          <w:p w14:paraId="4A4D3DC9">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±0.1%</w:t>
            </w:r>
          </w:p>
        </w:tc>
        <w:tc>
          <w:tcPr>
            <w:tcW w:w="1845" w:type="dxa"/>
            <w:noWrap w:val="0"/>
            <w:vAlign w:val="center"/>
          </w:tcPr>
          <w:p w14:paraId="2771F9DB">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电容、电容稳定性</w:t>
            </w:r>
          </w:p>
        </w:tc>
        <w:tc>
          <w:tcPr>
            <w:tcW w:w="1637" w:type="dxa"/>
            <w:noWrap w:val="0"/>
            <w:vAlign w:val="center"/>
          </w:tcPr>
          <w:p w14:paraId="3740C312">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0.01pF～9999μF</w:t>
            </w:r>
          </w:p>
        </w:tc>
        <w:tc>
          <w:tcPr>
            <w:tcW w:w="1852" w:type="dxa"/>
            <w:noWrap w:val="0"/>
            <w:vAlign w:val="bottom"/>
          </w:tcPr>
          <w:p w14:paraId="5D1C9A3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≤94pF/m</w:t>
            </w:r>
          </w:p>
          <w:p w14:paraId="6FCC9F15">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p>
        </w:tc>
        <w:tc>
          <w:tcPr>
            <w:tcW w:w="911" w:type="dxa"/>
            <w:noWrap w:val="0"/>
            <w:vAlign w:val="center"/>
          </w:tcPr>
          <w:p w14:paraId="6090618A">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7871F23D">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GJB</w:t>
            </w:r>
            <w:r>
              <w:rPr>
                <w:rFonts w:hint="eastAsia" w:ascii="仿宋_GB2312" w:hAnsi="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8817-2015</w:t>
            </w:r>
          </w:p>
        </w:tc>
        <w:tc>
          <w:tcPr>
            <w:tcW w:w="1125" w:type="dxa"/>
            <w:noWrap w:val="0"/>
            <w:vAlign w:val="center"/>
          </w:tcPr>
          <w:p w14:paraId="50D41D22">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013-2011</w:t>
            </w:r>
          </w:p>
        </w:tc>
        <w:tc>
          <w:tcPr>
            <w:tcW w:w="1372" w:type="dxa"/>
            <w:noWrap w:val="0"/>
            <w:vAlign w:val="center"/>
          </w:tcPr>
          <w:p w14:paraId="034AC3EB">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75894EAE">
            <w:pPr>
              <w:spacing w:line="280" w:lineRule="exact"/>
              <w:jc w:val="center"/>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eastAsia="zh-CN"/>
              </w:rPr>
              <w:t>检测计量中心</w:t>
            </w:r>
          </w:p>
        </w:tc>
      </w:tr>
      <w:tr w14:paraId="67F4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69" w:type="dxa"/>
            <w:noWrap w:val="0"/>
            <w:vAlign w:val="center"/>
          </w:tcPr>
          <w:p w14:paraId="51D30CD2">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1513" w:type="dxa"/>
            <w:noWrap w:val="0"/>
            <w:vAlign w:val="center"/>
          </w:tcPr>
          <w:p w14:paraId="5C95D2A0">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TG328A</w:t>
            </w:r>
          </w:p>
          <w:p w14:paraId="269D6DB3">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lang w:val="en-US" w:eastAsia="zh-CN"/>
              </w:rPr>
              <w:t>电光分析天平</w:t>
            </w:r>
          </w:p>
        </w:tc>
        <w:tc>
          <w:tcPr>
            <w:tcW w:w="1327" w:type="dxa"/>
            <w:noWrap w:val="0"/>
            <w:vAlign w:val="center"/>
          </w:tcPr>
          <w:p w14:paraId="6419CB0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50442</w:t>
            </w:r>
          </w:p>
        </w:tc>
        <w:tc>
          <w:tcPr>
            <w:tcW w:w="1620" w:type="dxa"/>
            <w:noWrap w:val="0"/>
            <w:vAlign w:val="center"/>
          </w:tcPr>
          <w:p w14:paraId="1852A08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0.1mg</w:t>
            </w:r>
          </w:p>
        </w:tc>
        <w:tc>
          <w:tcPr>
            <w:tcW w:w="1845" w:type="dxa"/>
            <w:noWrap w:val="0"/>
            <w:vAlign w:val="center"/>
          </w:tcPr>
          <w:p w14:paraId="00EF5C5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2"/>
                <w:sz w:val="21"/>
                <w:szCs w:val="21"/>
                <w:highlight w:val="none"/>
              </w:rPr>
              <w:t>质量</w:t>
            </w:r>
          </w:p>
        </w:tc>
        <w:tc>
          <w:tcPr>
            <w:tcW w:w="1637" w:type="dxa"/>
            <w:noWrap w:val="0"/>
            <w:vAlign w:val="center"/>
          </w:tcPr>
          <w:p w14:paraId="3F550F4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（0～200）g</w:t>
            </w:r>
          </w:p>
        </w:tc>
        <w:tc>
          <w:tcPr>
            <w:tcW w:w="1852" w:type="dxa"/>
            <w:noWrap w:val="0"/>
            <w:vAlign w:val="center"/>
          </w:tcPr>
          <w:p w14:paraId="52E4BDF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40kg</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k</w:t>
            </w:r>
            <w:r>
              <w:rPr>
                <w:rFonts w:hint="eastAsia" w:ascii="仿宋_GB2312" w:hAnsi="仿宋_GB2312" w:eastAsia="仿宋_GB2312" w:cs="仿宋_GB2312"/>
                <w:color w:val="auto"/>
                <w:sz w:val="21"/>
                <w:szCs w:val="21"/>
                <w:highlight w:val="none"/>
              </w:rPr>
              <w:t>m</w:t>
            </w:r>
          </w:p>
          <w:p w14:paraId="18914890">
            <w:pPr>
              <w:spacing w:line="280" w:lineRule="exact"/>
              <w:jc w:val="center"/>
              <w:rPr>
                <w:rFonts w:hint="eastAsia" w:ascii="仿宋_GB2312" w:hAnsi="仿宋_GB2312" w:eastAsia="仿宋_GB2312" w:cs="仿宋_GB2312"/>
                <w:color w:val="auto"/>
                <w:sz w:val="21"/>
                <w:szCs w:val="21"/>
                <w:highlight w:val="none"/>
              </w:rPr>
            </w:pPr>
          </w:p>
        </w:tc>
        <w:tc>
          <w:tcPr>
            <w:tcW w:w="911" w:type="dxa"/>
            <w:noWrap w:val="0"/>
            <w:vAlign w:val="center"/>
          </w:tcPr>
          <w:p w14:paraId="482A7EF3">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73436CA9">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JJG98-2019</w:t>
            </w:r>
          </w:p>
        </w:tc>
        <w:tc>
          <w:tcPr>
            <w:tcW w:w="1125" w:type="dxa"/>
            <w:noWrap w:val="0"/>
            <w:vAlign w:val="center"/>
          </w:tcPr>
          <w:p w14:paraId="6B88E7D7">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Q/CPCG 01</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-201</w:t>
            </w:r>
            <w:r>
              <w:rPr>
                <w:rFonts w:hint="eastAsia" w:ascii="仿宋_GB2312" w:hAnsi="仿宋_GB2312" w:eastAsia="仿宋_GB2312" w:cs="仿宋_GB2312"/>
                <w:color w:val="auto"/>
                <w:sz w:val="21"/>
                <w:szCs w:val="21"/>
                <w:highlight w:val="none"/>
                <w:lang w:val="en-US" w:eastAsia="zh-CN"/>
              </w:rPr>
              <w:t>3</w:t>
            </w:r>
          </w:p>
        </w:tc>
        <w:tc>
          <w:tcPr>
            <w:tcW w:w="1372" w:type="dxa"/>
            <w:noWrap w:val="0"/>
            <w:vAlign w:val="center"/>
          </w:tcPr>
          <w:p w14:paraId="3D8B4994">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13840C32">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7BFA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469" w:type="dxa"/>
            <w:noWrap w:val="0"/>
            <w:vAlign w:val="center"/>
          </w:tcPr>
          <w:p w14:paraId="145A45C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1513" w:type="dxa"/>
            <w:noWrap w:val="0"/>
            <w:vAlign w:val="center"/>
          </w:tcPr>
          <w:p w14:paraId="31AED8C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DT890B+</w:t>
            </w:r>
          </w:p>
          <w:p w14:paraId="16E994C4">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数字万用表</w:t>
            </w:r>
          </w:p>
        </w:tc>
        <w:tc>
          <w:tcPr>
            <w:tcW w:w="1327" w:type="dxa"/>
            <w:noWrap w:val="0"/>
            <w:vAlign w:val="center"/>
          </w:tcPr>
          <w:p w14:paraId="6C577C7E">
            <w:pPr>
              <w:pStyle w:val="6"/>
              <w:pBdr>
                <w:bottom w:val="none" w:color="auto" w:sz="0" w:space="0"/>
              </w:pBdr>
              <w:tabs>
                <w:tab w:val="clear" w:pos="4153"/>
                <w:tab w:val="clear" w:pos="8306"/>
              </w:tabs>
              <w:snapToGrid/>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997346</w:t>
            </w:r>
          </w:p>
        </w:tc>
        <w:tc>
          <w:tcPr>
            <w:tcW w:w="1620" w:type="dxa"/>
            <w:noWrap w:val="0"/>
            <w:vAlign w:val="center"/>
          </w:tcPr>
          <w:p w14:paraId="7644730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1845" w:type="dxa"/>
            <w:noWrap w:val="0"/>
            <w:vAlign w:val="center"/>
          </w:tcPr>
          <w:p w14:paraId="25E97CB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连续性</w:t>
            </w:r>
          </w:p>
        </w:tc>
        <w:tc>
          <w:tcPr>
            <w:tcW w:w="1637" w:type="dxa"/>
            <w:noWrap w:val="0"/>
            <w:vAlign w:val="center"/>
          </w:tcPr>
          <w:p w14:paraId="6B067BC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200Ω～200MΩ</w:t>
            </w:r>
          </w:p>
        </w:tc>
        <w:tc>
          <w:tcPr>
            <w:tcW w:w="1852" w:type="dxa"/>
            <w:noWrap w:val="0"/>
            <w:vAlign w:val="center"/>
          </w:tcPr>
          <w:p w14:paraId="4FDDB69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电缆内导体和外导体均应各自连续</w:t>
            </w:r>
          </w:p>
        </w:tc>
        <w:tc>
          <w:tcPr>
            <w:tcW w:w="911" w:type="dxa"/>
            <w:noWrap w:val="0"/>
            <w:vAlign w:val="center"/>
          </w:tcPr>
          <w:p w14:paraId="7E8BDE6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50E7F59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JJF（电子）0023-2018</w:t>
            </w:r>
          </w:p>
        </w:tc>
        <w:tc>
          <w:tcPr>
            <w:tcW w:w="1125" w:type="dxa"/>
            <w:noWrap w:val="0"/>
            <w:vAlign w:val="center"/>
          </w:tcPr>
          <w:p w14:paraId="4B785C9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372" w:type="dxa"/>
            <w:noWrap w:val="0"/>
            <w:vAlign w:val="center"/>
          </w:tcPr>
          <w:p w14:paraId="5624EB7C">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47DB9FB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计量室</w:t>
            </w:r>
          </w:p>
        </w:tc>
      </w:tr>
      <w:tr w14:paraId="3BED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69" w:type="dxa"/>
            <w:noWrap w:val="0"/>
            <w:vAlign w:val="center"/>
          </w:tcPr>
          <w:p w14:paraId="074BFC99">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w:t>
            </w:r>
          </w:p>
        </w:tc>
        <w:tc>
          <w:tcPr>
            <w:tcW w:w="1513" w:type="dxa"/>
            <w:noWrap w:val="0"/>
            <w:vAlign w:val="center"/>
          </w:tcPr>
          <w:p w14:paraId="20DBC04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DT9505</w:t>
            </w:r>
          </w:p>
          <w:p w14:paraId="1A3EE968">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数字万用表</w:t>
            </w:r>
          </w:p>
        </w:tc>
        <w:tc>
          <w:tcPr>
            <w:tcW w:w="1327" w:type="dxa"/>
            <w:noWrap w:val="0"/>
            <w:vAlign w:val="center"/>
          </w:tcPr>
          <w:p w14:paraId="300AD411">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HD4936624</w:t>
            </w:r>
          </w:p>
        </w:tc>
        <w:tc>
          <w:tcPr>
            <w:tcW w:w="1620" w:type="dxa"/>
            <w:noWrap w:val="0"/>
            <w:vAlign w:val="center"/>
          </w:tcPr>
          <w:p w14:paraId="50DE527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w:t>
            </w:r>
          </w:p>
        </w:tc>
        <w:tc>
          <w:tcPr>
            <w:tcW w:w="1845" w:type="dxa"/>
            <w:noWrap w:val="0"/>
            <w:vAlign w:val="center"/>
          </w:tcPr>
          <w:p w14:paraId="76A7C6A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连续性</w:t>
            </w:r>
          </w:p>
        </w:tc>
        <w:tc>
          <w:tcPr>
            <w:tcW w:w="1637" w:type="dxa"/>
            <w:noWrap w:val="0"/>
            <w:vAlign w:val="center"/>
          </w:tcPr>
          <w:p w14:paraId="0E1C8FF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200Ω～200MΩ</w:t>
            </w:r>
          </w:p>
        </w:tc>
        <w:tc>
          <w:tcPr>
            <w:tcW w:w="1852" w:type="dxa"/>
            <w:noWrap w:val="0"/>
            <w:vAlign w:val="center"/>
          </w:tcPr>
          <w:p w14:paraId="14EE183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电缆内导体和外导体均应各自连续</w:t>
            </w:r>
          </w:p>
        </w:tc>
        <w:tc>
          <w:tcPr>
            <w:tcW w:w="911" w:type="dxa"/>
            <w:noWrap w:val="0"/>
            <w:vAlign w:val="center"/>
          </w:tcPr>
          <w:p w14:paraId="42E5A3C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72688CC4">
            <w:pPr>
              <w:spacing w:line="280" w:lineRule="exact"/>
              <w:jc w:val="center"/>
              <w:rPr>
                <w:rFonts w:hint="eastAsia" w:ascii="仿宋_GB2312" w:hAnsi="仿宋_GB2312" w:eastAsia="仿宋_GB2312" w:cs="仿宋_GB2312"/>
                <w:color w:val="auto"/>
                <w:sz w:val="21"/>
                <w:szCs w:val="21"/>
                <w:highlight w:val="none"/>
                <w:lang w:val="en-US"/>
              </w:rPr>
            </w:pPr>
            <w:r>
              <w:rPr>
                <w:rFonts w:hint="eastAsia" w:ascii="仿宋_GB2312" w:hAnsi="仿宋_GB2312" w:cs="仿宋_GB2312"/>
                <w:color w:val="auto"/>
                <w:sz w:val="21"/>
                <w:szCs w:val="21"/>
                <w:highlight w:val="none"/>
                <w:lang w:val="en-US" w:eastAsia="zh-CN"/>
              </w:rPr>
              <w:t>JJF（电子）0023-2018</w:t>
            </w:r>
          </w:p>
        </w:tc>
        <w:tc>
          <w:tcPr>
            <w:tcW w:w="1125" w:type="dxa"/>
            <w:noWrap w:val="0"/>
            <w:vAlign w:val="center"/>
          </w:tcPr>
          <w:p w14:paraId="6A56DF3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372" w:type="dxa"/>
            <w:noWrap w:val="0"/>
            <w:vAlign w:val="center"/>
          </w:tcPr>
          <w:p w14:paraId="76BD4519">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防务装备</w:t>
            </w:r>
          </w:p>
          <w:p w14:paraId="5ADC428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事业部</w:t>
            </w:r>
            <w:r>
              <w:rPr>
                <w:rFonts w:hint="eastAsia" w:ascii="仿宋_GB2312" w:hAnsi="仿宋_GB2312" w:eastAsia="仿宋_GB2312" w:cs="仿宋_GB2312"/>
                <w:color w:val="auto"/>
                <w:sz w:val="21"/>
                <w:szCs w:val="21"/>
                <w:highlight w:val="none"/>
              </w:rPr>
              <w:t>检验站</w:t>
            </w:r>
          </w:p>
        </w:tc>
      </w:tr>
      <w:tr w14:paraId="4497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469" w:type="dxa"/>
            <w:noWrap w:val="0"/>
            <w:vAlign w:val="center"/>
          </w:tcPr>
          <w:p w14:paraId="139AA8F7">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w:t>
            </w:r>
          </w:p>
        </w:tc>
        <w:tc>
          <w:tcPr>
            <w:tcW w:w="1513" w:type="dxa"/>
            <w:noWrap w:val="0"/>
            <w:vAlign w:val="center"/>
          </w:tcPr>
          <w:p w14:paraId="41F2EB47">
            <w:pPr>
              <w:spacing w:line="280" w:lineRule="exact"/>
              <w:jc w:val="center"/>
              <w:rPr>
                <w:rFonts w:hint="eastAsia" w:ascii="仿宋_GB2312" w:hAnsi="仿宋_GB2312" w:eastAsia="仿宋_GB2312" w:cs="仿宋_GB2312"/>
                <w:color w:val="auto"/>
                <w:kern w:val="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rPr>
              <w:t>JC2600A</w:t>
            </w:r>
          </w:p>
          <w:p w14:paraId="3E3507B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w:t>
            </w:r>
          </w:p>
          <w:p w14:paraId="281C808B">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测试仪</w:t>
            </w:r>
          </w:p>
        </w:tc>
        <w:tc>
          <w:tcPr>
            <w:tcW w:w="1327" w:type="dxa"/>
            <w:noWrap w:val="0"/>
            <w:vAlign w:val="center"/>
          </w:tcPr>
          <w:p w14:paraId="71E188E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HC20</w:t>
            </w:r>
            <w:r>
              <w:rPr>
                <w:rFonts w:hint="eastAsia" w:ascii="仿宋_GB2312" w:hAnsi="仿宋_GB2312" w:eastAsia="仿宋_GB2312" w:cs="仿宋_GB2312"/>
                <w:color w:val="auto"/>
                <w:sz w:val="21"/>
                <w:szCs w:val="21"/>
                <w:highlight w:val="none"/>
                <w:lang w:val="en-US" w:eastAsia="zh-CN"/>
              </w:rPr>
              <w:t>17</w:t>
            </w:r>
            <w:r>
              <w:rPr>
                <w:rFonts w:hint="eastAsia" w:ascii="仿宋_GB2312" w:hAnsi="仿宋_GB2312" w:eastAsia="仿宋_GB2312" w:cs="仿宋_GB2312"/>
                <w:color w:val="auto"/>
                <w:sz w:val="21"/>
                <w:szCs w:val="21"/>
                <w:highlight w:val="none"/>
              </w:rPr>
              <w:t>1016</w:t>
            </w:r>
          </w:p>
        </w:tc>
        <w:tc>
          <w:tcPr>
            <w:tcW w:w="1620" w:type="dxa"/>
            <w:noWrap w:val="0"/>
            <w:vAlign w:val="center"/>
          </w:tcPr>
          <w:p w14:paraId="1C582D8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2.5%.10%.20%</w:t>
            </w:r>
          </w:p>
        </w:tc>
        <w:tc>
          <w:tcPr>
            <w:tcW w:w="1845" w:type="dxa"/>
            <w:noWrap w:val="0"/>
            <w:vAlign w:val="center"/>
          </w:tcPr>
          <w:p w14:paraId="5A97007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w:t>
            </w:r>
          </w:p>
        </w:tc>
        <w:tc>
          <w:tcPr>
            <w:tcW w:w="1637" w:type="dxa"/>
            <w:noWrap w:val="0"/>
            <w:vAlign w:val="center"/>
          </w:tcPr>
          <w:p w14:paraId="47DC983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3</w:t>
            </w: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12</w:t>
            </w:r>
            <w:r>
              <w:rPr>
                <w:rFonts w:hint="eastAsia" w:ascii="仿宋_GB2312" w:hAnsi="仿宋_GB2312" w:eastAsia="仿宋_GB2312" w:cs="仿宋_GB2312"/>
                <w:color w:val="auto"/>
                <w:sz w:val="21"/>
                <w:szCs w:val="21"/>
                <w:highlight w:val="none"/>
              </w:rPr>
              <w:t>）Ω</w:t>
            </w:r>
          </w:p>
        </w:tc>
        <w:tc>
          <w:tcPr>
            <w:tcW w:w="1852" w:type="dxa"/>
            <w:noWrap w:val="0"/>
            <w:vAlign w:val="center"/>
          </w:tcPr>
          <w:p w14:paraId="3A508C9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≥5×10</w:t>
            </w:r>
            <w:r>
              <w:rPr>
                <w:rFonts w:hint="eastAsia" w:ascii="仿宋_GB2312" w:hAnsi="仿宋_GB2312" w:eastAsia="仿宋_GB2312" w:cs="仿宋_GB2312"/>
                <w:color w:val="auto"/>
                <w:sz w:val="21"/>
                <w:szCs w:val="21"/>
                <w:highlight w:val="none"/>
                <w:vertAlign w:val="superscript"/>
              </w:rPr>
              <w:t>9</w:t>
            </w:r>
            <w:r>
              <w:rPr>
                <w:rFonts w:hint="eastAsia" w:ascii="仿宋_GB2312" w:hAnsi="仿宋_GB2312" w:eastAsia="仿宋_GB2312" w:cs="仿宋_GB2312"/>
                <w:color w:val="auto"/>
                <w:sz w:val="21"/>
                <w:szCs w:val="21"/>
                <w:highlight w:val="none"/>
              </w:rPr>
              <w:t>Ω.km</w:t>
            </w:r>
          </w:p>
          <w:p w14:paraId="0F27F91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（DC500V）</w:t>
            </w:r>
          </w:p>
        </w:tc>
        <w:tc>
          <w:tcPr>
            <w:tcW w:w="911" w:type="dxa"/>
            <w:noWrap w:val="0"/>
            <w:vAlign w:val="center"/>
          </w:tcPr>
          <w:p w14:paraId="6A0A606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5051DF2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JJG690-2003</w:t>
            </w:r>
          </w:p>
        </w:tc>
        <w:tc>
          <w:tcPr>
            <w:tcW w:w="1125" w:type="dxa"/>
            <w:noWrap w:val="0"/>
            <w:vAlign w:val="center"/>
          </w:tcPr>
          <w:p w14:paraId="249AAA45">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Q/CPCG 036-2</w:t>
            </w:r>
            <w:r>
              <w:rPr>
                <w:rFonts w:hint="eastAsia" w:ascii="仿宋_GB2312" w:hAnsi="仿宋_GB2312" w:eastAsia="仿宋_GB2312" w:cs="仿宋_GB2312"/>
                <w:color w:val="auto"/>
                <w:sz w:val="21"/>
                <w:szCs w:val="21"/>
                <w:highlight w:val="none"/>
                <w:lang w:val="en-US" w:eastAsia="zh-CN"/>
              </w:rPr>
              <w:t>017</w:t>
            </w:r>
          </w:p>
        </w:tc>
        <w:tc>
          <w:tcPr>
            <w:tcW w:w="1372" w:type="dxa"/>
            <w:noWrap w:val="0"/>
            <w:vAlign w:val="center"/>
          </w:tcPr>
          <w:p w14:paraId="7596763F">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4EAC26B3">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5F4D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469" w:type="dxa"/>
            <w:noWrap w:val="0"/>
            <w:vAlign w:val="center"/>
          </w:tcPr>
          <w:p w14:paraId="5FB6E66F">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11</w:t>
            </w:r>
          </w:p>
        </w:tc>
        <w:tc>
          <w:tcPr>
            <w:tcW w:w="1513" w:type="dxa"/>
            <w:noWrap w:val="0"/>
            <w:vAlign w:val="center"/>
          </w:tcPr>
          <w:p w14:paraId="508842B1">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YD2673A</w:t>
            </w:r>
          </w:p>
          <w:p w14:paraId="06B2FC08">
            <w:pPr>
              <w:widowControl/>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耐压测试仪</w:t>
            </w:r>
          </w:p>
        </w:tc>
        <w:tc>
          <w:tcPr>
            <w:tcW w:w="1327" w:type="dxa"/>
            <w:noWrap w:val="0"/>
            <w:vAlign w:val="center"/>
          </w:tcPr>
          <w:p w14:paraId="444B0AF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1620" w:type="dxa"/>
            <w:noWrap w:val="0"/>
            <w:vAlign w:val="center"/>
          </w:tcPr>
          <w:p w14:paraId="59BD3B5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V：±3%,</w:t>
            </w:r>
          </w:p>
          <w:p w14:paraId="0C9ED2B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泄漏电流精度：5%</w:t>
            </w:r>
          </w:p>
        </w:tc>
        <w:tc>
          <w:tcPr>
            <w:tcW w:w="1845" w:type="dxa"/>
            <w:noWrap w:val="0"/>
            <w:vAlign w:val="center"/>
          </w:tcPr>
          <w:p w14:paraId="5851DAF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w:t>
            </w:r>
          </w:p>
        </w:tc>
        <w:tc>
          <w:tcPr>
            <w:tcW w:w="1637" w:type="dxa"/>
            <w:noWrap w:val="0"/>
            <w:vAlign w:val="center"/>
          </w:tcPr>
          <w:p w14:paraId="1BF4D1A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V：（0～10）kv</w:t>
            </w:r>
          </w:p>
          <w:p w14:paraId="7E19757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3"/>
                <w:sz w:val="21"/>
                <w:szCs w:val="21"/>
                <w:highlight w:val="none"/>
              </w:rPr>
              <w:t>AC：（</w:t>
            </w:r>
            <w:r>
              <w:rPr>
                <w:rFonts w:hint="eastAsia" w:ascii="仿宋_GB2312" w:hAnsi="仿宋_GB2312" w:eastAsia="仿宋_GB2312" w:cs="仿宋_GB2312"/>
                <w:color w:val="auto"/>
                <w:sz w:val="21"/>
                <w:szCs w:val="21"/>
                <w:highlight w:val="none"/>
              </w:rPr>
              <w:t>0.5～20）mA</w:t>
            </w:r>
          </w:p>
          <w:p w14:paraId="059D6AE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0"/>
                <w:sz w:val="21"/>
                <w:szCs w:val="21"/>
                <w:highlight w:val="none"/>
              </w:rPr>
              <w:t>DC：（0.5～100）mA</w:t>
            </w:r>
          </w:p>
        </w:tc>
        <w:tc>
          <w:tcPr>
            <w:tcW w:w="1852" w:type="dxa"/>
            <w:noWrap w:val="0"/>
            <w:vAlign w:val="center"/>
          </w:tcPr>
          <w:p w14:paraId="21E3EC3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1.0KV DC,1min不击穿。测试时漏电的档位选择为10mA。</w:t>
            </w:r>
          </w:p>
        </w:tc>
        <w:tc>
          <w:tcPr>
            <w:tcW w:w="911" w:type="dxa"/>
            <w:noWrap w:val="0"/>
            <w:vAlign w:val="center"/>
          </w:tcPr>
          <w:p w14:paraId="4A0C82E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5542A59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JJG795-2004</w:t>
            </w:r>
          </w:p>
        </w:tc>
        <w:tc>
          <w:tcPr>
            <w:tcW w:w="1125" w:type="dxa"/>
            <w:noWrap w:val="0"/>
            <w:vAlign w:val="center"/>
          </w:tcPr>
          <w:p w14:paraId="3E3F566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002-2007</w:t>
            </w:r>
          </w:p>
        </w:tc>
        <w:tc>
          <w:tcPr>
            <w:tcW w:w="1372" w:type="dxa"/>
            <w:noWrap w:val="0"/>
            <w:vAlign w:val="center"/>
          </w:tcPr>
          <w:p w14:paraId="5F3C0F01">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345BADDA">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0E16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69" w:type="dxa"/>
            <w:noWrap w:val="0"/>
            <w:vAlign w:val="center"/>
          </w:tcPr>
          <w:p w14:paraId="3AA3DBFD">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w:t>
            </w:r>
          </w:p>
        </w:tc>
        <w:tc>
          <w:tcPr>
            <w:tcW w:w="1513" w:type="dxa"/>
            <w:noWrap w:val="0"/>
            <w:vAlign w:val="center"/>
          </w:tcPr>
          <w:p w14:paraId="73B4F5DE">
            <w:pPr>
              <w:spacing w:line="280" w:lineRule="exact"/>
              <w:jc w:val="center"/>
              <w:rPr>
                <w:rFonts w:hint="eastAsia" w:ascii="仿宋_GB2312" w:hAnsi="仿宋_GB2312" w:eastAsia="仿宋_GB2312" w:cs="仿宋_GB2312"/>
                <w:color w:val="auto"/>
                <w:kern w:val="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rPr>
              <w:t>XLL—50</w:t>
            </w:r>
          </w:p>
          <w:p w14:paraId="427301C6">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拉力试验机</w:t>
            </w:r>
          </w:p>
        </w:tc>
        <w:tc>
          <w:tcPr>
            <w:tcW w:w="1327" w:type="dxa"/>
            <w:noWrap w:val="0"/>
            <w:vAlign w:val="center"/>
          </w:tcPr>
          <w:p w14:paraId="7BEC505D">
            <w:pPr>
              <w:pStyle w:val="6"/>
              <w:pBdr>
                <w:bottom w:val="none" w:color="auto" w:sz="0" w:space="0"/>
              </w:pBdr>
              <w:tabs>
                <w:tab w:val="clear" w:pos="4153"/>
                <w:tab w:val="clear" w:pos="8306"/>
              </w:tabs>
              <w:snapToGrid/>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066</w:t>
            </w:r>
          </w:p>
        </w:tc>
        <w:tc>
          <w:tcPr>
            <w:tcW w:w="1620" w:type="dxa"/>
            <w:noWrap w:val="0"/>
            <w:vAlign w:val="center"/>
          </w:tcPr>
          <w:p w14:paraId="171C292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845" w:type="dxa"/>
            <w:noWrap w:val="0"/>
            <w:vAlign w:val="center"/>
          </w:tcPr>
          <w:p w14:paraId="46922E8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w:t>
            </w:r>
          </w:p>
          <w:p w14:paraId="7E13602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附着力</w:t>
            </w:r>
          </w:p>
        </w:tc>
        <w:tc>
          <w:tcPr>
            <w:tcW w:w="1637" w:type="dxa"/>
            <w:noWrap w:val="0"/>
            <w:vAlign w:val="center"/>
          </w:tcPr>
          <w:p w14:paraId="1BCB682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500</w:t>
            </w:r>
            <w:r>
              <w:rPr>
                <w:rFonts w:hint="eastAsia" w:ascii="仿宋_GB2312" w:hAnsi="仿宋_GB2312" w:eastAsia="仿宋_GB2312" w:cs="仿宋_GB2312"/>
                <w:color w:val="auto"/>
                <w:sz w:val="21"/>
                <w:szCs w:val="21"/>
                <w:highlight w:val="none"/>
              </w:rPr>
              <w:t>）N</w:t>
            </w:r>
          </w:p>
        </w:tc>
        <w:tc>
          <w:tcPr>
            <w:tcW w:w="1852" w:type="dxa"/>
            <w:noWrap w:val="0"/>
            <w:vAlign w:val="center"/>
          </w:tcPr>
          <w:p w14:paraId="057CBA3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5N-50N</w:t>
            </w:r>
          </w:p>
        </w:tc>
        <w:tc>
          <w:tcPr>
            <w:tcW w:w="911" w:type="dxa"/>
            <w:noWrap w:val="0"/>
            <w:vAlign w:val="center"/>
          </w:tcPr>
          <w:p w14:paraId="5023289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59E7F88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JJG139-2014</w:t>
            </w:r>
          </w:p>
        </w:tc>
        <w:tc>
          <w:tcPr>
            <w:tcW w:w="1125" w:type="dxa"/>
            <w:noWrap w:val="0"/>
            <w:vAlign w:val="center"/>
          </w:tcPr>
          <w:p w14:paraId="37BC3B6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003-2015</w:t>
            </w:r>
          </w:p>
        </w:tc>
        <w:tc>
          <w:tcPr>
            <w:tcW w:w="1372" w:type="dxa"/>
            <w:noWrap w:val="0"/>
            <w:vAlign w:val="center"/>
          </w:tcPr>
          <w:p w14:paraId="66A86603">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6DB21FAE">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6DEB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69" w:type="dxa"/>
            <w:noWrap w:val="0"/>
            <w:vAlign w:val="center"/>
          </w:tcPr>
          <w:p w14:paraId="74ED8936">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13</w:t>
            </w:r>
          </w:p>
        </w:tc>
        <w:tc>
          <w:tcPr>
            <w:tcW w:w="1513" w:type="dxa"/>
            <w:noWrap w:val="0"/>
            <w:vAlign w:val="center"/>
          </w:tcPr>
          <w:p w14:paraId="0BD2155F">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LD24.103</w:t>
            </w:r>
          </w:p>
          <w:p w14:paraId="312C37A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微机控制电子万能试验机</w:t>
            </w:r>
          </w:p>
        </w:tc>
        <w:tc>
          <w:tcPr>
            <w:tcW w:w="1327" w:type="dxa"/>
            <w:noWrap w:val="0"/>
            <w:vAlign w:val="center"/>
          </w:tcPr>
          <w:p w14:paraId="4D15016C">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LD1901006</w:t>
            </w:r>
          </w:p>
        </w:tc>
        <w:tc>
          <w:tcPr>
            <w:tcW w:w="1620" w:type="dxa"/>
            <w:noWrap w:val="0"/>
            <w:vAlign w:val="center"/>
          </w:tcPr>
          <w:p w14:paraId="2760E36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0.5%</w:t>
            </w:r>
          </w:p>
        </w:tc>
        <w:tc>
          <w:tcPr>
            <w:tcW w:w="1845" w:type="dxa"/>
            <w:noWrap w:val="0"/>
            <w:vAlign w:val="center"/>
          </w:tcPr>
          <w:p w14:paraId="281FC19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w:t>
            </w:r>
          </w:p>
          <w:p w14:paraId="41F54C5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附着力</w:t>
            </w:r>
          </w:p>
        </w:tc>
        <w:tc>
          <w:tcPr>
            <w:tcW w:w="1637" w:type="dxa"/>
            <w:noWrap w:val="0"/>
            <w:vAlign w:val="center"/>
          </w:tcPr>
          <w:p w14:paraId="40FDE3E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～1000）N</w:t>
            </w:r>
          </w:p>
        </w:tc>
        <w:tc>
          <w:tcPr>
            <w:tcW w:w="1852" w:type="dxa"/>
            <w:noWrap w:val="0"/>
            <w:vAlign w:val="center"/>
          </w:tcPr>
          <w:p w14:paraId="4337B25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5N-50N</w:t>
            </w:r>
          </w:p>
        </w:tc>
        <w:tc>
          <w:tcPr>
            <w:tcW w:w="911" w:type="dxa"/>
            <w:noWrap w:val="0"/>
            <w:vAlign w:val="center"/>
          </w:tcPr>
          <w:p w14:paraId="219EA94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4C9C0FDC">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JJG475-2008</w:t>
            </w:r>
          </w:p>
        </w:tc>
        <w:tc>
          <w:tcPr>
            <w:tcW w:w="1125" w:type="dxa"/>
            <w:noWrap w:val="0"/>
            <w:vAlign w:val="center"/>
          </w:tcPr>
          <w:p w14:paraId="0262B422">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操</w:t>
            </w:r>
            <w:r>
              <w:rPr>
                <w:rFonts w:hint="eastAsia" w:ascii="仿宋_GB2312" w:hAnsi="仿宋_GB2312" w:eastAsia="仿宋_GB2312" w:cs="仿宋_GB2312"/>
                <w:color w:val="auto"/>
                <w:sz w:val="21"/>
                <w:szCs w:val="21"/>
                <w:highlight w:val="none"/>
                <w:lang w:val="en-US" w:eastAsia="zh-CN"/>
              </w:rPr>
              <w:t>003-2020</w:t>
            </w:r>
          </w:p>
        </w:tc>
        <w:tc>
          <w:tcPr>
            <w:tcW w:w="1372" w:type="dxa"/>
            <w:noWrap w:val="0"/>
            <w:vAlign w:val="center"/>
          </w:tcPr>
          <w:p w14:paraId="2EC9B59C">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7001456C">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636C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69" w:type="dxa"/>
            <w:noWrap w:val="0"/>
            <w:vAlign w:val="center"/>
          </w:tcPr>
          <w:p w14:paraId="74E5E6F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14</w:t>
            </w:r>
          </w:p>
        </w:tc>
        <w:tc>
          <w:tcPr>
            <w:tcW w:w="1513" w:type="dxa"/>
            <w:noWrap w:val="0"/>
            <w:vAlign w:val="center"/>
          </w:tcPr>
          <w:p w14:paraId="2903ACB3">
            <w:pPr>
              <w:spacing w:line="4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KJ-8080</w:t>
            </w:r>
          </w:p>
          <w:p w14:paraId="5C12DF4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电晕电平测试系统</w:t>
            </w:r>
          </w:p>
        </w:tc>
        <w:tc>
          <w:tcPr>
            <w:tcW w:w="1327" w:type="dxa"/>
            <w:noWrap w:val="0"/>
            <w:vAlign w:val="center"/>
          </w:tcPr>
          <w:p w14:paraId="52A5934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181025</w:t>
            </w:r>
          </w:p>
        </w:tc>
        <w:tc>
          <w:tcPr>
            <w:tcW w:w="1620" w:type="dxa"/>
            <w:noWrap w:val="0"/>
            <w:vAlign w:val="center"/>
          </w:tcPr>
          <w:p w14:paraId="3C282EF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845" w:type="dxa"/>
            <w:noWrap w:val="0"/>
            <w:vAlign w:val="center"/>
          </w:tcPr>
          <w:p w14:paraId="27A4BA2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灭晕电压</w:t>
            </w:r>
          </w:p>
        </w:tc>
        <w:tc>
          <w:tcPr>
            <w:tcW w:w="1637" w:type="dxa"/>
            <w:noWrap w:val="0"/>
            <w:vAlign w:val="center"/>
          </w:tcPr>
          <w:p w14:paraId="235BB30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（0～10）kV</w:t>
            </w:r>
          </w:p>
        </w:tc>
        <w:tc>
          <w:tcPr>
            <w:tcW w:w="1852" w:type="dxa"/>
            <w:noWrap w:val="0"/>
            <w:vAlign w:val="center"/>
          </w:tcPr>
          <w:p w14:paraId="0951D2A8">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1.0kV</w:t>
            </w:r>
          </w:p>
        </w:tc>
        <w:tc>
          <w:tcPr>
            <w:tcW w:w="911" w:type="dxa"/>
            <w:noWrap w:val="0"/>
            <w:vAlign w:val="center"/>
          </w:tcPr>
          <w:p w14:paraId="3B676F1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439EF558">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JJF1616-2017</w:t>
            </w:r>
          </w:p>
        </w:tc>
        <w:tc>
          <w:tcPr>
            <w:tcW w:w="1125" w:type="dxa"/>
            <w:noWrap w:val="0"/>
            <w:vAlign w:val="center"/>
          </w:tcPr>
          <w:p w14:paraId="4982F788">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Q/CPCG037-2017</w:t>
            </w:r>
          </w:p>
        </w:tc>
        <w:tc>
          <w:tcPr>
            <w:tcW w:w="1372" w:type="dxa"/>
            <w:noWrap w:val="0"/>
            <w:vAlign w:val="center"/>
          </w:tcPr>
          <w:p w14:paraId="3FAF33E3">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600964DD">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3946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69" w:type="dxa"/>
            <w:noWrap w:val="0"/>
            <w:vAlign w:val="center"/>
          </w:tcPr>
          <w:p w14:paraId="0CBFA6E0">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15</w:t>
            </w:r>
          </w:p>
        </w:tc>
        <w:tc>
          <w:tcPr>
            <w:tcW w:w="1513" w:type="dxa"/>
            <w:noWrap w:val="0"/>
            <w:vAlign w:val="center"/>
          </w:tcPr>
          <w:p w14:paraId="001BAF7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ESL-04KA高低温(交变湿热)试验箱</w:t>
            </w:r>
          </w:p>
        </w:tc>
        <w:tc>
          <w:tcPr>
            <w:tcW w:w="1327" w:type="dxa"/>
            <w:noWrap w:val="0"/>
            <w:vAlign w:val="center"/>
          </w:tcPr>
          <w:p w14:paraId="4A7F3C54">
            <w:pPr>
              <w:pStyle w:val="6"/>
              <w:pBdr>
                <w:bottom w:val="none" w:color="auto" w:sz="0" w:space="0"/>
              </w:pBdr>
              <w:tabs>
                <w:tab w:val="clear" w:pos="4153"/>
                <w:tab w:val="clear" w:pos="8306"/>
              </w:tabs>
              <w:snapToGrid/>
              <w:spacing w:line="2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06107220</w:t>
            </w:r>
          </w:p>
        </w:tc>
        <w:tc>
          <w:tcPr>
            <w:tcW w:w="1620" w:type="dxa"/>
            <w:noWrap w:val="0"/>
            <w:vAlign w:val="center"/>
          </w:tcPr>
          <w:p w14:paraId="005C40C8">
            <w:pPr>
              <w:adjustRightInd w:val="0"/>
              <w:snapToGri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p w14:paraId="091BF094">
            <w:pPr>
              <w:adjustRightInd w:val="0"/>
              <w:snapToGri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精度：波动度：±1℃</w:t>
            </w:r>
          </w:p>
          <w:p w14:paraId="368EB7D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均匀度：±2℃波动度：±1℃</w:t>
            </w:r>
          </w:p>
          <w:p w14:paraId="0331780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w:t>
            </w:r>
          </w:p>
        </w:tc>
        <w:tc>
          <w:tcPr>
            <w:tcW w:w="1845" w:type="dxa"/>
            <w:noWrap w:val="0"/>
            <w:vAlign w:val="center"/>
          </w:tcPr>
          <w:p w14:paraId="788121C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冷弯曲</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电容稳定性</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尺寸稳定性</w:t>
            </w:r>
          </w:p>
        </w:tc>
        <w:tc>
          <w:tcPr>
            <w:tcW w:w="1637" w:type="dxa"/>
            <w:noWrap w:val="0"/>
            <w:vAlign w:val="center"/>
          </w:tcPr>
          <w:p w14:paraId="04D08FA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tc>
        <w:tc>
          <w:tcPr>
            <w:tcW w:w="1852" w:type="dxa"/>
            <w:noWrap w:val="0"/>
            <w:vAlign w:val="center"/>
          </w:tcPr>
          <w:p w14:paraId="0C3DB60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电容稳定性：</w:t>
            </w:r>
          </w:p>
          <w:p w14:paraId="0AEC03A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150℃±2℃、-55℃±2℃</w:t>
            </w:r>
          </w:p>
          <w:p w14:paraId="3C25CAA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冷弯曲：</w:t>
            </w:r>
          </w:p>
          <w:p w14:paraId="451FB43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-55℃±2℃</w:t>
            </w:r>
          </w:p>
          <w:p w14:paraId="70969BA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尺寸稳定性：</w:t>
            </w:r>
          </w:p>
          <w:p w14:paraId="4BBF41A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150℃±2℃</w:t>
            </w:r>
          </w:p>
        </w:tc>
        <w:tc>
          <w:tcPr>
            <w:tcW w:w="911" w:type="dxa"/>
            <w:noWrap w:val="0"/>
            <w:vAlign w:val="center"/>
          </w:tcPr>
          <w:p w14:paraId="6B5BE61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588358AC">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125" w:type="dxa"/>
            <w:noWrap w:val="0"/>
            <w:vAlign w:val="center"/>
          </w:tcPr>
          <w:p w14:paraId="03E168D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016-2007</w:t>
            </w:r>
          </w:p>
        </w:tc>
        <w:tc>
          <w:tcPr>
            <w:tcW w:w="1372" w:type="dxa"/>
            <w:noWrap w:val="0"/>
            <w:vAlign w:val="center"/>
          </w:tcPr>
          <w:p w14:paraId="5A143828">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78D9EC67">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23BC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469" w:type="dxa"/>
            <w:noWrap w:val="0"/>
            <w:vAlign w:val="center"/>
          </w:tcPr>
          <w:p w14:paraId="09348B57">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16</w:t>
            </w:r>
          </w:p>
        </w:tc>
        <w:tc>
          <w:tcPr>
            <w:tcW w:w="1513" w:type="dxa"/>
            <w:noWrap w:val="0"/>
            <w:vAlign w:val="center"/>
          </w:tcPr>
          <w:p w14:paraId="137B9F51">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WG3005H</w:t>
            </w:r>
          </w:p>
          <w:p w14:paraId="5F224676">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老化试验箱</w:t>
            </w:r>
          </w:p>
        </w:tc>
        <w:tc>
          <w:tcPr>
            <w:tcW w:w="1327" w:type="dxa"/>
            <w:noWrap w:val="0"/>
            <w:vAlign w:val="center"/>
          </w:tcPr>
          <w:p w14:paraId="2EEE871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TST2016239</w:t>
            </w:r>
          </w:p>
        </w:tc>
        <w:tc>
          <w:tcPr>
            <w:tcW w:w="1620" w:type="dxa"/>
            <w:noWrap w:val="0"/>
            <w:vAlign w:val="center"/>
          </w:tcPr>
          <w:p w14:paraId="30909EC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均匀性：±1℃</w:t>
            </w:r>
          </w:p>
          <w:p w14:paraId="6786F4C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偏差：±2℃</w:t>
            </w:r>
          </w:p>
        </w:tc>
        <w:tc>
          <w:tcPr>
            <w:tcW w:w="1845" w:type="dxa"/>
            <w:noWrap w:val="0"/>
            <w:vAlign w:val="center"/>
          </w:tcPr>
          <w:p w14:paraId="5F3769E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老化稳定性</w:t>
            </w:r>
          </w:p>
        </w:tc>
        <w:tc>
          <w:tcPr>
            <w:tcW w:w="1637" w:type="dxa"/>
            <w:noWrap w:val="0"/>
            <w:vAlign w:val="center"/>
          </w:tcPr>
          <w:p w14:paraId="2A07F1C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（RT+20～300）℃</w:t>
            </w:r>
          </w:p>
        </w:tc>
        <w:tc>
          <w:tcPr>
            <w:tcW w:w="1852" w:type="dxa"/>
            <w:noWrap w:val="0"/>
            <w:vAlign w:val="center"/>
          </w:tcPr>
          <w:p w14:paraId="553517F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150℃±3℃</w:t>
            </w:r>
          </w:p>
        </w:tc>
        <w:tc>
          <w:tcPr>
            <w:tcW w:w="911" w:type="dxa"/>
            <w:noWrap w:val="0"/>
            <w:vAlign w:val="center"/>
          </w:tcPr>
          <w:p w14:paraId="657CCD0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5DC219DA">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125" w:type="dxa"/>
            <w:noWrap w:val="0"/>
            <w:vAlign w:val="center"/>
          </w:tcPr>
          <w:p w14:paraId="79DEFAF1">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操</w:t>
            </w:r>
            <w:r>
              <w:rPr>
                <w:rFonts w:hint="eastAsia" w:ascii="仿宋_GB2312" w:hAnsi="仿宋_GB2312" w:eastAsia="仿宋_GB2312" w:cs="仿宋_GB2312"/>
                <w:color w:val="auto"/>
                <w:sz w:val="21"/>
                <w:szCs w:val="21"/>
                <w:highlight w:val="none"/>
                <w:lang w:val="en-US" w:eastAsia="zh-CN"/>
              </w:rPr>
              <w:t>008-2021</w:t>
            </w:r>
          </w:p>
        </w:tc>
        <w:tc>
          <w:tcPr>
            <w:tcW w:w="1372" w:type="dxa"/>
            <w:noWrap w:val="0"/>
            <w:vAlign w:val="center"/>
          </w:tcPr>
          <w:p w14:paraId="22E323EC">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4C0369CE">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1AB1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469" w:type="dxa"/>
            <w:noWrap w:val="0"/>
            <w:vAlign w:val="center"/>
          </w:tcPr>
          <w:p w14:paraId="5916B326">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17</w:t>
            </w:r>
          </w:p>
        </w:tc>
        <w:tc>
          <w:tcPr>
            <w:tcW w:w="1513" w:type="dxa"/>
            <w:noWrap w:val="0"/>
            <w:vAlign w:val="center"/>
          </w:tcPr>
          <w:p w14:paraId="601519B3">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GLS-3</w:t>
            </w:r>
          </w:p>
          <w:p w14:paraId="7A9201A5">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6"/>
                <w:sz w:val="21"/>
                <w:szCs w:val="21"/>
                <w:highlight w:val="none"/>
              </w:rPr>
              <w:t>反复弯曲试验机</w:t>
            </w:r>
          </w:p>
        </w:tc>
        <w:tc>
          <w:tcPr>
            <w:tcW w:w="1327" w:type="dxa"/>
            <w:noWrap w:val="0"/>
            <w:vAlign w:val="center"/>
          </w:tcPr>
          <w:p w14:paraId="516FF41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01—07</w:t>
            </w:r>
          </w:p>
        </w:tc>
        <w:tc>
          <w:tcPr>
            <w:tcW w:w="1620" w:type="dxa"/>
            <w:noWrap w:val="0"/>
            <w:vAlign w:val="center"/>
          </w:tcPr>
          <w:p w14:paraId="464B0D3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845" w:type="dxa"/>
            <w:noWrap w:val="0"/>
            <w:vAlign w:val="center"/>
          </w:tcPr>
          <w:p w14:paraId="23A73F1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弯曲性</w:t>
            </w:r>
          </w:p>
        </w:tc>
        <w:tc>
          <w:tcPr>
            <w:tcW w:w="1637" w:type="dxa"/>
            <w:noWrap w:val="0"/>
            <w:vAlign w:val="center"/>
          </w:tcPr>
          <w:p w14:paraId="05B1541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±90º,φ250 mm、φ400 mm、φ500 mm</w:t>
            </w:r>
          </w:p>
        </w:tc>
        <w:tc>
          <w:tcPr>
            <w:tcW w:w="1852" w:type="dxa"/>
            <w:noWrap w:val="0"/>
            <w:vAlign w:val="center"/>
          </w:tcPr>
          <w:p w14:paraId="67B9CF0E">
            <w:pPr>
              <w:spacing w:line="28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pacing w:val="6"/>
                <w:sz w:val="21"/>
                <w:szCs w:val="21"/>
                <w:highlight w:val="none"/>
              </w:rPr>
              <w:t>施加负荷3N</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水平向右弯曲90°</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2s一次循环</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芯棒直径45mm，弯曲循环次数10次。试验后，电缆护套表面应无开裂、裂纹或其它损伤现象</w:t>
            </w:r>
          </w:p>
        </w:tc>
        <w:tc>
          <w:tcPr>
            <w:tcW w:w="911" w:type="dxa"/>
            <w:noWrap w:val="0"/>
            <w:vAlign w:val="center"/>
          </w:tcPr>
          <w:p w14:paraId="79B3C72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369" w:type="dxa"/>
            <w:noWrap w:val="0"/>
            <w:vAlign w:val="center"/>
          </w:tcPr>
          <w:p w14:paraId="2718E83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JL/G 2006-02</w:t>
            </w:r>
          </w:p>
        </w:tc>
        <w:tc>
          <w:tcPr>
            <w:tcW w:w="1125" w:type="dxa"/>
            <w:noWrap w:val="0"/>
            <w:vAlign w:val="center"/>
          </w:tcPr>
          <w:p w14:paraId="1743D16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372" w:type="dxa"/>
            <w:noWrap w:val="0"/>
            <w:vAlign w:val="center"/>
          </w:tcPr>
          <w:p w14:paraId="10D3C5F2">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79CEC7EB">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bl>
    <w:p w14:paraId="0E0286B7">
      <w:pP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br w:type="page"/>
      </w:r>
    </w:p>
    <w:p w14:paraId="233EBA8D">
      <w:pPr>
        <w:spacing w:afterLines="50" w:line="380" w:lineRule="exact"/>
        <w:outlineLvl w:val="0"/>
        <w:rPr>
          <w:rFonts w:hint="eastAsia" w:ascii="仿宋_GB2312" w:hAnsi="仿宋_GB2312" w:eastAsia="仿宋_GB2312" w:cs="仿宋_GB2312"/>
          <w:color w:val="auto"/>
          <w:sz w:val="21"/>
          <w:szCs w:val="21"/>
          <w:highlight w:val="none"/>
        </w:rPr>
      </w:pPr>
      <w:bookmarkStart w:id="205" w:name="_Toc21467"/>
      <w:r>
        <w:rPr>
          <w:rFonts w:hint="eastAsia" w:ascii="仿宋_GB2312" w:hAnsi="仿宋_GB2312" w:eastAsia="仿宋_GB2312" w:cs="仿宋_GB2312"/>
          <w:color w:val="auto"/>
          <w:sz w:val="21"/>
          <w:szCs w:val="21"/>
          <w:highlight w:val="none"/>
        </w:rPr>
        <w:t>附录E.7  失效分析设备清单</w:t>
      </w:r>
      <w:bookmarkEnd w:id="205"/>
    </w:p>
    <w:p w14:paraId="5802533B">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失效分析设备清单</w:t>
      </w:r>
    </w:p>
    <w:tbl>
      <w:tblPr>
        <w:tblStyle w:val="8"/>
        <w:tblW w:w="15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513"/>
        <w:gridCol w:w="1327"/>
        <w:gridCol w:w="1620"/>
        <w:gridCol w:w="1653"/>
        <w:gridCol w:w="1700"/>
        <w:gridCol w:w="1840"/>
        <w:gridCol w:w="928"/>
        <w:gridCol w:w="1402"/>
        <w:gridCol w:w="1125"/>
        <w:gridCol w:w="1497"/>
      </w:tblGrid>
      <w:tr w14:paraId="08F3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469" w:type="dxa"/>
            <w:noWrap w:val="0"/>
            <w:vAlign w:val="center"/>
          </w:tcPr>
          <w:p w14:paraId="5684D888">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513" w:type="dxa"/>
            <w:noWrap w:val="0"/>
            <w:vAlign w:val="center"/>
          </w:tcPr>
          <w:p w14:paraId="40D79300">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w:t>
            </w:r>
            <w:r>
              <w:rPr>
                <w:rFonts w:hint="eastAsia" w:ascii="仿宋_GB2312" w:hAnsi="仿宋_GB2312" w:cs="仿宋_GB2312"/>
                <w:color w:val="auto"/>
                <w:sz w:val="21"/>
                <w:szCs w:val="21"/>
                <w:highlight w:val="none"/>
                <w:lang w:eastAsia="zh-CN"/>
              </w:rPr>
              <w:t>型号</w:t>
            </w: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名称</w:t>
            </w:r>
          </w:p>
        </w:tc>
        <w:tc>
          <w:tcPr>
            <w:tcW w:w="1327" w:type="dxa"/>
            <w:noWrap w:val="0"/>
            <w:vAlign w:val="center"/>
          </w:tcPr>
          <w:p w14:paraId="0447B592">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1620" w:type="dxa"/>
            <w:noWrap w:val="0"/>
            <w:vAlign w:val="center"/>
          </w:tcPr>
          <w:p w14:paraId="654414A1">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653" w:type="dxa"/>
            <w:noWrap w:val="0"/>
            <w:vAlign w:val="center"/>
          </w:tcPr>
          <w:p w14:paraId="1525F78B">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700" w:type="dxa"/>
            <w:noWrap w:val="0"/>
            <w:vAlign w:val="center"/>
          </w:tcPr>
          <w:p w14:paraId="0044CAB9">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840" w:type="dxa"/>
            <w:noWrap w:val="0"/>
            <w:vAlign w:val="center"/>
          </w:tcPr>
          <w:p w14:paraId="417633D8">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928" w:type="dxa"/>
            <w:noWrap w:val="0"/>
            <w:vAlign w:val="center"/>
          </w:tcPr>
          <w:p w14:paraId="5FE5A690">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5EAD854C">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402" w:type="dxa"/>
            <w:noWrap w:val="0"/>
            <w:vAlign w:val="center"/>
          </w:tcPr>
          <w:p w14:paraId="6A4DF70F">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08D57FCA">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125" w:type="dxa"/>
            <w:noWrap w:val="0"/>
            <w:vAlign w:val="center"/>
          </w:tcPr>
          <w:p w14:paraId="451A6B74">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14E0AD6B">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497" w:type="dxa"/>
            <w:noWrap w:val="0"/>
            <w:vAlign w:val="center"/>
          </w:tcPr>
          <w:p w14:paraId="5184EE0A">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w:t>
            </w:r>
          </w:p>
          <w:p w14:paraId="52A4FE0D">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地点</w:t>
            </w:r>
          </w:p>
        </w:tc>
      </w:tr>
      <w:tr w14:paraId="04F9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69" w:type="dxa"/>
            <w:noWrap w:val="0"/>
            <w:vAlign w:val="center"/>
          </w:tcPr>
          <w:p w14:paraId="723F431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513" w:type="dxa"/>
            <w:noWrap w:val="0"/>
            <w:vAlign w:val="center"/>
          </w:tcPr>
          <w:p w14:paraId="2D9424B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0～25）mm</w:t>
            </w:r>
          </w:p>
          <w:p w14:paraId="1EE23E5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千分尺</w:t>
            </w:r>
          </w:p>
        </w:tc>
        <w:tc>
          <w:tcPr>
            <w:tcW w:w="1327" w:type="dxa"/>
            <w:noWrap w:val="0"/>
            <w:vAlign w:val="center"/>
          </w:tcPr>
          <w:p w14:paraId="5EFF25DE">
            <w:pPr>
              <w:spacing w:line="280" w:lineRule="exact"/>
              <w:ind w:firstLine="378" w:firstLineChars="20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Q-136</w:t>
            </w:r>
          </w:p>
        </w:tc>
        <w:tc>
          <w:tcPr>
            <w:tcW w:w="1620" w:type="dxa"/>
            <w:noWrap w:val="0"/>
            <w:vAlign w:val="center"/>
          </w:tcPr>
          <w:p w14:paraId="64DA46D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w:t>
            </w:r>
          </w:p>
        </w:tc>
        <w:tc>
          <w:tcPr>
            <w:tcW w:w="1653" w:type="dxa"/>
            <w:noWrap w:val="0"/>
            <w:vAlign w:val="center"/>
          </w:tcPr>
          <w:p w14:paraId="06929C3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内导体直径</w:t>
            </w:r>
          </w:p>
        </w:tc>
        <w:tc>
          <w:tcPr>
            <w:tcW w:w="1700" w:type="dxa"/>
            <w:noWrap w:val="0"/>
            <w:vAlign w:val="center"/>
          </w:tcPr>
          <w:p w14:paraId="4D16DEC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1840" w:type="dxa"/>
            <w:noWrap w:val="0"/>
            <w:vAlign w:val="center"/>
          </w:tcPr>
          <w:p w14:paraId="24A9116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928" w:type="dxa"/>
            <w:noWrap w:val="0"/>
            <w:vAlign w:val="center"/>
          </w:tcPr>
          <w:p w14:paraId="1A5AAFD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676D706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JJG21-2008</w:t>
            </w:r>
          </w:p>
        </w:tc>
        <w:tc>
          <w:tcPr>
            <w:tcW w:w="1125" w:type="dxa"/>
            <w:noWrap w:val="0"/>
            <w:vAlign w:val="center"/>
          </w:tcPr>
          <w:p w14:paraId="7B74CD2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97" w:type="dxa"/>
            <w:noWrap w:val="0"/>
            <w:vAlign w:val="center"/>
          </w:tcPr>
          <w:p w14:paraId="6CBD8E18">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防务装备</w:t>
            </w:r>
          </w:p>
          <w:p w14:paraId="7847979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事业部</w:t>
            </w:r>
            <w:r>
              <w:rPr>
                <w:rFonts w:hint="eastAsia" w:ascii="仿宋_GB2312" w:hAnsi="仿宋_GB2312" w:eastAsia="仿宋_GB2312" w:cs="仿宋_GB2312"/>
                <w:color w:val="auto"/>
                <w:sz w:val="21"/>
                <w:szCs w:val="21"/>
                <w:highlight w:val="none"/>
              </w:rPr>
              <w:t>检验站</w:t>
            </w:r>
          </w:p>
        </w:tc>
      </w:tr>
      <w:tr w14:paraId="0FE4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69" w:type="dxa"/>
            <w:noWrap w:val="0"/>
            <w:vAlign w:val="center"/>
          </w:tcPr>
          <w:p w14:paraId="519F284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1513" w:type="dxa"/>
            <w:noWrap w:val="0"/>
            <w:vAlign w:val="center"/>
          </w:tcPr>
          <w:p w14:paraId="348652B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0～25）mm</w:t>
            </w:r>
          </w:p>
          <w:p w14:paraId="37CBC1A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千分尺</w:t>
            </w:r>
          </w:p>
        </w:tc>
        <w:tc>
          <w:tcPr>
            <w:tcW w:w="1327" w:type="dxa"/>
            <w:noWrap w:val="0"/>
            <w:vAlign w:val="center"/>
          </w:tcPr>
          <w:p w14:paraId="0990BAED">
            <w:pPr>
              <w:spacing w:line="280" w:lineRule="exact"/>
              <w:ind w:firstLine="378" w:firstLineChars="20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Q-457</w:t>
            </w:r>
          </w:p>
        </w:tc>
        <w:tc>
          <w:tcPr>
            <w:tcW w:w="1620" w:type="dxa"/>
            <w:noWrap w:val="0"/>
            <w:vAlign w:val="center"/>
          </w:tcPr>
          <w:p w14:paraId="09823D6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w:t>
            </w:r>
          </w:p>
        </w:tc>
        <w:tc>
          <w:tcPr>
            <w:tcW w:w="1653" w:type="dxa"/>
            <w:noWrap w:val="0"/>
            <w:vAlign w:val="center"/>
          </w:tcPr>
          <w:p w14:paraId="56300B0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内导体直径</w:t>
            </w:r>
          </w:p>
        </w:tc>
        <w:tc>
          <w:tcPr>
            <w:tcW w:w="1700" w:type="dxa"/>
            <w:noWrap w:val="0"/>
            <w:vAlign w:val="center"/>
          </w:tcPr>
          <w:p w14:paraId="24A5D18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1840" w:type="dxa"/>
            <w:noWrap w:val="0"/>
            <w:vAlign w:val="center"/>
          </w:tcPr>
          <w:p w14:paraId="69240E0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928" w:type="dxa"/>
            <w:noWrap w:val="0"/>
            <w:vAlign w:val="center"/>
          </w:tcPr>
          <w:p w14:paraId="482FCB9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5968C14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JJG21-2008</w:t>
            </w:r>
          </w:p>
        </w:tc>
        <w:tc>
          <w:tcPr>
            <w:tcW w:w="1125" w:type="dxa"/>
            <w:noWrap w:val="0"/>
            <w:vAlign w:val="center"/>
          </w:tcPr>
          <w:p w14:paraId="64D0780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97" w:type="dxa"/>
            <w:noWrap w:val="0"/>
            <w:vAlign w:val="center"/>
          </w:tcPr>
          <w:p w14:paraId="58236FE0">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38E9663F">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62E5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69" w:type="dxa"/>
            <w:noWrap w:val="0"/>
            <w:vAlign w:val="center"/>
          </w:tcPr>
          <w:p w14:paraId="38AF5CA0">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w:t>
            </w:r>
          </w:p>
        </w:tc>
        <w:tc>
          <w:tcPr>
            <w:tcW w:w="1513" w:type="dxa"/>
            <w:noWrap w:val="0"/>
            <w:vAlign w:val="center"/>
          </w:tcPr>
          <w:p w14:paraId="28E8067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p w14:paraId="74E994A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327" w:type="dxa"/>
            <w:noWrap w:val="0"/>
            <w:vAlign w:val="center"/>
          </w:tcPr>
          <w:p w14:paraId="7684C57F">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K--121</w:t>
            </w:r>
          </w:p>
        </w:tc>
        <w:tc>
          <w:tcPr>
            <w:tcW w:w="1620" w:type="dxa"/>
            <w:noWrap w:val="0"/>
            <w:vAlign w:val="center"/>
          </w:tcPr>
          <w:p w14:paraId="1C8F335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 mm</w:t>
            </w:r>
          </w:p>
        </w:tc>
        <w:tc>
          <w:tcPr>
            <w:tcW w:w="1653" w:type="dxa"/>
            <w:noWrap w:val="0"/>
            <w:vAlign w:val="center"/>
          </w:tcPr>
          <w:p w14:paraId="2D54732A">
            <w:pPr>
              <w:spacing w:line="240" w:lineRule="exact"/>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外导体外径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电缆外径</w:t>
            </w:r>
          </w:p>
        </w:tc>
        <w:tc>
          <w:tcPr>
            <w:tcW w:w="1700" w:type="dxa"/>
            <w:noWrap w:val="0"/>
            <w:vAlign w:val="center"/>
          </w:tcPr>
          <w:p w14:paraId="7625F138">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840" w:type="dxa"/>
            <w:noWrap w:val="0"/>
            <w:vAlign w:val="center"/>
          </w:tcPr>
          <w:p w14:paraId="7920F724">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928" w:type="dxa"/>
            <w:noWrap w:val="0"/>
            <w:vAlign w:val="center"/>
          </w:tcPr>
          <w:p w14:paraId="32D8AAA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009A87C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125" w:type="dxa"/>
            <w:noWrap w:val="0"/>
            <w:vAlign w:val="center"/>
          </w:tcPr>
          <w:p w14:paraId="76CAF60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97" w:type="dxa"/>
            <w:noWrap w:val="0"/>
            <w:vAlign w:val="center"/>
          </w:tcPr>
          <w:p w14:paraId="0AEB90A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1963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69" w:type="dxa"/>
            <w:noWrap w:val="0"/>
            <w:vAlign w:val="center"/>
          </w:tcPr>
          <w:p w14:paraId="1457CD9F">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w:t>
            </w:r>
          </w:p>
        </w:tc>
        <w:tc>
          <w:tcPr>
            <w:tcW w:w="1513" w:type="dxa"/>
            <w:noWrap w:val="0"/>
            <w:vAlign w:val="center"/>
          </w:tcPr>
          <w:p w14:paraId="1DC686E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p w14:paraId="4C134C1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327" w:type="dxa"/>
            <w:noWrap w:val="0"/>
            <w:vAlign w:val="center"/>
          </w:tcPr>
          <w:p w14:paraId="2087FC7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K-327</w:t>
            </w:r>
          </w:p>
        </w:tc>
        <w:tc>
          <w:tcPr>
            <w:tcW w:w="1620" w:type="dxa"/>
            <w:noWrap w:val="0"/>
            <w:vAlign w:val="center"/>
          </w:tcPr>
          <w:p w14:paraId="202C02D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 mm</w:t>
            </w:r>
          </w:p>
        </w:tc>
        <w:tc>
          <w:tcPr>
            <w:tcW w:w="1653" w:type="dxa"/>
            <w:noWrap w:val="0"/>
            <w:vAlign w:val="center"/>
          </w:tcPr>
          <w:p w14:paraId="5D51248A">
            <w:pPr>
              <w:adjustRightInd w:val="0"/>
              <w:spacing w:line="240" w:lineRule="exact"/>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外导体外径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电缆外径</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尺寸稳定性</w:t>
            </w:r>
          </w:p>
        </w:tc>
        <w:tc>
          <w:tcPr>
            <w:tcW w:w="1700" w:type="dxa"/>
            <w:noWrap w:val="0"/>
            <w:vAlign w:val="center"/>
          </w:tcPr>
          <w:p w14:paraId="5E7ED12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840" w:type="dxa"/>
            <w:noWrap w:val="0"/>
            <w:vAlign w:val="center"/>
          </w:tcPr>
          <w:p w14:paraId="6E31EDD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928" w:type="dxa"/>
            <w:noWrap w:val="0"/>
            <w:vAlign w:val="center"/>
          </w:tcPr>
          <w:p w14:paraId="343104B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3B67D8D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125" w:type="dxa"/>
            <w:noWrap w:val="0"/>
            <w:vAlign w:val="center"/>
          </w:tcPr>
          <w:p w14:paraId="09C0F72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97" w:type="dxa"/>
            <w:noWrap w:val="0"/>
            <w:vAlign w:val="center"/>
          </w:tcPr>
          <w:p w14:paraId="0560D76D">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795D3F07">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7757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69" w:type="dxa"/>
            <w:noWrap w:val="0"/>
            <w:vAlign w:val="center"/>
          </w:tcPr>
          <w:p w14:paraId="76E6CD20">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1513" w:type="dxa"/>
            <w:noWrap w:val="0"/>
            <w:vAlign w:val="center"/>
          </w:tcPr>
          <w:p w14:paraId="5B16DAF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N5234A</w:t>
            </w:r>
          </w:p>
          <w:p w14:paraId="4F21EC0B">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矢量网络分析仪</w:t>
            </w:r>
          </w:p>
        </w:tc>
        <w:tc>
          <w:tcPr>
            <w:tcW w:w="1327" w:type="dxa"/>
            <w:noWrap w:val="0"/>
            <w:vAlign w:val="center"/>
          </w:tcPr>
          <w:p w14:paraId="22A877D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MY52241233</w:t>
            </w:r>
          </w:p>
        </w:tc>
        <w:tc>
          <w:tcPr>
            <w:tcW w:w="1620" w:type="dxa"/>
            <w:noWrap w:val="0"/>
            <w:vAlign w:val="center"/>
          </w:tcPr>
          <w:p w14:paraId="5916A74C">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电平：±1.0dB</w:t>
            </w:r>
          </w:p>
          <w:p w14:paraId="0414A763">
            <w:pPr>
              <w:spacing w:line="2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频率准确度：±1×10</w:t>
            </w:r>
            <w:r>
              <w:rPr>
                <w:rFonts w:hint="eastAsia" w:ascii="仿宋_GB2312" w:hAnsi="仿宋_GB2312" w:eastAsia="仿宋_GB2312" w:cs="仿宋_GB2312"/>
                <w:color w:val="auto"/>
                <w:sz w:val="21"/>
                <w:szCs w:val="21"/>
                <w:highlight w:val="none"/>
                <w:vertAlign w:val="superscript"/>
              </w:rPr>
              <w:t>-6</w:t>
            </w:r>
          </w:p>
        </w:tc>
        <w:tc>
          <w:tcPr>
            <w:tcW w:w="1653" w:type="dxa"/>
            <w:noWrap w:val="0"/>
            <w:vAlign w:val="center"/>
          </w:tcPr>
          <w:p w14:paraId="6A1BA9E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特性阻抗、衰减常数、电压驻波比、延时</w:t>
            </w:r>
          </w:p>
        </w:tc>
        <w:tc>
          <w:tcPr>
            <w:tcW w:w="1700" w:type="dxa"/>
            <w:noWrap w:val="0"/>
            <w:vAlign w:val="center"/>
          </w:tcPr>
          <w:p w14:paraId="61B1DDC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10MHz-40GHz</w:t>
            </w:r>
          </w:p>
        </w:tc>
        <w:tc>
          <w:tcPr>
            <w:tcW w:w="1840" w:type="dxa"/>
            <w:noWrap w:val="0"/>
            <w:vAlign w:val="center"/>
          </w:tcPr>
          <w:p w14:paraId="055DAEC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0.03GHz～10GHz </w:t>
            </w:r>
          </w:p>
        </w:tc>
        <w:tc>
          <w:tcPr>
            <w:tcW w:w="928" w:type="dxa"/>
            <w:noWrap w:val="0"/>
            <w:vAlign w:val="center"/>
          </w:tcPr>
          <w:p w14:paraId="338A140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5710402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w:t>
            </w:r>
            <w:r>
              <w:rPr>
                <w:rFonts w:hint="eastAsia" w:ascii="仿宋_GB2312" w:hAnsi="仿宋_GB2312" w:eastAsia="仿宋_GB2312" w:cs="仿宋_GB2312"/>
                <w:color w:val="auto"/>
                <w:sz w:val="21"/>
                <w:szCs w:val="21"/>
                <w:highlight w:val="none"/>
                <w:lang w:eastAsia="zh-CN"/>
              </w:rPr>
              <w:t>（军工）</w:t>
            </w:r>
            <w:r>
              <w:rPr>
                <w:rFonts w:hint="eastAsia" w:ascii="仿宋_GB2312" w:hAnsi="仿宋_GB2312" w:eastAsia="仿宋_GB2312" w:cs="仿宋_GB2312"/>
                <w:color w:val="auto"/>
                <w:sz w:val="21"/>
                <w:szCs w:val="21"/>
                <w:highlight w:val="none"/>
                <w:lang w:val="en-US" w:eastAsia="zh-CN"/>
              </w:rPr>
              <w:t>232-2020</w:t>
            </w:r>
          </w:p>
        </w:tc>
        <w:tc>
          <w:tcPr>
            <w:tcW w:w="1125" w:type="dxa"/>
            <w:noWrap w:val="0"/>
            <w:vAlign w:val="center"/>
          </w:tcPr>
          <w:p w14:paraId="4B6DDEE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033-2016</w:t>
            </w:r>
          </w:p>
        </w:tc>
        <w:tc>
          <w:tcPr>
            <w:tcW w:w="1497" w:type="dxa"/>
            <w:noWrap w:val="0"/>
            <w:vAlign w:val="center"/>
          </w:tcPr>
          <w:p w14:paraId="6049629C">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防务装备</w:t>
            </w:r>
          </w:p>
          <w:p w14:paraId="7CC78C1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事业</w:t>
            </w:r>
            <w:r>
              <w:rPr>
                <w:rFonts w:hint="eastAsia" w:ascii="仿宋_GB2312" w:hAnsi="仿宋_GB2312" w:eastAsia="仿宋_GB2312" w:cs="仿宋_GB2312"/>
                <w:color w:val="auto"/>
                <w:sz w:val="21"/>
                <w:szCs w:val="21"/>
                <w:highlight w:val="none"/>
              </w:rPr>
              <w:t>部</w:t>
            </w:r>
          </w:p>
        </w:tc>
      </w:tr>
      <w:tr w14:paraId="037C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69" w:type="dxa"/>
            <w:noWrap w:val="0"/>
            <w:vAlign w:val="center"/>
          </w:tcPr>
          <w:p w14:paraId="4F910144">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w:t>
            </w:r>
          </w:p>
        </w:tc>
        <w:tc>
          <w:tcPr>
            <w:tcW w:w="1513" w:type="dxa"/>
            <w:noWrap w:val="0"/>
            <w:vAlign w:val="center"/>
          </w:tcPr>
          <w:p w14:paraId="790F1E21">
            <w:pPr>
              <w:spacing w:line="280" w:lineRule="exact"/>
              <w:jc w:val="center"/>
              <w:rPr>
                <w:rFonts w:hint="eastAsia" w:ascii="仿宋_GB2312" w:hAnsi="仿宋_GB2312" w:eastAsia="仿宋_GB2312" w:cs="仿宋_GB2312"/>
                <w:color w:val="auto"/>
                <w:kern w:val="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rPr>
              <w:t>ZJ2618A</w:t>
            </w:r>
          </w:p>
          <w:p w14:paraId="3697AE2E">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电容测量仪</w:t>
            </w:r>
          </w:p>
        </w:tc>
        <w:tc>
          <w:tcPr>
            <w:tcW w:w="1327" w:type="dxa"/>
            <w:noWrap w:val="0"/>
            <w:vAlign w:val="center"/>
          </w:tcPr>
          <w:p w14:paraId="574F9952">
            <w:pPr>
              <w:pStyle w:val="6"/>
              <w:pBdr>
                <w:bottom w:val="none" w:color="auto" w:sz="0" w:space="0"/>
              </w:pBdr>
              <w:tabs>
                <w:tab w:val="clear" w:pos="4153"/>
                <w:tab w:val="clear" w:pos="8306"/>
              </w:tabs>
              <w:snapToGrid/>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101193</w:t>
            </w:r>
          </w:p>
        </w:tc>
        <w:tc>
          <w:tcPr>
            <w:tcW w:w="1620" w:type="dxa"/>
            <w:noWrap w:val="0"/>
            <w:vAlign w:val="center"/>
          </w:tcPr>
          <w:p w14:paraId="7D225CB9">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±0.1%</w:t>
            </w:r>
          </w:p>
        </w:tc>
        <w:tc>
          <w:tcPr>
            <w:tcW w:w="1653" w:type="dxa"/>
            <w:noWrap w:val="0"/>
            <w:vAlign w:val="center"/>
          </w:tcPr>
          <w:p w14:paraId="1C95F3CC">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电容、电容稳定性</w:t>
            </w:r>
          </w:p>
        </w:tc>
        <w:tc>
          <w:tcPr>
            <w:tcW w:w="1700" w:type="dxa"/>
            <w:noWrap w:val="0"/>
            <w:vAlign w:val="center"/>
          </w:tcPr>
          <w:p w14:paraId="200583C6">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0.01pF～9999μF</w:t>
            </w:r>
          </w:p>
        </w:tc>
        <w:tc>
          <w:tcPr>
            <w:tcW w:w="1840" w:type="dxa"/>
            <w:noWrap w:val="0"/>
            <w:vAlign w:val="bottom"/>
          </w:tcPr>
          <w:p w14:paraId="62AFFCC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≤94pF/m</w:t>
            </w:r>
          </w:p>
          <w:p w14:paraId="2B164628">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p>
        </w:tc>
        <w:tc>
          <w:tcPr>
            <w:tcW w:w="928" w:type="dxa"/>
            <w:noWrap w:val="0"/>
            <w:vAlign w:val="center"/>
          </w:tcPr>
          <w:p w14:paraId="566017CE">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5DFB0EDD">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GJB</w:t>
            </w:r>
            <w:r>
              <w:rPr>
                <w:rFonts w:hint="eastAsia" w:ascii="仿宋_GB2312" w:hAnsi="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8817-2015</w:t>
            </w:r>
          </w:p>
        </w:tc>
        <w:tc>
          <w:tcPr>
            <w:tcW w:w="1125" w:type="dxa"/>
            <w:noWrap w:val="0"/>
            <w:vAlign w:val="center"/>
          </w:tcPr>
          <w:p w14:paraId="4274833D">
            <w:pPr>
              <w:spacing w:line="2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013-2011</w:t>
            </w:r>
          </w:p>
        </w:tc>
        <w:tc>
          <w:tcPr>
            <w:tcW w:w="1497" w:type="dxa"/>
            <w:noWrap w:val="0"/>
            <w:vAlign w:val="center"/>
          </w:tcPr>
          <w:p w14:paraId="4CF1F775">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063624CF">
            <w:pPr>
              <w:spacing w:line="280" w:lineRule="exact"/>
              <w:jc w:val="center"/>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eastAsia="zh-CN"/>
              </w:rPr>
              <w:t>检测计量中心</w:t>
            </w:r>
          </w:p>
        </w:tc>
      </w:tr>
      <w:tr w14:paraId="6B4C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69" w:type="dxa"/>
            <w:noWrap w:val="0"/>
            <w:vAlign w:val="center"/>
          </w:tcPr>
          <w:p w14:paraId="3443E902">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1513" w:type="dxa"/>
            <w:noWrap w:val="0"/>
            <w:vAlign w:val="center"/>
          </w:tcPr>
          <w:p w14:paraId="112FE07F">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TG328A</w:t>
            </w:r>
          </w:p>
          <w:p w14:paraId="1923A45B">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lang w:val="en-US" w:eastAsia="zh-CN"/>
              </w:rPr>
              <w:t>电光分析天平</w:t>
            </w:r>
          </w:p>
        </w:tc>
        <w:tc>
          <w:tcPr>
            <w:tcW w:w="1327" w:type="dxa"/>
            <w:noWrap w:val="0"/>
            <w:vAlign w:val="center"/>
          </w:tcPr>
          <w:p w14:paraId="20470CF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50442</w:t>
            </w:r>
          </w:p>
        </w:tc>
        <w:tc>
          <w:tcPr>
            <w:tcW w:w="1620" w:type="dxa"/>
            <w:noWrap w:val="0"/>
            <w:vAlign w:val="center"/>
          </w:tcPr>
          <w:p w14:paraId="48824C4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0.1mg</w:t>
            </w:r>
          </w:p>
        </w:tc>
        <w:tc>
          <w:tcPr>
            <w:tcW w:w="1653" w:type="dxa"/>
            <w:noWrap w:val="0"/>
            <w:vAlign w:val="center"/>
          </w:tcPr>
          <w:p w14:paraId="3125E42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2"/>
                <w:sz w:val="21"/>
                <w:szCs w:val="21"/>
                <w:highlight w:val="none"/>
              </w:rPr>
              <w:t>质量</w:t>
            </w:r>
          </w:p>
        </w:tc>
        <w:tc>
          <w:tcPr>
            <w:tcW w:w="1700" w:type="dxa"/>
            <w:noWrap w:val="0"/>
            <w:vAlign w:val="center"/>
          </w:tcPr>
          <w:p w14:paraId="5942948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（0～200）g</w:t>
            </w:r>
          </w:p>
        </w:tc>
        <w:tc>
          <w:tcPr>
            <w:tcW w:w="1840" w:type="dxa"/>
            <w:noWrap w:val="0"/>
            <w:vAlign w:val="center"/>
          </w:tcPr>
          <w:p w14:paraId="290B7F2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40kg</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k</w:t>
            </w:r>
            <w:r>
              <w:rPr>
                <w:rFonts w:hint="eastAsia" w:ascii="仿宋_GB2312" w:hAnsi="仿宋_GB2312" w:eastAsia="仿宋_GB2312" w:cs="仿宋_GB2312"/>
                <w:color w:val="auto"/>
                <w:sz w:val="21"/>
                <w:szCs w:val="21"/>
                <w:highlight w:val="none"/>
              </w:rPr>
              <w:t>m</w:t>
            </w:r>
          </w:p>
          <w:p w14:paraId="2330B5CE">
            <w:pPr>
              <w:spacing w:line="280" w:lineRule="exact"/>
              <w:jc w:val="center"/>
              <w:rPr>
                <w:rFonts w:hint="eastAsia" w:ascii="仿宋_GB2312" w:hAnsi="仿宋_GB2312" w:eastAsia="仿宋_GB2312" w:cs="仿宋_GB2312"/>
                <w:color w:val="auto"/>
                <w:sz w:val="21"/>
                <w:szCs w:val="21"/>
                <w:highlight w:val="none"/>
              </w:rPr>
            </w:pPr>
          </w:p>
        </w:tc>
        <w:tc>
          <w:tcPr>
            <w:tcW w:w="928" w:type="dxa"/>
            <w:noWrap w:val="0"/>
            <w:vAlign w:val="center"/>
          </w:tcPr>
          <w:p w14:paraId="7B4EE699">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7340443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JJG98-2019</w:t>
            </w:r>
          </w:p>
        </w:tc>
        <w:tc>
          <w:tcPr>
            <w:tcW w:w="1125" w:type="dxa"/>
            <w:noWrap w:val="0"/>
            <w:vAlign w:val="center"/>
          </w:tcPr>
          <w:p w14:paraId="14FC39C4">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Q/CPCG 01</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-201</w:t>
            </w:r>
            <w:r>
              <w:rPr>
                <w:rFonts w:hint="eastAsia" w:ascii="仿宋_GB2312" w:hAnsi="仿宋_GB2312" w:eastAsia="仿宋_GB2312" w:cs="仿宋_GB2312"/>
                <w:color w:val="auto"/>
                <w:sz w:val="21"/>
                <w:szCs w:val="21"/>
                <w:highlight w:val="none"/>
                <w:lang w:val="en-US" w:eastAsia="zh-CN"/>
              </w:rPr>
              <w:t>3</w:t>
            </w:r>
          </w:p>
        </w:tc>
        <w:tc>
          <w:tcPr>
            <w:tcW w:w="1497" w:type="dxa"/>
            <w:noWrap w:val="0"/>
            <w:vAlign w:val="center"/>
          </w:tcPr>
          <w:p w14:paraId="2D6F1BB1">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693CDC91">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577E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469" w:type="dxa"/>
            <w:noWrap w:val="0"/>
            <w:vAlign w:val="center"/>
          </w:tcPr>
          <w:p w14:paraId="0318E67D">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1513" w:type="dxa"/>
            <w:noWrap w:val="0"/>
            <w:vAlign w:val="center"/>
          </w:tcPr>
          <w:p w14:paraId="0EED617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DT890B+</w:t>
            </w:r>
          </w:p>
          <w:p w14:paraId="46A01CB8">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数字万用表</w:t>
            </w:r>
          </w:p>
        </w:tc>
        <w:tc>
          <w:tcPr>
            <w:tcW w:w="1327" w:type="dxa"/>
            <w:noWrap w:val="0"/>
            <w:vAlign w:val="center"/>
          </w:tcPr>
          <w:p w14:paraId="35EF2738">
            <w:pPr>
              <w:pStyle w:val="6"/>
              <w:pBdr>
                <w:bottom w:val="none" w:color="auto" w:sz="0" w:space="0"/>
              </w:pBdr>
              <w:tabs>
                <w:tab w:val="clear" w:pos="4153"/>
                <w:tab w:val="clear" w:pos="8306"/>
              </w:tabs>
              <w:snapToGrid/>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997346</w:t>
            </w:r>
          </w:p>
        </w:tc>
        <w:tc>
          <w:tcPr>
            <w:tcW w:w="1620" w:type="dxa"/>
            <w:noWrap w:val="0"/>
            <w:vAlign w:val="center"/>
          </w:tcPr>
          <w:p w14:paraId="1B0B790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1653" w:type="dxa"/>
            <w:noWrap w:val="0"/>
            <w:vAlign w:val="center"/>
          </w:tcPr>
          <w:p w14:paraId="656EE22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连续性</w:t>
            </w:r>
          </w:p>
        </w:tc>
        <w:tc>
          <w:tcPr>
            <w:tcW w:w="1700" w:type="dxa"/>
            <w:noWrap w:val="0"/>
            <w:vAlign w:val="center"/>
          </w:tcPr>
          <w:p w14:paraId="45339C0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200Ω～200MΩ</w:t>
            </w:r>
          </w:p>
        </w:tc>
        <w:tc>
          <w:tcPr>
            <w:tcW w:w="1840" w:type="dxa"/>
            <w:noWrap w:val="0"/>
            <w:vAlign w:val="center"/>
          </w:tcPr>
          <w:p w14:paraId="58FB44F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电缆内导体和外导体均应各自连续</w:t>
            </w:r>
          </w:p>
        </w:tc>
        <w:tc>
          <w:tcPr>
            <w:tcW w:w="928" w:type="dxa"/>
            <w:noWrap w:val="0"/>
            <w:vAlign w:val="center"/>
          </w:tcPr>
          <w:p w14:paraId="6F2A31B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7CF31CE9">
            <w:pPr>
              <w:spacing w:line="280" w:lineRule="exact"/>
              <w:jc w:val="center"/>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JJF（电子）0023-2018</w:t>
            </w:r>
          </w:p>
        </w:tc>
        <w:tc>
          <w:tcPr>
            <w:tcW w:w="1125" w:type="dxa"/>
            <w:noWrap w:val="0"/>
            <w:vAlign w:val="center"/>
          </w:tcPr>
          <w:p w14:paraId="52537A0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97" w:type="dxa"/>
            <w:noWrap w:val="0"/>
            <w:vAlign w:val="center"/>
          </w:tcPr>
          <w:p w14:paraId="43042193">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06375D1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计量室</w:t>
            </w:r>
          </w:p>
        </w:tc>
      </w:tr>
      <w:tr w14:paraId="3D4F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69" w:type="dxa"/>
            <w:noWrap w:val="0"/>
            <w:vAlign w:val="center"/>
          </w:tcPr>
          <w:p w14:paraId="11AA51C6">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w:t>
            </w:r>
          </w:p>
        </w:tc>
        <w:tc>
          <w:tcPr>
            <w:tcW w:w="1513" w:type="dxa"/>
            <w:noWrap w:val="0"/>
            <w:vAlign w:val="center"/>
          </w:tcPr>
          <w:p w14:paraId="066968D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DT9505</w:t>
            </w:r>
          </w:p>
          <w:p w14:paraId="3E39C326">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数字万用表</w:t>
            </w:r>
          </w:p>
        </w:tc>
        <w:tc>
          <w:tcPr>
            <w:tcW w:w="1327" w:type="dxa"/>
            <w:noWrap w:val="0"/>
            <w:vAlign w:val="center"/>
          </w:tcPr>
          <w:p w14:paraId="3F0E25EC">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HD4936624</w:t>
            </w:r>
          </w:p>
        </w:tc>
        <w:tc>
          <w:tcPr>
            <w:tcW w:w="1620" w:type="dxa"/>
            <w:noWrap w:val="0"/>
            <w:vAlign w:val="center"/>
          </w:tcPr>
          <w:p w14:paraId="3115499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w:t>
            </w:r>
          </w:p>
        </w:tc>
        <w:tc>
          <w:tcPr>
            <w:tcW w:w="1653" w:type="dxa"/>
            <w:noWrap w:val="0"/>
            <w:vAlign w:val="center"/>
          </w:tcPr>
          <w:p w14:paraId="5E33358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连续性</w:t>
            </w:r>
          </w:p>
        </w:tc>
        <w:tc>
          <w:tcPr>
            <w:tcW w:w="1700" w:type="dxa"/>
            <w:noWrap w:val="0"/>
            <w:vAlign w:val="center"/>
          </w:tcPr>
          <w:p w14:paraId="44C4A99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200Ω～200MΩ</w:t>
            </w:r>
          </w:p>
        </w:tc>
        <w:tc>
          <w:tcPr>
            <w:tcW w:w="1840" w:type="dxa"/>
            <w:noWrap w:val="0"/>
            <w:vAlign w:val="center"/>
          </w:tcPr>
          <w:p w14:paraId="1B35F91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电缆内导体和外导体均应各自连续</w:t>
            </w:r>
          </w:p>
        </w:tc>
        <w:tc>
          <w:tcPr>
            <w:tcW w:w="928" w:type="dxa"/>
            <w:noWrap w:val="0"/>
            <w:vAlign w:val="center"/>
          </w:tcPr>
          <w:p w14:paraId="776B9D7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59ACBCD1">
            <w:pPr>
              <w:spacing w:line="280" w:lineRule="exact"/>
              <w:jc w:val="center"/>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JJF（电子）0023-2018</w:t>
            </w:r>
          </w:p>
        </w:tc>
        <w:tc>
          <w:tcPr>
            <w:tcW w:w="1125" w:type="dxa"/>
            <w:noWrap w:val="0"/>
            <w:vAlign w:val="center"/>
          </w:tcPr>
          <w:p w14:paraId="3B5A9CE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97" w:type="dxa"/>
            <w:noWrap w:val="0"/>
            <w:vAlign w:val="center"/>
          </w:tcPr>
          <w:p w14:paraId="372F2494">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防务装备</w:t>
            </w:r>
          </w:p>
          <w:p w14:paraId="5C121F3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事业部</w:t>
            </w:r>
            <w:r>
              <w:rPr>
                <w:rFonts w:hint="eastAsia" w:ascii="仿宋_GB2312" w:hAnsi="仿宋_GB2312" w:eastAsia="仿宋_GB2312" w:cs="仿宋_GB2312"/>
                <w:color w:val="auto"/>
                <w:sz w:val="21"/>
                <w:szCs w:val="21"/>
                <w:highlight w:val="none"/>
              </w:rPr>
              <w:t>检验站</w:t>
            </w:r>
          </w:p>
        </w:tc>
      </w:tr>
      <w:tr w14:paraId="7955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469" w:type="dxa"/>
            <w:noWrap w:val="0"/>
            <w:vAlign w:val="center"/>
          </w:tcPr>
          <w:p w14:paraId="087BFCB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w:t>
            </w:r>
          </w:p>
        </w:tc>
        <w:tc>
          <w:tcPr>
            <w:tcW w:w="1513" w:type="dxa"/>
            <w:noWrap w:val="0"/>
            <w:vAlign w:val="center"/>
          </w:tcPr>
          <w:p w14:paraId="20FCC749">
            <w:pPr>
              <w:spacing w:line="280" w:lineRule="exact"/>
              <w:jc w:val="center"/>
              <w:rPr>
                <w:rFonts w:hint="eastAsia" w:ascii="仿宋_GB2312" w:hAnsi="仿宋_GB2312" w:eastAsia="仿宋_GB2312" w:cs="仿宋_GB2312"/>
                <w:color w:val="auto"/>
                <w:kern w:val="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rPr>
              <w:t>JC2600A</w:t>
            </w:r>
          </w:p>
          <w:p w14:paraId="784E2B5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w:t>
            </w:r>
          </w:p>
          <w:p w14:paraId="37179F15">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测试仪</w:t>
            </w:r>
          </w:p>
        </w:tc>
        <w:tc>
          <w:tcPr>
            <w:tcW w:w="1327" w:type="dxa"/>
            <w:noWrap w:val="0"/>
            <w:vAlign w:val="center"/>
          </w:tcPr>
          <w:p w14:paraId="0BB44A8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HC20</w:t>
            </w:r>
            <w:r>
              <w:rPr>
                <w:rFonts w:hint="eastAsia" w:ascii="仿宋_GB2312" w:hAnsi="仿宋_GB2312" w:eastAsia="仿宋_GB2312" w:cs="仿宋_GB2312"/>
                <w:color w:val="auto"/>
                <w:sz w:val="21"/>
                <w:szCs w:val="21"/>
                <w:highlight w:val="none"/>
                <w:lang w:val="en-US" w:eastAsia="zh-CN"/>
              </w:rPr>
              <w:t>17</w:t>
            </w:r>
            <w:r>
              <w:rPr>
                <w:rFonts w:hint="eastAsia" w:ascii="仿宋_GB2312" w:hAnsi="仿宋_GB2312" w:eastAsia="仿宋_GB2312" w:cs="仿宋_GB2312"/>
                <w:color w:val="auto"/>
                <w:sz w:val="21"/>
                <w:szCs w:val="21"/>
                <w:highlight w:val="none"/>
              </w:rPr>
              <w:t>1016</w:t>
            </w:r>
          </w:p>
        </w:tc>
        <w:tc>
          <w:tcPr>
            <w:tcW w:w="1620" w:type="dxa"/>
            <w:noWrap w:val="0"/>
            <w:vAlign w:val="center"/>
          </w:tcPr>
          <w:p w14:paraId="234E06A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2.5%.10%.20%</w:t>
            </w:r>
          </w:p>
        </w:tc>
        <w:tc>
          <w:tcPr>
            <w:tcW w:w="1653" w:type="dxa"/>
            <w:noWrap w:val="0"/>
            <w:vAlign w:val="center"/>
          </w:tcPr>
          <w:p w14:paraId="07E997E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w:t>
            </w:r>
          </w:p>
        </w:tc>
        <w:tc>
          <w:tcPr>
            <w:tcW w:w="1700" w:type="dxa"/>
            <w:noWrap w:val="0"/>
            <w:vAlign w:val="center"/>
          </w:tcPr>
          <w:p w14:paraId="0FD9547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3</w:t>
            </w: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12</w:t>
            </w:r>
            <w:r>
              <w:rPr>
                <w:rFonts w:hint="eastAsia" w:ascii="仿宋_GB2312" w:hAnsi="仿宋_GB2312" w:eastAsia="仿宋_GB2312" w:cs="仿宋_GB2312"/>
                <w:color w:val="auto"/>
                <w:sz w:val="21"/>
                <w:szCs w:val="21"/>
                <w:highlight w:val="none"/>
              </w:rPr>
              <w:t>）Ω</w:t>
            </w:r>
          </w:p>
        </w:tc>
        <w:tc>
          <w:tcPr>
            <w:tcW w:w="1840" w:type="dxa"/>
            <w:noWrap w:val="0"/>
            <w:vAlign w:val="center"/>
          </w:tcPr>
          <w:p w14:paraId="69B9234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≥5×10</w:t>
            </w:r>
            <w:r>
              <w:rPr>
                <w:rFonts w:hint="eastAsia" w:ascii="仿宋_GB2312" w:hAnsi="仿宋_GB2312" w:eastAsia="仿宋_GB2312" w:cs="仿宋_GB2312"/>
                <w:color w:val="auto"/>
                <w:sz w:val="21"/>
                <w:szCs w:val="21"/>
                <w:highlight w:val="none"/>
                <w:vertAlign w:val="superscript"/>
              </w:rPr>
              <w:t>9</w:t>
            </w:r>
            <w:r>
              <w:rPr>
                <w:rFonts w:hint="eastAsia" w:ascii="仿宋_GB2312" w:hAnsi="仿宋_GB2312" w:eastAsia="仿宋_GB2312" w:cs="仿宋_GB2312"/>
                <w:color w:val="auto"/>
                <w:sz w:val="21"/>
                <w:szCs w:val="21"/>
                <w:highlight w:val="none"/>
              </w:rPr>
              <w:t>Ω.km</w:t>
            </w:r>
          </w:p>
          <w:p w14:paraId="1D26E29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（DC500V）</w:t>
            </w:r>
          </w:p>
        </w:tc>
        <w:tc>
          <w:tcPr>
            <w:tcW w:w="928" w:type="dxa"/>
            <w:noWrap w:val="0"/>
            <w:vAlign w:val="center"/>
          </w:tcPr>
          <w:p w14:paraId="4AED5D4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0989720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JJG690-2003</w:t>
            </w:r>
          </w:p>
        </w:tc>
        <w:tc>
          <w:tcPr>
            <w:tcW w:w="1125" w:type="dxa"/>
            <w:noWrap w:val="0"/>
            <w:vAlign w:val="center"/>
          </w:tcPr>
          <w:p w14:paraId="7D1B3647">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Q/CPCG 036-2</w:t>
            </w:r>
            <w:r>
              <w:rPr>
                <w:rFonts w:hint="eastAsia" w:ascii="仿宋_GB2312" w:hAnsi="仿宋_GB2312" w:eastAsia="仿宋_GB2312" w:cs="仿宋_GB2312"/>
                <w:color w:val="auto"/>
                <w:sz w:val="21"/>
                <w:szCs w:val="21"/>
                <w:highlight w:val="none"/>
                <w:lang w:val="en-US" w:eastAsia="zh-CN"/>
              </w:rPr>
              <w:t>017</w:t>
            </w:r>
          </w:p>
        </w:tc>
        <w:tc>
          <w:tcPr>
            <w:tcW w:w="1497" w:type="dxa"/>
            <w:noWrap w:val="0"/>
            <w:vAlign w:val="center"/>
          </w:tcPr>
          <w:p w14:paraId="1FEC4E2F">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07446D4D">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068F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469" w:type="dxa"/>
            <w:noWrap w:val="0"/>
            <w:vAlign w:val="center"/>
          </w:tcPr>
          <w:p w14:paraId="490F9232">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11</w:t>
            </w:r>
          </w:p>
        </w:tc>
        <w:tc>
          <w:tcPr>
            <w:tcW w:w="1513" w:type="dxa"/>
            <w:noWrap w:val="0"/>
            <w:vAlign w:val="center"/>
          </w:tcPr>
          <w:p w14:paraId="5FA6ED6C">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YD2673A</w:t>
            </w:r>
          </w:p>
          <w:p w14:paraId="35397195">
            <w:pPr>
              <w:widowControl/>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耐压测试仪</w:t>
            </w:r>
          </w:p>
        </w:tc>
        <w:tc>
          <w:tcPr>
            <w:tcW w:w="1327" w:type="dxa"/>
            <w:noWrap w:val="0"/>
            <w:vAlign w:val="center"/>
          </w:tcPr>
          <w:p w14:paraId="0B6BACA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1620" w:type="dxa"/>
            <w:noWrap w:val="0"/>
            <w:vAlign w:val="center"/>
          </w:tcPr>
          <w:p w14:paraId="14633DF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V：±3%,</w:t>
            </w:r>
          </w:p>
          <w:p w14:paraId="20D9FAA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泄漏电流精度：5%</w:t>
            </w:r>
          </w:p>
        </w:tc>
        <w:tc>
          <w:tcPr>
            <w:tcW w:w="1653" w:type="dxa"/>
            <w:noWrap w:val="0"/>
            <w:vAlign w:val="center"/>
          </w:tcPr>
          <w:p w14:paraId="681C34E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w:t>
            </w:r>
          </w:p>
        </w:tc>
        <w:tc>
          <w:tcPr>
            <w:tcW w:w="1700" w:type="dxa"/>
            <w:noWrap w:val="0"/>
            <w:vAlign w:val="center"/>
          </w:tcPr>
          <w:p w14:paraId="5B914EC1">
            <w:pPr>
              <w:spacing w:line="280" w:lineRule="exact"/>
              <w:jc w:val="center"/>
              <w:rPr>
                <w:rFonts w:hint="eastAsia" w:ascii="仿宋_GB2312" w:hAnsi="仿宋_GB2312" w:eastAsia="仿宋_GB2312" w:cs="仿宋_GB2312"/>
                <w:color w:val="auto"/>
                <w:spacing w:val="-20"/>
                <w:sz w:val="21"/>
                <w:szCs w:val="21"/>
                <w:highlight w:val="none"/>
              </w:rPr>
            </w:pPr>
            <w:r>
              <w:rPr>
                <w:rFonts w:hint="eastAsia" w:ascii="仿宋_GB2312" w:hAnsi="仿宋_GB2312" w:eastAsia="仿宋_GB2312" w:cs="仿宋_GB2312"/>
                <w:color w:val="auto"/>
                <w:spacing w:val="-20"/>
                <w:sz w:val="21"/>
                <w:szCs w:val="21"/>
                <w:highlight w:val="none"/>
              </w:rPr>
              <w:t>V：（0～10）kv</w:t>
            </w:r>
          </w:p>
          <w:p w14:paraId="1891D5F1">
            <w:pPr>
              <w:spacing w:line="280" w:lineRule="exact"/>
              <w:jc w:val="center"/>
              <w:rPr>
                <w:rFonts w:hint="eastAsia" w:ascii="仿宋_GB2312" w:hAnsi="仿宋_GB2312" w:eastAsia="仿宋_GB2312" w:cs="仿宋_GB2312"/>
                <w:color w:val="auto"/>
                <w:spacing w:val="-20"/>
                <w:sz w:val="21"/>
                <w:szCs w:val="21"/>
                <w:highlight w:val="none"/>
              </w:rPr>
            </w:pPr>
            <w:r>
              <w:rPr>
                <w:rFonts w:hint="eastAsia" w:ascii="仿宋_GB2312" w:hAnsi="仿宋_GB2312" w:eastAsia="仿宋_GB2312" w:cs="仿宋_GB2312"/>
                <w:color w:val="auto"/>
                <w:spacing w:val="-20"/>
                <w:sz w:val="21"/>
                <w:szCs w:val="21"/>
                <w:highlight w:val="none"/>
              </w:rPr>
              <w:t>AC：（0.5～20）mA</w:t>
            </w:r>
          </w:p>
          <w:p w14:paraId="30032F37">
            <w:pPr>
              <w:spacing w:line="280" w:lineRule="exact"/>
              <w:jc w:val="center"/>
              <w:rPr>
                <w:rFonts w:hint="eastAsia" w:ascii="仿宋_GB2312" w:hAnsi="仿宋_GB2312" w:eastAsia="仿宋_GB2312" w:cs="仿宋_GB2312"/>
                <w:color w:val="auto"/>
                <w:spacing w:val="-20"/>
                <w:sz w:val="21"/>
                <w:szCs w:val="21"/>
                <w:highlight w:val="none"/>
              </w:rPr>
            </w:pPr>
            <w:r>
              <w:rPr>
                <w:rFonts w:hint="eastAsia" w:ascii="仿宋_GB2312" w:hAnsi="仿宋_GB2312" w:eastAsia="仿宋_GB2312" w:cs="仿宋_GB2312"/>
                <w:color w:val="auto"/>
                <w:spacing w:val="-20"/>
                <w:sz w:val="21"/>
                <w:szCs w:val="21"/>
                <w:highlight w:val="none"/>
              </w:rPr>
              <w:t>DC：（0.5～100）mA</w:t>
            </w:r>
          </w:p>
        </w:tc>
        <w:tc>
          <w:tcPr>
            <w:tcW w:w="1840" w:type="dxa"/>
            <w:noWrap w:val="0"/>
            <w:vAlign w:val="center"/>
          </w:tcPr>
          <w:p w14:paraId="53FBC8B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1.0KV DC,1min不击穿。测试时漏电的档位选择为10mA</w:t>
            </w:r>
          </w:p>
        </w:tc>
        <w:tc>
          <w:tcPr>
            <w:tcW w:w="928" w:type="dxa"/>
            <w:noWrap w:val="0"/>
            <w:vAlign w:val="center"/>
          </w:tcPr>
          <w:p w14:paraId="2483144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7E50085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JJG795-2004</w:t>
            </w:r>
          </w:p>
        </w:tc>
        <w:tc>
          <w:tcPr>
            <w:tcW w:w="1125" w:type="dxa"/>
            <w:noWrap w:val="0"/>
            <w:vAlign w:val="center"/>
          </w:tcPr>
          <w:p w14:paraId="7EE56DD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002-2007</w:t>
            </w:r>
          </w:p>
        </w:tc>
        <w:tc>
          <w:tcPr>
            <w:tcW w:w="1497" w:type="dxa"/>
            <w:noWrap w:val="0"/>
            <w:vAlign w:val="center"/>
          </w:tcPr>
          <w:p w14:paraId="261E3114">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7A6A2963">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1F0C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69" w:type="dxa"/>
            <w:noWrap w:val="0"/>
            <w:vAlign w:val="center"/>
          </w:tcPr>
          <w:p w14:paraId="7E0F3F9F">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w:t>
            </w:r>
          </w:p>
        </w:tc>
        <w:tc>
          <w:tcPr>
            <w:tcW w:w="1513" w:type="dxa"/>
            <w:noWrap w:val="0"/>
            <w:vAlign w:val="center"/>
          </w:tcPr>
          <w:p w14:paraId="5327CD44">
            <w:pPr>
              <w:spacing w:line="280" w:lineRule="exact"/>
              <w:jc w:val="center"/>
              <w:rPr>
                <w:rFonts w:hint="eastAsia" w:ascii="仿宋_GB2312" w:hAnsi="仿宋_GB2312" w:eastAsia="仿宋_GB2312" w:cs="仿宋_GB2312"/>
                <w:color w:val="auto"/>
                <w:kern w:val="2"/>
                <w:sz w:val="21"/>
                <w:szCs w:val="21"/>
                <w:highlight w:val="none"/>
                <w:lang w:val="en-US" w:eastAsia="zh-CN"/>
              </w:rPr>
            </w:pPr>
            <w:r>
              <w:rPr>
                <w:rFonts w:hint="eastAsia" w:ascii="仿宋_GB2312" w:hAnsi="仿宋_GB2312" w:eastAsia="仿宋_GB2312" w:cs="仿宋_GB2312"/>
                <w:color w:val="auto"/>
                <w:kern w:val="2"/>
                <w:sz w:val="21"/>
                <w:szCs w:val="21"/>
                <w:highlight w:val="none"/>
                <w:lang w:val="en-US" w:eastAsia="zh-CN"/>
              </w:rPr>
              <w:t>XLL—50</w:t>
            </w:r>
          </w:p>
          <w:p w14:paraId="4C1A6A05">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拉力试验机</w:t>
            </w:r>
          </w:p>
        </w:tc>
        <w:tc>
          <w:tcPr>
            <w:tcW w:w="1327" w:type="dxa"/>
            <w:noWrap w:val="0"/>
            <w:vAlign w:val="center"/>
          </w:tcPr>
          <w:p w14:paraId="77628005">
            <w:pPr>
              <w:pStyle w:val="6"/>
              <w:pBdr>
                <w:bottom w:val="none" w:color="auto" w:sz="0" w:space="0"/>
              </w:pBdr>
              <w:tabs>
                <w:tab w:val="clear" w:pos="4153"/>
                <w:tab w:val="clear" w:pos="8306"/>
              </w:tabs>
              <w:snapToGrid/>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066</w:t>
            </w:r>
          </w:p>
        </w:tc>
        <w:tc>
          <w:tcPr>
            <w:tcW w:w="1620" w:type="dxa"/>
            <w:noWrap w:val="0"/>
            <w:vAlign w:val="center"/>
          </w:tcPr>
          <w:p w14:paraId="349AE38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653" w:type="dxa"/>
            <w:noWrap w:val="0"/>
            <w:vAlign w:val="center"/>
          </w:tcPr>
          <w:p w14:paraId="70D485A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w:t>
            </w:r>
          </w:p>
          <w:p w14:paraId="2AD9A94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附着力</w:t>
            </w:r>
          </w:p>
        </w:tc>
        <w:tc>
          <w:tcPr>
            <w:tcW w:w="1700" w:type="dxa"/>
            <w:noWrap w:val="0"/>
            <w:vAlign w:val="center"/>
          </w:tcPr>
          <w:p w14:paraId="1834756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500</w:t>
            </w:r>
            <w:r>
              <w:rPr>
                <w:rFonts w:hint="eastAsia" w:ascii="仿宋_GB2312" w:hAnsi="仿宋_GB2312" w:eastAsia="仿宋_GB2312" w:cs="仿宋_GB2312"/>
                <w:color w:val="auto"/>
                <w:sz w:val="21"/>
                <w:szCs w:val="21"/>
                <w:highlight w:val="none"/>
              </w:rPr>
              <w:t>）N</w:t>
            </w:r>
          </w:p>
        </w:tc>
        <w:tc>
          <w:tcPr>
            <w:tcW w:w="1840" w:type="dxa"/>
            <w:noWrap w:val="0"/>
            <w:vAlign w:val="center"/>
          </w:tcPr>
          <w:p w14:paraId="59176DE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5N-50N</w:t>
            </w:r>
          </w:p>
        </w:tc>
        <w:tc>
          <w:tcPr>
            <w:tcW w:w="928" w:type="dxa"/>
            <w:noWrap w:val="0"/>
            <w:vAlign w:val="center"/>
          </w:tcPr>
          <w:p w14:paraId="0798480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57AA9BF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JJG139-2014</w:t>
            </w:r>
          </w:p>
        </w:tc>
        <w:tc>
          <w:tcPr>
            <w:tcW w:w="1125" w:type="dxa"/>
            <w:noWrap w:val="0"/>
            <w:vAlign w:val="center"/>
          </w:tcPr>
          <w:p w14:paraId="6B05CFE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003-2015</w:t>
            </w:r>
          </w:p>
        </w:tc>
        <w:tc>
          <w:tcPr>
            <w:tcW w:w="1497" w:type="dxa"/>
            <w:noWrap w:val="0"/>
            <w:vAlign w:val="center"/>
          </w:tcPr>
          <w:p w14:paraId="350A89D8">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0FF8634E">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657C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69" w:type="dxa"/>
            <w:noWrap w:val="0"/>
            <w:vAlign w:val="center"/>
          </w:tcPr>
          <w:p w14:paraId="2866DB08">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13</w:t>
            </w:r>
          </w:p>
        </w:tc>
        <w:tc>
          <w:tcPr>
            <w:tcW w:w="1513" w:type="dxa"/>
            <w:noWrap w:val="0"/>
            <w:vAlign w:val="center"/>
          </w:tcPr>
          <w:p w14:paraId="48CE778B">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LD24.103</w:t>
            </w:r>
          </w:p>
          <w:p w14:paraId="10758D25">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微机控制电子</w:t>
            </w:r>
          </w:p>
          <w:p w14:paraId="36C070EB">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万能试验机</w:t>
            </w:r>
          </w:p>
        </w:tc>
        <w:tc>
          <w:tcPr>
            <w:tcW w:w="1327" w:type="dxa"/>
            <w:noWrap w:val="0"/>
            <w:vAlign w:val="center"/>
          </w:tcPr>
          <w:p w14:paraId="13E2B549">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LD1901006</w:t>
            </w:r>
          </w:p>
        </w:tc>
        <w:tc>
          <w:tcPr>
            <w:tcW w:w="1620" w:type="dxa"/>
            <w:noWrap w:val="0"/>
            <w:vAlign w:val="center"/>
          </w:tcPr>
          <w:p w14:paraId="22EE993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0.5%</w:t>
            </w:r>
          </w:p>
        </w:tc>
        <w:tc>
          <w:tcPr>
            <w:tcW w:w="1653" w:type="dxa"/>
            <w:noWrap w:val="0"/>
            <w:vAlign w:val="center"/>
          </w:tcPr>
          <w:p w14:paraId="6CB1FD4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内导体</w:t>
            </w:r>
          </w:p>
          <w:p w14:paraId="087F433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附着力</w:t>
            </w:r>
          </w:p>
        </w:tc>
        <w:tc>
          <w:tcPr>
            <w:tcW w:w="1700" w:type="dxa"/>
            <w:noWrap w:val="0"/>
            <w:vAlign w:val="center"/>
          </w:tcPr>
          <w:p w14:paraId="517D4D6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～1000）N</w:t>
            </w:r>
          </w:p>
        </w:tc>
        <w:tc>
          <w:tcPr>
            <w:tcW w:w="1840" w:type="dxa"/>
            <w:noWrap w:val="0"/>
            <w:vAlign w:val="center"/>
          </w:tcPr>
          <w:p w14:paraId="430A076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5N-50N</w:t>
            </w:r>
          </w:p>
        </w:tc>
        <w:tc>
          <w:tcPr>
            <w:tcW w:w="928" w:type="dxa"/>
            <w:noWrap w:val="0"/>
            <w:vAlign w:val="center"/>
          </w:tcPr>
          <w:p w14:paraId="70747EC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697F054F">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JJG475-2008</w:t>
            </w:r>
          </w:p>
        </w:tc>
        <w:tc>
          <w:tcPr>
            <w:tcW w:w="1125" w:type="dxa"/>
            <w:noWrap w:val="0"/>
            <w:vAlign w:val="center"/>
          </w:tcPr>
          <w:p w14:paraId="243213B6">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操</w:t>
            </w:r>
            <w:r>
              <w:rPr>
                <w:rFonts w:hint="eastAsia" w:ascii="仿宋_GB2312" w:hAnsi="仿宋_GB2312" w:eastAsia="仿宋_GB2312" w:cs="仿宋_GB2312"/>
                <w:color w:val="auto"/>
                <w:sz w:val="21"/>
                <w:szCs w:val="21"/>
                <w:highlight w:val="none"/>
                <w:lang w:val="en-US" w:eastAsia="zh-CN"/>
              </w:rPr>
              <w:t>003-2020</w:t>
            </w:r>
          </w:p>
        </w:tc>
        <w:tc>
          <w:tcPr>
            <w:tcW w:w="1497" w:type="dxa"/>
            <w:noWrap w:val="0"/>
            <w:vAlign w:val="center"/>
          </w:tcPr>
          <w:p w14:paraId="70A1743A">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1CB0EA26">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769F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69" w:type="dxa"/>
            <w:noWrap w:val="0"/>
            <w:vAlign w:val="center"/>
          </w:tcPr>
          <w:p w14:paraId="5F0E3933">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14</w:t>
            </w:r>
          </w:p>
        </w:tc>
        <w:tc>
          <w:tcPr>
            <w:tcW w:w="1513" w:type="dxa"/>
            <w:noWrap w:val="0"/>
            <w:vAlign w:val="center"/>
          </w:tcPr>
          <w:p w14:paraId="1018B42A">
            <w:pPr>
              <w:spacing w:line="4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KJ-8080</w:t>
            </w:r>
          </w:p>
          <w:p w14:paraId="631A587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电晕电平测试系统</w:t>
            </w:r>
          </w:p>
        </w:tc>
        <w:tc>
          <w:tcPr>
            <w:tcW w:w="1327" w:type="dxa"/>
            <w:noWrap w:val="0"/>
            <w:vAlign w:val="center"/>
          </w:tcPr>
          <w:p w14:paraId="177015B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181025</w:t>
            </w:r>
          </w:p>
        </w:tc>
        <w:tc>
          <w:tcPr>
            <w:tcW w:w="1620" w:type="dxa"/>
            <w:noWrap w:val="0"/>
            <w:vAlign w:val="center"/>
          </w:tcPr>
          <w:p w14:paraId="725F3FA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653" w:type="dxa"/>
            <w:noWrap w:val="0"/>
            <w:vAlign w:val="center"/>
          </w:tcPr>
          <w:p w14:paraId="3695BAF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灭晕电压</w:t>
            </w:r>
          </w:p>
          <w:p w14:paraId="29C2AF0E">
            <w:pPr>
              <w:spacing w:line="280" w:lineRule="exact"/>
              <w:jc w:val="center"/>
              <w:rPr>
                <w:rFonts w:hint="eastAsia" w:ascii="仿宋_GB2312" w:hAnsi="仿宋_GB2312" w:eastAsia="仿宋_GB2312" w:cs="仿宋_GB2312"/>
                <w:color w:val="auto"/>
                <w:sz w:val="21"/>
                <w:szCs w:val="21"/>
                <w:highlight w:val="none"/>
              </w:rPr>
            </w:pPr>
          </w:p>
        </w:tc>
        <w:tc>
          <w:tcPr>
            <w:tcW w:w="1700" w:type="dxa"/>
            <w:noWrap w:val="0"/>
            <w:vAlign w:val="center"/>
          </w:tcPr>
          <w:p w14:paraId="44296EB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（0～10）kV</w:t>
            </w:r>
          </w:p>
        </w:tc>
        <w:tc>
          <w:tcPr>
            <w:tcW w:w="1840" w:type="dxa"/>
            <w:noWrap w:val="0"/>
            <w:vAlign w:val="center"/>
          </w:tcPr>
          <w:p w14:paraId="19FEAD38">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1.0kV</w:t>
            </w:r>
          </w:p>
        </w:tc>
        <w:tc>
          <w:tcPr>
            <w:tcW w:w="928" w:type="dxa"/>
            <w:noWrap w:val="0"/>
            <w:vAlign w:val="center"/>
          </w:tcPr>
          <w:p w14:paraId="5276789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68EAC76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JJF1616-2017</w:t>
            </w:r>
          </w:p>
        </w:tc>
        <w:tc>
          <w:tcPr>
            <w:tcW w:w="1125" w:type="dxa"/>
            <w:noWrap w:val="0"/>
            <w:vAlign w:val="center"/>
          </w:tcPr>
          <w:p w14:paraId="650D661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Q/CPCG037-2017</w:t>
            </w:r>
          </w:p>
        </w:tc>
        <w:tc>
          <w:tcPr>
            <w:tcW w:w="1497" w:type="dxa"/>
            <w:noWrap w:val="0"/>
            <w:vAlign w:val="center"/>
          </w:tcPr>
          <w:p w14:paraId="7AE2C91E">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2C20ED50">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23E4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69" w:type="dxa"/>
            <w:noWrap w:val="0"/>
            <w:vAlign w:val="center"/>
          </w:tcPr>
          <w:p w14:paraId="291EA576">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15</w:t>
            </w:r>
          </w:p>
        </w:tc>
        <w:tc>
          <w:tcPr>
            <w:tcW w:w="1513" w:type="dxa"/>
            <w:noWrap w:val="0"/>
            <w:vAlign w:val="center"/>
          </w:tcPr>
          <w:p w14:paraId="4F0A6B3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ESL-04KA</w:t>
            </w:r>
          </w:p>
          <w:p w14:paraId="339A7C5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高低温(交变湿热)试验箱</w:t>
            </w:r>
          </w:p>
        </w:tc>
        <w:tc>
          <w:tcPr>
            <w:tcW w:w="1327" w:type="dxa"/>
            <w:noWrap w:val="0"/>
            <w:vAlign w:val="center"/>
          </w:tcPr>
          <w:p w14:paraId="7447E739">
            <w:pPr>
              <w:pStyle w:val="6"/>
              <w:pBdr>
                <w:bottom w:val="none" w:color="auto" w:sz="0" w:space="0"/>
              </w:pBdr>
              <w:tabs>
                <w:tab w:val="clear" w:pos="4153"/>
                <w:tab w:val="clear" w:pos="8306"/>
              </w:tabs>
              <w:snapToGrid/>
              <w:spacing w:line="2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06107220</w:t>
            </w:r>
          </w:p>
        </w:tc>
        <w:tc>
          <w:tcPr>
            <w:tcW w:w="1620" w:type="dxa"/>
            <w:noWrap w:val="0"/>
            <w:vAlign w:val="center"/>
          </w:tcPr>
          <w:p w14:paraId="65917340">
            <w:pPr>
              <w:adjustRightInd w:val="0"/>
              <w:snapToGri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p w14:paraId="7563F3E8">
            <w:pPr>
              <w:adjustRightInd w:val="0"/>
              <w:snapToGri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精度：波动度：±1℃</w:t>
            </w:r>
          </w:p>
          <w:p w14:paraId="417B630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均匀度：±2℃波动度：±1℃</w:t>
            </w:r>
          </w:p>
          <w:p w14:paraId="1704EC7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w:t>
            </w:r>
          </w:p>
        </w:tc>
        <w:tc>
          <w:tcPr>
            <w:tcW w:w="1653" w:type="dxa"/>
            <w:noWrap w:val="0"/>
            <w:vAlign w:val="center"/>
          </w:tcPr>
          <w:p w14:paraId="5C52EA9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冷弯曲</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电容稳定性</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尺寸稳定性</w:t>
            </w:r>
          </w:p>
        </w:tc>
        <w:tc>
          <w:tcPr>
            <w:tcW w:w="1700" w:type="dxa"/>
            <w:noWrap w:val="0"/>
            <w:vAlign w:val="center"/>
          </w:tcPr>
          <w:p w14:paraId="70A2FA7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tc>
        <w:tc>
          <w:tcPr>
            <w:tcW w:w="1840" w:type="dxa"/>
            <w:noWrap w:val="0"/>
            <w:vAlign w:val="center"/>
          </w:tcPr>
          <w:p w14:paraId="5F72565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电容稳定性：</w:t>
            </w:r>
          </w:p>
          <w:p w14:paraId="19383BA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150℃±2℃、-55℃±2℃</w:t>
            </w:r>
          </w:p>
          <w:p w14:paraId="0B04D4B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冷弯曲：</w:t>
            </w:r>
          </w:p>
          <w:p w14:paraId="02DB701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-55℃±2℃</w:t>
            </w:r>
          </w:p>
          <w:p w14:paraId="24E8D94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尺寸稳定性：</w:t>
            </w:r>
          </w:p>
          <w:p w14:paraId="4937B5F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150℃±2℃</w:t>
            </w:r>
          </w:p>
        </w:tc>
        <w:tc>
          <w:tcPr>
            <w:tcW w:w="928" w:type="dxa"/>
            <w:noWrap w:val="0"/>
            <w:vAlign w:val="center"/>
          </w:tcPr>
          <w:p w14:paraId="011C70A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29CCBC18">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125" w:type="dxa"/>
            <w:noWrap w:val="0"/>
            <w:vAlign w:val="center"/>
          </w:tcPr>
          <w:p w14:paraId="5844217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016-2007</w:t>
            </w:r>
          </w:p>
        </w:tc>
        <w:tc>
          <w:tcPr>
            <w:tcW w:w="1497" w:type="dxa"/>
            <w:noWrap w:val="0"/>
            <w:vAlign w:val="center"/>
          </w:tcPr>
          <w:p w14:paraId="3904BF2B">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31422D5D">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6F45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469" w:type="dxa"/>
            <w:noWrap w:val="0"/>
            <w:vAlign w:val="center"/>
          </w:tcPr>
          <w:p w14:paraId="0125F90B">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16</w:t>
            </w:r>
          </w:p>
        </w:tc>
        <w:tc>
          <w:tcPr>
            <w:tcW w:w="1513" w:type="dxa"/>
            <w:noWrap w:val="0"/>
            <w:vAlign w:val="center"/>
          </w:tcPr>
          <w:p w14:paraId="2A15401F">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WG3005H</w:t>
            </w:r>
          </w:p>
          <w:p w14:paraId="699CDFE9">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老化试验箱</w:t>
            </w:r>
          </w:p>
        </w:tc>
        <w:tc>
          <w:tcPr>
            <w:tcW w:w="1327" w:type="dxa"/>
            <w:noWrap w:val="0"/>
            <w:vAlign w:val="center"/>
          </w:tcPr>
          <w:p w14:paraId="50670C29">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TST2016239</w:t>
            </w:r>
          </w:p>
        </w:tc>
        <w:tc>
          <w:tcPr>
            <w:tcW w:w="1620" w:type="dxa"/>
            <w:noWrap w:val="0"/>
            <w:vAlign w:val="center"/>
          </w:tcPr>
          <w:p w14:paraId="00C9829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均匀性：±1℃</w:t>
            </w:r>
          </w:p>
          <w:p w14:paraId="5767FB7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偏差：±2℃</w:t>
            </w:r>
          </w:p>
        </w:tc>
        <w:tc>
          <w:tcPr>
            <w:tcW w:w="1653" w:type="dxa"/>
            <w:noWrap w:val="0"/>
            <w:vAlign w:val="center"/>
          </w:tcPr>
          <w:p w14:paraId="10A6B56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老化稳定性</w:t>
            </w:r>
          </w:p>
        </w:tc>
        <w:tc>
          <w:tcPr>
            <w:tcW w:w="1700" w:type="dxa"/>
            <w:noWrap w:val="0"/>
            <w:vAlign w:val="center"/>
          </w:tcPr>
          <w:p w14:paraId="72CD38B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（RT+20～300）℃</w:t>
            </w:r>
          </w:p>
        </w:tc>
        <w:tc>
          <w:tcPr>
            <w:tcW w:w="1840" w:type="dxa"/>
            <w:noWrap w:val="0"/>
            <w:vAlign w:val="center"/>
          </w:tcPr>
          <w:p w14:paraId="4721B90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150℃±3℃</w:t>
            </w:r>
          </w:p>
        </w:tc>
        <w:tc>
          <w:tcPr>
            <w:tcW w:w="928" w:type="dxa"/>
            <w:noWrap w:val="0"/>
            <w:vAlign w:val="center"/>
          </w:tcPr>
          <w:p w14:paraId="58B9581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689D8A99">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125" w:type="dxa"/>
            <w:noWrap w:val="0"/>
            <w:vAlign w:val="center"/>
          </w:tcPr>
          <w:p w14:paraId="3520E43F">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操</w:t>
            </w:r>
            <w:r>
              <w:rPr>
                <w:rFonts w:hint="eastAsia" w:ascii="仿宋_GB2312" w:hAnsi="仿宋_GB2312" w:eastAsia="仿宋_GB2312" w:cs="仿宋_GB2312"/>
                <w:color w:val="auto"/>
                <w:sz w:val="21"/>
                <w:szCs w:val="21"/>
                <w:highlight w:val="none"/>
                <w:lang w:val="en-US" w:eastAsia="zh-CN"/>
              </w:rPr>
              <w:t>008-2021</w:t>
            </w:r>
          </w:p>
        </w:tc>
        <w:tc>
          <w:tcPr>
            <w:tcW w:w="1497" w:type="dxa"/>
            <w:noWrap w:val="0"/>
            <w:vAlign w:val="center"/>
          </w:tcPr>
          <w:p w14:paraId="09F5FDDE">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31C304F2">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r w14:paraId="25E3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469" w:type="dxa"/>
            <w:noWrap w:val="0"/>
            <w:vAlign w:val="center"/>
          </w:tcPr>
          <w:p w14:paraId="7A404197">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17</w:t>
            </w:r>
          </w:p>
        </w:tc>
        <w:tc>
          <w:tcPr>
            <w:tcW w:w="1513" w:type="dxa"/>
            <w:noWrap w:val="0"/>
            <w:vAlign w:val="center"/>
          </w:tcPr>
          <w:p w14:paraId="55463EE1">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GLS-3</w:t>
            </w:r>
          </w:p>
          <w:p w14:paraId="4701EA5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6"/>
                <w:sz w:val="21"/>
                <w:szCs w:val="21"/>
                <w:highlight w:val="none"/>
              </w:rPr>
              <w:t>反复弯曲试验机</w:t>
            </w:r>
          </w:p>
        </w:tc>
        <w:tc>
          <w:tcPr>
            <w:tcW w:w="1327" w:type="dxa"/>
            <w:noWrap w:val="0"/>
            <w:vAlign w:val="center"/>
          </w:tcPr>
          <w:p w14:paraId="79B582A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01—07</w:t>
            </w:r>
          </w:p>
        </w:tc>
        <w:tc>
          <w:tcPr>
            <w:tcW w:w="1620" w:type="dxa"/>
            <w:noWrap w:val="0"/>
            <w:vAlign w:val="center"/>
          </w:tcPr>
          <w:p w14:paraId="26ABAB9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653" w:type="dxa"/>
            <w:noWrap w:val="0"/>
            <w:vAlign w:val="center"/>
          </w:tcPr>
          <w:p w14:paraId="4AFEF6E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弯曲性</w:t>
            </w:r>
          </w:p>
        </w:tc>
        <w:tc>
          <w:tcPr>
            <w:tcW w:w="1700" w:type="dxa"/>
            <w:noWrap w:val="0"/>
            <w:vAlign w:val="center"/>
          </w:tcPr>
          <w:p w14:paraId="71FE938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±90º,φ250 mm、φ400 mm、φ500 mm</w:t>
            </w:r>
          </w:p>
        </w:tc>
        <w:tc>
          <w:tcPr>
            <w:tcW w:w="1840" w:type="dxa"/>
            <w:noWrap w:val="0"/>
            <w:vAlign w:val="center"/>
          </w:tcPr>
          <w:p w14:paraId="528CE057">
            <w:pPr>
              <w:spacing w:line="28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pacing w:val="6"/>
                <w:sz w:val="21"/>
                <w:szCs w:val="21"/>
                <w:highlight w:val="none"/>
              </w:rPr>
              <w:t>施加负荷3N</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水平向右弯曲90°</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2s一次循环</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芯棒直径45mm，弯曲循环次数10次。试验后，电缆护套表面应无开裂、裂纹或其它损伤现象</w:t>
            </w:r>
          </w:p>
        </w:tc>
        <w:tc>
          <w:tcPr>
            <w:tcW w:w="928" w:type="dxa"/>
            <w:noWrap w:val="0"/>
            <w:vAlign w:val="center"/>
          </w:tcPr>
          <w:p w14:paraId="3576A09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402" w:type="dxa"/>
            <w:noWrap w:val="0"/>
            <w:vAlign w:val="center"/>
          </w:tcPr>
          <w:p w14:paraId="3C94A5F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JL/G 2006-02</w:t>
            </w:r>
          </w:p>
        </w:tc>
        <w:tc>
          <w:tcPr>
            <w:tcW w:w="1125" w:type="dxa"/>
            <w:noWrap w:val="0"/>
            <w:vAlign w:val="center"/>
          </w:tcPr>
          <w:p w14:paraId="4E2F2A6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97" w:type="dxa"/>
            <w:noWrap w:val="0"/>
            <w:vAlign w:val="center"/>
          </w:tcPr>
          <w:p w14:paraId="4381824D">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w:t>
            </w:r>
          </w:p>
          <w:p w14:paraId="0D97451B">
            <w:pPr>
              <w:spacing w:line="28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检测计量中心</w:t>
            </w:r>
          </w:p>
        </w:tc>
      </w:tr>
    </w:tbl>
    <w:p w14:paraId="653373AC">
      <w:pPr>
        <w:spacing w:afterLines="50" w:line="380" w:lineRule="exact"/>
        <w:rPr>
          <w:rFonts w:hint="eastAsia" w:ascii="仿宋_GB2312" w:hAnsi="仿宋_GB2312" w:eastAsia="仿宋_GB2312" w:cs="仿宋_GB2312"/>
          <w:color w:val="auto"/>
          <w:sz w:val="21"/>
          <w:szCs w:val="21"/>
          <w:highlight w:val="none"/>
        </w:rPr>
        <w:sectPr>
          <w:headerReference r:id="rId17" w:type="default"/>
          <w:footerReference r:id="rId18" w:type="default"/>
          <w:pgSz w:w="16840" w:h="11907" w:orient="landscape"/>
          <w:pgMar w:top="851" w:right="1134" w:bottom="709" w:left="1418" w:header="227" w:footer="567" w:gutter="0"/>
          <w:cols w:space="720" w:num="1"/>
          <w:docGrid w:type="linesAndChars" w:linePitch="389" w:charSpace="-4301"/>
        </w:sectPr>
      </w:pPr>
    </w:p>
    <w:p w14:paraId="1F0D7E9A">
      <w:pPr>
        <w:spacing w:line="380" w:lineRule="exact"/>
        <w:outlineLvl w:val="0"/>
        <w:rPr>
          <w:rFonts w:hint="eastAsia" w:ascii="仿宋_GB2312" w:hAnsi="仿宋_GB2312" w:eastAsia="仿宋_GB2312" w:cs="仿宋_GB2312"/>
          <w:color w:val="auto"/>
          <w:sz w:val="21"/>
          <w:szCs w:val="21"/>
          <w:highlight w:val="none"/>
        </w:rPr>
      </w:pPr>
      <w:bookmarkStart w:id="206" w:name="_Toc23485"/>
      <w:r>
        <w:rPr>
          <w:rFonts w:hint="eastAsia" w:ascii="仿宋_GB2312" w:hAnsi="仿宋_GB2312" w:eastAsia="仿宋_GB2312" w:cs="仿宋_GB2312"/>
          <w:color w:val="auto"/>
          <w:sz w:val="21"/>
          <w:szCs w:val="21"/>
          <w:highlight w:val="none"/>
        </w:rPr>
        <w:t>附录E.8  关键工序、特殊工序清单</w:t>
      </w:r>
      <w:bookmarkEnd w:id="206"/>
    </w:p>
    <w:tbl>
      <w:tblPr>
        <w:tblStyle w:val="8"/>
        <w:tblpPr w:leftFromText="180" w:rightFromText="180" w:vertAnchor="text" w:horzAnchor="page" w:tblpX="1825" w:tblpY="889"/>
        <w:tblOverlap w:val="never"/>
        <w:tblW w:w="8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709"/>
        <w:gridCol w:w="1276"/>
        <w:gridCol w:w="2409"/>
        <w:gridCol w:w="3552"/>
      </w:tblGrid>
      <w:tr w14:paraId="4C13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658" w:type="dxa"/>
            <w:gridSpan w:val="2"/>
            <w:noWrap w:val="0"/>
            <w:vAlign w:val="center"/>
          </w:tcPr>
          <w:p w14:paraId="58202A61">
            <w:pPr>
              <w:adjustRightInd w:val="0"/>
              <w:spacing w:line="380" w:lineRule="exact"/>
              <w:jc w:val="center"/>
              <w:rPr>
                <w:rFonts w:hint="eastAsia" w:ascii="仿宋_GB2312" w:hAnsi="仿宋_GB2312" w:eastAsia="仿宋_GB2312" w:cs="仿宋_GB2312"/>
                <w:color w:val="auto"/>
                <w:sz w:val="24"/>
                <w:szCs w:val="24"/>
                <w:highlight w:val="none"/>
              </w:rPr>
            </w:pPr>
            <w:bookmarkStart w:id="207" w:name="_Toc21832"/>
            <w:bookmarkStart w:id="208" w:name="_Toc23534"/>
            <w:bookmarkStart w:id="209" w:name="_Toc5775"/>
            <w:r>
              <w:rPr>
                <w:rFonts w:hint="eastAsia" w:ascii="仿宋_GB2312" w:hAnsi="仿宋_GB2312" w:eastAsia="仿宋_GB2312" w:cs="仿宋_GB2312"/>
                <w:color w:val="auto"/>
                <w:sz w:val="24"/>
                <w:szCs w:val="24"/>
                <w:highlight w:val="none"/>
              </w:rPr>
              <w:t>序号</w:t>
            </w:r>
          </w:p>
        </w:tc>
        <w:tc>
          <w:tcPr>
            <w:tcW w:w="1276" w:type="dxa"/>
            <w:noWrap w:val="0"/>
            <w:vAlign w:val="center"/>
          </w:tcPr>
          <w:p w14:paraId="569FCE04">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工序名称</w:t>
            </w:r>
          </w:p>
        </w:tc>
        <w:tc>
          <w:tcPr>
            <w:tcW w:w="2409" w:type="dxa"/>
            <w:noWrap w:val="0"/>
            <w:vAlign w:val="center"/>
          </w:tcPr>
          <w:p w14:paraId="78E2E5CB">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使用设备（工具）</w:t>
            </w:r>
          </w:p>
        </w:tc>
        <w:tc>
          <w:tcPr>
            <w:tcW w:w="3552" w:type="dxa"/>
            <w:noWrap w:val="0"/>
            <w:vAlign w:val="center"/>
          </w:tcPr>
          <w:p w14:paraId="638DBAF6">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主要工艺参数</w:t>
            </w:r>
          </w:p>
        </w:tc>
      </w:tr>
      <w:tr w14:paraId="699B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9" w:hRule="atLeast"/>
        </w:trPr>
        <w:tc>
          <w:tcPr>
            <w:tcW w:w="949" w:type="dxa"/>
            <w:vMerge w:val="restart"/>
            <w:noWrap w:val="0"/>
            <w:vAlign w:val="center"/>
          </w:tcPr>
          <w:p w14:paraId="64573FD2">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关键</w:t>
            </w:r>
          </w:p>
          <w:p w14:paraId="74B94AA5">
            <w:pPr>
              <w:adjustRightInd w:val="0"/>
              <w:spacing w:line="38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工序</w:t>
            </w:r>
          </w:p>
          <w:p w14:paraId="50E605C5">
            <w:pPr>
              <w:adjustRightInd w:val="0"/>
              <w:spacing w:line="380" w:lineRule="exact"/>
              <w:rPr>
                <w:rFonts w:hint="eastAsia" w:ascii="仿宋_GB2312" w:hAnsi="仿宋_GB2312" w:eastAsia="仿宋_GB2312" w:cs="仿宋_GB2312"/>
                <w:color w:val="auto"/>
                <w:sz w:val="24"/>
                <w:szCs w:val="24"/>
                <w:highlight w:val="none"/>
              </w:rPr>
            </w:pPr>
          </w:p>
        </w:tc>
        <w:tc>
          <w:tcPr>
            <w:tcW w:w="709" w:type="dxa"/>
            <w:noWrap w:val="0"/>
            <w:vAlign w:val="center"/>
          </w:tcPr>
          <w:p w14:paraId="09D54799">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1276" w:type="dxa"/>
            <w:noWrap w:val="0"/>
            <w:vAlign w:val="center"/>
          </w:tcPr>
          <w:p w14:paraId="60806DAB">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绕包绝缘</w:t>
            </w:r>
          </w:p>
        </w:tc>
        <w:tc>
          <w:tcPr>
            <w:tcW w:w="2409" w:type="dxa"/>
            <w:noWrap w:val="0"/>
            <w:vAlign w:val="center"/>
          </w:tcPr>
          <w:p w14:paraId="07A2EC7B">
            <w:pPr>
              <w:widowControl/>
              <w:spacing w:line="288" w:lineRule="auto"/>
              <w:jc w:val="center"/>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航天航空用超薄绝缘</w:t>
            </w:r>
          </w:p>
          <w:p w14:paraId="10710892">
            <w:pPr>
              <w:widowControl/>
              <w:spacing w:line="288" w:lineRule="auto"/>
              <w:jc w:val="center"/>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电缆生产线</w:t>
            </w:r>
          </w:p>
        </w:tc>
        <w:tc>
          <w:tcPr>
            <w:tcW w:w="3552" w:type="dxa"/>
            <w:noWrap w:val="0"/>
            <w:vAlign w:val="center"/>
          </w:tcPr>
          <w:p w14:paraId="73FD166C">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收线张力：≤0.1MPa</w:t>
            </w:r>
          </w:p>
          <w:p w14:paraId="205F2C72">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放线张力：≤0.1MPa</w:t>
            </w:r>
          </w:p>
          <w:p w14:paraId="39C85957">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绕包张力：第一层8～11N，</w:t>
            </w:r>
          </w:p>
          <w:p w14:paraId="2786FC72">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 xml:space="preserve">          第二层6～9N，</w:t>
            </w:r>
          </w:p>
          <w:p w14:paraId="0E13B3F4">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 xml:space="preserve">          第三层9～11N</w:t>
            </w:r>
          </w:p>
          <w:p w14:paraId="3CF8D956">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绕包节距：第一层3.4～3.6mm，</w:t>
            </w:r>
          </w:p>
          <w:p w14:paraId="12B42445">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 xml:space="preserve">          第二层6.6～6.8mm，</w:t>
            </w:r>
          </w:p>
          <w:p w14:paraId="7C02A268">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 xml:space="preserve">          第三层5.4～5.5mm</w:t>
            </w:r>
          </w:p>
          <w:p w14:paraId="49080474">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生产速度（Max）：≤1.0m/min</w:t>
            </w:r>
          </w:p>
          <w:p w14:paraId="7EBFFADE">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模具： ϕ2.6</w:t>
            </w:r>
          </w:p>
          <w:p w14:paraId="7FD9D68F">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绝缘外径：2.6±0.15</w:t>
            </w:r>
          </w:p>
          <w:p w14:paraId="620898DD">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材料宽度和厚度：第一层8/0.127，</w:t>
            </w:r>
          </w:p>
          <w:p w14:paraId="08687F61">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 xml:space="preserve">             </w:t>
            </w:r>
            <w:r>
              <w:rPr>
                <w:rFonts w:hint="eastAsia" w:ascii="仿宋_GB2312" w:hAnsi="仿宋_GB2312" w:cs="仿宋_GB2312"/>
                <w:color w:val="auto"/>
                <w:kern w:val="0"/>
                <w:highlight w:val="none"/>
                <w:lang w:val="en-US" w:eastAsia="zh-CN"/>
              </w:rPr>
              <w:t xml:space="preserve">  </w:t>
            </w:r>
            <w:r>
              <w:rPr>
                <w:rFonts w:hint="eastAsia" w:ascii="仿宋_GB2312" w:hAnsi="仿宋_GB2312" w:eastAsia="仿宋_GB2312" w:cs="仿宋_GB2312"/>
                <w:color w:val="auto"/>
                <w:kern w:val="0"/>
                <w:highlight w:val="none"/>
              </w:rPr>
              <w:t xml:space="preserve"> 第二</w:t>
            </w:r>
            <w:r>
              <w:rPr>
                <w:rFonts w:hint="eastAsia" w:ascii="仿宋_GB2312" w:hAnsi="仿宋_GB2312" w:eastAsia="仿宋_GB2312" w:cs="仿宋_GB2312"/>
                <w:color w:val="auto"/>
                <w:kern w:val="0"/>
                <w:highlight w:val="none"/>
                <w:lang w:val="en-US" w:eastAsia="zh-CN"/>
              </w:rPr>
              <w:t>层</w:t>
            </w:r>
            <w:r>
              <w:rPr>
                <w:rFonts w:hint="eastAsia" w:ascii="仿宋_GB2312" w:hAnsi="仿宋_GB2312" w:eastAsia="仿宋_GB2312" w:cs="仿宋_GB2312"/>
                <w:color w:val="auto"/>
                <w:kern w:val="0"/>
                <w:highlight w:val="none"/>
              </w:rPr>
              <w:t>13/0.127，</w:t>
            </w:r>
          </w:p>
          <w:p w14:paraId="6A66FC7E">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 xml:space="preserve">             </w:t>
            </w:r>
            <w:r>
              <w:rPr>
                <w:rFonts w:hint="eastAsia" w:ascii="仿宋_GB2312" w:hAnsi="仿宋_GB2312" w:cs="仿宋_GB2312"/>
                <w:color w:val="auto"/>
                <w:kern w:val="0"/>
                <w:highlight w:val="none"/>
                <w:lang w:val="en-US" w:eastAsia="zh-CN"/>
              </w:rPr>
              <w:t xml:space="preserve">  </w:t>
            </w:r>
            <w:r>
              <w:rPr>
                <w:rFonts w:hint="eastAsia" w:ascii="仿宋_GB2312" w:hAnsi="仿宋_GB2312" w:eastAsia="仿宋_GB2312" w:cs="仿宋_GB2312"/>
                <w:color w:val="auto"/>
                <w:kern w:val="0"/>
                <w:highlight w:val="none"/>
              </w:rPr>
              <w:t xml:space="preserve"> 第三层13/0.127</w:t>
            </w:r>
            <w:r>
              <w:rPr>
                <w:rFonts w:hint="eastAsia" w:ascii="仿宋_GB2312" w:hAnsi="仿宋_GB2312" w:eastAsia="仿宋_GB2312" w:cs="仿宋_GB2312"/>
                <w:color w:val="auto"/>
                <w:kern w:val="0"/>
                <w:highlight w:val="none"/>
                <w:lang w:val="da-DK"/>
              </w:rPr>
              <w:t xml:space="preserve">  </w:t>
            </w:r>
          </w:p>
        </w:tc>
      </w:tr>
      <w:tr w14:paraId="3B0B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trPr>
        <w:tc>
          <w:tcPr>
            <w:tcW w:w="949" w:type="dxa"/>
            <w:vMerge w:val="continue"/>
            <w:noWrap w:val="0"/>
            <w:vAlign w:val="center"/>
          </w:tcPr>
          <w:p w14:paraId="027772FA">
            <w:pPr>
              <w:adjustRightInd w:val="0"/>
              <w:spacing w:line="380" w:lineRule="exact"/>
              <w:jc w:val="center"/>
              <w:rPr>
                <w:rFonts w:hint="eastAsia" w:ascii="仿宋_GB2312" w:hAnsi="仿宋_GB2312" w:eastAsia="仿宋_GB2312" w:cs="仿宋_GB2312"/>
                <w:color w:val="auto"/>
                <w:sz w:val="24"/>
                <w:szCs w:val="24"/>
                <w:highlight w:val="none"/>
                <w:lang w:val="da-DK"/>
              </w:rPr>
            </w:pPr>
          </w:p>
        </w:tc>
        <w:tc>
          <w:tcPr>
            <w:tcW w:w="709" w:type="dxa"/>
            <w:noWrap w:val="0"/>
            <w:vAlign w:val="center"/>
          </w:tcPr>
          <w:p w14:paraId="4A702849">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p>
        </w:tc>
        <w:tc>
          <w:tcPr>
            <w:tcW w:w="1276" w:type="dxa"/>
            <w:noWrap w:val="0"/>
            <w:vAlign w:val="center"/>
          </w:tcPr>
          <w:p w14:paraId="75273FE8">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绕包屏蔽</w:t>
            </w:r>
          </w:p>
        </w:tc>
        <w:tc>
          <w:tcPr>
            <w:tcW w:w="2409" w:type="dxa"/>
            <w:noWrap w:val="0"/>
            <w:vAlign w:val="center"/>
          </w:tcPr>
          <w:p w14:paraId="77D0F9B7">
            <w:pPr>
              <w:widowControl/>
              <w:spacing w:line="288" w:lineRule="auto"/>
              <w:jc w:val="center"/>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航天航空用超薄绝缘</w:t>
            </w:r>
          </w:p>
          <w:p w14:paraId="415E75AA">
            <w:pPr>
              <w:adjustRightInd w:val="0"/>
              <w:spacing w:line="380" w:lineRule="exact"/>
              <w:jc w:val="center"/>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电缆生产线</w:t>
            </w:r>
          </w:p>
        </w:tc>
        <w:tc>
          <w:tcPr>
            <w:tcW w:w="3552" w:type="dxa"/>
            <w:noWrap w:val="0"/>
            <w:vAlign w:val="center"/>
          </w:tcPr>
          <w:p w14:paraId="7B40826F">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收线张力：≤0.1MPa</w:t>
            </w:r>
          </w:p>
          <w:p w14:paraId="01BBC47D">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放线张力：≤0.1MPa</w:t>
            </w:r>
          </w:p>
          <w:p w14:paraId="23C99A42">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绕包张力：3</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kern w:val="0"/>
                <w:highlight w:val="none"/>
              </w:rPr>
              <w:t>5N</w:t>
            </w:r>
          </w:p>
          <w:p w14:paraId="4F67CACC">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节距：1.0</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kern w:val="0"/>
                <w:highlight w:val="none"/>
              </w:rPr>
              <w:t>1.1mm</w:t>
            </w:r>
          </w:p>
          <w:p w14:paraId="1C14E5FB">
            <w:pPr>
              <w:spacing w:line="288" w:lineRule="auto"/>
              <w:jc w:val="left"/>
              <w:rPr>
                <w:rFonts w:hint="eastAsia" w:ascii="仿宋_GB2312" w:hAnsi="仿宋_GB2312" w:eastAsia="仿宋_GB2312" w:cs="仿宋_GB2312"/>
                <w:color w:val="auto"/>
                <w:kern w:val="0"/>
                <w:highlight w:val="none"/>
                <w:lang w:val="da-DK"/>
              </w:rPr>
            </w:pPr>
            <w:r>
              <w:rPr>
                <w:rFonts w:hint="eastAsia" w:ascii="仿宋_GB2312" w:hAnsi="仿宋_GB2312" w:eastAsia="仿宋_GB2312" w:cs="仿宋_GB2312"/>
                <w:color w:val="auto"/>
                <w:kern w:val="0"/>
                <w:highlight w:val="none"/>
              </w:rPr>
              <w:t>生产速度</w:t>
            </w:r>
            <w:r>
              <w:rPr>
                <w:rFonts w:hint="eastAsia" w:ascii="仿宋_GB2312" w:hAnsi="仿宋_GB2312" w:eastAsia="仿宋_GB2312" w:cs="仿宋_GB2312"/>
                <w:color w:val="auto"/>
                <w:kern w:val="0"/>
                <w:highlight w:val="none"/>
                <w:lang w:val="da-DK"/>
              </w:rPr>
              <w:t>：</w:t>
            </w:r>
            <w:r>
              <w:rPr>
                <w:rFonts w:hint="eastAsia" w:ascii="仿宋_GB2312" w:hAnsi="仿宋_GB2312" w:eastAsia="仿宋_GB2312" w:cs="仿宋_GB2312"/>
                <w:color w:val="auto"/>
                <w:kern w:val="0"/>
                <w:highlight w:val="none"/>
              </w:rPr>
              <w:t>≤</w:t>
            </w:r>
            <w:r>
              <w:rPr>
                <w:rFonts w:hint="eastAsia" w:ascii="仿宋_GB2312" w:hAnsi="仿宋_GB2312" w:eastAsia="仿宋_GB2312" w:cs="仿宋_GB2312"/>
                <w:color w:val="auto"/>
                <w:kern w:val="0"/>
                <w:highlight w:val="none"/>
                <w:lang w:val="da-DK"/>
              </w:rPr>
              <w:t>0.5m/min</w:t>
            </w:r>
          </w:p>
          <w:p w14:paraId="3C949EBC">
            <w:pPr>
              <w:spacing w:line="288" w:lineRule="auto"/>
              <w:jc w:val="left"/>
              <w:rPr>
                <w:rFonts w:hint="eastAsia" w:ascii="仿宋_GB2312" w:hAnsi="仿宋_GB2312" w:eastAsia="仿宋_GB2312" w:cs="仿宋_GB2312"/>
                <w:color w:val="auto"/>
                <w:kern w:val="0"/>
                <w:highlight w:val="none"/>
                <w:lang w:val="da-DK"/>
              </w:rPr>
            </w:pPr>
            <w:r>
              <w:rPr>
                <w:rFonts w:hint="eastAsia" w:ascii="仿宋_GB2312" w:hAnsi="仿宋_GB2312" w:eastAsia="仿宋_GB2312" w:cs="仿宋_GB2312"/>
                <w:color w:val="auto"/>
                <w:kern w:val="0"/>
                <w:highlight w:val="none"/>
              </w:rPr>
              <w:t>模具： ϕ2.9</w:t>
            </w:r>
          </w:p>
          <w:p w14:paraId="12993E4A">
            <w:pPr>
              <w:widowControl/>
              <w:jc w:val="lef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kern w:val="0"/>
                <w:highlight w:val="none"/>
              </w:rPr>
              <w:t>材料宽度和厚度：</w:t>
            </w:r>
            <w:r>
              <w:rPr>
                <w:rFonts w:hint="eastAsia" w:ascii="仿宋_GB2312" w:hAnsi="仿宋_GB2312" w:eastAsia="仿宋_GB2312" w:cs="仿宋_GB2312"/>
                <w:color w:val="auto"/>
                <w:highlight w:val="none"/>
                <w:lang w:val="da-DK"/>
              </w:rPr>
              <w:t>2.3/0.05</w:t>
            </w:r>
          </w:p>
        </w:tc>
      </w:tr>
    </w:tbl>
    <w:p w14:paraId="0334D430">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outlineLvl w:val="0"/>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关键工序、特殊工序清单</w:t>
      </w:r>
      <w:bookmarkEnd w:id="207"/>
      <w:bookmarkEnd w:id="208"/>
      <w:bookmarkEnd w:id="209"/>
    </w:p>
    <w:p w14:paraId="63C5D6ED">
      <w:pPr>
        <w:rPr>
          <w:rFonts w:hint="eastAsia" w:ascii="仿宋_GB2312" w:hAnsi="仿宋_GB2312" w:eastAsia="仿宋_GB2312" w:cs="仿宋_GB2312"/>
          <w:color w:val="auto"/>
          <w:kern w:val="2"/>
          <w:sz w:val="21"/>
          <w:szCs w:val="21"/>
          <w:highlight w:val="none"/>
          <w:lang w:val="en-US" w:eastAsia="zh-CN" w:bidi="ar-SA"/>
        </w:rPr>
      </w:pPr>
    </w:p>
    <w:p w14:paraId="158907DF">
      <w:pP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注：无特殊工序。</w:t>
      </w:r>
      <w:r>
        <w:rPr>
          <w:rFonts w:hint="eastAsia" w:ascii="仿宋_GB2312" w:hAnsi="仿宋_GB2312" w:eastAsia="仿宋_GB2312" w:cs="仿宋_GB2312"/>
          <w:color w:val="auto"/>
          <w:kern w:val="2"/>
          <w:sz w:val="21"/>
          <w:szCs w:val="21"/>
          <w:highlight w:val="none"/>
          <w:lang w:val="en-US" w:eastAsia="zh-CN" w:bidi="ar-SA"/>
        </w:rPr>
        <w:br w:type="page"/>
      </w:r>
    </w:p>
    <w:p w14:paraId="2A0EAFFB">
      <w:pPr>
        <w:spacing w:line="380" w:lineRule="exact"/>
        <w:outlineLvl w:val="0"/>
        <w:rPr>
          <w:rFonts w:hint="eastAsia" w:ascii="仿宋_GB2312" w:hAnsi="仿宋_GB2312" w:eastAsia="仿宋_GB2312" w:cs="仿宋_GB2312"/>
          <w:color w:val="auto"/>
          <w:sz w:val="21"/>
          <w:szCs w:val="21"/>
          <w:highlight w:val="none"/>
        </w:rPr>
        <w:sectPr>
          <w:footerReference r:id="rId19" w:type="default"/>
          <w:pgSz w:w="11906" w:h="16838"/>
          <w:pgMar w:top="1440" w:right="1485" w:bottom="1276" w:left="1803" w:header="851" w:footer="992" w:gutter="0"/>
          <w:pgNumType w:fmt="decimal" w:start="12"/>
          <w:cols w:space="0" w:num="1"/>
          <w:rtlGutter w:val="0"/>
          <w:docGrid w:type="linesAndChars" w:linePitch="319" w:charSpace="39"/>
        </w:sectPr>
      </w:pPr>
      <w:bookmarkStart w:id="210" w:name="_Toc10571"/>
      <w:bookmarkStart w:id="211" w:name="_Toc28763"/>
      <w:bookmarkStart w:id="212" w:name="_Toc19113"/>
    </w:p>
    <w:p w14:paraId="54F15E1A">
      <w:pPr>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附录E.9  关键工序的CPK值及产品规范限、控制限  </w:t>
      </w:r>
    </w:p>
    <w:p w14:paraId="5C00DA77">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关键工序的CPK值及产品规范限、控制限</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850"/>
        <w:gridCol w:w="1985"/>
        <w:gridCol w:w="1531"/>
        <w:gridCol w:w="1020"/>
        <w:gridCol w:w="1443"/>
        <w:gridCol w:w="756"/>
        <w:gridCol w:w="756"/>
        <w:gridCol w:w="756"/>
      </w:tblGrid>
      <w:tr w14:paraId="4E1C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596" w:type="dxa"/>
            <w:vMerge w:val="restart"/>
            <w:noWrap w:val="0"/>
            <w:vAlign w:val="center"/>
          </w:tcPr>
          <w:p w14:paraId="4AFC149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850" w:type="dxa"/>
            <w:vMerge w:val="restart"/>
            <w:noWrap w:val="0"/>
            <w:vAlign w:val="center"/>
          </w:tcPr>
          <w:p w14:paraId="631BD07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w:t>
            </w:r>
          </w:p>
          <w:p w14:paraId="6BDB250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名称</w:t>
            </w:r>
          </w:p>
        </w:tc>
        <w:tc>
          <w:tcPr>
            <w:tcW w:w="1985" w:type="dxa"/>
            <w:vMerge w:val="restart"/>
            <w:noWrap w:val="0"/>
            <w:vAlign w:val="center"/>
          </w:tcPr>
          <w:p w14:paraId="14FBB59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产品型号规格</w:t>
            </w:r>
          </w:p>
        </w:tc>
        <w:tc>
          <w:tcPr>
            <w:tcW w:w="1531" w:type="dxa"/>
            <w:vMerge w:val="restart"/>
            <w:noWrap w:val="0"/>
            <w:vAlign w:val="center"/>
          </w:tcPr>
          <w:p w14:paraId="197E192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控制参数</w:t>
            </w:r>
          </w:p>
        </w:tc>
        <w:tc>
          <w:tcPr>
            <w:tcW w:w="1020" w:type="dxa"/>
            <w:vMerge w:val="restart"/>
            <w:noWrap w:val="0"/>
            <w:vAlign w:val="center"/>
          </w:tcPr>
          <w:p w14:paraId="01BD761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CPK值</w:t>
            </w:r>
          </w:p>
        </w:tc>
        <w:tc>
          <w:tcPr>
            <w:tcW w:w="1443" w:type="dxa"/>
            <w:vMerge w:val="restart"/>
            <w:noWrap w:val="0"/>
            <w:vAlign w:val="center"/>
          </w:tcPr>
          <w:p w14:paraId="371E3D1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产品规范限</w:t>
            </w:r>
          </w:p>
        </w:tc>
        <w:tc>
          <w:tcPr>
            <w:tcW w:w="2268" w:type="dxa"/>
            <w:gridSpan w:val="3"/>
            <w:noWrap w:val="0"/>
            <w:vAlign w:val="center"/>
          </w:tcPr>
          <w:p w14:paraId="1F11E35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产品控制限</w:t>
            </w:r>
          </w:p>
        </w:tc>
      </w:tr>
      <w:tr w14:paraId="0FB4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596" w:type="dxa"/>
            <w:vMerge w:val="continue"/>
            <w:noWrap w:val="0"/>
            <w:vAlign w:val="center"/>
          </w:tcPr>
          <w:p w14:paraId="733CC556">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noWrap w:val="0"/>
            <w:vAlign w:val="center"/>
          </w:tcPr>
          <w:p w14:paraId="2E99BE1A">
            <w:pPr>
              <w:adjustRightInd w:val="0"/>
              <w:spacing w:line="380" w:lineRule="exact"/>
              <w:jc w:val="center"/>
              <w:rPr>
                <w:rFonts w:hint="eastAsia" w:ascii="仿宋_GB2312" w:hAnsi="仿宋_GB2312" w:eastAsia="仿宋_GB2312" w:cs="仿宋_GB2312"/>
                <w:color w:val="auto"/>
                <w:sz w:val="21"/>
                <w:szCs w:val="21"/>
                <w:highlight w:val="none"/>
              </w:rPr>
            </w:pPr>
          </w:p>
        </w:tc>
        <w:tc>
          <w:tcPr>
            <w:tcW w:w="1985" w:type="dxa"/>
            <w:vMerge w:val="continue"/>
            <w:noWrap w:val="0"/>
            <w:vAlign w:val="center"/>
          </w:tcPr>
          <w:p w14:paraId="7FBFA9EB">
            <w:pPr>
              <w:adjustRightInd w:val="0"/>
              <w:spacing w:line="380" w:lineRule="exact"/>
              <w:jc w:val="center"/>
              <w:rPr>
                <w:rFonts w:hint="eastAsia" w:ascii="仿宋_GB2312" w:hAnsi="仿宋_GB2312" w:eastAsia="仿宋_GB2312" w:cs="仿宋_GB2312"/>
                <w:color w:val="auto"/>
                <w:sz w:val="21"/>
                <w:szCs w:val="21"/>
                <w:highlight w:val="none"/>
              </w:rPr>
            </w:pPr>
          </w:p>
        </w:tc>
        <w:tc>
          <w:tcPr>
            <w:tcW w:w="1531" w:type="dxa"/>
            <w:vMerge w:val="continue"/>
            <w:noWrap w:val="0"/>
            <w:vAlign w:val="center"/>
          </w:tcPr>
          <w:p w14:paraId="51DA3BD1">
            <w:pPr>
              <w:adjustRightInd w:val="0"/>
              <w:spacing w:line="380" w:lineRule="exact"/>
              <w:jc w:val="center"/>
              <w:rPr>
                <w:rFonts w:hint="eastAsia" w:ascii="仿宋_GB2312" w:hAnsi="仿宋_GB2312" w:eastAsia="仿宋_GB2312" w:cs="仿宋_GB2312"/>
                <w:color w:val="auto"/>
                <w:sz w:val="21"/>
                <w:szCs w:val="21"/>
                <w:highlight w:val="none"/>
              </w:rPr>
            </w:pPr>
          </w:p>
        </w:tc>
        <w:tc>
          <w:tcPr>
            <w:tcW w:w="1020" w:type="dxa"/>
            <w:vMerge w:val="continue"/>
            <w:noWrap w:val="0"/>
            <w:vAlign w:val="center"/>
          </w:tcPr>
          <w:p w14:paraId="7AD39C22">
            <w:pPr>
              <w:adjustRightInd w:val="0"/>
              <w:spacing w:line="380" w:lineRule="exact"/>
              <w:jc w:val="center"/>
              <w:rPr>
                <w:rFonts w:hint="eastAsia" w:ascii="仿宋_GB2312" w:hAnsi="仿宋_GB2312" w:eastAsia="仿宋_GB2312" w:cs="仿宋_GB2312"/>
                <w:color w:val="auto"/>
                <w:sz w:val="21"/>
                <w:szCs w:val="21"/>
                <w:highlight w:val="none"/>
              </w:rPr>
            </w:pPr>
          </w:p>
        </w:tc>
        <w:tc>
          <w:tcPr>
            <w:tcW w:w="1443" w:type="dxa"/>
            <w:vMerge w:val="continue"/>
            <w:noWrap w:val="0"/>
            <w:vAlign w:val="center"/>
          </w:tcPr>
          <w:p w14:paraId="03F2E0EE">
            <w:pPr>
              <w:adjustRightInd w:val="0"/>
              <w:spacing w:line="380" w:lineRule="exact"/>
              <w:jc w:val="center"/>
              <w:rPr>
                <w:rFonts w:hint="eastAsia" w:ascii="仿宋_GB2312" w:hAnsi="仿宋_GB2312" w:eastAsia="仿宋_GB2312" w:cs="仿宋_GB2312"/>
                <w:color w:val="auto"/>
                <w:sz w:val="21"/>
                <w:szCs w:val="21"/>
                <w:highlight w:val="none"/>
              </w:rPr>
            </w:pPr>
          </w:p>
        </w:tc>
        <w:tc>
          <w:tcPr>
            <w:tcW w:w="756" w:type="dxa"/>
            <w:noWrap w:val="0"/>
            <w:vAlign w:val="center"/>
          </w:tcPr>
          <w:p w14:paraId="1CFDB8F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L</w:t>
            </w:r>
            <w:r>
              <w:rPr>
                <w:rFonts w:hint="eastAsia" w:ascii="仿宋_GB2312" w:hAnsi="仿宋_GB2312" w:eastAsia="仿宋_GB2312" w:cs="仿宋_GB2312"/>
                <w:color w:val="auto"/>
                <w:sz w:val="21"/>
                <w:szCs w:val="21"/>
                <w:highlight w:val="none"/>
              </w:rPr>
              <w:t>CL</w:t>
            </w:r>
          </w:p>
        </w:tc>
        <w:tc>
          <w:tcPr>
            <w:tcW w:w="756" w:type="dxa"/>
            <w:noWrap w:val="0"/>
            <w:vAlign w:val="center"/>
          </w:tcPr>
          <w:p w14:paraId="68C52E0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CL</w:t>
            </w:r>
          </w:p>
        </w:tc>
        <w:tc>
          <w:tcPr>
            <w:tcW w:w="756" w:type="dxa"/>
            <w:noWrap w:val="0"/>
            <w:vAlign w:val="center"/>
          </w:tcPr>
          <w:p w14:paraId="33523BA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U</w:t>
            </w:r>
            <w:r>
              <w:rPr>
                <w:rFonts w:hint="eastAsia" w:ascii="仿宋_GB2312" w:hAnsi="仿宋_GB2312" w:eastAsia="仿宋_GB2312" w:cs="仿宋_GB2312"/>
                <w:color w:val="auto"/>
                <w:sz w:val="21"/>
                <w:szCs w:val="21"/>
                <w:highlight w:val="none"/>
              </w:rPr>
              <w:t>CL</w:t>
            </w:r>
          </w:p>
        </w:tc>
      </w:tr>
      <w:tr w14:paraId="02AC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596" w:type="dxa"/>
            <w:noWrap w:val="0"/>
            <w:vAlign w:val="center"/>
          </w:tcPr>
          <w:p w14:paraId="4F17422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850" w:type="dxa"/>
            <w:noWrap w:val="0"/>
            <w:vAlign w:val="center"/>
          </w:tcPr>
          <w:p w14:paraId="421836D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绕包</w:t>
            </w:r>
          </w:p>
          <w:p w14:paraId="3CABF476">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w:t>
            </w:r>
          </w:p>
        </w:tc>
        <w:tc>
          <w:tcPr>
            <w:tcW w:w="1985" w:type="dxa"/>
            <w:noWrap w:val="0"/>
            <w:vAlign w:val="center"/>
          </w:tcPr>
          <w:p w14:paraId="7556AF7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w:t>
            </w:r>
            <w:r>
              <w:rPr>
                <w:rFonts w:hint="eastAsia" w:ascii="仿宋_GB2312" w:hAnsi="仿宋_GB2312" w:eastAsia="仿宋_GB2312" w:cs="仿宋_GB2312"/>
                <w:color w:val="auto"/>
                <w:sz w:val="21"/>
                <w:szCs w:val="21"/>
                <w:highlight w:val="none"/>
                <w:vertAlign w:val="subscript"/>
              </w:rPr>
              <w:t>4</w:t>
            </w:r>
            <w:r>
              <w:rPr>
                <w:rFonts w:hint="eastAsia" w:ascii="仿宋_GB2312" w:hAnsi="仿宋_GB2312" w:eastAsia="仿宋_GB2312" w:cs="仿宋_GB2312"/>
                <w:color w:val="auto"/>
                <w:sz w:val="21"/>
                <w:szCs w:val="21"/>
                <w:highlight w:val="none"/>
              </w:rPr>
              <w:t>-50-2.5</w:t>
            </w:r>
          </w:p>
        </w:tc>
        <w:tc>
          <w:tcPr>
            <w:tcW w:w="1531" w:type="dxa"/>
            <w:noWrap w:val="0"/>
            <w:vAlign w:val="center"/>
          </w:tcPr>
          <w:p w14:paraId="3B3B66A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绝缘外径</w:t>
            </w:r>
          </w:p>
        </w:tc>
        <w:tc>
          <w:tcPr>
            <w:tcW w:w="1020" w:type="dxa"/>
            <w:noWrap w:val="0"/>
            <w:vAlign w:val="center"/>
          </w:tcPr>
          <w:p w14:paraId="6BF142D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1.0</w:t>
            </w:r>
          </w:p>
        </w:tc>
        <w:tc>
          <w:tcPr>
            <w:tcW w:w="1443" w:type="dxa"/>
            <w:noWrap w:val="0"/>
            <w:vAlign w:val="center"/>
          </w:tcPr>
          <w:p w14:paraId="0A43EAA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2.6±0.15</w:t>
            </w:r>
          </w:p>
        </w:tc>
        <w:tc>
          <w:tcPr>
            <w:tcW w:w="756" w:type="dxa"/>
            <w:noWrap w:val="0"/>
            <w:vAlign w:val="center"/>
          </w:tcPr>
          <w:p w14:paraId="624BBC6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2.56</w:t>
            </w:r>
          </w:p>
        </w:tc>
        <w:tc>
          <w:tcPr>
            <w:tcW w:w="756" w:type="dxa"/>
            <w:noWrap w:val="0"/>
            <w:vAlign w:val="center"/>
          </w:tcPr>
          <w:p w14:paraId="3F91F1C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2.60</w:t>
            </w:r>
          </w:p>
        </w:tc>
        <w:tc>
          <w:tcPr>
            <w:tcW w:w="756" w:type="dxa"/>
            <w:noWrap w:val="0"/>
            <w:vAlign w:val="center"/>
          </w:tcPr>
          <w:p w14:paraId="41144FB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2.64</w:t>
            </w:r>
          </w:p>
        </w:tc>
      </w:tr>
      <w:tr w14:paraId="1E75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596" w:type="dxa"/>
            <w:noWrap w:val="0"/>
            <w:vAlign w:val="center"/>
          </w:tcPr>
          <w:p w14:paraId="41AF422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850" w:type="dxa"/>
            <w:noWrap w:val="0"/>
            <w:vAlign w:val="center"/>
          </w:tcPr>
          <w:p w14:paraId="3301F88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绕包</w:t>
            </w:r>
          </w:p>
          <w:p w14:paraId="3FADAC3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屏蔽</w:t>
            </w:r>
          </w:p>
        </w:tc>
        <w:tc>
          <w:tcPr>
            <w:tcW w:w="1985" w:type="dxa"/>
            <w:noWrap w:val="0"/>
            <w:vAlign w:val="center"/>
          </w:tcPr>
          <w:p w14:paraId="460CB46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w:t>
            </w:r>
            <w:r>
              <w:rPr>
                <w:rFonts w:hint="eastAsia" w:ascii="仿宋_GB2312" w:hAnsi="仿宋_GB2312" w:eastAsia="仿宋_GB2312" w:cs="仿宋_GB2312"/>
                <w:color w:val="auto"/>
                <w:sz w:val="21"/>
                <w:szCs w:val="21"/>
                <w:highlight w:val="none"/>
                <w:vertAlign w:val="subscript"/>
              </w:rPr>
              <w:t>4</w:t>
            </w:r>
            <w:r>
              <w:rPr>
                <w:rFonts w:hint="eastAsia" w:ascii="仿宋_GB2312" w:hAnsi="仿宋_GB2312" w:eastAsia="仿宋_GB2312" w:cs="仿宋_GB2312"/>
                <w:color w:val="auto"/>
                <w:sz w:val="21"/>
                <w:szCs w:val="21"/>
                <w:highlight w:val="none"/>
              </w:rPr>
              <w:t>-50-2.5</w:t>
            </w:r>
          </w:p>
        </w:tc>
        <w:tc>
          <w:tcPr>
            <w:tcW w:w="1531" w:type="dxa"/>
            <w:noWrap w:val="0"/>
            <w:vAlign w:val="center"/>
          </w:tcPr>
          <w:p w14:paraId="564F6DF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内屏蔽层外径</w:t>
            </w:r>
          </w:p>
        </w:tc>
        <w:tc>
          <w:tcPr>
            <w:tcW w:w="1020" w:type="dxa"/>
            <w:noWrap w:val="0"/>
            <w:vAlign w:val="center"/>
          </w:tcPr>
          <w:p w14:paraId="08D11F4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1.0</w:t>
            </w:r>
          </w:p>
        </w:tc>
        <w:tc>
          <w:tcPr>
            <w:tcW w:w="1443" w:type="dxa"/>
            <w:noWrap w:val="0"/>
            <w:vAlign w:val="center"/>
          </w:tcPr>
          <w:p w14:paraId="5633082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2.8±0.1</w:t>
            </w:r>
          </w:p>
        </w:tc>
        <w:tc>
          <w:tcPr>
            <w:tcW w:w="756" w:type="dxa"/>
            <w:noWrap w:val="0"/>
            <w:vAlign w:val="center"/>
          </w:tcPr>
          <w:p w14:paraId="724C3CA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2.79</w:t>
            </w:r>
          </w:p>
        </w:tc>
        <w:tc>
          <w:tcPr>
            <w:tcW w:w="756" w:type="dxa"/>
            <w:noWrap w:val="0"/>
            <w:vAlign w:val="center"/>
          </w:tcPr>
          <w:p w14:paraId="0D28927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2.81</w:t>
            </w:r>
          </w:p>
        </w:tc>
        <w:tc>
          <w:tcPr>
            <w:tcW w:w="756" w:type="dxa"/>
            <w:noWrap w:val="0"/>
            <w:vAlign w:val="center"/>
          </w:tcPr>
          <w:p w14:paraId="794E4CA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2.84</w:t>
            </w:r>
          </w:p>
        </w:tc>
      </w:tr>
    </w:tbl>
    <w:p w14:paraId="3EBB714F">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sz w:val="21"/>
          <w:szCs w:val="21"/>
          <w:highlight w:val="none"/>
        </w:rPr>
      </w:pPr>
    </w:p>
    <w:p w14:paraId="133CD296">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sz w:val="21"/>
          <w:szCs w:val="21"/>
          <w:highlight w:val="none"/>
        </w:rPr>
      </w:pPr>
    </w:p>
    <w:p w14:paraId="10CB751F">
      <w:pPr>
        <w:spacing w:line="380" w:lineRule="exact"/>
        <w:outlineLvl w:val="0"/>
        <w:rPr>
          <w:rFonts w:hint="eastAsia" w:ascii="仿宋_GB2312" w:hAnsi="仿宋_GB2312" w:eastAsia="仿宋_GB2312" w:cs="仿宋_GB2312"/>
          <w:color w:val="auto"/>
          <w:sz w:val="21"/>
          <w:szCs w:val="21"/>
          <w:highlight w:val="none"/>
        </w:rPr>
        <w:sectPr>
          <w:footerReference r:id="rId20" w:type="default"/>
          <w:pgSz w:w="11906" w:h="16838"/>
          <w:pgMar w:top="1440" w:right="1485" w:bottom="1276" w:left="1803" w:header="851" w:footer="992" w:gutter="0"/>
          <w:pgNumType w:fmt="decimal" w:start="13"/>
          <w:cols w:space="0" w:num="1"/>
          <w:rtlGutter w:val="0"/>
          <w:docGrid w:type="linesAndChars" w:linePitch="319" w:charSpace="39"/>
        </w:sectPr>
      </w:pPr>
    </w:p>
    <w:p w14:paraId="3C009769">
      <w:pPr>
        <w:spacing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w:t>
      </w:r>
      <w:r>
        <w:rPr>
          <w:rFonts w:hint="eastAsia" w:ascii="仿宋_GB2312" w:hAnsi="仿宋_GB2312" w:cs="仿宋_GB2312"/>
          <w:color w:val="auto"/>
          <w:sz w:val="21"/>
          <w:szCs w:val="21"/>
          <w:highlight w:val="none"/>
          <w:lang w:val="en-US" w:eastAsia="zh-CN"/>
        </w:rPr>
        <w:t>10</w:t>
      </w:r>
      <w:r>
        <w:rPr>
          <w:rFonts w:hint="eastAsia" w:ascii="仿宋_GB2312" w:hAnsi="仿宋_GB2312" w:eastAsia="仿宋_GB2312" w:cs="仿宋_GB2312"/>
          <w:color w:val="auto"/>
          <w:sz w:val="21"/>
          <w:szCs w:val="21"/>
          <w:highlight w:val="none"/>
        </w:rPr>
        <w:t xml:space="preserve">  合格分承制方清单</w:t>
      </w:r>
      <w:bookmarkEnd w:id="210"/>
      <w:bookmarkEnd w:id="211"/>
      <w:bookmarkEnd w:id="212"/>
    </w:p>
    <w:p w14:paraId="58128789">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合格分承制方清单</w:t>
      </w:r>
    </w:p>
    <w:tbl>
      <w:tblPr>
        <w:tblStyle w:val="8"/>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650"/>
        <w:gridCol w:w="3411"/>
        <w:gridCol w:w="1839"/>
        <w:gridCol w:w="1535"/>
      </w:tblGrid>
      <w:tr w14:paraId="4BB6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349" w:type="dxa"/>
            <w:vAlign w:val="center"/>
          </w:tcPr>
          <w:p w14:paraId="7464CA12">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4061" w:type="dxa"/>
            <w:gridSpan w:val="2"/>
            <w:vAlign w:val="center"/>
          </w:tcPr>
          <w:p w14:paraId="302446D5">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分承制方</w:t>
            </w:r>
          </w:p>
        </w:tc>
        <w:tc>
          <w:tcPr>
            <w:tcW w:w="1839" w:type="dxa"/>
            <w:vAlign w:val="center"/>
          </w:tcPr>
          <w:p w14:paraId="08AC412E">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外包项目</w:t>
            </w:r>
          </w:p>
        </w:tc>
        <w:tc>
          <w:tcPr>
            <w:tcW w:w="1535" w:type="dxa"/>
            <w:vAlign w:val="center"/>
          </w:tcPr>
          <w:p w14:paraId="1E109938">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控制要求</w:t>
            </w:r>
          </w:p>
        </w:tc>
      </w:tr>
      <w:tr w14:paraId="4828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349" w:type="dxa"/>
            <w:vMerge w:val="restart"/>
            <w:vAlign w:val="center"/>
          </w:tcPr>
          <w:p w14:paraId="1633D35C">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计量校准</w:t>
            </w:r>
          </w:p>
          <w:p w14:paraId="57918180">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w:t>
            </w:r>
          </w:p>
        </w:tc>
        <w:tc>
          <w:tcPr>
            <w:tcW w:w="650" w:type="dxa"/>
            <w:vAlign w:val="center"/>
          </w:tcPr>
          <w:p w14:paraId="53BF141A">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411" w:type="dxa"/>
            <w:vAlign w:val="center"/>
          </w:tcPr>
          <w:p w14:paraId="5FFED5F1">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四川航天计量测试研究所（</w:t>
            </w:r>
            <w:r>
              <w:rPr>
                <w:rFonts w:hint="eastAsia" w:ascii="仿宋_GB2312" w:hAnsi="仿宋_GB2312" w:cs="仿宋_GB2312"/>
                <w:color w:val="auto"/>
                <w:sz w:val="21"/>
                <w:szCs w:val="21"/>
                <w:highlight w:val="none"/>
                <w:lang w:eastAsia="zh-CN"/>
              </w:rPr>
              <w:t>国防科技工业</w:t>
            </w:r>
            <w:r>
              <w:rPr>
                <w:rFonts w:hint="eastAsia" w:ascii="仿宋_GB2312" w:hAnsi="仿宋_GB2312" w:eastAsia="仿宋_GB2312" w:cs="仿宋_GB2312"/>
                <w:color w:val="auto"/>
                <w:sz w:val="21"/>
                <w:szCs w:val="21"/>
                <w:highlight w:val="none"/>
              </w:rPr>
              <w:t>511</w:t>
            </w:r>
            <w:r>
              <w:rPr>
                <w:rFonts w:hint="eastAsia" w:ascii="仿宋_GB2312" w:hAnsi="仿宋_GB2312" w:cs="仿宋_GB2312"/>
                <w:color w:val="auto"/>
                <w:sz w:val="21"/>
                <w:szCs w:val="21"/>
                <w:highlight w:val="none"/>
                <w:lang w:val="en-US" w:eastAsia="zh-CN"/>
              </w:rPr>
              <w:t>1</w:t>
            </w:r>
            <w:r>
              <w:rPr>
                <w:rFonts w:hint="eastAsia" w:ascii="仿宋_GB2312" w:hAnsi="仿宋_GB2312" w:cs="仿宋_GB2312"/>
                <w:color w:val="auto"/>
                <w:sz w:val="21"/>
                <w:szCs w:val="21"/>
                <w:highlight w:val="none"/>
                <w:lang w:eastAsia="zh-CN"/>
              </w:rPr>
              <w:t>二级计量站</w:t>
            </w:r>
            <w:r>
              <w:rPr>
                <w:rFonts w:hint="eastAsia" w:ascii="仿宋_GB2312" w:hAnsi="仿宋_GB2312" w:eastAsia="仿宋_GB2312" w:cs="仿宋_GB2312"/>
                <w:color w:val="auto"/>
                <w:sz w:val="21"/>
                <w:szCs w:val="21"/>
                <w:highlight w:val="none"/>
              </w:rPr>
              <w:t>）</w:t>
            </w:r>
          </w:p>
        </w:tc>
        <w:tc>
          <w:tcPr>
            <w:tcW w:w="1839" w:type="dxa"/>
            <w:vMerge w:val="restart"/>
            <w:vAlign w:val="center"/>
          </w:tcPr>
          <w:p w14:paraId="4307E1A5">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检定/校准</w:t>
            </w:r>
          </w:p>
        </w:tc>
        <w:tc>
          <w:tcPr>
            <w:tcW w:w="1535" w:type="dxa"/>
            <w:vMerge w:val="restart"/>
            <w:vAlign w:val="center"/>
          </w:tcPr>
          <w:p w14:paraId="0923B900">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符合检定/</w:t>
            </w:r>
          </w:p>
          <w:p w14:paraId="6C9E22E1">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校准资质</w:t>
            </w:r>
          </w:p>
        </w:tc>
      </w:tr>
      <w:tr w14:paraId="5122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349" w:type="dxa"/>
            <w:vMerge w:val="continue"/>
            <w:vAlign w:val="center"/>
          </w:tcPr>
          <w:p w14:paraId="1D402B5E">
            <w:pPr>
              <w:spacing w:line="380" w:lineRule="exact"/>
              <w:jc w:val="center"/>
              <w:outlineLvl w:val="0"/>
              <w:rPr>
                <w:rFonts w:hint="eastAsia" w:ascii="仿宋_GB2312" w:hAnsi="仿宋_GB2312" w:eastAsia="仿宋_GB2312" w:cs="仿宋_GB2312"/>
                <w:color w:val="auto"/>
                <w:sz w:val="21"/>
                <w:szCs w:val="21"/>
                <w:highlight w:val="none"/>
              </w:rPr>
            </w:pPr>
          </w:p>
        </w:tc>
        <w:tc>
          <w:tcPr>
            <w:tcW w:w="650" w:type="dxa"/>
            <w:vAlign w:val="center"/>
          </w:tcPr>
          <w:p w14:paraId="33D2E831">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3411" w:type="dxa"/>
            <w:vAlign w:val="center"/>
          </w:tcPr>
          <w:p w14:paraId="5E4E486B">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四川成发计量检测有限公司（</w:t>
            </w:r>
            <w:r>
              <w:rPr>
                <w:rFonts w:hint="eastAsia" w:ascii="仿宋_GB2312" w:hAnsi="仿宋_GB2312" w:cs="仿宋_GB2312"/>
                <w:color w:val="auto"/>
                <w:sz w:val="21"/>
                <w:szCs w:val="21"/>
                <w:highlight w:val="none"/>
                <w:lang w:eastAsia="zh-CN"/>
              </w:rPr>
              <w:t>国防科技工业</w:t>
            </w:r>
            <w:r>
              <w:rPr>
                <w:rFonts w:hint="eastAsia" w:ascii="仿宋_GB2312" w:hAnsi="仿宋_GB2312" w:eastAsia="仿宋_GB2312" w:cs="仿宋_GB2312"/>
                <w:color w:val="auto"/>
                <w:sz w:val="21"/>
                <w:szCs w:val="21"/>
                <w:highlight w:val="none"/>
              </w:rPr>
              <w:t>5112</w:t>
            </w:r>
            <w:r>
              <w:rPr>
                <w:rFonts w:hint="eastAsia" w:ascii="仿宋_GB2312" w:hAnsi="仿宋_GB2312" w:cs="仿宋_GB2312"/>
                <w:color w:val="auto"/>
                <w:sz w:val="21"/>
                <w:szCs w:val="21"/>
                <w:highlight w:val="none"/>
                <w:lang w:eastAsia="zh-CN"/>
              </w:rPr>
              <w:t>二级计量站</w:t>
            </w:r>
            <w:r>
              <w:rPr>
                <w:rFonts w:hint="eastAsia" w:ascii="仿宋_GB2312" w:hAnsi="仿宋_GB2312" w:eastAsia="仿宋_GB2312" w:cs="仿宋_GB2312"/>
                <w:color w:val="auto"/>
                <w:sz w:val="21"/>
                <w:szCs w:val="21"/>
                <w:highlight w:val="none"/>
              </w:rPr>
              <w:t>）</w:t>
            </w:r>
          </w:p>
        </w:tc>
        <w:tc>
          <w:tcPr>
            <w:tcW w:w="1839" w:type="dxa"/>
            <w:vMerge w:val="continue"/>
            <w:vAlign w:val="center"/>
          </w:tcPr>
          <w:p w14:paraId="2D84D248">
            <w:pPr>
              <w:spacing w:line="380" w:lineRule="exact"/>
              <w:outlineLvl w:val="0"/>
              <w:rPr>
                <w:rFonts w:hint="eastAsia" w:ascii="仿宋_GB2312" w:hAnsi="仿宋_GB2312" w:eastAsia="仿宋_GB2312" w:cs="仿宋_GB2312"/>
                <w:color w:val="auto"/>
                <w:sz w:val="21"/>
                <w:szCs w:val="21"/>
                <w:highlight w:val="none"/>
              </w:rPr>
            </w:pPr>
          </w:p>
        </w:tc>
        <w:tc>
          <w:tcPr>
            <w:tcW w:w="1535" w:type="dxa"/>
            <w:vMerge w:val="continue"/>
            <w:vAlign w:val="center"/>
          </w:tcPr>
          <w:p w14:paraId="35ABE3CB">
            <w:pPr>
              <w:spacing w:line="380" w:lineRule="exact"/>
              <w:outlineLvl w:val="0"/>
              <w:rPr>
                <w:rFonts w:hint="eastAsia" w:ascii="仿宋_GB2312" w:hAnsi="仿宋_GB2312" w:eastAsia="仿宋_GB2312" w:cs="仿宋_GB2312"/>
                <w:color w:val="auto"/>
                <w:sz w:val="21"/>
                <w:szCs w:val="21"/>
                <w:highlight w:val="none"/>
              </w:rPr>
            </w:pPr>
          </w:p>
        </w:tc>
      </w:tr>
      <w:tr w14:paraId="398B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349" w:type="dxa"/>
            <w:vMerge w:val="continue"/>
            <w:vAlign w:val="center"/>
          </w:tcPr>
          <w:p w14:paraId="0AB1ED86">
            <w:pPr>
              <w:spacing w:line="380" w:lineRule="exact"/>
              <w:jc w:val="center"/>
              <w:outlineLvl w:val="0"/>
              <w:rPr>
                <w:rFonts w:hint="eastAsia" w:ascii="仿宋_GB2312" w:hAnsi="仿宋_GB2312" w:eastAsia="仿宋_GB2312" w:cs="仿宋_GB2312"/>
                <w:color w:val="auto"/>
                <w:sz w:val="21"/>
                <w:szCs w:val="21"/>
                <w:highlight w:val="none"/>
              </w:rPr>
            </w:pPr>
          </w:p>
        </w:tc>
        <w:tc>
          <w:tcPr>
            <w:tcW w:w="650" w:type="dxa"/>
            <w:vAlign w:val="center"/>
          </w:tcPr>
          <w:p w14:paraId="5EFEFB1B">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3411" w:type="dxa"/>
            <w:vAlign w:val="center"/>
          </w:tcPr>
          <w:p w14:paraId="42C36450">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中国工程物理研究计量测试中心</w:t>
            </w:r>
            <w:r>
              <w:rPr>
                <w:rFonts w:hint="eastAsia" w:ascii="仿宋_GB2312" w:hAnsi="仿宋_GB2312" w:cs="仿宋_GB2312"/>
                <w:color w:val="auto"/>
                <w:sz w:val="21"/>
                <w:szCs w:val="21"/>
                <w:highlight w:val="none"/>
                <w:lang w:eastAsia="zh-CN"/>
              </w:rPr>
              <w:t>（国防科技工业</w:t>
            </w:r>
            <w:r>
              <w:rPr>
                <w:rFonts w:hint="eastAsia" w:ascii="仿宋_GB2312" w:hAnsi="仿宋_GB2312" w:eastAsia="仿宋_GB2312" w:cs="仿宋_GB2312"/>
                <w:color w:val="auto"/>
                <w:sz w:val="21"/>
                <w:szCs w:val="21"/>
                <w:highlight w:val="none"/>
              </w:rPr>
              <w:t>511</w:t>
            </w:r>
            <w:r>
              <w:rPr>
                <w:rFonts w:hint="eastAsia" w:ascii="仿宋_GB2312" w:hAnsi="仿宋_GB2312" w:cs="仿宋_GB2312"/>
                <w:color w:val="auto"/>
                <w:sz w:val="21"/>
                <w:szCs w:val="21"/>
                <w:highlight w:val="none"/>
                <w:lang w:val="en-US" w:eastAsia="zh-CN"/>
              </w:rPr>
              <w:t>6</w:t>
            </w:r>
            <w:r>
              <w:rPr>
                <w:rFonts w:hint="eastAsia" w:ascii="仿宋_GB2312" w:hAnsi="仿宋_GB2312" w:cs="仿宋_GB2312"/>
                <w:color w:val="auto"/>
                <w:sz w:val="21"/>
                <w:szCs w:val="21"/>
                <w:highlight w:val="none"/>
                <w:lang w:eastAsia="zh-CN"/>
              </w:rPr>
              <w:t>二级计量站）</w:t>
            </w:r>
          </w:p>
        </w:tc>
        <w:tc>
          <w:tcPr>
            <w:tcW w:w="1839" w:type="dxa"/>
            <w:vMerge w:val="continue"/>
            <w:vAlign w:val="center"/>
          </w:tcPr>
          <w:p w14:paraId="115BA8A6">
            <w:pPr>
              <w:spacing w:line="380" w:lineRule="exact"/>
              <w:outlineLvl w:val="0"/>
              <w:rPr>
                <w:rFonts w:hint="eastAsia" w:ascii="仿宋_GB2312" w:hAnsi="仿宋_GB2312" w:eastAsia="仿宋_GB2312" w:cs="仿宋_GB2312"/>
                <w:color w:val="auto"/>
                <w:sz w:val="21"/>
                <w:szCs w:val="21"/>
                <w:highlight w:val="none"/>
              </w:rPr>
            </w:pPr>
          </w:p>
        </w:tc>
        <w:tc>
          <w:tcPr>
            <w:tcW w:w="1535" w:type="dxa"/>
            <w:vMerge w:val="continue"/>
            <w:vAlign w:val="center"/>
          </w:tcPr>
          <w:p w14:paraId="2E27DEC2">
            <w:pPr>
              <w:spacing w:line="380" w:lineRule="exact"/>
              <w:outlineLvl w:val="0"/>
              <w:rPr>
                <w:rFonts w:hint="eastAsia" w:ascii="仿宋_GB2312" w:hAnsi="仿宋_GB2312" w:eastAsia="仿宋_GB2312" w:cs="仿宋_GB2312"/>
                <w:color w:val="auto"/>
                <w:sz w:val="21"/>
                <w:szCs w:val="21"/>
                <w:highlight w:val="none"/>
              </w:rPr>
            </w:pPr>
          </w:p>
        </w:tc>
      </w:tr>
      <w:tr w14:paraId="7DF2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349" w:type="dxa"/>
            <w:vMerge w:val="continue"/>
            <w:vAlign w:val="center"/>
          </w:tcPr>
          <w:p w14:paraId="266E9329">
            <w:pPr>
              <w:spacing w:line="380" w:lineRule="exact"/>
              <w:jc w:val="center"/>
              <w:outlineLvl w:val="0"/>
              <w:rPr>
                <w:rFonts w:hint="eastAsia" w:ascii="仿宋_GB2312" w:hAnsi="仿宋_GB2312" w:eastAsia="仿宋_GB2312" w:cs="仿宋_GB2312"/>
                <w:color w:val="auto"/>
                <w:sz w:val="21"/>
                <w:szCs w:val="21"/>
                <w:highlight w:val="none"/>
              </w:rPr>
            </w:pPr>
          </w:p>
        </w:tc>
        <w:tc>
          <w:tcPr>
            <w:tcW w:w="650" w:type="dxa"/>
            <w:vAlign w:val="center"/>
          </w:tcPr>
          <w:p w14:paraId="402CFACA">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3411" w:type="dxa"/>
            <w:vAlign w:val="center"/>
          </w:tcPr>
          <w:p w14:paraId="5992762A">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四川九洲电器集团有限责任公司</w:t>
            </w:r>
          </w:p>
          <w:p w14:paraId="6F46A498">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（国营第七八三厂）</w:t>
            </w:r>
          </w:p>
        </w:tc>
        <w:tc>
          <w:tcPr>
            <w:tcW w:w="1839" w:type="dxa"/>
            <w:vMerge w:val="continue"/>
            <w:vAlign w:val="center"/>
          </w:tcPr>
          <w:p w14:paraId="125E7C9B">
            <w:pPr>
              <w:spacing w:line="380" w:lineRule="exact"/>
              <w:outlineLvl w:val="0"/>
              <w:rPr>
                <w:rFonts w:hint="eastAsia" w:ascii="仿宋_GB2312" w:hAnsi="仿宋_GB2312" w:eastAsia="仿宋_GB2312" w:cs="仿宋_GB2312"/>
                <w:color w:val="auto"/>
                <w:sz w:val="21"/>
                <w:szCs w:val="21"/>
                <w:highlight w:val="none"/>
              </w:rPr>
            </w:pPr>
          </w:p>
        </w:tc>
        <w:tc>
          <w:tcPr>
            <w:tcW w:w="1535" w:type="dxa"/>
            <w:vMerge w:val="continue"/>
            <w:vAlign w:val="center"/>
          </w:tcPr>
          <w:p w14:paraId="52E542F4">
            <w:pPr>
              <w:spacing w:line="380" w:lineRule="exact"/>
              <w:outlineLvl w:val="0"/>
              <w:rPr>
                <w:rFonts w:hint="eastAsia" w:ascii="仿宋_GB2312" w:hAnsi="仿宋_GB2312" w:eastAsia="仿宋_GB2312" w:cs="仿宋_GB2312"/>
                <w:color w:val="auto"/>
                <w:sz w:val="21"/>
                <w:szCs w:val="21"/>
                <w:highlight w:val="none"/>
              </w:rPr>
            </w:pPr>
          </w:p>
        </w:tc>
      </w:tr>
    </w:tbl>
    <w:p w14:paraId="6D8D8479">
      <w:pPr>
        <w:rPr>
          <w:rFonts w:ascii="宋体" w:hAnsi="宋体" w:eastAsia="宋体" w:cs="宋体"/>
          <w:color w:val="auto"/>
          <w:highlight w:val="none"/>
        </w:rPr>
      </w:pPr>
    </w:p>
    <w:p w14:paraId="120BC4D8">
      <w:pPr>
        <w:rPr>
          <w:rFonts w:hint="eastAsia" w:ascii="仿宋_GB2312" w:hAnsi="仿宋_GB2312" w:eastAsia="仿宋_GB2312" w:cs="仿宋_GB2312"/>
          <w:color w:val="auto"/>
          <w:spacing w:val="2"/>
          <w:kern w:val="0"/>
          <w:sz w:val="21"/>
          <w:szCs w:val="21"/>
          <w:highlight w:val="none"/>
        </w:rPr>
      </w:pPr>
      <w:r>
        <w:rPr>
          <w:rFonts w:hint="eastAsia" w:ascii="仿宋_GB2312" w:hAnsi="仿宋_GB2312" w:eastAsia="仿宋_GB2312" w:cs="仿宋_GB2312"/>
          <w:color w:val="auto"/>
          <w:spacing w:val="2"/>
          <w:kern w:val="0"/>
          <w:sz w:val="21"/>
          <w:szCs w:val="21"/>
          <w:highlight w:val="none"/>
        </w:rPr>
        <w:t>注：本生产线无</w:t>
      </w:r>
      <w:r>
        <w:rPr>
          <w:rFonts w:hint="eastAsia" w:ascii="仿宋_GB2312" w:hAnsi="仿宋_GB2312" w:eastAsia="仿宋_GB2312" w:cs="仿宋_GB2312"/>
          <w:color w:val="auto"/>
          <w:sz w:val="21"/>
          <w:szCs w:val="21"/>
          <w:highlight w:val="none"/>
        </w:rPr>
        <w:t>生产</w:t>
      </w:r>
      <w:r>
        <w:rPr>
          <w:rFonts w:hint="eastAsia" w:ascii="仿宋_GB2312" w:hAnsi="仿宋_GB2312" w:eastAsia="仿宋_GB2312" w:cs="仿宋_GB2312"/>
          <w:color w:val="auto"/>
          <w:spacing w:val="2"/>
          <w:kern w:val="0"/>
          <w:sz w:val="21"/>
          <w:szCs w:val="21"/>
          <w:highlight w:val="none"/>
        </w:rPr>
        <w:t>工序外包和检验试验外包。</w:t>
      </w:r>
    </w:p>
    <w:p w14:paraId="1A0F5310">
      <w:pP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br w:type="page"/>
      </w:r>
    </w:p>
    <w:p w14:paraId="6953BFDF">
      <w:pPr>
        <w:spacing w:after="240" w:afterLines="100" w:line="380" w:lineRule="exact"/>
        <w:outlineLvl w:val="0"/>
        <w:rPr>
          <w:rFonts w:hint="eastAsia" w:ascii="仿宋_GB2312" w:hAnsi="仿宋_GB2312" w:eastAsia="仿宋_GB2312" w:cs="仿宋_GB2312"/>
          <w:color w:val="auto"/>
          <w:sz w:val="21"/>
          <w:szCs w:val="21"/>
          <w:highlight w:val="none"/>
        </w:rPr>
      </w:pPr>
      <w:bookmarkStart w:id="213" w:name="_Toc9500"/>
      <w:r>
        <w:rPr>
          <w:rFonts w:hint="eastAsia" w:ascii="仿宋_GB2312" w:hAnsi="仿宋_GB2312" w:eastAsia="仿宋_GB2312" w:cs="仿宋_GB2312"/>
          <w:color w:val="auto"/>
          <w:sz w:val="21"/>
          <w:szCs w:val="21"/>
          <w:highlight w:val="none"/>
        </w:rPr>
        <w:t>附录E.11  禁、限用工艺清单</w:t>
      </w:r>
      <w:bookmarkEnd w:id="213"/>
    </w:p>
    <w:p w14:paraId="03060C41">
      <w:pPr>
        <w:keepNext w:val="0"/>
        <w:keepLines w:val="0"/>
        <w:pageBreakBefore w:val="0"/>
        <w:widowControl w:val="0"/>
        <w:kinsoku/>
        <w:wordWrap/>
        <w:overflowPunct/>
        <w:topLinePunct w:val="0"/>
        <w:autoSpaceDE/>
        <w:autoSpaceDN/>
        <w:bidi w:val="0"/>
        <w:adjustRightInd/>
        <w:snapToGrid/>
        <w:spacing w:after="240" w:afterLines="100" w:line="380" w:lineRule="exact"/>
        <w:ind w:firstLine="420" w:firstLineChars="200"/>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该生产线产品不存在禁、限用工艺。</w:t>
      </w:r>
    </w:p>
    <w:p w14:paraId="1CA7BE04">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br w:type="page"/>
      </w:r>
    </w:p>
    <w:p w14:paraId="5808C7A5">
      <w:pPr>
        <w:spacing w:afterLines="50" w:line="380" w:lineRule="exact"/>
        <w:outlineLvl w:val="0"/>
        <w:rPr>
          <w:rFonts w:hint="eastAsia" w:ascii="仿宋_GB2312" w:hAnsi="仿宋_GB2312" w:eastAsia="仿宋_GB2312" w:cs="仿宋_GB2312"/>
          <w:color w:val="auto"/>
          <w:sz w:val="21"/>
          <w:szCs w:val="21"/>
          <w:highlight w:val="none"/>
        </w:rPr>
      </w:pPr>
      <w:bookmarkStart w:id="214" w:name="_Toc13443"/>
      <w:bookmarkStart w:id="215" w:name="_Toc23962"/>
      <w:bookmarkStart w:id="216" w:name="_Toc9455"/>
      <w:r>
        <w:rPr>
          <w:rFonts w:hint="eastAsia" w:ascii="仿宋_GB2312" w:hAnsi="仿宋_GB2312" w:eastAsia="仿宋_GB2312" w:cs="仿宋_GB2312"/>
          <w:color w:val="auto"/>
          <w:sz w:val="21"/>
          <w:szCs w:val="21"/>
          <w:highlight w:val="none"/>
        </w:rPr>
        <w:t>附录E.12 关键岗位人员清单</w:t>
      </w:r>
      <w:bookmarkEnd w:id="214"/>
      <w:bookmarkEnd w:id="215"/>
      <w:bookmarkEnd w:id="216"/>
    </w:p>
    <w:p w14:paraId="0C74E44C">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关键岗位人员清单</w:t>
      </w:r>
    </w:p>
    <w:tbl>
      <w:tblPr>
        <w:tblStyle w:val="8"/>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3343"/>
        <w:gridCol w:w="2646"/>
        <w:gridCol w:w="1967"/>
      </w:tblGrid>
      <w:tr w14:paraId="13CD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814" w:type="dxa"/>
            <w:vAlign w:val="center"/>
          </w:tcPr>
          <w:p w14:paraId="4B73DBE9">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3343" w:type="dxa"/>
            <w:vAlign w:val="center"/>
          </w:tcPr>
          <w:p w14:paraId="6659CB8E">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关键岗位（部位）</w:t>
            </w:r>
          </w:p>
        </w:tc>
        <w:tc>
          <w:tcPr>
            <w:tcW w:w="2646" w:type="dxa"/>
            <w:vAlign w:val="center"/>
          </w:tcPr>
          <w:p w14:paraId="241D771F">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人员姓名</w:t>
            </w:r>
          </w:p>
        </w:tc>
        <w:tc>
          <w:tcPr>
            <w:tcW w:w="1967" w:type="dxa"/>
            <w:vAlign w:val="center"/>
          </w:tcPr>
          <w:p w14:paraId="7B884F40">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工作部门</w:t>
            </w:r>
          </w:p>
        </w:tc>
      </w:tr>
      <w:tr w14:paraId="7F3F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14" w:type="dxa"/>
            <w:vAlign w:val="center"/>
          </w:tcPr>
          <w:p w14:paraId="5FFD5D4C">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343" w:type="dxa"/>
            <w:vAlign w:val="center"/>
          </w:tcPr>
          <w:p w14:paraId="16FA55DA">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最高管理者</w:t>
            </w:r>
          </w:p>
          <w:p w14:paraId="46AED0AA">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cs="仿宋_GB2312"/>
                <w:color w:val="auto"/>
                <w:sz w:val="21"/>
                <w:szCs w:val="21"/>
                <w:highlight w:val="none"/>
                <w:lang w:val="en-US" w:eastAsia="zh-CN"/>
              </w:rPr>
              <w:t>董事长</w:t>
            </w:r>
            <w:r>
              <w:rPr>
                <w:rFonts w:hint="eastAsia" w:ascii="仿宋_GB2312" w:hAnsi="仿宋_GB2312" w:eastAsia="仿宋_GB2312" w:cs="仿宋_GB2312"/>
                <w:color w:val="auto"/>
                <w:sz w:val="21"/>
                <w:szCs w:val="21"/>
                <w:highlight w:val="none"/>
                <w:lang w:eastAsia="zh-CN"/>
              </w:rPr>
              <w:t>）</w:t>
            </w:r>
          </w:p>
        </w:tc>
        <w:tc>
          <w:tcPr>
            <w:tcW w:w="2646" w:type="dxa"/>
            <w:vAlign w:val="center"/>
          </w:tcPr>
          <w:p w14:paraId="45A1376B">
            <w:pPr>
              <w:adjustRightInd w:val="0"/>
              <w:spacing w:line="240" w:lineRule="auto"/>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冯雪峰</w:t>
            </w:r>
          </w:p>
        </w:tc>
        <w:tc>
          <w:tcPr>
            <w:tcW w:w="1967" w:type="dxa"/>
            <w:vAlign w:val="center"/>
          </w:tcPr>
          <w:p w14:paraId="7FFA77EB">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综合管理部</w:t>
            </w:r>
          </w:p>
        </w:tc>
      </w:tr>
      <w:tr w14:paraId="3239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814" w:type="dxa"/>
            <w:vAlign w:val="center"/>
          </w:tcPr>
          <w:p w14:paraId="45FF2127">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w:t>
            </w:r>
          </w:p>
        </w:tc>
        <w:tc>
          <w:tcPr>
            <w:tcW w:w="3343" w:type="dxa"/>
            <w:vAlign w:val="center"/>
          </w:tcPr>
          <w:p w14:paraId="11B1A657">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质量保证负责人</w:t>
            </w:r>
          </w:p>
          <w:p w14:paraId="02104798">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（公司</w:t>
            </w:r>
            <w:r>
              <w:rPr>
                <w:rFonts w:hint="eastAsia" w:ascii="仿宋_GB2312" w:hAnsi="仿宋_GB2312" w:eastAsia="仿宋_GB2312" w:cs="仿宋_GB2312"/>
                <w:color w:val="auto"/>
                <w:kern w:val="2"/>
                <w:sz w:val="21"/>
                <w:szCs w:val="21"/>
                <w:highlight w:val="none"/>
                <w:lang w:val="en-US" w:eastAsia="zh-CN" w:bidi="ar-SA"/>
              </w:rPr>
              <w:t>副总经理</w:t>
            </w:r>
            <w:r>
              <w:rPr>
                <w:rFonts w:hint="eastAsia" w:ascii="仿宋_GB2312" w:hAnsi="仿宋_GB2312" w:cs="仿宋_GB2312"/>
                <w:color w:val="auto"/>
                <w:kern w:val="2"/>
                <w:sz w:val="21"/>
                <w:szCs w:val="21"/>
                <w:highlight w:val="none"/>
                <w:lang w:val="en-US" w:eastAsia="zh-CN" w:bidi="ar-SA"/>
              </w:rPr>
              <w:t>）</w:t>
            </w:r>
          </w:p>
        </w:tc>
        <w:tc>
          <w:tcPr>
            <w:tcW w:w="2646" w:type="dxa"/>
            <w:vAlign w:val="center"/>
          </w:tcPr>
          <w:p w14:paraId="1799AE48">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王  鹏</w:t>
            </w:r>
          </w:p>
        </w:tc>
        <w:tc>
          <w:tcPr>
            <w:tcW w:w="1967" w:type="dxa"/>
            <w:vAlign w:val="center"/>
          </w:tcPr>
          <w:p w14:paraId="5439B5D3">
            <w:pPr>
              <w:adjustRightInd w:val="0"/>
              <w:spacing w:line="240" w:lineRule="auto"/>
              <w:jc w:val="center"/>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综合管理部</w:t>
            </w:r>
          </w:p>
        </w:tc>
      </w:tr>
      <w:tr w14:paraId="6C03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814" w:type="dxa"/>
            <w:vAlign w:val="center"/>
          </w:tcPr>
          <w:p w14:paraId="33B37F79">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3</w:t>
            </w:r>
          </w:p>
        </w:tc>
        <w:tc>
          <w:tcPr>
            <w:tcW w:w="3343" w:type="dxa"/>
            <w:vAlign w:val="center"/>
          </w:tcPr>
          <w:p w14:paraId="1BA0C9E2">
            <w:pPr>
              <w:adjustRightInd w:val="0"/>
              <w:spacing w:line="240" w:lineRule="auto"/>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cs="仿宋_GB2312"/>
                <w:color w:val="auto"/>
                <w:spacing w:val="0"/>
                <w:sz w:val="21"/>
                <w:szCs w:val="21"/>
                <w:highlight w:val="none"/>
                <w:lang w:eastAsia="zh-CN"/>
              </w:rPr>
              <w:t>防务装备</w:t>
            </w:r>
            <w:r>
              <w:rPr>
                <w:rFonts w:hint="eastAsia" w:ascii="仿宋_GB2312" w:hAnsi="仿宋_GB2312" w:eastAsia="仿宋_GB2312" w:cs="仿宋_GB2312"/>
                <w:color w:val="auto"/>
                <w:spacing w:val="0"/>
                <w:sz w:val="21"/>
                <w:szCs w:val="21"/>
                <w:highlight w:val="none"/>
              </w:rPr>
              <w:t>事业部总经理</w:t>
            </w:r>
          </w:p>
          <w:p w14:paraId="7601D02F">
            <w:pPr>
              <w:adjustRightInd w:val="0"/>
              <w:spacing w:line="240" w:lineRule="auto"/>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cs="仿宋_GB2312"/>
                <w:color w:val="auto"/>
                <w:spacing w:val="0"/>
                <w:kern w:val="2"/>
                <w:sz w:val="21"/>
                <w:szCs w:val="21"/>
                <w:highlight w:val="none"/>
                <w:lang w:val="en-US" w:eastAsia="zh-CN" w:bidi="ar-SA"/>
              </w:rPr>
              <w:t>（公司</w:t>
            </w:r>
            <w:r>
              <w:rPr>
                <w:rFonts w:hint="eastAsia" w:ascii="仿宋_GB2312" w:hAnsi="仿宋_GB2312" w:eastAsia="仿宋_GB2312" w:cs="仿宋_GB2312"/>
                <w:color w:val="auto"/>
                <w:kern w:val="2"/>
                <w:sz w:val="21"/>
                <w:szCs w:val="21"/>
                <w:highlight w:val="none"/>
                <w:lang w:val="en-US" w:eastAsia="zh-CN" w:bidi="ar-SA"/>
              </w:rPr>
              <w:t>副总经理</w:t>
            </w:r>
            <w:r>
              <w:rPr>
                <w:rFonts w:hint="eastAsia" w:ascii="仿宋_GB2312" w:hAnsi="仿宋_GB2312" w:cs="仿宋_GB2312"/>
                <w:color w:val="auto"/>
                <w:spacing w:val="0"/>
                <w:kern w:val="2"/>
                <w:sz w:val="21"/>
                <w:szCs w:val="21"/>
                <w:highlight w:val="none"/>
                <w:lang w:val="en-US" w:eastAsia="zh-CN" w:bidi="ar-SA"/>
              </w:rPr>
              <w:t>）</w:t>
            </w:r>
          </w:p>
        </w:tc>
        <w:tc>
          <w:tcPr>
            <w:tcW w:w="2646" w:type="dxa"/>
            <w:vAlign w:val="center"/>
          </w:tcPr>
          <w:p w14:paraId="0DD92327">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甘</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lang w:eastAsia="zh-CN"/>
              </w:rPr>
              <w:t>露</w:t>
            </w:r>
          </w:p>
        </w:tc>
        <w:tc>
          <w:tcPr>
            <w:tcW w:w="1967" w:type="dxa"/>
            <w:vAlign w:val="center"/>
          </w:tcPr>
          <w:p w14:paraId="23DC6FF5">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综合管理部</w:t>
            </w:r>
          </w:p>
        </w:tc>
      </w:tr>
      <w:tr w14:paraId="3286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14" w:type="dxa"/>
            <w:vAlign w:val="center"/>
          </w:tcPr>
          <w:p w14:paraId="65317E96">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4</w:t>
            </w:r>
          </w:p>
        </w:tc>
        <w:tc>
          <w:tcPr>
            <w:tcW w:w="3343" w:type="dxa"/>
            <w:vAlign w:val="center"/>
          </w:tcPr>
          <w:p w14:paraId="5BA5D771">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pacing w:val="0"/>
                <w:sz w:val="21"/>
                <w:szCs w:val="21"/>
                <w:highlight w:val="none"/>
                <w:lang w:eastAsia="zh-CN"/>
              </w:rPr>
              <w:t>防务装备</w:t>
            </w:r>
            <w:r>
              <w:rPr>
                <w:rFonts w:hint="eastAsia" w:ascii="仿宋_GB2312" w:hAnsi="仿宋_GB2312" w:eastAsia="仿宋_GB2312" w:cs="仿宋_GB2312"/>
                <w:color w:val="auto"/>
                <w:spacing w:val="0"/>
                <w:sz w:val="21"/>
                <w:szCs w:val="21"/>
                <w:highlight w:val="none"/>
              </w:rPr>
              <w:t>事业</w:t>
            </w:r>
            <w:r>
              <w:rPr>
                <w:rFonts w:hint="eastAsia" w:ascii="仿宋_GB2312" w:hAnsi="仿宋_GB2312" w:cs="仿宋_GB2312"/>
                <w:color w:val="auto"/>
                <w:spacing w:val="0"/>
                <w:sz w:val="21"/>
                <w:szCs w:val="21"/>
                <w:highlight w:val="none"/>
                <w:lang w:eastAsia="zh-CN"/>
              </w:rPr>
              <w:t>部</w:t>
            </w:r>
            <w:r>
              <w:rPr>
                <w:rFonts w:hint="eastAsia" w:ascii="仿宋_GB2312" w:hAnsi="仿宋_GB2312" w:eastAsia="仿宋_GB2312" w:cs="仿宋_GB2312"/>
                <w:color w:val="auto"/>
                <w:sz w:val="21"/>
                <w:szCs w:val="21"/>
                <w:highlight w:val="none"/>
              </w:rPr>
              <w:t>生产制造部部长</w:t>
            </w:r>
          </w:p>
        </w:tc>
        <w:tc>
          <w:tcPr>
            <w:tcW w:w="2646" w:type="dxa"/>
            <w:vAlign w:val="center"/>
          </w:tcPr>
          <w:p w14:paraId="689D7543">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向奉晏</w:t>
            </w:r>
          </w:p>
        </w:tc>
        <w:tc>
          <w:tcPr>
            <w:tcW w:w="1967" w:type="dxa"/>
            <w:vAlign w:val="center"/>
          </w:tcPr>
          <w:p w14:paraId="1837D5C6">
            <w:pPr>
              <w:adjustRightInd w:val="0"/>
              <w:spacing w:line="240" w:lineRule="auto"/>
              <w:jc w:val="center"/>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3617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814" w:type="dxa"/>
            <w:vAlign w:val="center"/>
          </w:tcPr>
          <w:p w14:paraId="1CE7A96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5</w:t>
            </w:r>
          </w:p>
        </w:tc>
        <w:tc>
          <w:tcPr>
            <w:tcW w:w="3343" w:type="dxa"/>
            <w:vAlign w:val="center"/>
          </w:tcPr>
          <w:p w14:paraId="24CC9749">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质量监督负责人</w:t>
            </w:r>
            <w:r>
              <w:rPr>
                <w:rFonts w:hint="eastAsia" w:ascii="仿宋_GB2312" w:hAnsi="仿宋_GB2312" w:eastAsia="仿宋_GB2312" w:cs="仿宋_GB2312"/>
                <w:color w:val="auto"/>
                <w:sz w:val="21"/>
                <w:szCs w:val="21"/>
                <w:highlight w:val="none"/>
                <w:lang w:val="en-US" w:eastAsia="zh-CN"/>
              </w:rPr>
              <w:t>/</w:t>
            </w:r>
          </w:p>
          <w:p w14:paraId="39B0E2E1">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质量体系部</w:t>
            </w:r>
            <w:r>
              <w:rPr>
                <w:rFonts w:hint="eastAsia" w:ascii="仿宋_GB2312" w:hAnsi="仿宋_GB2312" w:eastAsia="仿宋_GB2312" w:cs="仿宋_GB2312"/>
                <w:color w:val="auto"/>
                <w:sz w:val="21"/>
                <w:szCs w:val="21"/>
                <w:highlight w:val="none"/>
              </w:rPr>
              <w:t>副部长</w:t>
            </w:r>
          </w:p>
        </w:tc>
        <w:tc>
          <w:tcPr>
            <w:tcW w:w="2646" w:type="dxa"/>
            <w:vAlign w:val="center"/>
          </w:tcPr>
          <w:p w14:paraId="6E63C1A5">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杨东明</w:t>
            </w:r>
          </w:p>
        </w:tc>
        <w:tc>
          <w:tcPr>
            <w:tcW w:w="1967" w:type="dxa"/>
            <w:vAlign w:val="center"/>
          </w:tcPr>
          <w:p w14:paraId="25F7E16F">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质量体系部</w:t>
            </w:r>
          </w:p>
        </w:tc>
      </w:tr>
      <w:tr w14:paraId="10CD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14" w:type="dxa"/>
            <w:vAlign w:val="center"/>
          </w:tcPr>
          <w:p w14:paraId="5712BA3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6</w:t>
            </w:r>
          </w:p>
        </w:tc>
        <w:tc>
          <w:tcPr>
            <w:tcW w:w="3343" w:type="dxa"/>
            <w:vAlign w:val="center"/>
          </w:tcPr>
          <w:p w14:paraId="09B52E74">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生产线</w:t>
            </w:r>
            <w:r>
              <w:rPr>
                <w:rFonts w:hint="eastAsia" w:ascii="仿宋_GB2312" w:hAnsi="仿宋_GB2312" w:eastAsia="仿宋_GB2312" w:cs="仿宋_GB2312"/>
                <w:color w:val="auto"/>
                <w:sz w:val="21"/>
                <w:szCs w:val="21"/>
                <w:highlight w:val="none"/>
              </w:rPr>
              <w:t>技术</w:t>
            </w:r>
            <w:r>
              <w:rPr>
                <w:rFonts w:hint="eastAsia" w:ascii="仿宋_GB2312" w:hAnsi="仿宋_GB2312" w:eastAsia="仿宋_GB2312" w:cs="仿宋_GB2312"/>
                <w:color w:val="auto"/>
                <w:sz w:val="21"/>
                <w:szCs w:val="21"/>
                <w:highlight w:val="none"/>
                <w:lang w:eastAsia="zh-CN"/>
              </w:rPr>
              <w:t>人员</w:t>
            </w:r>
          </w:p>
        </w:tc>
        <w:tc>
          <w:tcPr>
            <w:tcW w:w="2646" w:type="dxa"/>
            <w:vAlign w:val="center"/>
          </w:tcPr>
          <w:p w14:paraId="2FCE37B7">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苏  攀</w:t>
            </w:r>
          </w:p>
        </w:tc>
        <w:tc>
          <w:tcPr>
            <w:tcW w:w="1967" w:type="dxa"/>
            <w:vAlign w:val="center"/>
          </w:tcPr>
          <w:p w14:paraId="36D1D6F7">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222C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14" w:type="dxa"/>
            <w:vAlign w:val="center"/>
          </w:tcPr>
          <w:p w14:paraId="025B403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7</w:t>
            </w:r>
          </w:p>
        </w:tc>
        <w:tc>
          <w:tcPr>
            <w:tcW w:w="3343" w:type="dxa"/>
            <w:vAlign w:val="center"/>
          </w:tcPr>
          <w:p w14:paraId="66AE1DB6">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绞线工序</w:t>
            </w:r>
          </w:p>
        </w:tc>
        <w:tc>
          <w:tcPr>
            <w:tcW w:w="2646" w:type="dxa"/>
            <w:vAlign w:val="center"/>
          </w:tcPr>
          <w:p w14:paraId="45BCE571">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翟汉秀、乔丽霞</w:t>
            </w:r>
          </w:p>
        </w:tc>
        <w:tc>
          <w:tcPr>
            <w:tcW w:w="1967" w:type="dxa"/>
            <w:vAlign w:val="center"/>
          </w:tcPr>
          <w:p w14:paraId="6DCA5715">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电力</w:t>
            </w:r>
            <w:r>
              <w:rPr>
                <w:rFonts w:hint="eastAsia" w:ascii="仿宋_GB2312" w:hAnsi="仿宋_GB2312" w:cs="仿宋_GB2312"/>
                <w:color w:val="auto"/>
                <w:sz w:val="21"/>
                <w:szCs w:val="21"/>
                <w:highlight w:val="none"/>
                <w:lang w:eastAsia="zh-CN"/>
              </w:rPr>
              <w:t>能源</w:t>
            </w:r>
            <w:r>
              <w:rPr>
                <w:rFonts w:hint="eastAsia" w:ascii="仿宋_GB2312" w:hAnsi="仿宋_GB2312" w:eastAsia="仿宋_GB2312" w:cs="仿宋_GB2312"/>
                <w:color w:val="auto"/>
                <w:sz w:val="21"/>
                <w:szCs w:val="21"/>
                <w:highlight w:val="none"/>
                <w:lang w:eastAsia="zh-CN"/>
              </w:rPr>
              <w:t>事业部</w:t>
            </w:r>
          </w:p>
        </w:tc>
      </w:tr>
      <w:tr w14:paraId="0ABD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14" w:type="dxa"/>
            <w:vAlign w:val="center"/>
          </w:tcPr>
          <w:p w14:paraId="7476E218">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8</w:t>
            </w:r>
          </w:p>
        </w:tc>
        <w:tc>
          <w:tcPr>
            <w:tcW w:w="3343" w:type="dxa"/>
            <w:vAlign w:val="center"/>
          </w:tcPr>
          <w:p w14:paraId="0D4C9FA3">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绕包绝缘工序</w:t>
            </w:r>
          </w:p>
        </w:tc>
        <w:tc>
          <w:tcPr>
            <w:tcW w:w="2646" w:type="dxa"/>
            <w:vAlign w:val="center"/>
          </w:tcPr>
          <w:p w14:paraId="268E88C9">
            <w:pPr>
              <w:autoSpaceDN w:val="0"/>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吴小丽、邱雪、毛玉兰</w:t>
            </w:r>
          </w:p>
        </w:tc>
        <w:tc>
          <w:tcPr>
            <w:tcW w:w="1967" w:type="dxa"/>
            <w:vAlign w:val="center"/>
          </w:tcPr>
          <w:p w14:paraId="2A611127">
            <w:pPr>
              <w:autoSpaceDN w:val="0"/>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防务装备</w:t>
            </w:r>
            <w:r>
              <w:rPr>
                <w:rFonts w:hint="eastAsia" w:ascii="仿宋_GB2312" w:hAnsi="仿宋_GB2312" w:eastAsia="仿宋_GB2312" w:cs="仿宋_GB2312"/>
                <w:color w:val="auto"/>
                <w:sz w:val="21"/>
                <w:szCs w:val="21"/>
                <w:highlight w:val="none"/>
              </w:rPr>
              <w:t>事业部</w:t>
            </w:r>
          </w:p>
        </w:tc>
      </w:tr>
      <w:tr w14:paraId="3F7D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814" w:type="dxa"/>
            <w:vAlign w:val="center"/>
          </w:tcPr>
          <w:p w14:paraId="16571603">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9</w:t>
            </w:r>
          </w:p>
        </w:tc>
        <w:tc>
          <w:tcPr>
            <w:tcW w:w="3343" w:type="dxa"/>
            <w:vAlign w:val="center"/>
          </w:tcPr>
          <w:p w14:paraId="444A5E6B">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绕包屏蔽工序</w:t>
            </w:r>
          </w:p>
        </w:tc>
        <w:tc>
          <w:tcPr>
            <w:tcW w:w="2646" w:type="dxa"/>
            <w:vAlign w:val="center"/>
          </w:tcPr>
          <w:p w14:paraId="1D3A85B0">
            <w:pPr>
              <w:autoSpaceDN w:val="0"/>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吴小丽、邱雪、毛玉兰</w:t>
            </w:r>
          </w:p>
        </w:tc>
        <w:tc>
          <w:tcPr>
            <w:tcW w:w="1967" w:type="dxa"/>
            <w:vAlign w:val="center"/>
          </w:tcPr>
          <w:p w14:paraId="5EDD918F">
            <w:pPr>
              <w:autoSpaceDN w:val="0"/>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防务装备</w:t>
            </w:r>
            <w:r>
              <w:rPr>
                <w:rFonts w:hint="eastAsia" w:ascii="仿宋_GB2312" w:hAnsi="仿宋_GB2312" w:eastAsia="仿宋_GB2312" w:cs="仿宋_GB2312"/>
                <w:color w:val="auto"/>
                <w:sz w:val="21"/>
                <w:szCs w:val="21"/>
                <w:highlight w:val="none"/>
              </w:rPr>
              <w:t>事业部</w:t>
            </w:r>
          </w:p>
        </w:tc>
      </w:tr>
      <w:tr w14:paraId="3790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814" w:type="dxa"/>
            <w:vAlign w:val="center"/>
          </w:tcPr>
          <w:p w14:paraId="7513C0FC">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10</w:t>
            </w:r>
          </w:p>
        </w:tc>
        <w:tc>
          <w:tcPr>
            <w:tcW w:w="3343" w:type="dxa"/>
            <w:vAlign w:val="center"/>
          </w:tcPr>
          <w:p w14:paraId="07732C4E">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质量技术员</w:t>
            </w:r>
          </w:p>
        </w:tc>
        <w:tc>
          <w:tcPr>
            <w:tcW w:w="2646" w:type="dxa"/>
            <w:vAlign w:val="center"/>
          </w:tcPr>
          <w:p w14:paraId="18AFB288">
            <w:pPr>
              <w:keepNext w:val="0"/>
              <w:keepLines w:val="0"/>
              <w:pageBreakBefore w:val="0"/>
              <w:widowControl w:val="0"/>
              <w:kinsoku/>
              <w:wordWrap/>
              <w:overflowPunct/>
              <w:topLinePunct w:val="0"/>
              <w:autoSpaceDE/>
              <w:bidi w:val="0"/>
              <w:adjustRightInd/>
              <w:snapToGrid/>
              <w:spacing w:line="240" w:lineRule="auto"/>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孟帅霖、沈鹏</w:t>
            </w:r>
          </w:p>
        </w:tc>
        <w:tc>
          <w:tcPr>
            <w:tcW w:w="1967" w:type="dxa"/>
            <w:vAlign w:val="center"/>
          </w:tcPr>
          <w:p w14:paraId="38A6D19C">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质量体系部</w:t>
            </w:r>
          </w:p>
        </w:tc>
      </w:tr>
      <w:tr w14:paraId="4114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jc w:val="center"/>
        </w:trPr>
        <w:tc>
          <w:tcPr>
            <w:tcW w:w="814" w:type="dxa"/>
            <w:vAlign w:val="center"/>
          </w:tcPr>
          <w:p w14:paraId="2D01B700">
            <w:pPr>
              <w:autoSpaceDN w:val="0"/>
              <w:spacing w:line="240" w:lineRule="auto"/>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11</w:t>
            </w:r>
          </w:p>
        </w:tc>
        <w:tc>
          <w:tcPr>
            <w:tcW w:w="3343" w:type="dxa"/>
            <w:vAlign w:val="center"/>
          </w:tcPr>
          <w:p w14:paraId="5A125C3A">
            <w:pPr>
              <w:autoSpaceDN w:val="0"/>
              <w:spacing w:line="240" w:lineRule="auto"/>
              <w:jc w:val="center"/>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检验</w:t>
            </w:r>
            <w:r>
              <w:rPr>
                <w:rFonts w:hint="eastAsia" w:ascii="仿宋_GB2312" w:hAnsi="仿宋_GB2312" w:cs="仿宋_GB2312"/>
                <w:color w:val="auto"/>
                <w:sz w:val="21"/>
                <w:szCs w:val="21"/>
                <w:highlight w:val="none"/>
                <w:lang w:eastAsia="zh-CN"/>
              </w:rPr>
              <w:t>试验人员</w:t>
            </w:r>
          </w:p>
        </w:tc>
        <w:tc>
          <w:tcPr>
            <w:tcW w:w="2646" w:type="dxa"/>
            <w:vAlign w:val="center"/>
          </w:tcPr>
          <w:p w14:paraId="43927AB3">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color w:val="auto"/>
                <w:sz w:val="21"/>
                <w:szCs w:val="21"/>
                <w:highlight w:val="none"/>
              </w:rPr>
              <w:t>卢</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健、</w:t>
            </w:r>
            <w:r>
              <w:rPr>
                <w:rFonts w:hint="eastAsia" w:ascii="仿宋_GB2312" w:hAnsi="仿宋_GB2312" w:eastAsia="仿宋_GB2312" w:cs="仿宋_GB2312"/>
                <w:strike w:val="0"/>
                <w:dstrike w:val="0"/>
                <w:color w:val="auto"/>
                <w:sz w:val="21"/>
                <w:szCs w:val="21"/>
                <w:highlight w:val="none"/>
              </w:rPr>
              <w:t>夏清梅</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rPr>
              <w:t>任</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rPr>
              <w:t>旭</w:t>
            </w:r>
            <w:r>
              <w:rPr>
                <w:rFonts w:hint="eastAsia" w:ascii="仿宋_GB2312" w:hAnsi="仿宋_GB2312" w:cs="仿宋_GB2312"/>
                <w:strike w:val="0"/>
                <w:dstrike w:val="0"/>
                <w:color w:val="auto"/>
                <w:sz w:val="21"/>
                <w:szCs w:val="21"/>
                <w:highlight w:val="none"/>
                <w:lang w:eastAsia="zh-CN"/>
              </w:rPr>
              <w:t>、</w:t>
            </w:r>
          </w:p>
          <w:p w14:paraId="66E7E893">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唐瑞岐</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宋克娟</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陈</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婧</w:t>
            </w:r>
            <w:r>
              <w:rPr>
                <w:rFonts w:hint="eastAsia" w:ascii="仿宋_GB2312" w:hAnsi="仿宋_GB2312" w:cs="仿宋_GB2312"/>
                <w:strike w:val="0"/>
                <w:dstrike w:val="0"/>
                <w:color w:val="auto"/>
                <w:sz w:val="21"/>
                <w:szCs w:val="21"/>
                <w:highlight w:val="none"/>
                <w:lang w:eastAsia="zh-CN"/>
              </w:rPr>
              <w:t>、</w:t>
            </w:r>
          </w:p>
          <w:p w14:paraId="0AE370A9">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杨仕鸿</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董和</w:t>
            </w:r>
            <w:r>
              <w:rPr>
                <w:rFonts w:hint="eastAsia" w:ascii="仿宋_GB2312" w:hAnsi="仿宋_GB2312" w:cs="仿宋_GB2312"/>
                <w:strike w:val="0"/>
                <w:dstrike w:val="0"/>
                <w:color w:val="auto"/>
                <w:sz w:val="21"/>
                <w:szCs w:val="21"/>
                <w:highlight w:val="none"/>
                <w:lang w:eastAsia="zh-CN"/>
              </w:rPr>
              <w:t>平、</w:t>
            </w:r>
            <w:r>
              <w:rPr>
                <w:rFonts w:hint="eastAsia" w:ascii="仿宋_GB2312" w:hAnsi="仿宋_GB2312" w:eastAsia="仿宋_GB2312" w:cs="仿宋_GB2312"/>
                <w:strike w:val="0"/>
                <w:dstrike w:val="0"/>
                <w:color w:val="auto"/>
                <w:sz w:val="21"/>
                <w:szCs w:val="21"/>
                <w:highlight w:val="none"/>
                <w:lang w:eastAsia="zh-CN"/>
              </w:rPr>
              <w:t>唐</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豪</w:t>
            </w:r>
            <w:r>
              <w:rPr>
                <w:rFonts w:hint="eastAsia" w:ascii="仿宋_GB2312" w:hAnsi="仿宋_GB2312" w:cs="仿宋_GB2312"/>
                <w:strike w:val="0"/>
                <w:dstrike w:val="0"/>
                <w:color w:val="auto"/>
                <w:sz w:val="21"/>
                <w:szCs w:val="21"/>
                <w:highlight w:val="none"/>
                <w:lang w:eastAsia="zh-CN"/>
              </w:rPr>
              <w:t>、</w:t>
            </w:r>
          </w:p>
          <w:p w14:paraId="79611E91">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杜雪梅、邓</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衍、丁</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林</w:t>
            </w:r>
            <w:r>
              <w:rPr>
                <w:rFonts w:hint="eastAsia" w:ascii="仿宋_GB2312" w:hAnsi="仿宋_GB2312" w:cs="仿宋_GB2312"/>
                <w:strike w:val="0"/>
                <w:dstrike w:val="0"/>
                <w:color w:val="auto"/>
                <w:sz w:val="21"/>
                <w:szCs w:val="21"/>
                <w:highlight w:val="none"/>
                <w:lang w:eastAsia="zh-CN"/>
              </w:rPr>
              <w:t>、</w:t>
            </w:r>
          </w:p>
          <w:p w14:paraId="02C3EE53">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eastAsia="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龚咏梅、文晓蓉、唐</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琳、</w:t>
            </w:r>
          </w:p>
          <w:p w14:paraId="17069078">
            <w:pPr>
              <w:keepNext w:val="0"/>
              <w:keepLines w:val="0"/>
              <w:pageBreakBefore w:val="0"/>
              <w:widowControl w:val="0"/>
              <w:kinsoku/>
              <w:wordWrap/>
              <w:overflowPunct/>
              <w:topLinePunct w:val="0"/>
              <w:autoSpaceDE/>
              <w:autoSpaceDN w:val="0"/>
              <w:bidi w:val="0"/>
              <w:adjustRightInd/>
              <w:snapToGrid/>
              <w:spacing w:line="240" w:lineRule="auto"/>
              <w:jc w:val="left"/>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蒋雪梅</w:t>
            </w:r>
          </w:p>
        </w:tc>
        <w:tc>
          <w:tcPr>
            <w:tcW w:w="1967" w:type="dxa"/>
            <w:vAlign w:val="center"/>
          </w:tcPr>
          <w:p w14:paraId="10E56847">
            <w:pPr>
              <w:autoSpaceDN w:val="0"/>
              <w:spacing w:line="240" w:lineRule="auto"/>
              <w:jc w:val="center"/>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质量体系部</w:t>
            </w:r>
          </w:p>
        </w:tc>
      </w:tr>
    </w:tbl>
    <w:p w14:paraId="52843D74">
      <w:pPr>
        <w:rPr>
          <w:color w:val="auto"/>
          <w:highlight w:val="none"/>
        </w:rPr>
      </w:pPr>
    </w:p>
    <w:p w14:paraId="7553F9FB">
      <w:pPr>
        <w:keepNext w:val="0"/>
        <w:keepLines w:val="0"/>
        <w:pageBreakBefore w:val="0"/>
        <w:widowControl w:val="0"/>
        <w:kinsoku/>
        <w:wordWrap/>
        <w:overflowPunct/>
        <w:topLinePunct w:val="0"/>
        <w:autoSpaceDE/>
        <w:autoSpaceDN/>
        <w:bidi w:val="0"/>
        <w:adjustRightInd/>
        <w:snapToGrid/>
        <w:spacing w:after="240" w:afterLines="100" w:line="380" w:lineRule="exact"/>
        <w:textAlignment w:val="auto"/>
        <w:rPr>
          <w:rFonts w:hint="eastAsia" w:ascii="仿宋_GB2312" w:hAnsi="仿宋_GB2312" w:eastAsia="仿宋_GB2312" w:cs="仿宋_GB2312"/>
          <w:color w:val="auto"/>
          <w:sz w:val="21"/>
          <w:szCs w:val="21"/>
          <w:highlight w:val="none"/>
          <w:lang w:eastAsia="zh-CN"/>
        </w:rPr>
        <w:sectPr>
          <w:footerReference r:id="rId21" w:type="default"/>
          <w:pgSz w:w="11906" w:h="16838"/>
          <w:pgMar w:top="1440" w:right="1485" w:bottom="1276" w:left="1803" w:header="851" w:footer="992" w:gutter="0"/>
          <w:pgNumType w:fmt="decimal" w:start="14"/>
          <w:cols w:space="0" w:num="1"/>
          <w:rtlGutter w:val="0"/>
          <w:docGrid w:type="linesAndChars" w:linePitch="319" w:charSpace="39"/>
        </w:sectPr>
      </w:pPr>
    </w:p>
    <w:p w14:paraId="5F1E49B8">
      <w:pPr>
        <w:spacing w:afterLines="50" w:line="380" w:lineRule="exact"/>
        <w:ind w:firstLine="210" w:firstLineChars="100"/>
        <w:jc w:val="left"/>
        <w:outlineLvl w:val="0"/>
        <w:rPr>
          <w:rFonts w:hint="eastAsia" w:ascii="仿宋_GB2312" w:hAnsi="仿宋_GB2312" w:eastAsia="仿宋_GB2312" w:cs="仿宋_GB2312"/>
          <w:color w:val="auto"/>
          <w:sz w:val="21"/>
          <w:szCs w:val="21"/>
          <w:highlight w:val="none"/>
        </w:rPr>
      </w:pPr>
      <w:bookmarkStart w:id="217" w:name="_Toc103"/>
      <w:bookmarkStart w:id="218" w:name="_Toc6226"/>
      <w:bookmarkStart w:id="219" w:name="_Toc15295"/>
      <w:r>
        <w:rPr>
          <w:rFonts w:hint="eastAsia" w:ascii="仿宋_GB2312" w:hAnsi="仿宋_GB2312" w:eastAsia="仿宋_GB2312" w:cs="仿宋_GB2312"/>
          <w:color w:val="auto"/>
          <w:sz w:val="21"/>
          <w:szCs w:val="21"/>
          <w:highlight w:val="none"/>
        </w:rPr>
        <w:t>附录F  程序文件清单</w:t>
      </w:r>
      <w:bookmarkEnd w:id="217"/>
      <w:bookmarkEnd w:id="218"/>
      <w:bookmarkEnd w:id="219"/>
    </w:p>
    <w:p w14:paraId="765F2A98">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rPr>
      </w:pPr>
      <w:bookmarkStart w:id="220" w:name="_Toc25312"/>
      <w:bookmarkStart w:id="221" w:name="_Toc16962"/>
      <w:bookmarkStart w:id="222" w:name="_Toc8835"/>
      <w:r>
        <w:rPr>
          <w:rFonts w:hint="eastAsia" w:ascii="仿宋_GB2312" w:hAnsi="仿宋_GB2312" w:eastAsia="仿宋_GB2312" w:cs="仿宋_GB2312"/>
          <w:b/>
          <w:bCs/>
          <w:color w:val="auto"/>
          <w:sz w:val="21"/>
          <w:szCs w:val="21"/>
          <w:highlight w:val="none"/>
        </w:rPr>
        <w:t>程序文件清单</w:t>
      </w:r>
      <w:bookmarkEnd w:id="220"/>
      <w:bookmarkEnd w:id="221"/>
      <w:bookmarkEnd w:id="222"/>
    </w:p>
    <w:tbl>
      <w:tblPr>
        <w:tblStyle w:val="8"/>
        <w:tblW w:w="8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2964"/>
        <w:gridCol w:w="3166"/>
        <w:gridCol w:w="1554"/>
      </w:tblGrid>
      <w:tr w14:paraId="7EC4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92" w:type="dxa"/>
            <w:vAlign w:val="center"/>
          </w:tcPr>
          <w:p w14:paraId="7DC0F8F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2964" w:type="dxa"/>
            <w:vAlign w:val="center"/>
          </w:tcPr>
          <w:p w14:paraId="18090A08">
            <w:pPr>
              <w:keepNext w:val="0"/>
              <w:keepLines w:val="0"/>
              <w:pageBreakBefore w:val="0"/>
              <w:widowControl w:val="0"/>
              <w:kinsoku/>
              <w:wordWrap/>
              <w:overflowPunct/>
              <w:topLinePunct w:val="0"/>
              <w:autoSpaceDE/>
              <w:autoSpaceDN/>
              <w:bidi w:val="0"/>
              <w:adjustRightInd w:val="0"/>
              <w:snapToGrid/>
              <w:spacing w:line="440" w:lineRule="exact"/>
              <w:ind w:left="0" w:right="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程序编号</w:t>
            </w:r>
          </w:p>
        </w:tc>
        <w:tc>
          <w:tcPr>
            <w:tcW w:w="3166" w:type="dxa"/>
            <w:vAlign w:val="center"/>
          </w:tcPr>
          <w:p w14:paraId="0E4BD11E">
            <w:pPr>
              <w:keepNext w:val="0"/>
              <w:keepLines w:val="0"/>
              <w:pageBreakBefore w:val="0"/>
              <w:widowControl w:val="0"/>
              <w:kinsoku/>
              <w:wordWrap/>
              <w:overflowPunct/>
              <w:topLinePunct w:val="0"/>
              <w:autoSpaceDE/>
              <w:autoSpaceDN/>
              <w:bidi w:val="0"/>
              <w:adjustRightInd w:val="0"/>
              <w:snapToGrid/>
              <w:spacing w:line="440" w:lineRule="exact"/>
              <w:ind w:left="0" w:right="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程序文件名称</w:t>
            </w:r>
          </w:p>
        </w:tc>
        <w:tc>
          <w:tcPr>
            <w:tcW w:w="1554" w:type="dxa"/>
            <w:vAlign w:val="center"/>
          </w:tcPr>
          <w:p w14:paraId="1479AA17">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大纲对应条款</w:t>
            </w:r>
          </w:p>
        </w:tc>
      </w:tr>
      <w:tr w14:paraId="13E1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4E579281">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2964" w:type="dxa"/>
            <w:vAlign w:val="center"/>
          </w:tcPr>
          <w:p w14:paraId="38D5D3B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JZXL/QP（GB)-0101(A)-2024</w:t>
            </w:r>
          </w:p>
        </w:tc>
        <w:tc>
          <w:tcPr>
            <w:tcW w:w="3166" w:type="dxa"/>
            <w:vAlign w:val="center"/>
          </w:tcPr>
          <w:p w14:paraId="0E5AE49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人力资源控制程序</w:t>
            </w:r>
          </w:p>
        </w:tc>
        <w:tc>
          <w:tcPr>
            <w:tcW w:w="1554" w:type="dxa"/>
            <w:vAlign w:val="center"/>
          </w:tcPr>
          <w:p w14:paraId="6357CA99">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4.3</w:t>
            </w:r>
          </w:p>
        </w:tc>
      </w:tr>
      <w:tr w14:paraId="51467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35A05E2">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2964" w:type="dxa"/>
            <w:vAlign w:val="center"/>
          </w:tcPr>
          <w:p w14:paraId="1759923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JZXL/QP（GB)-0102(A)-2024</w:t>
            </w:r>
          </w:p>
        </w:tc>
        <w:tc>
          <w:tcPr>
            <w:tcW w:w="3166" w:type="dxa"/>
            <w:vAlign w:val="center"/>
          </w:tcPr>
          <w:p w14:paraId="2C5FE54C">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文件控制程序</w:t>
            </w:r>
          </w:p>
        </w:tc>
        <w:tc>
          <w:tcPr>
            <w:tcW w:w="1554" w:type="dxa"/>
            <w:vAlign w:val="center"/>
          </w:tcPr>
          <w:p w14:paraId="1D798088">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w:t>
            </w:r>
          </w:p>
        </w:tc>
      </w:tr>
      <w:tr w14:paraId="5608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6C99296A">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2964" w:type="dxa"/>
            <w:vAlign w:val="center"/>
          </w:tcPr>
          <w:p w14:paraId="7501576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JZXL/QP（GB)-0201(A)-2024</w:t>
            </w:r>
          </w:p>
        </w:tc>
        <w:tc>
          <w:tcPr>
            <w:tcW w:w="3166" w:type="dxa"/>
            <w:vAlign w:val="center"/>
          </w:tcPr>
          <w:p w14:paraId="1258BF11">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质量记录控制程序</w:t>
            </w:r>
          </w:p>
        </w:tc>
        <w:tc>
          <w:tcPr>
            <w:tcW w:w="1554" w:type="dxa"/>
            <w:vAlign w:val="center"/>
          </w:tcPr>
          <w:p w14:paraId="435FDD0F">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w:t>
            </w:r>
          </w:p>
        </w:tc>
      </w:tr>
      <w:tr w14:paraId="30CA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1D2C076A">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2964" w:type="dxa"/>
            <w:vAlign w:val="center"/>
          </w:tcPr>
          <w:p w14:paraId="65A84A6C">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JZXL/QP（GB)-0202(A)-2024</w:t>
            </w:r>
          </w:p>
        </w:tc>
        <w:tc>
          <w:tcPr>
            <w:tcW w:w="3166" w:type="dxa"/>
            <w:vAlign w:val="center"/>
          </w:tcPr>
          <w:p w14:paraId="56960F83">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纠正与改进措施控制程序</w:t>
            </w:r>
          </w:p>
        </w:tc>
        <w:tc>
          <w:tcPr>
            <w:tcW w:w="1554" w:type="dxa"/>
            <w:vAlign w:val="center"/>
          </w:tcPr>
          <w:p w14:paraId="798BECFF">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4.</w:t>
            </w:r>
            <w:r>
              <w:rPr>
                <w:rFonts w:hint="eastAsia" w:ascii="仿宋_GB2312" w:hAnsi="仿宋_GB2312" w:cs="仿宋_GB2312"/>
                <w:color w:val="auto"/>
                <w:sz w:val="21"/>
                <w:szCs w:val="21"/>
                <w:highlight w:val="none"/>
                <w:lang w:val="en-US" w:eastAsia="zh-CN"/>
              </w:rPr>
              <w:t>12</w:t>
            </w:r>
          </w:p>
        </w:tc>
      </w:tr>
      <w:tr w14:paraId="7537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92" w:type="dxa"/>
            <w:vAlign w:val="center"/>
          </w:tcPr>
          <w:p w14:paraId="31EF8703">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2964" w:type="dxa"/>
            <w:vAlign w:val="center"/>
          </w:tcPr>
          <w:p w14:paraId="4431843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JZXL/QP（GB)-0203(A)-2024</w:t>
            </w:r>
          </w:p>
        </w:tc>
        <w:tc>
          <w:tcPr>
            <w:tcW w:w="3166" w:type="dxa"/>
            <w:vAlign w:val="center"/>
          </w:tcPr>
          <w:p w14:paraId="5D542C8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不合格品控制程序</w:t>
            </w:r>
          </w:p>
        </w:tc>
        <w:tc>
          <w:tcPr>
            <w:tcW w:w="1554" w:type="dxa"/>
            <w:vAlign w:val="center"/>
          </w:tcPr>
          <w:p w14:paraId="575CD7E4">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4176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5E925673">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2964" w:type="dxa"/>
            <w:vAlign w:val="center"/>
          </w:tcPr>
          <w:p w14:paraId="3659D0A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JZXL/QP（GB)-0204(A)-2024</w:t>
            </w:r>
          </w:p>
        </w:tc>
        <w:tc>
          <w:tcPr>
            <w:tcW w:w="3166" w:type="dxa"/>
            <w:vAlign w:val="center"/>
          </w:tcPr>
          <w:p w14:paraId="1E4C7D2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检定/校准及计量确认程序</w:t>
            </w:r>
          </w:p>
        </w:tc>
        <w:tc>
          <w:tcPr>
            <w:tcW w:w="1554" w:type="dxa"/>
            <w:vAlign w:val="center"/>
          </w:tcPr>
          <w:p w14:paraId="4D0D401A">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4.13</w:t>
            </w:r>
          </w:p>
        </w:tc>
      </w:tr>
      <w:tr w14:paraId="4CD8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6EF5CA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2964" w:type="dxa"/>
            <w:vAlign w:val="center"/>
          </w:tcPr>
          <w:p w14:paraId="029E2A2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JZXL/QP（GB)-0205(A)-2024</w:t>
            </w:r>
          </w:p>
        </w:tc>
        <w:tc>
          <w:tcPr>
            <w:tcW w:w="3166" w:type="dxa"/>
            <w:vAlign w:val="center"/>
          </w:tcPr>
          <w:p w14:paraId="2C5B356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供方管理控制程序</w:t>
            </w:r>
          </w:p>
        </w:tc>
        <w:tc>
          <w:tcPr>
            <w:tcW w:w="1554" w:type="dxa"/>
            <w:vAlign w:val="center"/>
          </w:tcPr>
          <w:p w14:paraId="579CD74A">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4.14</w:t>
            </w:r>
          </w:p>
        </w:tc>
      </w:tr>
      <w:tr w14:paraId="547F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3DAB1CD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2964" w:type="dxa"/>
            <w:vAlign w:val="center"/>
          </w:tcPr>
          <w:p w14:paraId="26EA082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JZXL/QP（GB)-0206(A)-2024</w:t>
            </w:r>
          </w:p>
        </w:tc>
        <w:tc>
          <w:tcPr>
            <w:tcW w:w="3166" w:type="dxa"/>
            <w:vAlign w:val="center"/>
          </w:tcPr>
          <w:p w14:paraId="16143732">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外包过程控制程序</w:t>
            </w:r>
          </w:p>
        </w:tc>
        <w:tc>
          <w:tcPr>
            <w:tcW w:w="1554" w:type="dxa"/>
            <w:vAlign w:val="center"/>
          </w:tcPr>
          <w:p w14:paraId="1BA7D1A1">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4.16</w:t>
            </w:r>
          </w:p>
        </w:tc>
      </w:tr>
      <w:tr w14:paraId="7196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49EC37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2964" w:type="dxa"/>
            <w:vAlign w:val="center"/>
          </w:tcPr>
          <w:p w14:paraId="0C0282C1">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JZXL/QP（GB)-0207(A)-2024</w:t>
            </w:r>
          </w:p>
        </w:tc>
        <w:tc>
          <w:tcPr>
            <w:tcW w:w="3166" w:type="dxa"/>
            <w:vAlign w:val="center"/>
          </w:tcPr>
          <w:p w14:paraId="19B6CFD1">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内部质量审核程序</w:t>
            </w:r>
          </w:p>
        </w:tc>
        <w:tc>
          <w:tcPr>
            <w:tcW w:w="1554" w:type="dxa"/>
            <w:vAlign w:val="center"/>
          </w:tcPr>
          <w:p w14:paraId="5682ABBE">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4.20</w:t>
            </w:r>
          </w:p>
        </w:tc>
      </w:tr>
      <w:tr w14:paraId="0661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4BB6ECE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2964" w:type="dxa"/>
            <w:vAlign w:val="center"/>
          </w:tcPr>
          <w:p w14:paraId="37DC291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JZXL/QP（GB)-0301(A)-2024</w:t>
            </w:r>
          </w:p>
        </w:tc>
        <w:tc>
          <w:tcPr>
            <w:tcW w:w="3166" w:type="dxa"/>
            <w:vAlign w:val="center"/>
          </w:tcPr>
          <w:p w14:paraId="12D12AD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采购控制程序</w:t>
            </w:r>
          </w:p>
        </w:tc>
        <w:tc>
          <w:tcPr>
            <w:tcW w:w="1554" w:type="dxa"/>
            <w:vAlign w:val="center"/>
          </w:tcPr>
          <w:p w14:paraId="4E0D716F">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4.14</w:t>
            </w:r>
          </w:p>
        </w:tc>
      </w:tr>
      <w:tr w14:paraId="3D03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5799A4C4">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2964" w:type="dxa"/>
            <w:vAlign w:val="center"/>
          </w:tcPr>
          <w:p w14:paraId="18B243E3">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JZXL/QP（GB)-0401(A)-2024</w:t>
            </w:r>
          </w:p>
        </w:tc>
        <w:tc>
          <w:tcPr>
            <w:tcW w:w="3166" w:type="dxa"/>
            <w:vAlign w:val="center"/>
          </w:tcPr>
          <w:p w14:paraId="2CCAA81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工作环境控制程序</w:t>
            </w:r>
          </w:p>
        </w:tc>
        <w:tc>
          <w:tcPr>
            <w:tcW w:w="1554" w:type="dxa"/>
            <w:vAlign w:val="center"/>
          </w:tcPr>
          <w:p w14:paraId="26CD50AF">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4.7</w:t>
            </w:r>
          </w:p>
        </w:tc>
      </w:tr>
      <w:tr w14:paraId="3198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11128CF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2964" w:type="dxa"/>
            <w:vAlign w:val="center"/>
          </w:tcPr>
          <w:p w14:paraId="6743031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JZXL/QP（GB)-0402(A)-2024</w:t>
            </w:r>
          </w:p>
        </w:tc>
        <w:tc>
          <w:tcPr>
            <w:tcW w:w="3166" w:type="dxa"/>
            <w:vAlign w:val="center"/>
          </w:tcPr>
          <w:p w14:paraId="2514AB9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生产设备控制程序</w:t>
            </w:r>
          </w:p>
        </w:tc>
        <w:tc>
          <w:tcPr>
            <w:tcW w:w="1554" w:type="dxa"/>
            <w:vAlign w:val="center"/>
          </w:tcPr>
          <w:p w14:paraId="17103E32">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4.8</w:t>
            </w:r>
          </w:p>
        </w:tc>
      </w:tr>
      <w:tr w14:paraId="52CE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C5B6F9D">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2964" w:type="dxa"/>
            <w:vAlign w:val="center"/>
          </w:tcPr>
          <w:p w14:paraId="5DA74C2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JZXL/QP（GB)-0701(A)-2024</w:t>
            </w:r>
          </w:p>
        </w:tc>
        <w:tc>
          <w:tcPr>
            <w:tcW w:w="3166" w:type="dxa"/>
            <w:vAlign w:val="center"/>
          </w:tcPr>
          <w:p w14:paraId="1376FBB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生产过程控制程序</w:t>
            </w:r>
          </w:p>
        </w:tc>
        <w:tc>
          <w:tcPr>
            <w:tcW w:w="1554" w:type="dxa"/>
            <w:vAlign w:val="center"/>
          </w:tcPr>
          <w:p w14:paraId="7D55167C">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4.8</w:t>
            </w:r>
          </w:p>
        </w:tc>
      </w:tr>
      <w:tr w14:paraId="057E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423CA4AF">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2964" w:type="dxa"/>
            <w:vAlign w:val="center"/>
          </w:tcPr>
          <w:p w14:paraId="4280967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JZXL/QP（GB)-0702(A)-2024</w:t>
            </w:r>
          </w:p>
        </w:tc>
        <w:tc>
          <w:tcPr>
            <w:tcW w:w="3166" w:type="dxa"/>
            <w:vAlign w:val="center"/>
          </w:tcPr>
          <w:p w14:paraId="76ADB5A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产品标识和可追溯性控制程序</w:t>
            </w:r>
          </w:p>
        </w:tc>
        <w:tc>
          <w:tcPr>
            <w:tcW w:w="1554" w:type="dxa"/>
            <w:vAlign w:val="center"/>
          </w:tcPr>
          <w:p w14:paraId="75EBFAF2">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4.15</w:t>
            </w:r>
          </w:p>
        </w:tc>
      </w:tr>
      <w:tr w14:paraId="41E0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4B9B1EB3">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w:t>
            </w:r>
          </w:p>
        </w:tc>
        <w:tc>
          <w:tcPr>
            <w:tcW w:w="2964" w:type="dxa"/>
            <w:vAlign w:val="center"/>
          </w:tcPr>
          <w:p w14:paraId="56FD181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JZXL/QP（GB)-0703(A)-2024</w:t>
            </w:r>
          </w:p>
        </w:tc>
        <w:tc>
          <w:tcPr>
            <w:tcW w:w="3166" w:type="dxa"/>
            <w:vAlign w:val="center"/>
          </w:tcPr>
          <w:p w14:paraId="191CECE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产品交付与服务控制程序</w:t>
            </w:r>
          </w:p>
        </w:tc>
        <w:tc>
          <w:tcPr>
            <w:tcW w:w="1554" w:type="dxa"/>
            <w:vAlign w:val="center"/>
          </w:tcPr>
          <w:p w14:paraId="5E2C3343">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7C4E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6A8B9A5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w:t>
            </w:r>
          </w:p>
        </w:tc>
        <w:tc>
          <w:tcPr>
            <w:tcW w:w="2964" w:type="dxa"/>
            <w:vAlign w:val="center"/>
          </w:tcPr>
          <w:p w14:paraId="028DB1C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JZXL/QP（GB)-0704(A)-2024</w:t>
            </w:r>
          </w:p>
        </w:tc>
        <w:tc>
          <w:tcPr>
            <w:tcW w:w="3166" w:type="dxa"/>
            <w:vAlign w:val="center"/>
          </w:tcPr>
          <w:p w14:paraId="484BBEA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产品防护控制程序</w:t>
            </w:r>
          </w:p>
        </w:tc>
        <w:tc>
          <w:tcPr>
            <w:tcW w:w="1554" w:type="dxa"/>
            <w:vAlign w:val="center"/>
          </w:tcPr>
          <w:p w14:paraId="7E3147DE">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4.17</w:t>
            </w:r>
          </w:p>
        </w:tc>
      </w:tr>
      <w:tr w14:paraId="0C95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A788465">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17</w:t>
            </w:r>
          </w:p>
        </w:tc>
        <w:tc>
          <w:tcPr>
            <w:tcW w:w="2964" w:type="dxa"/>
            <w:vAlign w:val="center"/>
          </w:tcPr>
          <w:p w14:paraId="116D5F2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JZXL/QP（GB)-0705(A)-2024</w:t>
            </w:r>
          </w:p>
        </w:tc>
        <w:tc>
          <w:tcPr>
            <w:tcW w:w="3166" w:type="dxa"/>
            <w:vAlign w:val="center"/>
          </w:tcPr>
          <w:p w14:paraId="27158C4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检验、试验控制程序</w:t>
            </w:r>
          </w:p>
        </w:tc>
        <w:tc>
          <w:tcPr>
            <w:tcW w:w="1554" w:type="dxa"/>
            <w:vAlign w:val="center"/>
          </w:tcPr>
          <w:p w14:paraId="0C5D822F">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3F62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1B404DB4">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18</w:t>
            </w:r>
          </w:p>
        </w:tc>
        <w:tc>
          <w:tcPr>
            <w:tcW w:w="2964" w:type="dxa"/>
            <w:vAlign w:val="center"/>
          </w:tcPr>
          <w:p w14:paraId="0F4E4E3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JZXL/QP（GB)-0706(A)-2024</w:t>
            </w:r>
          </w:p>
        </w:tc>
        <w:tc>
          <w:tcPr>
            <w:tcW w:w="3166" w:type="dxa"/>
            <w:vAlign w:val="center"/>
          </w:tcPr>
          <w:p w14:paraId="551C2CD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设计开发控制程序</w:t>
            </w:r>
          </w:p>
        </w:tc>
        <w:tc>
          <w:tcPr>
            <w:tcW w:w="1554" w:type="dxa"/>
            <w:vAlign w:val="center"/>
          </w:tcPr>
          <w:p w14:paraId="4AA399FD">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4.5/4.6</w:t>
            </w:r>
          </w:p>
        </w:tc>
      </w:tr>
      <w:tr w14:paraId="74BD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65951D72">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19</w:t>
            </w:r>
          </w:p>
        </w:tc>
        <w:tc>
          <w:tcPr>
            <w:tcW w:w="2964" w:type="dxa"/>
            <w:vAlign w:val="center"/>
          </w:tcPr>
          <w:p w14:paraId="74C7751C">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JZXL/QP（GB)-0707(A)-2024</w:t>
            </w:r>
          </w:p>
        </w:tc>
        <w:tc>
          <w:tcPr>
            <w:tcW w:w="3166" w:type="dxa"/>
            <w:vAlign w:val="center"/>
          </w:tcPr>
          <w:p w14:paraId="5017D32C">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关键工序控制程序</w:t>
            </w:r>
          </w:p>
        </w:tc>
        <w:tc>
          <w:tcPr>
            <w:tcW w:w="1554" w:type="dxa"/>
            <w:vAlign w:val="center"/>
          </w:tcPr>
          <w:p w14:paraId="69603CED">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4.9</w:t>
            </w:r>
          </w:p>
        </w:tc>
      </w:tr>
      <w:tr w14:paraId="7A4E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42627D9D">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w:t>
            </w:r>
          </w:p>
        </w:tc>
        <w:tc>
          <w:tcPr>
            <w:tcW w:w="2964" w:type="dxa"/>
            <w:vAlign w:val="center"/>
          </w:tcPr>
          <w:p w14:paraId="002A33F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JZXL/QP（GB)-0708(</w:t>
            </w:r>
            <w:r>
              <w:rPr>
                <w:rFonts w:hint="eastAsia" w:ascii="仿宋_GB2312" w:hAnsi="仿宋_GB2312" w:cs="仿宋_GB2312"/>
                <w:i w:val="0"/>
                <w:iCs w:val="0"/>
                <w:color w:val="auto"/>
                <w:kern w:val="0"/>
                <w:sz w:val="21"/>
                <w:szCs w:val="21"/>
                <w:highlight w:val="none"/>
                <w:u w:val="none"/>
                <w:lang w:val="en-US" w:eastAsia="zh-CN" w:bidi="ar"/>
              </w:rPr>
              <w:t>B</w:t>
            </w:r>
            <w:r>
              <w:rPr>
                <w:rFonts w:hint="eastAsia" w:ascii="仿宋_GB2312" w:hAnsi="仿宋_GB2312" w:eastAsia="仿宋_GB2312" w:cs="仿宋_GB2312"/>
                <w:i w:val="0"/>
                <w:iCs w:val="0"/>
                <w:color w:val="auto"/>
                <w:kern w:val="0"/>
                <w:sz w:val="21"/>
                <w:szCs w:val="21"/>
                <w:highlight w:val="none"/>
                <w:u w:val="none"/>
                <w:lang w:val="en-US" w:eastAsia="zh-CN" w:bidi="ar"/>
              </w:rPr>
              <w:t>)-2024</w:t>
            </w:r>
          </w:p>
        </w:tc>
        <w:tc>
          <w:tcPr>
            <w:tcW w:w="3166" w:type="dxa"/>
            <w:vAlign w:val="center"/>
          </w:tcPr>
          <w:p w14:paraId="325BFA2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特殊工序控制程序</w:t>
            </w:r>
          </w:p>
        </w:tc>
        <w:tc>
          <w:tcPr>
            <w:tcW w:w="1554" w:type="dxa"/>
            <w:vAlign w:val="center"/>
          </w:tcPr>
          <w:p w14:paraId="0EB5CC66">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4.9</w:t>
            </w:r>
          </w:p>
        </w:tc>
      </w:tr>
      <w:tr w14:paraId="44A9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3B971769">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21</w:t>
            </w:r>
          </w:p>
        </w:tc>
        <w:tc>
          <w:tcPr>
            <w:tcW w:w="2964" w:type="dxa"/>
            <w:vAlign w:val="center"/>
          </w:tcPr>
          <w:p w14:paraId="0D8FF8C0">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JZXL/QP（GB)-0709(A)-2024</w:t>
            </w:r>
          </w:p>
        </w:tc>
        <w:tc>
          <w:tcPr>
            <w:tcW w:w="3166" w:type="dxa"/>
            <w:vAlign w:val="center"/>
          </w:tcPr>
          <w:p w14:paraId="4A95F10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技术更改控制程序</w:t>
            </w:r>
          </w:p>
        </w:tc>
        <w:tc>
          <w:tcPr>
            <w:tcW w:w="1554" w:type="dxa"/>
            <w:vAlign w:val="center"/>
          </w:tcPr>
          <w:p w14:paraId="34E4838B">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4.19</w:t>
            </w:r>
          </w:p>
        </w:tc>
      </w:tr>
      <w:tr w14:paraId="5AB1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E39F1B5">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22</w:t>
            </w:r>
          </w:p>
        </w:tc>
        <w:tc>
          <w:tcPr>
            <w:tcW w:w="2964" w:type="dxa"/>
            <w:vAlign w:val="center"/>
          </w:tcPr>
          <w:p w14:paraId="60D85E5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JZXL/QP（GB)-0710(A)-2024</w:t>
            </w:r>
          </w:p>
        </w:tc>
        <w:tc>
          <w:tcPr>
            <w:tcW w:w="3166" w:type="dxa"/>
            <w:vAlign w:val="center"/>
          </w:tcPr>
          <w:p w14:paraId="00469F6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失效分析控制程序</w:t>
            </w:r>
          </w:p>
        </w:tc>
        <w:tc>
          <w:tcPr>
            <w:tcW w:w="1554" w:type="dxa"/>
            <w:vAlign w:val="center"/>
          </w:tcPr>
          <w:p w14:paraId="7EA09CDB">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4.11</w:t>
            </w:r>
          </w:p>
        </w:tc>
      </w:tr>
      <w:tr w14:paraId="0562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08EE0AE6">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23</w:t>
            </w:r>
          </w:p>
        </w:tc>
        <w:tc>
          <w:tcPr>
            <w:tcW w:w="2964" w:type="dxa"/>
            <w:vAlign w:val="center"/>
          </w:tcPr>
          <w:p w14:paraId="7AA3613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JZXL/QP（GB)-0711(A)-2024</w:t>
            </w:r>
          </w:p>
        </w:tc>
        <w:tc>
          <w:tcPr>
            <w:tcW w:w="3166" w:type="dxa"/>
            <w:vAlign w:val="center"/>
          </w:tcPr>
          <w:p w14:paraId="5E2534A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宇航级产品补充要求控制程序</w:t>
            </w:r>
          </w:p>
        </w:tc>
        <w:tc>
          <w:tcPr>
            <w:tcW w:w="1554" w:type="dxa"/>
            <w:vAlign w:val="center"/>
          </w:tcPr>
          <w:p w14:paraId="6753A8F2">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4.21</w:t>
            </w:r>
          </w:p>
        </w:tc>
      </w:tr>
      <w:tr w14:paraId="0B84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12EC8A6F">
            <w:pPr>
              <w:adjustRightInd w:val="0"/>
              <w:spacing w:line="440" w:lineRule="exact"/>
              <w:ind w:right="-105"/>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24</w:t>
            </w:r>
          </w:p>
        </w:tc>
        <w:tc>
          <w:tcPr>
            <w:tcW w:w="2964" w:type="dxa"/>
            <w:vAlign w:val="center"/>
          </w:tcPr>
          <w:p w14:paraId="5BA1456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JZXL/QP（GB)-0712(A)-2024</w:t>
            </w:r>
          </w:p>
        </w:tc>
        <w:tc>
          <w:tcPr>
            <w:tcW w:w="3166" w:type="dxa"/>
            <w:vAlign w:val="center"/>
          </w:tcPr>
          <w:p w14:paraId="537CF5F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统计过程控制程序</w:t>
            </w:r>
          </w:p>
        </w:tc>
        <w:tc>
          <w:tcPr>
            <w:tcW w:w="1554" w:type="dxa"/>
            <w:vAlign w:val="center"/>
          </w:tcPr>
          <w:p w14:paraId="0639063B">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4.10</w:t>
            </w:r>
          </w:p>
        </w:tc>
      </w:tr>
    </w:tbl>
    <w:p w14:paraId="7800AE0C">
      <w:pPr>
        <w:rPr>
          <w:rFonts w:hint="eastAsia" w:ascii="仿宋_GB2312" w:hAnsi="仿宋_GB2312" w:eastAsia="仿宋_GB2312" w:cs="仿宋_GB2312"/>
          <w:color w:val="auto"/>
          <w:sz w:val="21"/>
          <w:szCs w:val="21"/>
          <w:highlight w:val="none"/>
        </w:rPr>
        <w:sectPr>
          <w:footerReference r:id="rId22" w:type="default"/>
          <w:pgSz w:w="11906" w:h="16838"/>
          <w:pgMar w:top="1440" w:right="1485" w:bottom="1276" w:left="1803" w:header="851" w:footer="992" w:gutter="0"/>
          <w:pgNumType w:fmt="decimal" w:start="16"/>
          <w:cols w:space="0" w:num="1"/>
          <w:rtlGutter w:val="0"/>
          <w:docGrid w:type="linesAndChars" w:linePitch="319" w:charSpace="39"/>
        </w:sectPr>
      </w:pPr>
    </w:p>
    <w:p w14:paraId="5916425A">
      <w:pPr>
        <w:spacing w:afterLines="50" w:line="380" w:lineRule="exact"/>
        <w:jc w:val="left"/>
        <w:outlineLvl w:val="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G</w:t>
      </w:r>
      <w:r>
        <w:rPr>
          <w:rFonts w:hint="eastAsia" w:ascii="仿宋_GB2312" w:hAnsi="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lang w:val="en-US" w:eastAsia="zh-CN"/>
        </w:rPr>
        <w:t xml:space="preserve">  作业文件清单</w:t>
      </w:r>
    </w:p>
    <w:p w14:paraId="15BB3DA5">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作业文件清单</w:t>
      </w:r>
    </w:p>
    <w:tbl>
      <w:tblPr>
        <w:tblStyle w:val="8"/>
        <w:tblW w:w="479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2946"/>
        <w:gridCol w:w="4752"/>
      </w:tblGrid>
      <w:tr w14:paraId="5625D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blHeader/>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912F7">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序号</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3EE8">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文件编号</w:t>
            </w:r>
          </w:p>
        </w:tc>
        <w:tc>
          <w:tcPr>
            <w:tcW w:w="2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25B60">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文件名称</w:t>
            </w:r>
          </w:p>
        </w:tc>
      </w:tr>
      <w:tr w14:paraId="0FDD1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12A9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00B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 0101(A)-2024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744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岗位说明书</w:t>
            </w:r>
          </w:p>
        </w:tc>
      </w:tr>
      <w:tr w14:paraId="53F95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33D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FA7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 07101(A)-2024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921C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文件标准化编号规则</w:t>
            </w:r>
          </w:p>
        </w:tc>
      </w:tr>
      <w:tr w14:paraId="542EE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6794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C2C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JZXL/QS-07102(A)-2024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8F2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文件状态标识规则</w:t>
            </w:r>
          </w:p>
        </w:tc>
      </w:tr>
      <w:tr w14:paraId="0F10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54D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DB6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JZXL/QS-07103(A)-2024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6B4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技术文件管理办法</w:t>
            </w:r>
          </w:p>
        </w:tc>
      </w:tr>
      <w:tr w14:paraId="5D9D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C13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209F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JZXL/QS-07104(A)-2024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77536">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外来文件管理办法</w:t>
            </w:r>
          </w:p>
        </w:tc>
      </w:tr>
      <w:tr w14:paraId="1D31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F50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6</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B10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JZXL/QS-07124(A)-2024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1EF2">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文件发放管理办法</w:t>
            </w:r>
          </w:p>
        </w:tc>
      </w:tr>
      <w:tr w14:paraId="7FC71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597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7</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B0B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 0102(A)-2024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3572E">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电子文件管理规定</w:t>
            </w:r>
          </w:p>
        </w:tc>
      </w:tr>
      <w:tr w14:paraId="64158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CAA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8</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6E08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JZXL/QP(JL)-0202A-2024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39186">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计量器具分类管理程序</w:t>
            </w:r>
          </w:p>
        </w:tc>
      </w:tr>
      <w:tr w14:paraId="5856A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54F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9</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10C5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JZXL/QP(JL)-0215A-2024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E0A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计量器具检定/校准计量确认程序</w:t>
            </w:r>
          </w:p>
        </w:tc>
      </w:tr>
      <w:tr w14:paraId="4EBBA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827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10</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F07B9">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JZXL/QP(JL)-0203A-2024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5BF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确认间隔管理程序</w:t>
            </w:r>
          </w:p>
        </w:tc>
      </w:tr>
      <w:tr w14:paraId="36FB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A5A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11</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36F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JZXL/QP(JL)-0205A-2024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CBEF">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计量器具周期检定/校准管理程序</w:t>
            </w:r>
          </w:p>
        </w:tc>
      </w:tr>
      <w:tr w14:paraId="1BE7F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C3BC9">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12</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6CA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JZXL/QP(JL)-0220A-2024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1FE7">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生产和检验共用设备管理办法</w:t>
            </w:r>
          </w:p>
        </w:tc>
      </w:tr>
      <w:tr w14:paraId="39C45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4DD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5CD4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JZXL/QP(JL)-0207A-2024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F73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计量确认标记管理程序</w:t>
            </w:r>
          </w:p>
        </w:tc>
      </w:tr>
      <w:tr w14:paraId="1FC7B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B5E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4327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JZXL/QP(JL)-0210A-2024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330C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不合格计量器具的管理、纠正、追溯程序</w:t>
            </w:r>
          </w:p>
        </w:tc>
      </w:tr>
      <w:tr w14:paraId="6EA4E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0B8E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79D0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JZXL/QP(JL)-0212A-2024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AF73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环境管理程序</w:t>
            </w:r>
          </w:p>
        </w:tc>
      </w:tr>
      <w:tr w14:paraId="25512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2B3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16</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740D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JZXL/QP(JL)-0219A-2024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C0FE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计量器具运行检查程序</w:t>
            </w:r>
          </w:p>
        </w:tc>
      </w:tr>
      <w:tr w14:paraId="2DDB9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6E0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17</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EC73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JZXL/QS-0214(A)-2024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0AAF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供方风险评估与管控办法</w:t>
            </w:r>
          </w:p>
        </w:tc>
      </w:tr>
      <w:tr w14:paraId="00D6F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75D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18</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583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JZXL/QS-0213(A)-2024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3E47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合格供方的选择、评价、绩效监视及再评价准则</w:t>
            </w:r>
          </w:p>
        </w:tc>
      </w:tr>
      <w:tr w14:paraId="69E7B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557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19</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809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JZXL/QS-0215(A)-2024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B9ED2">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内审员激励制度</w:t>
            </w:r>
          </w:p>
        </w:tc>
      </w:tr>
      <w:tr w14:paraId="30A78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0E6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20</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BA9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JZXL/QS-0301(A)-2024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D17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采购计划管理规定</w:t>
            </w:r>
          </w:p>
        </w:tc>
      </w:tr>
      <w:tr w14:paraId="76066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623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21</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D7E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九线司[2023]39号</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448C0">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合同管理办法</w:t>
            </w:r>
          </w:p>
        </w:tc>
      </w:tr>
      <w:tr w14:paraId="2288D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0E5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22</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92B4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九线司[2023]24号</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7E18">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采购管理办法</w:t>
            </w:r>
          </w:p>
        </w:tc>
      </w:tr>
      <w:tr w14:paraId="0732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EEC9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8611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JZXL/QS-0306（A)-2024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DBC58">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物资采购管理规定</w:t>
            </w:r>
          </w:p>
        </w:tc>
      </w:tr>
      <w:tr w14:paraId="1D74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A37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43A8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JZXL/QS-0405(A)-2024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5DC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生产现场6S管理办法</w:t>
            </w:r>
          </w:p>
        </w:tc>
      </w:tr>
      <w:tr w14:paraId="6B510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9C4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141D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JZXL/QS-0406(A)-2024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5C5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生产现场定置管理制度</w:t>
            </w:r>
          </w:p>
        </w:tc>
      </w:tr>
      <w:tr w14:paraId="0B3C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79F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26</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E89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JZXL/QS-0402(A)-2024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ADAAF">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计算机软件确认规范</w:t>
            </w:r>
          </w:p>
        </w:tc>
      </w:tr>
      <w:tr w14:paraId="3116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8DC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27</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7D85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JZXL/QS-0403(A)-2024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C1222">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生产线生产设备管理规定</w:t>
            </w:r>
          </w:p>
        </w:tc>
      </w:tr>
      <w:tr w14:paraId="4861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778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28</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1A5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JZXL/QS-0404(A)-2024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7D495">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关键、重点设备管理办法</w:t>
            </w:r>
          </w:p>
        </w:tc>
      </w:tr>
      <w:tr w14:paraId="3ACF7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1A6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29</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138C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JZXL/GBF-0401(B)-2024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263F8">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模具管理办法</w:t>
            </w:r>
          </w:p>
        </w:tc>
      </w:tr>
      <w:tr w14:paraId="5E4F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3E3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30</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A829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JZXL/QS-0401(A)-2024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853D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设备资料管理制度</w:t>
            </w:r>
          </w:p>
        </w:tc>
      </w:tr>
      <w:tr w14:paraId="5B411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042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31</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9D54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JZXL/QS-07401（A）-2024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EBA95">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产品批次管理办法</w:t>
            </w:r>
          </w:p>
        </w:tc>
      </w:tr>
      <w:tr w14:paraId="74C1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A47F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32</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F3FF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JZXL/QS-07402（A）-2024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FA585">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返工返修管理办法</w:t>
            </w:r>
          </w:p>
        </w:tc>
      </w:tr>
      <w:tr w14:paraId="67704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A91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068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JZXL/QS-07403（A）-2024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D652">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工装夹具管理规定</w:t>
            </w:r>
          </w:p>
        </w:tc>
      </w:tr>
      <w:tr w14:paraId="4330C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768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8CBF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JZXL/QS-07404（A）-2024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2DA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产品序列号管理办法</w:t>
            </w:r>
          </w:p>
        </w:tc>
      </w:tr>
      <w:tr w14:paraId="7E608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4AA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997F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JZXL/QS-07405（A）-2024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CFA8">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半成品管理办法</w:t>
            </w:r>
          </w:p>
        </w:tc>
      </w:tr>
      <w:tr w14:paraId="4C3C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C59E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36</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4821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JZXL/QS-07406（A）-2024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1FB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在制品库房管理规定</w:t>
            </w:r>
          </w:p>
        </w:tc>
      </w:tr>
      <w:tr w14:paraId="58B8B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4CF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37</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CF2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JZXL/QS-07407（A）-2024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3C6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原材料批次管理规定</w:t>
            </w:r>
          </w:p>
        </w:tc>
      </w:tr>
      <w:tr w14:paraId="17C83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7AD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38</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1C6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JZXL/QS 07301(A）-2024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1A6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0"/>
                <w:szCs w:val="20"/>
                <w:highlight w:val="none"/>
                <w:u w:val="none"/>
                <w:lang w:val="en-US" w:eastAsia="zh-CN" w:bidi="ar"/>
              </w:rPr>
              <w:t>用户培训管理规定</w:t>
            </w:r>
          </w:p>
        </w:tc>
      </w:tr>
    </w:tbl>
    <w:p w14:paraId="5EA8B178">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lang w:val="en-US" w:eastAsia="zh-CN"/>
        </w:rPr>
        <w:sectPr>
          <w:footerReference r:id="rId23" w:type="default"/>
          <w:pgSz w:w="11906" w:h="16838"/>
          <w:pgMar w:top="1440" w:right="1485" w:bottom="1276" w:left="1803" w:header="851" w:footer="992" w:gutter="0"/>
          <w:pgNumType w:fmt="decimal" w:start="16"/>
          <w:cols w:space="0" w:num="1"/>
          <w:rtlGutter w:val="0"/>
          <w:docGrid w:type="linesAndChars" w:linePitch="319" w:charSpace="39"/>
        </w:sectPr>
      </w:pPr>
    </w:p>
    <w:p w14:paraId="59AAEC81">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default"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作业文件清单</w:t>
      </w:r>
      <w:r>
        <w:rPr>
          <w:rFonts w:hint="eastAsia" w:ascii="仿宋_GB2312" w:hAnsi="仿宋_GB2312" w:cs="仿宋_GB2312"/>
          <w:b/>
          <w:bCs/>
          <w:color w:val="auto"/>
          <w:sz w:val="21"/>
          <w:szCs w:val="21"/>
          <w:highlight w:val="none"/>
          <w:lang w:val="en-US" w:eastAsia="zh-CN"/>
        </w:rPr>
        <w:t>（续）</w:t>
      </w:r>
    </w:p>
    <w:tbl>
      <w:tblPr>
        <w:tblStyle w:val="8"/>
        <w:tblW w:w="479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2946"/>
        <w:gridCol w:w="4752"/>
      </w:tblGrid>
      <w:tr w14:paraId="6F49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blHeader/>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0685">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序号</w:t>
            </w:r>
          </w:p>
        </w:tc>
        <w:tc>
          <w:tcPr>
            <w:tcW w:w="1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43A3">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文件编号</w:t>
            </w:r>
          </w:p>
        </w:tc>
        <w:tc>
          <w:tcPr>
            <w:tcW w:w="2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82EE7">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文件名称</w:t>
            </w:r>
          </w:p>
        </w:tc>
      </w:tr>
      <w:tr w14:paraId="31D19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8C9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39</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42E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 07302(A）-2024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D07E3">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产品交货文件资料规定</w:t>
            </w:r>
          </w:p>
        </w:tc>
      </w:tr>
      <w:tr w14:paraId="26552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620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40</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900B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 07303(A）-2024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7A08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销售计划管理规定</w:t>
            </w:r>
          </w:p>
        </w:tc>
      </w:tr>
      <w:tr w14:paraId="0B6E5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38A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41</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DB4C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 07304(A）-2024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76153">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产品售后服务制度</w:t>
            </w:r>
          </w:p>
        </w:tc>
      </w:tr>
      <w:tr w14:paraId="4088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E0D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42</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1303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 07305(A）-2024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2FC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客户走访计划</w:t>
            </w:r>
          </w:p>
        </w:tc>
      </w:tr>
      <w:tr w14:paraId="31982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5EB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top"/>
          </w:tcPr>
          <w:p w14:paraId="27F5BB31">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JZXL/QS-07409（A）-2024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14:paraId="4D352AA3">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成品库管理规定</w:t>
            </w:r>
          </w:p>
        </w:tc>
      </w:tr>
      <w:tr w14:paraId="23DD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60F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2B8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JZXL/QS-07413（A）-2024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7F4CD">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有特殊储存材料要求及有限寿命材料的标识和管理办法</w:t>
            </w:r>
          </w:p>
        </w:tc>
      </w:tr>
      <w:tr w14:paraId="2C7CE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43D8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top"/>
          </w:tcPr>
          <w:p w14:paraId="5EB685A8">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JZXL/QS-07415（A）-2024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14:paraId="646B2CEC">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原材料库房管理规定</w:t>
            </w:r>
          </w:p>
        </w:tc>
      </w:tr>
      <w:tr w14:paraId="7531A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7AA5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46</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top"/>
          </w:tcPr>
          <w:p w14:paraId="03879270">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JZXL/QS-07416（A）-2024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14:paraId="4E53D6BA">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搬运、储存、防护管理办法</w:t>
            </w:r>
          </w:p>
        </w:tc>
      </w:tr>
      <w:tr w14:paraId="6DDB7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0BFC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47</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5CD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JZXL/QS-07116(A)-2024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857D9">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包装管理规定</w:t>
            </w:r>
          </w:p>
        </w:tc>
      </w:tr>
      <w:tr w14:paraId="03FE3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DEE1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48</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top"/>
          </w:tcPr>
          <w:p w14:paraId="15828694">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JZXL/QS-0202（A）-2024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14:paraId="5493E7EF">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检验印章管理办法</w:t>
            </w:r>
          </w:p>
        </w:tc>
      </w:tr>
      <w:tr w14:paraId="5D625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196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49</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top"/>
          </w:tcPr>
          <w:p w14:paraId="55DE66F1">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JZXL/QS-0201（A）-2024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top"/>
          </w:tcPr>
          <w:p w14:paraId="39B8F87A">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产品放行准则</w:t>
            </w:r>
          </w:p>
        </w:tc>
      </w:tr>
      <w:tr w14:paraId="6F73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06B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50</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8737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JZXL/QS-07110(A)-2024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D9F9">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设计准则</w:t>
            </w:r>
          </w:p>
        </w:tc>
      </w:tr>
      <w:tr w14:paraId="1F746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7BE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51</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CB7B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JZXL/QS-07111(A)-2024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C3F9">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生产流程图编制细则</w:t>
            </w:r>
          </w:p>
        </w:tc>
      </w:tr>
      <w:tr w14:paraId="2CFC7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B524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52</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C21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JZXL/QS-07118(A)-2024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D7CD">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产品测试细则</w:t>
            </w:r>
          </w:p>
        </w:tc>
      </w:tr>
      <w:tr w14:paraId="58092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634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5F5F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35D9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XX产品手册</w:t>
            </w:r>
          </w:p>
        </w:tc>
      </w:tr>
      <w:tr w14:paraId="2AD0C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C8B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DCB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JZXL/QS-07135(A)-2024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3117">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试制前准备状态检查制度</w:t>
            </w:r>
          </w:p>
        </w:tc>
      </w:tr>
      <w:tr w14:paraId="29205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4B0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27FC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06CE">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XX产品关键重要原材料清单</w:t>
            </w:r>
          </w:p>
        </w:tc>
      </w:tr>
      <w:tr w14:paraId="59BF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6FBB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56</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9888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JZXL/QS-07122(A)-2024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F2D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设计工艺文件标准化审查管理规定</w:t>
            </w:r>
          </w:p>
        </w:tc>
      </w:tr>
      <w:tr w14:paraId="31744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2A6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57</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79F4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5C3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XX产品原材料采购技术协议</w:t>
            </w:r>
          </w:p>
        </w:tc>
      </w:tr>
      <w:tr w14:paraId="18D3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E24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58</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C0A1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JZXL/QS-07112（A）-2024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9A52">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关键工序确认规定</w:t>
            </w:r>
          </w:p>
        </w:tc>
      </w:tr>
      <w:tr w14:paraId="52D91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B04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59</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F4E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JZXL/QS-07114（A）-2024</w:t>
            </w:r>
          </w:p>
        </w:tc>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14D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关键过程控制方法</w:t>
            </w:r>
          </w:p>
        </w:tc>
      </w:tr>
      <w:tr w14:paraId="0FF79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760C91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60</w:t>
            </w:r>
          </w:p>
        </w:tc>
        <w:tc>
          <w:tcPr>
            <w:tcW w:w="1740" w:type="pct"/>
            <w:tcBorders>
              <w:top w:val="single" w:color="000000" w:sz="4" w:space="0"/>
              <w:left w:val="single" w:color="000000" w:sz="4" w:space="0"/>
              <w:bottom w:val="single" w:color="auto" w:sz="4" w:space="0"/>
              <w:right w:val="single" w:color="000000" w:sz="4" w:space="0"/>
            </w:tcBorders>
            <w:shd w:val="clear" w:color="auto" w:fill="auto"/>
            <w:vAlign w:val="center"/>
          </w:tcPr>
          <w:p w14:paraId="2FCE128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JZXL/QS-07113(A)-2024</w:t>
            </w:r>
          </w:p>
        </w:tc>
        <w:tc>
          <w:tcPr>
            <w:tcW w:w="2806" w:type="pct"/>
            <w:tcBorders>
              <w:top w:val="single" w:color="000000" w:sz="4" w:space="0"/>
              <w:left w:val="single" w:color="000000" w:sz="4" w:space="0"/>
              <w:bottom w:val="single" w:color="auto" w:sz="4" w:space="0"/>
              <w:right w:val="single" w:color="000000" w:sz="4" w:space="0"/>
            </w:tcBorders>
            <w:shd w:val="clear" w:color="auto" w:fill="auto"/>
            <w:vAlign w:val="center"/>
          </w:tcPr>
          <w:p w14:paraId="461922EE">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特殊工序确认规定</w:t>
            </w:r>
          </w:p>
        </w:tc>
      </w:tr>
      <w:tr w14:paraId="2EF76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62459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61</w:t>
            </w:r>
          </w:p>
        </w:tc>
        <w:tc>
          <w:tcPr>
            <w:tcW w:w="1740" w:type="pct"/>
            <w:tcBorders>
              <w:top w:val="single" w:color="auto" w:sz="4" w:space="0"/>
              <w:left w:val="single" w:color="auto" w:sz="4" w:space="0"/>
              <w:bottom w:val="single" w:color="auto" w:sz="4" w:space="0"/>
              <w:right w:val="single" w:color="auto" w:sz="4" w:space="0"/>
            </w:tcBorders>
            <w:shd w:val="clear" w:color="auto" w:fill="auto"/>
            <w:vAlign w:val="center"/>
          </w:tcPr>
          <w:p w14:paraId="61236D9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JZXL/QS-07105(A)-2024</w:t>
            </w:r>
          </w:p>
        </w:tc>
        <w:tc>
          <w:tcPr>
            <w:tcW w:w="2806" w:type="pct"/>
            <w:tcBorders>
              <w:top w:val="single" w:color="auto" w:sz="4" w:space="0"/>
              <w:left w:val="single" w:color="auto" w:sz="4" w:space="0"/>
              <w:bottom w:val="single" w:color="auto" w:sz="4" w:space="0"/>
              <w:right w:val="single" w:color="auto" w:sz="4" w:space="0"/>
            </w:tcBorders>
            <w:shd w:val="clear" w:color="auto" w:fill="auto"/>
            <w:vAlign w:val="center"/>
          </w:tcPr>
          <w:p w14:paraId="01308D2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技术状态管理办法</w:t>
            </w:r>
          </w:p>
        </w:tc>
      </w:tr>
      <w:tr w14:paraId="29494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4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4F4AD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62</w:t>
            </w:r>
          </w:p>
        </w:tc>
        <w:tc>
          <w:tcPr>
            <w:tcW w:w="1740" w:type="pct"/>
            <w:tcBorders>
              <w:top w:val="single" w:color="auto" w:sz="4" w:space="0"/>
              <w:left w:val="single" w:color="auto" w:sz="4" w:space="0"/>
              <w:bottom w:val="single" w:color="auto" w:sz="4" w:space="0"/>
              <w:right w:val="single" w:color="auto" w:sz="4" w:space="0"/>
            </w:tcBorders>
            <w:shd w:val="clear" w:color="auto" w:fill="auto"/>
            <w:vAlign w:val="center"/>
          </w:tcPr>
          <w:p w14:paraId="4FD6D2E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JZXL/QS-07106(A)-2024</w:t>
            </w:r>
          </w:p>
        </w:tc>
        <w:tc>
          <w:tcPr>
            <w:tcW w:w="2806" w:type="pct"/>
            <w:tcBorders>
              <w:top w:val="single" w:color="auto" w:sz="4" w:space="0"/>
              <w:left w:val="single" w:color="auto" w:sz="4" w:space="0"/>
              <w:bottom w:val="single" w:color="auto" w:sz="4" w:space="0"/>
              <w:right w:val="single" w:color="auto" w:sz="4" w:space="0"/>
            </w:tcBorders>
            <w:shd w:val="clear" w:color="auto" w:fill="auto"/>
            <w:vAlign w:val="center"/>
          </w:tcPr>
          <w:p w14:paraId="06D7CAB3">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技术状态项及其技术状态基线文件管理办法</w:t>
            </w:r>
          </w:p>
        </w:tc>
      </w:tr>
      <w:tr w14:paraId="6AE8F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78CE3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AB364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JZXL/QS-07108(A)-2024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C2CBA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技术文件更改控制规定</w:t>
            </w:r>
          </w:p>
        </w:tc>
      </w:tr>
      <w:tr w14:paraId="38FBD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31761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DF19D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JZXL/QS-0203（A）-2024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800ED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失效分析实施细则</w:t>
            </w:r>
          </w:p>
        </w:tc>
      </w:tr>
      <w:tr w14:paraId="0334A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3B717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492CF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JZXL/QS-07117(A)-2024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E46753">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产品防护标识规定</w:t>
            </w:r>
          </w:p>
        </w:tc>
      </w:tr>
      <w:tr w14:paraId="1E9A1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0BC6B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0E604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JZXL/QS（GB）-0201(A)-2024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DEC2CA">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生产线SPC实施计划</w:t>
            </w:r>
          </w:p>
        </w:tc>
      </w:tr>
      <w:tr w14:paraId="572E6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AC7B8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87B32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JZXL/QS（GB）-0204(A)-2024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671B41">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超柔射频同轴电缆生产线SPC实施细则</w:t>
            </w:r>
          </w:p>
        </w:tc>
      </w:tr>
      <w:tr w14:paraId="0FEB5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83950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0004F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JZXL/QS（GB）-0207(A)-2024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EAE6BD">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SPC自审核实施细则</w:t>
            </w:r>
          </w:p>
        </w:tc>
      </w:tr>
      <w:tr w14:paraId="0429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B082B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69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E134D0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JZXL/QS-0216(A)-2024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576CFA">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0"/>
                <w:szCs w:val="20"/>
                <w:highlight w:val="none"/>
                <w:u w:val="none"/>
                <w:lang w:val="en-US" w:eastAsia="zh-CN" w:bidi="ar"/>
              </w:rPr>
              <w:t>技术归零管理归零工作办法</w:t>
            </w:r>
          </w:p>
        </w:tc>
      </w:tr>
    </w:tbl>
    <w:p w14:paraId="0F3CEA87">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lang w:val="en-US" w:eastAsia="zh-CN"/>
        </w:rPr>
      </w:pPr>
    </w:p>
    <w:p w14:paraId="0FC47DB7">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default" w:ascii="仿宋_GB2312" w:hAnsi="仿宋_GB2312" w:eastAsia="仿宋_GB2312" w:cs="仿宋_GB2312"/>
          <w:b/>
          <w:bCs/>
          <w:color w:val="auto"/>
          <w:sz w:val="21"/>
          <w:szCs w:val="21"/>
          <w:highlight w:val="none"/>
          <w:lang w:val="en-US" w:eastAsia="zh-CN"/>
        </w:rPr>
      </w:pPr>
    </w:p>
    <w:p w14:paraId="6D31B553">
      <w:pPr>
        <w:rPr>
          <w:rFonts w:hint="eastAsia" w:ascii="宋体" w:hAnsi="宋体" w:eastAsia="宋体" w:cs="宋体"/>
          <w:color w:val="auto"/>
          <w:spacing w:val="2"/>
          <w:kern w:val="0"/>
          <w:sz w:val="24"/>
          <w:szCs w:val="24"/>
          <w:highlight w:val="none"/>
        </w:rPr>
        <w:sectPr>
          <w:footerReference r:id="rId24" w:type="default"/>
          <w:pgSz w:w="11906" w:h="16838"/>
          <w:pgMar w:top="1440" w:right="1485" w:bottom="1276" w:left="1803" w:header="851" w:footer="992" w:gutter="0"/>
          <w:pgNumType w:fmt="decimal" w:start="16"/>
          <w:cols w:space="0" w:num="1"/>
          <w:rtlGutter w:val="0"/>
          <w:docGrid w:type="linesAndChars" w:linePitch="319" w:charSpace="39"/>
        </w:sectPr>
      </w:pPr>
    </w:p>
    <w:p w14:paraId="0E8A11A4">
      <w:pP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附录G</w:t>
      </w:r>
      <w:r>
        <w:rPr>
          <w:rFonts w:hint="eastAsia" w:ascii="仿宋_GB2312" w:hAnsi="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 xml:space="preserve">  产品基线文件清单</w:t>
      </w:r>
    </w:p>
    <w:p w14:paraId="56F24EB0">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产品基线文件清单</w:t>
      </w:r>
    </w:p>
    <w:tbl>
      <w:tblPr>
        <w:tblStyle w:val="8"/>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356"/>
        <w:gridCol w:w="2261"/>
        <w:gridCol w:w="1153"/>
        <w:gridCol w:w="1118"/>
      </w:tblGrid>
      <w:tr w14:paraId="699F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71E66800">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4356" w:type="dxa"/>
            <w:noWrap w:val="0"/>
            <w:vAlign w:val="center"/>
          </w:tcPr>
          <w:p w14:paraId="55F51B7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文件名称</w:t>
            </w:r>
          </w:p>
        </w:tc>
        <w:tc>
          <w:tcPr>
            <w:tcW w:w="2261" w:type="dxa"/>
            <w:noWrap w:val="0"/>
            <w:vAlign w:val="center"/>
          </w:tcPr>
          <w:p w14:paraId="553523BA">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文件编号</w:t>
            </w:r>
          </w:p>
        </w:tc>
        <w:tc>
          <w:tcPr>
            <w:tcW w:w="1153" w:type="dxa"/>
            <w:noWrap w:val="0"/>
            <w:vAlign w:val="center"/>
          </w:tcPr>
          <w:p w14:paraId="6F82A37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版本号</w:t>
            </w:r>
          </w:p>
        </w:tc>
        <w:tc>
          <w:tcPr>
            <w:tcW w:w="1118" w:type="dxa"/>
            <w:noWrap w:val="0"/>
            <w:vAlign w:val="center"/>
          </w:tcPr>
          <w:p w14:paraId="5637CBDA">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修改次数</w:t>
            </w:r>
          </w:p>
        </w:tc>
      </w:tr>
      <w:tr w14:paraId="0329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34B1685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一</w:t>
            </w:r>
          </w:p>
        </w:tc>
        <w:tc>
          <w:tcPr>
            <w:tcW w:w="8888" w:type="dxa"/>
            <w:gridSpan w:val="4"/>
            <w:noWrap w:val="0"/>
            <w:vAlign w:val="center"/>
          </w:tcPr>
          <w:p w14:paraId="01CDD9B1">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产品规范</w:t>
            </w:r>
          </w:p>
        </w:tc>
      </w:tr>
      <w:tr w14:paraId="1228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0DB6DFEA">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4356" w:type="dxa"/>
            <w:noWrap w:val="0"/>
            <w:vAlign w:val="center"/>
          </w:tcPr>
          <w:p w14:paraId="084CA38A">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柔软和半硬射频电缆通用规范</w:t>
            </w:r>
          </w:p>
        </w:tc>
        <w:tc>
          <w:tcPr>
            <w:tcW w:w="2261" w:type="dxa"/>
            <w:noWrap w:val="0"/>
            <w:vAlign w:val="center"/>
          </w:tcPr>
          <w:p w14:paraId="6F0E3351">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GJB973A-2004</w:t>
            </w:r>
          </w:p>
        </w:tc>
        <w:tc>
          <w:tcPr>
            <w:tcW w:w="1153" w:type="dxa"/>
            <w:noWrap w:val="0"/>
            <w:vAlign w:val="center"/>
          </w:tcPr>
          <w:p w14:paraId="0E15F77E">
            <w:pPr>
              <w:rPr>
                <w:rFonts w:hint="eastAsia" w:ascii="仿宋_GB2312" w:hAnsi="仿宋_GB2312" w:eastAsia="仿宋_GB2312" w:cs="仿宋_GB2312"/>
                <w:color w:val="auto"/>
                <w:sz w:val="21"/>
                <w:szCs w:val="21"/>
                <w:highlight w:val="none"/>
              </w:rPr>
            </w:pPr>
          </w:p>
        </w:tc>
        <w:tc>
          <w:tcPr>
            <w:tcW w:w="1118" w:type="dxa"/>
            <w:noWrap w:val="0"/>
            <w:vAlign w:val="top"/>
          </w:tcPr>
          <w:p w14:paraId="14D79DCC">
            <w:pPr>
              <w:jc w:val="center"/>
              <w:rPr>
                <w:rFonts w:hint="eastAsia" w:ascii="仿宋_GB2312" w:hAnsi="仿宋_GB2312" w:eastAsia="仿宋_GB2312" w:cs="仿宋_GB2312"/>
                <w:color w:val="auto"/>
                <w:sz w:val="21"/>
                <w:szCs w:val="21"/>
                <w:highlight w:val="none"/>
              </w:rPr>
            </w:pPr>
          </w:p>
        </w:tc>
      </w:tr>
      <w:tr w14:paraId="6A4E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0D50747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4356" w:type="dxa"/>
            <w:noWrap w:val="0"/>
            <w:vAlign w:val="center"/>
          </w:tcPr>
          <w:p w14:paraId="4D0B2825">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SFCF4-50-2.5型超柔射频同轴电缆详细规范</w:t>
            </w:r>
          </w:p>
        </w:tc>
        <w:tc>
          <w:tcPr>
            <w:tcW w:w="2261" w:type="dxa"/>
            <w:noWrap w:val="0"/>
            <w:vAlign w:val="center"/>
          </w:tcPr>
          <w:p w14:paraId="17517128">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ZZR-Q/XC 20048-2017</w:t>
            </w:r>
          </w:p>
        </w:tc>
        <w:tc>
          <w:tcPr>
            <w:tcW w:w="1153" w:type="dxa"/>
            <w:noWrap w:val="0"/>
            <w:vAlign w:val="center"/>
          </w:tcPr>
          <w:p w14:paraId="7CF5F80C">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V0.0</w:t>
            </w:r>
          </w:p>
        </w:tc>
        <w:tc>
          <w:tcPr>
            <w:tcW w:w="1118" w:type="dxa"/>
            <w:noWrap w:val="0"/>
            <w:vAlign w:val="center"/>
          </w:tcPr>
          <w:p w14:paraId="51B20D53">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w:t>
            </w:r>
          </w:p>
        </w:tc>
      </w:tr>
      <w:tr w14:paraId="4C77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17F2209B">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二</w:t>
            </w:r>
          </w:p>
        </w:tc>
        <w:tc>
          <w:tcPr>
            <w:tcW w:w="8888" w:type="dxa"/>
            <w:gridSpan w:val="4"/>
            <w:noWrap w:val="0"/>
            <w:vAlign w:val="center"/>
          </w:tcPr>
          <w:p w14:paraId="603F8D1E">
            <w:pPr>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材料规范</w:t>
            </w:r>
          </w:p>
        </w:tc>
      </w:tr>
      <w:tr w14:paraId="3847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3595077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4356" w:type="dxa"/>
            <w:noWrap w:val="0"/>
            <w:vAlign w:val="center"/>
          </w:tcPr>
          <w:p w14:paraId="39452497">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SFCF4-50-2.5型超柔射频同轴电缆原材料采购规范</w:t>
            </w:r>
          </w:p>
        </w:tc>
        <w:tc>
          <w:tcPr>
            <w:tcW w:w="2261" w:type="dxa"/>
            <w:noWrap w:val="0"/>
            <w:vAlign w:val="center"/>
          </w:tcPr>
          <w:p w14:paraId="4F579A29">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Q/XC 2010</w:t>
            </w:r>
            <w:r>
              <w:rPr>
                <w:rFonts w:hint="eastAsia" w:ascii="仿宋_GB2312" w:hAnsi="仿宋_GB2312" w:eastAsia="仿宋_GB2312" w:cs="仿宋_GB2312"/>
                <w:color w:val="auto"/>
                <w:sz w:val="21"/>
                <w:szCs w:val="21"/>
                <w:highlight w:val="none"/>
                <w:lang w:val="en-US" w:eastAsia="zh-CN"/>
              </w:rPr>
              <w:t>A</w:t>
            </w:r>
            <w:r>
              <w:rPr>
                <w:rFonts w:hint="eastAsia" w:ascii="仿宋_GB2312" w:hAnsi="仿宋_GB2312" w:eastAsia="仿宋_GB2312" w:cs="仿宋_GB2312"/>
                <w:color w:val="auto"/>
                <w:sz w:val="21"/>
                <w:szCs w:val="21"/>
                <w:highlight w:val="none"/>
              </w:rPr>
              <w:t>-201</w:t>
            </w:r>
            <w:r>
              <w:rPr>
                <w:rFonts w:hint="eastAsia" w:ascii="仿宋_GB2312" w:hAnsi="仿宋_GB2312" w:eastAsia="仿宋_GB2312" w:cs="仿宋_GB2312"/>
                <w:color w:val="auto"/>
                <w:sz w:val="21"/>
                <w:szCs w:val="21"/>
                <w:highlight w:val="none"/>
                <w:lang w:val="en-US" w:eastAsia="zh-CN"/>
              </w:rPr>
              <w:t>9</w:t>
            </w:r>
          </w:p>
        </w:tc>
        <w:tc>
          <w:tcPr>
            <w:tcW w:w="1153" w:type="dxa"/>
            <w:noWrap w:val="0"/>
            <w:vAlign w:val="center"/>
          </w:tcPr>
          <w:p w14:paraId="013FE7E4">
            <w:pPr>
              <w:rPr>
                <w:rFonts w:hint="eastAsia" w:ascii="仿宋_GB2312" w:hAnsi="仿宋_GB2312" w:eastAsia="仿宋_GB2312" w:cs="仿宋_GB2312"/>
                <w:color w:val="auto"/>
                <w:sz w:val="21"/>
                <w:szCs w:val="21"/>
                <w:highlight w:val="none"/>
              </w:rPr>
            </w:pPr>
          </w:p>
        </w:tc>
        <w:tc>
          <w:tcPr>
            <w:tcW w:w="1118" w:type="dxa"/>
            <w:noWrap w:val="0"/>
            <w:vAlign w:val="center"/>
          </w:tcPr>
          <w:p w14:paraId="483AA0A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r>
      <w:tr w14:paraId="3434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2486417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三</w:t>
            </w:r>
          </w:p>
        </w:tc>
        <w:tc>
          <w:tcPr>
            <w:tcW w:w="8888" w:type="dxa"/>
            <w:gridSpan w:val="4"/>
            <w:noWrap w:val="0"/>
            <w:vAlign w:val="center"/>
          </w:tcPr>
          <w:p w14:paraId="369A9817">
            <w:pPr>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设计文件</w:t>
            </w:r>
          </w:p>
        </w:tc>
      </w:tr>
      <w:tr w14:paraId="6F61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10085FE6">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4356" w:type="dxa"/>
            <w:noWrap w:val="0"/>
            <w:vAlign w:val="center"/>
          </w:tcPr>
          <w:p w14:paraId="1325F8E6">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SFCF4-50-2.5超柔射频同轴电缆</w:t>
            </w:r>
          </w:p>
        </w:tc>
        <w:tc>
          <w:tcPr>
            <w:tcW w:w="2261" w:type="dxa"/>
            <w:noWrap w:val="0"/>
            <w:vAlign w:val="center"/>
          </w:tcPr>
          <w:p w14:paraId="5098F905">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JZL4.850.090</w:t>
            </w:r>
          </w:p>
        </w:tc>
        <w:tc>
          <w:tcPr>
            <w:tcW w:w="1153" w:type="dxa"/>
            <w:noWrap w:val="0"/>
            <w:vAlign w:val="center"/>
          </w:tcPr>
          <w:p w14:paraId="242FCD45">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V0.0</w:t>
            </w:r>
          </w:p>
        </w:tc>
        <w:tc>
          <w:tcPr>
            <w:tcW w:w="1118" w:type="dxa"/>
            <w:noWrap w:val="0"/>
            <w:vAlign w:val="center"/>
          </w:tcPr>
          <w:p w14:paraId="65FA09DB">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w:t>
            </w:r>
          </w:p>
        </w:tc>
      </w:tr>
      <w:tr w14:paraId="2300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46FD628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w:t>
            </w:r>
          </w:p>
        </w:tc>
        <w:tc>
          <w:tcPr>
            <w:tcW w:w="8888" w:type="dxa"/>
            <w:gridSpan w:val="4"/>
            <w:noWrap w:val="0"/>
            <w:vAlign w:val="center"/>
          </w:tcPr>
          <w:p w14:paraId="128394B0">
            <w:pPr>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工艺文件</w:t>
            </w:r>
          </w:p>
        </w:tc>
      </w:tr>
      <w:tr w14:paraId="4162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47EF895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4356" w:type="dxa"/>
            <w:noWrap w:val="0"/>
            <w:vAlign w:val="center"/>
          </w:tcPr>
          <w:p w14:paraId="7FC585A4">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SFCF4-50-2.5超柔射频同轴电缆</w:t>
            </w:r>
          </w:p>
        </w:tc>
        <w:tc>
          <w:tcPr>
            <w:tcW w:w="2261" w:type="dxa"/>
            <w:noWrap w:val="0"/>
            <w:vAlign w:val="center"/>
          </w:tcPr>
          <w:p w14:paraId="16C8F783">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JZL4.850.090</w:t>
            </w:r>
          </w:p>
        </w:tc>
        <w:tc>
          <w:tcPr>
            <w:tcW w:w="1153" w:type="dxa"/>
            <w:noWrap w:val="0"/>
            <w:vAlign w:val="center"/>
          </w:tcPr>
          <w:p w14:paraId="51BB0E2C">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V0.</w:t>
            </w:r>
            <w:r>
              <w:rPr>
                <w:rFonts w:hint="eastAsia" w:ascii="仿宋_GB2312" w:hAnsi="仿宋_GB2312" w:cs="仿宋_GB2312"/>
                <w:color w:val="auto"/>
                <w:sz w:val="21"/>
                <w:szCs w:val="21"/>
                <w:highlight w:val="none"/>
                <w:lang w:val="en-US" w:eastAsia="zh-CN"/>
              </w:rPr>
              <w:t>1</w:t>
            </w:r>
          </w:p>
        </w:tc>
        <w:tc>
          <w:tcPr>
            <w:tcW w:w="1118" w:type="dxa"/>
            <w:noWrap w:val="0"/>
            <w:vAlign w:val="center"/>
          </w:tcPr>
          <w:p w14:paraId="5DB4A25D">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w:t>
            </w:r>
          </w:p>
        </w:tc>
      </w:tr>
      <w:tr w14:paraId="6C6C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653826F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五</w:t>
            </w:r>
          </w:p>
        </w:tc>
        <w:tc>
          <w:tcPr>
            <w:tcW w:w="8888" w:type="dxa"/>
            <w:gridSpan w:val="4"/>
            <w:noWrap w:val="0"/>
            <w:vAlign w:val="center"/>
          </w:tcPr>
          <w:p w14:paraId="42F9A07D">
            <w:pPr>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检验文件</w:t>
            </w:r>
          </w:p>
        </w:tc>
      </w:tr>
      <w:tr w14:paraId="567B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5BD1708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4356" w:type="dxa"/>
            <w:noWrap w:val="0"/>
            <w:vAlign w:val="center"/>
          </w:tcPr>
          <w:p w14:paraId="6BCC715D">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原材料检验规程</w:t>
            </w:r>
          </w:p>
        </w:tc>
        <w:tc>
          <w:tcPr>
            <w:tcW w:w="2261" w:type="dxa"/>
            <w:noWrap w:val="0"/>
            <w:vAlign w:val="center"/>
          </w:tcPr>
          <w:p w14:paraId="789D937E">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JY/G</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10</w:t>
            </w:r>
            <w:r>
              <w:rPr>
                <w:rFonts w:hint="eastAsia" w:ascii="仿宋_GB2312" w:hAnsi="仿宋_GB2312" w:eastAsia="仿宋_GB2312" w:cs="仿宋_GB2312"/>
                <w:color w:val="auto"/>
                <w:sz w:val="21"/>
                <w:szCs w:val="21"/>
                <w:highlight w:val="none"/>
                <w:lang w:val="en-US" w:eastAsia="zh-CN"/>
              </w:rPr>
              <w:t>55</w:t>
            </w:r>
            <w:r>
              <w:rPr>
                <w:rFonts w:hint="eastAsia" w:ascii="仿宋_GB2312" w:hAnsi="仿宋_GB2312" w:eastAsia="仿宋_GB2312" w:cs="仿宋_GB2312"/>
                <w:color w:val="auto"/>
                <w:sz w:val="21"/>
                <w:szCs w:val="21"/>
                <w:highlight w:val="none"/>
              </w:rPr>
              <w:t>-201</w:t>
            </w:r>
            <w:r>
              <w:rPr>
                <w:rFonts w:hint="eastAsia" w:ascii="仿宋_GB2312" w:hAnsi="仿宋_GB2312" w:eastAsia="仿宋_GB2312" w:cs="仿宋_GB2312"/>
                <w:color w:val="auto"/>
                <w:sz w:val="21"/>
                <w:szCs w:val="21"/>
                <w:highlight w:val="none"/>
                <w:lang w:val="en-US" w:eastAsia="zh-CN"/>
              </w:rPr>
              <w:t>9</w:t>
            </w:r>
          </w:p>
        </w:tc>
        <w:tc>
          <w:tcPr>
            <w:tcW w:w="1153" w:type="dxa"/>
            <w:noWrap w:val="0"/>
            <w:vAlign w:val="center"/>
          </w:tcPr>
          <w:p w14:paraId="63BD0D5F">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A</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0.</w:t>
            </w:r>
            <w:r>
              <w:rPr>
                <w:rFonts w:hint="eastAsia" w:ascii="仿宋_GB2312" w:hAnsi="仿宋_GB2312" w:eastAsia="仿宋_GB2312" w:cs="仿宋_GB2312"/>
                <w:color w:val="auto"/>
                <w:sz w:val="21"/>
                <w:szCs w:val="21"/>
                <w:highlight w:val="none"/>
                <w:lang w:val="en-US" w:eastAsia="zh-CN"/>
              </w:rPr>
              <w:t>1</w:t>
            </w:r>
          </w:p>
        </w:tc>
        <w:tc>
          <w:tcPr>
            <w:tcW w:w="1118" w:type="dxa"/>
            <w:noWrap w:val="0"/>
            <w:vAlign w:val="center"/>
          </w:tcPr>
          <w:p w14:paraId="011E9EFB">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1</w:t>
            </w:r>
          </w:p>
        </w:tc>
      </w:tr>
      <w:tr w14:paraId="1CFF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141D952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4356" w:type="dxa"/>
            <w:noWrap w:val="0"/>
            <w:vAlign w:val="center"/>
          </w:tcPr>
          <w:p w14:paraId="582A5C33">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过程检验规程</w:t>
            </w:r>
          </w:p>
        </w:tc>
        <w:tc>
          <w:tcPr>
            <w:tcW w:w="2261" w:type="dxa"/>
            <w:noWrap w:val="0"/>
            <w:vAlign w:val="center"/>
          </w:tcPr>
          <w:p w14:paraId="43BFCA16">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JZXL/GCJY 05-2017</w:t>
            </w:r>
          </w:p>
        </w:tc>
        <w:tc>
          <w:tcPr>
            <w:tcW w:w="1153" w:type="dxa"/>
            <w:noWrap w:val="0"/>
            <w:vAlign w:val="center"/>
          </w:tcPr>
          <w:p w14:paraId="32BB9E5F">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A0.0</w:t>
            </w:r>
          </w:p>
        </w:tc>
        <w:tc>
          <w:tcPr>
            <w:tcW w:w="1118" w:type="dxa"/>
            <w:noWrap w:val="0"/>
            <w:vAlign w:val="center"/>
          </w:tcPr>
          <w:p w14:paraId="2A6040C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w:t>
            </w:r>
          </w:p>
        </w:tc>
      </w:tr>
      <w:tr w14:paraId="5B36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4FEA2139">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4356" w:type="dxa"/>
            <w:noWrap w:val="0"/>
            <w:vAlign w:val="center"/>
          </w:tcPr>
          <w:p w14:paraId="1E503FD5">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产品检验规程</w:t>
            </w:r>
          </w:p>
        </w:tc>
        <w:tc>
          <w:tcPr>
            <w:tcW w:w="2261" w:type="dxa"/>
            <w:noWrap w:val="0"/>
            <w:vAlign w:val="center"/>
          </w:tcPr>
          <w:p w14:paraId="3EA39834">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 xml:space="preserve">JY/G </w:t>
            </w:r>
            <w:r>
              <w:rPr>
                <w:rFonts w:hint="eastAsia" w:ascii="仿宋_GB2312" w:hAnsi="仿宋_GB2312" w:eastAsia="仿宋_GB2312" w:cs="仿宋_GB2312"/>
                <w:color w:val="auto"/>
                <w:sz w:val="21"/>
                <w:szCs w:val="21"/>
                <w:highlight w:val="none"/>
                <w:lang w:val="en-US" w:eastAsia="zh-CN"/>
              </w:rPr>
              <w:t>1056-2019</w:t>
            </w:r>
          </w:p>
        </w:tc>
        <w:tc>
          <w:tcPr>
            <w:tcW w:w="1153" w:type="dxa"/>
            <w:noWrap w:val="0"/>
            <w:vAlign w:val="center"/>
          </w:tcPr>
          <w:p w14:paraId="086ACCE8">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A</w:t>
            </w:r>
            <w:r>
              <w:rPr>
                <w:rFonts w:hint="eastAsia" w:ascii="仿宋_GB2312" w:hAnsi="仿宋_GB2312" w:eastAsia="仿宋_GB2312" w:cs="仿宋_GB2312"/>
                <w:color w:val="auto"/>
                <w:sz w:val="21"/>
                <w:szCs w:val="21"/>
                <w:highlight w:val="none"/>
                <w:lang w:val="en-US" w:eastAsia="zh-CN"/>
              </w:rPr>
              <w:t>/0.0</w:t>
            </w:r>
          </w:p>
        </w:tc>
        <w:tc>
          <w:tcPr>
            <w:tcW w:w="1118" w:type="dxa"/>
            <w:noWrap w:val="0"/>
            <w:vAlign w:val="center"/>
          </w:tcPr>
          <w:p w14:paraId="71ECC0DC">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0</w:t>
            </w:r>
          </w:p>
        </w:tc>
      </w:tr>
      <w:tr w14:paraId="5CB0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0A02C596">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4356" w:type="dxa"/>
            <w:noWrap w:val="0"/>
            <w:vAlign w:val="center"/>
          </w:tcPr>
          <w:p w14:paraId="3B8F7A0F">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失效分析</w:t>
            </w:r>
            <w:r>
              <w:rPr>
                <w:rFonts w:hint="eastAsia" w:ascii="仿宋_GB2312" w:hAnsi="仿宋_GB2312" w:eastAsia="仿宋_GB2312" w:cs="仿宋_GB2312"/>
                <w:color w:val="auto"/>
                <w:sz w:val="21"/>
                <w:szCs w:val="21"/>
                <w:highlight w:val="none"/>
                <w:lang w:eastAsia="zh-CN"/>
              </w:rPr>
              <w:t>实施</w:t>
            </w:r>
            <w:r>
              <w:rPr>
                <w:rFonts w:hint="eastAsia" w:ascii="仿宋_GB2312" w:hAnsi="仿宋_GB2312" w:eastAsia="仿宋_GB2312" w:cs="仿宋_GB2312"/>
                <w:color w:val="auto"/>
                <w:sz w:val="21"/>
                <w:szCs w:val="21"/>
                <w:highlight w:val="none"/>
              </w:rPr>
              <w:t>细则</w:t>
            </w:r>
          </w:p>
        </w:tc>
        <w:tc>
          <w:tcPr>
            <w:tcW w:w="2261" w:type="dxa"/>
            <w:noWrap w:val="0"/>
            <w:vAlign w:val="center"/>
          </w:tcPr>
          <w:p w14:paraId="6E6251F0">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JZXL/QS-0203(A)</w:t>
            </w:r>
          </w:p>
          <w:p w14:paraId="094A3947">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-2024</w:t>
            </w:r>
          </w:p>
        </w:tc>
        <w:tc>
          <w:tcPr>
            <w:tcW w:w="1153" w:type="dxa"/>
            <w:noWrap w:val="0"/>
            <w:vAlign w:val="center"/>
          </w:tcPr>
          <w:p w14:paraId="4CF7BECB">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A</w:t>
            </w:r>
          </w:p>
        </w:tc>
        <w:tc>
          <w:tcPr>
            <w:tcW w:w="1118" w:type="dxa"/>
            <w:noWrap w:val="0"/>
            <w:vAlign w:val="center"/>
          </w:tcPr>
          <w:p w14:paraId="0178D984">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1</w:t>
            </w:r>
          </w:p>
        </w:tc>
      </w:tr>
      <w:tr w14:paraId="1C88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7EFC934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4356" w:type="dxa"/>
            <w:noWrap w:val="0"/>
            <w:vAlign w:val="center"/>
          </w:tcPr>
          <w:p w14:paraId="0285CDA3">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SPC实施计划</w:t>
            </w:r>
          </w:p>
        </w:tc>
        <w:tc>
          <w:tcPr>
            <w:tcW w:w="2261" w:type="dxa"/>
            <w:noWrap w:val="0"/>
            <w:vAlign w:val="center"/>
          </w:tcPr>
          <w:p w14:paraId="7EC156A8">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JZXL/QS(GB)-0201(A)-2024</w:t>
            </w:r>
          </w:p>
        </w:tc>
        <w:tc>
          <w:tcPr>
            <w:tcW w:w="1153" w:type="dxa"/>
            <w:noWrap w:val="0"/>
            <w:vAlign w:val="center"/>
          </w:tcPr>
          <w:p w14:paraId="2B42EF27">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A</w:t>
            </w:r>
          </w:p>
        </w:tc>
        <w:tc>
          <w:tcPr>
            <w:tcW w:w="1118" w:type="dxa"/>
            <w:noWrap w:val="0"/>
            <w:vAlign w:val="center"/>
          </w:tcPr>
          <w:p w14:paraId="12C6B9D4">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1</w:t>
            </w:r>
          </w:p>
        </w:tc>
      </w:tr>
      <w:tr w14:paraId="48BF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75083E49">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4356" w:type="dxa"/>
            <w:noWrap w:val="0"/>
            <w:vAlign w:val="center"/>
          </w:tcPr>
          <w:p w14:paraId="3800E0CB">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超柔射频同轴电缆</w:t>
            </w:r>
            <w:r>
              <w:rPr>
                <w:rFonts w:hint="eastAsia" w:ascii="仿宋_GB2312" w:hAnsi="仿宋_GB2312" w:cs="仿宋_GB2312"/>
                <w:color w:val="auto"/>
                <w:sz w:val="21"/>
                <w:szCs w:val="21"/>
                <w:highlight w:val="none"/>
                <w:lang w:val="en-US" w:eastAsia="zh-CN"/>
              </w:rPr>
              <w:t>生产线</w:t>
            </w:r>
            <w:r>
              <w:rPr>
                <w:rFonts w:hint="eastAsia" w:ascii="仿宋_GB2312" w:hAnsi="仿宋_GB2312" w:eastAsia="仿宋_GB2312" w:cs="仿宋_GB2312"/>
                <w:color w:val="auto"/>
                <w:sz w:val="21"/>
                <w:szCs w:val="21"/>
                <w:highlight w:val="none"/>
              </w:rPr>
              <w:t>SPC实施细则</w:t>
            </w:r>
          </w:p>
        </w:tc>
        <w:tc>
          <w:tcPr>
            <w:tcW w:w="2261" w:type="dxa"/>
            <w:noWrap w:val="0"/>
            <w:vAlign w:val="center"/>
          </w:tcPr>
          <w:p w14:paraId="3B150930">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JZXL/QS(GB)-0204(</w:t>
            </w:r>
            <w:r>
              <w:rPr>
                <w:rFonts w:hint="eastAsia" w:ascii="仿宋_GB2312" w:hAnsi="仿宋_GB2312" w:cs="仿宋_GB2312"/>
                <w:color w:val="auto"/>
                <w:sz w:val="21"/>
                <w:szCs w:val="21"/>
                <w:highlight w:val="none"/>
                <w:lang w:val="en-US" w:eastAsia="zh-CN"/>
              </w:rPr>
              <w:t>B</w:t>
            </w:r>
            <w:r>
              <w:rPr>
                <w:rFonts w:hint="eastAsia" w:ascii="仿宋_GB2312" w:hAnsi="仿宋_GB2312" w:eastAsia="仿宋_GB2312" w:cs="仿宋_GB2312"/>
                <w:color w:val="auto"/>
                <w:sz w:val="21"/>
                <w:szCs w:val="21"/>
                <w:highlight w:val="none"/>
                <w:lang w:val="en-US" w:eastAsia="zh-CN"/>
              </w:rPr>
              <w:t>)-2024</w:t>
            </w:r>
          </w:p>
        </w:tc>
        <w:tc>
          <w:tcPr>
            <w:tcW w:w="1153" w:type="dxa"/>
            <w:noWrap w:val="0"/>
            <w:vAlign w:val="center"/>
          </w:tcPr>
          <w:p w14:paraId="0752821B">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B</w:t>
            </w:r>
          </w:p>
        </w:tc>
        <w:tc>
          <w:tcPr>
            <w:tcW w:w="1118" w:type="dxa"/>
            <w:noWrap w:val="0"/>
            <w:vAlign w:val="center"/>
          </w:tcPr>
          <w:p w14:paraId="3AF6F6C3">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val="en-US" w:eastAsia="zh-CN"/>
              </w:rPr>
              <w:t>2</w:t>
            </w:r>
          </w:p>
        </w:tc>
      </w:tr>
      <w:tr w14:paraId="6A7A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6CA2650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六</w:t>
            </w:r>
          </w:p>
        </w:tc>
        <w:tc>
          <w:tcPr>
            <w:tcW w:w="8888" w:type="dxa"/>
            <w:gridSpan w:val="4"/>
            <w:noWrap w:val="0"/>
            <w:vAlign w:val="center"/>
          </w:tcPr>
          <w:p w14:paraId="00321E91">
            <w:pPr>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保障性资料</w:t>
            </w:r>
          </w:p>
        </w:tc>
      </w:tr>
      <w:tr w14:paraId="2BDE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13A7554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4356" w:type="dxa"/>
            <w:noWrap w:val="0"/>
            <w:vAlign w:val="center"/>
          </w:tcPr>
          <w:p w14:paraId="17E80D58">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产品应用指南</w:t>
            </w:r>
          </w:p>
        </w:tc>
        <w:tc>
          <w:tcPr>
            <w:tcW w:w="2261" w:type="dxa"/>
            <w:noWrap w:val="0"/>
            <w:vAlign w:val="center"/>
          </w:tcPr>
          <w:p w14:paraId="2EBA1452">
            <w:pPr>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JZXL/QS（GB）-07113(A)-2024</w:t>
            </w:r>
          </w:p>
        </w:tc>
        <w:tc>
          <w:tcPr>
            <w:tcW w:w="1153" w:type="dxa"/>
            <w:noWrap w:val="0"/>
            <w:vAlign w:val="center"/>
          </w:tcPr>
          <w:p w14:paraId="485DAEBE">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A</w:t>
            </w:r>
          </w:p>
        </w:tc>
        <w:tc>
          <w:tcPr>
            <w:tcW w:w="1118" w:type="dxa"/>
            <w:noWrap w:val="0"/>
            <w:vAlign w:val="center"/>
          </w:tcPr>
          <w:p w14:paraId="7295404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w:t>
            </w:r>
          </w:p>
        </w:tc>
      </w:tr>
      <w:tr w14:paraId="72C3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4A63C33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七</w:t>
            </w:r>
          </w:p>
        </w:tc>
        <w:tc>
          <w:tcPr>
            <w:tcW w:w="8888" w:type="dxa"/>
            <w:gridSpan w:val="4"/>
            <w:noWrap w:val="0"/>
            <w:vAlign w:val="center"/>
          </w:tcPr>
          <w:p w14:paraId="6DE257FA">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试验方案、试验大纲</w:t>
            </w:r>
          </w:p>
        </w:tc>
      </w:tr>
      <w:tr w14:paraId="262F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88" w:type="dxa"/>
            <w:noWrap w:val="0"/>
            <w:vAlign w:val="center"/>
          </w:tcPr>
          <w:p w14:paraId="7432C19D">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4356" w:type="dxa"/>
            <w:noWrap w:val="0"/>
            <w:vAlign w:val="center"/>
          </w:tcPr>
          <w:p w14:paraId="4BCA0C71">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检验纲要</w:t>
            </w:r>
          </w:p>
        </w:tc>
        <w:tc>
          <w:tcPr>
            <w:tcW w:w="2261" w:type="dxa"/>
            <w:noWrap w:val="0"/>
            <w:vAlign w:val="center"/>
          </w:tcPr>
          <w:p w14:paraId="5121EAFB">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MCD180056</w:t>
            </w:r>
          </w:p>
        </w:tc>
        <w:tc>
          <w:tcPr>
            <w:tcW w:w="1153" w:type="dxa"/>
            <w:noWrap w:val="0"/>
            <w:vAlign w:val="center"/>
          </w:tcPr>
          <w:p w14:paraId="0AF69366">
            <w:pPr>
              <w:rPr>
                <w:rFonts w:hint="eastAsia" w:ascii="仿宋_GB2312" w:hAnsi="仿宋_GB2312" w:eastAsia="仿宋_GB2312" w:cs="仿宋_GB2312"/>
                <w:color w:val="auto"/>
                <w:sz w:val="21"/>
                <w:szCs w:val="21"/>
                <w:highlight w:val="none"/>
              </w:rPr>
            </w:pPr>
          </w:p>
        </w:tc>
        <w:tc>
          <w:tcPr>
            <w:tcW w:w="1118" w:type="dxa"/>
            <w:noWrap w:val="0"/>
            <w:vAlign w:val="top"/>
          </w:tcPr>
          <w:p w14:paraId="5BE03E2E">
            <w:pPr>
              <w:jc w:val="center"/>
              <w:rPr>
                <w:rFonts w:hint="eastAsia" w:ascii="仿宋_GB2312" w:hAnsi="仿宋_GB2312" w:eastAsia="仿宋_GB2312" w:cs="仿宋_GB2312"/>
                <w:color w:val="auto"/>
                <w:sz w:val="21"/>
                <w:szCs w:val="21"/>
                <w:highlight w:val="none"/>
              </w:rPr>
            </w:pPr>
          </w:p>
        </w:tc>
      </w:tr>
    </w:tbl>
    <w:p w14:paraId="7CCD5133">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sectPr>
          <w:footerReference r:id="rId25" w:type="default"/>
          <w:pgSz w:w="11906" w:h="16838"/>
          <w:pgMar w:top="1440" w:right="1485" w:bottom="1276" w:left="1803" w:header="851" w:footer="992" w:gutter="0"/>
          <w:pgNumType w:fmt="decimal" w:start="16"/>
          <w:cols w:space="0" w:num="1"/>
          <w:rtlGutter w:val="0"/>
          <w:docGrid w:type="linesAndChars" w:linePitch="319" w:charSpace="39"/>
        </w:sectPr>
      </w:pPr>
    </w:p>
    <w:p w14:paraId="4BF6A1A6">
      <w:pPr>
        <w:spacing w:afterLines="50"/>
        <w:ind w:firstLine="105" w:firstLineChars="5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附录H 需上报鉴定机构的文件清单</w:t>
      </w:r>
    </w:p>
    <w:p w14:paraId="56D97B1E">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105" w:firstLineChars="5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上报鉴定机构的文件清单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371"/>
      </w:tblGrid>
      <w:tr w14:paraId="21E3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59" w:type="dxa"/>
            <w:vAlign w:val="center"/>
          </w:tcPr>
          <w:p w14:paraId="79211029">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7371" w:type="dxa"/>
            <w:vAlign w:val="center"/>
          </w:tcPr>
          <w:p w14:paraId="2EC15863">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文件清单</w:t>
            </w:r>
          </w:p>
        </w:tc>
      </w:tr>
      <w:tr w14:paraId="2F83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1CFD007">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7371" w:type="dxa"/>
            <w:vAlign w:val="center"/>
          </w:tcPr>
          <w:p w14:paraId="6EB570FB">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质量保证大纲计划+主要变化+生产线基线文件目录+产品基线文件</w:t>
            </w:r>
          </w:p>
        </w:tc>
      </w:tr>
      <w:tr w14:paraId="647C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032E83C4">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7371" w:type="dxa"/>
            <w:vAlign w:val="center"/>
          </w:tcPr>
          <w:p w14:paraId="5FF25C99">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质量负责人任命书</w:t>
            </w:r>
          </w:p>
        </w:tc>
      </w:tr>
      <w:tr w14:paraId="66E8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959" w:type="dxa"/>
            <w:vAlign w:val="center"/>
          </w:tcPr>
          <w:p w14:paraId="4B343234">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7371" w:type="dxa"/>
            <w:vAlign w:val="center"/>
          </w:tcPr>
          <w:p w14:paraId="5840613F">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组织机构图</w:t>
            </w:r>
          </w:p>
        </w:tc>
      </w:tr>
      <w:tr w14:paraId="301E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D90913D">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7371" w:type="dxa"/>
            <w:vAlign w:val="center"/>
          </w:tcPr>
          <w:p w14:paraId="688ABD61">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质量保证组织结构图</w:t>
            </w:r>
          </w:p>
        </w:tc>
      </w:tr>
      <w:tr w14:paraId="0019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019E9DF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7371" w:type="dxa"/>
            <w:vAlign w:val="center"/>
          </w:tcPr>
          <w:p w14:paraId="38688044">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质量职能分配表</w:t>
            </w:r>
          </w:p>
        </w:tc>
      </w:tr>
      <w:tr w14:paraId="1959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5C710376">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7371" w:type="dxa"/>
            <w:vAlign w:val="center"/>
          </w:tcPr>
          <w:p w14:paraId="622E9162">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采购控制文件目录</w:t>
            </w:r>
          </w:p>
        </w:tc>
      </w:tr>
      <w:tr w14:paraId="0F32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1EFEF3A0">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7371" w:type="dxa"/>
            <w:vAlign w:val="center"/>
          </w:tcPr>
          <w:p w14:paraId="1A410F32">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生产控制文件目录 </w:t>
            </w:r>
          </w:p>
        </w:tc>
      </w:tr>
      <w:tr w14:paraId="2405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413FC6A9">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7371" w:type="dxa"/>
            <w:vAlign w:val="center"/>
          </w:tcPr>
          <w:p w14:paraId="5951797A">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检验文件目录</w:t>
            </w:r>
          </w:p>
        </w:tc>
      </w:tr>
      <w:tr w14:paraId="6F99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762DB47C">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7371" w:type="dxa"/>
            <w:vAlign w:val="center"/>
          </w:tcPr>
          <w:p w14:paraId="318AF93F">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生产流程图</w:t>
            </w:r>
          </w:p>
        </w:tc>
      </w:tr>
      <w:tr w14:paraId="3C35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4290AF27">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7371" w:type="dxa"/>
            <w:vAlign w:val="center"/>
          </w:tcPr>
          <w:p w14:paraId="11DA292A">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产品典型工艺流程图（注明首末道工序）</w:t>
            </w:r>
          </w:p>
        </w:tc>
      </w:tr>
      <w:tr w14:paraId="2332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F98FE3B">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7371" w:type="dxa"/>
            <w:vAlign w:val="center"/>
          </w:tcPr>
          <w:p w14:paraId="37615781">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失效和缺陷分析用仪器及设备清单</w:t>
            </w:r>
          </w:p>
        </w:tc>
      </w:tr>
      <w:tr w14:paraId="3F21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7CB4BFC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7371" w:type="dxa"/>
            <w:vAlign w:val="center"/>
          </w:tcPr>
          <w:p w14:paraId="14103B4C">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工序检验、质量一致性检验和鉴定检验用的测量试验设备清单</w:t>
            </w:r>
          </w:p>
        </w:tc>
      </w:tr>
      <w:tr w14:paraId="382E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51F41335">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7371" w:type="dxa"/>
            <w:vAlign w:val="center"/>
          </w:tcPr>
          <w:p w14:paraId="05E6A431">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关键原材料目录</w:t>
            </w:r>
          </w:p>
        </w:tc>
      </w:tr>
      <w:tr w14:paraId="45E6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435F302F">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7371" w:type="dxa"/>
            <w:vAlign w:val="center"/>
          </w:tcPr>
          <w:p w14:paraId="35D2EA44">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合格供应商目录</w:t>
            </w:r>
          </w:p>
        </w:tc>
      </w:tr>
      <w:tr w14:paraId="6E73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CB274C0">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w:t>
            </w:r>
          </w:p>
        </w:tc>
        <w:tc>
          <w:tcPr>
            <w:tcW w:w="7371" w:type="dxa"/>
            <w:vAlign w:val="center"/>
          </w:tcPr>
          <w:p w14:paraId="10253A92">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内部质量审核报告</w:t>
            </w:r>
          </w:p>
        </w:tc>
      </w:tr>
    </w:tbl>
    <w:p w14:paraId="75EA697A">
      <w:pPr>
        <w:rPr>
          <w:rFonts w:ascii="宋体" w:hAnsi="宋体" w:eastAsia="宋体" w:cs="宋体"/>
          <w:color w:val="auto"/>
          <w:highlight w:val="none"/>
        </w:rPr>
      </w:pPr>
    </w:p>
    <w:p w14:paraId="0455E1D0">
      <w:pPr>
        <w:rPr>
          <w:rFonts w:hint="eastAsia" w:ascii="仿宋_GB2312" w:hAnsi="仿宋_GB2312" w:eastAsia="仿宋_GB2312" w:cs="仿宋_GB2312"/>
          <w:color w:val="auto"/>
          <w:kern w:val="2"/>
          <w:sz w:val="21"/>
          <w:szCs w:val="21"/>
          <w:highlight w:val="none"/>
          <w:lang w:val="en-US" w:eastAsia="zh-CN" w:bidi="ar-SA"/>
        </w:rPr>
      </w:pPr>
    </w:p>
    <w:sectPr>
      <w:footerReference r:id="rId26" w:type="default"/>
      <w:pgSz w:w="11906" w:h="16838"/>
      <w:pgMar w:top="1440" w:right="1485" w:bottom="1276" w:left="1803" w:header="851" w:footer="992" w:gutter="0"/>
      <w:pgNumType w:fmt="decimal" w:start="16"/>
      <w:cols w:space="0" w:num="1"/>
      <w:rtlGutter w:val="0"/>
      <w:docGrid w:type="linesAndChars" w:linePitch="319" w:charSpace="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408F21-850A-473A-A731-327A402C082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F358847-8FAE-47AF-8591-D74AB83AF742}"/>
  </w:font>
  <w:font w:name="仿宋_GB2312">
    <w:panose1 w:val="02010609030101010101"/>
    <w:charset w:val="86"/>
    <w:family w:val="modern"/>
    <w:pitch w:val="default"/>
    <w:sig w:usb0="00000001" w:usb1="080E0000" w:usb2="00000000" w:usb3="00000000" w:csb0="00040000" w:csb1="00000000"/>
    <w:embedRegular r:id="rId3" w:fontKey="{8ED8FFA1-4240-4CDC-A69E-0B1AEB86239F}"/>
  </w:font>
  <w:font w:name="楷体_GB2312">
    <w:panose1 w:val="02010609030101010101"/>
    <w:charset w:val="86"/>
    <w:family w:val="auto"/>
    <w:pitch w:val="default"/>
    <w:sig w:usb0="00000001" w:usb1="080E0000" w:usb2="00000000" w:usb3="00000000" w:csb0="00040000" w:csb1="00000000"/>
    <w:embedRegular r:id="rId4" w:fontKey="{E9201994-1931-4FF3-8635-E4E232B9ED82}"/>
  </w:font>
  <w:font w:name="方正公文小标宋">
    <w:panose1 w:val="02000500000000000000"/>
    <w:charset w:val="86"/>
    <w:family w:val="auto"/>
    <w:pitch w:val="default"/>
    <w:sig w:usb0="A00002BF" w:usb1="38CF7CFA" w:usb2="00000016" w:usb3="00000000" w:csb0="00040001" w:csb1="00000000"/>
    <w:embedRegular r:id="rId5" w:fontKey="{A2D2FDA2-60D6-466D-8DC6-D9527C00AFB7}"/>
  </w:font>
  <w:font w:name="仿宋">
    <w:panose1 w:val="02010609060101010101"/>
    <w:charset w:val="86"/>
    <w:family w:val="auto"/>
    <w:pitch w:val="default"/>
    <w:sig w:usb0="800002BF" w:usb1="38CF7CFA" w:usb2="00000016" w:usb3="00000000" w:csb0="00040001" w:csb1="00000000"/>
    <w:embedRegular r:id="rId6" w:fontKey="{B119651D-803F-483B-B033-040391E3338C}"/>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5715E">
    <w:pPr>
      <w:pStyle w:val="5"/>
      <w:tabs>
        <w:tab w:val="right" w:pos="8788"/>
        <w:tab w:val="clear" w:pos="4153"/>
      </w:tabs>
    </w:pPr>
    <w:r>
      <w:rPr>
        <w:rFonts w:hint="eastAsia" w:eastAsia="宋体"/>
        <w:lang w:eastAsia="zh-CN"/>
      </w:rPr>
      <w:tab/>
    </w: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A3F2F">
    <w:pPr>
      <w:pStyle w:val="5"/>
      <w:tabs>
        <w:tab w:val="right" w:pos="8788"/>
        <w:tab w:val="clear" w:pos="4153"/>
      </w:tabs>
    </w:pPr>
    <w:r>
      <w:rPr>
        <w:rFonts w:hint="eastAsia" w:eastAsia="宋体"/>
        <w:lang w:eastAsia="zh-CN"/>
      </w:rPr>
      <w:tab/>
    </w:r>
    <w:r>
      <w:rPr>
        <w:rFonts w:hint="eastAsia" w:eastAsia="宋体"/>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BFD52">
    <w:pPr>
      <w:pStyle w:val="5"/>
      <w:jc w:val="center"/>
      <w:rPr>
        <w:rFonts w:hint="default" w:eastAsia="仿宋_GB2312"/>
        <w:sz w:val="20"/>
        <w:szCs w:val="22"/>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posOffset>2813050</wp:posOffset>
              </wp:positionH>
              <wp:positionV relativeFrom="paragraph">
                <wp:posOffset>-3810</wp:posOffset>
              </wp:positionV>
              <wp:extent cx="76200" cy="142240"/>
              <wp:effectExtent l="0" t="0" r="0" b="0"/>
              <wp:wrapNone/>
              <wp:docPr id="7" name="文本框 7"/>
              <wp:cNvGraphicFramePr/>
              <a:graphic xmlns:a="http://schemas.openxmlformats.org/drawingml/2006/main">
                <a:graphicData uri="http://schemas.microsoft.com/office/word/2010/wordprocessingShape">
                  <wps:wsp>
                    <wps:cNvSpPr txBox="1"/>
                    <wps:spPr>
                      <a:xfrm>
                        <a:off x="0" y="0"/>
                        <a:ext cx="76200" cy="142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BB2A0">
                          <w:pPr>
                            <w:pStyle w:val="5"/>
                            <w:rPr>
                              <w:sz w:val="20"/>
                              <w:szCs w:val="22"/>
                            </w:rPr>
                          </w:pPr>
                          <w:r>
                            <w:rPr>
                              <w:sz w:val="20"/>
                              <w:szCs w:val="22"/>
                            </w:rPr>
                            <w:fldChar w:fldCharType="begin"/>
                          </w:r>
                          <w:r>
                            <w:rPr>
                              <w:sz w:val="20"/>
                              <w:szCs w:val="22"/>
                            </w:rPr>
                            <w:instrText xml:space="preserve"> PAGE  \* MERGEFORMAT </w:instrText>
                          </w:r>
                          <w:r>
                            <w:rPr>
                              <w:sz w:val="20"/>
                              <w:szCs w:val="22"/>
                            </w:rPr>
                            <w:fldChar w:fldCharType="separate"/>
                          </w:r>
                          <w:r>
                            <w:rPr>
                              <w:sz w:val="20"/>
                              <w:szCs w:val="22"/>
                            </w:rPr>
                            <w:t>2</w:t>
                          </w:r>
                          <w:r>
                            <w:rPr>
                              <w:sz w:val="20"/>
                              <w:szCs w:val="22"/>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1.5pt;margin-top:-0.3pt;height:11.2pt;width:6pt;mso-position-horizontal-relative:margin;z-index:251659264;mso-width-relative:page;mso-height-relative:page;" filled="f" stroked="f" coordsize="21600,21600" o:gfxdata="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Zt1lhdcAAAAIAQAADwAAAAAAAAABACAAAAAiAAAAZHJzL2Rvd25yZXYu&#10;eG1sUEsBAhQAFAAAAAgAh07iQCsz+ek1AgAAYAQAAA4AAAAAAAAAAQAgAAAAJgEAAGRycy9lMm9E&#10;b2MueG1sUEsFBgAAAAAGAAYAWQEAAM0FAAAAAA==&#10;">
              <v:fill on="f" focussize="0,0"/>
              <v:stroke on="f" weight="0.5pt"/>
              <v:imagedata o:title=""/>
              <o:lock v:ext="edit" aspectratio="f"/>
              <v:textbox inset="0mm,0mm,0mm,0mm">
                <w:txbxContent>
                  <w:p w14:paraId="51DBB2A0">
                    <w:pPr>
                      <w:pStyle w:val="5"/>
                      <w:rPr>
                        <w:sz w:val="20"/>
                        <w:szCs w:val="22"/>
                      </w:rPr>
                    </w:pPr>
                    <w:r>
                      <w:rPr>
                        <w:sz w:val="20"/>
                        <w:szCs w:val="22"/>
                      </w:rPr>
                      <w:fldChar w:fldCharType="begin"/>
                    </w:r>
                    <w:r>
                      <w:rPr>
                        <w:sz w:val="20"/>
                        <w:szCs w:val="22"/>
                      </w:rPr>
                      <w:instrText xml:space="preserve"> PAGE  \* MERGEFORMAT </w:instrText>
                    </w:r>
                    <w:r>
                      <w:rPr>
                        <w:sz w:val="20"/>
                        <w:szCs w:val="22"/>
                      </w:rPr>
                      <w:fldChar w:fldCharType="separate"/>
                    </w:r>
                    <w:r>
                      <w:rPr>
                        <w:sz w:val="20"/>
                        <w:szCs w:val="22"/>
                      </w:rPr>
                      <w:t>2</w:t>
                    </w:r>
                    <w:r>
                      <w:rPr>
                        <w:sz w:val="20"/>
                        <w:szCs w:val="22"/>
                      </w:rPr>
                      <w:fldChar w:fldCharType="end"/>
                    </w:r>
                  </w:p>
                </w:txbxContent>
              </v:textbox>
            </v:shape>
          </w:pict>
        </mc:Fallback>
      </mc:AlternateContent>
    </w:r>
    <w:r>
      <w:rPr>
        <w:rFonts w:hint="eastAsia"/>
        <w:lang w:val="en-US" w:eastAsia="zh-CN"/>
      </w:rPr>
      <w:t>B-</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6490C">
    <w:pPr>
      <w:pStyle w:val="5"/>
      <w:jc w:val="center"/>
      <w:rPr>
        <w:rFonts w:hint="default" w:eastAsia="仿宋_GB2312"/>
        <w:sz w:val="20"/>
        <w:szCs w:val="22"/>
        <w:lang w:val="en-US" w:eastAsia="zh-CN"/>
      </w:rPr>
    </w:pPr>
    <w:r>
      <w:rPr>
        <w:rFonts w:hint="eastAsia"/>
        <w:lang w:val="en-US" w:eastAsia="zh-CN"/>
      </w:rPr>
      <w:t>B-2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48023">
    <w:pPr>
      <w:pStyle w:val="5"/>
      <w:jc w:val="center"/>
      <w:rPr>
        <w:rFonts w:hint="default" w:eastAsia="仿宋_GB2312"/>
        <w:sz w:val="20"/>
        <w:szCs w:val="22"/>
        <w:lang w:val="en-US" w:eastAsia="zh-CN"/>
      </w:rPr>
    </w:pPr>
    <w:r>
      <w:rPr>
        <w:rFonts w:hint="default"/>
        <w:sz w:val="18"/>
        <w:lang w:val="en-US"/>
      </w:rPr>
      <mc:AlternateContent>
        <mc:Choice Requires="wps">
          <w:drawing>
            <wp:anchor distT="0" distB="0" distL="114300" distR="114300" simplePos="0" relativeHeight="251665408" behindDoc="0" locked="0" layoutInCell="1" allowOverlap="1">
              <wp:simplePos x="0" y="0"/>
              <wp:positionH relativeFrom="margin">
                <wp:posOffset>2813050</wp:posOffset>
              </wp:positionH>
              <wp:positionV relativeFrom="paragraph">
                <wp:posOffset>-3810</wp:posOffset>
              </wp:positionV>
              <wp:extent cx="76200" cy="142240"/>
              <wp:effectExtent l="0" t="0" r="0" b="0"/>
              <wp:wrapNone/>
              <wp:docPr id="8" name="文本框 8"/>
              <wp:cNvGraphicFramePr/>
              <a:graphic xmlns:a="http://schemas.openxmlformats.org/drawingml/2006/main">
                <a:graphicData uri="http://schemas.microsoft.com/office/word/2010/wordprocessingShape">
                  <wps:wsp>
                    <wps:cNvSpPr txBox="1"/>
                    <wps:spPr>
                      <a:xfrm>
                        <a:off x="0" y="0"/>
                        <a:ext cx="76200" cy="142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BC94C">
                          <w:pPr>
                            <w:pStyle w:val="5"/>
                            <w:rPr>
                              <w:sz w:val="20"/>
                              <w:szCs w:val="22"/>
                            </w:rPr>
                          </w:pPr>
                          <w:r>
                            <w:rPr>
                              <w:sz w:val="20"/>
                              <w:szCs w:val="22"/>
                            </w:rPr>
                            <w:fldChar w:fldCharType="begin"/>
                          </w:r>
                          <w:r>
                            <w:rPr>
                              <w:sz w:val="20"/>
                              <w:szCs w:val="22"/>
                            </w:rPr>
                            <w:instrText xml:space="preserve"> PAGE  \* MERGEFORMAT </w:instrText>
                          </w:r>
                          <w:r>
                            <w:rPr>
                              <w:sz w:val="20"/>
                              <w:szCs w:val="22"/>
                            </w:rPr>
                            <w:fldChar w:fldCharType="separate"/>
                          </w:r>
                          <w:r>
                            <w:rPr>
                              <w:sz w:val="20"/>
                              <w:szCs w:val="22"/>
                            </w:rPr>
                            <w:t>2</w:t>
                          </w:r>
                          <w:r>
                            <w:rPr>
                              <w:sz w:val="20"/>
                              <w:szCs w:val="22"/>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1.5pt;margin-top:-0.3pt;height:11.2pt;width:6pt;mso-position-horizontal-relative:margin;z-index:251665408;mso-width-relative:page;mso-height-relative:page;" filled="f" stroked="f" coordsize="21600,21600" o:gfxdata="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Zt1lhdcAAAAIAQAADwAAAAAAAAABACAAAAAiAAAAZHJzL2Rvd25yZXYu&#10;eG1sUEsBAhQAFAAAAAgAh07iQEVeqdE1AgAAYAQAAA4AAAAAAAAAAQAgAAAAJgEAAGRycy9lMm9E&#10;b2MueG1sUEsFBgAAAAAGAAYAWQEAAM0FAAAAAA==&#10;">
              <v:fill on="f" focussize="0,0"/>
              <v:stroke on="f" weight="0.5pt"/>
              <v:imagedata o:title=""/>
              <o:lock v:ext="edit" aspectratio="f"/>
              <v:textbox inset="0mm,0mm,0mm,0mm">
                <w:txbxContent>
                  <w:p w14:paraId="4BDBC94C">
                    <w:pPr>
                      <w:pStyle w:val="5"/>
                      <w:rPr>
                        <w:sz w:val="20"/>
                        <w:szCs w:val="22"/>
                      </w:rPr>
                    </w:pPr>
                    <w:r>
                      <w:rPr>
                        <w:sz w:val="20"/>
                        <w:szCs w:val="22"/>
                      </w:rPr>
                      <w:fldChar w:fldCharType="begin"/>
                    </w:r>
                    <w:r>
                      <w:rPr>
                        <w:sz w:val="20"/>
                        <w:szCs w:val="22"/>
                      </w:rPr>
                      <w:instrText xml:space="preserve"> PAGE  \* MERGEFORMAT </w:instrText>
                    </w:r>
                    <w:r>
                      <w:rPr>
                        <w:sz w:val="20"/>
                        <w:szCs w:val="22"/>
                      </w:rPr>
                      <w:fldChar w:fldCharType="separate"/>
                    </w:r>
                    <w:r>
                      <w:rPr>
                        <w:sz w:val="20"/>
                        <w:szCs w:val="22"/>
                      </w:rPr>
                      <w:t>2</w:t>
                    </w:r>
                    <w:r>
                      <w:rPr>
                        <w:sz w:val="20"/>
                        <w:szCs w:val="22"/>
                      </w:rPr>
                      <w:fldChar w:fldCharType="end"/>
                    </w:r>
                  </w:p>
                </w:txbxContent>
              </v:textbox>
            </v:shape>
          </w:pict>
        </mc:Fallback>
      </mc:AlternateContent>
    </w:r>
    <w:r>
      <w:rPr>
        <w:rFonts w:hint="eastAsia"/>
        <w:sz w:val="18"/>
        <w:lang w:val="en-US" w:eastAsia="zh-CN"/>
      </w:rPr>
      <w:t>C</w:t>
    </w:r>
    <w:r>
      <w:rPr>
        <w:rFonts w:hint="eastAsia"/>
        <w:lang w:val="en-US" w:eastAsia="zh-C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9226">
    <w:pPr>
      <w:pStyle w:val="5"/>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0288" behindDoc="0" locked="0" layoutInCell="1" allowOverlap="1">
              <wp:simplePos x="0" y="0"/>
              <wp:positionH relativeFrom="margin">
                <wp:posOffset>2813050</wp:posOffset>
              </wp:positionH>
              <wp:positionV relativeFrom="paragraph">
                <wp:posOffset>-3810</wp:posOffset>
              </wp:positionV>
              <wp:extent cx="76200" cy="1422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76200" cy="142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7273D">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1.5pt;margin-top:-0.3pt;height:11.2pt;width:6pt;mso-position-horizontal-relative:margin;z-index:251660288;mso-width-relative:page;mso-height-relative:page;" filled="f" stroked="f" coordsize="21600,21600" o:gfxdata="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bdZYXXAAAACAEAAA8AAAAAAAAAAQAgAAAAIgAAAGRycy9kb3ducmV2&#10;LnhtbFBLAQIUABQAAAAIAIdO4kAkVfrxNgIAAGAEAAAOAAAAAAAAAAEAIAAAACYBAABkcnMvZTJv&#10;RG9jLnhtbFBLBQYAAAAABgAGAFkBAADOBQAAAAA=&#10;">
              <v:fill on="f" focussize="0,0"/>
              <v:stroke on="f" weight="0.5pt"/>
              <v:imagedata o:title=""/>
              <o:lock v:ext="edit" aspectratio="f"/>
              <v:textbox inset="0mm,0mm,0mm,0mm">
                <w:txbxContent>
                  <w:p w14:paraId="4DC7273D">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18"/>
        <w:lang w:val="en-US" w:eastAsia="zh-CN"/>
      </w:rPr>
      <w:t>D</w:t>
    </w:r>
    <w:r>
      <w:rPr>
        <w:rFonts w:hint="eastAsia"/>
        <w:lang w:val="en-US" w:eastAsia="zh-CN"/>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B7F0">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posOffset>4547870</wp:posOffset>
              </wp:positionH>
              <wp:positionV relativeFrom="paragraph">
                <wp:posOffset>-8255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1B057">
                          <w:pPr>
                            <w:pStyle w:val="5"/>
                            <w:rPr>
                              <w:rFonts w:hint="default" w:eastAsia="仿宋_GB2312"/>
                              <w:sz w:val="20"/>
                              <w:szCs w:val="22"/>
                              <w:lang w:val="en-US" w:eastAsia="zh-CN"/>
                            </w:rPr>
                          </w:pPr>
                          <w:r>
                            <w:rPr>
                              <w:rFonts w:hint="eastAsia"/>
                              <w:sz w:val="20"/>
                              <w:szCs w:val="22"/>
                              <w:lang w:val="en-US" w:eastAsia="zh-CN"/>
                            </w:rPr>
                            <w:t>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8.1pt;margin-top:-0.65pt;height:144pt;width:144pt;mso-position-horizontal-relative:margin;mso-wrap-style:none;z-index:251662336;mso-width-relative:page;mso-height-relative:page;" filled="f" stroked="f" coordsize="21600,21600" o:gfxdata="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eTtP2wtUDcKmRI5LoHhut&#10;0Oybntne5GcQc6brDG/5pkLyLfPhgTm0Ah6MYQn3WAppkMT0FiWlcV//dR7jUSF4KanRWhnVmCRK&#10;5AeNygEwDIYbjP1g6KO6M+jVMYbQ8tbEBRfkYBbOqC+YoFXMARfTHJkyGgbzLnTtjQnkYrVqg47W&#10;VYeyu4C+syxs9c7ymCYK6e3qGCBmq3EUqFOl1w2d11apn5LY2n/u26inP8PyE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HOycrYAAAACwEAAA8AAAAAAAAAAQAgAAAAIgAAAGRycy9kb3ducmV2Lnht&#10;bFBLAQIUABQAAAAIAIdO4kB/jq0RMgIAAGEEAAAOAAAAAAAAAAEAIAAAACcBAABkcnMvZTJvRG9j&#10;LnhtbFBLBQYAAAAABgAGAFkBAADLBQAAAAA=&#10;">
              <v:fill on="f" focussize="0,0"/>
              <v:stroke on="f" weight="0.5pt"/>
              <v:imagedata o:title=""/>
              <o:lock v:ext="edit" aspectratio="f"/>
              <v:textbox inset="0mm,0mm,0mm,0mm" style="mso-fit-shape-to-text:t;">
                <w:txbxContent>
                  <w:p w14:paraId="0701B057">
                    <w:pPr>
                      <w:pStyle w:val="5"/>
                      <w:rPr>
                        <w:rFonts w:hint="default" w:eastAsia="仿宋_GB2312"/>
                        <w:sz w:val="20"/>
                        <w:szCs w:val="22"/>
                        <w:lang w:val="en-US" w:eastAsia="zh-CN"/>
                      </w:rPr>
                    </w:pPr>
                    <w:r>
                      <w:rPr>
                        <w:rFonts w:hint="eastAsia"/>
                        <w:sz w:val="20"/>
                        <w:szCs w:val="22"/>
                        <w:lang w:val="en-US" w:eastAsia="zh-CN"/>
                      </w:rPr>
                      <w:t>1</w:t>
                    </w:r>
                  </w:p>
                </w:txbxContent>
              </v:textbox>
            </v:shape>
          </w:pict>
        </mc:Fallback>
      </mc:AlternateContent>
    </w:r>
    <w:r>
      <w:rPr>
        <w:rFonts w:hint="eastAsia"/>
        <w:lang w:val="en-US" w:eastAsia="zh-CN"/>
      </w:rPr>
      <w:t>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E416E">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posOffset>4547870</wp:posOffset>
              </wp:positionH>
              <wp:positionV relativeFrom="paragraph">
                <wp:posOffset>-8255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D2B15">
                          <w:pPr>
                            <w:pStyle w:val="5"/>
                            <w:rPr>
                              <w:rFonts w:hint="default" w:eastAsia="仿宋_GB2312"/>
                              <w:sz w:val="20"/>
                              <w:szCs w:val="22"/>
                              <w:lang w:val="en-US" w:eastAsia="zh-CN"/>
                            </w:rPr>
                          </w:pPr>
                          <w:r>
                            <w:rPr>
                              <w:rFonts w:hint="eastAsia"/>
                              <w:sz w:val="20"/>
                              <w:szCs w:val="22"/>
                              <w:lang w:val="en-US" w:eastAsia="zh-CN"/>
                            </w:rPr>
                            <w:t>2</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8.1pt;margin-top:-0.65pt;height:144pt;width:144pt;mso-position-horizontal-relative:margin;mso-wrap-style:none;z-index:251666432;mso-width-relative:page;mso-height-relative:page;" filled="f" stroked="f" coordsize="21600,21600" o:gfxdata="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c7JytgAAAALAQAADwAAAAAAAAABACAAAAAiAAAAZHJzL2Rvd25yZXYueG1s&#10;UEsBAhQAFAAAAAgAh07iQKmor5UxAgAAYwQAAA4AAAAAAAAAAQAgAAAAJwEAAGRycy9lMm9Eb2Mu&#10;eG1sUEsFBgAAAAAGAAYAWQEAAMoFAAAAAA==&#10;">
              <v:fill on="f" focussize="0,0"/>
              <v:stroke on="f" weight="0.5pt"/>
              <v:imagedata o:title=""/>
              <o:lock v:ext="edit" aspectratio="f"/>
              <v:textbox inset="0mm,0mm,0mm,0mm" style="mso-fit-shape-to-text:t;">
                <w:txbxContent>
                  <w:p w14:paraId="270D2B15">
                    <w:pPr>
                      <w:pStyle w:val="5"/>
                      <w:rPr>
                        <w:rFonts w:hint="default" w:eastAsia="仿宋_GB2312"/>
                        <w:sz w:val="20"/>
                        <w:szCs w:val="22"/>
                        <w:lang w:val="en-US" w:eastAsia="zh-CN"/>
                      </w:rPr>
                    </w:pPr>
                    <w:r>
                      <w:rPr>
                        <w:rFonts w:hint="eastAsia"/>
                        <w:sz w:val="20"/>
                        <w:szCs w:val="22"/>
                        <w:lang w:val="en-US" w:eastAsia="zh-CN"/>
                      </w:rPr>
                      <w:t>2</w:t>
                    </w:r>
                  </w:p>
                </w:txbxContent>
              </v:textbox>
            </v:shape>
          </w:pict>
        </mc:Fallback>
      </mc:AlternateContent>
    </w:r>
    <w:r>
      <w:rPr>
        <w:rFonts w:hint="eastAsia"/>
        <w:lang w:val="en-US" w:eastAsia="zh-CN"/>
      </w:rPr>
      <w:t>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4AC3C">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posOffset>4547870</wp:posOffset>
              </wp:positionH>
              <wp:positionV relativeFrom="paragraph">
                <wp:posOffset>-8255</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4918C">
                          <w:pPr>
                            <w:pStyle w:val="5"/>
                            <w:rPr>
                              <w:rFonts w:hint="default" w:eastAsia="仿宋_GB2312"/>
                              <w:sz w:val="20"/>
                              <w:szCs w:val="22"/>
                              <w:lang w:val="en-US" w:eastAsia="zh-CN"/>
                            </w:rPr>
                          </w:pPr>
                          <w:r>
                            <w:rPr>
                              <w:rFonts w:hint="eastAsia"/>
                              <w:sz w:val="20"/>
                              <w:szCs w:val="22"/>
                              <w:lang w:val="en-US" w:eastAsia="zh-CN"/>
                            </w:rPr>
                            <w:t>3</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8.1pt;margin-top:-0.65pt;height:144pt;width:144pt;mso-position-horizontal-relative:margin;mso-wrap-style:none;z-index:251667456;mso-width-relative:page;mso-height-relative:page;" filled="f" stroked="f" coordsize="21600,21600" o:gfxdata="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c7JytgAAAALAQAADwAAAAAAAAABACAAAAAiAAAAZHJzL2Rvd25yZXYueG1s&#10;UEsBAhQAFAAAAAgAh07iQOsAOHoxAgAAYwQAAA4AAAAAAAAAAQAgAAAAJwEAAGRycy9lMm9Eb2Mu&#10;eG1sUEsFBgAAAAAGAAYAWQEAAMoFAAAAAA==&#10;">
              <v:fill on="f" focussize="0,0"/>
              <v:stroke on="f" weight="0.5pt"/>
              <v:imagedata o:title=""/>
              <o:lock v:ext="edit" aspectratio="f"/>
              <v:textbox inset="0mm,0mm,0mm,0mm" style="mso-fit-shape-to-text:t;">
                <w:txbxContent>
                  <w:p w14:paraId="4D64918C">
                    <w:pPr>
                      <w:pStyle w:val="5"/>
                      <w:rPr>
                        <w:rFonts w:hint="default" w:eastAsia="仿宋_GB2312"/>
                        <w:sz w:val="20"/>
                        <w:szCs w:val="22"/>
                        <w:lang w:val="en-US" w:eastAsia="zh-CN"/>
                      </w:rPr>
                    </w:pPr>
                    <w:r>
                      <w:rPr>
                        <w:rFonts w:hint="eastAsia"/>
                        <w:sz w:val="20"/>
                        <w:szCs w:val="22"/>
                        <w:lang w:val="en-US" w:eastAsia="zh-CN"/>
                      </w:rPr>
                      <w:t>3</w:t>
                    </w:r>
                  </w:p>
                </w:txbxContent>
              </v:textbox>
            </v:shape>
          </w:pict>
        </mc:Fallback>
      </mc:AlternateContent>
    </w:r>
    <w:r>
      <w:rPr>
        <w:rFonts w:hint="eastAsia"/>
        <w:lang w:val="en-US" w:eastAsia="zh-CN"/>
      </w:rPr>
      <w:t>E-</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BBAA6">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2807335</wp:posOffset>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5C18E4">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1.05pt;margin-top:0pt;height:144pt;width:144pt;mso-position-horizontal-relative:margin;mso-wrap-style:none;z-index:251673600;mso-width-relative:page;mso-height-relative:page;" filled="f" stroked="f" coordsize="21600,21600" o:gfxdata="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8DP0tQAAAAIAQAADwAAAAAAAAABACAAAAAiAAAAZHJzL2Rvd25yZXYueG1sUEsB&#10;AhQAFAAAAAgAh07iQJbfDwkyAgAAYwQAAA4AAAAAAAAAAQAgAAAAIwEAAGRycy9lMm9Eb2MueG1s&#10;UEsFBgAAAAAGAAYAWQEAAMcFAAAAAA==&#10;">
              <v:fill on="f" focussize="0,0"/>
              <v:stroke on="f" weight="0.5pt"/>
              <v:imagedata o:title=""/>
              <o:lock v:ext="edit" aspectratio="f"/>
              <v:textbox inset="0mm,0mm,0mm,0mm" style="mso-fit-shape-to-text:t;">
                <w:txbxContent>
                  <w:p w14:paraId="495C18E4">
                    <w:pPr>
                      <w:pStyle w:val="5"/>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lang w:val="en-US" w:eastAsia="zh-CN"/>
      </w:rPr>
      <w:t>E-</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CF021">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posOffset>4625975</wp:posOffset>
              </wp:positionH>
              <wp:positionV relativeFrom="paragraph">
                <wp:posOffset>-3810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0D05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4.25pt;margin-top:-0.3pt;height:144pt;width:144pt;mso-position-horizontal-relative:margin;mso-wrap-style:none;z-index:251663360;mso-width-relative:page;mso-height-relative:page;" filled="f" stroked="f" coordsize="21600,21600" o:gfxdata="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b4TAfNcAAAAKAQAADwAAAAAAAAABACAAAAAiAAAAZHJzL2Rvd25yZXYueG1s&#10;UEsBAhQAFAAAAAgAh07iQCMFE50yAgAAYwQAAA4AAAAAAAAAAQAgAAAAJgEAAGRycy9lMm9Eb2Mu&#10;eG1sUEsFBgAAAAAGAAYAWQEAAMoFAAAAAA==&#10;">
              <v:fill on="f" focussize="0,0"/>
              <v:stroke on="f" weight="0.5pt"/>
              <v:imagedata o:title=""/>
              <o:lock v:ext="edit" aspectratio="f"/>
              <v:textbox inset="0mm,0mm,0mm,0mm" style="mso-fit-shape-to-text:t;">
                <w:txbxContent>
                  <w:p w14:paraId="0B20D052">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13EF6">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0F772">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64384;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rYEDQ1QAAAAgBAAAPAAAAAAAAAAEAIAAAACIAAABkcnMvZG93bnJldi54bWxQ&#10;SwECFAAUAAAACACHTuJAYa2EcjMCAABjBAAADgAAAAAAAAABACAAAAAkAQAAZHJzL2Uyb0RvYy54&#10;bWxQSwUGAAAAAAYABgBZAQAAyQUAAAAA&#10;">
              <v:fill on="f" focussize="0,0"/>
              <v:stroke on="f" weight="0.5pt"/>
              <v:imagedata o:title=""/>
              <o:lock v:ext="edit" aspectratio="f"/>
              <v:textbox inset="0mm,0mm,0mm,0mm" style="mso-fit-shape-to-text:t;">
                <w:txbxContent>
                  <w:p w14:paraId="2F60F772">
                    <w:pPr>
                      <w:pStyle w:val="5"/>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lang w:val="en-US" w:eastAsia="zh-CN"/>
      </w:rPr>
      <w:t>E-</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862C2">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74624"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BF1956">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74624;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ESHG4jICAABj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tgQNDVAAAACAEAAA8AAAAAAAAAAQAgAAAAIgAAAGRycy9kb3ducmV2LnhtbFBL&#10;AQIUABQAAAAIAIdO4kARIcbiMgIAAGMEAAAOAAAAAAAAAAEAIAAAACQBAABkcnMvZTJvRG9jLnht&#10;bFBLBQYAAAAABgAGAFkBAADIBQAAAAA=&#10;">
              <v:fill on="f" focussize="0,0"/>
              <v:stroke on="f" weight="0.5pt"/>
              <v:imagedata o:title=""/>
              <o:lock v:ext="edit" aspectratio="f"/>
              <v:textbox inset="0mm,0mm,0mm,0mm" style="mso-fit-shape-to-text:t;">
                <w:txbxContent>
                  <w:p w14:paraId="15BF1956">
                    <w:pPr>
                      <w:pStyle w:val="5"/>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lang w:val="en-US" w:eastAsia="zh-CN"/>
      </w:rPr>
      <w:t>E-</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9389D">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75648"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85514">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75648;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rYEDQ1QAAAAgBAAAPAAAAAAAAAAEAIAAAACIAAABkcnMvZG93bnJldi54bWxQ&#10;SwECFAAUAAAACACHTuJAU4lRDTMCAABjBAAADgAAAAAAAAABACAAAAAkAQAAZHJzL2Uyb0RvYy54&#10;bWxQSwUGAAAAAAYABgBZAQAAyQUAAAAA&#10;">
              <v:fill on="f" focussize="0,0"/>
              <v:stroke on="f" weight="0.5pt"/>
              <v:imagedata o:title=""/>
              <o:lock v:ext="edit" aspectratio="f"/>
              <v:textbox inset="0mm,0mm,0mm,0mm" style="mso-fit-shape-to-text:t;">
                <w:txbxContent>
                  <w:p w14:paraId="1A285514">
                    <w:pPr>
                      <w:pStyle w:val="5"/>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lang w:val="en-US" w:eastAsia="zh-CN"/>
      </w:rPr>
      <w:t>E-</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32326">
    <w:pPr>
      <w:pStyle w:val="5"/>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70528"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F2BE4">
                          <w:pPr>
                            <w:pStyle w:val="5"/>
                            <w:rPr>
                              <w:rFonts w:hint="eastAsia" w:eastAsia="仿宋_GB2312"/>
                              <w:lang w:val="en-US" w:eastAsia="zh-CN"/>
                            </w:rPr>
                          </w:pPr>
                          <w:r>
                            <w:rPr>
                              <w:rFonts w:hint="eastAsia"/>
                              <w:lang w:val="en-US" w:eastAsia="zh-CN"/>
                            </w:rPr>
                            <w:t>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70528;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vfPWhDECAABj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62BA0NUAAAAIAQAADwAAAAAAAAABACAAAAAiAAAAZHJzL2Rvd25yZXYueG1sUEsB&#10;AhQAFAAAAAgAh07iQL3z1oQxAgAAYwQAAA4AAAAAAAAAAQAgAAAAJAEAAGRycy9lMm9Eb2MueG1s&#10;UEsFBgAAAAAGAAYAWQEAAMcFAAAAAA==&#10;">
              <v:fill on="f" focussize="0,0"/>
              <v:stroke on="f" weight="0.5pt"/>
              <v:imagedata o:title=""/>
              <o:lock v:ext="edit" aspectratio="f"/>
              <v:textbox inset="0mm,0mm,0mm,0mm" style="mso-fit-shape-to-text:t;">
                <w:txbxContent>
                  <w:p w14:paraId="279F2BE4">
                    <w:pPr>
                      <w:pStyle w:val="5"/>
                      <w:rPr>
                        <w:rFonts w:hint="eastAsia" w:eastAsia="仿宋_GB2312"/>
                        <w:lang w:val="en-US" w:eastAsia="zh-CN"/>
                      </w:rPr>
                    </w:pPr>
                    <w:r>
                      <w:rPr>
                        <w:rFonts w:hint="eastAsia"/>
                        <w:lang w:val="en-US" w:eastAsia="zh-CN"/>
                      </w:rPr>
                      <w:t>1</w:t>
                    </w:r>
                  </w:p>
                </w:txbxContent>
              </v:textbox>
            </v:shape>
          </w:pict>
        </mc:Fallback>
      </mc:AlternateContent>
    </w:r>
    <w:r>
      <w:rPr>
        <w:rFonts w:hint="eastAsia"/>
        <w:sz w:val="18"/>
        <w:lang w:val="en-US" w:eastAsia="zh-CN"/>
      </w:rPr>
      <w:t>F</w:t>
    </w:r>
    <w:r>
      <w:rPr>
        <w:rFonts w:hint="eastAsia"/>
        <w:lang w:val="en-US" w:eastAsia="zh-CN"/>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E2163">
    <w:pPr>
      <w:pStyle w:val="5"/>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72576"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FFB92">
                          <w:pPr>
                            <w:pStyle w:val="5"/>
                            <w:rPr>
                              <w:rFonts w:hint="eastAsia" w:eastAsia="仿宋_GB2312"/>
                              <w:lang w:val="en-US" w:eastAsia="zh-CN"/>
                            </w:rPr>
                          </w:pPr>
                          <w:r>
                            <w:rPr>
                              <w:rFonts w:hint="eastAsia"/>
                              <w:lang w:val="en-US" w:eastAsia="zh-CN"/>
                            </w:rPr>
                            <w:t>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72576;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1HeY5jICAABj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tgQNDVAAAACAEAAA8AAAAAAAAAAQAgAAAAIgAAAGRycy9kb3ducmV2LnhtbFBL&#10;AQIUABQAAAAIAIdO4kDUd5jmMgIAAGMEAAAOAAAAAAAAAAEAIAAAACQBAABkcnMvZTJvRG9jLnht&#10;bFBLBQYAAAAABgAGAFkBAADIBQAAAAA=&#10;">
              <v:fill on="f" focussize="0,0"/>
              <v:stroke on="f" weight="0.5pt"/>
              <v:imagedata o:title=""/>
              <o:lock v:ext="edit" aspectratio="f"/>
              <v:textbox inset="0mm,0mm,0mm,0mm" style="mso-fit-shape-to-text:t;">
                <w:txbxContent>
                  <w:p w14:paraId="509FFB92">
                    <w:pPr>
                      <w:pStyle w:val="5"/>
                      <w:rPr>
                        <w:rFonts w:hint="eastAsia" w:eastAsia="仿宋_GB2312"/>
                        <w:lang w:val="en-US" w:eastAsia="zh-CN"/>
                      </w:rPr>
                    </w:pPr>
                    <w:r>
                      <w:rPr>
                        <w:rFonts w:hint="eastAsia"/>
                        <w:lang w:val="en-US" w:eastAsia="zh-CN"/>
                      </w:rPr>
                      <w:t>1</w:t>
                    </w:r>
                  </w:p>
                </w:txbxContent>
              </v:textbox>
            </v:shape>
          </w:pict>
        </mc:Fallback>
      </mc:AlternateContent>
    </w:r>
    <w:r>
      <w:rPr>
        <w:rFonts w:hint="eastAsia"/>
        <w:sz w:val="18"/>
        <w:lang w:val="en-US" w:eastAsia="zh-CN"/>
      </w:rPr>
      <w:t>G</w:t>
    </w:r>
    <w:r>
      <w:rPr>
        <w:rFonts w:hint="eastAsia"/>
        <w:lang w:val="en-US" w:eastAsia="zh-CN"/>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9AB9F">
    <w:pPr>
      <w:pStyle w:val="5"/>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71552" behindDoc="0" locked="0" layoutInCell="1" allowOverlap="1">
              <wp:simplePos x="0" y="0"/>
              <wp:positionH relativeFrom="margin">
                <wp:posOffset>2819400</wp:posOffset>
              </wp:positionH>
              <wp:positionV relativeFrom="paragraph">
                <wp:posOffset>-17145</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380775">
                          <w:pPr>
                            <w:pStyle w:val="5"/>
                            <w:rPr>
                              <w:rFonts w:hint="default" w:eastAsia="仿宋_GB2312"/>
                              <w:sz w:val="20"/>
                              <w:szCs w:val="22"/>
                              <w:lang w:val="en-US" w:eastAsia="zh-CN"/>
                            </w:rPr>
                          </w:pPr>
                          <w:r>
                            <w:rPr>
                              <w:rFonts w:hint="eastAsia"/>
                              <w:sz w:val="20"/>
                              <w:szCs w:val="22"/>
                              <w:lang w:val="en-US" w:eastAsia="zh-CN"/>
                            </w:rPr>
                            <w:t>2</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2pt;margin-top:-1.35pt;height:144pt;width:144pt;mso-position-horizontal-relative:margin;mso-wrap-style:none;z-index:251671552;mso-width-relative:page;mso-height-relative:page;" filled="f" stroked="f" coordsize="21600,21600" o:gfxdata="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UASoTYAAAACgEAAA8AAAAAAAAAAQAgAAAAIgAAAGRycy9kb3ducmV2Lnht&#10;bFBLAQIUABQAAAAIAIdO4kD/W0FrMgIAAGMEAAAOAAAAAAAAAAEAIAAAACcBAABkcnMvZTJvRG9j&#10;LnhtbFBLBQYAAAAABgAGAFkBAADLBQAAAAA=&#10;">
              <v:fill on="f" focussize="0,0"/>
              <v:stroke on="f" weight="0.5pt"/>
              <v:imagedata o:title=""/>
              <o:lock v:ext="edit" aspectratio="f"/>
              <v:textbox inset="0mm,0mm,0mm,0mm" style="mso-fit-shape-to-text:t;">
                <w:txbxContent>
                  <w:p w14:paraId="71380775">
                    <w:pPr>
                      <w:pStyle w:val="5"/>
                      <w:rPr>
                        <w:rFonts w:hint="default" w:eastAsia="仿宋_GB2312"/>
                        <w:sz w:val="20"/>
                        <w:szCs w:val="22"/>
                        <w:lang w:val="en-US" w:eastAsia="zh-CN"/>
                      </w:rPr>
                    </w:pPr>
                    <w:r>
                      <w:rPr>
                        <w:rFonts w:hint="eastAsia"/>
                        <w:sz w:val="20"/>
                        <w:szCs w:val="22"/>
                        <w:lang w:val="en-US" w:eastAsia="zh-CN"/>
                      </w:rPr>
                      <w:t>2</w:t>
                    </w:r>
                  </w:p>
                </w:txbxContent>
              </v:textbox>
            </v:shape>
          </w:pict>
        </mc:Fallback>
      </mc:AlternateContent>
    </w:r>
    <w:r>
      <w:rPr>
        <w:rFonts w:hint="eastAsia"/>
        <w:sz w:val="18"/>
        <w:lang w:val="en-US" w:eastAsia="zh-CN"/>
      </w:rPr>
      <w:t>G</w:t>
    </w:r>
    <w:r>
      <w:rPr>
        <w:rFonts w:hint="eastAsia"/>
        <w:lang w:val="en-US" w:eastAsia="zh-CN"/>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0111">
    <w:pPr>
      <w:pStyle w:val="5"/>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9504" behindDoc="0" locked="0" layoutInCell="1" allowOverlap="1">
              <wp:simplePos x="0" y="0"/>
              <wp:positionH relativeFrom="margin">
                <wp:posOffset>2810510</wp:posOffset>
              </wp:positionH>
              <wp:positionV relativeFrom="paragraph">
                <wp:posOffset>-8255</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730A1">
                          <w:pPr>
                            <w:pStyle w:val="5"/>
                            <w:rPr>
                              <w:rFonts w:hint="eastAsia" w:eastAsia="仿宋_GB2312"/>
                              <w:sz w:val="20"/>
                              <w:szCs w:val="22"/>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1.3pt;margin-top:-0.65pt;height:144pt;width:144pt;mso-position-horizontal-relative:margin;mso-wrap-style:none;z-index:251669504;mso-width-relative:page;mso-height-relative:page;" filled="f" stroked="f" coordsize="21600,21600" o:gfxdata="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II0YbYAAAACgEAAA8AAAAAAAAAAQAgAAAAIgAAAGRycy9kb3ducmV2Lnht&#10;bFBLAQIUABQAAAAIAIdO4kCk+9p2MgIAAGMEAAAOAAAAAAAAAAEAIAAAACcBAABkcnMvZTJvRG9j&#10;LnhtbFBLBQYAAAAABgAGAFkBAADLBQAAAAA=&#10;">
              <v:fill on="f" focussize="0,0"/>
              <v:stroke on="f" weight="0.5pt"/>
              <v:imagedata o:title=""/>
              <o:lock v:ext="edit" aspectratio="f"/>
              <v:textbox inset="0mm,0mm,0mm,0mm" style="mso-fit-shape-to-text:t;">
                <w:txbxContent>
                  <w:p w14:paraId="1F8730A1">
                    <w:pPr>
                      <w:pStyle w:val="5"/>
                      <w:rPr>
                        <w:rFonts w:hint="eastAsia" w:eastAsia="仿宋_GB2312"/>
                        <w:sz w:val="20"/>
                        <w:szCs w:val="22"/>
                        <w:lang w:val="en-US" w:eastAsia="zh-CN"/>
                      </w:rPr>
                    </w:pPr>
                  </w:p>
                </w:txbxContent>
              </v:textbox>
            </v:shape>
          </w:pict>
        </mc:Fallback>
      </mc:AlternateContent>
    </w:r>
    <w:r>
      <w:rPr>
        <w:rFonts w:hint="eastAsia"/>
        <w:sz w:val="18"/>
        <w:lang w:val="en-US" w:eastAsia="zh-CN"/>
      </w:rPr>
      <w:t>G</w:t>
    </w:r>
    <w:r>
      <w:rPr>
        <w:rFonts w:hint="eastAsia"/>
        <w:lang w:val="en-US" w:eastAsia="zh-CN"/>
      </w:rPr>
      <w:t>-</w:t>
    </w:r>
    <w:r>
      <w:rPr>
        <w:rFonts w:hint="eastAsia"/>
        <w:sz w:val="20"/>
        <w:szCs w:val="22"/>
        <w:lang w:val="en-US" w:eastAsia="zh-CN"/>
      </w:rPr>
      <w:t>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89F96">
    <w:pPr>
      <w:pStyle w:val="5"/>
      <w:numPr>
        <w:ilvl w:val="0"/>
        <w:numId w:val="0"/>
      </w:numPr>
      <w:ind w:firstLine="4320" w:firstLineChars="2400"/>
      <w:jc w:val="both"/>
      <w:rPr>
        <w:rFonts w:hint="default" w:eastAsia="仿宋_GB2312"/>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posOffset>2871470</wp:posOffset>
              </wp:positionH>
              <wp:positionV relativeFrom="paragraph">
                <wp:posOffset>-8255</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AAED1">
                          <w:pPr>
                            <w:pStyle w:val="5"/>
                            <w:rPr>
                              <w:rFonts w:hint="eastAsia" w:eastAsia="仿宋_GB2312"/>
                              <w:lang w:val="en-US" w:eastAsia="zh-CN"/>
                            </w:rPr>
                          </w:pPr>
                          <w:r>
                            <w:rPr>
                              <w:rFonts w:hint="eastAsia"/>
                              <w:sz w:val="20"/>
                              <w:szCs w:val="22"/>
                              <w:lang w:val="en-US" w:eastAsia="zh-CN"/>
                            </w:rPr>
                            <w:t>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6.1pt;margin-top:-0.65pt;height:144pt;width:144pt;mso-position-horizontal-relative:margin;mso-wrap-style:none;z-index:251668480;mso-width-relative:page;mso-height-relative:page;" filled="f" stroked="f" coordsize="21600,21600" o:gfxdata="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j1lr/YAAAACgEAAA8AAAAAAAAAAQAgAAAAIgAAAGRycy9kb3ducmV2Lnht&#10;bFBLAQIUABQAAAAIAIdO4kDmU02ZMgIAAGMEAAAOAAAAAAAAAAEAIAAAACcBAABkcnMvZTJvRG9j&#10;LnhtbFBLBQYAAAAABgAGAFkBAADLBQAAAAA=&#10;">
              <v:fill on="f" focussize="0,0"/>
              <v:stroke on="f" weight="0.5pt"/>
              <v:imagedata o:title=""/>
              <o:lock v:ext="edit" aspectratio="f"/>
              <v:textbox inset="0mm,0mm,0mm,0mm" style="mso-fit-shape-to-text:t;">
                <w:txbxContent>
                  <w:p w14:paraId="13DAAED1">
                    <w:pPr>
                      <w:pStyle w:val="5"/>
                      <w:rPr>
                        <w:rFonts w:hint="eastAsia" w:eastAsia="仿宋_GB2312"/>
                        <w:lang w:val="en-US" w:eastAsia="zh-CN"/>
                      </w:rPr>
                    </w:pPr>
                    <w:r>
                      <w:rPr>
                        <w:rFonts w:hint="eastAsia"/>
                        <w:sz w:val="20"/>
                        <w:szCs w:val="22"/>
                        <w:lang w:val="en-US" w:eastAsia="zh-CN"/>
                      </w:rPr>
                      <w:t>1</w:t>
                    </w:r>
                  </w:p>
                </w:txbxContent>
              </v:textbox>
            </v:shape>
          </w:pict>
        </mc:Fallback>
      </mc:AlternateContent>
    </w:r>
    <w:r>
      <w:rPr>
        <w:rFonts w:hint="eastAsia"/>
        <w:lang w:val="en-US" w:eastAsia="zh-CN"/>
      </w:rPr>
      <w:t>H-</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29EFA">
    <w:pPr>
      <w:pStyle w:val="6"/>
      <w:tabs>
        <w:tab w:val="clear" w:pos="8306"/>
      </w:tabs>
      <w:jc w:val="left"/>
      <w:rPr>
        <w:rFonts w:hint="default" w:ascii="宋体" w:hAnsi="宋体" w:eastAsia="宋体" w:cs="宋体"/>
        <w:b/>
        <w:bCs/>
        <w:sz w:val="21"/>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C2A0">
    <w:pPr>
      <w:pStyle w:val="6"/>
      <w:tabs>
        <w:tab w:val="clear" w:pos="8306"/>
      </w:tabs>
      <w:jc w:val="left"/>
      <w:rPr>
        <w:rFonts w:hint="default" w:ascii="宋体" w:hAnsi="宋体" w:eastAsia="宋体" w:cs="宋体"/>
        <w:b/>
        <w:bCs/>
        <w:sz w:val="21"/>
        <w:szCs w:val="21"/>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42779">
    <w:pPr>
      <w:pStyle w:val="6"/>
    </w:pPr>
  </w:p>
  <w:p w14:paraId="3A5FACF7">
    <w:pPr>
      <w:pStyle w:val="6"/>
    </w:pPr>
  </w:p>
  <w:p w14:paraId="187C7835">
    <w:pPr>
      <w:pStyle w:val="6"/>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7"/>
    </w:tblGrid>
    <w:tr w14:paraId="5B04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5B242F28">
          <w:pPr>
            <w:spacing w:line="440" w:lineRule="exact"/>
            <w:rPr>
              <w:rFonts w:ascii="宋体" w:hAnsi="宋体" w:eastAsia="宋体" w:cs="宋体"/>
            </w:rPr>
          </w:pPr>
          <w:r>
            <w:rPr>
              <w:rFonts w:hint="eastAsia" w:ascii="宋体" w:hAnsi="宋体" w:eastAsia="宋体" w:cs="宋体"/>
            </w:rPr>
            <w:t>1.1目的</w:t>
          </w:r>
        </w:p>
        <w:p w14:paraId="7E75D933">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07857A65">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13F61F26">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0A9A5386">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1D8ADF0F">
          <w:pPr>
            <w:spacing w:line="440" w:lineRule="exact"/>
            <w:rPr>
              <w:rFonts w:ascii="宋体" w:hAnsi="宋体" w:eastAsia="宋体" w:cs="宋体"/>
            </w:rPr>
          </w:pPr>
          <w:r>
            <w:rPr>
              <w:rFonts w:hint="eastAsia" w:ascii="宋体" w:hAnsi="宋体" w:eastAsia="宋体" w:cs="宋体"/>
            </w:rPr>
            <w:t>1.2 适用范围</w:t>
          </w:r>
        </w:p>
        <w:p w14:paraId="35F0126D">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5EC1D93E">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7D3B5535">
          <w:pPr>
            <w:spacing w:line="440" w:lineRule="exact"/>
            <w:rPr>
              <w:rFonts w:ascii="宋体" w:hAnsi="宋体" w:eastAsia="宋体" w:cs="宋体"/>
            </w:rPr>
          </w:pPr>
          <w:r>
            <w:rPr>
              <w:rFonts w:hint="eastAsia" w:ascii="宋体" w:hAnsi="宋体" w:eastAsia="宋体" w:cs="宋体"/>
            </w:rPr>
            <w:t>1.3大纲计划管理要求</w:t>
          </w:r>
        </w:p>
        <w:p w14:paraId="30BE2852">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118F5D78">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79231F0D">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631027F1">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5388152B">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r w14:paraId="232A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6E2747F6">
          <w:pPr>
            <w:spacing w:line="440" w:lineRule="exact"/>
            <w:rPr>
              <w:rFonts w:ascii="宋体" w:hAnsi="宋体" w:eastAsia="宋体" w:cs="宋体"/>
            </w:rPr>
          </w:pPr>
          <w:r>
            <w:rPr>
              <w:rFonts w:hint="eastAsia" w:ascii="宋体" w:hAnsi="宋体" w:eastAsia="宋体" w:cs="宋体"/>
            </w:rPr>
            <w:t>1.1目的</w:t>
          </w:r>
        </w:p>
        <w:p w14:paraId="2AD99C6A">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6BEB5E0B">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7F78CF72">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46918A45">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2EDA1602">
          <w:pPr>
            <w:spacing w:line="440" w:lineRule="exact"/>
            <w:rPr>
              <w:rFonts w:ascii="宋体" w:hAnsi="宋体" w:eastAsia="宋体" w:cs="宋体"/>
            </w:rPr>
          </w:pPr>
          <w:r>
            <w:rPr>
              <w:rFonts w:hint="eastAsia" w:ascii="宋体" w:hAnsi="宋体" w:eastAsia="宋体" w:cs="宋体"/>
            </w:rPr>
            <w:t>1.2 适用范围</w:t>
          </w:r>
        </w:p>
        <w:p w14:paraId="5E797F93">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28470674">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46048622">
          <w:pPr>
            <w:spacing w:line="440" w:lineRule="exact"/>
            <w:rPr>
              <w:rFonts w:ascii="宋体" w:hAnsi="宋体" w:eastAsia="宋体" w:cs="宋体"/>
            </w:rPr>
          </w:pPr>
          <w:r>
            <w:rPr>
              <w:rFonts w:hint="eastAsia" w:ascii="宋体" w:hAnsi="宋体" w:eastAsia="宋体" w:cs="宋体"/>
            </w:rPr>
            <w:t>1.3大纲计划管理要求</w:t>
          </w:r>
        </w:p>
        <w:p w14:paraId="0CA1FF4B">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460EC23F">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3D15375D">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23D6756B">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396D84B4">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bl>
  <w:p w14:paraId="76FFC596">
    <w:pPr>
      <w:pStyle w:val="6"/>
    </w:pPr>
  </w:p>
  <w:p w14:paraId="06114DAF">
    <w:pPr>
      <w:pStyle w:val="6"/>
    </w:pPr>
  </w:p>
  <w:p w14:paraId="11F63128">
    <w:pPr>
      <w:pStyle w:val="6"/>
    </w:pPr>
  </w:p>
  <w:p w14:paraId="3615AD52">
    <w:pPr>
      <w:pStyle w:val="6"/>
    </w:pPr>
  </w:p>
  <w:p w14:paraId="08A1E658">
    <w:pPr>
      <w:pStyle w:val="6"/>
    </w:pPr>
  </w:p>
  <w:p w14:paraId="21913342">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6BCC1">
    <w:pPr>
      <w:pStyle w:val="6"/>
    </w:pPr>
  </w:p>
  <w:p w14:paraId="193D6A1F">
    <w:pPr>
      <w:pStyle w:val="6"/>
    </w:pPr>
  </w:p>
  <w:p w14:paraId="1BC98B4A">
    <w:pPr>
      <w:pStyle w:val="6"/>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7"/>
    </w:tblGrid>
    <w:tr w14:paraId="0D5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3D1471D2">
          <w:pPr>
            <w:spacing w:line="440" w:lineRule="exact"/>
            <w:rPr>
              <w:rFonts w:ascii="宋体" w:hAnsi="宋体" w:eastAsia="宋体" w:cs="宋体"/>
            </w:rPr>
          </w:pPr>
          <w:r>
            <w:rPr>
              <w:rFonts w:hint="eastAsia" w:ascii="宋体" w:hAnsi="宋体" w:eastAsia="宋体" w:cs="宋体"/>
            </w:rPr>
            <w:t>1.1目的</w:t>
          </w:r>
        </w:p>
        <w:p w14:paraId="5EC9E4D9">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43715475">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35C10FDF">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402D0D15">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540B98E8">
          <w:pPr>
            <w:spacing w:line="440" w:lineRule="exact"/>
            <w:rPr>
              <w:rFonts w:ascii="宋体" w:hAnsi="宋体" w:eastAsia="宋体" w:cs="宋体"/>
            </w:rPr>
          </w:pPr>
          <w:r>
            <w:rPr>
              <w:rFonts w:hint="eastAsia" w:ascii="宋体" w:hAnsi="宋体" w:eastAsia="宋体" w:cs="宋体"/>
            </w:rPr>
            <w:t>1.2 适用范围</w:t>
          </w:r>
        </w:p>
        <w:p w14:paraId="41CA23A3">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75C4E8A7">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05D5C5CF">
          <w:pPr>
            <w:spacing w:line="440" w:lineRule="exact"/>
            <w:rPr>
              <w:rFonts w:ascii="宋体" w:hAnsi="宋体" w:eastAsia="宋体" w:cs="宋体"/>
            </w:rPr>
          </w:pPr>
          <w:r>
            <w:rPr>
              <w:rFonts w:hint="eastAsia" w:ascii="宋体" w:hAnsi="宋体" w:eastAsia="宋体" w:cs="宋体"/>
            </w:rPr>
            <w:t>1.3大纲计划管理要求</w:t>
          </w:r>
        </w:p>
        <w:p w14:paraId="3BDF74C5">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2BA911E3">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34D6C20D">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4F72A97F">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4F8709E8">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r w14:paraId="6B2A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33F34BE4">
          <w:pPr>
            <w:spacing w:line="440" w:lineRule="exact"/>
            <w:rPr>
              <w:rFonts w:ascii="宋体" w:hAnsi="宋体" w:eastAsia="宋体" w:cs="宋体"/>
            </w:rPr>
          </w:pPr>
          <w:r>
            <w:rPr>
              <w:rFonts w:hint="eastAsia" w:ascii="宋体" w:hAnsi="宋体" w:eastAsia="宋体" w:cs="宋体"/>
            </w:rPr>
            <w:t>1.1目的</w:t>
          </w:r>
        </w:p>
        <w:p w14:paraId="52477C14">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53D5E04B">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5C9EACBD">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1C96A284">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557A9F07">
          <w:pPr>
            <w:spacing w:line="440" w:lineRule="exact"/>
            <w:rPr>
              <w:rFonts w:ascii="宋体" w:hAnsi="宋体" w:eastAsia="宋体" w:cs="宋体"/>
            </w:rPr>
          </w:pPr>
          <w:r>
            <w:rPr>
              <w:rFonts w:hint="eastAsia" w:ascii="宋体" w:hAnsi="宋体" w:eastAsia="宋体" w:cs="宋体"/>
            </w:rPr>
            <w:t>1.2 适用范围</w:t>
          </w:r>
        </w:p>
        <w:p w14:paraId="50644C11">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12F20423">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1E816AD5">
          <w:pPr>
            <w:spacing w:line="440" w:lineRule="exact"/>
            <w:rPr>
              <w:rFonts w:ascii="宋体" w:hAnsi="宋体" w:eastAsia="宋体" w:cs="宋体"/>
            </w:rPr>
          </w:pPr>
          <w:r>
            <w:rPr>
              <w:rFonts w:hint="eastAsia" w:ascii="宋体" w:hAnsi="宋体" w:eastAsia="宋体" w:cs="宋体"/>
            </w:rPr>
            <w:t>1.3大纲计划管理要求</w:t>
          </w:r>
        </w:p>
        <w:p w14:paraId="67D185ED">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735BDAF8">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4F27EE1B">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1FB0E54C">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1C9FF78F">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bl>
  <w:p w14:paraId="3AC4ADA7">
    <w:pPr>
      <w:pStyle w:val="6"/>
    </w:pPr>
  </w:p>
  <w:p w14:paraId="53FDB606">
    <w:pPr>
      <w:pStyle w:val="6"/>
    </w:pPr>
  </w:p>
  <w:p w14:paraId="5B4E7340">
    <w:pPr>
      <w:pStyle w:val="6"/>
    </w:pPr>
  </w:p>
  <w:p w14:paraId="2ADFAF4C">
    <w:pPr>
      <w:pStyle w:val="6"/>
    </w:pPr>
  </w:p>
  <w:p w14:paraId="2B495DF6">
    <w:pPr>
      <w:pStyle w:val="6"/>
    </w:pPr>
  </w:p>
  <w:p w14:paraId="3376D44B">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8F073">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DA2EA"/>
    <w:multiLevelType w:val="singleLevel"/>
    <w:tmpl w:val="80BDA2EA"/>
    <w:lvl w:ilvl="0" w:tentative="0">
      <w:start w:val="2"/>
      <w:numFmt w:val="decimal"/>
      <w:suff w:val="space"/>
      <w:lvlText w:val="%1)"/>
      <w:lvlJc w:val="left"/>
    </w:lvl>
  </w:abstractNum>
  <w:abstractNum w:abstractNumId="1">
    <w:nsid w:val="9F35AC52"/>
    <w:multiLevelType w:val="singleLevel"/>
    <w:tmpl w:val="9F35AC52"/>
    <w:lvl w:ilvl="0" w:tentative="0">
      <w:start w:val="1"/>
      <w:numFmt w:val="decimal"/>
      <w:lvlText w:val="%1."/>
      <w:lvlJc w:val="left"/>
      <w:pPr>
        <w:ind w:left="425" w:hanging="425"/>
      </w:pPr>
      <w:rPr>
        <w:rFonts w:hint="default"/>
      </w:rPr>
    </w:lvl>
  </w:abstractNum>
  <w:abstractNum w:abstractNumId="2">
    <w:nsid w:val="A2F7BC2B"/>
    <w:multiLevelType w:val="singleLevel"/>
    <w:tmpl w:val="A2F7BC2B"/>
    <w:lvl w:ilvl="0" w:tentative="0">
      <w:start w:val="1"/>
      <w:numFmt w:val="decimal"/>
      <w:lvlText w:val="%1)"/>
      <w:lvlJc w:val="left"/>
      <w:pPr>
        <w:ind w:left="425" w:hanging="425"/>
      </w:pPr>
      <w:rPr>
        <w:rFonts w:hint="default"/>
      </w:rPr>
    </w:lvl>
  </w:abstractNum>
  <w:abstractNum w:abstractNumId="3">
    <w:nsid w:val="B68DB94E"/>
    <w:multiLevelType w:val="singleLevel"/>
    <w:tmpl w:val="B68DB94E"/>
    <w:lvl w:ilvl="0" w:tentative="0">
      <w:start w:val="3"/>
      <w:numFmt w:val="decimal"/>
      <w:suff w:val="space"/>
      <w:lvlText w:val="%1)"/>
      <w:lvlJc w:val="left"/>
    </w:lvl>
  </w:abstractNum>
  <w:abstractNum w:abstractNumId="4">
    <w:nsid w:val="0D42A33E"/>
    <w:multiLevelType w:val="singleLevel"/>
    <w:tmpl w:val="0D42A33E"/>
    <w:lvl w:ilvl="0" w:tentative="0">
      <w:start w:val="4"/>
      <w:numFmt w:val="decimal"/>
      <w:suff w:val="nothing"/>
      <w:lvlText w:val="%1）"/>
      <w:lvlJc w:val="left"/>
    </w:lvl>
  </w:abstractNum>
  <w:abstractNum w:abstractNumId="5">
    <w:nsid w:val="388B7C45"/>
    <w:multiLevelType w:val="singleLevel"/>
    <w:tmpl w:val="388B7C45"/>
    <w:lvl w:ilvl="0" w:tentative="0">
      <w:start w:val="1"/>
      <w:numFmt w:val="decimal"/>
      <w:lvlText w:val="(%1)"/>
      <w:lvlJc w:val="left"/>
      <w:pPr>
        <w:ind w:left="845" w:hanging="425"/>
      </w:pPr>
      <w:rPr>
        <w:rFonts w:hint="default"/>
      </w:rPr>
    </w:lvl>
  </w:abstractNum>
  <w:abstractNum w:abstractNumId="6">
    <w:nsid w:val="3C57460F"/>
    <w:multiLevelType w:val="singleLevel"/>
    <w:tmpl w:val="3C57460F"/>
    <w:lvl w:ilvl="0" w:tentative="0">
      <w:start w:val="1"/>
      <w:numFmt w:val="decimal"/>
      <w:lvlText w:val="(%1)"/>
      <w:lvlJc w:val="left"/>
      <w:pPr>
        <w:ind w:left="425" w:hanging="425"/>
      </w:pPr>
      <w:rPr>
        <w:rFonts w:hint="default"/>
      </w:rPr>
    </w:lvl>
  </w:abstractNum>
  <w:abstractNum w:abstractNumId="7">
    <w:nsid w:val="47B312EE"/>
    <w:multiLevelType w:val="multilevel"/>
    <w:tmpl w:val="47B312EE"/>
    <w:lvl w:ilvl="0" w:tentative="0">
      <w:start w:val="1"/>
      <w:numFmt w:val="lowerLetter"/>
      <w:lvlText w:val="%1."/>
      <w:lvlJc w:val="left"/>
      <w:pPr>
        <w:tabs>
          <w:tab w:val="left" w:pos="570"/>
        </w:tabs>
        <w:ind w:left="57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EAB308A"/>
    <w:multiLevelType w:val="multilevel"/>
    <w:tmpl w:val="4EAB308A"/>
    <w:lvl w:ilvl="0" w:tentative="0">
      <w:start w:val="1"/>
      <w:numFmt w:val="lowerLetter"/>
      <w:lvlText w:val="%1."/>
      <w:lvlJc w:val="left"/>
      <w:pPr>
        <w:tabs>
          <w:tab w:val="left" w:pos="570"/>
        </w:tabs>
        <w:ind w:left="570" w:hanging="360"/>
      </w:pPr>
      <w:rPr>
        <w:rFonts w:hint="default"/>
      </w:rPr>
    </w:lvl>
    <w:lvl w:ilvl="1" w:tentative="0">
      <w:start w:val="1"/>
      <w:numFmt w:val="lowerLetter"/>
      <w:lvlText w:val="%2)"/>
      <w:lvlJc w:val="left"/>
      <w:pPr>
        <w:tabs>
          <w:tab w:val="left" w:pos="1050"/>
        </w:tabs>
        <w:ind w:left="1050" w:hanging="420"/>
      </w:pPr>
    </w:lvl>
    <w:lvl w:ilvl="2" w:tentative="0">
      <w:start w:val="1"/>
      <w:numFmt w:val="lowerRoman"/>
      <w:lvlText w:val="%3."/>
      <w:lvlJc w:val="right"/>
      <w:pPr>
        <w:tabs>
          <w:tab w:val="left" w:pos="1470"/>
        </w:tabs>
        <w:ind w:left="1470" w:hanging="420"/>
      </w:pPr>
    </w:lvl>
    <w:lvl w:ilvl="3" w:tentative="0">
      <w:start w:val="1"/>
      <w:numFmt w:val="decimal"/>
      <w:lvlText w:val="%4."/>
      <w:lvlJc w:val="left"/>
      <w:pPr>
        <w:tabs>
          <w:tab w:val="left" w:pos="1890"/>
        </w:tabs>
        <w:ind w:left="1890" w:hanging="420"/>
      </w:pPr>
    </w:lvl>
    <w:lvl w:ilvl="4" w:tentative="0">
      <w:start w:val="1"/>
      <w:numFmt w:val="lowerLetter"/>
      <w:lvlText w:val="%5)"/>
      <w:lvlJc w:val="left"/>
      <w:pPr>
        <w:tabs>
          <w:tab w:val="left" w:pos="2310"/>
        </w:tabs>
        <w:ind w:left="2310" w:hanging="420"/>
      </w:pPr>
    </w:lvl>
    <w:lvl w:ilvl="5" w:tentative="0">
      <w:start w:val="1"/>
      <w:numFmt w:val="lowerRoman"/>
      <w:lvlText w:val="%6."/>
      <w:lvlJc w:val="right"/>
      <w:pPr>
        <w:tabs>
          <w:tab w:val="left" w:pos="2730"/>
        </w:tabs>
        <w:ind w:left="2730" w:hanging="420"/>
      </w:pPr>
    </w:lvl>
    <w:lvl w:ilvl="6" w:tentative="0">
      <w:start w:val="1"/>
      <w:numFmt w:val="decimal"/>
      <w:lvlText w:val="%7."/>
      <w:lvlJc w:val="left"/>
      <w:pPr>
        <w:tabs>
          <w:tab w:val="left" w:pos="3150"/>
        </w:tabs>
        <w:ind w:left="3150" w:hanging="420"/>
      </w:pPr>
    </w:lvl>
    <w:lvl w:ilvl="7" w:tentative="0">
      <w:start w:val="1"/>
      <w:numFmt w:val="lowerLetter"/>
      <w:lvlText w:val="%8)"/>
      <w:lvlJc w:val="left"/>
      <w:pPr>
        <w:tabs>
          <w:tab w:val="left" w:pos="3570"/>
        </w:tabs>
        <w:ind w:left="3570" w:hanging="420"/>
      </w:pPr>
    </w:lvl>
    <w:lvl w:ilvl="8" w:tentative="0">
      <w:start w:val="1"/>
      <w:numFmt w:val="lowerRoman"/>
      <w:lvlText w:val="%9."/>
      <w:lvlJc w:val="right"/>
      <w:pPr>
        <w:tabs>
          <w:tab w:val="left" w:pos="3990"/>
        </w:tabs>
        <w:ind w:left="3990" w:hanging="420"/>
      </w:pPr>
    </w:lvl>
  </w:abstractNum>
  <w:abstractNum w:abstractNumId="9">
    <w:nsid w:val="5FDB7772"/>
    <w:multiLevelType w:val="singleLevel"/>
    <w:tmpl w:val="5FDB7772"/>
    <w:lvl w:ilvl="0" w:tentative="0">
      <w:start w:val="1"/>
      <w:numFmt w:val="decimal"/>
      <w:lvlText w:val="%1."/>
      <w:lvlJc w:val="left"/>
      <w:pPr>
        <w:ind w:left="425" w:hanging="425"/>
      </w:pPr>
      <w:rPr>
        <w:rFonts w:hint="default"/>
      </w:rPr>
    </w:lvl>
  </w:abstractNum>
  <w:abstractNum w:abstractNumId="10">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13"/>
      <w:suff w:val="nothing"/>
      <w:lvlText w:val="%1%2　"/>
      <w:lvlJc w:val="left"/>
      <w:pPr>
        <w:ind w:left="0" w:firstLine="0"/>
      </w:pPr>
      <w:rPr>
        <w:rFonts w:hint="eastAsia" w:ascii="黑体" w:hAnsi="Times New Roman" w:eastAsia="黑体"/>
        <w:b w:val="0"/>
        <w:i w:val="0"/>
        <w:sz w:val="21"/>
      </w:rPr>
    </w:lvl>
    <w:lvl w:ilvl="2" w:tentative="0">
      <w:start w:val="1"/>
      <w:numFmt w:val="decimal"/>
      <w:pStyle w:val="12"/>
      <w:suff w:val="nothing"/>
      <w:lvlText w:val="%1%2.%3　"/>
      <w:lvlJc w:val="left"/>
      <w:pPr>
        <w:ind w:left="0" w:firstLine="0"/>
      </w:pPr>
      <w:rPr>
        <w:rFonts w:hint="eastAsia" w:ascii="黑体" w:hAnsi="Times New Roman" w:eastAsia="黑体"/>
        <w:b w:val="0"/>
        <w:i w:val="0"/>
        <w:sz w:val="21"/>
      </w:rPr>
    </w:lvl>
    <w:lvl w:ilvl="3" w:tentative="0">
      <w:start w:val="1"/>
      <w:numFmt w:val="decimal"/>
      <w:pStyle w:val="15"/>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0"/>
  </w:num>
  <w:num w:numId="2">
    <w:abstractNumId w:val="8"/>
  </w:num>
  <w:num w:numId="3">
    <w:abstractNumId w:val="7"/>
  </w:num>
  <w:num w:numId="4">
    <w:abstractNumId w:val="9"/>
  </w:num>
  <w:num w:numId="5">
    <w:abstractNumId w:val="1"/>
  </w:num>
  <w:num w:numId="6">
    <w:abstractNumId w:val="5"/>
  </w:num>
  <w:num w:numId="7">
    <w:abstractNumId w:val="2"/>
  </w:num>
  <w:num w:numId="8">
    <w:abstractNumId w:val="6"/>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NWM0ZTE5NTFkMjJiOGIzYTE5YWMzZWRhNzcxNTYifQ=="/>
  </w:docVars>
  <w:rsids>
    <w:rsidRoot w:val="00000000"/>
    <w:rsid w:val="008F6B2B"/>
    <w:rsid w:val="00E0087C"/>
    <w:rsid w:val="010F1DA1"/>
    <w:rsid w:val="016A3348"/>
    <w:rsid w:val="016E6FC9"/>
    <w:rsid w:val="0187402D"/>
    <w:rsid w:val="026609C6"/>
    <w:rsid w:val="02671768"/>
    <w:rsid w:val="03286545"/>
    <w:rsid w:val="03802AE2"/>
    <w:rsid w:val="03C2759E"/>
    <w:rsid w:val="04154061"/>
    <w:rsid w:val="042C0EBC"/>
    <w:rsid w:val="04736E13"/>
    <w:rsid w:val="04911272"/>
    <w:rsid w:val="04E705D3"/>
    <w:rsid w:val="051C1F3F"/>
    <w:rsid w:val="05602CB1"/>
    <w:rsid w:val="059834E7"/>
    <w:rsid w:val="05C0366A"/>
    <w:rsid w:val="05EB7052"/>
    <w:rsid w:val="0634136E"/>
    <w:rsid w:val="06782793"/>
    <w:rsid w:val="07452CE3"/>
    <w:rsid w:val="079724B8"/>
    <w:rsid w:val="07F67816"/>
    <w:rsid w:val="08F17FDE"/>
    <w:rsid w:val="09150D75"/>
    <w:rsid w:val="095A3DD5"/>
    <w:rsid w:val="09BF1E8A"/>
    <w:rsid w:val="0A3A73E9"/>
    <w:rsid w:val="0A3E54A5"/>
    <w:rsid w:val="0A54652A"/>
    <w:rsid w:val="0A60366D"/>
    <w:rsid w:val="0A670558"/>
    <w:rsid w:val="0AC0345D"/>
    <w:rsid w:val="0ADD7C75"/>
    <w:rsid w:val="0B8247A8"/>
    <w:rsid w:val="0BCF786E"/>
    <w:rsid w:val="0BDC70EB"/>
    <w:rsid w:val="0C3C6E54"/>
    <w:rsid w:val="0C8D626F"/>
    <w:rsid w:val="0CF31EB7"/>
    <w:rsid w:val="0DFF10A3"/>
    <w:rsid w:val="0E3E7144"/>
    <w:rsid w:val="0EFC5FAE"/>
    <w:rsid w:val="0F4627D5"/>
    <w:rsid w:val="0F4C6E21"/>
    <w:rsid w:val="0F507CA5"/>
    <w:rsid w:val="0F583811"/>
    <w:rsid w:val="0F5B601D"/>
    <w:rsid w:val="0FC37B2A"/>
    <w:rsid w:val="10575305"/>
    <w:rsid w:val="10801075"/>
    <w:rsid w:val="1131366D"/>
    <w:rsid w:val="119C142F"/>
    <w:rsid w:val="11A976A8"/>
    <w:rsid w:val="11CC783A"/>
    <w:rsid w:val="11EA3D96"/>
    <w:rsid w:val="11F87AE5"/>
    <w:rsid w:val="12A64309"/>
    <w:rsid w:val="13315BA7"/>
    <w:rsid w:val="13830CE6"/>
    <w:rsid w:val="14F40071"/>
    <w:rsid w:val="150030B9"/>
    <w:rsid w:val="15475B55"/>
    <w:rsid w:val="157020BA"/>
    <w:rsid w:val="15B71B1D"/>
    <w:rsid w:val="15B87CB7"/>
    <w:rsid w:val="16024CCE"/>
    <w:rsid w:val="16223BC9"/>
    <w:rsid w:val="16783AEC"/>
    <w:rsid w:val="16953304"/>
    <w:rsid w:val="1695469E"/>
    <w:rsid w:val="17141A67"/>
    <w:rsid w:val="171A1C54"/>
    <w:rsid w:val="17471E3D"/>
    <w:rsid w:val="17514A69"/>
    <w:rsid w:val="17BB0135"/>
    <w:rsid w:val="18090EA0"/>
    <w:rsid w:val="18363C5F"/>
    <w:rsid w:val="18B90B18"/>
    <w:rsid w:val="190051C6"/>
    <w:rsid w:val="198C7FDB"/>
    <w:rsid w:val="19A075E2"/>
    <w:rsid w:val="19C90EE9"/>
    <w:rsid w:val="1A091DC2"/>
    <w:rsid w:val="1AA94F5A"/>
    <w:rsid w:val="1AC60382"/>
    <w:rsid w:val="1B3E3557"/>
    <w:rsid w:val="1B6F54BE"/>
    <w:rsid w:val="1BD47334"/>
    <w:rsid w:val="1BDB0DA5"/>
    <w:rsid w:val="1C782A98"/>
    <w:rsid w:val="1CE92A10"/>
    <w:rsid w:val="1D1604CD"/>
    <w:rsid w:val="1D194148"/>
    <w:rsid w:val="1DBA13AB"/>
    <w:rsid w:val="1DCA465F"/>
    <w:rsid w:val="1E2E78B2"/>
    <w:rsid w:val="1E4F2C3F"/>
    <w:rsid w:val="1E546D62"/>
    <w:rsid w:val="1E556E6E"/>
    <w:rsid w:val="1E7D45CD"/>
    <w:rsid w:val="1F3516FD"/>
    <w:rsid w:val="216746B1"/>
    <w:rsid w:val="218F339D"/>
    <w:rsid w:val="21B46000"/>
    <w:rsid w:val="21B46321"/>
    <w:rsid w:val="220B1CB9"/>
    <w:rsid w:val="22625D7D"/>
    <w:rsid w:val="22A00653"/>
    <w:rsid w:val="22E9024C"/>
    <w:rsid w:val="22F9381E"/>
    <w:rsid w:val="23247F0B"/>
    <w:rsid w:val="236B5857"/>
    <w:rsid w:val="23E63575"/>
    <w:rsid w:val="24701527"/>
    <w:rsid w:val="24BE0D44"/>
    <w:rsid w:val="252E63EA"/>
    <w:rsid w:val="25CE3729"/>
    <w:rsid w:val="25F062CF"/>
    <w:rsid w:val="261206FC"/>
    <w:rsid w:val="26510172"/>
    <w:rsid w:val="266556D2"/>
    <w:rsid w:val="268362C1"/>
    <w:rsid w:val="26BF3328"/>
    <w:rsid w:val="26D0586A"/>
    <w:rsid w:val="271334E9"/>
    <w:rsid w:val="27AC7A9A"/>
    <w:rsid w:val="28034597"/>
    <w:rsid w:val="28612632"/>
    <w:rsid w:val="2873292E"/>
    <w:rsid w:val="28C85285"/>
    <w:rsid w:val="28D42E04"/>
    <w:rsid w:val="290D27BA"/>
    <w:rsid w:val="295201CD"/>
    <w:rsid w:val="2984482A"/>
    <w:rsid w:val="299C0347"/>
    <w:rsid w:val="29A4618E"/>
    <w:rsid w:val="2A157B78"/>
    <w:rsid w:val="2A552F76"/>
    <w:rsid w:val="2ADE440E"/>
    <w:rsid w:val="2BBB474F"/>
    <w:rsid w:val="2BD6635D"/>
    <w:rsid w:val="2C3F0EDD"/>
    <w:rsid w:val="2C8B02A3"/>
    <w:rsid w:val="2CF00F19"/>
    <w:rsid w:val="2CFE2B46"/>
    <w:rsid w:val="2E536EC1"/>
    <w:rsid w:val="2EE95803"/>
    <w:rsid w:val="2F7E4C28"/>
    <w:rsid w:val="2FBD0A96"/>
    <w:rsid w:val="2FF6325E"/>
    <w:rsid w:val="304178D7"/>
    <w:rsid w:val="305B205D"/>
    <w:rsid w:val="30FE2DDD"/>
    <w:rsid w:val="319444D0"/>
    <w:rsid w:val="32052280"/>
    <w:rsid w:val="3210344F"/>
    <w:rsid w:val="322C3CB1"/>
    <w:rsid w:val="324E75E7"/>
    <w:rsid w:val="328F232A"/>
    <w:rsid w:val="32A221C5"/>
    <w:rsid w:val="32B1065A"/>
    <w:rsid w:val="32DF1DF7"/>
    <w:rsid w:val="33254A0D"/>
    <w:rsid w:val="336B13C2"/>
    <w:rsid w:val="338C3D33"/>
    <w:rsid w:val="33D74D0E"/>
    <w:rsid w:val="34660E67"/>
    <w:rsid w:val="3529097C"/>
    <w:rsid w:val="35844C0E"/>
    <w:rsid w:val="35C778E0"/>
    <w:rsid w:val="35CE1B6F"/>
    <w:rsid w:val="366D0A0C"/>
    <w:rsid w:val="37094253"/>
    <w:rsid w:val="373F44A3"/>
    <w:rsid w:val="37A92245"/>
    <w:rsid w:val="37C130EE"/>
    <w:rsid w:val="38961E84"/>
    <w:rsid w:val="38A11003"/>
    <w:rsid w:val="38E946AA"/>
    <w:rsid w:val="39730417"/>
    <w:rsid w:val="39BC119D"/>
    <w:rsid w:val="39C403B2"/>
    <w:rsid w:val="39DE5531"/>
    <w:rsid w:val="3A10210A"/>
    <w:rsid w:val="3A2C3E7D"/>
    <w:rsid w:val="3A954331"/>
    <w:rsid w:val="3ACA050B"/>
    <w:rsid w:val="3AE060E3"/>
    <w:rsid w:val="3B74579C"/>
    <w:rsid w:val="3C5A2B95"/>
    <w:rsid w:val="3C821498"/>
    <w:rsid w:val="3C8B26BD"/>
    <w:rsid w:val="3CEC2D22"/>
    <w:rsid w:val="3D744703"/>
    <w:rsid w:val="3E415641"/>
    <w:rsid w:val="3E9B7D4B"/>
    <w:rsid w:val="3EBF181F"/>
    <w:rsid w:val="3F9E5AC2"/>
    <w:rsid w:val="3FB97B2C"/>
    <w:rsid w:val="41286718"/>
    <w:rsid w:val="414A4154"/>
    <w:rsid w:val="41AD023F"/>
    <w:rsid w:val="41E45A02"/>
    <w:rsid w:val="421729DE"/>
    <w:rsid w:val="42A94EAA"/>
    <w:rsid w:val="43A51B15"/>
    <w:rsid w:val="43D44D4F"/>
    <w:rsid w:val="446B0296"/>
    <w:rsid w:val="44D5342A"/>
    <w:rsid w:val="452F78E8"/>
    <w:rsid w:val="455054CE"/>
    <w:rsid w:val="459C771C"/>
    <w:rsid w:val="465F404D"/>
    <w:rsid w:val="46761547"/>
    <w:rsid w:val="467C2B9E"/>
    <w:rsid w:val="46E5026C"/>
    <w:rsid w:val="476B4E24"/>
    <w:rsid w:val="47947ED7"/>
    <w:rsid w:val="483E60F2"/>
    <w:rsid w:val="492B3326"/>
    <w:rsid w:val="49885819"/>
    <w:rsid w:val="498B70B7"/>
    <w:rsid w:val="49E37C6E"/>
    <w:rsid w:val="4CC6456C"/>
    <w:rsid w:val="4CFE56F6"/>
    <w:rsid w:val="4DB210B7"/>
    <w:rsid w:val="4E054890"/>
    <w:rsid w:val="4E4F1D93"/>
    <w:rsid w:val="4F137576"/>
    <w:rsid w:val="4F4915A7"/>
    <w:rsid w:val="4F52322B"/>
    <w:rsid w:val="4F573D80"/>
    <w:rsid w:val="4F9C79A6"/>
    <w:rsid w:val="4FDD43E5"/>
    <w:rsid w:val="50017590"/>
    <w:rsid w:val="500A4D88"/>
    <w:rsid w:val="50B03BC6"/>
    <w:rsid w:val="51A82AC2"/>
    <w:rsid w:val="532A5B93"/>
    <w:rsid w:val="53B81B75"/>
    <w:rsid w:val="53F1269A"/>
    <w:rsid w:val="54071A30"/>
    <w:rsid w:val="54556EA3"/>
    <w:rsid w:val="54C24CFA"/>
    <w:rsid w:val="54FC70BB"/>
    <w:rsid w:val="556B5782"/>
    <w:rsid w:val="556D1D67"/>
    <w:rsid w:val="55784F70"/>
    <w:rsid w:val="5592145A"/>
    <w:rsid w:val="55AD03B6"/>
    <w:rsid w:val="562724ED"/>
    <w:rsid w:val="56417C61"/>
    <w:rsid w:val="56743010"/>
    <w:rsid w:val="56FD660A"/>
    <w:rsid w:val="5860543D"/>
    <w:rsid w:val="58E50AB2"/>
    <w:rsid w:val="59314365"/>
    <w:rsid w:val="59413001"/>
    <w:rsid w:val="59B54286"/>
    <w:rsid w:val="5A0E3B19"/>
    <w:rsid w:val="5A262AF2"/>
    <w:rsid w:val="5A8262B5"/>
    <w:rsid w:val="5A89319F"/>
    <w:rsid w:val="5B0354D7"/>
    <w:rsid w:val="5B1B7851"/>
    <w:rsid w:val="5BEF1728"/>
    <w:rsid w:val="5C440DF2"/>
    <w:rsid w:val="5C910A31"/>
    <w:rsid w:val="5CA93F38"/>
    <w:rsid w:val="5CB309A7"/>
    <w:rsid w:val="5D3C5AD3"/>
    <w:rsid w:val="5DCA5FA9"/>
    <w:rsid w:val="5DD44C9F"/>
    <w:rsid w:val="5DE11544"/>
    <w:rsid w:val="5E12244A"/>
    <w:rsid w:val="5E3F284A"/>
    <w:rsid w:val="5EA04F5B"/>
    <w:rsid w:val="5ED66BCF"/>
    <w:rsid w:val="5EDF74B4"/>
    <w:rsid w:val="5EF105C1"/>
    <w:rsid w:val="5EFB0396"/>
    <w:rsid w:val="5F053010"/>
    <w:rsid w:val="5F2D2AFB"/>
    <w:rsid w:val="5F2D2C93"/>
    <w:rsid w:val="5FAA4512"/>
    <w:rsid w:val="5FBC7B73"/>
    <w:rsid w:val="5FBD1C17"/>
    <w:rsid w:val="5FE07D05"/>
    <w:rsid w:val="6022031E"/>
    <w:rsid w:val="6037544B"/>
    <w:rsid w:val="60635F68"/>
    <w:rsid w:val="60E35CD1"/>
    <w:rsid w:val="61726851"/>
    <w:rsid w:val="625B18C5"/>
    <w:rsid w:val="625B7B17"/>
    <w:rsid w:val="629E0B91"/>
    <w:rsid w:val="62D43BE7"/>
    <w:rsid w:val="63A22296"/>
    <w:rsid w:val="63AB3AFB"/>
    <w:rsid w:val="63D556A7"/>
    <w:rsid w:val="63D970DD"/>
    <w:rsid w:val="651B533C"/>
    <w:rsid w:val="65484E2D"/>
    <w:rsid w:val="657A49C2"/>
    <w:rsid w:val="65F6211F"/>
    <w:rsid w:val="6687372F"/>
    <w:rsid w:val="669B23CD"/>
    <w:rsid w:val="66CC190A"/>
    <w:rsid w:val="670E7BF2"/>
    <w:rsid w:val="67232C6F"/>
    <w:rsid w:val="67650AF0"/>
    <w:rsid w:val="68352BB8"/>
    <w:rsid w:val="68522F5F"/>
    <w:rsid w:val="68955405"/>
    <w:rsid w:val="68AB3AA2"/>
    <w:rsid w:val="68C43551"/>
    <w:rsid w:val="68C9025B"/>
    <w:rsid w:val="69266C56"/>
    <w:rsid w:val="69F124A9"/>
    <w:rsid w:val="6A6032F2"/>
    <w:rsid w:val="6A837C0B"/>
    <w:rsid w:val="6A9C0CCD"/>
    <w:rsid w:val="6B122D3D"/>
    <w:rsid w:val="6B415AAD"/>
    <w:rsid w:val="6B4D2364"/>
    <w:rsid w:val="6B8C0D18"/>
    <w:rsid w:val="6BCD297E"/>
    <w:rsid w:val="6BDD334B"/>
    <w:rsid w:val="6C0B610A"/>
    <w:rsid w:val="6D2307E5"/>
    <w:rsid w:val="6D49739B"/>
    <w:rsid w:val="6D505690"/>
    <w:rsid w:val="6D6A271E"/>
    <w:rsid w:val="6DBB3B60"/>
    <w:rsid w:val="6DCD1231"/>
    <w:rsid w:val="6E5024FA"/>
    <w:rsid w:val="6EEB1F42"/>
    <w:rsid w:val="6F7C2E7B"/>
    <w:rsid w:val="6F975DD8"/>
    <w:rsid w:val="6FB47B51"/>
    <w:rsid w:val="6FF907FA"/>
    <w:rsid w:val="706202C3"/>
    <w:rsid w:val="70C461FD"/>
    <w:rsid w:val="70EF1A3E"/>
    <w:rsid w:val="71153587"/>
    <w:rsid w:val="714065A2"/>
    <w:rsid w:val="71A462ED"/>
    <w:rsid w:val="71F00744"/>
    <w:rsid w:val="72646315"/>
    <w:rsid w:val="72D3103B"/>
    <w:rsid w:val="738F2526"/>
    <w:rsid w:val="73C36130"/>
    <w:rsid w:val="741759F9"/>
    <w:rsid w:val="743261FE"/>
    <w:rsid w:val="74D95E56"/>
    <w:rsid w:val="75CB06B8"/>
    <w:rsid w:val="75E32780"/>
    <w:rsid w:val="768C42EB"/>
    <w:rsid w:val="773B0281"/>
    <w:rsid w:val="77843214"/>
    <w:rsid w:val="78024BE7"/>
    <w:rsid w:val="780649BD"/>
    <w:rsid w:val="78DF44D7"/>
    <w:rsid w:val="78E7743A"/>
    <w:rsid w:val="78EE4DE9"/>
    <w:rsid w:val="7940612A"/>
    <w:rsid w:val="7967201E"/>
    <w:rsid w:val="79971DA5"/>
    <w:rsid w:val="7A187C44"/>
    <w:rsid w:val="7A614BD3"/>
    <w:rsid w:val="7AC35E02"/>
    <w:rsid w:val="7ADF62B5"/>
    <w:rsid w:val="7AFC14FE"/>
    <w:rsid w:val="7C1522F7"/>
    <w:rsid w:val="7CEF233B"/>
    <w:rsid w:val="7CF76237"/>
    <w:rsid w:val="7D673FEE"/>
    <w:rsid w:val="7D9A0080"/>
    <w:rsid w:val="7F174739"/>
    <w:rsid w:val="7F1B26B0"/>
    <w:rsid w:val="7F4219EB"/>
    <w:rsid w:val="7F9E0C0F"/>
    <w:rsid w:val="7FBA12C1"/>
    <w:rsid w:val="7FDD1830"/>
    <w:rsid w:val="7FE33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qFormat/>
    <w:uiPriority w:val="0"/>
    <w:pPr>
      <w:adjustRightInd w:val="0"/>
      <w:spacing w:after="120" w:afterLines="0" w:line="310" w:lineRule="exact"/>
    </w:pPr>
    <w:rPr>
      <w:rFonts w:eastAsia="宋体"/>
      <w:szCs w:val="20"/>
    </w:rPr>
  </w:style>
  <w:style w:type="paragraph" w:styleId="4">
    <w:name w:val="Plain Text"/>
    <w:basedOn w:val="1"/>
    <w:autoRedefine/>
    <w:qFormat/>
    <w:uiPriority w:val="0"/>
    <w:rPr>
      <w:rFonts w:ascii="宋体" w:hAnsi="Courier New" w:eastAsia="宋体"/>
      <w:szCs w:val="20"/>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line="280" w:lineRule="exact"/>
    </w:pPr>
    <w:rPr>
      <w:rFonts w:eastAsia="仿宋_GB2312"/>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准文件_字母编号列项"/>
    <w:autoRedefine/>
    <w:qFormat/>
    <w:uiPriority w:val="0"/>
    <w:pPr>
      <w:spacing w:line="300" w:lineRule="exact"/>
      <w:ind w:left="370" w:leftChars="170" w:right="-50" w:rightChars="-50" w:hanging="200" w:hangingChars="200"/>
      <w:jc w:val="both"/>
    </w:pPr>
    <w:rPr>
      <w:rFonts w:ascii="宋体" w:hAnsi="Times New Roman" w:eastAsia="宋体" w:cs="Times New Roman"/>
      <w:sz w:val="21"/>
      <w:lang w:val="en-US" w:eastAsia="zh-CN" w:bidi="ar-SA"/>
    </w:rPr>
  </w:style>
  <w:style w:type="paragraph" w:customStyle="1" w:styleId="12">
    <w:name w:val="标准文件_一级条标题"/>
    <w:basedOn w:val="13"/>
    <w:next w:val="14"/>
    <w:autoRedefine/>
    <w:qFormat/>
    <w:uiPriority w:val="0"/>
    <w:pPr>
      <w:numPr>
        <w:ilvl w:val="2"/>
      </w:numPr>
      <w:spacing w:beforeLines="0" w:afterLines="0"/>
      <w:outlineLvl w:val="2"/>
    </w:pPr>
  </w:style>
  <w:style w:type="paragraph" w:customStyle="1" w:styleId="13">
    <w:name w:val="标准文件_章标题"/>
    <w:next w:val="14"/>
    <w:autoRedefine/>
    <w:qFormat/>
    <w:uiPriority w:val="0"/>
    <w:pPr>
      <w:numPr>
        <w:ilvl w:val="1"/>
        <w:numId w:val="1"/>
      </w:numPr>
      <w:spacing w:beforeLines="50" w:afterLines="50"/>
      <w:ind w:left="360" w:right="-50" w:rightChars="-50"/>
      <w:jc w:val="both"/>
      <w:outlineLvl w:val="1"/>
    </w:pPr>
    <w:rPr>
      <w:rFonts w:ascii="黑体" w:hAnsi="Times New Roman" w:eastAsia="黑体" w:cs="Times New Roman"/>
      <w:spacing w:val="2"/>
      <w:sz w:val="21"/>
      <w:lang w:val="en-US" w:eastAsia="zh-CN" w:bidi="ar-SA"/>
    </w:rPr>
  </w:style>
  <w:style w:type="paragraph" w:customStyle="1" w:styleId="14">
    <w:name w:val="标准文件_段"/>
    <w:autoRedefine/>
    <w:qFormat/>
    <w:uiPriority w:val="0"/>
    <w:pPr>
      <w:tabs>
        <w:tab w:val="left" w:pos="176"/>
      </w:tabs>
      <w:autoSpaceDE w:val="0"/>
      <w:autoSpaceDN w:val="0"/>
      <w:adjustRightInd w:val="0"/>
      <w:snapToGrid w:val="0"/>
      <w:spacing w:before="240"/>
      <w:ind w:left="176" w:leftChars="84" w:right="252" w:rightChars="120"/>
      <w:jc w:val="both"/>
    </w:pPr>
    <w:rPr>
      <w:rFonts w:ascii="宋体" w:hAnsi="宋体" w:eastAsia="宋体" w:cs="Times New Roman"/>
      <w:spacing w:val="-12"/>
      <w:sz w:val="30"/>
      <w:szCs w:val="30"/>
      <w:lang w:val="en-US" w:eastAsia="zh-CN" w:bidi="ar-SA"/>
    </w:rPr>
  </w:style>
  <w:style w:type="paragraph" w:customStyle="1" w:styleId="15">
    <w:name w:val="标准文件_二级条标题"/>
    <w:basedOn w:val="12"/>
    <w:next w:val="14"/>
    <w:autoRedefine/>
    <w:qFormat/>
    <w:uiPriority w:val="0"/>
    <w:pPr>
      <w:numPr>
        <w:ilvl w:val="3"/>
      </w:numPr>
      <w:outlineLvl w:val="3"/>
    </w:p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 w:type="paragraph" w:customStyle="1" w:styleId="17">
    <w:name w:val="WPSOffice手动目录 2"/>
    <w:qFormat/>
    <w:uiPriority w:val="0"/>
    <w:pPr>
      <w:ind w:leftChars="200"/>
    </w:pPr>
    <w:rPr>
      <w:rFonts w:asciiTheme="minorHAnsi" w:hAnsiTheme="minorHAnsi" w:eastAsiaTheme="minorEastAsia" w:cstheme="minorBidi"/>
      <w:sz w:val="20"/>
      <w:szCs w:val="20"/>
    </w:rPr>
  </w:style>
  <w:style w:type="character" w:customStyle="1" w:styleId="18">
    <w:name w:val="font41"/>
    <w:basedOn w:val="10"/>
    <w:qFormat/>
    <w:uiPriority w:val="0"/>
    <w:rPr>
      <w:rFonts w:hint="eastAsia" w:ascii="仿宋_GB2312" w:eastAsia="仿宋_GB2312" w:cs="仿宋_GB2312"/>
      <w:color w:val="000000"/>
      <w:sz w:val="21"/>
      <w:szCs w:val="21"/>
      <w:u w:val="none"/>
    </w:rPr>
  </w:style>
  <w:style w:type="character" w:customStyle="1" w:styleId="19">
    <w:name w:val="font31"/>
    <w:basedOn w:val="10"/>
    <w:qFormat/>
    <w:uiPriority w:val="0"/>
    <w:rPr>
      <w:rFonts w:hint="eastAsia"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6.jpeg"/><Relationship Id="rId33" Type="http://schemas.openxmlformats.org/officeDocument/2006/relationships/image" Target="media/image5.jpeg"/><Relationship Id="rId32" Type="http://schemas.openxmlformats.org/officeDocument/2006/relationships/image" Target="media/image4.jpeg"/><Relationship Id="rId31" Type="http://schemas.openxmlformats.org/officeDocument/2006/relationships/image" Target="media/image3.png"/><Relationship Id="rId30" Type="http://schemas.openxmlformats.org/officeDocument/2006/relationships/image" Target="media/image2.jpeg"/><Relationship Id="rId3" Type="http://schemas.openxmlformats.org/officeDocument/2006/relationships/header" Target="header1.xml"/><Relationship Id="rId29" Type="http://schemas.openxmlformats.org/officeDocument/2006/relationships/image" Target="media/image1.wmf"/><Relationship Id="rId28" Type="http://schemas.openxmlformats.org/officeDocument/2006/relationships/oleObject" Target="embeddings/oleObject1.bin"/><Relationship Id="rId27" Type="http://schemas.openxmlformats.org/officeDocument/2006/relationships/theme" Target="theme/theme1.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4670</Words>
  <Characters>5788</Characters>
  <Lines>0</Lines>
  <Paragraphs>0</Paragraphs>
  <TotalTime>0</TotalTime>
  <ScaleCrop>false</ScaleCrop>
  <LinksUpToDate>false</LinksUpToDate>
  <CharactersWithSpaces>6096</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2024-04-30T03:26:00Z</dcterms:created>
  <dc:creator>Administrator</dc:creator>
  <cp:lastModifiedBy>悠悠芭蕉叶</cp:lastModifiedBy>
  <cp:lastPrinted>2025-09-19T01:30:00Z</cp:lastPrinted>
  <dcterms:modified xsi:type="dcterms:W3CDTF">2025-09-19T01:33:55Z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B0A2929D8BB445EFAA4574F76AAAAD6B_12</vt:lpwstr>
  </property>
  <property fmtid="{D5CDD505-2E9C-101B-9397-08002B2CF9AE}" pid="4" name="KSOTemplateDocerSaveRecord">
    <vt:lpwstr>eyJoZGlkIjoiNDliNWM0ZTE5NTFkMjJiOGIzYTE5YWMzZWRhNzcxNTYiLCJ1c2VySWQiOiI1NDM0NDU0NDUifQ==</vt:lpwstr>
  </property>
</Properties>
</file>