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1"/>
        <w:tblW w:w="13181" w:type="dxa"/>
        <w:jc w:val="center"/>
        <w:tblLayout w:type="fixed"/>
        <w:tblCellMar>
          <w:top w:w="0" w:type="dxa"/>
          <w:left w:w="0" w:type="dxa"/>
          <w:bottom w:w="0" w:type="dxa"/>
          <w:right w:w="0" w:type="dxa"/>
        </w:tblCellMar>
      </w:tblPr>
      <w:tblGrid>
        <w:gridCol w:w="600"/>
        <w:gridCol w:w="1699"/>
        <w:gridCol w:w="1250"/>
        <w:gridCol w:w="2211"/>
        <w:gridCol w:w="675"/>
        <w:gridCol w:w="5523"/>
        <w:gridCol w:w="1223"/>
      </w:tblGrid>
      <w:tr>
        <w:tblPrEx>
          <w:tblCellMar>
            <w:top w:w="0" w:type="dxa"/>
            <w:left w:w="0" w:type="dxa"/>
            <w:bottom w:w="0" w:type="dxa"/>
            <w:right w:w="0" w:type="dxa"/>
          </w:tblCellMar>
        </w:tblPrEx>
        <w:trPr>
          <w:trHeight w:val="250" w:hRule="atLeast"/>
          <w:jc w:val="center"/>
        </w:trPr>
        <w:tc>
          <w:tcPr>
            <w:tcW w:w="13181" w:type="dxa"/>
            <w:gridSpan w:val="7"/>
            <w:tcBorders>
              <w:top w:val="nil"/>
              <w:left w:val="nil"/>
              <w:bottom w:val="nil"/>
              <w:right w:val="nil"/>
            </w:tcBorders>
          </w:tcPr>
          <w:p>
            <w:pPr>
              <w:widowControl/>
              <w:jc w:val="center"/>
              <w:textAlignment w:val="center"/>
              <w:rPr>
                <w:rFonts w:ascii="宋体" w:hAnsi="宋体"/>
                <w:b/>
                <w:kern w:val="0"/>
                <w:sz w:val="32"/>
                <w:szCs w:val="32"/>
                <w:u w:val="single"/>
                <w:lang w:bidi="ar"/>
              </w:rPr>
            </w:pPr>
            <w:r>
              <w:rPr>
                <w:rFonts w:hint="eastAsia" w:ascii="宋体" w:hAnsi="宋体"/>
                <w:b/>
                <w:kern w:val="0"/>
                <w:sz w:val="32"/>
                <w:szCs w:val="32"/>
                <w:u w:val="none"/>
                <w:lang w:val="en-US" w:eastAsia="zh-CN" w:bidi="ar"/>
              </w:rPr>
              <w:t>2024年2</w:t>
            </w:r>
            <w:r>
              <w:rPr>
                <w:rFonts w:hint="eastAsia" w:ascii="宋体" w:hAnsi="宋体"/>
                <w:b/>
                <w:kern w:val="0"/>
                <w:sz w:val="32"/>
                <w:szCs w:val="32"/>
                <w:u w:val="none"/>
                <w:lang w:bidi="ar"/>
              </w:rPr>
              <w:t>季度</w:t>
            </w:r>
            <w:r>
              <w:rPr>
                <w:rFonts w:hint="eastAsia" w:ascii="宋体" w:hAnsi="宋体"/>
                <w:b/>
                <w:kern w:val="0"/>
                <w:sz w:val="32"/>
                <w:szCs w:val="32"/>
                <w:lang w:bidi="ar"/>
              </w:rPr>
              <w:t>工作考核评分表</w:t>
            </w:r>
          </w:p>
        </w:tc>
      </w:tr>
      <w:tr>
        <w:tblPrEx>
          <w:tblCellMar>
            <w:top w:w="0" w:type="dxa"/>
            <w:left w:w="0" w:type="dxa"/>
            <w:bottom w:w="0" w:type="dxa"/>
            <w:right w:w="0" w:type="dxa"/>
          </w:tblCellMar>
        </w:tblPrEx>
        <w:trPr>
          <w:trHeight w:val="125" w:hRule="atLeast"/>
          <w:jc w:val="center"/>
        </w:trPr>
        <w:tc>
          <w:tcPr>
            <w:tcW w:w="11958" w:type="dxa"/>
            <w:gridSpan w:val="6"/>
            <w:tcBorders>
              <w:top w:val="nil"/>
              <w:left w:val="nil"/>
              <w:bottom w:val="single" w:color="auto" w:sz="4" w:space="0"/>
              <w:right w:val="nil"/>
            </w:tcBorders>
            <w:vAlign w:val="center"/>
          </w:tcPr>
          <w:p>
            <w:pPr>
              <w:rPr>
                <w:rFonts w:hint="eastAsia" w:ascii="仿宋" w:hAnsi="仿宋" w:eastAsia="仿宋" w:cs="仿宋"/>
                <w:sz w:val="22"/>
                <w:lang w:eastAsia="zh-CN"/>
              </w:rPr>
            </w:pPr>
            <w:r>
              <w:rPr>
                <w:rFonts w:hint="eastAsia" w:ascii="仿宋" w:hAnsi="仿宋" w:eastAsia="仿宋" w:cs="仿宋"/>
                <w:b/>
                <w:kern w:val="0"/>
                <w:sz w:val="22"/>
                <w:lang w:bidi="ar"/>
              </w:rPr>
              <w:t>部门名称：</w:t>
            </w:r>
            <w:r>
              <w:rPr>
                <w:rFonts w:hint="eastAsia" w:ascii="仿宋" w:hAnsi="仿宋" w:eastAsia="仿宋" w:cs="仿宋"/>
                <w:b/>
                <w:kern w:val="0"/>
                <w:sz w:val="22"/>
                <w:lang w:eastAsia="zh-CN" w:bidi="ar"/>
              </w:rPr>
              <w:t>资本运营部</w:t>
            </w:r>
          </w:p>
        </w:tc>
        <w:tc>
          <w:tcPr>
            <w:tcW w:w="1223" w:type="dxa"/>
            <w:tcBorders>
              <w:top w:val="nil"/>
              <w:left w:val="nil"/>
              <w:bottom w:val="single" w:color="auto" w:sz="4" w:space="0"/>
              <w:right w:val="nil"/>
            </w:tcBorders>
            <w:vAlign w:val="center"/>
          </w:tcPr>
          <w:p>
            <w:pPr>
              <w:rPr>
                <w:rFonts w:ascii="仿宋" w:hAnsi="仿宋" w:eastAsia="仿宋" w:cs="仿宋"/>
                <w:b/>
                <w:kern w:val="0"/>
                <w:sz w:val="22"/>
                <w:lang w:bidi="ar"/>
              </w:rPr>
            </w:pPr>
          </w:p>
        </w:tc>
      </w:tr>
      <w:tr>
        <w:tblPrEx>
          <w:tblCellMar>
            <w:top w:w="0" w:type="dxa"/>
            <w:left w:w="0" w:type="dxa"/>
            <w:bottom w:w="0" w:type="dxa"/>
            <w:right w:w="0" w:type="dxa"/>
          </w:tblCellMar>
        </w:tblPrEx>
        <w:trPr>
          <w:trHeight w:val="632" w:hRule="atLeast"/>
          <w:jc w:val="center"/>
        </w:trPr>
        <w:tc>
          <w:tcPr>
            <w:tcW w:w="600" w:type="dxa"/>
            <w:tcBorders>
              <w:top w:val="single" w:color="auto" w:sz="4" w:space="0"/>
              <w:left w:val="nil"/>
              <w:bottom w:val="single" w:color="auto" w:sz="4" w:space="0"/>
              <w:right w:val="single" w:color="auto" w:sz="4" w:space="0"/>
            </w:tcBorders>
            <w:tcMar>
              <w:top w:w="15" w:type="dxa"/>
              <w:left w:w="15" w:type="dxa"/>
              <w:right w:w="15" w:type="dxa"/>
            </w:tcMar>
            <w:vAlign w:val="center"/>
          </w:tcPr>
          <w:p>
            <w:pPr>
              <w:widowControl/>
              <w:jc w:val="center"/>
              <w:textAlignment w:val="center"/>
              <w:rPr>
                <w:rFonts w:ascii="仿宋" w:hAnsi="仿宋" w:eastAsia="仿宋" w:cs="仿宋"/>
                <w:b/>
                <w:sz w:val="24"/>
                <w:szCs w:val="24"/>
              </w:rPr>
            </w:pPr>
            <w:r>
              <w:rPr>
                <w:rFonts w:hint="eastAsia" w:ascii="仿宋" w:hAnsi="仿宋" w:eastAsia="仿宋" w:cs="仿宋"/>
                <w:b/>
                <w:kern w:val="0"/>
                <w:sz w:val="24"/>
                <w:szCs w:val="24"/>
                <w:lang w:bidi="ar"/>
              </w:rPr>
              <w:t>序号</w:t>
            </w:r>
          </w:p>
        </w:tc>
        <w:tc>
          <w:tcPr>
            <w:tcW w:w="169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jc w:val="center"/>
              <w:textAlignment w:val="center"/>
              <w:rPr>
                <w:rFonts w:ascii="仿宋" w:hAnsi="仿宋" w:eastAsia="仿宋" w:cs="仿宋"/>
                <w:b/>
                <w:sz w:val="20"/>
                <w:szCs w:val="20"/>
              </w:rPr>
            </w:pPr>
            <w:r>
              <w:rPr>
                <w:rFonts w:hint="eastAsia" w:ascii="仿宋" w:hAnsi="仿宋" w:eastAsia="仿宋" w:cs="仿宋"/>
                <w:b/>
                <w:sz w:val="20"/>
                <w:szCs w:val="20"/>
              </w:rPr>
              <w:t>类别</w:t>
            </w:r>
          </w:p>
        </w:tc>
        <w:tc>
          <w:tcPr>
            <w:tcW w:w="125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jc w:val="center"/>
              <w:textAlignment w:val="center"/>
              <w:rPr>
                <w:rFonts w:ascii="仿宋" w:hAnsi="仿宋" w:eastAsia="仿宋" w:cs="仿宋"/>
              </w:rPr>
            </w:pPr>
            <w:r>
              <w:rPr>
                <w:rFonts w:hint="eastAsia" w:ascii="仿宋" w:hAnsi="仿宋" w:eastAsia="仿宋" w:cs="仿宋"/>
                <w:b/>
                <w:kern w:val="0"/>
                <w:sz w:val="20"/>
                <w:szCs w:val="20"/>
                <w:lang w:bidi="ar"/>
              </w:rPr>
              <w:t>指标名称</w:t>
            </w:r>
          </w:p>
        </w:tc>
        <w:tc>
          <w:tcPr>
            <w:tcW w:w="221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仿宋" w:hAnsi="仿宋" w:eastAsia="仿宋" w:cs="仿宋"/>
                <w:b/>
                <w:kern w:val="0"/>
                <w:sz w:val="20"/>
                <w:szCs w:val="20"/>
                <w:lang w:bidi="ar"/>
              </w:rPr>
            </w:pPr>
            <w:r>
              <w:rPr>
                <w:rFonts w:hint="eastAsia" w:ascii="仿宋" w:hAnsi="仿宋" w:eastAsia="仿宋" w:cs="仿宋"/>
                <w:b/>
                <w:kern w:val="0"/>
                <w:sz w:val="20"/>
                <w:szCs w:val="20"/>
                <w:lang w:bidi="ar"/>
              </w:rPr>
              <w:t>目标</w:t>
            </w:r>
          </w:p>
        </w:tc>
        <w:tc>
          <w:tcPr>
            <w:tcW w:w="67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widowControl/>
              <w:jc w:val="center"/>
              <w:textAlignment w:val="center"/>
              <w:rPr>
                <w:rFonts w:ascii="仿宋" w:hAnsi="仿宋" w:eastAsia="仿宋" w:cs="仿宋"/>
                <w:b/>
                <w:sz w:val="20"/>
                <w:szCs w:val="20"/>
              </w:rPr>
            </w:pPr>
            <w:r>
              <w:rPr>
                <w:rFonts w:hint="eastAsia" w:ascii="仿宋" w:hAnsi="仿宋" w:eastAsia="仿宋" w:cs="仿宋"/>
                <w:b/>
                <w:kern w:val="0"/>
                <w:sz w:val="20"/>
                <w:szCs w:val="20"/>
                <w:lang w:bidi="ar"/>
              </w:rPr>
              <w:t>权重</w:t>
            </w:r>
          </w:p>
        </w:tc>
        <w:tc>
          <w:tcPr>
            <w:tcW w:w="5523" w:type="dxa"/>
            <w:tcBorders>
              <w:top w:val="single" w:color="auto" w:sz="4" w:space="0"/>
              <w:left w:val="single" w:color="auto" w:sz="4" w:space="0"/>
              <w:bottom w:val="single" w:color="auto" w:sz="4" w:space="0"/>
              <w:right w:val="nil"/>
            </w:tcBorders>
            <w:tcMar>
              <w:top w:w="15" w:type="dxa"/>
              <w:left w:w="15" w:type="dxa"/>
              <w:right w:w="15" w:type="dxa"/>
            </w:tcMar>
            <w:vAlign w:val="center"/>
          </w:tcPr>
          <w:p>
            <w:pPr>
              <w:widowControl/>
              <w:jc w:val="center"/>
              <w:textAlignment w:val="center"/>
              <w:rPr>
                <w:rFonts w:hint="eastAsia" w:ascii="仿宋" w:hAnsi="仿宋" w:eastAsia="仿宋" w:cs="仿宋"/>
                <w:b/>
                <w:kern w:val="0"/>
                <w:sz w:val="20"/>
                <w:szCs w:val="20"/>
                <w:lang w:eastAsia="zh-CN" w:bidi="ar"/>
              </w:rPr>
            </w:pPr>
            <w:r>
              <w:rPr>
                <w:rFonts w:hint="eastAsia" w:ascii="仿宋" w:hAnsi="仿宋" w:eastAsia="仿宋" w:cs="仿宋"/>
                <w:b/>
                <w:kern w:val="0"/>
                <w:sz w:val="20"/>
                <w:szCs w:val="20"/>
                <w:lang w:bidi="ar"/>
              </w:rPr>
              <w:t>备注和简要说明</w:t>
            </w:r>
          </w:p>
          <w:p>
            <w:pPr>
              <w:widowControl/>
              <w:jc w:val="center"/>
              <w:textAlignment w:val="center"/>
              <w:rPr>
                <w:rFonts w:ascii="仿宋" w:hAnsi="仿宋" w:eastAsia="仿宋" w:cs="仿宋"/>
                <w:b/>
                <w:sz w:val="20"/>
                <w:szCs w:val="20"/>
              </w:rPr>
            </w:pPr>
            <w:r>
              <w:rPr>
                <w:rFonts w:hint="eastAsia" w:ascii="仿宋" w:hAnsi="仿宋" w:eastAsia="仿宋" w:cs="仿宋"/>
                <w:b/>
                <w:kern w:val="0"/>
                <w:sz w:val="20"/>
                <w:szCs w:val="20"/>
                <w:lang w:bidi="ar"/>
              </w:rPr>
              <w:t>（已完成证明材料、未完成原因，可另附附件）</w:t>
            </w:r>
          </w:p>
        </w:tc>
        <w:tc>
          <w:tcPr>
            <w:tcW w:w="1223" w:type="dxa"/>
            <w:tcBorders>
              <w:top w:val="single" w:color="auto" w:sz="4" w:space="0"/>
              <w:left w:val="single" w:color="auto" w:sz="4" w:space="0"/>
              <w:bottom w:val="single" w:color="auto" w:sz="4" w:space="0"/>
              <w:right w:val="nil"/>
            </w:tcBorders>
            <w:tcMar>
              <w:top w:w="15" w:type="dxa"/>
              <w:left w:w="15" w:type="dxa"/>
              <w:right w:w="15" w:type="dxa"/>
            </w:tcMar>
            <w:vAlign w:val="center"/>
          </w:tcPr>
          <w:p>
            <w:pPr>
              <w:widowControl/>
              <w:jc w:val="center"/>
              <w:textAlignment w:val="center"/>
              <w:rPr>
                <w:rFonts w:ascii="仿宋" w:hAnsi="仿宋" w:eastAsia="仿宋" w:cs="仿宋"/>
                <w:b/>
                <w:kern w:val="0"/>
                <w:sz w:val="20"/>
                <w:szCs w:val="20"/>
                <w:lang w:bidi="ar"/>
              </w:rPr>
            </w:pPr>
            <w:r>
              <w:rPr>
                <w:rFonts w:hint="eastAsia" w:ascii="仿宋" w:hAnsi="仿宋" w:eastAsia="仿宋" w:cs="仿宋"/>
                <w:b/>
                <w:kern w:val="0"/>
                <w:sz w:val="20"/>
                <w:szCs w:val="20"/>
                <w:lang w:bidi="ar"/>
              </w:rPr>
              <w:t>考核评分</w:t>
            </w:r>
          </w:p>
        </w:tc>
      </w:tr>
      <w:tr>
        <w:tblPrEx>
          <w:tblCellMar>
            <w:top w:w="0" w:type="dxa"/>
            <w:left w:w="0" w:type="dxa"/>
            <w:bottom w:w="0" w:type="dxa"/>
            <w:right w:w="0" w:type="dxa"/>
          </w:tblCellMar>
        </w:tblPrEx>
        <w:trPr>
          <w:trHeight w:val="1677" w:hRule="exact"/>
          <w:jc w:val="center"/>
        </w:trPr>
        <w:tc>
          <w:tcPr>
            <w:tcW w:w="600" w:type="dxa"/>
            <w:tcBorders>
              <w:top w:val="single" w:color="auto" w:sz="4" w:space="0"/>
              <w:left w:val="nil"/>
              <w:bottom w:val="single" w:color="auto" w:sz="4" w:space="0"/>
              <w:right w:val="single" w:color="auto"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仿宋" w:hAnsi="仿宋" w:eastAsia="仿宋" w:cs="仿宋"/>
                <w:sz w:val="24"/>
                <w:szCs w:val="24"/>
              </w:rPr>
            </w:pPr>
            <w:r>
              <w:rPr>
                <w:rFonts w:hint="eastAsia" w:ascii="仿宋" w:hAnsi="仿宋" w:eastAsia="仿宋" w:cs="仿宋"/>
                <w:kern w:val="0"/>
                <w:sz w:val="24"/>
                <w:szCs w:val="24"/>
                <w:lang w:bidi="ar"/>
              </w:rPr>
              <w:t>1</w:t>
            </w:r>
          </w:p>
        </w:tc>
        <w:tc>
          <w:tcPr>
            <w:tcW w:w="1699"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仿宋" w:hAnsi="仿宋" w:eastAsia="仿宋" w:cs="仿宋"/>
                <w:b/>
                <w:bCs/>
                <w:szCs w:val="21"/>
              </w:rPr>
            </w:pPr>
            <w:r>
              <w:rPr>
                <w:rFonts w:hint="eastAsia" w:ascii="仿宋" w:hAnsi="仿宋" w:eastAsia="仿宋" w:cs="仿宋"/>
                <w:b/>
                <w:bCs/>
                <w:szCs w:val="21"/>
              </w:rPr>
              <w:t>KPI指标</w:t>
            </w:r>
          </w:p>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仿宋" w:hAnsi="仿宋" w:eastAsia="仿宋" w:cs="仿宋"/>
                <w:szCs w:val="21"/>
              </w:rPr>
            </w:pPr>
            <w:r>
              <w:rPr>
                <w:rFonts w:hint="eastAsia" w:ascii="仿宋" w:hAnsi="仿宋" w:eastAsia="仿宋" w:cs="仿宋"/>
                <w:b/>
                <w:bCs/>
                <w:szCs w:val="21"/>
              </w:rPr>
              <w:t>（定量描述具体指标为主）</w:t>
            </w:r>
          </w:p>
        </w:tc>
        <w:tc>
          <w:tcPr>
            <w:tcW w:w="125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财务和创新孵化投资</w:t>
            </w:r>
          </w:p>
        </w:tc>
        <w:tc>
          <w:tcPr>
            <w:tcW w:w="221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仿宋" w:hAnsi="仿宋" w:eastAsia="仿宋" w:cs="仿宋"/>
                <w:sz w:val="20"/>
                <w:szCs w:val="20"/>
                <w:lang w:val="en-US" w:eastAsia="zh-CN"/>
              </w:rPr>
            </w:pPr>
            <w:r>
              <w:rPr>
                <w:rFonts w:hint="eastAsia" w:ascii="仿宋" w:hAnsi="仿宋" w:eastAsia="仿宋" w:cs="仿宋"/>
                <w:sz w:val="20"/>
                <w:szCs w:val="20"/>
              </w:rPr>
              <w:t>完成3个</w:t>
            </w:r>
            <w:r>
              <w:rPr>
                <w:rFonts w:hint="eastAsia" w:ascii="仿宋" w:hAnsi="仿宋" w:eastAsia="仿宋" w:cs="仿宋"/>
                <w:sz w:val="20"/>
                <w:szCs w:val="20"/>
                <w:lang w:eastAsia="zh-CN"/>
              </w:rPr>
              <w:t>基金投资</w:t>
            </w:r>
            <w:r>
              <w:rPr>
                <w:rFonts w:hint="eastAsia" w:ascii="仿宋" w:hAnsi="仿宋" w:eastAsia="仿宋" w:cs="仿宋"/>
                <w:sz w:val="20"/>
                <w:szCs w:val="20"/>
              </w:rPr>
              <w:t>项目</w:t>
            </w:r>
            <w:r>
              <w:rPr>
                <w:rFonts w:hint="eastAsia" w:ascii="仿宋" w:hAnsi="仿宋" w:eastAsia="仿宋" w:cs="仿宋"/>
                <w:sz w:val="20"/>
                <w:szCs w:val="20"/>
                <w:lang w:eastAsia="zh-CN"/>
              </w:rPr>
              <w:t>的</w:t>
            </w:r>
            <w:r>
              <w:rPr>
                <w:rFonts w:hint="eastAsia" w:ascii="仿宋" w:hAnsi="仿宋" w:eastAsia="仿宋" w:cs="仿宋"/>
                <w:sz w:val="20"/>
                <w:szCs w:val="20"/>
              </w:rPr>
              <w:t>初评，1-2个新项目立项，1-2个项目的集团投决</w:t>
            </w:r>
            <w:r>
              <w:rPr>
                <w:rFonts w:hint="eastAsia" w:ascii="仿宋" w:hAnsi="仿宋" w:eastAsia="仿宋" w:cs="仿宋"/>
                <w:sz w:val="20"/>
                <w:szCs w:val="20"/>
                <w:lang w:eastAsia="zh-CN"/>
              </w:rPr>
              <w:t>。</w:t>
            </w:r>
          </w:p>
        </w:tc>
        <w:tc>
          <w:tcPr>
            <w:tcW w:w="67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10%</w:t>
            </w:r>
          </w:p>
        </w:tc>
        <w:tc>
          <w:tcPr>
            <w:tcW w:w="5523" w:type="dxa"/>
            <w:tcBorders>
              <w:top w:val="single" w:color="auto" w:sz="4" w:space="0"/>
              <w:left w:val="single" w:color="auto" w:sz="4" w:space="0"/>
              <w:bottom w:val="single" w:color="auto" w:sz="4" w:space="0"/>
              <w:right w:val="nil"/>
            </w:tcBorders>
            <w:noWrap/>
            <w:tcMar>
              <w:top w:w="15" w:type="dxa"/>
              <w:left w:w="15" w:type="dxa"/>
              <w:right w:w="15" w:type="dxa"/>
            </w:tcMar>
            <w:vAlign w:val="center"/>
          </w:tcPr>
          <w:p>
            <w:pPr>
              <w:keepNext w:val="0"/>
              <w:keepLines w:val="0"/>
              <w:pageBreakBefore w:val="0"/>
              <w:widowControl/>
              <w:numPr>
                <w:ilvl w:val="0"/>
                <w:numId w:val="0"/>
              </w:numPr>
              <w:kinsoku/>
              <w:wordWrap/>
              <w:overflowPunct/>
              <w:topLinePunct w:val="0"/>
              <w:autoSpaceDE/>
              <w:autoSpaceDN/>
              <w:bidi w:val="0"/>
              <w:adjustRightInd/>
              <w:snapToGrid/>
              <w:spacing w:line="300" w:lineRule="exact"/>
              <w:jc w:val="left"/>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部分完成。具体情况如下：</w:t>
            </w:r>
          </w:p>
          <w:p>
            <w:pPr>
              <w:keepNext w:val="0"/>
              <w:keepLines w:val="0"/>
              <w:pageBreakBefore w:val="0"/>
              <w:widowControl/>
              <w:numPr>
                <w:ilvl w:val="0"/>
                <w:numId w:val="0"/>
              </w:numPr>
              <w:kinsoku/>
              <w:wordWrap/>
              <w:overflowPunct/>
              <w:topLinePunct w:val="0"/>
              <w:autoSpaceDE/>
              <w:autoSpaceDN/>
              <w:bidi w:val="0"/>
              <w:adjustRightInd/>
              <w:snapToGrid/>
              <w:spacing w:line="300" w:lineRule="exact"/>
              <w:jc w:val="left"/>
            </w:pPr>
            <w:r>
              <w:rPr>
                <w:rFonts w:hint="eastAsia" w:ascii="仿宋" w:hAnsi="仿宋" w:eastAsia="仿宋" w:cs="仿宋"/>
                <w:sz w:val="20"/>
                <w:szCs w:val="20"/>
                <w:lang w:val="en-US" w:eastAsia="zh-CN"/>
              </w:rPr>
              <w:t>1.已完成上海赛美特、核芯互联、恩玖科技等3个项目的初评；2.已完成核芯互联、思创激光2个项目的立项；</w:t>
            </w:r>
          </w:p>
          <w:p>
            <w:pPr>
              <w:keepNext w:val="0"/>
              <w:keepLines w:val="0"/>
              <w:pageBreakBefore w:val="0"/>
              <w:widowControl/>
              <w:numPr>
                <w:ilvl w:val="0"/>
                <w:numId w:val="0"/>
              </w:numPr>
              <w:kinsoku/>
              <w:wordWrap/>
              <w:overflowPunct/>
              <w:topLinePunct w:val="0"/>
              <w:autoSpaceDE/>
              <w:autoSpaceDN/>
              <w:bidi w:val="0"/>
              <w:adjustRightInd/>
              <w:snapToGrid/>
              <w:spacing w:line="300" w:lineRule="exact"/>
              <w:jc w:val="left"/>
            </w:pPr>
            <w:r>
              <w:rPr>
                <w:rFonts w:hint="eastAsia" w:ascii="仿宋" w:hAnsi="仿宋" w:eastAsia="仿宋" w:cs="仿宋"/>
                <w:sz w:val="20"/>
                <w:szCs w:val="20"/>
                <w:lang w:val="en-US" w:eastAsia="zh-CN"/>
              </w:rPr>
              <w:t>3.因核芯互联项目需协调深圳基金另外一个GP的流程，未提交集团投决。</w:t>
            </w:r>
          </w:p>
        </w:tc>
        <w:tc>
          <w:tcPr>
            <w:tcW w:w="1223" w:type="dxa"/>
            <w:tcBorders>
              <w:top w:val="single" w:color="auto" w:sz="4" w:space="0"/>
              <w:left w:val="single" w:color="auto" w:sz="4" w:space="0"/>
              <w:bottom w:val="single" w:color="auto" w:sz="4" w:space="0"/>
              <w:right w:val="nil"/>
            </w:tcBorders>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仿宋" w:hAnsi="仿宋" w:eastAsia="仿宋" w:cs="仿宋"/>
                <w:sz w:val="22"/>
              </w:rPr>
            </w:pPr>
            <w:r>
              <w:rPr>
                <w:rFonts w:hint="default" w:ascii="仿宋" w:hAnsi="仿宋" w:eastAsia="仿宋" w:cs="仿宋"/>
                <w:sz w:val="22"/>
              </w:rPr>
              <w:t>90</w:t>
            </w:r>
          </w:p>
        </w:tc>
      </w:tr>
      <w:tr>
        <w:tblPrEx>
          <w:tblCellMar>
            <w:top w:w="0" w:type="dxa"/>
            <w:left w:w="0" w:type="dxa"/>
            <w:bottom w:w="0" w:type="dxa"/>
            <w:right w:w="0" w:type="dxa"/>
          </w:tblCellMar>
        </w:tblPrEx>
        <w:trPr>
          <w:trHeight w:val="2230" w:hRule="exact"/>
          <w:jc w:val="center"/>
        </w:trPr>
        <w:tc>
          <w:tcPr>
            <w:tcW w:w="600" w:type="dxa"/>
            <w:tcBorders>
              <w:top w:val="single" w:color="auto" w:sz="4" w:space="0"/>
              <w:left w:val="nil"/>
              <w:bottom w:val="single" w:color="auto" w:sz="4" w:space="0"/>
              <w:right w:val="single" w:color="auto"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w:t>
            </w:r>
          </w:p>
        </w:tc>
        <w:tc>
          <w:tcPr>
            <w:tcW w:w="1699" w:type="dxa"/>
            <w:vMerge w:val="restart"/>
            <w:tcBorders>
              <w:top w:val="single" w:color="auto" w:sz="4" w:space="0"/>
              <w:left w:val="single" w:color="auto" w:sz="4" w:space="0"/>
              <w:right w:val="single" w:color="auto"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仿宋" w:hAnsi="仿宋" w:eastAsia="仿宋" w:cs="仿宋"/>
                <w:b/>
                <w:bCs/>
                <w:szCs w:val="21"/>
              </w:rPr>
            </w:pPr>
            <w:r>
              <w:rPr>
                <w:rFonts w:hint="eastAsia" w:ascii="仿宋" w:hAnsi="仿宋" w:eastAsia="仿宋" w:cs="仿宋"/>
                <w:b/>
                <w:bCs/>
                <w:szCs w:val="21"/>
              </w:rPr>
              <w:t>MBO任务目标</w:t>
            </w:r>
          </w:p>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仿宋" w:hAnsi="仿宋" w:eastAsia="仿宋" w:cs="仿宋"/>
                <w:szCs w:val="21"/>
              </w:rPr>
            </w:pPr>
            <w:r>
              <w:rPr>
                <w:rFonts w:hint="eastAsia" w:ascii="仿宋" w:hAnsi="仿宋" w:eastAsia="仿宋" w:cs="仿宋"/>
                <w:b/>
                <w:bCs/>
                <w:szCs w:val="21"/>
              </w:rPr>
              <w:t>（定性描述目标和时间要求为主）</w:t>
            </w:r>
          </w:p>
        </w:tc>
        <w:tc>
          <w:tcPr>
            <w:tcW w:w="1250" w:type="dxa"/>
            <w:vMerge w:val="restart"/>
            <w:tcBorders>
              <w:top w:val="single" w:color="auto" w:sz="4" w:space="0"/>
              <w:left w:val="single" w:color="auto" w:sz="4" w:space="0"/>
              <w:right w:val="single" w:color="auto"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 w:hAnsi="仿宋" w:eastAsia="仿宋" w:cs="仿宋"/>
                <w:sz w:val="24"/>
                <w:szCs w:val="24"/>
                <w:lang w:eastAsia="zh-CN"/>
              </w:rPr>
            </w:pPr>
            <w:r>
              <w:rPr>
                <w:rFonts w:hint="eastAsia" w:ascii="仿宋" w:hAnsi="仿宋" w:eastAsia="仿宋" w:cs="仿宋"/>
                <w:sz w:val="24"/>
                <w:szCs w:val="24"/>
                <w:lang w:eastAsia="zh-CN"/>
              </w:rPr>
              <w:t>直接融资</w:t>
            </w:r>
          </w:p>
        </w:tc>
        <w:tc>
          <w:tcPr>
            <w:tcW w:w="221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numPr>
                <w:ilvl w:val="0"/>
                <w:numId w:val="0"/>
              </w:numPr>
              <w:kinsoku/>
              <w:wordWrap/>
              <w:overflowPunct/>
              <w:topLinePunct w:val="0"/>
              <w:autoSpaceDE/>
              <w:autoSpaceDN/>
              <w:bidi w:val="0"/>
              <w:adjustRightInd/>
              <w:snapToGrid/>
              <w:spacing w:line="300" w:lineRule="exact"/>
              <w:jc w:val="both"/>
              <w:rPr>
                <w:rFonts w:hint="eastAsia" w:eastAsia="仿宋"/>
                <w:lang w:eastAsia="zh-CN"/>
              </w:rPr>
            </w:pPr>
            <w:r>
              <w:rPr>
                <w:rFonts w:hint="eastAsia" w:ascii="仿宋" w:hAnsi="仿宋" w:eastAsia="仿宋" w:cs="仿宋"/>
                <w:sz w:val="20"/>
                <w:szCs w:val="20"/>
              </w:rPr>
              <w:t>完成</w:t>
            </w:r>
            <w:r>
              <w:rPr>
                <w:rFonts w:hint="eastAsia" w:ascii="仿宋" w:hAnsi="仿宋" w:eastAsia="仿宋" w:cs="仿宋"/>
                <w:sz w:val="20"/>
                <w:szCs w:val="20"/>
                <w:lang w:eastAsia="zh-CN"/>
              </w:rPr>
              <w:t>集团总部增资项目的</w:t>
            </w:r>
            <w:r>
              <w:rPr>
                <w:rFonts w:hint="eastAsia" w:ascii="仿宋" w:hAnsi="仿宋" w:eastAsia="仿宋" w:cs="仿宋"/>
                <w:sz w:val="20"/>
                <w:szCs w:val="20"/>
              </w:rPr>
              <w:t>党委会、董事会决策；</w:t>
            </w:r>
            <w:r>
              <w:rPr>
                <w:rFonts w:hint="eastAsia" w:ascii="仿宋" w:hAnsi="仿宋" w:eastAsia="仿宋" w:cs="仿宋"/>
                <w:sz w:val="20"/>
                <w:szCs w:val="20"/>
                <w:lang w:eastAsia="zh-CN"/>
              </w:rPr>
              <w:t>报</w:t>
            </w:r>
            <w:r>
              <w:rPr>
                <w:rFonts w:hint="eastAsia" w:ascii="仿宋" w:hAnsi="仿宋" w:eastAsia="仿宋" w:cs="仿宋"/>
                <w:sz w:val="20"/>
                <w:szCs w:val="20"/>
              </w:rPr>
              <w:t>市国资委、省财政厅，并取得批复或决议；</w:t>
            </w:r>
            <w:r>
              <w:rPr>
                <w:rFonts w:hint="eastAsia" w:ascii="仿宋" w:hAnsi="仿宋" w:eastAsia="仿宋" w:cs="仿宋"/>
                <w:sz w:val="20"/>
                <w:szCs w:val="20"/>
                <w:lang w:eastAsia="zh-CN"/>
              </w:rPr>
              <w:t>完成</w:t>
            </w:r>
            <w:r>
              <w:rPr>
                <w:rFonts w:hint="eastAsia" w:ascii="仿宋" w:hAnsi="仿宋" w:eastAsia="仿宋" w:cs="仿宋"/>
                <w:sz w:val="20"/>
                <w:szCs w:val="20"/>
              </w:rPr>
              <w:t>正式挂牌，挂牌期满与投资方签署《增资扩股</w:t>
            </w:r>
            <w:r>
              <w:rPr>
                <w:rFonts w:hint="eastAsia" w:ascii="仿宋" w:hAnsi="仿宋" w:eastAsia="仿宋" w:cs="仿宋"/>
                <w:color w:val="auto"/>
                <w:sz w:val="20"/>
                <w:szCs w:val="20"/>
              </w:rPr>
              <w:t>协议》</w:t>
            </w:r>
            <w:r>
              <w:rPr>
                <w:rFonts w:hint="eastAsia" w:ascii="仿宋" w:hAnsi="仿宋" w:eastAsia="仿宋" w:cs="仿宋"/>
                <w:color w:val="auto"/>
                <w:sz w:val="20"/>
                <w:szCs w:val="20"/>
                <w:highlight w:val="none"/>
              </w:rPr>
              <w:t>，资金到位25亿元</w:t>
            </w:r>
            <w:r>
              <w:rPr>
                <w:rFonts w:hint="eastAsia" w:ascii="仿宋" w:hAnsi="仿宋" w:eastAsia="仿宋" w:cs="仿宋"/>
                <w:color w:val="auto"/>
                <w:sz w:val="20"/>
                <w:szCs w:val="20"/>
                <w:highlight w:val="none"/>
                <w:lang w:eastAsia="zh-CN"/>
              </w:rPr>
              <w:t>。</w:t>
            </w:r>
          </w:p>
        </w:tc>
        <w:tc>
          <w:tcPr>
            <w:tcW w:w="67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仿宋" w:hAnsi="仿宋" w:eastAsia="仿宋" w:cs="仿宋"/>
                <w:kern w:val="0"/>
                <w:sz w:val="20"/>
                <w:szCs w:val="20"/>
                <w:lang w:val="en-US" w:eastAsia="zh-CN" w:bidi="ar"/>
              </w:rPr>
            </w:pPr>
            <w:r>
              <w:rPr>
                <w:rFonts w:hint="eastAsia" w:ascii="仿宋" w:hAnsi="仿宋" w:eastAsia="仿宋" w:cs="仿宋"/>
                <w:kern w:val="0"/>
                <w:sz w:val="20"/>
                <w:szCs w:val="20"/>
                <w:lang w:val="en-US" w:eastAsia="zh-CN" w:bidi="ar"/>
              </w:rPr>
              <w:t>20%</w:t>
            </w:r>
          </w:p>
        </w:tc>
        <w:tc>
          <w:tcPr>
            <w:tcW w:w="5523" w:type="dxa"/>
            <w:tcBorders>
              <w:top w:val="single" w:color="auto" w:sz="4" w:space="0"/>
              <w:left w:val="single" w:color="auto" w:sz="4" w:space="0"/>
              <w:bottom w:val="single" w:color="auto" w:sz="4" w:space="0"/>
              <w:right w:val="nil"/>
            </w:tcBorders>
            <w:noWrap/>
            <w:tcMar>
              <w:top w:w="15" w:type="dxa"/>
              <w:left w:w="15" w:type="dxa"/>
              <w:right w:w="15" w:type="dxa"/>
            </w:tcMar>
            <w:vAlign w:val="center"/>
          </w:tcPr>
          <w:p>
            <w:pPr>
              <w:keepNext w:val="0"/>
              <w:keepLines w:val="0"/>
              <w:pageBreakBefore w:val="0"/>
              <w:widowControl/>
              <w:numPr>
                <w:ilvl w:val="0"/>
                <w:numId w:val="0"/>
              </w:numPr>
              <w:kinsoku/>
              <w:wordWrap/>
              <w:overflowPunct/>
              <w:topLinePunct w:val="0"/>
              <w:autoSpaceDE/>
              <w:autoSpaceDN/>
              <w:bidi w:val="0"/>
              <w:adjustRightInd/>
              <w:snapToGrid/>
              <w:spacing w:line="300" w:lineRule="exact"/>
              <w:jc w:val="left"/>
              <w:rPr>
                <w:rFonts w:hint="eastAsia" w:ascii="仿宋" w:hAnsi="仿宋" w:eastAsia="仿宋" w:cs="仿宋"/>
                <w:sz w:val="20"/>
                <w:szCs w:val="20"/>
                <w:lang w:eastAsia="zh-CN"/>
              </w:rPr>
            </w:pPr>
            <w:r>
              <w:rPr>
                <w:rFonts w:hint="eastAsia" w:ascii="仿宋" w:hAnsi="仿宋" w:eastAsia="仿宋" w:cs="仿宋"/>
                <w:sz w:val="20"/>
                <w:szCs w:val="20"/>
                <w:lang w:eastAsia="zh-CN"/>
              </w:rPr>
              <w:t>部分完成。具体情况如下：</w:t>
            </w:r>
          </w:p>
          <w:p>
            <w:pPr>
              <w:keepNext w:val="0"/>
              <w:keepLines w:val="0"/>
              <w:pageBreakBefore w:val="0"/>
              <w:widowControl/>
              <w:numPr>
                <w:ilvl w:val="0"/>
                <w:numId w:val="0"/>
              </w:numPr>
              <w:kinsoku/>
              <w:wordWrap/>
              <w:overflowPunct/>
              <w:topLinePunct w:val="0"/>
              <w:autoSpaceDE/>
              <w:autoSpaceDN/>
              <w:bidi w:val="0"/>
              <w:adjustRightInd/>
              <w:snapToGrid/>
              <w:spacing w:line="300" w:lineRule="exact"/>
              <w:jc w:val="left"/>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1.项目已于4月经九洲集团党委会、董事会审议通过；</w:t>
            </w:r>
          </w:p>
          <w:p>
            <w:pPr>
              <w:keepNext w:val="0"/>
              <w:keepLines w:val="0"/>
              <w:pageBreakBefore w:val="0"/>
              <w:widowControl/>
              <w:numPr>
                <w:ilvl w:val="0"/>
                <w:numId w:val="0"/>
              </w:numPr>
              <w:kinsoku/>
              <w:wordWrap/>
              <w:overflowPunct/>
              <w:topLinePunct w:val="0"/>
              <w:autoSpaceDE/>
              <w:autoSpaceDN/>
              <w:bidi w:val="0"/>
              <w:adjustRightInd/>
              <w:snapToGrid/>
              <w:spacing w:line="300" w:lineRule="exact"/>
              <w:jc w:val="left"/>
              <w:rPr>
                <w:rFonts w:hint="eastAsia" w:ascii="仿宋" w:hAnsi="仿宋" w:eastAsia="仿宋" w:cs="仿宋"/>
                <w:sz w:val="20"/>
                <w:szCs w:val="20"/>
                <w:lang w:val="en-US" w:eastAsia="zh-CN"/>
              </w:rPr>
            </w:pPr>
            <w:r>
              <w:rPr>
                <w:rFonts w:hint="eastAsia" w:ascii="仿宋" w:hAnsi="仿宋" w:eastAsia="仿宋" w:cs="仿宋"/>
                <w:sz w:val="20"/>
                <w:szCs w:val="20"/>
                <w:lang w:val="en-US" w:eastAsia="zh-CN"/>
              </w:rPr>
              <w:t>2.5月取得市国资委批复、股东会决议；</w:t>
            </w:r>
          </w:p>
          <w:p>
            <w:pPr>
              <w:keepNext w:val="0"/>
              <w:keepLines w:val="0"/>
              <w:pageBreakBefore w:val="0"/>
              <w:widowControl/>
              <w:numPr>
                <w:ilvl w:val="0"/>
                <w:numId w:val="0"/>
              </w:numPr>
              <w:kinsoku/>
              <w:wordWrap/>
              <w:overflowPunct/>
              <w:topLinePunct w:val="0"/>
              <w:autoSpaceDE/>
              <w:autoSpaceDN/>
              <w:bidi w:val="0"/>
              <w:adjustRightInd/>
              <w:snapToGrid/>
              <w:spacing w:line="300" w:lineRule="exact"/>
              <w:jc w:val="left"/>
            </w:pPr>
            <w:r>
              <w:rPr>
                <w:rFonts w:hint="eastAsia" w:ascii="仿宋" w:hAnsi="仿宋" w:eastAsia="仿宋" w:cs="仿宋"/>
                <w:sz w:val="20"/>
                <w:szCs w:val="20"/>
                <w:lang w:val="en-US" w:eastAsia="zh-CN"/>
              </w:rPr>
              <w:t>3.5月在西交所的挂牌。但受协议核心条款确定、国资审批流程耗时较长，以及意向投资方最终决策要求募投项目调整等事项影响，暂未完成《增资扩股协议》签署。</w:t>
            </w:r>
          </w:p>
        </w:tc>
        <w:tc>
          <w:tcPr>
            <w:tcW w:w="1223" w:type="dxa"/>
            <w:tcBorders>
              <w:top w:val="single" w:color="auto" w:sz="4" w:space="0"/>
              <w:left w:val="single" w:color="auto" w:sz="4" w:space="0"/>
              <w:bottom w:val="single" w:color="auto" w:sz="4" w:space="0"/>
              <w:right w:val="nil"/>
            </w:tcBorders>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仿宋" w:hAnsi="仿宋" w:eastAsia="仿宋" w:cs="仿宋"/>
                <w:sz w:val="20"/>
                <w:szCs w:val="20"/>
                <w:lang w:val="en-US" w:eastAsia="zh-CN"/>
              </w:rPr>
            </w:pPr>
            <w:r>
              <w:rPr>
                <w:rFonts w:hint="default" w:ascii="仿宋" w:hAnsi="仿宋" w:eastAsia="仿宋" w:cs="仿宋"/>
                <w:sz w:val="20"/>
                <w:szCs w:val="20"/>
                <w:lang w:eastAsia="zh-CN"/>
              </w:rPr>
              <w:t>9</w:t>
            </w:r>
            <w:r>
              <w:rPr>
                <w:rFonts w:hint="eastAsia" w:ascii="仿宋" w:hAnsi="仿宋" w:eastAsia="仿宋" w:cs="仿宋"/>
                <w:sz w:val="20"/>
                <w:szCs w:val="20"/>
                <w:lang w:val="en-US" w:eastAsia="zh-CN"/>
              </w:rPr>
              <w:t>0</w:t>
            </w:r>
          </w:p>
        </w:tc>
      </w:tr>
      <w:tr>
        <w:tblPrEx>
          <w:tblCellMar>
            <w:top w:w="0" w:type="dxa"/>
            <w:left w:w="0" w:type="dxa"/>
            <w:bottom w:w="0" w:type="dxa"/>
            <w:right w:w="0" w:type="dxa"/>
          </w:tblCellMar>
        </w:tblPrEx>
        <w:trPr>
          <w:trHeight w:val="1152" w:hRule="exact"/>
          <w:jc w:val="center"/>
        </w:trPr>
        <w:tc>
          <w:tcPr>
            <w:tcW w:w="600" w:type="dxa"/>
            <w:tcBorders>
              <w:top w:val="single" w:color="auto" w:sz="4" w:space="0"/>
              <w:left w:val="nil"/>
              <w:bottom w:val="single" w:color="auto" w:sz="4" w:space="0"/>
              <w:right w:val="single" w:color="auto"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w:t>
            </w:r>
          </w:p>
        </w:tc>
        <w:tc>
          <w:tcPr>
            <w:tcW w:w="1699" w:type="dxa"/>
            <w:vMerge w:val="continue"/>
            <w:tcBorders>
              <w:left w:val="single" w:color="auto" w:sz="4" w:space="0"/>
              <w:right w:val="single" w:color="auto"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仿宋" w:hAnsi="仿宋" w:eastAsia="仿宋" w:cs="仿宋"/>
                <w:sz w:val="24"/>
                <w:szCs w:val="24"/>
              </w:rPr>
            </w:pPr>
          </w:p>
        </w:tc>
        <w:tc>
          <w:tcPr>
            <w:tcW w:w="1250" w:type="dxa"/>
            <w:vMerge w:val="continue"/>
            <w:tcBorders>
              <w:left w:val="single" w:color="auto" w:sz="4" w:space="0"/>
              <w:bottom w:val="single" w:color="auto" w:sz="4" w:space="0"/>
              <w:right w:val="single" w:color="auto"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eastAsia" w:ascii="仿宋" w:hAnsi="仿宋" w:eastAsia="仿宋" w:cs="仿宋"/>
                <w:sz w:val="24"/>
                <w:szCs w:val="24"/>
                <w:lang w:eastAsia="zh-CN"/>
              </w:rPr>
            </w:pPr>
          </w:p>
        </w:tc>
        <w:tc>
          <w:tcPr>
            <w:tcW w:w="221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ascii="仿宋" w:hAnsi="仿宋" w:eastAsia="仿宋" w:cs="仿宋"/>
                <w:sz w:val="20"/>
                <w:szCs w:val="20"/>
              </w:rPr>
            </w:pPr>
            <w:r>
              <w:rPr>
                <w:rFonts w:hint="eastAsia" w:ascii="仿宋" w:hAnsi="仿宋" w:eastAsia="仿宋" w:cs="仿宋"/>
                <w:sz w:val="20"/>
                <w:szCs w:val="20"/>
                <w:lang w:eastAsia="zh-CN"/>
              </w:rPr>
              <w:t>推进微精电机引入外部投资人，明确意向投资人及框架性方案。</w:t>
            </w:r>
          </w:p>
        </w:tc>
        <w:tc>
          <w:tcPr>
            <w:tcW w:w="67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仿宋" w:hAnsi="仿宋" w:eastAsia="仿宋" w:cs="仿宋"/>
                <w:kern w:val="0"/>
                <w:sz w:val="20"/>
                <w:szCs w:val="20"/>
                <w:lang w:val="en-US" w:eastAsia="zh-CN" w:bidi="ar"/>
              </w:rPr>
            </w:pPr>
            <w:r>
              <w:rPr>
                <w:rFonts w:hint="eastAsia" w:ascii="仿宋" w:hAnsi="仿宋" w:eastAsia="仿宋" w:cs="仿宋"/>
                <w:kern w:val="0"/>
                <w:sz w:val="20"/>
                <w:szCs w:val="20"/>
                <w:lang w:val="en-US" w:eastAsia="zh-CN" w:bidi="ar"/>
              </w:rPr>
              <w:t>10%</w:t>
            </w:r>
          </w:p>
        </w:tc>
        <w:tc>
          <w:tcPr>
            <w:tcW w:w="5523" w:type="dxa"/>
            <w:tcBorders>
              <w:top w:val="single" w:color="auto" w:sz="4" w:space="0"/>
              <w:left w:val="single" w:color="auto" w:sz="4" w:space="0"/>
              <w:bottom w:val="single" w:color="auto" w:sz="4" w:space="0"/>
              <w:right w:val="nil"/>
            </w:tcBorders>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left"/>
              <w:rPr>
                <w:rFonts w:hint="eastAsia" w:ascii="仿宋" w:hAnsi="仿宋" w:eastAsia="仿宋" w:cs="仿宋"/>
                <w:sz w:val="20"/>
                <w:szCs w:val="20"/>
                <w:lang w:eastAsia="zh-CN"/>
              </w:rPr>
            </w:pPr>
            <w:r>
              <w:rPr>
                <w:rFonts w:hint="eastAsia" w:ascii="仿宋" w:hAnsi="仿宋" w:eastAsia="仿宋" w:cs="仿宋"/>
                <w:sz w:val="20"/>
                <w:szCs w:val="20"/>
                <w:lang w:eastAsia="zh-CN"/>
              </w:rPr>
              <w:t>已完成。已与多家意向投资人进行多轮沟通，并初步确定了领投方和框架性方案要点。</w:t>
            </w:r>
          </w:p>
        </w:tc>
        <w:tc>
          <w:tcPr>
            <w:tcW w:w="1223" w:type="dxa"/>
            <w:tcBorders>
              <w:top w:val="single" w:color="auto" w:sz="4" w:space="0"/>
              <w:left w:val="single" w:color="auto" w:sz="4" w:space="0"/>
              <w:bottom w:val="single" w:color="auto" w:sz="4" w:space="0"/>
              <w:right w:val="nil"/>
            </w:tcBorders>
            <w:noWrap/>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仿宋" w:hAnsi="仿宋" w:eastAsia="仿宋" w:cs="仿宋"/>
                <w:sz w:val="20"/>
                <w:szCs w:val="20"/>
                <w:lang w:eastAsia="zh-CN"/>
              </w:rPr>
            </w:pPr>
            <w:r>
              <w:rPr>
                <w:rFonts w:hint="default" w:ascii="仿宋" w:hAnsi="仿宋" w:eastAsia="仿宋" w:cs="仿宋"/>
                <w:sz w:val="20"/>
                <w:szCs w:val="20"/>
                <w:lang w:eastAsia="zh-CN"/>
              </w:rPr>
              <w:t>96</w:t>
            </w:r>
          </w:p>
        </w:tc>
      </w:tr>
      <w:tr>
        <w:tblPrEx>
          <w:tblCellMar>
            <w:top w:w="0" w:type="dxa"/>
            <w:left w:w="0" w:type="dxa"/>
            <w:bottom w:w="0" w:type="dxa"/>
            <w:right w:w="0" w:type="dxa"/>
          </w:tblCellMar>
        </w:tblPrEx>
        <w:trPr>
          <w:trHeight w:val="1675" w:hRule="exact"/>
          <w:jc w:val="center"/>
        </w:trPr>
        <w:tc>
          <w:tcPr>
            <w:tcW w:w="600" w:type="dxa"/>
            <w:tcBorders>
              <w:top w:val="single" w:color="auto" w:sz="4" w:space="0"/>
              <w:left w:val="nil"/>
              <w:bottom w:val="single" w:color="auto" w:sz="4" w:space="0"/>
              <w:right w:val="single" w:color="auto"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w:t>
            </w:r>
          </w:p>
        </w:tc>
        <w:tc>
          <w:tcPr>
            <w:tcW w:w="1699" w:type="dxa"/>
            <w:vMerge w:val="continue"/>
            <w:tcBorders>
              <w:left w:val="single" w:color="auto" w:sz="4" w:space="0"/>
              <w:right w:val="single" w:color="auto"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仿宋" w:hAnsi="仿宋" w:eastAsia="仿宋" w:cs="仿宋"/>
                <w:sz w:val="24"/>
                <w:szCs w:val="24"/>
              </w:rPr>
            </w:pPr>
          </w:p>
        </w:tc>
        <w:tc>
          <w:tcPr>
            <w:tcW w:w="1250" w:type="dxa"/>
            <w:vMerge w:val="restart"/>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 w:hAnsi="仿宋" w:eastAsia="仿宋" w:cs="仿宋"/>
                <w:sz w:val="24"/>
                <w:szCs w:val="24"/>
                <w:lang w:eastAsia="zh-CN"/>
              </w:rPr>
            </w:pPr>
            <w:r>
              <w:rPr>
                <w:rFonts w:hint="eastAsia" w:ascii="仿宋" w:hAnsi="仿宋" w:eastAsia="仿宋" w:cs="仿宋"/>
                <w:sz w:val="24"/>
                <w:szCs w:val="24"/>
                <w:lang w:eastAsia="zh-CN"/>
              </w:rPr>
              <w:t>产业投资</w:t>
            </w:r>
          </w:p>
        </w:tc>
        <w:tc>
          <w:tcPr>
            <w:tcW w:w="221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ascii="仿宋" w:hAnsi="仿宋" w:eastAsia="仿宋" w:cs="仿宋"/>
                <w:sz w:val="20"/>
                <w:szCs w:val="20"/>
              </w:rPr>
            </w:pPr>
            <w:r>
              <w:rPr>
                <w:rFonts w:hint="eastAsia" w:ascii="仿宋" w:hAnsi="仿宋" w:eastAsia="仿宋" w:cs="仿宋"/>
                <w:sz w:val="20"/>
                <w:szCs w:val="20"/>
              </w:rPr>
              <w:t>就现有射频方向两个并购项目，提请集团进行立项审议，根据审议结果推进中介机构选聘及尽职调查或终止项目。</w:t>
            </w:r>
          </w:p>
        </w:tc>
        <w:tc>
          <w:tcPr>
            <w:tcW w:w="67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10%</w:t>
            </w:r>
          </w:p>
        </w:tc>
        <w:tc>
          <w:tcPr>
            <w:tcW w:w="5523" w:type="dxa"/>
            <w:tcBorders>
              <w:top w:val="single" w:color="auto" w:sz="4" w:space="0"/>
              <w:left w:val="single" w:color="auto" w:sz="4" w:space="0"/>
              <w:bottom w:val="single" w:color="auto" w:sz="4" w:space="0"/>
              <w:right w:val="nil"/>
            </w:tcBorders>
            <w:noWrap/>
            <w:tcMar>
              <w:top w:w="15" w:type="dxa"/>
              <w:left w:w="15" w:type="dxa"/>
              <w:right w:w="15" w:type="dxa"/>
            </w:tcMar>
            <w:vAlign w:val="center"/>
          </w:tcPr>
          <w:p>
            <w:pPr>
              <w:pStyle w:val="4"/>
              <w:keepNext w:val="0"/>
              <w:keepLines w:val="0"/>
              <w:pageBreakBefore w:val="0"/>
              <w:widowControl/>
              <w:kinsoku/>
              <w:wordWrap/>
              <w:overflowPunct/>
              <w:topLinePunct w:val="0"/>
              <w:autoSpaceDE/>
              <w:autoSpaceDN/>
              <w:bidi w:val="0"/>
              <w:adjustRightInd/>
              <w:snapToGrid/>
              <w:spacing w:line="300" w:lineRule="exact"/>
              <w:jc w:val="both"/>
              <w:rPr>
                <w:rFonts w:hint="eastAsia" w:ascii="仿宋" w:hAnsi="仿宋" w:eastAsia="仿宋" w:cs="仿宋"/>
                <w:kern w:val="2"/>
                <w:sz w:val="20"/>
                <w:szCs w:val="20"/>
                <w:lang w:val="en-US" w:eastAsia="zh-CN" w:bidi="ar-SA"/>
              </w:rPr>
            </w:pPr>
            <w:r>
              <w:rPr>
                <w:rFonts w:hint="eastAsia" w:ascii="仿宋" w:hAnsi="仿宋" w:eastAsia="仿宋" w:cs="仿宋"/>
                <w:kern w:val="2"/>
                <w:sz w:val="20"/>
                <w:szCs w:val="20"/>
                <w:lang w:val="en-US" w:eastAsia="zh-CN" w:bidi="ar-SA"/>
              </w:rPr>
              <w:t>未完成。具体情况如下：</w:t>
            </w:r>
          </w:p>
          <w:p>
            <w:pPr>
              <w:pStyle w:val="4"/>
              <w:keepNext w:val="0"/>
              <w:keepLines w:val="0"/>
              <w:pageBreakBefore w:val="0"/>
              <w:widowControl/>
              <w:kinsoku/>
              <w:wordWrap/>
              <w:overflowPunct/>
              <w:topLinePunct w:val="0"/>
              <w:autoSpaceDE/>
              <w:autoSpaceDN/>
              <w:bidi w:val="0"/>
              <w:adjustRightInd/>
              <w:snapToGrid/>
              <w:spacing w:line="300" w:lineRule="exact"/>
              <w:jc w:val="both"/>
              <w:rPr>
                <w:rFonts w:hint="eastAsia" w:ascii="仿宋" w:hAnsi="仿宋" w:eastAsia="仿宋" w:cs="仿宋"/>
                <w:kern w:val="2"/>
                <w:sz w:val="20"/>
                <w:szCs w:val="20"/>
                <w:lang w:val="en-US" w:eastAsia="zh-CN" w:bidi="ar-SA"/>
              </w:rPr>
            </w:pPr>
            <w:r>
              <w:rPr>
                <w:rFonts w:hint="eastAsia" w:ascii="仿宋" w:hAnsi="仿宋" w:eastAsia="仿宋" w:cs="仿宋"/>
                <w:kern w:val="2"/>
                <w:sz w:val="20"/>
                <w:szCs w:val="20"/>
                <w:lang w:val="en-US" w:eastAsia="zh-CN" w:bidi="ar-SA"/>
              </w:rPr>
              <w:t>已完成泰格微波、宇熙电子两个射频方向的并购项目的预立项和立项论证，并根据预立项工作安排与泰格微波和宇熙电子的实控人进行谈判，最终因价格无法达成一致而阶段性终止。</w:t>
            </w:r>
          </w:p>
        </w:tc>
        <w:tc>
          <w:tcPr>
            <w:tcW w:w="1223" w:type="dxa"/>
            <w:tcBorders>
              <w:top w:val="single" w:color="auto" w:sz="4" w:space="0"/>
              <w:left w:val="single" w:color="auto" w:sz="4" w:space="0"/>
              <w:bottom w:val="single" w:color="auto" w:sz="4" w:space="0"/>
              <w:right w:val="nil"/>
            </w:tcBorders>
            <w:noWrap/>
            <w:tcMar>
              <w:top w:w="15" w:type="dxa"/>
              <w:left w:w="15" w:type="dxa"/>
              <w:right w:w="15" w:type="dxa"/>
            </w:tcMar>
            <w:vAlign w:val="center"/>
          </w:tcPr>
          <w:p>
            <w:pPr>
              <w:pStyle w:val="4"/>
              <w:keepNext w:val="0"/>
              <w:keepLines w:val="0"/>
              <w:pageBreakBefore w:val="0"/>
              <w:widowControl/>
              <w:kinsoku/>
              <w:wordWrap/>
              <w:overflowPunct/>
              <w:topLinePunct w:val="0"/>
              <w:autoSpaceDE/>
              <w:autoSpaceDN/>
              <w:bidi w:val="0"/>
              <w:adjustRightInd/>
              <w:snapToGrid/>
              <w:spacing w:line="300" w:lineRule="exact"/>
              <w:jc w:val="center"/>
              <w:rPr>
                <w:rFonts w:hint="default" w:ascii="仿宋" w:hAnsi="仿宋" w:eastAsia="仿宋" w:cs="仿宋"/>
                <w:sz w:val="22"/>
                <w:szCs w:val="22"/>
                <w:lang w:val="en-US" w:eastAsia="zh-CN"/>
              </w:rPr>
            </w:pPr>
            <w:r>
              <w:rPr>
                <w:rFonts w:hint="default" w:ascii="仿宋" w:hAnsi="仿宋" w:eastAsia="仿宋" w:cs="仿宋"/>
                <w:sz w:val="22"/>
                <w:szCs w:val="22"/>
                <w:lang w:eastAsia="zh-CN"/>
              </w:rPr>
              <w:t>9</w:t>
            </w:r>
            <w:r>
              <w:rPr>
                <w:rFonts w:hint="eastAsia" w:ascii="仿宋" w:hAnsi="仿宋" w:eastAsia="仿宋" w:cs="仿宋"/>
                <w:sz w:val="22"/>
                <w:szCs w:val="22"/>
                <w:lang w:val="en-US" w:eastAsia="zh-CN"/>
              </w:rPr>
              <w:t>5</w:t>
            </w:r>
          </w:p>
        </w:tc>
      </w:tr>
      <w:tr>
        <w:tblPrEx>
          <w:tblCellMar>
            <w:top w:w="0" w:type="dxa"/>
            <w:left w:w="0" w:type="dxa"/>
            <w:bottom w:w="0" w:type="dxa"/>
            <w:right w:w="0" w:type="dxa"/>
          </w:tblCellMar>
        </w:tblPrEx>
        <w:trPr>
          <w:trHeight w:val="1047" w:hRule="exact"/>
          <w:jc w:val="center"/>
        </w:trPr>
        <w:tc>
          <w:tcPr>
            <w:tcW w:w="600" w:type="dxa"/>
            <w:tcBorders>
              <w:top w:val="single" w:color="auto" w:sz="4" w:space="0"/>
              <w:left w:val="nil"/>
              <w:bottom w:val="single" w:color="auto" w:sz="4" w:space="0"/>
              <w:right w:val="single" w:color="auto"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5</w:t>
            </w:r>
          </w:p>
        </w:tc>
        <w:tc>
          <w:tcPr>
            <w:tcW w:w="1699" w:type="dxa"/>
            <w:vMerge w:val="continue"/>
            <w:tcBorders>
              <w:left w:val="single" w:color="auto" w:sz="4" w:space="0"/>
              <w:right w:val="single" w:color="auto"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仿宋" w:hAnsi="仿宋" w:eastAsia="仿宋" w:cs="仿宋"/>
                <w:sz w:val="24"/>
                <w:szCs w:val="24"/>
              </w:rPr>
            </w:pPr>
          </w:p>
        </w:tc>
        <w:tc>
          <w:tcPr>
            <w:tcW w:w="1250" w:type="dxa"/>
            <w:vMerge w:val="continue"/>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center"/>
              <w:rPr>
                <w:rFonts w:hint="eastAsia" w:ascii="仿宋" w:hAnsi="仿宋" w:eastAsia="仿宋" w:cs="仿宋"/>
                <w:sz w:val="24"/>
                <w:szCs w:val="24"/>
                <w:lang w:eastAsia="zh-CN"/>
              </w:rPr>
            </w:pPr>
          </w:p>
        </w:tc>
        <w:tc>
          <w:tcPr>
            <w:tcW w:w="221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仿宋" w:hAnsi="仿宋" w:eastAsia="仿宋" w:cs="仿宋"/>
                <w:sz w:val="20"/>
                <w:szCs w:val="20"/>
                <w:lang w:eastAsia="zh-CN"/>
              </w:rPr>
            </w:pPr>
            <w:r>
              <w:rPr>
                <w:rFonts w:hint="eastAsia" w:ascii="仿宋" w:hAnsi="仿宋" w:eastAsia="仿宋" w:cs="仿宋"/>
                <w:sz w:val="20"/>
                <w:szCs w:val="20"/>
                <w:lang w:eastAsia="zh-CN"/>
              </w:rPr>
              <w:t>完成九洲空管设立合资公司的方案论证及决策。</w:t>
            </w:r>
          </w:p>
        </w:tc>
        <w:tc>
          <w:tcPr>
            <w:tcW w:w="67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10%</w:t>
            </w:r>
          </w:p>
        </w:tc>
        <w:tc>
          <w:tcPr>
            <w:tcW w:w="5523" w:type="dxa"/>
            <w:tcBorders>
              <w:top w:val="single" w:color="auto" w:sz="4" w:space="0"/>
              <w:left w:val="single" w:color="auto" w:sz="4" w:space="0"/>
              <w:bottom w:val="single" w:color="auto" w:sz="4" w:space="0"/>
              <w:right w:val="nil"/>
            </w:tcBorders>
            <w:noWrap/>
            <w:tcMar>
              <w:top w:w="15" w:type="dxa"/>
              <w:left w:w="15" w:type="dxa"/>
              <w:right w:w="15" w:type="dxa"/>
            </w:tcMar>
            <w:vAlign w:val="center"/>
          </w:tcPr>
          <w:p>
            <w:pPr>
              <w:pStyle w:val="4"/>
              <w:keepNext w:val="0"/>
              <w:keepLines w:val="0"/>
              <w:pageBreakBefore w:val="0"/>
              <w:widowControl/>
              <w:numPr>
                <w:ilvl w:val="0"/>
                <w:numId w:val="0"/>
              </w:numPr>
              <w:kinsoku/>
              <w:wordWrap/>
              <w:overflowPunct/>
              <w:topLinePunct w:val="0"/>
              <w:autoSpaceDE/>
              <w:autoSpaceDN/>
              <w:bidi w:val="0"/>
              <w:adjustRightInd/>
              <w:snapToGrid/>
              <w:spacing w:line="300" w:lineRule="exact"/>
              <w:jc w:val="both"/>
              <w:rPr>
                <w:rFonts w:hint="eastAsia" w:ascii="仿宋" w:hAnsi="仿宋" w:eastAsia="仿宋" w:cs="仿宋"/>
                <w:kern w:val="2"/>
                <w:sz w:val="20"/>
                <w:szCs w:val="20"/>
                <w:lang w:val="en-US" w:eastAsia="zh-CN" w:bidi="ar-SA"/>
              </w:rPr>
            </w:pPr>
            <w:r>
              <w:rPr>
                <w:rFonts w:hint="eastAsia" w:ascii="仿宋" w:hAnsi="仿宋" w:eastAsia="仿宋" w:cs="仿宋"/>
                <w:kern w:val="2"/>
                <w:sz w:val="20"/>
                <w:szCs w:val="20"/>
                <w:lang w:val="en-US" w:eastAsia="zh-CN" w:bidi="ar-SA"/>
              </w:rPr>
              <w:t>已完成。九洲空管设立合资公司已经集团党委会研究和董事会审议通过</w:t>
            </w:r>
            <w:r>
              <w:rPr>
                <w:rFonts w:hint="default" w:ascii="仿宋" w:hAnsi="仿宋" w:eastAsia="仿宋" w:cs="仿宋"/>
                <w:kern w:val="2"/>
                <w:sz w:val="20"/>
                <w:szCs w:val="20"/>
                <w:lang w:eastAsia="zh-CN" w:bidi="ar-SA"/>
              </w:rPr>
              <w:t>、</w:t>
            </w:r>
            <w:r>
              <w:rPr>
                <w:rFonts w:hint="eastAsia" w:ascii="仿宋" w:hAnsi="仿宋" w:eastAsia="仿宋" w:cs="仿宋"/>
                <w:kern w:val="2"/>
                <w:sz w:val="20"/>
                <w:szCs w:val="20"/>
                <w:lang w:val="en-US" w:eastAsia="zh-CN" w:bidi="ar-SA"/>
              </w:rPr>
              <w:t>上市公司董事会审议通过</w:t>
            </w:r>
            <w:r>
              <w:rPr>
                <w:rFonts w:hint="default" w:ascii="仿宋" w:hAnsi="仿宋" w:eastAsia="仿宋" w:cs="仿宋"/>
                <w:kern w:val="2"/>
                <w:sz w:val="20"/>
                <w:szCs w:val="20"/>
                <w:lang w:eastAsia="zh-CN" w:bidi="ar-SA"/>
              </w:rPr>
              <w:t>，并完成向国资委的备案工作</w:t>
            </w:r>
            <w:r>
              <w:rPr>
                <w:rFonts w:hint="eastAsia" w:ascii="仿宋" w:hAnsi="仿宋" w:eastAsia="仿宋" w:cs="仿宋"/>
                <w:kern w:val="2"/>
                <w:sz w:val="20"/>
                <w:szCs w:val="20"/>
                <w:lang w:val="en-US" w:eastAsia="zh-CN" w:bidi="ar-SA"/>
              </w:rPr>
              <w:t>。</w:t>
            </w:r>
          </w:p>
        </w:tc>
        <w:tc>
          <w:tcPr>
            <w:tcW w:w="1223" w:type="dxa"/>
            <w:tcBorders>
              <w:top w:val="single" w:color="auto" w:sz="4" w:space="0"/>
              <w:left w:val="single" w:color="auto" w:sz="4" w:space="0"/>
              <w:bottom w:val="single" w:color="auto" w:sz="4" w:space="0"/>
              <w:right w:val="nil"/>
            </w:tcBorders>
            <w:noWrap/>
            <w:tcMar>
              <w:top w:w="15" w:type="dxa"/>
              <w:left w:w="15" w:type="dxa"/>
              <w:right w:w="15" w:type="dxa"/>
            </w:tcMar>
            <w:vAlign w:val="center"/>
          </w:tcPr>
          <w:p>
            <w:pPr>
              <w:pStyle w:val="4"/>
              <w:keepNext w:val="0"/>
              <w:keepLines w:val="0"/>
              <w:pageBreakBefore w:val="0"/>
              <w:widowControl/>
              <w:kinsoku/>
              <w:wordWrap/>
              <w:overflowPunct/>
              <w:topLinePunct w:val="0"/>
              <w:autoSpaceDE/>
              <w:autoSpaceDN/>
              <w:bidi w:val="0"/>
              <w:adjustRightInd/>
              <w:snapToGrid/>
              <w:spacing w:line="300" w:lineRule="exact"/>
              <w:jc w:val="center"/>
              <w:rPr>
                <w:rFonts w:hint="default" w:ascii="仿宋" w:hAnsi="仿宋" w:eastAsia="仿宋" w:cs="仿宋"/>
                <w:sz w:val="20"/>
                <w:szCs w:val="20"/>
                <w:lang w:eastAsia="zh-CN"/>
              </w:rPr>
            </w:pPr>
            <w:r>
              <w:rPr>
                <w:rFonts w:hint="default" w:ascii="仿宋" w:hAnsi="仿宋" w:eastAsia="仿宋" w:cs="仿宋"/>
                <w:sz w:val="20"/>
                <w:szCs w:val="20"/>
                <w:lang w:eastAsia="zh-CN"/>
              </w:rPr>
              <w:t>100</w:t>
            </w:r>
          </w:p>
        </w:tc>
      </w:tr>
      <w:tr>
        <w:tblPrEx>
          <w:tblCellMar>
            <w:top w:w="0" w:type="dxa"/>
            <w:left w:w="0" w:type="dxa"/>
            <w:bottom w:w="0" w:type="dxa"/>
            <w:right w:w="0" w:type="dxa"/>
          </w:tblCellMar>
        </w:tblPrEx>
        <w:trPr>
          <w:trHeight w:val="1520" w:hRule="exact"/>
          <w:jc w:val="center"/>
        </w:trPr>
        <w:tc>
          <w:tcPr>
            <w:tcW w:w="600" w:type="dxa"/>
            <w:tcBorders>
              <w:top w:val="single" w:color="auto" w:sz="4" w:space="0"/>
              <w:left w:val="nil"/>
              <w:bottom w:val="single" w:color="auto" w:sz="4" w:space="0"/>
              <w:right w:val="single" w:color="auto"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6</w:t>
            </w:r>
          </w:p>
        </w:tc>
        <w:tc>
          <w:tcPr>
            <w:tcW w:w="1699" w:type="dxa"/>
            <w:vMerge w:val="continue"/>
            <w:tcBorders>
              <w:left w:val="single" w:color="auto" w:sz="4" w:space="0"/>
              <w:right w:val="single" w:color="auto"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仿宋" w:hAnsi="仿宋" w:eastAsia="仿宋" w:cs="仿宋"/>
                <w:sz w:val="24"/>
                <w:szCs w:val="24"/>
              </w:rPr>
            </w:pPr>
          </w:p>
        </w:tc>
        <w:tc>
          <w:tcPr>
            <w:tcW w:w="125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 w:hAnsi="仿宋" w:eastAsia="仿宋" w:cs="仿宋"/>
                <w:sz w:val="24"/>
                <w:szCs w:val="24"/>
                <w:lang w:eastAsia="zh-CN"/>
              </w:rPr>
            </w:pPr>
            <w:r>
              <w:rPr>
                <w:rFonts w:hint="eastAsia" w:ascii="仿宋" w:hAnsi="仿宋" w:eastAsia="仿宋" w:cs="仿宋"/>
                <w:sz w:val="24"/>
                <w:szCs w:val="24"/>
                <w:lang w:eastAsia="zh-CN"/>
              </w:rPr>
              <w:t>财务和孵化投资</w:t>
            </w:r>
          </w:p>
        </w:tc>
        <w:tc>
          <w:tcPr>
            <w:tcW w:w="221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仿宋" w:hAnsi="仿宋" w:eastAsia="仿宋" w:cs="仿宋"/>
                <w:sz w:val="20"/>
                <w:szCs w:val="20"/>
                <w:lang w:eastAsia="zh-CN"/>
              </w:rPr>
            </w:pPr>
            <w:r>
              <w:rPr>
                <w:rFonts w:hint="eastAsia" w:ascii="仿宋" w:hAnsi="仿宋" w:eastAsia="仿宋" w:cs="仿宋"/>
                <w:sz w:val="20"/>
                <w:szCs w:val="20"/>
                <w:lang w:eastAsia="zh-CN"/>
              </w:rPr>
              <w:t xml:space="preserve">完成母基金组建的集团内部立项、母基金管理人公开选聘、确定母基金设立方案。   </w:t>
            </w:r>
          </w:p>
        </w:tc>
        <w:tc>
          <w:tcPr>
            <w:tcW w:w="67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10%</w:t>
            </w:r>
          </w:p>
        </w:tc>
        <w:tc>
          <w:tcPr>
            <w:tcW w:w="5523" w:type="dxa"/>
            <w:tcBorders>
              <w:top w:val="single" w:color="auto" w:sz="4" w:space="0"/>
              <w:left w:val="single" w:color="auto" w:sz="4" w:space="0"/>
              <w:bottom w:val="single" w:color="auto" w:sz="4" w:space="0"/>
              <w:right w:val="nil"/>
            </w:tcBorders>
            <w:noWrap/>
            <w:tcMar>
              <w:top w:w="15" w:type="dxa"/>
              <w:left w:w="15" w:type="dxa"/>
              <w:right w:w="15" w:type="dxa"/>
            </w:tcMar>
            <w:vAlign w:val="center"/>
          </w:tcPr>
          <w:p>
            <w:pPr>
              <w:pStyle w:val="2"/>
              <w:keepNext w:val="0"/>
              <w:keepLines w:val="0"/>
              <w:pageBreakBefore w:val="0"/>
              <w:widowControl/>
              <w:numPr>
                <w:ilvl w:val="0"/>
                <w:numId w:val="0"/>
              </w:numPr>
              <w:kinsoku/>
              <w:wordWrap/>
              <w:overflowPunct/>
              <w:topLinePunct w:val="0"/>
              <w:autoSpaceDE/>
              <w:autoSpaceDN/>
              <w:bidi w:val="0"/>
              <w:adjustRightInd/>
              <w:snapToGrid/>
              <w:spacing w:after="0" w:line="300" w:lineRule="exact"/>
              <w:ind w:leftChars="0"/>
              <w:textAlignment w:val="auto"/>
              <w:rPr>
                <w:rFonts w:hint="eastAsia" w:ascii="仿宋" w:hAnsi="仿宋" w:eastAsia="仿宋" w:cs="仿宋"/>
                <w:bCs/>
                <w:kern w:val="0"/>
                <w:sz w:val="20"/>
                <w:szCs w:val="20"/>
                <w:lang w:val="en-US" w:eastAsia="zh-CN" w:bidi="ar"/>
              </w:rPr>
            </w:pPr>
            <w:r>
              <w:rPr>
                <w:rFonts w:hint="eastAsia" w:ascii="仿宋" w:hAnsi="仿宋" w:eastAsia="仿宋" w:cs="仿宋"/>
                <w:bCs/>
                <w:kern w:val="0"/>
                <w:sz w:val="20"/>
                <w:szCs w:val="20"/>
                <w:lang w:val="en-US" w:eastAsia="zh-CN" w:bidi="ar"/>
              </w:rPr>
              <w:t>部分完成。具体情况如下：</w:t>
            </w:r>
          </w:p>
          <w:p>
            <w:pPr>
              <w:pStyle w:val="2"/>
              <w:keepNext w:val="0"/>
              <w:keepLines w:val="0"/>
              <w:pageBreakBefore w:val="0"/>
              <w:widowControl/>
              <w:numPr>
                <w:ilvl w:val="0"/>
                <w:numId w:val="0"/>
              </w:numPr>
              <w:kinsoku/>
              <w:wordWrap/>
              <w:overflowPunct/>
              <w:topLinePunct w:val="0"/>
              <w:autoSpaceDE/>
              <w:autoSpaceDN/>
              <w:bidi w:val="0"/>
              <w:adjustRightInd/>
              <w:snapToGrid/>
              <w:spacing w:after="0" w:line="300" w:lineRule="exact"/>
              <w:ind w:leftChars="0"/>
              <w:textAlignment w:val="auto"/>
              <w:rPr>
                <w:rFonts w:hint="eastAsia" w:ascii="仿宋" w:hAnsi="仿宋" w:eastAsia="仿宋" w:cs="仿宋"/>
                <w:kern w:val="2"/>
                <w:sz w:val="20"/>
                <w:szCs w:val="20"/>
                <w:lang w:val="en-US" w:eastAsia="zh-CN" w:bidi="ar-SA"/>
              </w:rPr>
            </w:pPr>
            <w:r>
              <w:rPr>
                <w:rFonts w:hint="eastAsia" w:ascii="仿宋" w:hAnsi="仿宋" w:eastAsia="仿宋" w:cs="仿宋"/>
                <w:bCs/>
                <w:kern w:val="0"/>
                <w:sz w:val="20"/>
                <w:szCs w:val="20"/>
                <w:lang w:val="en-US" w:eastAsia="zh-CN" w:bidi="ar"/>
              </w:rPr>
              <w:t>已完成母基金组建的集团立项、中介服务机构（咨询机构、法务机构）的公开选聘。</w:t>
            </w:r>
            <w:r>
              <w:rPr>
                <w:rFonts w:hint="eastAsia" w:ascii="仿宋" w:hAnsi="仿宋" w:eastAsia="仿宋" w:cs="仿宋"/>
                <w:b w:val="0"/>
                <w:bCs/>
                <w:kern w:val="0"/>
                <w:sz w:val="20"/>
                <w:szCs w:val="20"/>
                <w:lang w:val="en-US" w:eastAsia="zh-CN" w:bidi="ar"/>
              </w:rPr>
              <w:t>母基金管理人公开选聘待协同</w:t>
            </w:r>
            <w:r>
              <w:rPr>
                <w:rFonts w:hint="eastAsia" w:ascii="仿宋" w:hAnsi="仿宋" w:eastAsia="仿宋" w:cs="仿宋"/>
                <w:bCs/>
                <w:kern w:val="0"/>
                <w:sz w:val="20"/>
                <w:szCs w:val="20"/>
                <w:lang w:val="en-US" w:eastAsia="zh-CN" w:bidi="ar"/>
              </w:rPr>
              <w:t>中介服务机构对管理人候选人完成尽调后推进完成。</w:t>
            </w:r>
          </w:p>
        </w:tc>
        <w:tc>
          <w:tcPr>
            <w:tcW w:w="1223" w:type="dxa"/>
            <w:tcBorders>
              <w:top w:val="single" w:color="auto" w:sz="4" w:space="0"/>
              <w:left w:val="single" w:color="auto" w:sz="4" w:space="0"/>
              <w:bottom w:val="single" w:color="auto" w:sz="4" w:space="0"/>
              <w:right w:val="nil"/>
            </w:tcBorders>
            <w:noWrap/>
            <w:tcMar>
              <w:top w:w="15" w:type="dxa"/>
              <w:left w:w="15" w:type="dxa"/>
              <w:right w:w="15" w:type="dxa"/>
            </w:tcMar>
            <w:vAlign w:val="center"/>
          </w:tcPr>
          <w:p>
            <w:pPr>
              <w:pStyle w:val="4"/>
              <w:keepNext w:val="0"/>
              <w:keepLines w:val="0"/>
              <w:pageBreakBefore w:val="0"/>
              <w:widowControl/>
              <w:kinsoku/>
              <w:wordWrap/>
              <w:overflowPunct/>
              <w:topLinePunct w:val="0"/>
              <w:autoSpaceDE/>
              <w:autoSpaceDN/>
              <w:bidi w:val="0"/>
              <w:adjustRightInd/>
              <w:snapToGrid/>
              <w:spacing w:line="300" w:lineRule="exact"/>
              <w:jc w:val="center"/>
              <w:rPr>
                <w:rFonts w:hint="default" w:ascii="仿宋" w:hAnsi="仿宋" w:eastAsia="仿宋" w:cs="仿宋"/>
                <w:sz w:val="20"/>
                <w:szCs w:val="20"/>
                <w:lang w:eastAsia="zh-CN"/>
              </w:rPr>
            </w:pPr>
            <w:r>
              <w:rPr>
                <w:rFonts w:hint="default" w:ascii="仿宋" w:hAnsi="仿宋" w:eastAsia="仿宋" w:cs="仿宋"/>
                <w:sz w:val="20"/>
                <w:szCs w:val="20"/>
                <w:lang w:eastAsia="zh-CN"/>
              </w:rPr>
              <w:t>90</w:t>
            </w:r>
          </w:p>
        </w:tc>
      </w:tr>
      <w:tr>
        <w:tblPrEx>
          <w:tblCellMar>
            <w:top w:w="0" w:type="dxa"/>
            <w:left w:w="0" w:type="dxa"/>
            <w:bottom w:w="0" w:type="dxa"/>
            <w:right w:w="0" w:type="dxa"/>
          </w:tblCellMar>
        </w:tblPrEx>
        <w:trPr>
          <w:trHeight w:val="2876" w:hRule="exact"/>
          <w:jc w:val="center"/>
        </w:trPr>
        <w:tc>
          <w:tcPr>
            <w:tcW w:w="600" w:type="dxa"/>
            <w:tcBorders>
              <w:top w:val="single" w:color="auto" w:sz="4" w:space="0"/>
              <w:left w:val="nil"/>
              <w:bottom w:val="single" w:color="auto" w:sz="4" w:space="0"/>
              <w:right w:val="single" w:color="auto"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7</w:t>
            </w:r>
          </w:p>
        </w:tc>
        <w:tc>
          <w:tcPr>
            <w:tcW w:w="1699" w:type="dxa"/>
            <w:vMerge w:val="continue"/>
            <w:tcBorders>
              <w:left w:val="single" w:color="auto" w:sz="4" w:space="0"/>
              <w:right w:val="single" w:color="auto"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仿宋" w:hAnsi="仿宋" w:eastAsia="仿宋" w:cs="仿宋"/>
                <w:sz w:val="24"/>
                <w:szCs w:val="24"/>
              </w:rPr>
            </w:pPr>
          </w:p>
        </w:tc>
        <w:tc>
          <w:tcPr>
            <w:tcW w:w="125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 w:hAnsi="仿宋" w:eastAsia="仿宋" w:cs="仿宋"/>
                <w:sz w:val="24"/>
                <w:szCs w:val="24"/>
                <w:lang w:eastAsia="zh-CN"/>
              </w:rPr>
            </w:pPr>
            <w:r>
              <w:rPr>
                <w:rFonts w:hint="eastAsia" w:ascii="仿宋" w:hAnsi="仿宋" w:eastAsia="仿宋" w:cs="仿宋"/>
                <w:sz w:val="24"/>
                <w:szCs w:val="24"/>
                <w:lang w:eastAsia="zh-CN"/>
              </w:rPr>
              <w:t>内部重组</w:t>
            </w:r>
          </w:p>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 w:hAnsi="仿宋" w:eastAsia="仿宋" w:cs="仿宋"/>
                <w:sz w:val="24"/>
                <w:szCs w:val="24"/>
                <w:lang w:eastAsia="zh-CN"/>
              </w:rPr>
            </w:pPr>
            <w:r>
              <w:rPr>
                <w:rFonts w:hint="eastAsia" w:ascii="仿宋" w:hAnsi="仿宋" w:eastAsia="仿宋" w:cs="仿宋"/>
                <w:sz w:val="24"/>
                <w:szCs w:val="24"/>
                <w:lang w:eastAsia="zh-CN"/>
              </w:rPr>
              <w:t>整合</w:t>
            </w:r>
          </w:p>
        </w:tc>
        <w:tc>
          <w:tcPr>
            <w:tcW w:w="221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仿宋" w:hAnsi="仿宋" w:eastAsia="仿宋" w:cs="仿宋"/>
                <w:sz w:val="20"/>
                <w:szCs w:val="20"/>
                <w:lang w:eastAsia="zh-CN"/>
              </w:rPr>
            </w:pPr>
            <w:r>
              <w:rPr>
                <w:rFonts w:hint="eastAsia" w:ascii="仿宋" w:hAnsi="仿宋" w:eastAsia="仿宋" w:cs="仿宋"/>
                <w:sz w:val="20"/>
                <w:szCs w:val="20"/>
                <w:lang w:eastAsia="zh-CN"/>
              </w:rPr>
              <w:t>完成软智军团股权重组的集团立项及中介机构选聘；完成视听军团重组事项的集团审批及实施；完成九洲隆瓴与九洲智造整合的集团审批及实施。</w:t>
            </w:r>
          </w:p>
        </w:tc>
        <w:tc>
          <w:tcPr>
            <w:tcW w:w="67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20%</w:t>
            </w:r>
          </w:p>
        </w:tc>
        <w:tc>
          <w:tcPr>
            <w:tcW w:w="5523" w:type="dxa"/>
            <w:tcBorders>
              <w:top w:val="single" w:color="auto" w:sz="4" w:space="0"/>
              <w:left w:val="single" w:color="auto" w:sz="4" w:space="0"/>
              <w:bottom w:val="single" w:color="auto" w:sz="4" w:space="0"/>
              <w:right w:val="nil"/>
            </w:tcBorders>
            <w:noWrap/>
            <w:tcMar>
              <w:top w:w="15" w:type="dxa"/>
              <w:left w:w="15" w:type="dxa"/>
              <w:right w:w="15" w:type="dxa"/>
            </w:tcMar>
            <w:vAlign w:val="center"/>
          </w:tcPr>
          <w:p>
            <w:pPr>
              <w:pStyle w:val="2"/>
              <w:keepNext w:val="0"/>
              <w:keepLines w:val="0"/>
              <w:pageBreakBefore w:val="0"/>
              <w:widowControl/>
              <w:numPr>
                <w:ilvl w:val="0"/>
                <w:numId w:val="0"/>
              </w:numPr>
              <w:kinsoku/>
              <w:wordWrap/>
              <w:overflowPunct/>
              <w:topLinePunct w:val="0"/>
              <w:autoSpaceDE/>
              <w:autoSpaceDN/>
              <w:bidi w:val="0"/>
              <w:adjustRightInd/>
              <w:snapToGrid/>
              <w:spacing w:after="0" w:line="300" w:lineRule="exact"/>
              <w:ind w:leftChars="0"/>
              <w:textAlignment w:val="auto"/>
              <w:rPr>
                <w:rFonts w:hint="eastAsia" w:ascii="仿宋" w:hAnsi="仿宋" w:eastAsia="仿宋" w:cs="仿宋"/>
                <w:bCs/>
                <w:kern w:val="0"/>
                <w:sz w:val="20"/>
                <w:szCs w:val="20"/>
                <w:lang w:val="en-US" w:eastAsia="zh-CN" w:bidi="ar"/>
              </w:rPr>
            </w:pPr>
            <w:r>
              <w:rPr>
                <w:rFonts w:hint="eastAsia" w:ascii="仿宋" w:hAnsi="仿宋" w:eastAsia="仿宋" w:cs="仿宋"/>
                <w:bCs/>
                <w:kern w:val="0"/>
                <w:sz w:val="20"/>
                <w:szCs w:val="20"/>
                <w:lang w:val="en-US" w:eastAsia="zh-CN" w:bidi="ar"/>
              </w:rPr>
              <w:t>部分完成。具体情况如下：</w:t>
            </w:r>
          </w:p>
          <w:p>
            <w:pPr>
              <w:pStyle w:val="2"/>
              <w:keepNext w:val="0"/>
              <w:keepLines w:val="0"/>
              <w:pageBreakBefore w:val="0"/>
              <w:widowControl/>
              <w:numPr>
                <w:ilvl w:val="0"/>
                <w:numId w:val="0"/>
              </w:numPr>
              <w:kinsoku/>
              <w:wordWrap/>
              <w:overflowPunct/>
              <w:topLinePunct w:val="0"/>
              <w:autoSpaceDE/>
              <w:autoSpaceDN/>
              <w:bidi w:val="0"/>
              <w:adjustRightInd/>
              <w:snapToGrid/>
              <w:spacing w:after="0" w:line="300" w:lineRule="exact"/>
              <w:ind w:leftChars="0"/>
              <w:textAlignment w:val="auto"/>
              <w:rPr>
                <w:rFonts w:hint="eastAsia" w:ascii="仿宋" w:hAnsi="仿宋" w:eastAsia="仿宋" w:cs="仿宋"/>
                <w:bCs/>
                <w:kern w:val="0"/>
                <w:sz w:val="20"/>
                <w:szCs w:val="20"/>
                <w:lang w:val="en-US" w:eastAsia="zh-CN" w:bidi="ar"/>
              </w:rPr>
            </w:pPr>
            <w:r>
              <w:rPr>
                <w:rFonts w:hint="eastAsia" w:ascii="仿宋" w:hAnsi="仿宋" w:eastAsia="仿宋" w:cs="仿宋"/>
                <w:bCs/>
                <w:kern w:val="0"/>
                <w:sz w:val="20"/>
                <w:szCs w:val="20"/>
                <w:lang w:val="en-US" w:eastAsia="zh-CN" w:bidi="ar"/>
              </w:rPr>
              <w:t>1.已完成软智军团股权重组项目的集团立项，并完成中介机构选聘方案的审批及比选公告发布。</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rPr>
                <w:rFonts w:hint="eastAsia" w:ascii="仿宋" w:hAnsi="仿宋" w:eastAsia="仿宋" w:cs="仿宋"/>
                <w:bCs/>
                <w:kern w:val="0"/>
                <w:sz w:val="20"/>
                <w:szCs w:val="20"/>
                <w:lang w:val="en-US" w:eastAsia="zh-CN" w:bidi="ar"/>
              </w:rPr>
            </w:pPr>
            <w:r>
              <w:rPr>
                <w:rFonts w:hint="eastAsia" w:ascii="仿宋" w:hAnsi="仿宋" w:eastAsia="仿宋" w:cs="仿宋"/>
                <w:bCs/>
                <w:kern w:val="0"/>
                <w:sz w:val="20"/>
                <w:szCs w:val="20"/>
                <w:lang w:val="en-US" w:eastAsia="zh-CN" w:bidi="ar"/>
              </w:rPr>
              <w:t>2.已完成视听军团重组事项立项，并根据立项意见组织相关单位开展资产重组税收筹划论证。因深圳当地税务局对税收事先裁定事项的反馈以及相关沟通论证等耗时较长，未完成方案制定及审批。</w:t>
            </w:r>
          </w:p>
          <w:p>
            <w:pPr>
              <w:pStyle w:val="2"/>
              <w:keepNext w:val="0"/>
              <w:keepLines w:val="0"/>
              <w:pageBreakBefore w:val="0"/>
              <w:widowControl/>
              <w:numPr>
                <w:ilvl w:val="0"/>
                <w:numId w:val="0"/>
              </w:numPr>
              <w:kinsoku/>
              <w:wordWrap/>
              <w:overflowPunct/>
              <w:topLinePunct w:val="0"/>
              <w:autoSpaceDE/>
              <w:autoSpaceDN/>
              <w:bidi w:val="0"/>
              <w:adjustRightInd/>
              <w:snapToGrid/>
              <w:spacing w:after="0" w:line="300" w:lineRule="exact"/>
              <w:ind w:leftChars="0"/>
              <w:textAlignment w:val="auto"/>
              <w:rPr>
                <w:rFonts w:hint="default" w:ascii="仿宋" w:hAnsi="仿宋" w:eastAsia="仿宋" w:cs="仿宋"/>
                <w:bCs/>
                <w:kern w:val="0"/>
                <w:sz w:val="20"/>
                <w:szCs w:val="20"/>
                <w:lang w:val="en-US" w:eastAsia="zh-CN" w:bidi="ar"/>
              </w:rPr>
            </w:pPr>
            <w:r>
              <w:rPr>
                <w:rFonts w:hint="eastAsia" w:ascii="仿宋" w:hAnsi="仿宋" w:eastAsia="仿宋" w:cs="仿宋"/>
                <w:bCs/>
                <w:kern w:val="0"/>
                <w:sz w:val="20"/>
                <w:szCs w:val="20"/>
                <w:lang w:val="en-US" w:eastAsia="zh-CN" w:bidi="ar"/>
              </w:rPr>
              <w:t>3.已完成九洲隆瓴与九洲智造整合的党委会审议、董事会决策及无偿划转协议签署。</w:t>
            </w:r>
          </w:p>
        </w:tc>
        <w:tc>
          <w:tcPr>
            <w:tcW w:w="1223" w:type="dxa"/>
            <w:tcBorders>
              <w:top w:val="single" w:color="auto" w:sz="4" w:space="0"/>
              <w:left w:val="single" w:color="auto" w:sz="4" w:space="0"/>
              <w:bottom w:val="single" w:color="auto" w:sz="4" w:space="0"/>
              <w:right w:val="nil"/>
            </w:tcBorders>
            <w:noWrap/>
            <w:tcMar>
              <w:top w:w="15" w:type="dxa"/>
              <w:left w:w="15" w:type="dxa"/>
              <w:right w:w="15" w:type="dxa"/>
            </w:tcMar>
            <w:vAlign w:val="center"/>
          </w:tcPr>
          <w:p>
            <w:pPr>
              <w:pStyle w:val="4"/>
              <w:keepNext w:val="0"/>
              <w:keepLines w:val="0"/>
              <w:pageBreakBefore w:val="0"/>
              <w:widowControl/>
              <w:kinsoku/>
              <w:wordWrap/>
              <w:overflowPunct/>
              <w:topLinePunct w:val="0"/>
              <w:autoSpaceDE/>
              <w:autoSpaceDN/>
              <w:bidi w:val="0"/>
              <w:adjustRightInd/>
              <w:snapToGrid/>
              <w:spacing w:line="300" w:lineRule="exact"/>
              <w:jc w:val="center"/>
              <w:rPr>
                <w:rFonts w:hint="default" w:ascii="仿宋" w:hAnsi="仿宋" w:eastAsia="仿宋" w:cs="仿宋"/>
                <w:sz w:val="20"/>
                <w:szCs w:val="20"/>
                <w:lang w:eastAsia="zh-CN"/>
              </w:rPr>
            </w:pPr>
            <w:r>
              <w:rPr>
                <w:rFonts w:hint="default" w:ascii="仿宋" w:hAnsi="仿宋" w:eastAsia="仿宋" w:cs="仿宋"/>
                <w:sz w:val="20"/>
                <w:szCs w:val="20"/>
                <w:lang w:eastAsia="zh-CN"/>
              </w:rPr>
              <w:t>95</w:t>
            </w:r>
          </w:p>
        </w:tc>
      </w:tr>
      <w:tr>
        <w:tblPrEx>
          <w:tblCellMar>
            <w:top w:w="0" w:type="dxa"/>
            <w:left w:w="0" w:type="dxa"/>
            <w:bottom w:w="0" w:type="dxa"/>
            <w:right w:w="0" w:type="dxa"/>
          </w:tblCellMar>
        </w:tblPrEx>
        <w:trPr>
          <w:trHeight w:val="1358" w:hRule="exact"/>
          <w:jc w:val="center"/>
        </w:trPr>
        <w:tc>
          <w:tcPr>
            <w:tcW w:w="600" w:type="dxa"/>
            <w:tcBorders>
              <w:top w:val="single" w:color="auto" w:sz="4" w:space="0"/>
              <w:left w:val="nil"/>
              <w:bottom w:val="single" w:color="auto" w:sz="4" w:space="0"/>
              <w:right w:val="single" w:color="auto"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8</w:t>
            </w:r>
          </w:p>
        </w:tc>
        <w:tc>
          <w:tcPr>
            <w:tcW w:w="1699" w:type="dxa"/>
            <w:vMerge w:val="continue"/>
            <w:tcBorders>
              <w:left w:val="single" w:color="auto" w:sz="4" w:space="0"/>
              <w:bottom w:val="single" w:color="auto" w:sz="4" w:space="0"/>
              <w:right w:val="single" w:color="auto"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仿宋" w:hAnsi="仿宋" w:eastAsia="仿宋" w:cs="仿宋"/>
                <w:sz w:val="24"/>
                <w:szCs w:val="24"/>
              </w:rPr>
            </w:pPr>
          </w:p>
        </w:tc>
        <w:tc>
          <w:tcPr>
            <w:tcW w:w="1250"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 w:hAnsi="仿宋" w:eastAsia="仿宋" w:cs="仿宋"/>
                <w:sz w:val="24"/>
                <w:szCs w:val="24"/>
                <w:lang w:eastAsia="zh-CN"/>
              </w:rPr>
            </w:pPr>
            <w:r>
              <w:rPr>
                <w:rFonts w:hint="eastAsia" w:ascii="仿宋" w:hAnsi="仿宋" w:eastAsia="仿宋" w:cs="仿宋"/>
                <w:sz w:val="24"/>
                <w:szCs w:val="24"/>
                <w:lang w:eastAsia="zh-CN"/>
              </w:rPr>
              <w:t>投后管理</w:t>
            </w:r>
          </w:p>
        </w:tc>
        <w:tc>
          <w:tcPr>
            <w:tcW w:w="221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eastAsia" w:ascii="仿宋" w:hAnsi="仿宋" w:eastAsia="仿宋" w:cs="仿宋"/>
                <w:sz w:val="20"/>
                <w:szCs w:val="20"/>
                <w:lang w:eastAsia="zh-CN"/>
              </w:rPr>
            </w:pPr>
            <w:r>
              <w:rPr>
                <w:rFonts w:hint="eastAsia" w:ascii="仿宋" w:hAnsi="仿宋" w:eastAsia="仿宋" w:cs="仿宋"/>
                <w:sz w:val="20"/>
                <w:szCs w:val="20"/>
                <w:lang w:eastAsia="zh-CN"/>
              </w:rPr>
              <w:t>形成东强并购项目的融合发展与投后管理方案，提交集团党委会审议，后续按方案推进实施。</w:t>
            </w:r>
          </w:p>
        </w:tc>
        <w:tc>
          <w:tcPr>
            <w:tcW w:w="675"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10%</w:t>
            </w:r>
          </w:p>
        </w:tc>
        <w:tc>
          <w:tcPr>
            <w:tcW w:w="5523" w:type="dxa"/>
            <w:tcBorders>
              <w:top w:val="single" w:color="auto" w:sz="4" w:space="0"/>
              <w:left w:val="single" w:color="auto" w:sz="4" w:space="0"/>
              <w:bottom w:val="single" w:color="auto" w:sz="4" w:space="0"/>
              <w:right w:val="nil"/>
            </w:tcBorders>
            <w:noWrap/>
            <w:tcMar>
              <w:top w:w="15" w:type="dxa"/>
              <w:left w:w="15" w:type="dxa"/>
              <w:right w:w="15" w:type="dxa"/>
            </w:tcMar>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1" w:after="0" w:afterAutospacing="1" w:line="300" w:lineRule="exact"/>
              <w:jc w:val="both"/>
              <w:rPr>
                <w:rFonts w:hint="eastAsia" w:ascii="仿宋" w:hAnsi="仿宋" w:eastAsia="仿宋" w:cs="仿宋"/>
                <w:kern w:val="2"/>
                <w:sz w:val="20"/>
                <w:szCs w:val="20"/>
                <w:lang w:val="en-US" w:eastAsia="zh-CN" w:bidi="ar-SA"/>
              </w:rPr>
            </w:pPr>
            <w:r>
              <w:rPr>
                <w:rFonts w:hint="eastAsia" w:ascii="仿宋" w:hAnsi="仿宋" w:eastAsia="仿宋" w:cs="仿宋"/>
                <w:kern w:val="2"/>
                <w:sz w:val="20"/>
                <w:szCs w:val="20"/>
                <w:lang w:val="en-US" w:eastAsia="zh-CN" w:bidi="ar-SA"/>
              </w:rPr>
              <w:t>部分完成。已形成投后管理方案，并根据集团两次会议讨论意见进行修订后，已完成党委会议题申报流程审批，待下次党委会审议。</w:t>
            </w:r>
          </w:p>
        </w:tc>
        <w:tc>
          <w:tcPr>
            <w:tcW w:w="1223" w:type="dxa"/>
            <w:tcBorders>
              <w:top w:val="single" w:color="auto" w:sz="4" w:space="0"/>
              <w:left w:val="single" w:color="auto" w:sz="4" w:space="0"/>
              <w:bottom w:val="single" w:color="auto" w:sz="4" w:space="0"/>
              <w:right w:val="nil"/>
            </w:tcBorders>
            <w:noWrap/>
            <w:tcMar>
              <w:top w:w="15" w:type="dxa"/>
              <w:left w:w="15" w:type="dxa"/>
              <w:right w:w="15" w:type="dxa"/>
            </w:tcMar>
            <w:vAlign w:val="center"/>
          </w:tcPr>
          <w:p>
            <w:pPr>
              <w:pStyle w:val="4"/>
              <w:keepNext w:val="0"/>
              <w:keepLines w:val="0"/>
              <w:pageBreakBefore w:val="0"/>
              <w:widowControl/>
              <w:kinsoku/>
              <w:wordWrap/>
              <w:overflowPunct/>
              <w:topLinePunct w:val="0"/>
              <w:autoSpaceDE/>
              <w:autoSpaceDN/>
              <w:bidi w:val="0"/>
              <w:adjustRightInd/>
              <w:snapToGrid/>
              <w:spacing w:line="300" w:lineRule="exact"/>
              <w:jc w:val="center"/>
              <w:rPr>
                <w:rFonts w:hint="default" w:ascii="仿宋" w:hAnsi="仿宋" w:eastAsia="仿宋" w:cs="仿宋"/>
                <w:sz w:val="22"/>
                <w:szCs w:val="22"/>
                <w:lang w:eastAsia="zh-CN"/>
              </w:rPr>
            </w:pPr>
            <w:r>
              <w:rPr>
                <w:rFonts w:hint="default" w:ascii="仿宋" w:hAnsi="仿宋" w:eastAsia="仿宋" w:cs="仿宋"/>
                <w:sz w:val="22"/>
                <w:szCs w:val="22"/>
                <w:lang w:eastAsia="zh-CN"/>
              </w:rPr>
              <w:t>95</w:t>
            </w:r>
          </w:p>
        </w:tc>
      </w:tr>
      <w:tr>
        <w:tblPrEx>
          <w:tblCellMar>
            <w:top w:w="0" w:type="dxa"/>
            <w:left w:w="0" w:type="dxa"/>
            <w:bottom w:w="0" w:type="dxa"/>
            <w:right w:w="0" w:type="dxa"/>
          </w:tblCellMar>
        </w:tblPrEx>
        <w:trPr>
          <w:trHeight w:val="749" w:hRule="atLeast"/>
          <w:jc w:val="center"/>
        </w:trPr>
        <w:tc>
          <w:tcPr>
            <w:tcW w:w="2299" w:type="dxa"/>
            <w:gridSpan w:val="2"/>
            <w:tcBorders>
              <w:top w:val="single" w:color="auto" w:sz="4" w:space="0"/>
              <w:left w:val="nil"/>
              <w:bottom w:val="single" w:color="auto" w:sz="4" w:space="0"/>
              <w:right w:val="single" w:color="auto" w:sz="4" w:space="0"/>
            </w:tcBorders>
            <w:tcMar>
              <w:top w:w="15" w:type="dxa"/>
              <w:left w:w="15" w:type="dxa"/>
              <w:right w:w="15" w:type="dxa"/>
            </w:tcMar>
            <w:vAlign w:val="center"/>
          </w:tcPr>
          <w:p>
            <w:pPr>
              <w:widowControl/>
              <w:jc w:val="center"/>
              <w:textAlignment w:val="center"/>
              <w:rPr>
                <w:rFonts w:ascii="仿宋" w:hAnsi="仿宋" w:eastAsia="仿宋" w:cs="仿宋"/>
                <w:b/>
                <w:bCs/>
                <w:szCs w:val="21"/>
              </w:rPr>
            </w:pPr>
            <w:r>
              <w:rPr>
                <w:rFonts w:hint="eastAsia" w:ascii="仿宋" w:hAnsi="仿宋" w:eastAsia="仿宋" w:cs="仿宋"/>
                <w:b/>
                <w:bCs/>
                <w:szCs w:val="21"/>
              </w:rPr>
              <w:t>加扣分考核事项</w:t>
            </w:r>
          </w:p>
          <w:p>
            <w:pPr>
              <w:widowControl/>
              <w:jc w:val="center"/>
              <w:textAlignment w:val="center"/>
              <w:rPr>
                <w:rFonts w:ascii="仿宋" w:hAnsi="仿宋" w:eastAsia="仿宋" w:cs="仿宋"/>
              </w:rPr>
            </w:pPr>
            <w:r>
              <w:rPr>
                <w:rFonts w:hint="eastAsia" w:ascii="仿宋" w:hAnsi="仿宋" w:eastAsia="仿宋" w:cs="仿宋"/>
                <w:b/>
                <w:bCs/>
                <w:szCs w:val="21"/>
              </w:rPr>
              <w:t>（佐证材料提供附件）</w:t>
            </w:r>
          </w:p>
        </w:tc>
        <w:tc>
          <w:tcPr>
            <w:tcW w:w="10882" w:type="dxa"/>
            <w:gridSpan w:val="5"/>
            <w:tcBorders>
              <w:top w:val="single" w:color="auto" w:sz="4" w:space="0"/>
              <w:left w:val="single" w:color="auto" w:sz="4" w:space="0"/>
              <w:bottom w:val="single" w:color="auto" w:sz="4" w:space="0"/>
              <w:right w:val="nil"/>
            </w:tcBorders>
            <w:tcMar>
              <w:top w:w="15" w:type="dxa"/>
              <w:left w:w="15" w:type="dxa"/>
              <w:right w:w="15" w:type="dxa"/>
            </w:tcMar>
            <w:vAlign w:val="center"/>
          </w:tcPr>
          <w:p>
            <w:pPr>
              <w:pStyle w:val="2"/>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Chars="0"/>
              <w:textAlignment w:val="auto"/>
              <w:rPr>
                <w:rFonts w:hint="default" w:ascii="仿宋" w:hAnsi="仿宋" w:eastAsia="仿宋" w:cs="仿宋"/>
                <w:sz w:val="20"/>
                <w:szCs w:val="20"/>
                <w:lang w:val="en-US" w:eastAsia="zh-CN"/>
              </w:rPr>
            </w:pPr>
          </w:p>
        </w:tc>
      </w:tr>
      <w:tr>
        <w:tblPrEx>
          <w:tblCellMar>
            <w:top w:w="0" w:type="dxa"/>
            <w:left w:w="0" w:type="dxa"/>
            <w:bottom w:w="0" w:type="dxa"/>
            <w:right w:w="0" w:type="dxa"/>
          </w:tblCellMar>
        </w:tblPrEx>
        <w:trPr>
          <w:trHeight w:val="442" w:hRule="atLeast"/>
          <w:jc w:val="center"/>
        </w:trPr>
        <w:tc>
          <w:tcPr>
            <w:tcW w:w="2299" w:type="dxa"/>
            <w:gridSpan w:val="2"/>
            <w:tcBorders>
              <w:top w:val="single" w:color="auto" w:sz="4" w:space="0"/>
              <w:left w:val="nil"/>
              <w:bottom w:val="single" w:color="auto" w:sz="4" w:space="0"/>
              <w:right w:val="single" w:color="auto" w:sz="4" w:space="0"/>
            </w:tcBorders>
            <w:tcMar>
              <w:top w:w="15" w:type="dxa"/>
              <w:left w:w="15" w:type="dxa"/>
              <w:right w:w="15" w:type="dxa"/>
            </w:tcMar>
            <w:vAlign w:val="center"/>
          </w:tcPr>
          <w:p>
            <w:pPr>
              <w:widowControl/>
              <w:jc w:val="center"/>
              <w:textAlignment w:val="center"/>
              <w:rPr>
                <w:rFonts w:ascii="仿宋" w:hAnsi="仿宋" w:eastAsia="仿宋" w:cs="仿宋"/>
                <w:b/>
                <w:bCs/>
                <w:szCs w:val="21"/>
              </w:rPr>
            </w:pPr>
            <w:r>
              <w:rPr>
                <w:rFonts w:hint="eastAsia" w:ascii="仿宋" w:hAnsi="仿宋" w:eastAsia="仿宋" w:cs="仿宋"/>
                <w:b/>
                <w:bCs/>
                <w:szCs w:val="21"/>
              </w:rPr>
              <w:t>考核得分</w:t>
            </w:r>
          </w:p>
        </w:tc>
        <w:tc>
          <w:tcPr>
            <w:tcW w:w="10882" w:type="dxa"/>
            <w:gridSpan w:val="5"/>
            <w:tcBorders>
              <w:top w:val="single" w:color="auto" w:sz="4" w:space="0"/>
              <w:left w:val="single" w:color="auto" w:sz="4" w:space="0"/>
              <w:bottom w:val="single" w:color="auto" w:sz="4" w:space="0"/>
              <w:right w:val="nil"/>
            </w:tcBorders>
            <w:tcMar>
              <w:top w:w="15" w:type="dxa"/>
              <w:left w:w="15" w:type="dxa"/>
              <w:right w:w="15" w:type="dxa"/>
            </w:tcMar>
            <w:vAlign w:val="center"/>
          </w:tcPr>
          <w:p>
            <w:pPr>
              <w:widowControl/>
              <w:jc w:val="left"/>
              <w:textAlignment w:val="center"/>
              <w:rPr>
                <w:rFonts w:hint="default" w:ascii="仿宋" w:hAnsi="仿宋" w:eastAsia="仿宋" w:cs="仿宋"/>
                <w:bCs/>
                <w:kern w:val="0"/>
                <w:sz w:val="20"/>
                <w:szCs w:val="20"/>
                <w:lang w:val="en-US" w:eastAsia="zh-CN" w:bidi="ar"/>
              </w:rPr>
            </w:pPr>
            <w:r>
              <w:rPr>
                <w:rFonts w:hint="eastAsia" w:ascii="仿宋" w:hAnsi="仿宋" w:eastAsia="仿宋" w:cs="仿宋"/>
                <w:bCs/>
                <w:kern w:val="0"/>
                <w:sz w:val="20"/>
                <w:szCs w:val="20"/>
                <w:lang w:val="en-US" w:eastAsia="zh-CN" w:bidi="ar"/>
              </w:rPr>
              <w:t>93.6</w:t>
            </w:r>
          </w:p>
        </w:tc>
      </w:tr>
      <w:tr>
        <w:tblPrEx>
          <w:tblCellMar>
            <w:top w:w="0" w:type="dxa"/>
            <w:left w:w="0" w:type="dxa"/>
            <w:bottom w:w="0" w:type="dxa"/>
            <w:right w:w="0" w:type="dxa"/>
          </w:tblCellMar>
        </w:tblPrEx>
        <w:trPr>
          <w:trHeight w:val="707" w:hRule="atLeast"/>
          <w:jc w:val="center"/>
        </w:trPr>
        <w:tc>
          <w:tcPr>
            <w:tcW w:w="2299" w:type="dxa"/>
            <w:gridSpan w:val="2"/>
            <w:tcBorders>
              <w:top w:val="single" w:color="auto" w:sz="4" w:space="0"/>
              <w:left w:val="nil"/>
              <w:bottom w:val="single" w:color="auto" w:sz="4" w:space="0"/>
              <w:right w:val="single" w:color="auto" w:sz="4" w:space="0"/>
            </w:tcBorders>
            <w:tcMar>
              <w:top w:w="15" w:type="dxa"/>
              <w:left w:w="15" w:type="dxa"/>
              <w:right w:w="15" w:type="dxa"/>
            </w:tcMar>
            <w:vAlign w:val="center"/>
          </w:tcPr>
          <w:p>
            <w:pPr>
              <w:widowControl/>
              <w:spacing w:line="280" w:lineRule="exact"/>
              <w:jc w:val="center"/>
              <w:textAlignment w:val="center"/>
              <w:rPr>
                <w:rFonts w:ascii="仿宋" w:hAnsi="仿宋" w:eastAsia="仿宋" w:cs="仿宋"/>
              </w:rPr>
            </w:pPr>
            <w:r>
              <w:rPr>
                <w:rFonts w:hint="eastAsia" w:ascii="仿宋" w:hAnsi="仿宋" w:eastAsia="仿宋" w:cs="仿宋"/>
              </w:rPr>
              <w:t>指标解释</w:t>
            </w:r>
          </w:p>
          <w:p>
            <w:pPr>
              <w:widowControl/>
              <w:spacing w:line="280" w:lineRule="exact"/>
              <w:jc w:val="center"/>
              <w:textAlignment w:val="center"/>
              <w:rPr>
                <w:rFonts w:ascii="仿宋" w:hAnsi="仿宋" w:eastAsia="仿宋" w:cs="仿宋"/>
                <w:bCs/>
                <w:kern w:val="0"/>
                <w:sz w:val="20"/>
                <w:szCs w:val="20"/>
                <w:lang w:bidi="ar"/>
              </w:rPr>
            </w:pPr>
            <w:r>
              <w:rPr>
                <w:rFonts w:hint="eastAsia" w:ascii="仿宋" w:hAnsi="仿宋" w:eastAsia="仿宋" w:cs="仿宋"/>
              </w:rPr>
              <w:t>和相关说明</w:t>
            </w:r>
          </w:p>
        </w:tc>
        <w:tc>
          <w:tcPr>
            <w:tcW w:w="10882" w:type="dxa"/>
            <w:gridSpan w:val="5"/>
            <w:tcBorders>
              <w:top w:val="single" w:color="auto" w:sz="4" w:space="0"/>
              <w:left w:val="single" w:color="auto" w:sz="4" w:space="0"/>
              <w:bottom w:val="single" w:color="auto" w:sz="4" w:space="0"/>
              <w:right w:val="nil"/>
            </w:tcBorders>
            <w:tcMar>
              <w:top w:w="15" w:type="dxa"/>
              <w:left w:w="15" w:type="dxa"/>
              <w:right w:w="15" w:type="dxa"/>
            </w:tcMar>
            <w:vAlign w:val="center"/>
          </w:tcPr>
          <w:p>
            <w:pPr>
              <w:widowControl/>
              <w:textAlignment w:val="center"/>
              <w:rPr>
                <w:rFonts w:hint="eastAsia" w:ascii="仿宋" w:hAnsi="仿宋" w:eastAsia="仿宋" w:cs="仿宋"/>
                <w:bCs/>
                <w:kern w:val="0"/>
                <w:sz w:val="20"/>
                <w:szCs w:val="20"/>
                <w:lang w:eastAsia="zh-CN" w:bidi="ar"/>
              </w:rPr>
            </w:pPr>
            <w:r>
              <w:rPr>
                <w:rFonts w:hint="eastAsia" w:ascii="仿宋" w:hAnsi="仿宋" w:eastAsia="仿宋" w:cs="仿宋"/>
                <w:bCs/>
                <w:kern w:val="0"/>
                <w:sz w:val="20"/>
                <w:szCs w:val="20"/>
                <w:lang w:bidi="ar"/>
              </w:rPr>
              <w:t>指标解释：</w:t>
            </w:r>
            <w:r>
              <w:rPr>
                <w:rFonts w:hint="eastAsia" w:ascii="仿宋" w:hAnsi="仿宋" w:eastAsia="仿宋" w:cs="仿宋"/>
                <w:bCs/>
                <w:kern w:val="0"/>
                <w:sz w:val="20"/>
                <w:szCs w:val="20"/>
                <w:lang w:eastAsia="zh-CN" w:bidi="ar"/>
              </w:rPr>
              <w:t>——</w:t>
            </w:r>
          </w:p>
          <w:p>
            <w:pPr>
              <w:widowControl/>
              <w:textAlignment w:val="center"/>
              <w:rPr>
                <w:rFonts w:ascii="仿宋" w:hAnsi="仿宋" w:eastAsia="仿宋" w:cs="仿宋"/>
                <w:bCs/>
                <w:kern w:val="0"/>
                <w:sz w:val="20"/>
                <w:szCs w:val="20"/>
                <w:lang w:bidi="ar"/>
              </w:rPr>
            </w:pPr>
            <w:r>
              <w:rPr>
                <w:rFonts w:hint="eastAsia" w:ascii="仿宋" w:hAnsi="仿宋" w:eastAsia="仿宋" w:cs="仿宋"/>
                <w:bCs/>
                <w:kern w:val="0"/>
                <w:sz w:val="20"/>
                <w:szCs w:val="20"/>
                <w:lang w:bidi="ar"/>
              </w:rPr>
              <w:t>相关说明：满意度测评结果由公司办公室组织后另行上报公司绩效管理小组，以作为评分依据。</w:t>
            </w:r>
          </w:p>
        </w:tc>
      </w:tr>
    </w:tbl>
    <w:p>
      <w:pPr>
        <w:rPr>
          <w:rFonts w:ascii="仿宋" w:hAnsi="仿宋" w:eastAsia="仿宋" w:cs="仿宋"/>
        </w:rPr>
      </w:pPr>
    </w:p>
    <w:p>
      <w:pPr>
        <w:rPr>
          <w:rFonts w:hint="default" w:ascii="仿宋" w:hAnsi="仿宋" w:eastAsia="仿宋" w:cs="仿宋"/>
          <w:lang w:val="en-US" w:eastAsia="zh-CN"/>
        </w:rPr>
      </w:pPr>
      <w:r>
        <w:rPr>
          <w:rFonts w:hint="eastAsia" w:ascii="仿宋" w:hAnsi="仿宋" w:eastAsia="仿宋" w:cs="仿宋"/>
        </w:rPr>
        <w:t xml:space="preserve">分管公司领导：               部门第一负责人：                     制表人：               </w:t>
      </w:r>
      <w:r>
        <w:rPr>
          <w:rFonts w:hint="eastAsia" w:ascii="仿宋" w:hAnsi="仿宋" w:eastAsia="仿宋" w:cs="仿宋"/>
          <w:lang w:val="en-US" w:eastAsia="zh-CN"/>
        </w:rPr>
        <w:t xml:space="preserve">    </w:t>
      </w:r>
      <w:r>
        <w:rPr>
          <w:rFonts w:hint="eastAsia" w:ascii="仿宋" w:hAnsi="仿宋" w:eastAsia="仿宋" w:cs="仿宋"/>
        </w:rPr>
        <w:t xml:space="preserve">  制表时间：</w:t>
      </w:r>
    </w:p>
    <w:sectPr>
      <w:footerReference r:id="rId3" w:type="default"/>
      <w:pgSz w:w="16838" w:h="11906" w:orient="landscape"/>
      <w:pgMar w:top="1361" w:right="1984" w:bottom="1134" w:left="1984" w:header="567" w:footer="510" w:gutter="0"/>
      <w:pgBorders>
        <w:top w:val="none" w:sz="0" w:space="0"/>
        <w:left w:val="none" w:sz="0" w:space="0"/>
        <w:bottom w:val="none" w:sz="0" w:space="0"/>
        <w:right w:val="none" w:sz="0" w:space="0"/>
      </w:pgBorders>
      <w:pgNumType w:start="1"/>
      <w:cols w:space="0" w:num="1"/>
      <w:docGrid w:type="lines" w:linePitch="32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汉仪书宋二KW"/>
    <w:panose1 w:val="02010600030101010101"/>
    <w:charset w:val="7A"/>
    <w:family w:val="auto"/>
    <w:pitch w:val="default"/>
    <w:sig w:usb0="00000000" w:usb1="00000000" w:usb2="00000006" w:usb3="00000000" w:csb0="00040001"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仿宋">
    <w:altName w:val="汉仪仿宋KW"/>
    <w:panose1 w:val="02010609060101010101"/>
    <w:charset w:val="86"/>
    <w:family w:val="modern"/>
    <w:pitch w:val="default"/>
    <w:sig w:usb0="00000000" w:usb1="00000000" w:usb2="00000016" w:usb3="00000000" w:csb0="00040001" w:csb1="00000000"/>
  </w:font>
  <w:font w:name="华文仿宋">
    <w:panose1 w:val="02010600040101010101"/>
    <w:charset w:val="7A"/>
    <w:family w:val="auto"/>
    <w:pitch w:val="default"/>
    <w:sig w:usb0="00000287" w:usb1="080F0000" w:usb2="00000000" w:usb3="00000000" w:csb0="0004009F" w:csb1="DFD70000"/>
  </w:font>
  <w:font w:name="汉仪仿宋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bookmarkStart w:id="0" w:name="_GoBack"/>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adjustRightInd w:val="0"/>
                            <w:rPr>
                              <w:rFonts w:ascii="宋体" w:hAnsi="宋体"/>
                              <w:sz w:val="28"/>
                              <w:szCs w:val="28"/>
                            </w:rPr>
                          </w:pPr>
                          <w:r>
                            <w:rPr>
                              <w:rFonts w:hint="eastAsia" w:ascii="宋体" w:hAnsi="宋体"/>
                              <w:sz w:val="28"/>
                              <w:szCs w:val="28"/>
                            </w:rPr>
                            <w:t xml:space="preserve">— </w:t>
                          </w:r>
                          <w:r>
                            <w:rPr>
                              <w:rFonts w:hint="eastAsia" w:ascii="宋体" w:hAnsi="宋体"/>
                              <w:sz w:val="28"/>
                              <w:szCs w:val="28"/>
                            </w:rPr>
                            <w:fldChar w:fldCharType="begin"/>
                          </w:r>
                          <w:r>
                            <w:rPr>
                              <w:rFonts w:hint="eastAsia" w:ascii="宋体" w:hAnsi="宋体"/>
                              <w:sz w:val="28"/>
                              <w:szCs w:val="28"/>
                            </w:rPr>
                            <w:instrText xml:space="preserve"> PAGE  \* MERGEFORMAT </w:instrText>
                          </w:r>
                          <w:r>
                            <w:rPr>
                              <w:rFonts w:hint="eastAsia" w:ascii="宋体" w:hAnsi="宋体"/>
                              <w:sz w:val="28"/>
                              <w:szCs w:val="28"/>
                            </w:rPr>
                            <w:fldChar w:fldCharType="separate"/>
                          </w:r>
                          <w:r>
                            <w:rPr>
                              <w:rFonts w:ascii="宋体" w:hAnsi="宋体"/>
                              <w:sz w:val="28"/>
                              <w:szCs w:val="28"/>
                            </w:rPr>
                            <w:t>2</w:t>
                          </w:r>
                          <w:r>
                            <w:rPr>
                              <w:rFonts w:hint="eastAsia" w:ascii="宋体" w:hAnsi="宋体"/>
                              <w:sz w:val="28"/>
                              <w:szCs w:val="28"/>
                            </w:rPr>
                            <w:fldChar w:fldCharType="end"/>
                          </w:r>
                          <w:r>
                            <w:rPr>
                              <w:rFonts w:hint="eastAsia" w:ascii="宋体" w:hAnsi="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pPr>
                      <w:pStyle w:val="6"/>
                      <w:adjustRightInd w:val="0"/>
                      <w:rPr>
                        <w:rFonts w:ascii="宋体" w:hAnsi="宋体"/>
                        <w:sz w:val="28"/>
                        <w:szCs w:val="28"/>
                      </w:rPr>
                    </w:pPr>
                    <w:r>
                      <w:rPr>
                        <w:rFonts w:hint="eastAsia" w:ascii="宋体" w:hAnsi="宋体"/>
                        <w:sz w:val="28"/>
                        <w:szCs w:val="28"/>
                      </w:rPr>
                      <w:t xml:space="preserve">— </w:t>
                    </w:r>
                    <w:r>
                      <w:rPr>
                        <w:rFonts w:hint="eastAsia" w:ascii="宋体" w:hAnsi="宋体"/>
                        <w:sz w:val="28"/>
                        <w:szCs w:val="28"/>
                      </w:rPr>
                      <w:fldChar w:fldCharType="begin"/>
                    </w:r>
                    <w:r>
                      <w:rPr>
                        <w:rFonts w:hint="eastAsia" w:ascii="宋体" w:hAnsi="宋体"/>
                        <w:sz w:val="28"/>
                        <w:szCs w:val="28"/>
                      </w:rPr>
                      <w:instrText xml:space="preserve"> PAGE  \* MERGEFORMAT </w:instrText>
                    </w:r>
                    <w:r>
                      <w:rPr>
                        <w:rFonts w:hint="eastAsia" w:ascii="宋体" w:hAnsi="宋体"/>
                        <w:sz w:val="28"/>
                        <w:szCs w:val="28"/>
                      </w:rPr>
                      <w:fldChar w:fldCharType="separate"/>
                    </w:r>
                    <w:r>
                      <w:rPr>
                        <w:rFonts w:ascii="宋体" w:hAnsi="宋体"/>
                        <w:sz w:val="28"/>
                        <w:szCs w:val="28"/>
                      </w:rPr>
                      <w:t>2</w:t>
                    </w:r>
                    <w:r>
                      <w:rPr>
                        <w:rFonts w:hint="eastAsia" w:ascii="宋体" w:hAnsi="宋体"/>
                        <w:sz w:val="28"/>
                        <w:szCs w:val="28"/>
                      </w:rPr>
                      <w:fldChar w:fldCharType="end"/>
                    </w:r>
                    <w:r>
                      <w:rPr>
                        <w:rFonts w:hint="eastAsia" w:ascii="宋体" w:hAnsi="宋体"/>
                        <w:sz w:val="28"/>
                        <w:szCs w:val="28"/>
                      </w:rPr>
                      <w:t xml:space="preserve"> —</w:t>
                    </w:r>
                  </w:p>
                </w:txbxContent>
              </v:textbox>
            </v:shape>
          </w:pict>
        </mc:Fallback>
      </mc:AlternateContent>
    </w:r>
    <w:bookmarkEnd w:id="0"/>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6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I1YzlkODlhMzk5NWUwNDkwYjIwNGYzNzVjYzY2OTQifQ=="/>
  </w:docVars>
  <w:rsids>
    <w:rsidRoot w:val="00513F80"/>
    <w:rsid w:val="00004948"/>
    <w:rsid w:val="00006139"/>
    <w:rsid w:val="00012C05"/>
    <w:rsid w:val="000575A5"/>
    <w:rsid w:val="0006476F"/>
    <w:rsid w:val="000653C7"/>
    <w:rsid w:val="00066F90"/>
    <w:rsid w:val="000937B5"/>
    <w:rsid w:val="00093DF4"/>
    <w:rsid w:val="000D51B0"/>
    <w:rsid w:val="000D7E3C"/>
    <w:rsid w:val="00116F45"/>
    <w:rsid w:val="0012071B"/>
    <w:rsid w:val="001455E9"/>
    <w:rsid w:val="00160562"/>
    <w:rsid w:val="001B29D3"/>
    <w:rsid w:val="001B694C"/>
    <w:rsid w:val="001E3001"/>
    <w:rsid w:val="001F14E1"/>
    <w:rsid w:val="0020164B"/>
    <w:rsid w:val="00201CD3"/>
    <w:rsid w:val="0022181C"/>
    <w:rsid w:val="00226187"/>
    <w:rsid w:val="0023580B"/>
    <w:rsid w:val="002B465A"/>
    <w:rsid w:val="00340B67"/>
    <w:rsid w:val="0035329E"/>
    <w:rsid w:val="0036366A"/>
    <w:rsid w:val="00391E56"/>
    <w:rsid w:val="003A60E6"/>
    <w:rsid w:val="003C619E"/>
    <w:rsid w:val="003E6B26"/>
    <w:rsid w:val="00400C8A"/>
    <w:rsid w:val="00482D37"/>
    <w:rsid w:val="0048501D"/>
    <w:rsid w:val="00492E30"/>
    <w:rsid w:val="004D6360"/>
    <w:rsid w:val="004E7E4B"/>
    <w:rsid w:val="004F2BBA"/>
    <w:rsid w:val="005074FF"/>
    <w:rsid w:val="00513F80"/>
    <w:rsid w:val="00524D78"/>
    <w:rsid w:val="00550EC4"/>
    <w:rsid w:val="00554088"/>
    <w:rsid w:val="005A6CA9"/>
    <w:rsid w:val="005D034C"/>
    <w:rsid w:val="005D4050"/>
    <w:rsid w:val="005E209D"/>
    <w:rsid w:val="006162A0"/>
    <w:rsid w:val="00625446"/>
    <w:rsid w:val="006425AF"/>
    <w:rsid w:val="00691939"/>
    <w:rsid w:val="006B6E99"/>
    <w:rsid w:val="006C3A87"/>
    <w:rsid w:val="006C6AB6"/>
    <w:rsid w:val="00731875"/>
    <w:rsid w:val="00742B9D"/>
    <w:rsid w:val="00743359"/>
    <w:rsid w:val="007912AB"/>
    <w:rsid w:val="00792B4F"/>
    <w:rsid w:val="00794C94"/>
    <w:rsid w:val="007D63F1"/>
    <w:rsid w:val="007E13F5"/>
    <w:rsid w:val="0082168A"/>
    <w:rsid w:val="00831A6F"/>
    <w:rsid w:val="00844C4F"/>
    <w:rsid w:val="00871C9B"/>
    <w:rsid w:val="008A15FF"/>
    <w:rsid w:val="008B1B7E"/>
    <w:rsid w:val="008D555F"/>
    <w:rsid w:val="008F73D1"/>
    <w:rsid w:val="009014F8"/>
    <w:rsid w:val="00901D0D"/>
    <w:rsid w:val="00941305"/>
    <w:rsid w:val="00942546"/>
    <w:rsid w:val="00957D34"/>
    <w:rsid w:val="00980BB3"/>
    <w:rsid w:val="00982964"/>
    <w:rsid w:val="009C3967"/>
    <w:rsid w:val="00A141A3"/>
    <w:rsid w:val="00A578B1"/>
    <w:rsid w:val="00AA7E6A"/>
    <w:rsid w:val="00AF0F8D"/>
    <w:rsid w:val="00AF7EE4"/>
    <w:rsid w:val="00B06AAE"/>
    <w:rsid w:val="00B22DE4"/>
    <w:rsid w:val="00B34B82"/>
    <w:rsid w:val="00B45ED1"/>
    <w:rsid w:val="00B70149"/>
    <w:rsid w:val="00B74AA7"/>
    <w:rsid w:val="00BA7C0B"/>
    <w:rsid w:val="00C12875"/>
    <w:rsid w:val="00C13EE8"/>
    <w:rsid w:val="00C14096"/>
    <w:rsid w:val="00C16D58"/>
    <w:rsid w:val="00C235DD"/>
    <w:rsid w:val="00CF7F68"/>
    <w:rsid w:val="00D34E02"/>
    <w:rsid w:val="00D550B5"/>
    <w:rsid w:val="00D60784"/>
    <w:rsid w:val="00DB5722"/>
    <w:rsid w:val="00DE6011"/>
    <w:rsid w:val="00E148BD"/>
    <w:rsid w:val="00E403DC"/>
    <w:rsid w:val="00E60A9C"/>
    <w:rsid w:val="00E97308"/>
    <w:rsid w:val="00EA6322"/>
    <w:rsid w:val="00EB45B4"/>
    <w:rsid w:val="00EB6955"/>
    <w:rsid w:val="00ED7A61"/>
    <w:rsid w:val="00EF2734"/>
    <w:rsid w:val="00EF3217"/>
    <w:rsid w:val="00F01506"/>
    <w:rsid w:val="00F05D11"/>
    <w:rsid w:val="00F536A3"/>
    <w:rsid w:val="00F665E4"/>
    <w:rsid w:val="00F740A6"/>
    <w:rsid w:val="00F849CA"/>
    <w:rsid w:val="00F8513B"/>
    <w:rsid w:val="00F86F96"/>
    <w:rsid w:val="00F879F8"/>
    <w:rsid w:val="00FD30C8"/>
    <w:rsid w:val="012F5F9F"/>
    <w:rsid w:val="0142523F"/>
    <w:rsid w:val="016D45AE"/>
    <w:rsid w:val="019B3634"/>
    <w:rsid w:val="0236335D"/>
    <w:rsid w:val="025C7FD3"/>
    <w:rsid w:val="026737D7"/>
    <w:rsid w:val="0268276F"/>
    <w:rsid w:val="02724DDB"/>
    <w:rsid w:val="02880219"/>
    <w:rsid w:val="02D212D8"/>
    <w:rsid w:val="030A0A72"/>
    <w:rsid w:val="03A83806"/>
    <w:rsid w:val="043730D8"/>
    <w:rsid w:val="04451D84"/>
    <w:rsid w:val="0499352E"/>
    <w:rsid w:val="04D4291E"/>
    <w:rsid w:val="04DF62AA"/>
    <w:rsid w:val="05161560"/>
    <w:rsid w:val="054364F0"/>
    <w:rsid w:val="056E3078"/>
    <w:rsid w:val="05D26DE4"/>
    <w:rsid w:val="05F41565"/>
    <w:rsid w:val="06085010"/>
    <w:rsid w:val="060E6ACB"/>
    <w:rsid w:val="064D02DE"/>
    <w:rsid w:val="06533545"/>
    <w:rsid w:val="06604E4C"/>
    <w:rsid w:val="06A51788"/>
    <w:rsid w:val="06A92350"/>
    <w:rsid w:val="06B96DC2"/>
    <w:rsid w:val="06DE46EF"/>
    <w:rsid w:val="06E97476"/>
    <w:rsid w:val="075914A0"/>
    <w:rsid w:val="075B5D40"/>
    <w:rsid w:val="076275B9"/>
    <w:rsid w:val="077E37DC"/>
    <w:rsid w:val="07B33D0D"/>
    <w:rsid w:val="081043C8"/>
    <w:rsid w:val="08324B8B"/>
    <w:rsid w:val="0856644D"/>
    <w:rsid w:val="086F16CB"/>
    <w:rsid w:val="08852948"/>
    <w:rsid w:val="08867A10"/>
    <w:rsid w:val="08991FC9"/>
    <w:rsid w:val="091268D2"/>
    <w:rsid w:val="09172199"/>
    <w:rsid w:val="093C56FD"/>
    <w:rsid w:val="09524F20"/>
    <w:rsid w:val="095656F2"/>
    <w:rsid w:val="09695657"/>
    <w:rsid w:val="097148FC"/>
    <w:rsid w:val="098B3F8E"/>
    <w:rsid w:val="098D5F59"/>
    <w:rsid w:val="09905D07"/>
    <w:rsid w:val="09B3538A"/>
    <w:rsid w:val="09B7611C"/>
    <w:rsid w:val="09D61369"/>
    <w:rsid w:val="0A4E593A"/>
    <w:rsid w:val="0A7740C9"/>
    <w:rsid w:val="0A9A517D"/>
    <w:rsid w:val="0AFD62FB"/>
    <w:rsid w:val="0B0F68F1"/>
    <w:rsid w:val="0B3450FB"/>
    <w:rsid w:val="0B381EF4"/>
    <w:rsid w:val="0B626F71"/>
    <w:rsid w:val="0BB04180"/>
    <w:rsid w:val="0C0F0EA7"/>
    <w:rsid w:val="0C1D03A2"/>
    <w:rsid w:val="0C2201F4"/>
    <w:rsid w:val="0C3923C8"/>
    <w:rsid w:val="0C6C00A7"/>
    <w:rsid w:val="0C776A4C"/>
    <w:rsid w:val="0C851A65"/>
    <w:rsid w:val="0C983DA5"/>
    <w:rsid w:val="0C996B3C"/>
    <w:rsid w:val="0CA66C45"/>
    <w:rsid w:val="0CB85854"/>
    <w:rsid w:val="0CC17C52"/>
    <w:rsid w:val="0CD37B05"/>
    <w:rsid w:val="0CFD1647"/>
    <w:rsid w:val="0D065FC8"/>
    <w:rsid w:val="0D390790"/>
    <w:rsid w:val="0D71793F"/>
    <w:rsid w:val="0D7A5F79"/>
    <w:rsid w:val="0D7A67F4"/>
    <w:rsid w:val="0DD26630"/>
    <w:rsid w:val="0DDF0D4D"/>
    <w:rsid w:val="0DF63BC4"/>
    <w:rsid w:val="0E142A7A"/>
    <w:rsid w:val="0E1E1875"/>
    <w:rsid w:val="0E1F1149"/>
    <w:rsid w:val="0E417312"/>
    <w:rsid w:val="0ECA396B"/>
    <w:rsid w:val="0ECE5049"/>
    <w:rsid w:val="0F133347"/>
    <w:rsid w:val="0FAD3935"/>
    <w:rsid w:val="0FBF2BE4"/>
    <w:rsid w:val="0FCF6718"/>
    <w:rsid w:val="0FF4473B"/>
    <w:rsid w:val="100E1475"/>
    <w:rsid w:val="101F18D4"/>
    <w:rsid w:val="106B3870"/>
    <w:rsid w:val="107B2FAF"/>
    <w:rsid w:val="10A06571"/>
    <w:rsid w:val="10A65B52"/>
    <w:rsid w:val="10F16DCD"/>
    <w:rsid w:val="110307F9"/>
    <w:rsid w:val="110C310B"/>
    <w:rsid w:val="116D3AB2"/>
    <w:rsid w:val="118346BB"/>
    <w:rsid w:val="11844B5F"/>
    <w:rsid w:val="1273291A"/>
    <w:rsid w:val="12843C71"/>
    <w:rsid w:val="12866483"/>
    <w:rsid w:val="12A603FA"/>
    <w:rsid w:val="12F06FA4"/>
    <w:rsid w:val="13086650"/>
    <w:rsid w:val="135B0E75"/>
    <w:rsid w:val="13706988"/>
    <w:rsid w:val="13A50343"/>
    <w:rsid w:val="13CE7591"/>
    <w:rsid w:val="13ED437F"/>
    <w:rsid w:val="141B23B3"/>
    <w:rsid w:val="14261483"/>
    <w:rsid w:val="14321BD6"/>
    <w:rsid w:val="145F3FD4"/>
    <w:rsid w:val="149D5C74"/>
    <w:rsid w:val="14C01613"/>
    <w:rsid w:val="14C81A92"/>
    <w:rsid w:val="14DB30C0"/>
    <w:rsid w:val="14E1184E"/>
    <w:rsid w:val="150677FA"/>
    <w:rsid w:val="15107A3E"/>
    <w:rsid w:val="152B4878"/>
    <w:rsid w:val="1534525F"/>
    <w:rsid w:val="153844A2"/>
    <w:rsid w:val="158A167C"/>
    <w:rsid w:val="15901F0F"/>
    <w:rsid w:val="15D3014F"/>
    <w:rsid w:val="15E9327F"/>
    <w:rsid w:val="16004EE4"/>
    <w:rsid w:val="16077970"/>
    <w:rsid w:val="16084CD0"/>
    <w:rsid w:val="160D4756"/>
    <w:rsid w:val="16182F49"/>
    <w:rsid w:val="164E194E"/>
    <w:rsid w:val="165C0C95"/>
    <w:rsid w:val="167F3D78"/>
    <w:rsid w:val="16810042"/>
    <w:rsid w:val="168B41F3"/>
    <w:rsid w:val="16D472AA"/>
    <w:rsid w:val="172D0D7B"/>
    <w:rsid w:val="1776627E"/>
    <w:rsid w:val="179D5405"/>
    <w:rsid w:val="17D11706"/>
    <w:rsid w:val="180871EA"/>
    <w:rsid w:val="180B10BC"/>
    <w:rsid w:val="181D308C"/>
    <w:rsid w:val="183560C1"/>
    <w:rsid w:val="18A4506D"/>
    <w:rsid w:val="18B47385"/>
    <w:rsid w:val="18BF743D"/>
    <w:rsid w:val="18E611E1"/>
    <w:rsid w:val="18FF1D76"/>
    <w:rsid w:val="191C2E55"/>
    <w:rsid w:val="198F13B5"/>
    <w:rsid w:val="19947F54"/>
    <w:rsid w:val="19AA3D70"/>
    <w:rsid w:val="19AC1E43"/>
    <w:rsid w:val="19BC6662"/>
    <w:rsid w:val="19C80D65"/>
    <w:rsid w:val="19C86B39"/>
    <w:rsid w:val="19D32F7C"/>
    <w:rsid w:val="19EC09C2"/>
    <w:rsid w:val="1A467793"/>
    <w:rsid w:val="1AA063B2"/>
    <w:rsid w:val="1AD27C6F"/>
    <w:rsid w:val="1AD80A51"/>
    <w:rsid w:val="1AFC6A24"/>
    <w:rsid w:val="1B23671D"/>
    <w:rsid w:val="1B6950D8"/>
    <w:rsid w:val="1B803B6F"/>
    <w:rsid w:val="1BAA0BEC"/>
    <w:rsid w:val="1BCB25CB"/>
    <w:rsid w:val="1C335C75"/>
    <w:rsid w:val="1C976361"/>
    <w:rsid w:val="1CA949D6"/>
    <w:rsid w:val="1CB000AD"/>
    <w:rsid w:val="1D1C0D3F"/>
    <w:rsid w:val="1D271DC8"/>
    <w:rsid w:val="1D330AEC"/>
    <w:rsid w:val="1D832545"/>
    <w:rsid w:val="1DAD49C3"/>
    <w:rsid w:val="1DC7201C"/>
    <w:rsid w:val="1DD0420E"/>
    <w:rsid w:val="1DD43CFE"/>
    <w:rsid w:val="1DD733A8"/>
    <w:rsid w:val="1E6A427C"/>
    <w:rsid w:val="1EA12B58"/>
    <w:rsid w:val="1EB36D9B"/>
    <w:rsid w:val="1EC3577E"/>
    <w:rsid w:val="1ED61CF8"/>
    <w:rsid w:val="1EF108E0"/>
    <w:rsid w:val="1F014240"/>
    <w:rsid w:val="1F022AED"/>
    <w:rsid w:val="1F6115C2"/>
    <w:rsid w:val="1F6F0182"/>
    <w:rsid w:val="1F817EB6"/>
    <w:rsid w:val="1F88475C"/>
    <w:rsid w:val="1F8B39D5"/>
    <w:rsid w:val="1FB12584"/>
    <w:rsid w:val="1FE567F6"/>
    <w:rsid w:val="1FFFF0AD"/>
    <w:rsid w:val="201E4240"/>
    <w:rsid w:val="202A5E57"/>
    <w:rsid w:val="202A7787"/>
    <w:rsid w:val="20564E9E"/>
    <w:rsid w:val="20672C2E"/>
    <w:rsid w:val="20802F9B"/>
    <w:rsid w:val="208655D4"/>
    <w:rsid w:val="20905CA5"/>
    <w:rsid w:val="20B55766"/>
    <w:rsid w:val="20B87907"/>
    <w:rsid w:val="20D56A94"/>
    <w:rsid w:val="212A38D9"/>
    <w:rsid w:val="21925896"/>
    <w:rsid w:val="219A0DBB"/>
    <w:rsid w:val="21EE5BE9"/>
    <w:rsid w:val="220347D3"/>
    <w:rsid w:val="220F3C50"/>
    <w:rsid w:val="221E1E86"/>
    <w:rsid w:val="2224774A"/>
    <w:rsid w:val="224E3F10"/>
    <w:rsid w:val="22AB1C05"/>
    <w:rsid w:val="22BB4A5A"/>
    <w:rsid w:val="22BC2A80"/>
    <w:rsid w:val="230C705B"/>
    <w:rsid w:val="23E6478B"/>
    <w:rsid w:val="2409047A"/>
    <w:rsid w:val="240F5A90"/>
    <w:rsid w:val="24152BF0"/>
    <w:rsid w:val="242F711C"/>
    <w:rsid w:val="245B2DEE"/>
    <w:rsid w:val="24636722"/>
    <w:rsid w:val="247955FF"/>
    <w:rsid w:val="24853FA4"/>
    <w:rsid w:val="24973CD7"/>
    <w:rsid w:val="24E422B9"/>
    <w:rsid w:val="24E53112"/>
    <w:rsid w:val="251B2213"/>
    <w:rsid w:val="25275865"/>
    <w:rsid w:val="25291D10"/>
    <w:rsid w:val="252C4420"/>
    <w:rsid w:val="254D473A"/>
    <w:rsid w:val="25625729"/>
    <w:rsid w:val="256856E9"/>
    <w:rsid w:val="256E4A38"/>
    <w:rsid w:val="257E13BD"/>
    <w:rsid w:val="25AA2CD8"/>
    <w:rsid w:val="25B20286"/>
    <w:rsid w:val="25E97009"/>
    <w:rsid w:val="26063C58"/>
    <w:rsid w:val="26432D64"/>
    <w:rsid w:val="26794755"/>
    <w:rsid w:val="26A14EB5"/>
    <w:rsid w:val="26FC3EB4"/>
    <w:rsid w:val="275B2D9A"/>
    <w:rsid w:val="27765E26"/>
    <w:rsid w:val="2796694C"/>
    <w:rsid w:val="279D0DF3"/>
    <w:rsid w:val="27AD6260"/>
    <w:rsid w:val="27B801ED"/>
    <w:rsid w:val="27D328E0"/>
    <w:rsid w:val="28090A48"/>
    <w:rsid w:val="28C130D1"/>
    <w:rsid w:val="28CC1951"/>
    <w:rsid w:val="28F341AD"/>
    <w:rsid w:val="293C4A74"/>
    <w:rsid w:val="294011B3"/>
    <w:rsid w:val="29436383"/>
    <w:rsid w:val="29AF3F5E"/>
    <w:rsid w:val="29B551FF"/>
    <w:rsid w:val="29BE73E0"/>
    <w:rsid w:val="2A280EAD"/>
    <w:rsid w:val="2A4431F8"/>
    <w:rsid w:val="2A5F78A0"/>
    <w:rsid w:val="2AEF3F25"/>
    <w:rsid w:val="2B127C55"/>
    <w:rsid w:val="2B2879FD"/>
    <w:rsid w:val="2B6F6C21"/>
    <w:rsid w:val="2BB3686B"/>
    <w:rsid w:val="2BE83F94"/>
    <w:rsid w:val="2C057779"/>
    <w:rsid w:val="2C0954BB"/>
    <w:rsid w:val="2C1C406E"/>
    <w:rsid w:val="2C1D4AC2"/>
    <w:rsid w:val="2C1E16D1"/>
    <w:rsid w:val="2C321CD7"/>
    <w:rsid w:val="2C696A9D"/>
    <w:rsid w:val="2CD86C3B"/>
    <w:rsid w:val="2D3B3CAA"/>
    <w:rsid w:val="2D3C3092"/>
    <w:rsid w:val="2D4B534E"/>
    <w:rsid w:val="2D7E7FA9"/>
    <w:rsid w:val="2D80549A"/>
    <w:rsid w:val="2D856DC3"/>
    <w:rsid w:val="2DF135A2"/>
    <w:rsid w:val="2E4F0580"/>
    <w:rsid w:val="2E4F2177"/>
    <w:rsid w:val="2E5B7B24"/>
    <w:rsid w:val="2E8B738A"/>
    <w:rsid w:val="2E90384C"/>
    <w:rsid w:val="2E993BB9"/>
    <w:rsid w:val="2E9A064C"/>
    <w:rsid w:val="2EE35A96"/>
    <w:rsid w:val="2F1E302B"/>
    <w:rsid w:val="2F1F1FAC"/>
    <w:rsid w:val="2F2D14C0"/>
    <w:rsid w:val="2F823696"/>
    <w:rsid w:val="2FAF1ED5"/>
    <w:rsid w:val="3014643C"/>
    <w:rsid w:val="30313B99"/>
    <w:rsid w:val="305A310A"/>
    <w:rsid w:val="307A2B30"/>
    <w:rsid w:val="308710A4"/>
    <w:rsid w:val="30A532D8"/>
    <w:rsid w:val="30A82DB0"/>
    <w:rsid w:val="30D7574D"/>
    <w:rsid w:val="311B7FD9"/>
    <w:rsid w:val="31330A6A"/>
    <w:rsid w:val="318E35A9"/>
    <w:rsid w:val="319A250D"/>
    <w:rsid w:val="31A0241D"/>
    <w:rsid w:val="31BD2B4F"/>
    <w:rsid w:val="31F17933"/>
    <w:rsid w:val="32097B68"/>
    <w:rsid w:val="323816E9"/>
    <w:rsid w:val="32582CF8"/>
    <w:rsid w:val="32D22AAA"/>
    <w:rsid w:val="332950C1"/>
    <w:rsid w:val="33352B6D"/>
    <w:rsid w:val="335800A3"/>
    <w:rsid w:val="336259E5"/>
    <w:rsid w:val="33BF59D2"/>
    <w:rsid w:val="33ED121E"/>
    <w:rsid w:val="3413761D"/>
    <w:rsid w:val="344F3C87"/>
    <w:rsid w:val="34672E75"/>
    <w:rsid w:val="34B73DC4"/>
    <w:rsid w:val="34BE7EBF"/>
    <w:rsid w:val="34F90DE3"/>
    <w:rsid w:val="3519707B"/>
    <w:rsid w:val="35337105"/>
    <w:rsid w:val="353A31DF"/>
    <w:rsid w:val="353D2C02"/>
    <w:rsid w:val="35753641"/>
    <w:rsid w:val="35813932"/>
    <w:rsid w:val="3596372B"/>
    <w:rsid w:val="35A712C1"/>
    <w:rsid w:val="35DD5037"/>
    <w:rsid w:val="363F1961"/>
    <w:rsid w:val="365E35EF"/>
    <w:rsid w:val="36883480"/>
    <w:rsid w:val="36AE62C8"/>
    <w:rsid w:val="36ED6814"/>
    <w:rsid w:val="36F04465"/>
    <w:rsid w:val="36FF3F2D"/>
    <w:rsid w:val="3705452E"/>
    <w:rsid w:val="37114931"/>
    <w:rsid w:val="37166CDE"/>
    <w:rsid w:val="372E4C5F"/>
    <w:rsid w:val="37341001"/>
    <w:rsid w:val="374E06F0"/>
    <w:rsid w:val="37515F68"/>
    <w:rsid w:val="380934C1"/>
    <w:rsid w:val="3813177D"/>
    <w:rsid w:val="38517538"/>
    <w:rsid w:val="388760E5"/>
    <w:rsid w:val="38A65E3F"/>
    <w:rsid w:val="38EA7DB7"/>
    <w:rsid w:val="38EE0D7F"/>
    <w:rsid w:val="38FF1A9E"/>
    <w:rsid w:val="39504729"/>
    <w:rsid w:val="39822409"/>
    <w:rsid w:val="3995258C"/>
    <w:rsid w:val="39A405D1"/>
    <w:rsid w:val="39F1694C"/>
    <w:rsid w:val="39F65046"/>
    <w:rsid w:val="39F72DF7"/>
    <w:rsid w:val="3A19586E"/>
    <w:rsid w:val="3A2A7D4D"/>
    <w:rsid w:val="3A2C0E47"/>
    <w:rsid w:val="3A4818A4"/>
    <w:rsid w:val="3A4C2D81"/>
    <w:rsid w:val="3A836438"/>
    <w:rsid w:val="3A876A0C"/>
    <w:rsid w:val="3B0C4680"/>
    <w:rsid w:val="3B190B4B"/>
    <w:rsid w:val="3B272E48"/>
    <w:rsid w:val="3B321B46"/>
    <w:rsid w:val="3B3C2E3A"/>
    <w:rsid w:val="3B6304C9"/>
    <w:rsid w:val="3B7010B2"/>
    <w:rsid w:val="3B854432"/>
    <w:rsid w:val="3C16472F"/>
    <w:rsid w:val="3C4B567C"/>
    <w:rsid w:val="3C4E291B"/>
    <w:rsid w:val="3C5A0E94"/>
    <w:rsid w:val="3C662958"/>
    <w:rsid w:val="3CA30ECC"/>
    <w:rsid w:val="3CCD75FC"/>
    <w:rsid w:val="3D211F38"/>
    <w:rsid w:val="3D42082D"/>
    <w:rsid w:val="3D564CF9"/>
    <w:rsid w:val="3DCA241A"/>
    <w:rsid w:val="3E9F5CCA"/>
    <w:rsid w:val="3EB76FF8"/>
    <w:rsid w:val="3EC43B6A"/>
    <w:rsid w:val="3EC9623E"/>
    <w:rsid w:val="3F073ADC"/>
    <w:rsid w:val="3F196DAA"/>
    <w:rsid w:val="3F2D2BF2"/>
    <w:rsid w:val="3F9B5FD2"/>
    <w:rsid w:val="3FA34F58"/>
    <w:rsid w:val="3FFC1167"/>
    <w:rsid w:val="3FFD4EDF"/>
    <w:rsid w:val="3FFD6C8D"/>
    <w:rsid w:val="405C18AF"/>
    <w:rsid w:val="406102ED"/>
    <w:rsid w:val="407C027F"/>
    <w:rsid w:val="407D783A"/>
    <w:rsid w:val="40952AB4"/>
    <w:rsid w:val="40C652D1"/>
    <w:rsid w:val="415D1F93"/>
    <w:rsid w:val="419C0E8A"/>
    <w:rsid w:val="41AA168F"/>
    <w:rsid w:val="41CD4447"/>
    <w:rsid w:val="41E27A7C"/>
    <w:rsid w:val="41F31ACC"/>
    <w:rsid w:val="42341081"/>
    <w:rsid w:val="425C4D59"/>
    <w:rsid w:val="425F778B"/>
    <w:rsid w:val="427F3C90"/>
    <w:rsid w:val="429F5DD9"/>
    <w:rsid w:val="42AD499A"/>
    <w:rsid w:val="42CB3072"/>
    <w:rsid w:val="42D61816"/>
    <w:rsid w:val="42D812EB"/>
    <w:rsid w:val="434A053A"/>
    <w:rsid w:val="435A4FCF"/>
    <w:rsid w:val="43C57AC2"/>
    <w:rsid w:val="443A4A03"/>
    <w:rsid w:val="44501A81"/>
    <w:rsid w:val="447816F2"/>
    <w:rsid w:val="447A5040"/>
    <w:rsid w:val="448D4A83"/>
    <w:rsid w:val="449C4CC6"/>
    <w:rsid w:val="44BC7116"/>
    <w:rsid w:val="44C1472D"/>
    <w:rsid w:val="44DF3B1C"/>
    <w:rsid w:val="44E87F0C"/>
    <w:rsid w:val="44FA5579"/>
    <w:rsid w:val="454222D5"/>
    <w:rsid w:val="454D4D75"/>
    <w:rsid w:val="45975EBF"/>
    <w:rsid w:val="45BD781E"/>
    <w:rsid w:val="46157AF3"/>
    <w:rsid w:val="462B0300"/>
    <w:rsid w:val="464E1EFF"/>
    <w:rsid w:val="465313B5"/>
    <w:rsid w:val="46546A12"/>
    <w:rsid w:val="468B4FF2"/>
    <w:rsid w:val="46A11A8B"/>
    <w:rsid w:val="4758045B"/>
    <w:rsid w:val="477C0DDF"/>
    <w:rsid w:val="47AD71EA"/>
    <w:rsid w:val="47C1704D"/>
    <w:rsid w:val="48233009"/>
    <w:rsid w:val="48353A66"/>
    <w:rsid w:val="485B27A2"/>
    <w:rsid w:val="485E04E5"/>
    <w:rsid w:val="48C447EC"/>
    <w:rsid w:val="48EB3776"/>
    <w:rsid w:val="494E711C"/>
    <w:rsid w:val="49817E5F"/>
    <w:rsid w:val="49F70D54"/>
    <w:rsid w:val="4A3E412A"/>
    <w:rsid w:val="4A517003"/>
    <w:rsid w:val="4A9E70CA"/>
    <w:rsid w:val="4ACB6B36"/>
    <w:rsid w:val="4ACF1226"/>
    <w:rsid w:val="4AD14F9E"/>
    <w:rsid w:val="4B053BA1"/>
    <w:rsid w:val="4B105F5B"/>
    <w:rsid w:val="4B231661"/>
    <w:rsid w:val="4B8B339F"/>
    <w:rsid w:val="4B9C3881"/>
    <w:rsid w:val="4B9D30D2"/>
    <w:rsid w:val="4BCD1C09"/>
    <w:rsid w:val="4BF610B4"/>
    <w:rsid w:val="4C043151"/>
    <w:rsid w:val="4C190B2D"/>
    <w:rsid w:val="4CE41429"/>
    <w:rsid w:val="4CFE5318"/>
    <w:rsid w:val="4D17648E"/>
    <w:rsid w:val="4D1E32DC"/>
    <w:rsid w:val="4D575D78"/>
    <w:rsid w:val="4D7378CF"/>
    <w:rsid w:val="4D8426C8"/>
    <w:rsid w:val="4DC62DB4"/>
    <w:rsid w:val="4DCA5C07"/>
    <w:rsid w:val="4DE84AD8"/>
    <w:rsid w:val="4E086F29"/>
    <w:rsid w:val="4E1C4782"/>
    <w:rsid w:val="4E1F7B15"/>
    <w:rsid w:val="4E422B8B"/>
    <w:rsid w:val="4E513B9B"/>
    <w:rsid w:val="4ECA63FF"/>
    <w:rsid w:val="4F1B2C8C"/>
    <w:rsid w:val="4F277FF3"/>
    <w:rsid w:val="4F2953A8"/>
    <w:rsid w:val="4F5B752C"/>
    <w:rsid w:val="4F5D04F1"/>
    <w:rsid w:val="4F7F321A"/>
    <w:rsid w:val="4FB41AAB"/>
    <w:rsid w:val="4FC21359"/>
    <w:rsid w:val="4FE81846"/>
    <w:rsid w:val="5068416B"/>
    <w:rsid w:val="506C663F"/>
    <w:rsid w:val="50AC430F"/>
    <w:rsid w:val="50B92C05"/>
    <w:rsid w:val="50C032C2"/>
    <w:rsid w:val="50E05438"/>
    <w:rsid w:val="50E43195"/>
    <w:rsid w:val="512C2F2E"/>
    <w:rsid w:val="51532BB1"/>
    <w:rsid w:val="517E2E55"/>
    <w:rsid w:val="517F39A6"/>
    <w:rsid w:val="519F3A70"/>
    <w:rsid w:val="51DA29A7"/>
    <w:rsid w:val="5227510E"/>
    <w:rsid w:val="523C53F3"/>
    <w:rsid w:val="52505342"/>
    <w:rsid w:val="526519B6"/>
    <w:rsid w:val="52752591"/>
    <w:rsid w:val="52766E86"/>
    <w:rsid w:val="52C66D8A"/>
    <w:rsid w:val="52DE294E"/>
    <w:rsid w:val="52E04FF4"/>
    <w:rsid w:val="52ED232A"/>
    <w:rsid w:val="52F92CDD"/>
    <w:rsid w:val="530917F5"/>
    <w:rsid w:val="53193986"/>
    <w:rsid w:val="531B76FE"/>
    <w:rsid w:val="534E3777"/>
    <w:rsid w:val="537260EA"/>
    <w:rsid w:val="538A6632"/>
    <w:rsid w:val="53B45F01"/>
    <w:rsid w:val="540D213F"/>
    <w:rsid w:val="543A3616"/>
    <w:rsid w:val="545339F1"/>
    <w:rsid w:val="54674709"/>
    <w:rsid w:val="549038E9"/>
    <w:rsid w:val="54BA0063"/>
    <w:rsid w:val="54BC3B54"/>
    <w:rsid w:val="54C811C0"/>
    <w:rsid w:val="54ED6E78"/>
    <w:rsid w:val="54EF499E"/>
    <w:rsid w:val="54F31AB6"/>
    <w:rsid w:val="55171428"/>
    <w:rsid w:val="55241A05"/>
    <w:rsid w:val="55747599"/>
    <w:rsid w:val="55780E38"/>
    <w:rsid w:val="55856A46"/>
    <w:rsid w:val="55C91693"/>
    <w:rsid w:val="56186177"/>
    <w:rsid w:val="56235919"/>
    <w:rsid w:val="563F487C"/>
    <w:rsid w:val="565371AF"/>
    <w:rsid w:val="566F3712"/>
    <w:rsid w:val="568D446F"/>
    <w:rsid w:val="57120E18"/>
    <w:rsid w:val="575907F5"/>
    <w:rsid w:val="57AE7442"/>
    <w:rsid w:val="57CE5874"/>
    <w:rsid w:val="57CF2865"/>
    <w:rsid w:val="57D460CD"/>
    <w:rsid w:val="57FD5624"/>
    <w:rsid w:val="588B4D5F"/>
    <w:rsid w:val="58F44C79"/>
    <w:rsid w:val="59375A1D"/>
    <w:rsid w:val="594C7207"/>
    <w:rsid w:val="594E3B08"/>
    <w:rsid w:val="596D0EDF"/>
    <w:rsid w:val="59925D2E"/>
    <w:rsid w:val="599C1996"/>
    <w:rsid w:val="59A23D7C"/>
    <w:rsid w:val="59C3464B"/>
    <w:rsid w:val="59C56C2E"/>
    <w:rsid w:val="59C672B5"/>
    <w:rsid w:val="59E85E60"/>
    <w:rsid w:val="59F6057D"/>
    <w:rsid w:val="5A543D3C"/>
    <w:rsid w:val="5A5D23AA"/>
    <w:rsid w:val="5A971D60"/>
    <w:rsid w:val="5AD24269"/>
    <w:rsid w:val="5AFC243B"/>
    <w:rsid w:val="5AFF08A2"/>
    <w:rsid w:val="5B34473F"/>
    <w:rsid w:val="5B4F263B"/>
    <w:rsid w:val="5B7A1674"/>
    <w:rsid w:val="5C2515ED"/>
    <w:rsid w:val="5C257978"/>
    <w:rsid w:val="5CAF7B54"/>
    <w:rsid w:val="5CB422FE"/>
    <w:rsid w:val="5CCD047C"/>
    <w:rsid w:val="5CDF79EE"/>
    <w:rsid w:val="5D335644"/>
    <w:rsid w:val="5D3870CC"/>
    <w:rsid w:val="5D4F0DA5"/>
    <w:rsid w:val="5D5B0272"/>
    <w:rsid w:val="5D636691"/>
    <w:rsid w:val="5D835622"/>
    <w:rsid w:val="5DA84284"/>
    <w:rsid w:val="5DC42740"/>
    <w:rsid w:val="5DDA31C8"/>
    <w:rsid w:val="5DF125B0"/>
    <w:rsid w:val="5E006CDA"/>
    <w:rsid w:val="5E206062"/>
    <w:rsid w:val="5E600A52"/>
    <w:rsid w:val="5EA40B1D"/>
    <w:rsid w:val="5EE9322E"/>
    <w:rsid w:val="5F0E76A2"/>
    <w:rsid w:val="5F1B3C35"/>
    <w:rsid w:val="5F395278"/>
    <w:rsid w:val="5F3D09FC"/>
    <w:rsid w:val="5F3D377C"/>
    <w:rsid w:val="5F70265B"/>
    <w:rsid w:val="5F8854C8"/>
    <w:rsid w:val="5FEFFC67"/>
    <w:rsid w:val="5FF539EA"/>
    <w:rsid w:val="602A2D2E"/>
    <w:rsid w:val="604A0F30"/>
    <w:rsid w:val="605A0221"/>
    <w:rsid w:val="60716085"/>
    <w:rsid w:val="608F2185"/>
    <w:rsid w:val="60902036"/>
    <w:rsid w:val="60915396"/>
    <w:rsid w:val="60A725D1"/>
    <w:rsid w:val="60D62EB6"/>
    <w:rsid w:val="60ED5FAF"/>
    <w:rsid w:val="610712C2"/>
    <w:rsid w:val="610F6099"/>
    <w:rsid w:val="61390221"/>
    <w:rsid w:val="61683ABD"/>
    <w:rsid w:val="61B41449"/>
    <w:rsid w:val="61C53169"/>
    <w:rsid w:val="61E36527"/>
    <w:rsid w:val="61EA6C19"/>
    <w:rsid w:val="62035F2D"/>
    <w:rsid w:val="62703996"/>
    <w:rsid w:val="627961EF"/>
    <w:rsid w:val="62D11B87"/>
    <w:rsid w:val="630E4B89"/>
    <w:rsid w:val="634909EC"/>
    <w:rsid w:val="637026CC"/>
    <w:rsid w:val="637A5D7B"/>
    <w:rsid w:val="638B442C"/>
    <w:rsid w:val="63DC4D1E"/>
    <w:rsid w:val="63E94CAF"/>
    <w:rsid w:val="63EB67D6"/>
    <w:rsid w:val="63FB48A3"/>
    <w:rsid w:val="6403652B"/>
    <w:rsid w:val="64175CC0"/>
    <w:rsid w:val="643423CE"/>
    <w:rsid w:val="64654C7D"/>
    <w:rsid w:val="646F305E"/>
    <w:rsid w:val="647C5B23"/>
    <w:rsid w:val="64C002CD"/>
    <w:rsid w:val="64FB47E3"/>
    <w:rsid w:val="65236B80"/>
    <w:rsid w:val="6529347D"/>
    <w:rsid w:val="6531361F"/>
    <w:rsid w:val="654B3E73"/>
    <w:rsid w:val="656049EB"/>
    <w:rsid w:val="65627110"/>
    <w:rsid w:val="65665615"/>
    <w:rsid w:val="65DD7B95"/>
    <w:rsid w:val="65E12AEB"/>
    <w:rsid w:val="66115C45"/>
    <w:rsid w:val="664408C2"/>
    <w:rsid w:val="66661E87"/>
    <w:rsid w:val="6684387D"/>
    <w:rsid w:val="66CA55A9"/>
    <w:rsid w:val="66CD0775"/>
    <w:rsid w:val="66DB5176"/>
    <w:rsid w:val="6715319B"/>
    <w:rsid w:val="67212057"/>
    <w:rsid w:val="672F24FC"/>
    <w:rsid w:val="674D154C"/>
    <w:rsid w:val="678E73C3"/>
    <w:rsid w:val="67902011"/>
    <w:rsid w:val="679C6C08"/>
    <w:rsid w:val="67B96B54"/>
    <w:rsid w:val="67DD3BD5"/>
    <w:rsid w:val="67E759A9"/>
    <w:rsid w:val="68081F2B"/>
    <w:rsid w:val="6817003C"/>
    <w:rsid w:val="689550B6"/>
    <w:rsid w:val="68B126E1"/>
    <w:rsid w:val="68E65C61"/>
    <w:rsid w:val="68FE2FAA"/>
    <w:rsid w:val="695123F3"/>
    <w:rsid w:val="6953779A"/>
    <w:rsid w:val="696F5C56"/>
    <w:rsid w:val="698404EB"/>
    <w:rsid w:val="698A2667"/>
    <w:rsid w:val="69BA058B"/>
    <w:rsid w:val="69C07EE3"/>
    <w:rsid w:val="69E61327"/>
    <w:rsid w:val="69F05CE0"/>
    <w:rsid w:val="6A0227B8"/>
    <w:rsid w:val="6A576E16"/>
    <w:rsid w:val="6A7C02EA"/>
    <w:rsid w:val="6A8B4D12"/>
    <w:rsid w:val="6AB630E4"/>
    <w:rsid w:val="6AC36EFA"/>
    <w:rsid w:val="6AF35D83"/>
    <w:rsid w:val="6B3410B7"/>
    <w:rsid w:val="6B6B4FEE"/>
    <w:rsid w:val="6B7245A7"/>
    <w:rsid w:val="6BF64EAE"/>
    <w:rsid w:val="6C08364A"/>
    <w:rsid w:val="6C1574D2"/>
    <w:rsid w:val="6C333BE0"/>
    <w:rsid w:val="6C4338D0"/>
    <w:rsid w:val="6C4E4249"/>
    <w:rsid w:val="6C537BE6"/>
    <w:rsid w:val="6C627CF4"/>
    <w:rsid w:val="6C640824"/>
    <w:rsid w:val="6CAF5EDC"/>
    <w:rsid w:val="6CD4694D"/>
    <w:rsid w:val="6CD52DB7"/>
    <w:rsid w:val="6CED1CB3"/>
    <w:rsid w:val="6D8C078C"/>
    <w:rsid w:val="6D917AC8"/>
    <w:rsid w:val="6D9C02C0"/>
    <w:rsid w:val="6DA65F77"/>
    <w:rsid w:val="6DCA78FF"/>
    <w:rsid w:val="6DD6278C"/>
    <w:rsid w:val="6DFB5D0A"/>
    <w:rsid w:val="6E020100"/>
    <w:rsid w:val="6E032E11"/>
    <w:rsid w:val="6E231C3E"/>
    <w:rsid w:val="6E461785"/>
    <w:rsid w:val="6E781A51"/>
    <w:rsid w:val="6E7D7067"/>
    <w:rsid w:val="6E812A5C"/>
    <w:rsid w:val="6E9F6FDD"/>
    <w:rsid w:val="6EA3125C"/>
    <w:rsid w:val="6EAB7730"/>
    <w:rsid w:val="6EC627BC"/>
    <w:rsid w:val="6ED43809"/>
    <w:rsid w:val="6EE92007"/>
    <w:rsid w:val="6F26325B"/>
    <w:rsid w:val="6F413189"/>
    <w:rsid w:val="6F51652A"/>
    <w:rsid w:val="6F545913"/>
    <w:rsid w:val="6F64125B"/>
    <w:rsid w:val="6F6D392F"/>
    <w:rsid w:val="6F797CD4"/>
    <w:rsid w:val="6F9B0ADB"/>
    <w:rsid w:val="6FB40867"/>
    <w:rsid w:val="6FBC1A8E"/>
    <w:rsid w:val="6FBE2549"/>
    <w:rsid w:val="6FDD002A"/>
    <w:rsid w:val="6FFD220E"/>
    <w:rsid w:val="70003AAC"/>
    <w:rsid w:val="705E306D"/>
    <w:rsid w:val="70647CBE"/>
    <w:rsid w:val="7073427E"/>
    <w:rsid w:val="70BD7BEF"/>
    <w:rsid w:val="716A4C05"/>
    <w:rsid w:val="719426FE"/>
    <w:rsid w:val="72365EE2"/>
    <w:rsid w:val="72711EAE"/>
    <w:rsid w:val="72903B7B"/>
    <w:rsid w:val="72A1096A"/>
    <w:rsid w:val="72BA43E6"/>
    <w:rsid w:val="72C76B03"/>
    <w:rsid w:val="73441400"/>
    <w:rsid w:val="73624DD3"/>
    <w:rsid w:val="736425F6"/>
    <w:rsid w:val="73770529"/>
    <w:rsid w:val="73A15EEE"/>
    <w:rsid w:val="73AF0D07"/>
    <w:rsid w:val="73DD2A21"/>
    <w:rsid w:val="73EA0B27"/>
    <w:rsid w:val="73EE0BE7"/>
    <w:rsid w:val="747F19C5"/>
    <w:rsid w:val="7481707F"/>
    <w:rsid w:val="74AA0403"/>
    <w:rsid w:val="74D77E83"/>
    <w:rsid w:val="74E27C24"/>
    <w:rsid w:val="75D741E8"/>
    <w:rsid w:val="75D7705D"/>
    <w:rsid w:val="76031347"/>
    <w:rsid w:val="76281635"/>
    <w:rsid w:val="7645246E"/>
    <w:rsid w:val="76746FA2"/>
    <w:rsid w:val="768947FB"/>
    <w:rsid w:val="769136B0"/>
    <w:rsid w:val="76C779F0"/>
    <w:rsid w:val="76DF08BF"/>
    <w:rsid w:val="76EF03D6"/>
    <w:rsid w:val="76F07235"/>
    <w:rsid w:val="7762504C"/>
    <w:rsid w:val="777C72CA"/>
    <w:rsid w:val="779F62D9"/>
    <w:rsid w:val="77A86F03"/>
    <w:rsid w:val="77BC475C"/>
    <w:rsid w:val="77DC6BAC"/>
    <w:rsid w:val="77F43EF6"/>
    <w:rsid w:val="781225CE"/>
    <w:rsid w:val="782F4F2E"/>
    <w:rsid w:val="78965574"/>
    <w:rsid w:val="78AE679B"/>
    <w:rsid w:val="792B1FEC"/>
    <w:rsid w:val="79336CA0"/>
    <w:rsid w:val="795A07FE"/>
    <w:rsid w:val="795F1843"/>
    <w:rsid w:val="7981274F"/>
    <w:rsid w:val="7989236E"/>
    <w:rsid w:val="79986B03"/>
    <w:rsid w:val="79B50929"/>
    <w:rsid w:val="79BB29A3"/>
    <w:rsid w:val="79BF30D1"/>
    <w:rsid w:val="79E16E43"/>
    <w:rsid w:val="79EF706B"/>
    <w:rsid w:val="7A104CF3"/>
    <w:rsid w:val="7A1606EC"/>
    <w:rsid w:val="7A2D36EF"/>
    <w:rsid w:val="7A3251AA"/>
    <w:rsid w:val="7A5C2227"/>
    <w:rsid w:val="7A723072"/>
    <w:rsid w:val="7ADB139D"/>
    <w:rsid w:val="7AFF1BB1"/>
    <w:rsid w:val="7B046B46"/>
    <w:rsid w:val="7B130B37"/>
    <w:rsid w:val="7B3702FB"/>
    <w:rsid w:val="7B3C538E"/>
    <w:rsid w:val="7B3D7CED"/>
    <w:rsid w:val="7B786BEC"/>
    <w:rsid w:val="7BBB5D58"/>
    <w:rsid w:val="7C13371A"/>
    <w:rsid w:val="7C5920E2"/>
    <w:rsid w:val="7C6A0C2B"/>
    <w:rsid w:val="7C833A9B"/>
    <w:rsid w:val="7CA645F9"/>
    <w:rsid w:val="7CD33068"/>
    <w:rsid w:val="7CF62FB6"/>
    <w:rsid w:val="7D452103"/>
    <w:rsid w:val="7D706B43"/>
    <w:rsid w:val="7D7B6E68"/>
    <w:rsid w:val="7D7C5FF0"/>
    <w:rsid w:val="7DA912DF"/>
    <w:rsid w:val="7DAE0637"/>
    <w:rsid w:val="7DCC01A6"/>
    <w:rsid w:val="7DF6038C"/>
    <w:rsid w:val="7E4B67A7"/>
    <w:rsid w:val="7E8E2C5C"/>
    <w:rsid w:val="7EA321D2"/>
    <w:rsid w:val="7EC44CC7"/>
    <w:rsid w:val="7EEE23D2"/>
    <w:rsid w:val="7EF50D7A"/>
    <w:rsid w:val="7F312A68"/>
    <w:rsid w:val="7F84652A"/>
    <w:rsid w:val="7FBBBB9A"/>
    <w:rsid w:val="7FC06DB4"/>
    <w:rsid w:val="7FDF1FF9"/>
    <w:rsid w:val="7FEEC8A3"/>
    <w:rsid w:val="7FFB3513"/>
    <w:rsid w:val="AEBB7755"/>
    <w:rsid w:val="D476E19B"/>
    <w:rsid w:val="DBC47F25"/>
    <w:rsid w:val="DE9F9B91"/>
    <w:rsid w:val="FFCF1DD9"/>
    <w:rsid w:val="FFFB3E23"/>
    <w:rsid w:val="FFFF04E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2"/>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qFormat/>
    <w:uiPriority w:val="0"/>
    <w:pPr>
      <w:spacing w:after="120" w:line="480" w:lineRule="auto"/>
      <w:ind w:left="420" w:leftChars="200"/>
    </w:pPr>
  </w:style>
  <w:style w:type="paragraph" w:styleId="3">
    <w:name w:val="annotation text"/>
    <w:basedOn w:val="1"/>
    <w:link w:val="25"/>
    <w:qFormat/>
    <w:uiPriority w:val="0"/>
    <w:pPr>
      <w:jc w:val="left"/>
    </w:pPr>
  </w:style>
  <w:style w:type="paragraph" w:styleId="4">
    <w:name w:val="Body Text"/>
    <w:basedOn w:val="1"/>
    <w:qFormat/>
    <w:uiPriority w:val="99"/>
    <w:pPr>
      <w:jc w:val="center"/>
    </w:pPr>
    <w:rPr>
      <w:rFonts w:ascii="宋体" w:hAnsi="Times New Roman"/>
      <w:sz w:val="28"/>
      <w:szCs w:val="36"/>
    </w:rPr>
  </w:style>
  <w:style w:type="paragraph" w:styleId="5">
    <w:name w:val="Balloon Text"/>
    <w:basedOn w:val="1"/>
    <w:link w:val="21"/>
    <w:qFormat/>
    <w:uiPriority w:val="0"/>
    <w:rPr>
      <w:sz w:val="18"/>
      <w:szCs w:val="18"/>
    </w:rPr>
  </w:style>
  <w:style w:type="paragraph" w:styleId="6">
    <w:name w:val="footer"/>
    <w:basedOn w:val="1"/>
    <w:next w:val="1"/>
    <w:qFormat/>
    <w:uiPriority w:val="99"/>
    <w:pPr>
      <w:tabs>
        <w:tab w:val="center" w:pos="4153"/>
        <w:tab w:val="right" w:pos="8306"/>
      </w:tabs>
      <w:snapToGrid w:val="0"/>
      <w:jc w:val="left"/>
    </w:pPr>
    <w:rPr>
      <w:sz w:val="18"/>
      <w:szCs w:val="18"/>
    </w:rPr>
  </w:style>
  <w:style w:type="paragraph" w:styleId="7">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8">
    <w:name w:val="Body Text 2"/>
    <w:basedOn w:val="1"/>
    <w:qFormat/>
    <w:uiPriority w:val="0"/>
    <w:pPr>
      <w:spacing w:after="120" w:line="480" w:lineRule="auto"/>
    </w:pPr>
    <w:rPr>
      <w:rFonts w:ascii="Times New Roman" w:hAnsi="Times New Roman" w:cs="Times New Roman"/>
    </w:rPr>
  </w:style>
  <w:style w:type="paragraph" w:styleId="9">
    <w:name w:val="annotation subject"/>
    <w:basedOn w:val="3"/>
    <w:next w:val="3"/>
    <w:link w:val="26"/>
    <w:qFormat/>
    <w:uiPriority w:val="0"/>
    <w:rPr>
      <w:b/>
      <w:bCs/>
    </w:rPr>
  </w:style>
  <w:style w:type="paragraph" w:styleId="10">
    <w:name w:val="Body Text First Indent"/>
    <w:basedOn w:val="4"/>
    <w:unhideWhenUsed/>
    <w:qFormat/>
    <w:uiPriority w:val="99"/>
    <w:pPr>
      <w:ind w:firstLine="420" w:firstLineChars="200"/>
      <w:jc w:val="left"/>
    </w:pPr>
    <w:rPr>
      <w:rFonts w:eastAsia="仿宋"/>
      <w:sz w:val="21"/>
      <w:szCs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annotation reference"/>
    <w:basedOn w:val="13"/>
    <w:qFormat/>
    <w:uiPriority w:val="0"/>
    <w:rPr>
      <w:sz w:val="21"/>
      <w:szCs w:val="21"/>
    </w:rPr>
  </w:style>
  <w:style w:type="paragraph" w:styleId="15">
    <w:name w:val="List Paragraph"/>
    <w:basedOn w:val="1"/>
    <w:qFormat/>
    <w:uiPriority w:val="34"/>
    <w:pPr>
      <w:ind w:firstLine="420" w:firstLineChars="200"/>
    </w:pPr>
  </w:style>
  <w:style w:type="paragraph" w:styleId="16">
    <w:name w:val="No Spacing"/>
    <w:qFormat/>
    <w:uiPriority w:val="1"/>
    <w:rPr>
      <w:rFonts w:ascii="Times New Roman" w:hAnsi="Times New Roman" w:eastAsia="宋体" w:cs="Times New Roman"/>
      <w:sz w:val="22"/>
      <w:szCs w:val="22"/>
      <w:lang w:val="en-US" w:eastAsia="zh-CN" w:bidi="ar-SA"/>
    </w:rPr>
  </w:style>
  <w:style w:type="character" w:customStyle="1" w:styleId="17">
    <w:name w:val="font41"/>
    <w:basedOn w:val="13"/>
    <w:qFormat/>
    <w:uiPriority w:val="0"/>
    <w:rPr>
      <w:rFonts w:hint="eastAsia" w:ascii="仿宋" w:hAnsi="仿宋" w:eastAsia="仿宋" w:cs="仿宋"/>
      <w:color w:val="000000"/>
      <w:sz w:val="24"/>
      <w:szCs w:val="24"/>
      <w:u w:val="none"/>
    </w:rPr>
  </w:style>
  <w:style w:type="character" w:customStyle="1" w:styleId="18">
    <w:name w:val="font31"/>
    <w:basedOn w:val="13"/>
    <w:qFormat/>
    <w:uiPriority w:val="0"/>
    <w:rPr>
      <w:rFonts w:ascii="华文仿宋" w:hAnsi="华文仿宋" w:eastAsia="华文仿宋" w:cs="华文仿宋"/>
      <w:color w:val="0D0D0D"/>
      <w:sz w:val="24"/>
      <w:szCs w:val="24"/>
      <w:u w:val="none"/>
    </w:rPr>
  </w:style>
  <w:style w:type="character" w:customStyle="1" w:styleId="19">
    <w:name w:val="font21"/>
    <w:basedOn w:val="13"/>
    <w:qFormat/>
    <w:uiPriority w:val="0"/>
    <w:rPr>
      <w:rFonts w:hint="eastAsia" w:ascii="仿宋" w:hAnsi="仿宋" w:eastAsia="仿宋" w:cs="仿宋"/>
      <w:color w:val="0D0D0D"/>
      <w:sz w:val="24"/>
      <w:szCs w:val="24"/>
      <w:u w:val="none"/>
    </w:rPr>
  </w:style>
  <w:style w:type="character" w:customStyle="1" w:styleId="20">
    <w:name w:val="font11"/>
    <w:basedOn w:val="13"/>
    <w:qFormat/>
    <w:uiPriority w:val="0"/>
    <w:rPr>
      <w:rFonts w:hint="eastAsia" w:ascii="仿宋" w:hAnsi="仿宋" w:eastAsia="仿宋" w:cs="仿宋"/>
      <w:color w:val="000000"/>
      <w:sz w:val="24"/>
      <w:szCs w:val="24"/>
      <w:u w:val="single"/>
    </w:rPr>
  </w:style>
  <w:style w:type="character" w:customStyle="1" w:styleId="21">
    <w:name w:val="批注框文本 字符"/>
    <w:basedOn w:val="13"/>
    <w:link w:val="5"/>
    <w:qFormat/>
    <w:uiPriority w:val="0"/>
    <w:rPr>
      <w:rFonts w:ascii="Calibri" w:hAnsi="Calibri" w:cs="宋体"/>
      <w:kern w:val="2"/>
      <w:sz w:val="18"/>
      <w:szCs w:val="18"/>
    </w:rPr>
  </w:style>
  <w:style w:type="paragraph" w:customStyle="1" w:styleId="22">
    <w:name w:val="修订1"/>
    <w:hidden/>
    <w:unhideWhenUsed/>
    <w:qFormat/>
    <w:uiPriority w:val="99"/>
    <w:rPr>
      <w:rFonts w:ascii="Calibri" w:hAnsi="Calibri" w:eastAsia="宋体" w:cs="宋体"/>
      <w:kern w:val="2"/>
      <w:sz w:val="21"/>
      <w:szCs w:val="22"/>
      <w:lang w:val="en-US" w:eastAsia="zh-CN" w:bidi="ar-SA"/>
    </w:rPr>
  </w:style>
  <w:style w:type="paragraph" w:customStyle="1" w:styleId="23">
    <w:name w:val="修订2"/>
    <w:hidden/>
    <w:unhideWhenUsed/>
    <w:qFormat/>
    <w:uiPriority w:val="99"/>
    <w:rPr>
      <w:rFonts w:ascii="Calibri" w:hAnsi="Calibri" w:eastAsia="宋体" w:cs="宋体"/>
      <w:kern w:val="2"/>
      <w:sz w:val="21"/>
      <w:szCs w:val="22"/>
      <w:lang w:val="en-US" w:eastAsia="zh-CN" w:bidi="ar-SA"/>
    </w:rPr>
  </w:style>
  <w:style w:type="paragraph" w:customStyle="1" w:styleId="24">
    <w:name w:val="Revision"/>
    <w:hidden/>
    <w:unhideWhenUsed/>
    <w:qFormat/>
    <w:uiPriority w:val="99"/>
    <w:rPr>
      <w:rFonts w:ascii="Calibri" w:hAnsi="Calibri" w:eastAsia="宋体" w:cs="宋体"/>
      <w:kern w:val="2"/>
      <w:sz w:val="21"/>
      <w:szCs w:val="22"/>
      <w:lang w:val="en-US" w:eastAsia="zh-CN" w:bidi="ar-SA"/>
    </w:rPr>
  </w:style>
  <w:style w:type="character" w:customStyle="1" w:styleId="25">
    <w:name w:val="批注文字 字符"/>
    <w:basedOn w:val="13"/>
    <w:link w:val="3"/>
    <w:qFormat/>
    <w:uiPriority w:val="0"/>
    <w:rPr>
      <w:rFonts w:ascii="Calibri" w:hAnsi="Calibri" w:cs="宋体"/>
      <w:kern w:val="2"/>
      <w:sz w:val="21"/>
      <w:szCs w:val="22"/>
    </w:rPr>
  </w:style>
  <w:style w:type="character" w:customStyle="1" w:styleId="26">
    <w:name w:val="批注主题 字符"/>
    <w:basedOn w:val="25"/>
    <w:link w:val="9"/>
    <w:qFormat/>
    <w:uiPriority w:val="0"/>
    <w:rPr>
      <w:rFonts w:ascii="Calibri" w:hAnsi="Calibri" w:cs="宋体"/>
      <w:b/>
      <w:bCs/>
      <w:kern w:val="2"/>
      <w:sz w:val="21"/>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Microsoft</Company>
  <Pages>2</Pages>
  <Words>1334</Words>
  <Characters>1386</Characters>
  <Lines>37</Lines>
  <Paragraphs>10</Paragraphs>
  <TotalTime>228</TotalTime>
  <ScaleCrop>false</ScaleCrop>
  <LinksUpToDate>false</LinksUpToDate>
  <CharactersWithSpaces>1446</CharactersWithSpaces>
  <Application>WPS Office WWO_wpscloud_20240412112938-af9c631797</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2023-12-15T22:05:00Z</dcterms:created>
  <dc:creator>FYS</dc:creator>
  <cp:lastModifiedBy>86138</cp:lastModifiedBy>
  <cp:lastPrinted>2023-12-23T11:50:00Z</cp:lastPrinted>
  <dcterms:modified xsi:type="dcterms:W3CDTF">2024-06-28T21:23:40Z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C0B3F67B62664C15BEFBF1AE426DB170_13</vt:lpwstr>
  </property>
</Properties>
</file>