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506068">
      <w:pPr>
        <w:snapToGrid/>
        <w:spacing w:before="0" w:beforeAutospacing="0" w:after="0" w:afterAutospacing="0" w:line="360" w:lineRule="exact"/>
        <w:jc w:val="center"/>
        <w:textAlignment w:val="baseline"/>
        <w:rPr>
          <w:rFonts w:hint="default" w:ascii="Times New Roman" w:hAnsi="Times New Roman" w:eastAsia="方正小标宋简体" w:cs="Times New Roman"/>
          <w:b w:val="0"/>
          <w:i w:val="0"/>
          <w:caps w:val="0"/>
          <w:color w:val="0000FF"/>
          <w:spacing w:val="0"/>
          <w:w w:val="100"/>
          <w:sz w:val="52"/>
          <w:szCs w:val="52"/>
        </w:rPr>
      </w:pPr>
    </w:p>
    <w:p w14:paraId="2F083229">
      <w:pPr>
        <w:widowControl w:val="0"/>
        <w:jc w:val="both"/>
        <w:rPr>
          <w:rFonts w:hint="default" w:ascii="Times New Roman" w:hAnsi="Times New Roman" w:eastAsia="华文中宋" w:cs="Times New Roman"/>
          <w:bCs/>
          <w:kern w:val="2"/>
          <w:sz w:val="28"/>
          <w:szCs w:val="24"/>
          <w:lang w:val="en-US" w:eastAsia="zh-CN" w:bidi="ar-SA"/>
        </w:rPr>
      </w:pPr>
    </w:p>
    <w:p w14:paraId="61857AF4">
      <w:pPr>
        <w:snapToGrid/>
        <w:spacing w:before="0" w:beforeAutospacing="0" w:after="0" w:afterAutospacing="0" w:line="360" w:lineRule="exact"/>
        <w:jc w:val="center"/>
        <w:textAlignment w:val="baseline"/>
        <w:rPr>
          <w:rFonts w:hint="default" w:ascii="Times New Roman" w:hAnsi="Times New Roman" w:eastAsia="方正小标宋简体" w:cs="Times New Roman"/>
          <w:b w:val="0"/>
          <w:i w:val="0"/>
          <w:caps w:val="0"/>
          <w:color w:val="0000FF"/>
          <w:spacing w:val="0"/>
          <w:w w:val="100"/>
          <w:sz w:val="52"/>
          <w:szCs w:val="52"/>
        </w:rPr>
      </w:pPr>
    </w:p>
    <w:p w14:paraId="367B9DDB">
      <w:pPr>
        <w:snapToGrid/>
        <w:spacing w:before="0" w:beforeAutospacing="0" w:after="0" w:afterAutospacing="0" w:line="1400" w:lineRule="exact"/>
        <w:jc w:val="center"/>
        <w:textAlignment w:val="baseline"/>
        <w:rPr>
          <w:rFonts w:hint="default" w:ascii="Times New Roman" w:hAnsi="Times New Roman" w:eastAsia="方正小标宋简体" w:cs="Times New Roman"/>
          <w:b w:val="0"/>
          <w:i w:val="0"/>
          <w:caps w:val="0"/>
          <w:color w:val="FF0000"/>
          <w:spacing w:val="40"/>
          <w:w w:val="100"/>
          <w:sz w:val="72"/>
          <w:szCs w:val="72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b w:val="0"/>
          <w:i w:val="0"/>
          <w:caps w:val="0"/>
          <w:color w:val="FF0000"/>
          <w:spacing w:val="40"/>
          <w:w w:val="100"/>
          <w:sz w:val="72"/>
          <w:szCs w:val="72"/>
          <w:lang w:val="en-US" w:eastAsia="zh-CN"/>
        </w:rPr>
        <w:t>天府产业技术研究院</w:t>
      </w:r>
    </w:p>
    <w:p w14:paraId="32097709">
      <w:pPr>
        <w:snapToGrid/>
        <w:spacing w:before="0" w:beforeAutospacing="0" w:after="0" w:afterAutospacing="0" w:line="1400" w:lineRule="exact"/>
        <w:jc w:val="center"/>
        <w:textAlignment w:val="baseline"/>
        <w:rPr>
          <w:rFonts w:hint="default" w:ascii="Times New Roman" w:hAnsi="Times New Roman" w:eastAsia="方正小标宋简体" w:cs="Times New Roman"/>
          <w:b w:val="0"/>
          <w:i w:val="0"/>
          <w:caps w:val="0"/>
          <w:color w:val="FF0000"/>
          <w:spacing w:val="-20"/>
          <w:w w:val="100"/>
          <w:sz w:val="72"/>
          <w:szCs w:val="72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b w:val="0"/>
          <w:i w:val="0"/>
          <w:caps w:val="0"/>
          <w:color w:val="FF0000"/>
          <w:spacing w:val="-20"/>
          <w:w w:val="100"/>
          <w:sz w:val="72"/>
          <w:szCs w:val="72"/>
          <w:lang w:val="en-US" w:eastAsia="zh-CN"/>
        </w:rPr>
        <w:t>理事会会议文件</w:t>
      </w:r>
    </w:p>
    <w:p w14:paraId="1AC8C007">
      <w:pPr>
        <w:snapToGrid/>
        <w:spacing w:before="0" w:beforeAutospacing="0" w:after="0" w:afterAutospacing="0" w:line="600" w:lineRule="exact"/>
        <w:jc w:val="center"/>
        <w:textAlignment w:val="baseline"/>
        <w:rPr>
          <w:rFonts w:hint="default" w:ascii="Times New Roman" w:hAnsi="Times New Roman" w:eastAsia="方正小标宋简体" w:cs="Times New Roman"/>
          <w:b w:val="0"/>
          <w:i w:val="0"/>
          <w:caps w:val="0"/>
          <w:spacing w:val="0"/>
          <w:w w:val="100"/>
          <w:sz w:val="72"/>
          <w:szCs w:val="72"/>
        </w:rPr>
      </w:pPr>
    </w:p>
    <w:p w14:paraId="73115DB6">
      <w:pPr>
        <w:snapToGrid/>
        <w:spacing w:before="0" w:beforeAutospacing="0" w:after="0" w:afterAutospacing="0" w:line="600" w:lineRule="exact"/>
        <w:jc w:val="center"/>
        <w:textAlignment w:val="baseline"/>
        <w:rPr>
          <w:rFonts w:hint="default" w:ascii="Times New Roman" w:hAnsi="Times New Roman" w:eastAsia="方正楷体简体" w:cs="Times New Roman"/>
          <w:b/>
          <w:i w:val="0"/>
          <w:caps w:val="0"/>
          <w:spacing w:val="0"/>
          <w:w w:val="100"/>
          <w:sz w:val="32"/>
          <w:szCs w:val="32"/>
        </w:rPr>
      </w:pPr>
    </w:p>
    <w:p w14:paraId="6C8C82AE">
      <w:pPr>
        <w:snapToGrid/>
        <w:spacing w:before="0" w:beforeAutospacing="0" w:after="0" w:afterAutospacing="0" w:line="600" w:lineRule="exact"/>
        <w:ind w:right="-873"/>
        <w:jc w:val="both"/>
        <w:textAlignment w:val="baseline"/>
        <w:rPr>
          <w:rFonts w:hint="default" w:ascii="Times New Roman" w:hAnsi="Times New Roman" w:eastAsia="方正楷体简体" w:cs="Times New Roman"/>
          <w:b/>
          <w:i w:val="0"/>
          <w:caps w:val="0"/>
          <w:color w:val="auto"/>
          <w:spacing w:val="0"/>
          <w:w w:val="1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i w:val="0"/>
          <w:caps w:val="0"/>
          <w:spacing w:val="0"/>
          <w:w w:val="100"/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-24765</wp:posOffset>
                </wp:positionH>
                <wp:positionV relativeFrom="paragraph">
                  <wp:posOffset>375920</wp:posOffset>
                </wp:positionV>
                <wp:extent cx="6012815" cy="5715"/>
                <wp:effectExtent l="0" t="13970" r="6985" b="18415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2815" cy="5715"/>
                        </a:xfrm>
                        <a:prstGeom prst="line">
                          <a:avLst/>
                        </a:prstGeom>
                        <a:ln w="28575" cap="flat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1.95pt;margin-top:29.6pt;height:0.45pt;width:473.45pt;z-index:251659264;mso-width-relative:page;mso-height-relative:page;" filled="f" stroked="t" coordsize="21600,21600" o:gfxdata="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GEO26HaAAAACAEAAA8AAAAAAAAAAQAgAAAAIgAA&#10;AGRycy9kb3ducmV2LnhtbFBLAQIUABQAAAAIAIdO4kBWN/+4BgIAAPwDAAAOAAAAAAAAAAEAIAAA&#10;ACkBAABkcnMvZTJvRG9jLnhtbFBLBQYAAAAABgAGAFkBAAChBQAAAAA=&#10;">
                <v:fill on="f" focussize="0,0"/>
                <v:stroke weight="2.25pt" color="#FF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方正楷体简体" w:cs="Times New Roman"/>
          <w:b/>
          <w:i w:val="0"/>
          <w:caps w:val="0"/>
          <w:spacing w:val="0"/>
          <w:w w:val="100"/>
          <w:sz w:val="32"/>
          <w:szCs w:val="32"/>
        </w:rPr>
        <w:t xml:space="preserve">               </w:t>
      </w:r>
      <w:r>
        <w:rPr>
          <w:rFonts w:hint="eastAsia" w:ascii="Times New Roman" w:hAnsi="Times New Roman" w:eastAsia="方正楷体简体" w:cs="Times New Roman"/>
          <w:b/>
          <w:i w:val="0"/>
          <w:caps w:val="0"/>
          <w:spacing w:val="0"/>
          <w:w w:val="100"/>
          <w:sz w:val="32"/>
          <w:szCs w:val="32"/>
          <w:lang w:val="en-US" w:eastAsia="zh-CN"/>
        </w:rPr>
        <w:t xml:space="preserve">                    </w:t>
      </w:r>
      <w:r>
        <w:rPr>
          <w:rFonts w:hint="default" w:ascii="Times New Roman" w:hAnsi="Times New Roman" w:eastAsia="方正楷体简体" w:cs="Times New Roman"/>
          <w:b/>
          <w:i w:val="0"/>
          <w:caps w:val="0"/>
          <w:spacing w:val="0"/>
          <w:w w:val="100"/>
          <w:sz w:val="32"/>
          <w:szCs w:val="32"/>
        </w:rPr>
        <w:t xml:space="preserve"> </w:t>
      </w:r>
      <w:r>
        <w:rPr>
          <w:rFonts w:hint="default" w:ascii="Times New Roman" w:hAnsi="Times New Roman" w:eastAsia="方正楷体简体" w:cs="Times New Roman"/>
          <w:b/>
          <w:i w:val="0"/>
          <w:caps w:val="0"/>
          <w:spacing w:val="0"/>
          <w:w w:val="100"/>
          <w:sz w:val="32"/>
          <w:szCs w:val="32"/>
          <w:lang w:val="en-US" w:eastAsia="zh-CN"/>
        </w:rPr>
        <w:t xml:space="preserve">           </w:t>
      </w:r>
      <w:r>
        <w:rPr>
          <w:rFonts w:hint="default" w:ascii="Times New Roman" w:hAnsi="Times New Roman" w:eastAsia="方正楷体简体" w:cs="Times New Roman"/>
          <w:b/>
          <w:i w:val="0"/>
          <w:caps w:val="0"/>
          <w:spacing w:val="0"/>
          <w:w w:val="100"/>
          <w:sz w:val="32"/>
          <w:szCs w:val="32"/>
        </w:rPr>
        <w:t xml:space="preserve"> 20</w:t>
      </w:r>
      <w:r>
        <w:rPr>
          <w:rFonts w:hint="default" w:ascii="Times New Roman" w:hAnsi="Times New Roman" w:eastAsia="方正楷体简体" w:cs="Times New Roman"/>
          <w:b/>
          <w:i w:val="0"/>
          <w:caps w:val="0"/>
          <w:spacing w:val="0"/>
          <w:w w:val="100"/>
          <w:sz w:val="32"/>
          <w:szCs w:val="32"/>
          <w:lang w:val="en-US" w:eastAsia="zh-CN"/>
        </w:rPr>
        <w:t>24</w:t>
      </w:r>
      <w:r>
        <w:rPr>
          <w:rFonts w:hint="default" w:ascii="Times New Roman" w:hAnsi="Times New Roman" w:eastAsia="方正楷体简体" w:cs="Times New Roman"/>
          <w:b/>
          <w:i w:val="0"/>
          <w:caps w:val="0"/>
          <w:spacing w:val="0"/>
          <w:w w:val="100"/>
          <w:sz w:val="32"/>
          <w:szCs w:val="32"/>
        </w:rPr>
        <w:t>年</w:t>
      </w:r>
      <w:r>
        <w:rPr>
          <w:rFonts w:hint="eastAsia" w:ascii="Times New Roman" w:hAnsi="Times New Roman" w:eastAsia="方正楷体简体" w:cs="Times New Roman"/>
          <w:b/>
          <w:i w:val="0"/>
          <w:caps w:val="0"/>
          <w:spacing w:val="0"/>
          <w:w w:val="100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方正楷体简体" w:cs="Times New Roman"/>
          <w:b/>
          <w:i w:val="0"/>
          <w:caps w:val="0"/>
          <w:color w:val="auto"/>
          <w:spacing w:val="0"/>
          <w:w w:val="100"/>
          <w:sz w:val="32"/>
          <w:szCs w:val="32"/>
        </w:rPr>
        <w:t>月</w:t>
      </w:r>
    </w:p>
    <w:p w14:paraId="7DBEAC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</w:pPr>
    </w:p>
    <w:p w14:paraId="0EFEDB14">
      <w:pPr>
        <w:tabs>
          <w:tab w:val="left" w:pos="2940"/>
        </w:tabs>
        <w:spacing w:line="600" w:lineRule="exact"/>
        <w:jc w:val="left"/>
        <w:rPr>
          <w:rFonts w:hint="default" w:ascii="Times New Roman" w:hAnsi="Times New Roman" w:eastAsia="方正楷体简体" w:cs="Times New Roman"/>
          <w:b/>
          <w:sz w:val="30"/>
          <w:szCs w:val="30"/>
        </w:rPr>
      </w:pPr>
      <w:r>
        <w:rPr>
          <w:rFonts w:hint="default" w:ascii="Times New Roman" w:hAnsi="Times New Roman" w:eastAsia="方正楷体简体" w:cs="Times New Roman"/>
          <w:b/>
          <w:sz w:val="30"/>
          <w:szCs w:val="30"/>
        </w:rPr>
        <w:tab/>
      </w:r>
    </w:p>
    <w:p w14:paraId="658F7578">
      <w:pPr>
        <w:spacing w:line="600" w:lineRule="exact"/>
        <w:jc w:val="left"/>
        <w:rPr>
          <w:rFonts w:hint="default" w:ascii="Times New Roman" w:hAnsi="Times New Roman" w:eastAsia="方正仿宋简体" w:cs="Times New Roman"/>
          <w:b/>
          <w:sz w:val="28"/>
          <w:szCs w:val="28"/>
        </w:rPr>
      </w:pPr>
    </w:p>
    <w:p w14:paraId="0EAA5616">
      <w:pPr>
        <w:spacing w:line="800" w:lineRule="exact"/>
        <w:jc w:val="center"/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审议《天府产业技术研究院院长选聘</w:t>
      </w:r>
    </w:p>
    <w:p w14:paraId="2AC44848">
      <w:pPr>
        <w:spacing w:line="800" w:lineRule="exact"/>
        <w:jc w:val="center"/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及薪酬绩效方案》</w:t>
      </w:r>
    </w:p>
    <w:p w14:paraId="454BC50A">
      <w:pPr>
        <w:spacing w:line="60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  <w:lang w:bidi="ar"/>
        </w:rPr>
      </w:pPr>
    </w:p>
    <w:p w14:paraId="5B77A402">
      <w:pPr>
        <w:spacing w:line="60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  <w:lang w:bidi="ar"/>
        </w:rPr>
      </w:pPr>
    </w:p>
    <w:p w14:paraId="0D7D01B2">
      <w:pPr>
        <w:spacing w:line="60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  <w:lang w:bidi="ar"/>
        </w:rPr>
      </w:pPr>
    </w:p>
    <w:p w14:paraId="26224198">
      <w:pPr>
        <w:rPr>
          <w:rFonts w:hint="default" w:ascii="Times New Roman" w:hAnsi="Times New Roman" w:eastAsia="方正小标宋简体" w:cs="Times New Roman"/>
          <w:sz w:val="44"/>
          <w:szCs w:val="44"/>
          <w:lang w:bidi="ar"/>
        </w:rPr>
      </w:pPr>
    </w:p>
    <w:p w14:paraId="1512848A">
      <w:pPr>
        <w:rPr>
          <w:rFonts w:hint="default" w:ascii="Times New Roman" w:hAnsi="Times New Roman" w:eastAsia="方正小标宋简体" w:cs="Times New Roman"/>
          <w:sz w:val="44"/>
          <w:szCs w:val="44"/>
          <w:lang w:bidi="ar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bidi="ar"/>
        </w:rPr>
        <w:br w:type="page"/>
      </w:r>
    </w:p>
    <w:p w14:paraId="78FC1BDB">
      <w:pPr>
        <w:rPr>
          <w:rFonts w:hint="default"/>
        </w:rPr>
      </w:pPr>
    </w:p>
    <w:p w14:paraId="3F0C93D5">
      <w:pPr>
        <w:rPr>
          <w:rFonts w:hint="default" w:ascii="Times New Roman" w:hAnsi="Times New Roman" w:eastAsia="方正小标宋简体" w:cs="Times New Roman"/>
          <w:sz w:val="44"/>
          <w:szCs w:val="44"/>
          <w:lang w:bidi="ar"/>
        </w:rPr>
      </w:pPr>
    </w:p>
    <w:p w14:paraId="7802A16A">
      <w:pPr>
        <w:pStyle w:val="24"/>
        <w:rPr>
          <w:rFonts w:hint="default" w:ascii="Times New Roman" w:hAnsi="Times New Roman" w:cs="Times New Roman"/>
        </w:rPr>
      </w:pPr>
    </w:p>
    <w:p w14:paraId="69F33086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cs="Times New Roman"/>
        </w:rPr>
        <w:sectPr>
          <w:footerReference r:id="rId3" w:type="default"/>
          <w:footerReference r:id="rId4" w:type="even"/>
          <w:pgSz w:w="11906" w:h="16838"/>
          <w:pgMar w:top="1440" w:right="1304" w:bottom="1440" w:left="1304" w:header="851" w:footer="737" w:gutter="0"/>
          <w:pgNumType w:start="1"/>
          <w:cols w:space="0" w:num="1"/>
          <w:docGrid w:type="lines" w:linePitch="312" w:charSpace="0"/>
        </w:sectPr>
      </w:pPr>
    </w:p>
    <w:p w14:paraId="532CAAD2">
      <w:pPr>
        <w:keepNext w:val="0"/>
        <w:keepLines w:val="0"/>
        <w:pageBreakBefore w:val="0"/>
        <w:widowControl w:val="0"/>
        <w:tabs>
          <w:tab w:val="left" w:pos="1904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0" w:firstLineChars="0"/>
        <w:jc w:val="center"/>
        <w:textAlignment w:val="auto"/>
        <w:rPr>
          <w:rFonts w:hint="default" w:ascii="Times New Roman" w:hAnsi="Times New Roman" w:eastAsia="仿宋_GB2312" w:cs="Times New Roman"/>
          <w:snapToGrid w:val="0"/>
          <w:kern w:val="0"/>
          <w:sz w:val="44"/>
          <w:szCs w:val="44"/>
          <w:highlight w:val="none"/>
          <w:lang w:val="en-US" w:eastAsia="zh-CN"/>
        </w:rPr>
      </w:pPr>
    </w:p>
    <w:p w14:paraId="1B2495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  <w:t>天府产业技术研究院院长选聘及薪酬绩效方案</w:t>
      </w:r>
    </w:p>
    <w:p w14:paraId="3F8DD887">
      <w:pPr>
        <w:pStyle w:val="1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left="0" w:right="0" w:firstLine="0" w:firstLineChars="0"/>
        <w:jc w:val="center"/>
        <w:textAlignment w:val="auto"/>
        <w:rPr>
          <w:rStyle w:val="22"/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u w:val="none"/>
          <w:lang w:val="en-US" w:eastAsia="zh-CN"/>
        </w:rPr>
      </w:pPr>
    </w:p>
    <w:p w14:paraId="42D1ABA4">
      <w:pPr>
        <w:pStyle w:val="1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left="0" w:right="0" w:firstLine="640" w:firstLineChars="200"/>
        <w:textAlignment w:val="auto"/>
        <w:rPr>
          <w:rStyle w:val="22"/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none"/>
          <w:lang w:val="en-US" w:eastAsia="zh-CN"/>
        </w:rPr>
      </w:pPr>
      <w:r>
        <w:rPr>
          <w:rStyle w:val="22"/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none"/>
          <w:lang w:val="en-US" w:eastAsia="zh-CN"/>
        </w:rPr>
        <w:t>为加快推进天府产业技术研究院实体化运行，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</w:rPr>
        <w:t>建设高素质、专业化管理队伍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lang w:eastAsia="zh-CN"/>
        </w:rPr>
        <w:t>，</w:t>
      </w:r>
      <w:r>
        <w:rPr>
          <w:rStyle w:val="22"/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none"/>
          <w:lang w:val="en-US" w:eastAsia="zh-CN"/>
        </w:rPr>
        <w:t>探索市场化路径，拟面向社会选聘天府产业技术研究院院长，具体选聘及薪酬绩效方案如下：</w:t>
      </w:r>
    </w:p>
    <w:p w14:paraId="5E1800ED">
      <w:pPr>
        <w:pStyle w:val="1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一、选聘方式</w:t>
      </w:r>
    </w:p>
    <w:p w14:paraId="3A1001DB">
      <w:pPr>
        <w:pStyle w:val="1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left="0" w:right="0" w:firstLine="640" w:firstLineChars="200"/>
        <w:textAlignment w:val="auto"/>
        <w:rPr>
          <w:rStyle w:val="22"/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none"/>
          <w:lang w:val="en-US" w:eastAsia="zh-CN"/>
        </w:rPr>
      </w:pPr>
      <w:r>
        <w:rPr>
          <w:rStyle w:val="22"/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none"/>
          <w:lang w:val="en-US" w:eastAsia="zh-CN"/>
        </w:rPr>
        <w:t>拟通过</w:t>
      </w:r>
      <w:r>
        <w:rPr>
          <w:rStyle w:val="22"/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u w:val="none"/>
          <w:lang w:val="en-US" w:eastAsia="zh-CN"/>
        </w:rPr>
        <w:t>人才寻访</w:t>
      </w:r>
      <w:r>
        <w:rPr>
          <w:rStyle w:val="22"/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none"/>
          <w:lang w:val="en-US" w:eastAsia="zh-CN"/>
        </w:rPr>
        <w:t>的方式市场化选聘。</w:t>
      </w:r>
    </w:p>
    <w:p w14:paraId="2EAA2CB6">
      <w:pPr>
        <w:pStyle w:val="1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二、选聘时间</w:t>
      </w:r>
    </w:p>
    <w:p w14:paraId="1405A2F0">
      <w:pPr>
        <w:pStyle w:val="1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left="0" w:right="0" w:firstLine="640" w:firstLineChars="200"/>
        <w:textAlignment w:val="auto"/>
        <w:rPr>
          <w:rStyle w:val="22"/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none"/>
          <w:lang w:val="en-US" w:eastAsia="zh-CN"/>
        </w:rPr>
      </w:pPr>
      <w:r>
        <w:rPr>
          <w:rStyle w:val="22"/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none"/>
          <w:lang w:val="en-US" w:eastAsia="zh-CN"/>
        </w:rPr>
        <w:t>2024年</w:t>
      </w:r>
      <w:r>
        <w:rPr>
          <w:rStyle w:val="22"/>
          <w:rFonts w:hint="eastAsia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none"/>
          <w:lang w:val="en-US" w:eastAsia="zh-CN"/>
        </w:rPr>
        <w:t>9</w:t>
      </w:r>
      <w:r>
        <w:rPr>
          <w:rStyle w:val="22"/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none"/>
          <w:lang w:val="en-US" w:eastAsia="zh-CN"/>
        </w:rPr>
        <w:t>月。</w:t>
      </w:r>
    </w:p>
    <w:p w14:paraId="36B27586">
      <w:pPr>
        <w:pStyle w:val="1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三、选聘流程</w:t>
      </w:r>
    </w:p>
    <w:p w14:paraId="0431A3DB">
      <w:pPr>
        <w:pStyle w:val="1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left="0" w:right="0" w:firstLine="643" w:firstLineChars="200"/>
        <w:textAlignment w:val="auto"/>
        <w:rPr>
          <w:rStyle w:val="22"/>
          <w:rFonts w:hint="default" w:ascii="Times New Roman" w:hAnsi="Times New Roman" w:eastAsia="楷体_GB2312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u w:val="none"/>
          <w:lang w:val="en-US" w:eastAsia="zh-CN"/>
        </w:rPr>
      </w:pPr>
      <w:r>
        <w:rPr>
          <w:rStyle w:val="22"/>
          <w:rFonts w:hint="default" w:ascii="Times New Roman" w:hAnsi="Times New Roman" w:eastAsia="楷体_GB2312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u w:val="none"/>
          <w:lang w:val="en-US" w:eastAsia="zh-CN"/>
        </w:rPr>
        <w:t>（一）选聘小组</w:t>
      </w:r>
    </w:p>
    <w:p w14:paraId="552A0D2C">
      <w:pPr>
        <w:pStyle w:val="1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left="0" w:right="0" w:firstLine="640" w:firstLineChars="200"/>
        <w:textAlignment w:val="auto"/>
        <w:rPr>
          <w:rStyle w:val="22"/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none"/>
          <w:lang w:val="en-US" w:eastAsia="zh-CN"/>
        </w:rPr>
      </w:pPr>
      <w:r>
        <w:rPr>
          <w:rStyle w:val="22"/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none"/>
          <w:lang w:val="en-US" w:eastAsia="zh-CN"/>
        </w:rPr>
        <w:t>组建由市科技局、市人社局、市人才办、市纪委监委派驻市教体局纪检组等有关单位组成的选聘小组。</w:t>
      </w:r>
    </w:p>
    <w:p w14:paraId="6E4B7C87">
      <w:pPr>
        <w:pStyle w:val="1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left="0" w:right="0" w:firstLine="643" w:firstLineChars="200"/>
        <w:textAlignment w:val="auto"/>
        <w:rPr>
          <w:rStyle w:val="22"/>
          <w:rFonts w:hint="default" w:ascii="Times New Roman" w:hAnsi="Times New Roman" w:eastAsia="楷体_GB2312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u w:val="none"/>
          <w:lang w:val="en-US" w:eastAsia="zh-CN"/>
        </w:rPr>
      </w:pPr>
      <w:r>
        <w:rPr>
          <w:rStyle w:val="22"/>
          <w:rFonts w:hint="default" w:ascii="Times New Roman" w:hAnsi="Times New Roman" w:eastAsia="楷体_GB2312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u w:val="none"/>
          <w:lang w:val="en-US" w:eastAsia="zh-CN"/>
        </w:rPr>
        <w:t>（二）目标设定</w:t>
      </w:r>
    </w:p>
    <w:p w14:paraId="3099B757">
      <w:pPr>
        <w:pStyle w:val="1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left="0" w:right="0" w:firstLine="640" w:firstLineChars="200"/>
        <w:textAlignment w:val="auto"/>
        <w:rPr>
          <w:rStyle w:val="22"/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none"/>
          <w:lang w:val="en-US" w:eastAsia="zh-CN"/>
        </w:rPr>
      </w:pPr>
      <w:r>
        <w:rPr>
          <w:rStyle w:val="22"/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none"/>
          <w:lang w:val="en-US" w:eastAsia="zh-CN"/>
        </w:rPr>
        <w:t>结合研究院建设、经营目标，设定寻访人才条件，确定选聘岗位要求。</w:t>
      </w:r>
    </w:p>
    <w:p w14:paraId="1BC021CF">
      <w:pPr>
        <w:pStyle w:val="1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left="0" w:right="0" w:firstLine="643" w:firstLineChars="200"/>
        <w:textAlignment w:val="auto"/>
        <w:rPr>
          <w:rStyle w:val="22"/>
          <w:rFonts w:hint="default" w:ascii="Times New Roman" w:hAnsi="Times New Roman" w:eastAsia="楷体_GB2312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u w:val="none"/>
          <w:lang w:val="en-US" w:eastAsia="zh-CN"/>
        </w:rPr>
      </w:pPr>
      <w:r>
        <w:rPr>
          <w:rStyle w:val="22"/>
          <w:rFonts w:hint="default" w:ascii="Times New Roman" w:hAnsi="Times New Roman" w:eastAsia="楷体_GB2312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u w:val="none"/>
          <w:lang w:val="en-US" w:eastAsia="zh-CN"/>
        </w:rPr>
        <w:t>（三）人才筛选</w:t>
      </w:r>
    </w:p>
    <w:p w14:paraId="12685207">
      <w:pPr>
        <w:pStyle w:val="1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left="0" w:right="0" w:firstLine="640" w:firstLineChars="200"/>
        <w:textAlignment w:val="auto"/>
        <w:rPr>
          <w:rStyle w:val="22"/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none"/>
          <w:lang w:val="en-US" w:eastAsia="zh-CN"/>
        </w:rPr>
      </w:pPr>
      <w:r>
        <w:rPr>
          <w:rStyle w:val="22"/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none"/>
          <w:lang w:val="en-US" w:eastAsia="zh-CN"/>
        </w:rPr>
        <w:t>邀请在绵院所、高校、人才集团等单位推荐人选，</w:t>
      </w:r>
      <w:r>
        <w:rPr>
          <w:rStyle w:val="22"/>
          <w:rFonts w:hint="eastAsia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none"/>
          <w:lang w:val="en-US" w:eastAsia="zh-CN"/>
        </w:rPr>
        <w:t>并委托人才集团</w:t>
      </w:r>
      <w:r>
        <w:rPr>
          <w:rStyle w:val="22"/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none"/>
          <w:lang w:val="en-US" w:eastAsia="zh-CN"/>
        </w:rPr>
        <w:t>根据岗位要求寻访3-5名符合条件的人选。</w:t>
      </w:r>
    </w:p>
    <w:p w14:paraId="6C2DB93E">
      <w:pPr>
        <w:pStyle w:val="1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left="0" w:right="0" w:firstLine="643" w:firstLineChars="200"/>
        <w:textAlignment w:val="auto"/>
        <w:rPr>
          <w:rStyle w:val="22"/>
          <w:rFonts w:hint="default" w:ascii="Times New Roman" w:hAnsi="Times New Roman" w:eastAsia="楷体_GB2312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u w:val="none"/>
          <w:lang w:val="en-US" w:eastAsia="zh-CN"/>
        </w:rPr>
      </w:pPr>
      <w:r>
        <w:rPr>
          <w:rStyle w:val="22"/>
          <w:rFonts w:hint="default" w:ascii="Times New Roman" w:hAnsi="Times New Roman" w:eastAsia="楷体_GB2312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u w:val="none"/>
          <w:lang w:val="en-US" w:eastAsia="zh-CN"/>
        </w:rPr>
        <w:t>（四）人员分析</w:t>
      </w:r>
    </w:p>
    <w:p w14:paraId="3E85AF9F">
      <w:pPr>
        <w:pStyle w:val="1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left="0" w:right="0" w:firstLine="640" w:firstLineChars="200"/>
        <w:textAlignment w:val="auto"/>
        <w:rPr>
          <w:rStyle w:val="22"/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none"/>
          <w:lang w:val="en-US" w:eastAsia="zh-CN"/>
        </w:rPr>
      </w:pPr>
      <w:r>
        <w:rPr>
          <w:rStyle w:val="22"/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none"/>
          <w:lang w:val="en-US" w:eastAsia="zh-CN"/>
        </w:rPr>
        <w:t>资格审查，针对合格人员进行履历分析、背景调查等，择优确定3人进入下一步考察。</w:t>
      </w:r>
    </w:p>
    <w:p w14:paraId="2E83E793">
      <w:pPr>
        <w:pStyle w:val="1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left="0" w:leftChars="0" w:right="0" w:rightChars="0" w:firstLine="643" w:firstLineChars="200"/>
        <w:jc w:val="both"/>
        <w:textAlignment w:val="auto"/>
        <w:rPr>
          <w:rStyle w:val="22"/>
          <w:rFonts w:hint="default" w:ascii="Times New Roman" w:hAnsi="Times New Roman" w:eastAsia="楷体_GB2312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楷体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-SA"/>
        </w:rPr>
        <w:t>（五）</w:t>
      </w:r>
      <w:r>
        <w:rPr>
          <w:rStyle w:val="22"/>
          <w:rFonts w:hint="default" w:ascii="Times New Roman" w:hAnsi="Times New Roman" w:eastAsia="楷体_GB2312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u w:val="none"/>
          <w:lang w:val="en-US" w:eastAsia="zh-CN"/>
        </w:rPr>
        <w:t>考察评估</w:t>
      </w:r>
    </w:p>
    <w:p w14:paraId="0708BC5E">
      <w:pPr>
        <w:pStyle w:val="1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right="0" w:rightChars="0" w:firstLine="640" w:firstLineChars="200"/>
        <w:jc w:val="both"/>
        <w:textAlignment w:val="auto"/>
        <w:rPr>
          <w:rStyle w:val="22"/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none"/>
          <w:lang w:val="en-US" w:eastAsia="zh-CN"/>
        </w:rPr>
      </w:pPr>
      <w:r>
        <w:rPr>
          <w:rStyle w:val="22"/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none"/>
          <w:lang w:val="en-US" w:eastAsia="zh-CN"/>
        </w:rPr>
        <w:t>由选聘小组重点考察入围者战略决策能力和团队管理水平，了解其政治思想、道德品质、能力素质、工作表现、遵纪守法、廉洁自律以及是否存在需要回避或不予聘用的情形。</w:t>
      </w:r>
    </w:p>
    <w:p w14:paraId="1B9C33A2">
      <w:pPr>
        <w:pStyle w:val="1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left="0" w:right="0" w:firstLine="643" w:firstLineChars="200"/>
        <w:textAlignment w:val="auto"/>
        <w:rPr>
          <w:rStyle w:val="22"/>
          <w:rFonts w:hint="default" w:ascii="Times New Roman" w:hAnsi="Times New Roman" w:eastAsia="楷体_GB2312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u w:val="none"/>
          <w:lang w:val="en-US" w:eastAsia="zh-CN"/>
        </w:rPr>
      </w:pPr>
      <w:r>
        <w:rPr>
          <w:rStyle w:val="22"/>
          <w:rFonts w:hint="default" w:ascii="Times New Roman" w:hAnsi="Times New Roman" w:eastAsia="楷体_GB2312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u w:val="none"/>
          <w:lang w:val="en-US" w:eastAsia="zh-CN"/>
        </w:rPr>
        <w:t>（六）研究决策</w:t>
      </w:r>
    </w:p>
    <w:p w14:paraId="21431715">
      <w:pPr>
        <w:pStyle w:val="1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left="0" w:right="0" w:firstLine="640" w:firstLineChars="200"/>
        <w:textAlignment w:val="auto"/>
        <w:rPr>
          <w:rStyle w:val="22"/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none"/>
          <w:lang w:val="en-US" w:eastAsia="zh-CN"/>
        </w:rPr>
      </w:pPr>
      <w:r>
        <w:rPr>
          <w:rStyle w:val="22"/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none"/>
          <w:lang w:val="en-US" w:eastAsia="zh-CN"/>
        </w:rPr>
        <w:t>经综合评价，由市</w:t>
      </w:r>
      <w:r>
        <w:rPr>
          <w:rStyle w:val="22"/>
          <w:rFonts w:hint="eastAsia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none"/>
          <w:lang w:val="en-US" w:eastAsia="zh-CN"/>
        </w:rPr>
        <w:t>人才集团提交评估结果报告</w:t>
      </w:r>
      <w:bookmarkStart w:id="0" w:name="_GoBack"/>
      <w:bookmarkEnd w:id="0"/>
      <w:r>
        <w:rPr>
          <w:rStyle w:val="22"/>
          <w:rFonts w:hint="eastAsia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none"/>
          <w:lang w:val="en-US" w:eastAsia="zh-CN"/>
        </w:rPr>
        <w:t>至理事会秘书处，秘书处</w:t>
      </w:r>
      <w:r>
        <w:rPr>
          <w:rStyle w:val="22"/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none"/>
          <w:lang w:val="en-US" w:eastAsia="zh-CN"/>
        </w:rPr>
        <w:t>上报理事会研究确定。</w:t>
      </w:r>
    </w:p>
    <w:p w14:paraId="339E488D">
      <w:pPr>
        <w:pStyle w:val="1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left="0" w:right="0" w:firstLine="643" w:firstLineChars="200"/>
        <w:textAlignment w:val="auto"/>
        <w:rPr>
          <w:rStyle w:val="22"/>
          <w:rFonts w:hint="default" w:ascii="Times New Roman" w:hAnsi="Times New Roman" w:eastAsia="楷体_GB2312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u w:val="none"/>
          <w:lang w:val="en-US" w:eastAsia="zh-CN"/>
        </w:rPr>
      </w:pPr>
      <w:r>
        <w:rPr>
          <w:rStyle w:val="22"/>
          <w:rFonts w:hint="default" w:ascii="Times New Roman" w:hAnsi="Times New Roman" w:eastAsia="楷体_GB2312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u w:val="none"/>
          <w:lang w:val="en-US" w:eastAsia="zh-CN"/>
        </w:rPr>
        <w:t>（七）录用</w:t>
      </w:r>
    </w:p>
    <w:p w14:paraId="0E61DDF4">
      <w:pPr>
        <w:pStyle w:val="1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left="0" w:right="0" w:firstLine="640" w:firstLineChars="200"/>
        <w:textAlignment w:val="auto"/>
        <w:rPr>
          <w:rStyle w:val="22"/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none"/>
          <w:lang w:val="en-US" w:eastAsia="zh-CN"/>
        </w:rPr>
      </w:pPr>
      <w:r>
        <w:rPr>
          <w:rStyle w:val="22"/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none"/>
          <w:lang w:val="en-US" w:eastAsia="zh-CN"/>
        </w:rPr>
        <w:t>天府产业技术研究院与拟聘人员签订劳动（劳务）合同。</w:t>
      </w:r>
    </w:p>
    <w:p w14:paraId="44AA94C3">
      <w:pPr>
        <w:pStyle w:val="1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四、岗位及要求</w:t>
      </w:r>
    </w:p>
    <w:tbl>
      <w:tblPr>
        <w:tblStyle w:val="20"/>
        <w:tblW w:w="9005" w:type="dxa"/>
        <w:tblInd w:w="33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6"/>
        <w:gridCol w:w="875"/>
        <w:gridCol w:w="5564"/>
        <w:gridCol w:w="1155"/>
        <w:gridCol w:w="705"/>
      </w:tblGrid>
      <w:tr w14:paraId="326582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tblHeader/>
        </w:trPr>
        <w:tc>
          <w:tcPr>
            <w:tcW w:w="706" w:type="dxa"/>
            <w:vAlign w:val="center"/>
          </w:tcPr>
          <w:p w14:paraId="6E32FBD6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Style w:val="22"/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Style w:val="22"/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875" w:type="dxa"/>
            <w:vAlign w:val="center"/>
          </w:tcPr>
          <w:p w14:paraId="71F23977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Style w:val="22"/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Style w:val="22"/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vertAlign w:val="baseline"/>
                <w:lang w:val="en-US" w:eastAsia="zh-CN"/>
              </w:rPr>
              <w:t>岗位</w:t>
            </w:r>
          </w:p>
          <w:p w14:paraId="08157F9E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Style w:val="22"/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Style w:val="22"/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vertAlign w:val="baseline"/>
                <w:lang w:val="en-US" w:eastAsia="zh-CN"/>
              </w:rPr>
              <w:t>名称</w:t>
            </w:r>
          </w:p>
        </w:tc>
        <w:tc>
          <w:tcPr>
            <w:tcW w:w="5564" w:type="dxa"/>
            <w:vAlign w:val="center"/>
          </w:tcPr>
          <w:p w14:paraId="4E21699D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Style w:val="22"/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Style w:val="22"/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vertAlign w:val="baseline"/>
                <w:lang w:val="en-US" w:eastAsia="zh-CN"/>
              </w:rPr>
              <w:t>岗位要求</w:t>
            </w:r>
          </w:p>
        </w:tc>
        <w:tc>
          <w:tcPr>
            <w:tcW w:w="1155" w:type="dxa"/>
            <w:vAlign w:val="center"/>
          </w:tcPr>
          <w:p w14:paraId="6469FD20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Style w:val="22"/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Style w:val="22"/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vertAlign w:val="baseline"/>
                <w:lang w:val="en-US" w:eastAsia="zh-CN"/>
              </w:rPr>
              <w:t>选聘</w:t>
            </w:r>
          </w:p>
          <w:p w14:paraId="0B6C3849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Style w:val="22"/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Style w:val="22"/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vertAlign w:val="baseline"/>
                <w:lang w:val="en-US" w:eastAsia="zh-CN"/>
              </w:rPr>
              <w:t>人数</w:t>
            </w:r>
          </w:p>
        </w:tc>
        <w:tc>
          <w:tcPr>
            <w:tcW w:w="705" w:type="dxa"/>
            <w:vAlign w:val="center"/>
          </w:tcPr>
          <w:p w14:paraId="7FBEC026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Style w:val="22"/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Style w:val="22"/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vertAlign w:val="baseline"/>
                <w:lang w:val="en-US" w:eastAsia="zh-CN"/>
              </w:rPr>
              <w:t>备注</w:t>
            </w:r>
          </w:p>
        </w:tc>
      </w:tr>
      <w:tr w14:paraId="39954E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5" w:hRule="atLeast"/>
        </w:trPr>
        <w:tc>
          <w:tcPr>
            <w:tcW w:w="706" w:type="dxa"/>
            <w:vAlign w:val="center"/>
          </w:tcPr>
          <w:p w14:paraId="58533EDE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Style w:val="22"/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Style w:val="22"/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875" w:type="dxa"/>
            <w:vAlign w:val="center"/>
          </w:tcPr>
          <w:p w14:paraId="0F7711C2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Style w:val="22"/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Style w:val="22"/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vertAlign w:val="baseline"/>
                <w:lang w:val="en-US" w:eastAsia="zh-CN"/>
              </w:rPr>
              <w:t>院长</w:t>
            </w:r>
          </w:p>
        </w:tc>
        <w:tc>
          <w:tcPr>
            <w:tcW w:w="5564" w:type="dxa"/>
            <w:vAlign w:val="center"/>
          </w:tcPr>
          <w:p w14:paraId="292EBCB2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right="0"/>
              <w:jc w:val="left"/>
              <w:textAlignment w:val="auto"/>
              <w:rPr>
                <w:rStyle w:val="22"/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Style w:val="22"/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vertAlign w:val="baseline"/>
                <w:lang w:val="en-US" w:eastAsia="zh-CN"/>
              </w:rPr>
              <w:t>（一）基本条件：</w:t>
            </w:r>
          </w:p>
          <w:p w14:paraId="188DEE6B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right="0"/>
              <w:jc w:val="left"/>
              <w:textAlignment w:val="auto"/>
              <w:rPr>
                <w:rStyle w:val="22"/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Style w:val="22"/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vertAlign w:val="baseline"/>
                <w:lang w:val="en-US" w:eastAsia="zh-CN"/>
              </w:rPr>
              <w:t>1.具有中国国籍，拥护中国共产党的领导，拥护中国特色社会主义制度，诚实守信、正直廉洁。</w:t>
            </w:r>
          </w:p>
          <w:p w14:paraId="1D5D46ED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right="0"/>
              <w:jc w:val="left"/>
              <w:textAlignment w:val="auto"/>
              <w:rPr>
                <w:rStyle w:val="22"/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Style w:val="22"/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vertAlign w:val="baseline"/>
                <w:lang w:val="en-US" w:eastAsia="zh-CN"/>
              </w:rPr>
              <w:t>2.具有较强的战略决策能力、优秀的组织领导能力、敏锐的市场分析和洞察能力，善于沟通合作。</w:t>
            </w:r>
          </w:p>
          <w:p w14:paraId="3D45A08C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right="0"/>
              <w:jc w:val="left"/>
              <w:textAlignment w:val="auto"/>
              <w:rPr>
                <w:rStyle w:val="22"/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Style w:val="22"/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vertAlign w:val="baseline"/>
                <w:lang w:val="en-US" w:eastAsia="zh-CN"/>
              </w:rPr>
              <w:t>3.热爱科技创新事业，具有强烈的创新意识和创新自信，勇于提出新理论、开辟新领域、探索新路径，积极承担挑战性工作。</w:t>
            </w:r>
          </w:p>
          <w:p w14:paraId="20CCDA46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right="0"/>
              <w:jc w:val="left"/>
              <w:textAlignment w:val="auto"/>
              <w:rPr>
                <w:rStyle w:val="22"/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Style w:val="22"/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vertAlign w:val="baseline"/>
                <w:lang w:val="en-US" w:eastAsia="zh-CN"/>
              </w:rPr>
              <w:t>4.具有理工科博士学位，身体健康，心理素质好，抗压能力强。</w:t>
            </w:r>
          </w:p>
          <w:p w14:paraId="18366026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right="0"/>
              <w:jc w:val="left"/>
              <w:textAlignment w:val="auto"/>
              <w:rPr>
                <w:rStyle w:val="22"/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Style w:val="22"/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vertAlign w:val="baseline"/>
                <w:lang w:val="en-US" w:eastAsia="zh-CN"/>
              </w:rPr>
              <w:t>5.年龄在65周岁以下（1959年1月1日及以后出生）。</w:t>
            </w:r>
          </w:p>
          <w:p w14:paraId="5B2F31B4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right="0"/>
              <w:jc w:val="left"/>
              <w:textAlignment w:val="auto"/>
              <w:rPr>
                <w:rStyle w:val="22"/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Style w:val="22"/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vertAlign w:val="baseline"/>
                <w:lang w:val="en-US" w:eastAsia="zh-CN"/>
              </w:rPr>
              <w:t>6.有下列情形之一者，不得报名：</w:t>
            </w:r>
          </w:p>
          <w:p w14:paraId="1493530B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right="0"/>
              <w:jc w:val="left"/>
              <w:textAlignment w:val="auto"/>
              <w:rPr>
                <w:rStyle w:val="22"/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Style w:val="22"/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vertAlign w:val="baseline"/>
                <w:lang w:val="en-US" w:eastAsia="zh-CN"/>
              </w:rPr>
              <w:t>6.1正在接受司法机关立案侦查或纪检监察机关立案审查的；</w:t>
            </w:r>
          </w:p>
          <w:p w14:paraId="10CE1DC5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right="0"/>
              <w:jc w:val="left"/>
              <w:textAlignment w:val="auto"/>
              <w:rPr>
                <w:rStyle w:val="22"/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Style w:val="22"/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vertAlign w:val="baseline"/>
                <w:lang w:val="en-US" w:eastAsia="zh-CN"/>
              </w:rPr>
              <w:t>6.2正在党纪政纪处分所规定的提任使用限制期内的；</w:t>
            </w:r>
          </w:p>
          <w:p w14:paraId="5AB650C1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right="0"/>
              <w:jc w:val="left"/>
              <w:textAlignment w:val="auto"/>
              <w:rPr>
                <w:rStyle w:val="22"/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Style w:val="22"/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vertAlign w:val="baseline"/>
                <w:lang w:val="en-US" w:eastAsia="zh-CN"/>
              </w:rPr>
              <w:t>6.3受过司法机关刑事处罚的；</w:t>
            </w:r>
          </w:p>
          <w:p w14:paraId="079C9DF0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right="0"/>
              <w:jc w:val="left"/>
              <w:textAlignment w:val="auto"/>
              <w:rPr>
                <w:rStyle w:val="22"/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Style w:val="22"/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vertAlign w:val="baseline"/>
                <w:lang w:val="en-US" w:eastAsia="zh-CN"/>
              </w:rPr>
              <w:t>6.4有影响聘用的其他情形的。</w:t>
            </w:r>
          </w:p>
          <w:p w14:paraId="21FDEEA7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right="0"/>
              <w:jc w:val="left"/>
              <w:textAlignment w:val="auto"/>
              <w:rPr>
                <w:rStyle w:val="22"/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Style w:val="22"/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vertAlign w:val="baseline"/>
                <w:lang w:val="en-US" w:eastAsia="zh-CN"/>
              </w:rPr>
              <w:t>（二）任职要求：</w:t>
            </w:r>
          </w:p>
          <w:p w14:paraId="37C2F938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right="0"/>
              <w:jc w:val="left"/>
              <w:textAlignment w:val="auto"/>
              <w:rPr>
                <w:rStyle w:val="22"/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Style w:val="22"/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vertAlign w:val="baseline"/>
                <w:lang w:val="en-US" w:eastAsia="zh-CN"/>
              </w:rPr>
              <w:t>1.具有开阔的视野、较强的前瞻和预见能力，能敏锐把握科技领域与产业发展领域国家战略需求和发展趋势。</w:t>
            </w:r>
          </w:p>
          <w:p w14:paraId="378518EC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right="0"/>
              <w:jc w:val="left"/>
              <w:textAlignment w:val="auto"/>
              <w:rPr>
                <w:rStyle w:val="22"/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Style w:val="22"/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vertAlign w:val="baseline"/>
                <w:lang w:val="en-US" w:eastAsia="zh-CN"/>
              </w:rPr>
              <w:t>2.具备优秀的领导能力和强烈的责任担当，具有敏锐的市场洞察能力，紧盯战略目标，统筹好当期效益与长远发展的关系。</w:t>
            </w:r>
          </w:p>
          <w:p w14:paraId="1D64C347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right="0"/>
              <w:jc w:val="left"/>
              <w:textAlignment w:val="auto"/>
              <w:rPr>
                <w:rStyle w:val="22"/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Style w:val="22"/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vertAlign w:val="baseline"/>
                <w:lang w:val="en-US" w:eastAsia="zh-CN"/>
              </w:rPr>
              <w:t>3.具有海内外科技创新领域合作资源，资源整合能力强；在科技创新、成果转化、军民融合、基金创投等方面拥有丰富的工作经验。</w:t>
            </w:r>
          </w:p>
          <w:p w14:paraId="751947FC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right="0"/>
              <w:jc w:val="left"/>
              <w:textAlignment w:val="auto"/>
              <w:rPr>
                <w:rStyle w:val="22"/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Style w:val="22"/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vertAlign w:val="baseline"/>
                <w:lang w:val="en-US" w:eastAsia="zh-CN"/>
              </w:rPr>
              <w:t>4.在国内外著名高校、国防科研院所或企业从事科研与科研管理工作，并担任过主要负责人。</w:t>
            </w:r>
          </w:p>
          <w:p w14:paraId="3BB26E86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right="0"/>
              <w:jc w:val="left"/>
              <w:textAlignment w:val="auto"/>
              <w:rPr>
                <w:rStyle w:val="22"/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Style w:val="22"/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vertAlign w:val="baseline"/>
                <w:lang w:val="en-US" w:eastAsia="zh-CN"/>
              </w:rPr>
              <w:t>（三）工作职责：</w:t>
            </w:r>
          </w:p>
          <w:p w14:paraId="47B293AF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right="0"/>
              <w:jc w:val="left"/>
              <w:textAlignment w:val="auto"/>
              <w:rPr>
                <w:rStyle w:val="22"/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Style w:val="22"/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vertAlign w:val="baseline"/>
                <w:lang w:val="en-US" w:eastAsia="zh-CN"/>
              </w:rPr>
              <w:t>1.全面负责研究院日常管理和运行。</w:t>
            </w:r>
          </w:p>
          <w:p w14:paraId="2DA97886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right="0"/>
              <w:jc w:val="left"/>
              <w:textAlignment w:val="auto"/>
              <w:rPr>
                <w:rStyle w:val="22"/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Style w:val="22"/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vertAlign w:val="baseline"/>
                <w:lang w:val="en-US" w:eastAsia="zh-CN"/>
              </w:rPr>
              <w:t>2.执行研究院理事会决议。</w:t>
            </w:r>
          </w:p>
          <w:p w14:paraId="1FBAAD08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right="0"/>
              <w:jc w:val="left"/>
              <w:textAlignment w:val="auto"/>
              <w:rPr>
                <w:rStyle w:val="22"/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Style w:val="22"/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vertAlign w:val="baseline"/>
                <w:lang w:val="en-US" w:eastAsia="zh-CN"/>
              </w:rPr>
              <w:t>3.组织实施研究院发展规划和年度工作计划。</w:t>
            </w:r>
          </w:p>
          <w:p w14:paraId="07DBDFD3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right="0"/>
              <w:jc w:val="left"/>
              <w:textAlignment w:val="auto"/>
              <w:rPr>
                <w:rStyle w:val="22"/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Style w:val="22"/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vertAlign w:val="baseline"/>
                <w:lang w:val="en-US" w:eastAsia="zh-CN"/>
              </w:rPr>
              <w:t>4.聘任研究院专家咨询委员会成员。</w:t>
            </w:r>
          </w:p>
          <w:p w14:paraId="1B888D7F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right="0"/>
              <w:jc w:val="left"/>
              <w:textAlignment w:val="auto"/>
              <w:rPr>
                <w:rStyle w:val="22"/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Style w:val="22"/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vertAlign w:val="baseline"/>
                <w:lang w:val="en-US" w:eastAsia="zh-CN"/>
              </w:rPr>
              <w:t>5.组织召开院长办公会，研究决策投资事项及其他“三重一大”事项。</w:t>
            </w:r>
          </w:p>
          <w:p w14:paraId="25D5B719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right="0"/>
              <w:jc w:val="left"/>
              <w:textAlignment w:val="auto"/>
              <w:rPr>
                <w:rStyle w:val="22"/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Style w:val="22"/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vertAlign w:val="baseline"/>
                <w:lang w:val="en-US" w:eastAsia="zh-CN"/>
              </w:rPr>
              <w:t>6.行使理事会赋予的其他职权。</w:t>
            </w:r>
          </w:p>
        </w:tc>
        <w:tc>
          <w:tcPr>
            <w:tcW w:w="1155" w:type="dxa"/>
            <w:vAlign w:val="center"/>
          </w:tcPr>
          <w:p w14:paraId="14EDB25B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Style w:val="22"/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Style w:val="22"/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705" w:type="dxa"/>
            <w:vAlign w:val="center"/>
          </w:tcPr>
          <w:p w14:paraId="179DACC9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Style w:val="22"/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</w:tr>
    </w:tbl>
    <w:p w14:paraId="58F081DE">
      <w:pPr>
        <w:pStyle w:val="1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五、薪酬结构及标准</w:t>
      </w:r>
    </w:p>
    <w:p w14:paraId="2CA07E4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3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楷体_GB2312" w:cs="Times New Roman"/>
          <w:b/>
          <w:bCs/>
          <w:i w:val="0"/>
          <w:iCs w:val="0"/>
          <w:color w:val="auto"/>
          <w:kern w:val="2"/>
          <w:sz w:val="32"/>
          <w:szCs w:val="32"/>
          <w:lang w:val="en-US" w:eastAsia="zh-CN" w:bidi="ar-SA"/>
        </w:rPr>
        <w:t>（一）</w:t>
      </w:r>
      <w:r>
        <w:rPr>
          <w:rFonts w:hint="default" w:ascii="Times New Roman" w:hAnsi="Times New Roman" w:eastAsia="楷体_GB2312" w:cs="Times New Roman"/>
          <w:b/>
          <w:bCs/>
          <w:i w:val="0"/>
          <w:iCs w:val="0"/>
          <w:color w:val="auto"/>
          <w:kern w:val="2"/>
          <w:sz w:val="32"/>
          <w:szCs w:val="32"/>
          <w:highlight w:val="none"/>
          <w:lang w:val="en-US" w:eastAsia="zh-CN" w:bidi="ar-SA"/>
        </w:rPr>
        <w:t>薪酬组成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lang w:val="en-US" w:eastAsia="zh-CN" w:bidi="ar-SA"/>
        </w:rPr>
        <w:t>：基本薪酬+绩效薪酬</w:t>
      </w:r>
    </w:p>
    <w:p w14:paraId="7705259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3" w:firstLineChars="200"/>
        <w:textAlignment w:val="auto"/>
        <w:rPr>
          <w:rFonts w:hint="default" w:ascii="Times New Roman" w:hAnsi="Times New Roman" w:eastAsia="楷体_GB2312" w:cs="Times New Roman"/>
          <w:b/>
          <w:bCs/>
          <w:i w:val="0"/>
          <w:i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楷体_GB2312" w:cs="Times New Roman"/>
          <w:b/>
          <w:bCs/>
          <w:i w:val="0"/>
          <w:iCs w:val="0"/>
          <w:color w:val="auto"/>
          <w:kern w:val="2"/>
          <w:sz w:val="32"/>
          <w:szCs w:val="32"/>
          <w:lang w:val="en-US" w:eastAsia="zh-CN" w:bidi="ar-SA"/>
        </w:rPr>
        <w:t>（二）</w:t>
      </w:r>
      <w:r>
        <w:rPr>
          <w:rFonts w:hint="default" w:ascii="Times New Roman" w:hAnsi="Times New Roman" w:eastAsia="楷体_GB2312" w:cs="Times New Roman"/>
          <w:b/>
          <w:bCs/>
          <w:i w:val="0"/>
          <w:iCs w:val="0"/>
          <w:color w:val="auto"/>
          <w:kern w:val="2"/>
          <w:sz w:val="32"/>
          <w:szCs w:val="32"/>
          <w:highlight w:val="none"/>
          <w:lang w:val="en-US" w:eastAsia="zh-CN" w:bidi="ar-SA"/>
        </w:rPr>
        <w:t>薪酬标准</w:t>
      </w:r>
    </w:p>
    <w:p w14:paraId="4783E91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lang w:val="en-US" w:eastAsia="zh-CN" w:bidi="ar-SA"/>
        </w:rPr>
        <w:t>基本薪酬80万元/年（含五险一金），绩效薪酬基数40万元/年，绩效薪酬与年度业绩考核结果挂钩。</w:t>
      </w:r>
    </w:p>
    <w:p w14:paraId="1755FF20">
      <w:pPr>
        <w:pStyle w:val="1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六、绩效薪酬考核</w:t>
      </w:r>
    </w:p>
    <w:p w14:paraId="56DFC9F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3" w:firstLineChars="200"/>
        <w:textAlignment w:val="auto"/>
        <w:rPr>
          <w:rFonts w:hint="default" w:ascii="Times New Roman" w:hAnsi="Times New Roman" w:eastAsia="楷体_GB2312" w:cs="Times New Roman"/>
          <w:b/>
          <w:bCs/>
          <w:i w:val="0"/>
          <w:i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楷体_GB2312" w:cs="Times New Roman"/>
          <w:b/>
          <w:bCs/>
          <w:i w:val="0"/>
          <w:iCs w:val="0"/>
          <w:color w:val="auto"/>
          <w:kern w:val="2"/>
          <w:sz w:val="32"/>
          <w:szCs w:val="32"/>
          <w:lang w:val="en-US" w:eastAsia="zh-CN" w:bidi="ar-SA"/>
        </w:rPr>
        <w:t>（一）</w:t>
      </w:r>
      <w:r>
        <w:rPr>
          <w:rFonts w:hint="default" w:ascii="Times New Roman" w:hAnsi="Times New Roman" w:eastAsia="楷体_GB2312" w:cs="Times New Roman"/>
          <w:b/>
          <w:bCs/>
          <w:i w:val="0"/>
          <w:iCs w:val="0"/>
          <w:color w:val="auto"/>
          <w:kern w:val="2"/>
          <w:sz w:val="32"/>
          <w:szCs w:val="32"/>
          <w:highlight w:val="none"/>
          <w:lang w:val="en-US" w:eastAsia="zh-CN" w:bidi="ar-SA"/>
        </w:rPr>
        <w:t>年度绩效指标</w:t>
      </w:r>
    </w:p>
    <w:tbl>
      <w:tblPr>
        <w:tblStyle w:val="20"/>
        <w:tblW w:w="8956" w:type="dxa"/>
        <w:tblInd w:w="2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6"/>
        <w:gridCol w:w="4909"/>
        <w:gridCol w:w="1451"/>
        <w:gridCol w:w="1680"/>
      </w:tblGrid>
      <w:tr w14:paraId="76B561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exact"/>
        </w:trPr>
        <w:tc>
          <w:tcPr>
            <w:tcW w:w="916" w:type="dxa"/>
            <w:vAlign w:val="center"/>
          </w:tcPr>
          <w:p w14:paraId="10F09D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6" w:line="214" w:lineRule="auto"/>
              <w:ind w:left="113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pacing w:val="-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pacing w:val="-1"/>
                <w:kern w:val="2"/>
                <w:sz w:val="24"/>
                <w:szCs w:val="24"/>
                <w:lang w:val="en-US" w:eastAsia="zh-CN" w:bidi="ar-SA"/>
              </w:rPr>
              <w:t>序号</w:t>
            </w:r>
          </w:p>
        </w:tc>
        <w:tc>
          <w:tcPr>
            <w:tcW w:w="4909" w:type="dxa"/>
            <w:vAlign w:val="center"/>
          </w:tcPr>
          <w:p w14:paraId="7EDFD9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6" w:line="214" w:lineRule="auto"/>
              <w:ind w:left="113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pacing w:val="-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pacing w:val="-1"/>
                <w:kern w:val="2"/>
                <w:sz w:val="24"/>
                <w:szCs w:val="24"/>
                <w:lang w:val="en-US" w:eastAsia="zh-CN" w:bidi="ar-SA"/>
              </w:rPr>
              <w:t>年度绩效指标</w:t>
            </w:r>
          </w:p>
        </w:tc>
        <w:tc>
          <w:tcPr>
            <w:tcW w:w="1451" w:type="dxa"/>
            <w:vAlign w:val="center"/>
          </w:tcPr>
          <w:p w14:paraId="06788A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pacing w:val="-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pacing w:val="-1"/>
                <w:kern w:val="2"/>
                <w:sz w:val="24"/>
                <w:szCs w:val="24"/>
                <w:lang w:val="en-US" w:eastAsia="zh-CN" w:bidi="ar-SA"/>
              </w:rPr>
              <w:t>权重</w:t>
            </w:r>
          </w:p>
          <w:p w14:paraId="769887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pacing w:val="-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pacing w:val="-1"/>
                <w:kern w:val="2"/>
                <w:sz w:val="24"/>
                <w:szCs w:val="24"/>
                <w:lang w:val="en-US" w:eastAsia="zh-CN" w:bidi="ar-SA"/>
              </w:rPr>
              <w:t>（分值）</w:t>
            </w:r>
          </w:p>
        </w:tc>
        <w:tc>
          <w:tcPr>
            <w:tcW w:w="1680" w:type="dxa"/>
            <w:vAlign w:val="center"/>
          </w:tcPr>
          <w:p w14:paraId="381E78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pacing w:val="-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pacing w:val="-1"/>
                <w:kern w:val="2"/>
                <w:sz w:val="24"/>
                <w:szCs w:val="24"/>
                <w:lang w:val="en-US" w:eastAsia="zh-CN" w:bidi="ar-SA"/>
              </w:rPr>
              <w:t>绩效薪酬</w:t>
            </w:r>
          </w:p>
          <w:p w14:paraId="3413D7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pacing w:val="-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pacing w:val="-1"/>
                <w:kern w:val="2"/>
                <w:sz w:val="24"/>
                <w:szCs w:val="24"/>
                <w:lang w:val="en-US" w:eastAsia="zh-CN" w:bidi="ar-SA"/>
              </w:rPr>
              <w:t>（单位：万元）</w:t>
            </w:r>
          </w:p>
        </w:tc>
      </w:tr>
      <w:tr w14:paraId="5CBD7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exact"/>
        </w:trPr>
        <w:tc>
          <w:tcPr>
            <w:tcW w:w="916" w:type="dxa"/>
            <w:vAlign w:val="center"/>
          </w:tcPr>
          <w:p w14:paraId="774ED7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6" w:line="214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1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4909" w:type="dxa"/>
            <w:shd w:val="clear" w:color="auto" w:fill="auto"/>
            <w:vAlign w:val="center"/>
          </w:tcPr>
          <w:p w14:paraId="2980C8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6" w:line="214" w:lineRule="auto"/>
              <w:ind w:left="113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1"/>
                <w:kern w:val="2"/>
                <w:sz w:val="24"/>
                <w:szCs w:val="24"/>
                <w:lang w:val="en-US" w:eastAsia="zh-CN" w:bidi="ar-SA"/>
              </w:rPr>
              <w:t>以“拨投结合”的方式实施成果转化项目累计不少于10项</w:t>
            </w:r>
          </w:p>
        </w:tc>
        <w:tc>
          <w:tcPr>
            <w:tcW w:w="1451" w:type="dxa"/>
            <w:vAlign w:val="center"/>
          </w:tcPr>
          <w:p w14:paraId="439667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6" w:line="214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1"/>
                <w:kern w:val="2"/>
                <w:sz w:val="24"/>
                <w:szCs w:val="24"/>
                <w:lang w:val="en-US" w:eastAsia="zh-CN" w:bidi="ar-SA"/>
              </w:rPr>
              <w:t>20%</w:t>
            </w:r>
          </w:p>
        </w:tc>
        <w:tc>
          <w:tcPr>
            <w:tcW w:w="1680" w:type="dxa"/>
            <w:vAlign w:val="center"/>
          </w:tcPr>
          <w:p w14:paraId="718CB2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6" w:line="214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1"/>
                <w:kern w:val="2"/>
                <w:sz w:val="24"/>
                <w:szCs w:val="24"/>
                <w:lang w:val="en-US" w:eastAsia="zh-CN" w:bidi="ar-SA"/>
              </w:rPr>
              <w:t>8</w:t>
            </w:r>
          </w:p>
        </w:tc>
      </w:tr>
      <w:tr w14:paraId="5ED93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16" w:type="dxa"/>
            <w:vAlign w:val="center"/>
          </w:tcPr>
          <w:p w14:paraId="33B2D3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6" w:line="214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1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4909" w:type="dxa"/>
            <w:shd w:val="clear" w:color="auto" w:fill="auto"/>
            <w:vAlign w:val="center"/>
          </w:tcPr>
          <w:p w14:paraId="22C38E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6" w:line="214" w:lineRule="auto"/>
              <w:ind w:left="113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建设专业研究所不少于2家</w:t>
            </w:r>
          </w:p>
        </w:tc>
        <w:tc>
          <w:tcPr>
            <w:tcW w:w="1451" w:type="dxa"/>
            <w:vAlign w:val="center"/>
          </w:tcPr>
          <w:p w14:paraId="3DA883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6" w:line="214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1"/>
                <w:kern w:val="2"/>
                <w:sz w:val="24"/>
                <w:szCs w:val="24"/>
                <w:lang w:val="en-US" w:eastAsia="zh-CN" w:bidi="ar-SA"/>
              </w:rPr>
              <w:t>10%</w:t>
            </w:r>
          </w:p>
        </w:tc>
        <w:tc>
          <w:tcPr>
            <w:tcW w:w="1680" w:type="dxa"/>
            <w:vAlign w:val="center"/>
          </w:tcPr>
          <w:p w14:paraId="0199F3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6" w:line="214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1"/>
                <w:kern w:val="2"/>
                <w:sz w:val="24"/>
                <w:szCs w:val="24"/>
                <w:lang w:val="en-US" w:eastAsia="zh-CN" w:bidi="ar-SA"/>
              </w:rPr>
              <w:t>4</w:t>
            </w:r>
          </w:p>
        </w:tc>
      </w:tr>
      <w:tr w14:paraId="2A291A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16" w:type="dxa"/>
            <w:vAlign w:val="center"/>
          </w:tcPr>
          <w:p w14:paraId="561552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6" w:line="214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1"/>
                <w:kern w:val="2"/>
                <w:sz w:val="24"/>
                <w:szCs w:val="24"/>
                <w:lang w:val="en-US" w:eastAsia="zh-CN" w:bidi="ar-SA"/>
              </w:rPr>
              <w:t>3</w:t>
            </w:r>
          </w:p>
        </w:tc>
        <w:tc>
          <w:tcPr>
            <w:tcW w:w="4909" w:type="dxa"/>
            <w:shd w:val="clear" w:color="auto" w:fill="auto"/>
            <w:vAlign w:val="center"/>
          </w:tcPr>
          <w:p w14:paraId="2F1007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6" w:line="214" w:lineRule="auto"/>
              <w:ind w:left="113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企业联合创新中心不少于10家</w:t>
            </w:r>
          </w:p>
        </w:tc>
        <w:tc>
          <w:tcPr>
            <w:tcW w:w="1451" w:type="dxa"/>
            <w:vAlign w:val="center"/>
          </w:tcPr>
          <w:p w14:paraId="7F193A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6" w:line="214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1"/>
                <w:kern w:val="2"/>
                <w:sz w:val="24"/>
                <w:szCs w:val="24"/>
                <w:lang w:val="en-US" w:eastAsia="zh-CN" w:bidi="ar-SA"/>
              </w:rPr>
              <w:t>10%</w:t>
            </w:r>
          </w:p>
        </w:tc>
        <w:tc>
          <w:tcPr>
            <w:tcW w:w="1680" w:type="dxa"/>
            <w:vAlign w:val="center"/>
          </w:tcPr>
          <w:p w14:paraId="5B5F47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6" w:line="214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1"/>
                <w:kern w:val="2"/>
                <w:sz w:val="24"/>
                <w:szCs w:val="24"/>
                <w:lang w:val="en-US" w:eastAsia="zh-CN" w:bidi="ar-SA"/>
              </w:rPr>
              <w:t>4</w:t>
            </w:r>
          </w:p>
        </w:tc>
      </w:tr>
      <w:tr w14:paraId="6783E1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16" w:type="dxa"/>
            <w:vAlign w:val="center"/>
          </w:tcPr>
          <w:p w14:paraId="6643EB09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4</w:t>
            </w:r>
          </w:p>
        </w:tc>
        <w:tc>
          <w:tcPr>
            <w:tcW w:w="4909" w:type="dxa"/>
            <w:shd w:val="clear" w:color="auto" w:fill="auto"/>
            <w:vAlign w:val="center"/>
          </w:tcPr>
          <w:p w14:paraId="48B7FF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6" w:line="214" w:lineRule="auto"/>
              <w:ind w:left="113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1"/>
                <w:kern w:val="2"/>
                <w:sz w:val="24"/>
                <w:szCs w:val="24"/>
                <w:lang w:val="en-US" w:eastAsia="zh-CN" w:bidi="ar-SA"/>
              </w:rPr>
              <w:t>招引高水平创新团队不少于10个</w:t>
            </w:r>
          </w:p>
        </w:tc>
        <w:tc>
          <w:tcPr>
            <w:tcW w:w="1451" w:type="dxa"/>
            <w:vAlign w:val="center"/>
          </w:tcPr>
          <w:p w14:paraId="0A7F2492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1"/>
                <w:kern w:val="2"/>
                <w:sz w:val="24"/>
                <w:szCs w:val="24"/>
                <w:lang w:val="en-US" w:eastAsia="zh-CN" w:bidi="ar-SA"/>
              </w:rPr>
              <w:t>10%</w:t>
            </w:r>
          </w:p>
        </w:tc>
        <w:tc>
          <w:tcPr>
            <w:tcW w:w="1680" w:type="dxa"/>
            <w:vAlign w:val="center"/>
          </w:tcPr>
          <w:p w14:paraId="1B2A27CB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-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1"/>
                <w:kern w:val="2"/>
                <w:sz w:val="24"/>
                <w:szCs w:val="24"/>
                <w:lang w:val="en-US" w:eastAsia="zh-CN" w:bidi="ar-SA"/>
              </w:rPr>
              <w:t>4</w:t>
            </w:r>
          </w:p>
        </w:tc>
      </w:tr>
      <w:tr w14:paraId="5D167D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16" w:type="dxa"/>
            <w:vAlign w:val="center"/>
          </w:tcPr>
          <w:p w14:paraId="11DB7C69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5</w:t>
            </w:r>
          </w:p>
        </w:tc>
        <w:tc>
          <w:tcPr>
            <w:tcW w:w="4909" w:type="dxa"/>
            <w:shd w:val="clear" w:color="auto" w:fill="auto"/>
            <w:vAlign w:val="center"/>
          </w:tcPr>
          <w:p w14:paraId="5B0FE2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6" w:line="214" w:lineRule="auto"/>
              <w:ind w:left="113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1"/>
                <w:kern w:val="2"/>
                <w:sz w:val="24"/>
                <w:szCs w:val="24"/>
                <w:lang w:val="en-US" w:eastAsia="zh-CN" w:bidi="ar-SA"/>
              </w:rPr>
              <w:t>招引高层次人才不少于30名</w:t>
            </w:r>
          </w:p>
        </w:tc>
        <w:tc>
          <w:tcPr>
            <w:tcW w:w="1451" w:type="dxa"/>
            <w:vAlign w:val="center"/>
          </w:tcPr>
          <w:p w14:paraId="028B691A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1"/>
                <w:kern w:val="2"/>
                <w:sz w:val="24"/>
                <w:szCs w:val="24"/>
                <w:lang w:val="en-US" w:eastAsia="zh-CN" w:bidi="ar-SA"/>
              </w:rPr>
              <w:t>10%</w:t>
            </w:r>
          </w:p>
        </w:tc>
        <w:tc>
          <w:tcPr>
            <w:tcW w:w="1680" w:type="dxa"/>
            <w:vAlign w:val="center"/>
          </w:tcPr>
          <w:p w14:paraId="6750F891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-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1"/>
                <w:kern w:val="2"/>
                <w:sz w:val="24"/>
                <w:szCs w:val="24"/>
                <w:lang w:val="en-US" w:eastAsia="zh-CN" w:bidi="ar-SA"/>
              </w:rPr>
              <w:t>4</w:t>
            </w:r>
          </w:p>
        </w:tc>
      </w:tr>
      <w:tr w14:paraId="73FC6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16" w:type="dxa"/>
            <w:vAlign w:val="center"/>
          </w:tcPr>
          <w:p w14:paraId="0A3CBA85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6</w:t>
            </w:r>
          </w:p>
        </w:tc>
        <w:tc>
          <w:tcPr>
            <w:tcW w:w="4909" w:type="dxa"/>
            <w:shd w:val="clear" w:color="auto" w:fill="auto"/>
            <w:vAlign w:val="center"/>
          </w:tcPr>
          <w:p w14:paraId="53419A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6" w:line="214" w:lineRule="auto"/>
              <w:ind w:left="113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1"/>
                <w:kern w:val="2"/>
                <w:sz w:val="24"/>
                <w:szCs w:val="24"/>
                <w:lang w:val="en-US" w:eastAsia="zh-CN" w:bidi="ar-SA"/>
              </w:rPr>
              <w:t>突破关键核心技术不少于40项</w:t>
            </w:r>
          </w:p>
        </w:tc>
        <w:tc>
          <w:tcPr>
            <w:tcW w:w="1451" w:type="dxa"/>
            <w:vAlign w:val="center"/>
          </w:tcPr>
          <w:p w14:paraId="5137E5AC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1"/>
                <w:kern w:val="2"/>
                <w:sz w:val="24"/>
                <w:szCs w:val="24"/>
                <w:lang w:val="en-US" w:eastAsia="zh-CN" w:bidi="ar-SA"/>
              </w:rPr>
              <w:t>10%</w:t>
            </w:r>
          </w:p>
        </w:tc>
        <w:tc>
          <w:tcPr>
            <w:tcW w:w="1680" w:type="dxa"/>
            <w:vAlign w:val="center"/>
          </w:tcPr>
          <w:p w14:paraId="33A4994D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-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1"/>
                <w:kern w:val="2"/>
                <w:sz w:val="24"/>
                <w:szCs w:val="24"/>
                <w:lang w:val="en-US" w:eastAsia="zh-CN" w:bidi="ar-SA"/>
              </w:rPr>
              <w:t>4</w:t>
            </w:r>
          </w:p>
        </w:tc>
      </w:tr>
      <w:tr w14:paraId="7AA42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16" w:type="dxa"/>
            <w:vAlign w:val="center"/>
          </w:tcPr>
          <w:p w14:paraId="0EE0BDE3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7</w:t>
            </w:r>
          </w:p>
        </w:tc>
        <w:tc>
          <w:tcPr>
            <w:tcW w:w="4909" w:type="dxa"/>
            <w:shd w:val="clear" w:color="auto" w:fill="auto"/>
            <w:vAlign w:val="center"/>
          </w:tcPr>
          <w:p w14:paraId="500565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6" w:line="214" w:lineRule="auto"/>
              <w:ind w:left="113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1"/>
                <w:kern w:val="2"/>
                <w:sz w:val="24"/>
                <w:szCs w:val="24"/>
                <w:lang w:val="en-US" w:eastAsia="zh-CN" w:bidi="ar-SA"/>
              </w:rPr>
              <w:t>转化科技成果数量不少于10项</w:t>
            </w:r>
          </w:p>
        </w:tc>
        <w:tc>
          <w:tcPr>
            <w:tcW w:w="1451" w:type="dxa"/>
            <w:vAlign w:val="center"/>
          </w:tcPr>
          <w:p w14:paraId="5651574D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1"/>
                <w:kern w:val="2"/>
                <w:sz w:val="24"/>
                <w:szCs w:val="24"/>
                <w:lang w:val="en-US" w:eastAsia="zh-CN" w:bidi="ar-SA"/>
              </w:rPr>
              <w:t>10%</w:t>
            </w:r>
          </w:p>
        </w:tc>
        <w:tc>
          <w:tcPr>
            <w:tcW w:w="1680" w:type="dxa"/>
            <w:vAlign w:val="center"/>
          </w:tcPr>
          <w:p w14:paraId="64387179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-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1"/>
                <w:kern w:val="2"/>
                <w:sz w:val="24"/>
                <w:szCs w:val="24"/>
                <w:lang w:val="en-US" w:eastAsia="zh-CN" w:bidi="ar-SA"/>
              </w:rPr>
              <w:t>4</w:t>
            </w:r>
          </w:p>
        </w:tc>
      </w:tr>
      <w:tr w14:paraId="5EE52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16" w:type="dxa"/>
            <w:vAlign w:val="center"/>
          </w:tcPr>
          <w:p w14:paraId="3C25C7C2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8</w:t>
            </w:r>
          </w:p>
        </w:tc>
        <w:tc>
          <w:tcPr>
            <w:tcW w:w="4909" w:type="dxa"/>
            <w:shd w:val="clear" w:color="auto" w:fill="auto"/>
            <w:vAlign w:val="center"/>
          </w:tcPr>
          <w:p w14:paraId="450E7F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6" w:line="214" w:lineRule="auto"/>
              <w:ind w:left="113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1"/>
                <w:kern w:val="2"/>
                <w:sz w:val="24"/>
                <w:szCs w:val="24"/>
                <w:lang w:val="en-US" w:eastAsia="zh-CN" w:bidi="ar-SA"/>
              </w:rPr>
              <w:t>孵化培育科技型中小企业数量不少于15家</w:t>
            </w:r>
          </w:p>
        </w:tc>
        <w:tc>
          <w:tcPr>
            <w:tcW w:w="1451" w:type="dxa"/>
            <w:vAlign w:val="center"/>
          </w:tcPr>
          <w:p w14:paraId="78C70424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5%</w:t>
            </w:r>
          </w:p>
        </w:tc>
        <w:tc>
          <w:tcPr>
            <w:tcW w:w="1680" w:type="dxa"/>
            <w:vAlign w:val="center"/>
          </w:tcPr>
          <w:p w14:paraId="35140301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2</w:t>
            </w:r>
          </w:p>
        </w:tc>
      </w:tr>
      <w:tr w14:paraId="49AFE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16" w:type="dxa"/>
            <w:vAlign w:val="center"/>
          </w:tcPr>
          <w:p w14:paraId="55A04DB3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9</w:t>
            </w:r>
          </w:p>
        </w:tc>
        <w:tc>
          <w:tcPr>
            <w:tcW w:w="4909" w:type="dxa"/>
            <w:shd w:val="clear" w:color="auto" w:fill="auto"/>
            <w:vAlign w:val="center"/>
          </w:tcPr>
          <w:p w14:paraId="283DC0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6" w:line="214" w:lineRule="auto"/>
              <w:ind w:left="113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1"/>
                <w:kern w:val="2"/>
                <w:sz w:val="24"/>
                <w:szCs w:val="24"/>
                <w:u w:val="none"/>
                <w:lang w:val="en-US" w:eastAsia="zh-CN"/>
              </w:rPr>
              <w:t>带动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1"/>
                <w:kern w:val="2"/>
                <w:sz w:val="24"/>
                <w:szCs w:val="24"/>
                <w:highlight w:val="none"/>
                <w:u w:val="none"/>
                <w:lang w:val="en-US" w:eastAsia="zh-CN"/>
              </w:rPr>
              <w:t>县市（园）区投入不低于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1"/>
                <w:kern w:val="2"/>
                <w:sz w:val="24"/>
                <w:szCs w:val="24"/>
                <w:u w:val="none"/>
                <w:lang w:val="en-US" w:eastAsia="zh-CN"/>
              </w:rPr>
              <w:t>1.3亿元</w:t>
            </w:r>
          </w:p>
        </w:tc>
        <w:tc>
          <w:tcPr>
            <w:tcW w:w="1451" w:type="dxa"/>
            <w:vAlign w:val="center"/>
          </w:tcPr>
          <w:p w14:paraId="68264EBA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5%</w:t>
            </w:r>
          </w:p>
        </w:tc>
        <w:tc>
          <w:tcPr>
            <w:tcW w:w="1680" w:type="dxa"/>
            <w:vAlign w:val="center"/>
          </w:tcPr>
          <w:p w14:paraId="08A98C14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2</w:t>
            </w:r>
          </w:p>
        </w:tc>
      </w:tr>
      <w:tr w14:paraId="2FEF2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16" w:type="dxa"/>
            <w:vAlign w:val="center"/>
          </w:tcPr>
          <w:p w14:paraId="0A778762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10</w:t>
            </w:r>
          </w:p>
        </w:tc>
        <w:tc>
          <w:tcPr>
            <w:tcW w:w="4909" w:type="dxa"/>
            <w:shd w:val="clear" w:color="auto" w:fill="auto"/>
            <w:vAlign w:val="center"/>
          </w:tcPr>
          <w:p w14:paraId="47C835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6" w:line="214" w:lineRule="auto"/>
              <w:ind w:left="113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1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1"/>
                <w:kern w:val="2"/>
                <w:sz w:val="24"/>
                <w:szCs w:val="24"/>
                <w:highlight w:val="none"/>
                <w:u w:val="none"/>
                <w:lang w:val="en-US" w:eastAsia="zh-CN"/>
              </w:rPr>
              <w:t>引导企业投入不低于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1"/>
                <w:kern w:val="2"/>
                <w:sz w:val="24"/>
                <w:szCs w:val="24"/>
                <w:u w:val="none"/>
                <w:lang w:val="en-US" w:eastAsia="zh-CN"/>
              </w:rPr>
              <w:t>1亿元</w:t>
            </w:r>
          </w:p>
        </w:tc>
        <w:tc>
          <w:tcPr>
            <w:tcW w:w="1451" w:type="dxa"/>
            <w:vAlign w:val="center"/>
          </w:tcPr>
          <w:p w14:paraId="499BE8B9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5%</w:t>
            </w:r>
          </w:p>
        </w:tc>
        <w:tc>
          <w:tcPr>
            <w:tcW w:w="1680" w:type="dxa"/>
            <w:vAlign w:val="center"/>
          </w:tcPr>
          <w:p w14:paraId="3FE5E8E8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2</w:t>
            </w:r>
          </w:p>
        </w:tc>
      </w:tr>
      <w:tr w14:paraId="016293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16" w:type="dxa"/>
            <w:vAlign w:val="center"/>
          </w:tcPr>
          <w:p w14:paraId="491526F3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11</w:t>
            </w:r>
          </w:p>
        </w:tc>
        <w:tc>
          <w:tcPr>
            <w:tcW w:w="4909" w:type="dxa"/>
            <w:shd w:val="clear" w:color="auto" w:fill="auto"/>
            <w:vAlign w:val="center"/>
          </w:tcPr>
          <w:p w14:paraId="7D2009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6" w:line="214" w:lineRule="auto"/>
              <w:ind w:left="113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1"/>
                <w:kern w:val="2"/>
                <w:sz w:val="24"/>
                <w:szCs w:val="24"/>
                <w:highlight w:val="none"/>
                <w:u w:val="none"/>
                <w:lang w:val="en-US" w:eastAsia="zh-CN"/>
              </w:rPr>
              <w:t>拉动社会资本投融资不低于1.5亿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1"/>
                <w:kern w:val="2"/>
                <w:sz w:val="24"/>
                <w:szCs w:val="24"/>
                <w:u w:val="none"/>
                <w:lang w:val="en-US" w:eastAsia="zh-CN"/>
              </w:rPr>
              <w:t>元</w:t>
            </w:r>
          </w:p>
        </w:tc>
        <w:tc>
          <w:tcPr>
            <w:tcW w:w="1451" w:type="dxa"/>
            <w:vAlign w:val="center"/>
          </w:tcPr>
          <w:p w14:paraId="2D5E2F17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5%</w:t>
            </w:r>
          </w:p>
        </w:tc>
        <w:tc>
          <w:tcPr>
            <w:tcW w:w="1680" w:type="dxa"/>
            <w:vAlign w:val="center"/>
          </w:tcPr>
          <w:p w14:paraId="407BE817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2</w:t>
            </w:r>
          </w:p>
        </w:tc>
      </w:tr>
    </w:tbl>
    <w:p w14:paraId="3740BE9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lang w:val="en-US" w:eastAsia="zh-CN" w:bidi="ar-SA"/>
        </w:rPr>
        <w:t>备注：每项绩效指标按完成比例得分。</w:t>
      </w:r>
    </w:p>
    <w:p w14:paraId="3086045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3" w:firstLineChars="200"/>
        <w:textAlignment w:val="auto"/>
        <w:rPr>
          <w:rFonts w:hint="default" w:ascii="Times New Roman" w:hAnsi="Times New Roman" w:eastAsia="楷体_GB2312" w:cs="Times New Roman"/>
          <w:b/>
          <w:bCs/>
          <w:i w:val="0"/>
          <w:i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楷体_GB2312" w:cs="Times New Roman"/>
          <w:b/>
          <w:bCs/>
          <w:i w:val="0"/>
          <w:iCs w:val="0"/>
          <w:color w:val="auto"/>
          <w:kern w:val="2"/>
          <w:sz w:val="32"/>
          <w:szCs w:val="32"/>
          <w:lang w:val="en-US" w:eastAsia="zh-CN" w:bidi="ar-SA"/>
        </w:rPr>
        <w:t>（二）</w:t>
      </w:r>
      <w:r>
        <w:rPr>
          <w:rFonts w:hint="default" w:ascii="Times New Roman" w:hAnsi="Times New Roman" w:eastAsia="楷体_GB2312" w:cs="Times New Roman"/>
          <w:b/>
          <w:bCs/>
          <w:i w:val="0"/>
          <w:iCs w:val="0"/>
          <w:color w:val="auto"/>
          <w:kern w:val="2"/>
          <w:sz w:val="32"/>
          <w:szCs w:val="32"/>
          <w:highlight w:val="none"/>
          <w:lang w:val="en-US" w:eastAsia="zh-CN" w:bidi="ar-SA"/>
        </w:rPr>
        <w:t>考核实施</w:t>
      </w:r>
    </w:p>
    <w:p w14:paraId="2AA742F5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106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每个年度结束后，研究院根据年度目标编制年度工作总结，对目标完成情况、工作成效、项目实施情况等进行总结分析，向理事会秘书处报告。</w:t>
      </w:r>
    </w:p>
    <w:p w14:paraId="004B5703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106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理事会秘书处组织对研究院年度工作成效进行绩效考评，形成考核与奖惩意见并上报理事会。</w:t>
      </w:r>
    </w:p>
    <w:p w14:paraId="60F3824C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106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根据理事会确定的年度绩效考核结果及绩效薪酬基数发放绩效薪酬。</w:t>
      </w:r>
    </w:p>
    <w:p w14:paraId="4E3CCD0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3" w:firstLineChars="200"/>
        <w:textAlignment w:val="auto"/>
        <w:rPr>
          <w:rFonts w:hint="default" w:ascii="Times New Roman" w:hAnsi="Times New Roman" w:eastAsia="楷体_GB2312" w:cs="Times New Roman"/>
          <w:b/>
          <w:bCs/>
          <w:i w:val="0"/>
          <w:i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楷体_GB2312" w:cs="Times New Roman"/>
          <w:b/>
          <w:bCs/>
          <w:i w:val="0"/>
          <w:iCs w:val="0"/>
          <w:color w:val="auto"/>
          <w:kern w:val="2"/>
          <w:sz w:val="32"/>
          <w:szCs w:val="32"/>
          <w:lang w:val="en-US" w:eastAsia="zh-CN" w:bidi="ar-SA"/>
        </w:rPr>
        <w:t>（三）</w:t>
      </w:r>
      <w:r>
        <w:rPr>
          <w:rFonts w:hint="default" w:ascii="Times New Roman" w:hAnsi="Times New Roman" w:eastAsia="楷体_GB2312" w:cs="Times New Roman"/>
          <w:b/>
          <w:bCs/>
          <w:i w:val="0"/>
          <w:iCs w:val="0"/>
          <w:color w:val="auto"/>
          <w:kern w:val="2"/>
          <w:sz w:val="32"/>
          <w:szCs w:val="32"/>
          <w:highlight w:val="none"/>
          <w:lang w:val="en-US" w:eastAsia="zh-CN" w:bidi="ar-SA"/>
        </w:rPr>
        <w:t>奖惩</w:t>
      </w:r>
    </w:p>
    <w:p w14:paraId="383EEF7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06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1.绩效薪酬=绩效薪酬基数×年度绩效考核得分。</w:t>
      </w:r>
    </w:p>
    <w:p w14:paraId="0005381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06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2.年度绩效考核得分低于60分，不发放绩效薪酬。</w:t>
      </w:r>
    </w:p>
    <w:p w14:paraId="5EDA81B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06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3.年度考核期内，超额完成年度绩效指标任务并取得突出成绩的，经理事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会认定后给予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奖励，具体奖励标准如下：</w:t>
      </w:r>
    </w:p>
    <w:tbl>
      <w:tblPr>
        <w:tblStyle w:val="20"/>
        <w:tblW w:w="8825" w:type="dxa"/>
        <w:tblInd w:w="38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5"/>
        <w:gridCol w:w="5540"/>
        <w:gridCol w:w="2340"/>
      </w:tblGrid>
      <w:tr w14:paraId="40299C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45" w:type="dxa"/>
            <w:vAlign w:val="center"/>
          </w:tcPr>
          <w:p w14:paraId="320A2F2F">
            <w:pPr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序号</w:t>
            </w:r>
          </w:p>
        </w:tc>
        <w:tc>
          <w:tcPr>
            <w:tcW w:w="5540" w:type="dxa"/>
            <w:vAlign w:val="center"/>
          </w:tcPr>
          <w:p w14:paraId="635148F8">
            <w:pPr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奖励指标</w:t>
            </w:r>
          </w:p>
        </w:tc>
        <w:tc>
          <w:tcPr>
            <w:tcW w:w="2340" w:type="dxa"/>
            <w:vAlign w:val="center"/>
          </w:tcPr>
          <w:p w14:paraId="1F9AFBF8">
            <w:pPr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院长奖励标准</w:t>
            </w:r>
          </w:p>
        </w:tc>
      </w:tr>
      <w:tr w14:paraId="65B700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45" w:type="dxa"/>
            <w:vAlign w:val="center"/>
          </w:tcPr>
          <w:p w14:paraId="4B51F68A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5540" w:type="dxa"/>
            <w:vAlign w:val="center"/>
          </w:tcPr>
          <w:p w14:paraId="64198F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6" w:line="214" w:lineRule="auto"/>
              <w:ind w:left="113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每增加1个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1"/>
                <w:kern w:val="2"/>
                <w:sz w:val="24"/>
                <w:szCs w:val="24"/>
                <w:lang w:val="en-US" w:eastAsia="zh-CN" w:bidi="ar-SA"/>
              </w:rPr>
              <w:t>“拨投结合”成果转化项目</w:t>
            </w:r>
          </w:p>
        </w:tc>
        <w:tc>
          <w:tcPr>
            <w:tcW w:w="2340" w:type="dxa"/>
            <w:vAlign w:val="center"/>
          </w:tcPr>
          <w:p w14:paraId="3896A854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0.8万元</w:t>
            </w:r>
          </w:p>
        </w:tc>
      </w:tr>
      <w:tr w14:paraId="5CB4E8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45" w:type="dxa"/>
            <w:vAlign w:val="center"/>
          </w:tcPr>
          <w:p w14:paraId="07DFB940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5540" w:type="dxa"/>
            <w:vAlign w:val="center"/>
          </w:tcPr>
          <w:p w14:paraId="207DF0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6" w:line="214" w:lineRule="auto"/>
              <w:ind w:left="113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每增加1家专业研究所</w:t>
            </w:r>
          </w:p>
        </w:tc>
        <w:tc>
          <w:tcPr>
            <w:tcW w:w="2340" w:type="dxa"/>
            <w:vAlign w:val="center"/>
          </w:tcPr>
          <w:p w14:paraId="2A64AA1A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2万元</w:t>
            </w:r>
          </w:p>
        </w:tc>
      </w:tr>
      <w:tr w14:paraId="7186BF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45" w:type="dxa"/>
            <w:vAlign w:val="center"/>
          </w:tcPr>
          <w:p w14:paraId="1912D9BD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5540" w:type="dxa"/>
            <w:vAlign w:val="center"/>
          </w:tcPr>
          <w:p w14:paraId="4B043C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6" w:line="214" w:lineRule="auto"/>
              <w:ind w:left="113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每增加1家企业联合创新中心</w:t>
            </w:r>
          </w:p>
        </w:tc>
        <w:tc>
          <w:tcPr>
            <w:tcW w:w="2340" w:type="dxa"/>
            <w:vAlign w:val="center"/>
          </w:tcPr>
          <w:p w14:paraId="6BD0271A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0.4万元</w:t>
            </w:r>
          </w:p>
        </w:tc>
      </w:tr>
      <w:tr w14:paraId="4FB9E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45" w:type="dxa"/>
            <w:vAlign w:val="center"/>
          </w:tcPr>
          <w:p w14:paraId="65A4D359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4</w:t>
            </w:r>
          </w:p>
        </w:tc>
        <w:tc>
          <w:tcPr>
            <w:tcW w:w="5540" w:type="dxa"/>
            <w:vAlign w:val="center"/>
          </w:tcPr>
          <w:p w14:paraId="300C62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6" w:line="214" w:lineRule="auto"/>
              <w:ind w:left="113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1"/>
                <w:kern w:val="2"/>
                <w:sz w:val="24"/>
                <w:szCs w:val="24"/>
                <w:lang w:val="en-US" w:eastAsia="zh-CN" w:bidi="ar-SA"/>
              </w:rPr>
              <w:t>招引高水平创新团队每增加1个</w:t>
            </w:r>
          </w:p>
        </w:tc>
        <w:tc>
          <w:tcPr>
            <w:tcW w:w="2340" w:type="dxa"/>
            <w:vAlign w:val="center"/>
          </w:tcPr>
          <w:p w14:paraId="67A94055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0.4万元</w:t>
            </w:r>
          </w:p>
        </w:tc>
      </w:tr>
      <w:tr w14:paraId="768689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45" w:type="dxa"/>
            <w:vAlign w:val="center"/>
          </w:tcPr>
          <w:p w14:paraId="51131B82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5</w:t>
            </w:r>
          </w:p>
        </w:tc>
        <w:tc>
          <w:tcPr>
            <w:tcW w:w="5540" w:type="dxa"/>
            <w:vAlign w:val="center"/>
          </w:tcPr>
          <w:p w14:paraId="36BC71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6" w:line="214" w:lineRule="auto"/>
              <w:ind w:left="113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1"/>
                <w:kern w:val="2"/>
                <w:sz w:val="24"/>
                <w:szCs w:val="24"/>
                <w:lang w:val="en-US" w:eastAsia="zh-CN" w:bidi="ar-SA"/>
              </w:rPr>
              <w:t>招引高层次人才每增加1名</w:t>
            </w:r>
          </w:p>
        </w:tc>
        <w:tc>
          <w:tcPr>
            <w:tcW w:w="2340" w:type="dxa"/>
            <w:vAlign w:val="center"/>
          </w:tcPr>
          <w:p w14:paraId="398FCE12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0.14万元</w:t>
            </w:r>
          </w:p>
        </w:tc>
      </w:tr>
      <w:tr w14:paraId="6E9FD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45" w:type="dxa"/>
            <w:vAlign w:val="center"/>
          </w:tcPr>
          <w:p w14:paraId="4E51A055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6</w:t>
            </w:r>
          </w:p>
        </w:tc>
        <w:tc>
          <w:tcPr>
            <w:tcW w:w="5540" w:type="dxa"/>
            <w:vAlign w:val="center"/>
          </w:tcPr>
          <w:p w14:paraId="2FB4F7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6" w:line="214" w:lineRule="auto"/>
              <w:ind w:left="113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1"/>
                <w:kern w:val="2"/>
                <w:sz w:val="24"/>
                <w:szCs w:val="24"/>
                <w:lang w:val="en-US" w:eastAsia="zh-CN" w:bidi="ar-SA"/>
              </w:rPr>
              <w:t>突破关键核心技术每增加1项</w:t>
            </w:r>
          </w:p>
        </w:tc>
        <w:tc>
          <w:tcPr>
            <w:tcW w:w="2340" w:type="dxa"/>
            <w:vAlign w:val="center"/>
          </w:tcPr>
          <w:p w14:paraId="356BF03C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0.1万元</w:t>
            </w:r>
          </w:p>
        </w:tc>
      </w:tr>
      <w:tr w14:paraId="3A4D4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45" w:type="dxa"/>
            <w:vAlign w:val="center"/>
          </w:tcPr>
          <w:p w14:paraId="0C3181AD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7</w:t>
            </w:r>
          </w:p>
        </w:tc>
        <w:tc>
          <w:tcPr>
            <w:tcW w:w="5540" w:type="dxa"/>
            <w:vAlign w:val="center"/>
          </w:tcPr>
          <w:p w14:paraId="568B84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6" w:line="214" w:lineRule="auto"/>
              <w:ind w:left="113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1"/>
                <w:kern w:val="2"/>
                <w:sz w:val="24"/>
                <w:szCs w:val="24"/>
                <w:lang w:val="en-US" w:eastAsia="zh-CN" w:bidi="ar-SA"/>
              </w:rPr>
              <w:t>转化科技成果每增加1项</w:t>
            </w:r>
          </w:p>
        </w:tc>
        <w:tc>
          <w:tcPr>
            <w:tcW w:w="2340" w:type="dxa"/>
            <w:vAlign w:val="center"/>
          </w:tcPr>
          <w:p w14:paraId="1532A059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0.4万元</w:t>
            </w:r>
          </w:p>
        </w:tc>
      </w:tr>
      <w:tr w14:paraId="353621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45" w:type="dxa"/>
            <w:vAlign w:val="center"/>
          </w:tcPr>
          <w:p w14:paraId="10993B7C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8</w:t>
            </w:r>
          </w:p>
        </w:tc>
        <w:tc>
          <w:tcPr>
            <w:tcW w:w="5540" w:type="dxa"/>
            <w:vAlign w:val="center"/>
          </w:tcPr>
          <w:p w14:paraId="7CD135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6" w:line="214" w:lineRule="auto"/>
              <w:ind w:left="113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1"/>
                <w:kern w:val="2"/>
                <w:sz w:val="24"/>
                <w:szCs w:val="24"/>
                <w:lang w:val="en-US" w:eastAsia="zh-CN" w:bidi="ar-SA"/>
              </w:rPr>
              <w:t>孵化培育科技型中小企业每增加1家</w:t>
            </w:r>
          </w:p>
        </w:tc>
        <w:tc>
          <w:tcPr>
            <w:tcW w:w="2340" w:type="dxa"/>
            <w:vAlign w:val="center"/>
          </w:tcPr>
          <w:p w14:paraId="2B74802D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0.14万元</w:t>
            </w:r>
          </w:p>
        </w:tc>
      </w:tr>
      <w:tr w14:paraId="456D7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45" w:type="dxa"/>
            <w:vAlign w:val="center"/>
          </w:tcPr>
          <w:p w14:paraId="2070D627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9</w:t>
            </w:r>
          </w:p>
        </w:tc>
        <w:tc>
          <w:tcPr>
            <w:tcW w:w="5540" w:type="dxa"/>
            <w:vAlign w:val="center"/>
          </w:tcPr>
          <w:p w14:paraId="07BFDE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6" w:line="214" w:lineRule="auto"/>
              <w:ind w:left="113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1"/>
                <w:kern w:val="2"/>
                <w:sz w:val="24"/>
                <w:szCs w:val="24"/>
                <w:u w:val="none"/>
                <w:lang w:val="en-US" w:eastAsia="zh-CN"/>
              </w:rPr>
              <w:t>带动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1"/>
                <w:kern w:val="2"/>
                <w:sz w:val="24"/>
                <w:szCs w:val="24"/>
                <w:highlight w:val="none"/>
                <w:u w:val="none"/>
                <w:lang w:val="en-US" w:eastAsia="zh-CN"/>
              </w:rPr>
              <w:t>县市（园）区投入每超过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1"/>
                <w:kern w:val="2"/>
                <w:sz w:val="24"/>
                <w:szCs w:val="24"/>
                <w:u w:val="none"/>
                <w:lang w:val="en-US" w:eastAsia="zh-CN"/>
              </w:rPr>
              <w:t>1亿元</w:t>
            </w:r>
          </w:p>
        </w:tc>
        <w:tc>
          <w:tcPr>
            <w:tcW w:w="2340" w:type="dxa"/>
            <w:vAlign w:val="center"/>
          </w:tcPr>
          <w:p w14:paraId="73AC58A3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1.5万元</w:t>
            </w:r>
          </w:p>
        </w:tc>
      </w:tr>
      <w:tr w14:paraId="7D0896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45" w:type="dxa"/>
            <w:vAlign w:val="center"/>
          </w:tcPr>
          <w:p w14:paraId="520A5945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10</w:t>
            </w:r>
          </w:p>
        </w:tc>
        <w:tc>
          <w:tcPr>
            <w:tcW w:w="5540" w:type="dxa"/>
            <w:vAlign w:val="center"/>
          </w:tcPr>
          <w:p w14:paraId="198244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6" w:line="214" w:lineRule="auto"/>
              <w:ind w:left="113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1"/>
                <w:kern w:val="2"/>
                <w:sz w:val="24"/>
                <w:szCs w:val="24"/>
                <w:highlight w:val="none"/>
                <w:u w:val="none"/>
                <w:lang w:val="en-US" w:eastAsia="zh-CN"/>
              </w:rPr>
              <w:t>引导企业投入每增加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1"/>
                <w:kern w:val="2"/>
                <w:sz w:val="24"/>
                <w:szCs w:val="24"/>
                <w:u w:val="none"/>
                <w:lang w:val="en-US" w:eastAsia="zh-CN"/>
              </w:rPr>
              <w:t>1亿元</w:t>
            </w:r>
          </w:p>
        </w:tc>
        <w:tc>
          <w:tcPr>
            <w:tcW w:w="2340" w:type="dxa"/>
            <w:vAlign w:val="center"/>
          </w:tcPr>
          <w:p w14:paraId="25A490FF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2万元</w:t>
            </w:r>
          </w:p>
        </w:tc>
      </w:tr>
      <w:tr w14:paraId="78C149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45" w:type="dxa"/>
            <w:vAlign w:val="center"/>
          </w:tcPr>
          <w:p w14:paraId="2039A599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11</w:t>
            </w:r>
          </w:p>
        </w:tc>
        <w:tc>
          <w:tcPr>
            <w:tcW w:w="5540" w:type="dxa"/>
            <w:vAlign w:val="center"/>
          </w:tcPr>
          <w:p w14:paraId="0AD337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6" w:line="214" w:lineRule="auto"/>
              <w:ind w:left="113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1"/>
                <w:kern w:val="2"/>
                <w:sz w:val="24"/>
                <w:szCs w:val="24"/>
                <w:highlight w:val="none"/>
                <w:u w:val="none"/>
                <w:lang w:val="en-US" w:eastAsia="zh-CN"/>
              </w:rPr>
              <w:t>拉动社会资本投融资每增加1亿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1"/>
                <w:kern w:val="2"/>
                <w:sz w:val="24"/>
                <w:szCs w:val="24"/>
                <w:u w:val="none"/>
                <w:lang w:val="en-US" w:eastAsia="zh-CN"/>
              </w:rPr>
              <w:t>元</w:t>
            </w:r>
          </w:p>
        </w:tc>
        <w:tc>
          <w:tcPr>
            <w:tcW w:w="2340" w:type="dxa"/>
            <w:vAlign w:val="center"/>
          </w:tcPr>
          <w:p w14:paraId="516CEB0F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1.3万元</w:t>
            </w:r>
          </w:p>
        </w:tc>
      </w:tr>
    </w:tbl>
    <w:p w14:paraId="3ACDE3B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06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4.对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lang w:val="en-US" w:eastAsia="zh-CN" w:bidi="ar-SA"/>
        </w:rPr>
        <w:t>不认真履行职责,导致重大决策失误、出现环境事件、生产安全事故和网络安全事件、重大质量事故、重大违纪和法律纠纷案件、重大不稳定事件、虚报瞒报财务状况等给研究院造成重大不良影响的，依法依纪追究相关院领导责任，并根据具体情况扣减基本薪酬，具体扣减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理事会秘书处报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lang w:val="en-US" w:eastAsia="zh-CN" w:bidi="ar-SA"/>
        </w:rPr>
        <w:t>理事会确定。</w:t>
      </w:r>
    </w:p>
    <w:p w14:paraId="2EB662C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06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textAlignment w:val="auto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5.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lang w:val="en-US" w:eastAsia="zh-CN" w:bidi="ar-SA"/>
        </w:rPr>
        <w:t>对违反廉洁从业有关规定及其他规定，按照党风廉政建设考核相关规定处理并扣减基本薪酬，具体扣减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理事会秘书处报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lang w:val="en-US" w:eastAsia="zh-CN" w:bidi="ar-SA"/>
        </w:rPr>
        <w:t>理事会确定。</w:t>
      </w:r>
    </w:p>
    <w:p w14:paraId="46A08050">
      <w:pPr>
        <w:pStyle w:val="1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七、其他</w:t>
      </w:r>
    </w:p>
    <w:p w14:paraId="06215CD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06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lang w:val="en-US" w:eastAsia="zh-CN" w:bidi="ar-SA"/>
        </w:rPr>
        <w:t>（一）薪酬标准及绩效指标执行期为3年。</w:t>
      </w:r>
    </w:p>
    <w:p w14:paraId="0935447E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06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lang w:val="en-US" w:eastAsia="zh-CN" w:bidi="ar-SA"/>
        </w:rPr>
        <w:t>（二）薪酬标准执行一年后根据情况确定是否执行中长期激励。</w:t>
      </w:r>
    </w:p>
    <w:p w14:paraId="7CC22AFC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 w:val="0"/>
        <w:snapToGrid w:val="0"/>
        <w:spacing w:line="600" w:lineRule="exact"/>
        <w:rPr>
          <w:rFonts w:hint="default" w:ascii="Times New Roman" w:hAnsi="Times New Roman" w:eastAsia="楷体" w:cs="Times New Roman"/>
          <w:b/>
          <w:bCs/>
          <w:sz w:val="32"/>
          <w:szCs w:val="32"/>
        </w:rPr>
      </w:pPr>
    </w:p>
    <w:sectPr>
      <w:footerReference r:id="rId5" w:type="default"/>
      <w:footerReference r:id="rId6" w:type="even"/>
      <w:pgSz w:w="11906" w:h="16838"/>
      <w:pgMar w:top="1417" w:right="1304" w:bottom="1417" w:left="1304" w:header="851" w:footer="856" w:gutter="0"/>
      <w:pgNumType w:start="1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9DD3DD2-22BA-44C9-8971-BE4C16EA37F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63F80D50-D4D3-4139-86FE-CEF536FE865E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3F6D50F3-388D-4C15-970E-BBAD85ACDB5B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215C37FE-1619-4642-AA20-667BEC69CD3A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  <w:embedRegular r:id="rId5" w:fontKey="{71B6CFD6-AE22-4251-8965-DE99F486CA77}"/>
  </w:font>
  <w:font w:name="方正楷体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6" w:fontKey="{0A8256B4-0E72-4B7F-9FA3-10A6F65C48D2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7" w:fontKey="{BF4CD3FD-0CCB-4F4D-9290-62B30FA19ECC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8" w:fontKey="{F446DCDB-60A5-48A0-B071-5A13951825A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526308">
    <w:pPr>
      <w:pStyle w:val="5"/>
      <w:ind w:right="240"/>
      <w:jc w:val="right"/>
      <w:rPr>
        <w:rFonts w:ascii="宋体" w:hAnsi="宋体"/>
        <w:sz w:val="24"/>
      </w:rPr>
    </w:pPr>
  </w:p>
  <w:p w14:paraId="1D79576E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B9869D">
    <w:pPr>
      <w:pStyle w:val="5"/>
      <w:ind w:firstLine="240" w:firstLineChars="100"/>
      <w:rPr>
        <w:rFonts w:ascii="宋体" w:hAnsi="宋体"/>
        <w:sz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CA87DC">
    <w:pPr>
      <w:pStyle w:val="5"/>
      <w:ind w:right="240"/>
      <w:jc w:val="right"/>
      <w:rPr>
        <w:rFonts w:ascii="宋体" w:hAnsi="宋体"/>
        <w:sz w:val="24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2837815</wp:posOffset>
              </wp:positionH>
              <wp:positionV relativeFrom="paragraph">
                <wp:posOffset>116205</wp:posOffset>
              </wp:positionV>
              <wp:extent cx="1828800" cy="1828800"/>
              <wp:effectExtent l="0" t="0" r="0" b="0"/>
              <wp:wrapNone/>
              <wp:docPr id="4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4922E1">
                          <w:pPr>
                            <w:pStyle w:val="5"/>
                            <w:ind w:right="240"/>
                            <w:jc w:val="right"/>
                            <w:rPr>
                              <w:rFonts w:asciiTheme="minorEastAsia" w:hAnsiTheme="minorEastAsia" w:eastAsiaTheme="minorEastAsia" w:cstheme="minorEastAsia"/>
                              <w:sz w:val="24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Theme="minorEastAsia" w:hAnsiTheme="minorEastAsia" w:eastAsiaTheme="minorEastAsia" w:cstheme="minorEastAsia"/>
                              <w:sz w:val="24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223.45pt;margin-top:9.15pt;height:144pt;width:144pt;mso-position-horizontal-relative:margin;mso-wrap-style:none;z-index:251660288;mso-width-relative:page;mso-height-relative:page;" filled="f" stroked="f" coordsize="21600,21600" o:gfxdata="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PqiDDdYAAAAKAQAADwAAAAAAAAABACAAAAAiAAAAZHJzL2Rvd25yZXYueG1s&#10;UEsBAhQAFAAAAAgAh07iQM2YuRTBAQAAjQMAAA4AAAAAAAAAAQAgAAAAJQ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84922E1">
                    <w:pPr>
                      <w:pStyle w:val="5"/>
                      <w:ind w:right="240"/>
                      <w:jc w:val="right"/>
                      <w:rPr>
                        <w:rFonts w:asciiTheme="minorEastAsia" w:hAnsiTheme="minorEastAsia" w:eastAsiaTheme="minorEastAsia" w:cstheme="minorEastAsia"/>
                        <w:sz w:val="24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</w:rPr>
                      <w:fldChar w:fldCharType="separate"/>
                    </w:r>
                    <w:r>
                      <w:rPr>
                        <w:rFonts w:asciiTheme="minorEastAsia" w:hAnsiTheme="minorEastAsia" w:eastAsiaTheme="minorEastAsia" w:cstheme="minorEastAsia"/>
                        <w:sz w:val="24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77036A81">
    <w:pPr>
      <w:pStyle w:val="5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6BFD8E">
    <w:pPr>
      <w:pStyle w:val="5"/>
      <w:ind w:firstLine="240" w:firstLineChars="100"/>
      <w:rPr>
        <w:rFonts w:ascii="宋体" w:hAnsi="宋体"/>
        <w:sz w:val="24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B18A5F">
                          <w:pPr>
                            <w:pStyle w:val="5"/>
                            <w:ind w:firstLine="240" w:firstLineChars="100"/>
                            <w:rPr>
                              <w:rFonts w:asciiTheme="minorEastAsia" w:hAnsiTheme="minorEastAsia" w:eastAsiaTheme="minorEastAsia" w:cstheme="minorEastAsia"/>
                              <w:sz w:val="24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Theme="minorEastAsia" w:hAnsiTheme="minorEastAsia" w:eastAsiaTheme="minorEastAsia" w:cstheme="minorEastAsia"/>
                              <w:sz w:val="24"/>
                            </w:rPr>
                            <w:t>14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DOqXm5zwAAAAUBAAAPAAAAAAAAAAEAIAAAACIAAABkcnMvZG93bnJldi54bWxQSwECFAAU&#10;AAAACACHTuJA4othXMEBAACNAwAADgAAAAAAAAABACAAAAAeAQAAZHJzL2Uyb0RvYy54bWxQSwUG&#10;AAAAAAYABgBZAQAAU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CB18A5F">
                    <w:pPr>
                      <w:pStyle w:val="5"/>
                      <w:ind w:firstLine="240" w:firstLineChars="100"/>
                      <w:rPr>
                        <w:rFonts w:asciiTheme="minorEastAsia" w:hAnsiTheme="minorEastAsia" w:eastAsiaTheme="minorEastAsia" w:cstheme="minorEastAsia"/>
                        <w:sz w:val="24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</w:rPr>
                      <w:fldChar w:fldCharType="separate"/>
                    </w:r>
                    <w:r>
                      <w:rPr>
                        <w:rFonts w:asciiTheme="minorEastAsia" w:hAnsiTheme="minorEastAsia" w:eastAsiaTheme="minorEastAsia" w:cstheme="minorEastAsia"/>
                        <w:sz w:val="24"/>
                      </w:rPr>
                      <w:t>14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EA1C15D"/>
    <w:multiLevelType w:val="singleLevel"/>
    <w:tmpl w:val="7EA1C15D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documentProtection w:enforcement="0"/>
  <w:defaultTabStop w:val="420"/>
  <w:evenAndOddHeaders w:val="1"/>
  <w:drawingGridHorizontalSpacing w:val="207"/>
  <w:drawingGridVerticalSpacing w:val="3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IzZDY0MWU5NGJlZGVjZDA4NWRiZmQ4OWI0ODRjYzUifQ=="/>
  </w:docVars>
  <w:rsids>
    <w:rsidRoot w:val="E1D7C55D"/>
    <w:rsid w:val="000005E7"/>
    <w:rsid w:val="00013AEA"/>
    <w:rsid w:val="00024702"/>
    <w:rsid w:val="000D594C"/>
    <w:rsid w:val="000D6C49"/>
    <w:rsid w:val="000E23C4"/>
    <w:rsid w:val="001001BE"/>
    <w:rsid w:val="001B04A8"/>
    <w:rsid w:val="001E6CC0"/>
    <w:rsid w:val="001F1D68"/>
    <w:rsid w:val="002442DC"/>
    <w:rsid w:val="00244EAA"/>
    <w:rsid w:val="0024737B"/>
    <w:rsid w:val="002A0F02"/>
    <w:rsid w:val="00326764"/>
    <w:rsid w:val="00362765"/>
    <w:rsid w:val="00502C12"/>
    <w:rsid w:val="0051617B"/>
    <w:rsid w:val="00530CA4"/>
    <w:rsid w:val="005321B8"/>
    <w:rsid w:val="005A227C"/>
    <w:rsid w:val="005D1C2D"/>
    <w:rsid w:val="005F341F"/>
    <w:rsid w:val="005F6829"/>
    <w:rsid w:val="006E2796"/>
    <w:rsid w:val="0073601E"/>
    <w:rsid w:val="007400F4"/>
    <w:rsid w:val="00840389"/>
    <w:rsid w:val="008C38E4"/>
    <w:rsid w:val="008D39CF"/>
    <w:rsid w:val="00A46F87"/>
    <w:rsid w:val="00A64857"/>
    <w:rsid w:val="00B248FC"/>
    <w:rsid w:val="00BC3929"/>
    <w:rsid w:val="00C24874"/>
    <w:rsid w:val="00C76595"/>
    <w:rsid w:val="00D5759E"/>
    <w:rsid w:val="00DB71D3"/>
    <w:rsid w:val="00DD7B1F"/>
    <w:rsid w:val="00E1072C"/>
    <w:rsid w:val="00FD4F6F"/>
    <w:rsid w:val="019C17C9"/>
    <w:rsid w:val="01DA52DD"/>
    <w:rsid w:val="047E8621"/>
    <w:rsid w:val="05AE11EB"/>
    <w:rsid w:val="07780B4E"/>
    <w:rsid w:val="08B614C2"/>
    <w:rsid w:val="09FB6E58"/>
    <w:rsid w:val="0B287434"/>
    <w:rsid w:val="0E954B97"/>
    <w:rsid w:val="0FFF15EE"/>
    <w:rsid w:val="10895CE2"/>
    <w:rsid w:val="12D501A7"/>
    <w:rsid w:val="137FB9CD"/>
    <w:rsid w:val="14FF02FC"/>
    <w:rsid w:val="17CB54C2"/>
    <w:rsid w:val="18960F00"/>
    <w:rsid w:val="18E63F2C"/>
    <w:rsid w:val="19855007"/>
    <w:rsid w:val="19DA56FD"/>
    <w:rsid w:val="1A584227"/>
    <w:rsid w:val="1B7A56E7"/>
    <w:rsid w:val="1D052FE6"/>
    <w:rsid w:val="1DE9169E"/>
    <w:rsid w:val="1EC71A2A"/>
    <w:rsid w:val="1FCB6B17"/>
    <w:rsid w:val="233F70B5"/>
    <w:rsid w:val="2575ACFF"/>
    <w:rsid w:val="26555CE0"/>
    <w:rsid w:val="27FB96BD"/>
    <w:rsid w:val="291E0426"/>
    <w:rsid w:val="2AF3C72F"/>
    <w:rsid w:val="2B283EF8"/>
    <w:rsid w:val="2C357514"/>
    <w:rsid w:val="2D661674"/>
    <w:rsid w:val="2DB60734"/>
    <w:rsid w:val="2EEB080B"/>
    <w:rsid w:val="2F05B289"/>
    <w:rsid w:val="2FE1138B"/>
    <w:rsid w:val="2FFF1D03"/>
    <w:rsid w:val="33EB7ADF"/>
    <w:rsid w:val="33FDB23B"/>
    <w:rsid w:val="352978C7"/>
    <w:rsid w:val="355B7D16"/>
    <w:rsid w:val="35DDDAD4"/>
    <w:rsid w:val="36EAEE81"/>
    <w:rsid w:val="37165DEE"/>
    <w:rsid w:val="37D3630B"/>
    <w:rsid w:val="37DD8659"/>
    <w:rsid w:val="37FF192B"/>
    <w:rsid w:val="38C9655D"/>
    <w:rsid w:val="38F76C91"/>
    <w:rsid w:val="3A2D6380"/>
    <w:rsid w:val="3AAC0E09"/>
    <w:rsid w:val="3ABF2CDA"/>
    <w:rsid w:val="3BB356CC"/>
    <w:rsid w:val="3C47FB61"/>
    <w:rsid w:val="3C796C17"/>
    <w:rsid w:val="3CFF44B5"/>
    <w:rsid w:val="3DBF07C7"/>
    <w:rsid w:val="3DF7DF06"/>
    <w:rsid w:val="3DFF84F8"/>
    <w:rsid w:val="3E157CEF"/>
    <w:rsid w:val="3ECE9CDE"/>
    <w:rsid w:val="3EFEC64E"/>
    <w:rsid w:val="3F57552D"/>
    <w:rsid w:val="3F6A08A4"/>
    <w:rsid w:val="3F7F7ADE"/>
    <w:rsid w:val="3FCBD349"/>
    <w:rsid w:val="3FDDBEFD"/>
    <w:rsid w:val="3FDFF0B8"/>
    <w:rsid w:val="3FF3695F"/>
    <w:rsid w:val="3FFFAAC1"/>
    <w:rsid w:val="4553265D"/>
    <w:rsid w:val="477755D2"/>
    <w:rsid w:val="479D8B3D"/>
    <w:rsid w:val="48BA3F8F"/>
    <w:rsid w:val="497D3799"/>
    <w:rsid w:val="49C049A2"/>
    <w:rsid w:val="4AC98A8A"/>
    <w:rsid w:val="4BBC66CE"/>
    <w:rsid w:val="4BFE2B63"/>
    <w:rsid w:val="4C8E5CA5"/>
    <w:rsid w:val="4CD06A60"/>
    <w:rsid w:val="4CD33930"/>
    <w:rsid w:val="4CD41B83"/>
    <w:rsid w:val="4D3A04A0"/>
    <w:rsid w:val="4D6C5F8C"/>
    <w:rsid w:val="4D87935A"/>
    <w:rsid w:val="4D9BB54B"/>
    <w:rsid w:val="4D9FA837"/>
    <w:rsid w:val="4E5D0DAC"/>
    <w:rsid w:val="4E7C3C6F"/>
    <w:rsid w:val="4EED65BF"/>
    <w:rsid w:val="4EF18DA8"/>
    <w:rsid w:val="507C2A18"/>
    <w:rsid w:val="519E2993"/>
    <w:rsid w:val="545240D7"/>
    <w:rsid w:val="54D5A3C4"/>
    <w:rsid w:val="56AD784C"/>
    <w:rsid w:val="57E39DE2"/>
    <w:rsid w:val="57EEC431"/>
    <w:rsid w:val="57FEC943"/>
    <w:rsid w:val="59490AB1"/>
    <w:rsid w:val="596FB60C"/>
    <w:rsid w:val="5AD132F9"/>
    <w:rsid w:val="5ADF3F59"/>
    <w:rsid w:val="5AFEE961"/>
    <w:rsid w:val="5DFE1AE7"/>
    <w:rsid w:val="5F7D99D6"/>
    <w:rsid w:val="5F976921"/>
    <w:rsid w:val="5F9E593F"/>
    <w:rsid w:val="5FE74BBE"/>
    <w:rsid w:val="5FEEE777"/>
    <w:rsid w:val="5FF74B64"/>
    <w:rsid w:val="61E34C31"/>
    <w:rsid w:val="62477473"/>
    <w:rsid w:val="6565919A"/>
    <w:rsid w:val="668E42AF"/>
    <w:rsid w:val="66ABF8B6"/>
    <w:rsid w:val="676D4F15"/>
    <w:rsid w:val="67774B31"/>
    <w:rsid w:val="678FF2E9"/>
    <w:rsid w:val="67B19032"/>
    <w:rsid w:val="6AC59E41"/>
    <w:rsid w:val="6AE3370F"/>
    <w:rsid w:val="6B7F93F3"/>
    <w:rsid w:val="6C6A1ED3"/>
    <w:rsid w:val="6CEE93F8"/>
    <w:rsid w:val="6D6EAA2D"/>
    <w:rsid w:val="6F76ED49"/>
    <w:rsid w:val="6F7D0772"/>
    <w:rsid w:val="6F7F7C34"/>
    <w:rsid w:val="6FAFCB49"/>
    <w:rsid w:val="6FBD7DA2"/>
    <w:rsid w:val="6FBE3F20"/>
    <w:rsid w:val="6FBEC7AE"/>
    <w:rsid w:val="6FEF46E1"/>
    <w:rsid w:val="71EFA6DC"/>
    <w:rsid w:val="73A94358"/>
    <w:rsid w:val="73DEE447"/>
    <w:rsid w:val="73EFB02B"/>
    <w:rsid w:val="746F75F0"/>
    <w:rsid w:val="754E638F"/>
    <w:rsid w:val="75B71672"/>
    <w:rsid w:val="75B99ECB"/>
    <w:rsid w:val="766E46CB"/>
    <w:rsid w:val="76FEC44A"/>
    <w:rsid w:val="772E5934"/>
    <w:rsid w:val="773F2CC8"/>
    <w:rsid w:val="777E9FA2"/>
    <w:rsid w:val="77B6044A"/>
    <w:rsid w:val="77BD2A8E"/>
    <w:rsid w:val="77D614FA"/>
    <w:rsid w:val="77DF6802"/>
    <w:rsid w:val="77EF6501"/>
    <w:rsid w:val="77F75566"/>
    <w:rsid w:val="77F79387"/>
    <w:rsid w:val="77FF7AAF"/>
    <w:rsid w:val="77FF8281"/>
    <w:rsid w:val="784C3AA8"/>
    <w:rsid w:val="78F60994"/>
    <w:rsid w:val="78F714AF"/>
    <w:rsid w:val="79996A9E"/>
    <w:rsid w:val="79BE1DA7"/>
    <w:rsid w:val="79FCFA64"/>
    <w:rsid w:val="79FF6A93"/>
    <w:rsid w:val="7B67520E"/>
    <w:rsid w:val="7B7EF792"/>
    <w:rsid w:val="7B8F23EA"/>
    <w:rsid w:val="7BB73FC4"/>
    <w:rsid w:val="7BF778E7"/>
    <w:rsid w:val="7BFFE10B"/>
    <w:rsid w:val="7C9F55B2"/>
    <w:rsid w:val="7CDFB24E"/>
    <w:rsid w:val="7CE490C2"/>
    <w:rsid w:val="7DBF1685"/>
    <w:rsid w:val="7DBF41A9"/>
    <w:rsid w:val="7DDAB37D"/>
    <w:rsid w:val="7DFB95D0"/>
    <w:rsid w:val="7DFF4B89"/>
    <w:rsid w:val="7E0F7438"/>
    <w:rsid w:val="7E7EA13D"/>
    <w:rsid w:val="7EB67A23"/>
    <w:rsid w:val="7EBF6B16"/>
    <w:rsid w:val="7EBFC182"/>
    <w:rsid w:val="7EDFF9A8"/>
    <w:rsid w:val="7EFF1EF8"/>
    <w:rsid w:val="7F37B5B1"/>
    <w:rsid w:val="7F3E8865"/>
    <w:rsid w:val="7F3F675C"/>
    <w:rsid w:val="7F5BD218"/>
    <w:rsid w:val="7F5F9746"/>
    <w:rsid w:val="7F6B257F"/>
    <w:rsid w:val="7F6BE952"/>
    <w:rsid w:val="7F6DA42C"/>
    <w:rsid w:val="7F7741FF"/>
    <w:rsid w:val="7F9EAD5D"/>
    <w:rsid w:val="7FAF73DB"/>
    <w:rsid w:val="7FBD2351"/>
    <w:rsid w:val="7FBE91D6"/>
    <w:rsid w:val="7FBFE26F"/>
    <w:rsid w:val="7FDF97CA"/>
    <w:rsid w:val="7FDFBFC1"/>
    <w:rsid w:val="7FEB9B70"/>
    <w:rsid w:val="7FEB9D22"/>
    <w:rsid w:val="7FEE39C5"/>
    <w:rsid w:val="7FF39B04"/>
    <w:rsid w:val="7FFAA7C8"/>
    <w:rsid w:val="7FFD0606"/>
    <w:rsid w:val="7FFD5D52"/>
    <w:rsid w:val="7FFECCDF"/>
    <w:rsid w:val="7FFED061"/>
    <w:rsid w:val="7FFF50E8"/>
    <w:rsid w:val="817C311A"/>
    <w:rsid w:val="8FFDF338"/>
    <w:rsid w:val="9139B50F"/>
    <w:rsid w:val="93978BF3"/>
    <w:rsid w:val="9BF78FE0"/>
    <w:rsid w:val="9DFFE333"/>
    <w:rsid w:val="9EBE87DE"/>
    <w:rsid w:val="9FD9E398"/>
    <w:rsid w:val="9FF647F3"/>
    <w:rsid w:val="9FFFAAD1"/>
    <w:rsid w:val="A3FE039F"/>
    <w:rsid w:val="A79FEDED"/>
    <w:rsid w:val="A7EFA441"/>
    <w:rsid w:val="ACFC5C97"/>
    <w:rsid w:val="ADB9F6B5"/>
    <w:rsid w:val="AEFDF605"/>
    <w:rsid w:val="AFBF5111"/>
    <w:rsid w:val="AFFDF3A7"/>
    <w:rsid w:val="B1F9FE9E"/>
    <w:rsid w:val="B57FABFF"/>
    <w:rsid w:val="B67E8282"/>
    <w:rsid w:val="B6AF8BE9"/>
    <w:rsid w:val="B77E2A6A"/>
    <w:rsid w:val="B7CF293C"/>
    <w:rsid w:val="B7F4BF16"/>
    <w:rsid w:val="B97FB698"/>
    <w:rsid w:val="B9A71982"/>
    <w:rsid w:val="BA678C1F"/>
    <w:rsid w:val="BBDF16C8"/>
    <w:rsid w:val="BD7A354C"/>
    <w:rsid w:val="BDF75970"/>
    <w:rsid w:val="BE57D665"/>
    <w:rsid w:val="BE7DC5EE"/>
    <w:rsid w:val="BE7F2A65"/>
    <w:rsid w:val="BE7F864F"/>
    <w:rsid w:val="BE9BCD53"/>
    <w:rsid w:val="BEBBF813"/>
    <w:rsid w:val="BFD69FBE"/>
    <w:rsid w:val="BFE7868D"/>
    <w:rsid w:val="BFF94764"/>
    <w:rsid w:val="C7FB13C6"/>
    <w:rsid w:val="C9FFF33F"/>
    <w:rsid w:val="CBB683D5"/>
    <w:rsid w:val="CC7F22E0"/>
    <w:rsid w:val="CDEA4A5C"/>
    <w:rsid w:val="CEFB73B7"/>
    <w:rsid w:val="CF7F8D37"/>
    <w:rsid w:val="D69F5967"/>
    <w:rsid w:val="D9BE16B0"/>
    <w:rsid w:val="DAFF4A3A"/>
    <w:rsid w:val="DB7FBDD6"/>
    <w:rsid w:val="DC0F8C10"/>
    <w:rsid w:val="DC3BF0E1"/>
    <w:rsid w:val="DDE3FE03"/>
    <w:rsid w:val="DDFFF234"/>
    <w:rsid w:val="DEB3C561"/>
    <w:rsid w:val="DFDB6066"/>
    <w:rsid w:val="DFDF9BFD"/>
    <w:rsid w:val="DFEFC4A5"/>
    <w:rsid w:val="DFF3DC74"/>
    <w:rsid w:val="DFF90EA3"/>
    <w:rsid w:val="DFFE050B"/>
    <w:rsid w:val="DFFE823C"/>
    <w:rsid w:val="DFFEB467"/>
    <w:rsid w:val="E1AC4613"/>
    <w:rsid w:val="E1D7C55D"/>
    <w:rsid w:val="E3E3FAA1"/>
    <w:rsid w:val="E7779C0C"/>
    <w:rsid w:val="E7AE1E7E"/>
    <w:rsid w:val="E9EEBFCF"/>
    <w:rsid w:val="EB9B837A"/>
    <w:rsid w:val="EBB56D1B"/>
    <w:rsid w:val="EBFB8273"/>
    <w:rsid w:val="EC9F9207"/>
    <w:rsid w:val="EDBF031D"/>
    <w:rsid w:val="EDE626A0"/>
    <w:rsid w:val="EE3BD289"/>
    <w:rsid w:val="EF6F8CD6"/>
    <w:rsid w:val="EF779B14"/>
    <w:rsid w:val="EF77ADA1"/>
    <w:rsid w:val="EFBF58AD"/>
    <w:rsid w:val="EFBF7A7B"/>
    <w:rsid w:val="EFE75B10"/>
    <w:rsid w:val="EFEFC3E0"/>
    <w:rsid w:val="EFF794DD"/>
    <w:rsid w:val="EFFE456B"/>
    <w:rsid w:val="EFFEAB95"/>
    <w:rsid w:val="EFFF8B1A"/>
    <w:rsid w:val="EFFFB9D0"/>
    <w:rsid w:val="F26FAD54"/>
    <w:rsid w:val="F2FF16FD"/>
    <w:rsid w:val="F2FF2A86"/>
    <w:rsid w:val="F3DFF09C"/>
    <w:rsid w:val="F3FF3764"/>
    <w:rsid w:val="F4EA5069"/>
    <w:rsid w:val="F5F6967A"/>
    <w:rsid w:val="F6A603EA"/>
    <w:rsid w:val="F6BF380C"/>
    <w:rsid w:val="F6CE637F"/>
    <w:rsid w:val="F6E75458"/>
    <w:rsid w:val="F746458B"/>
    <w:rsid w:val="F7BF02FE"/>
    <w:rsid w:val="F7F5EF79"/>
    <w:rsid w:val="F7FB8630"/>
    <w:rsid w:val="F8FC19AF"/>
    <w:rsid w:val="F9771274"/>
    <w:rsid w:val="F9ED4EED"/>
    <w:rsid w:val="FB6F72C4"/>
    <w:rsid w:val="FBBFDF44"/>
    <w:rsid w:val="FBDF8E15"/>
    <w:rsid w:val="FBFADCD3"/>
    <w:rsid w:val="FBFD297A"/>
    <w:rsid w:val="FBFDB065"/>
    <w:rsid w:val="FBFEAD07"/>
    <w:rsid w:val="FBFF724C"/>
    <w:rsid w:val="FBFFC591"/>
    <w:rsid w:val="FCBF8948"/>
    <w:rsid w:val="FCDF5858"/>
    <w:rsid w:val="FD7559FC"/>
    <w:rsid w:val="FD7788FA"/>
    <w:rsid w:val="FD7FB942"/>
    <w:rsid w:val="FDBF1F84"/>
    <w:rsid w:val="FDDEBBA8"/>
    <w:rsid w:val="FDDF9A37"/>
    <w:rsid w:val="FDFD5A0D"/>
    <w:rsid w:val="FE533C9A"/>
    <w:rsid w:val="FE55787B"/>
    <w:rsid w:val="FE636E47"/>
    <w:rsid w:val="FEEBDEE9"/>
    <w:rsid w:val="FEFE1625"/>
    <w:rsid w:val="FEFF8E3A"/>
    <w:rsid w:val="FEFF9D63"/>
    <w:rsid w:val="FEFFF25B"/>
    <w:rsid w:val="FF3752EC"/>
    <w:rsid w:val="FF6E4926"/>
    <w:rsid w:val="FF6F5818"/>
    <w:rsid w:val="FF764D68"/>
    <w:rsid w:val="FF7B63F6"/>
    <w:rsid w:val="FF7B9318"/>
    <w:rsid w:val="FF8B741F"/>
    <w:rsid w:val="FF9B59D9"/>
    <w:rsid w:val="FFAFCCCA"/>
    <w:rsid w:val="FFC75E09"/>
    <w:rsid w:val="FFCB2FE3"/>
    <w:rsid w:val="FFD36F1B"/>
    <w:rsid w:val="FFD70CC9"/>
    <w:rsid w:val="FFDB8400"/>
    <w:rsid w:val="FFE2B045"/>
    <w:rsid w:val="FFEE543D"/>
    <w:rsid w:val="FFEE8E73"/>
    <w:rsid w:val="FFEF6C9C"/>
    <w:rsid w:val="FFF7A613"/>
    <w:rsid w:val="FFFBC1C2"/>
    <w:rsid w:val="FFFD087E"/>
    <w:rsid w:val="FFFD2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qFormat="1"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kern w:val="44"/>
      <w:sz w:val="44"/>
    </w:rPr>
  </w:style>
  <w:style w:type="character" w:default="1" w:styleId="21">
    <w:name w:val="Default Paragraph Font"/>
    <w:semiHidden/>
    <w:unhideWhenUsed/>
    <w:qFormat/>
    <w:uiPriority w:val="1"/>
  </w:style>
  <w:style w:type="table" w:default="1" w:styleId="1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index 8"/>
    <w:basedOn w:val="1"/>
    <w:next w:val="1"/>
    <w:autoRedefine/>
    <w:qFormat/>
    <w:uiPriority w:val="0"/>
    <w:pPr>
      <w:ind w:left="2940"/>
    </w:pPr>
    <w:rPr>
      <w:rFonts w:ascii="Times New Roman" w:hAnsi="Times New Roman"/>
    </w:rPr>
  </w:style>
  <w:style w:type="paragraph" w:styleId="4">
    <w:name w:val="Normal Indent"/>
    <w:basedOn w:val="1"/>
    <w:next w:val="5"/>
    <w:qFormat/>
    <w:uiPriority w:val="0"/>
    <w:pPr>
      <w:ind w:firstLine="200" w:firstLineChars="200"/>
    </w:pPr>
    <w:rPr>
      <w:rFonts w:ascii="Times New Roman" w:hAnsi="Times New Roman" w:eastAsia="宋体" w:cs="Times New Roman"/>
      <w:szCs w:val="24"/>
    </w:rPr>
  </w:style>
  <w:style w:type="paragraph" w:styleId="5">
    <w:name w:val="footer"/>
    <w:basedOn w:val="1"/>
    <w:next w:val="1"/>
    <w:link w:val="26"/>
    <w:autoRedefine/>
    <w:qFormat/>
    <w:uiPriority w:val="99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styleId="6">
    <w:name w:val="Body Text"/>
    <w:basedOn w:val="1"/>
    <w:autoRedefine/>
    <w:qFormat/>
    <w:uiPriority w:val="0"/>
    <w:pPr>
      <w:spacing w:after="140" w:line="276" w:lineRule="auto"/>
    </w:pPr>
  </w:style>
  <w:style w:type="paragraph" w:styleId="7">
    <w:name w:val="Body Text Indent"/>
    <w:basedOn w:val="1"/>
    <w:autoRedefine/>
    <w:qFormat/>
    <w:uiPriority w:val="0"/>
    <w:pPr>
      <w:autoSpaceDE w:val="0"/>
      <w:autoSpaceDN w:val="0"/>
      <w:adjustRightInd w:val="0"/>
      <w:spacing w:line="320" w:lineRule="exact"/>
      <w:ind w:left="1"/>
      <w:jc w:val="left"/>
    </w:pPr>
    <w:rPr>
      <w:rFonts w:ascii="仿宋_GB2312"/>
      <w:kern w:val="0"/>
      <w:sz w:val="24"/>
    </w:rPr>
  </w:style>
  <w:style w:type="paragraph" w:styleId="8">
    <w:name w:val="Plain Text"/>
    <w:basedOn w:val="1"/>
    <w:next w:val="9"/>
    <w:autoRedefine/>
    <w:unhideWhenUsed/>
    <w:qFormat/>
    <w:uiPriority w:val="99"/>
    <w:rPr>
      <w:rFonts w:ascii="宋体" w:cs="Courier New"/>
      <w:szCs w:val="21"/>
    </w:rPr>
  </w:style>
  <w:style w:type="paragraph" w:customStyle="1" w:styleId="9">
    <w:name w:val="列表段落1"/>
    <w:next w:val="1"/>
    <w:autoRedefine/>
    <w:qFormat/>
    <w:uiPriority w:val="0"/>
    <w:pPr>
      <w:wordWrap w:val="0"/>
      <w:ind w:left="850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paragraph" w:styleId="10">
    <w:name w:val="Body Text Indent 2"/>
    <w:basedOn w:val="1"/>
    <w:next w:val="1"/>
    <w:autoRedefine/>
    <w:qFormat/>
    <w:uiPriority w:val="0"/>
    <w:pPr>
      <w:spacing w:after="120" w:line="480" w:lineRule="auto"/>
      <w:ind w:left="200" w:leftChars="200"/>
    </w:pPr>
  </w:style>
  <w:style w:type="paragraph" w:styleId="11">
    <w:name w:val="Balloon Text"/>
    <w:basedOn w:val="1"/>
    <w:link w:val="25"/>
    <w:autoRedefine/>
    <w:qFormat/>
    <w:uiPriority w:val="0"/>
    <w:rPr>
      <w:sz w:val="18"/>
      <w:szCs w:val="18"/>
    </w:rPr>
  </w:style>
  <w:style w:type="paragraph" w:styleId="12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3">
    <w:name w:val="Subtitle"/>
    <w:basedOn w:val="1"/>
    <w:next w:val="1"/>
    <w:autoRedefine/>
    <w:qFormat/>
    <w:uiPriority w:val="0"/>
    <w:pPr>
      <w:spacing w:before="240" w:after="60" w:line="312" w:lineRule="auto"/>
      <w:jc w:val="center"/>
      <w:outlineLvl w:val="1"/>
    </w:pPr>
    <w:rPr>
      <w:rFonts w:ascii="Cambria" w:hAnsi="Cambria" w:eastAsia="仿宋_GB2312" w:cs="宋体"/>
      <w:b/>
      <w:bCs/>
      <w:kern w:val="28"/>
      <w:sz w:val="32"/>
      <w:szCs w:val="32"/>
    </w:rPr>
  </w:style>
  <w:style w:type="paragraph" w:styleId="14">
    <w:name w:val="footnote text"/>
    <w:basedOn w:val="1"/>
    <w:autoRedefine/>
    <w:qFormat/>
    <w:uiPriority w:val="0"/>
    <w:pPr>
      <w:snapToGrid w:val="0"/>
      <w:jc w:val="left"/>
    </w:pPr>
    <w:rPr>
      <w:sz w:val="18"/>
      <w:szCs w:val="18"/>
    </w:rPr>
  </w:style>
  <w:style w:type="paragraph" w:styleId="15">
    <w:name w:val="table of figures"/>
    <w:basedOn w:val="1"/>
    <w:next w:val="1"/>
    <w:autoRedefine/>
    <w:qFormat/>
    <w:uiPriority w:val="0"/>
    <w:pPr>
      <w:ind w:left="200" w:leftChars="200" w:hanging="200" w:hangingChars="200"/>
    </w:pPr>
  </w:style>
  <w:style w:type="paragraph" w:styleId="16">
    <w:name w:val="List 4"/>
    <w:basedOn w:val="1"/>
    <w:autoRedefine/>
    <w:qFormat/>
    <w:uiPriority w:val="0"/>
    <w:pPr>
      <w:ind w:left="800" w:leftChars="600" w:hanging="200" w:hangingChars="200"/>
      <w:contextualSpacing/>
    </w:pPr>
  </w:style>
  <w:style w:type="paragraph" w:styleId="17">
    <w:name w:val="Normal (Web)"/>
    <w:basedOn w:val="1"/>
    <w:autoRedefine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18">
    <w:name w:val="Body Text First Indent 2"/>
    <w:basedOn w:val="7"/>
    <w:autoRedefine/>
    <w:qFormat/>
    <w:uiPriority w:val="0"/>
    <w:pPr>
      <w:ind w:firstLine="640"/>
    </w:pPr>
  </w:style>
  <w:style w:type="table" w:styleId="20">
    <w:name w:val="Table Grid"/>
    <w:basedOn w:val="1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2">
    <w:name w:val="Strong"/>
    <w:basedOn w:val="21"/>
    <w:autoRedefine/>
    <w:qFormat/>
    <w:uiPriority w:val="22"/>
    <w:rPr>
      <w:b/>
      <w:bCs/>
    </w:rPr>
  </w:style>
  <w:style w:type="character" w:styleId="23">
    <w:name w:val="Hyperlink"/>
    <w:autoRedefine/>
    <w:unhideWhenUsed/>
    <w:qFormat/>
    <w:uiPriority w:val="99"/>
    <w:rPr>
      <w:color w:val="0000FF"/>
      <w:u w:val="single"/>
    </w:rPr>
  </w:style>
  <w:style w:type="paragraph" w:customStyle="1" w:styleId="24">
    <w:name w:val="正文2"/>
    <w:basedOn w:val="1"/>
    <w:next w:val="1"/>
    <w:autoRedefine/>
    <w:qFormat/>
    <w:uiPriority w:val="0"/>
    <w:rPr>
      <w:szCs w:val="22"/>
    </w:rPr>
  </w:style>
  <w:style w:type="character" w:customStyle="1" w:styleId="25">
    <w:name w:val="批注框文本 字符"/>
    <w:link w:val="11"/>
    <w:autoRedefine/>
    <w:qFormat/>
    <w:uiPriority w:val="0"/>
    <w:rPr>
      <w:rFonts w:ascii="Calibri" w:hAnsi="Calibri"/>
      <w:kern w:val="2"/>
      <w:sz w:val="18"/>
      <w:szCs w:val="18"/>
    </w:rPr>
  </w:style>
  <w:style w:type="character" w:customStyle="1" w:styleId="26">
    <w:name w:val="页脚 字符"/>
    <w:link w:val="5"/>
    <w:autoRedefine/>
    <w:qFormat/>
    <w:uiPriority w:val="99"/>
    <w:rPr>
      <w:rFonts w:ascii="Calibri" w:hAnsi="Calibri"/>
      <w:kern w:val="2"/>
      <w:sz w:val="18"/>
      <w:szCs w:val="24"/>
    </w:rPr>
  </w:style>
  <w:style w:type="paragraph" w:customStyle="1" w:styleId="27">
    <w:name w:val="Default"/>
    <w:next w:val="5"/>
    <w:autoRedefine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宋体"/>
      <w:color w:val="000000"/>
      <w:sz w:val="24"/>
      <w:szCs w:val="24"/>
      <w:lang w:val="en-US" w:eastAsia="zh-CN" w:bidi="ar-SA"/>
    </w:rPr>
  </w:style>
  <w:style w:type="character" w:customStyle="1" w:styleId="28">
    <w:name w:val="w_pubtime"/>
    <w:autoRedefine/>
    <w:qFormat/>
    <w:uiPriority w:val="0"/>
  </w:style>
  <w:style w:type="character" w:customStyle="1" w:styleId="29">
    <w:name w:val="w_source"/>
    <w:autoRedefine/>
    <w:qFormat/>
    <w:uiPriority w:val="0"/>
  </w:style>
  <w:style w:type="character" w:customStyle="1" w:styleId="30">
    <w:name w:val="w_editor"/>
    <w:autoRedefine/>
    <w:qFormat/>
    <w:uiPriority w:val="0"/>
  </w:style>
  <w:style w:type="paragraph" w:customStyle="1" w:styleId="31">
    <w:name w:val="Body text|1"/>
    <w:basedOn w:val="1"/>
    <w:qFormat/>
    <w:uiPriority w:val="0"/>
    <w:pPr>
      <w:spacing w:line="389" w:lineRule="auto"/>
      <w:ind w:firstLine="400"/>
      <w:jc w:val="left"/>
    </w:pPr>
    <w:rPr>
      <w:rFonts w:ascii="宋体" w:hAnsi="宋体" w:cs="宋体"/>
      <w:color w:val="000000"/>
      <w:kern w:val="0"/>
      <w:sz w:val="30"/>
      <w:szCs w:val="30"/>
      <w:lang w:val="zh-TW" w:eastAsia="zh-TW" w:bidi="zh-TW"/>
    </w:rPr>
  </w:style>
  <w:style w:type="paragraph" w:customStyle="1" w:styleId="32">
    <w:name w:val="List Paragraph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paragraph" w:customStyle="1" w:styleId="33">
    <w:name w:val="正文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Organization</Company>
  <Pages>7</Pages>
  <Words>2184</Words>
  <Characters>2281</Characters>
  <Lines>41</Lines>
  <Paragraphs>11</Paragraphs>
  <TotalTime>2</TotalTime>
  <ScaleCrop>false</ScaleCrop>
  <LinksUpToDate>false</LinksUpToDate>
  <CharactersWithSpaces>2330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2020-05-27T01:52:00Z</dcterms:created>
  <dc:creator>uos</dc:creator>
  <cp:lastModifiedBy>IDV</cp:lastModifiedBy>
  <cp:lastPrinted>2024-05-24T16:02:00Z</cp:lastPrinted>
  <dcterms:modified xsi:type="dcterms:W3CDTF">2024-08-27T10:37:51Z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F8FD6C373EDC478188F4706FCB0B7F0C_13</vt:lpwstr>
  </property>
</Properties>
</file>