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06068">
      <w:pPr>
        <w:snapToGrid/>
        <w:spacing w:before="0" w:beforeAutospacing="0" w:after="0" w:afterAutospacing="0" w:line="36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0000FF"/>
          <w:spacing w:val="0"/>
          <w:w w:val="100"/>
          <w:sz w:val="52"/>
          <w:szCs w:val="52"/>
        </w:rPr>
      </w:pPr>
    </w:p>
    <w:p w14:paraId="2F083229">
      <w:pPr>
        <w:widowControl w:val="0"/>
        <w:jc w:val="both"/>
        <w:rPr>
          <w:rFonts w:hint="default" w:ascii="Times New Roman" w:hAnsi="Times New Roman" w:eastAsia="华文中宋" w:cs="Times New Roman"/>
          <w:bCs/>
          <w:kern w:val="2"/>
          <w:sz w:val="28"/>
          <w:szCs w:val="24"/>
          <w:lang w:val="en-US" w:eastAsia="zh-CN" w:bidi="ar-SA"/>
        </w:rPr>
      </w:pPr>
    </w:p>
    <w:p w14:paraId="61857AF4">
      <w:pPr>
        <w:snapToGrid/>
        <w:spacing w:before="0" w:beforeAutospacing="0" w:after="0" w:afterAutospacing="0" w:line="36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0000FF"/>
          <w:spacing w:val="0"/>
          <w:w w:val="100"/>
          <w:sz w:val="52"/>
          <w:szCs w:val="52"/>
        </w:rPr>
      </w:pPr>
    </w:p>
    <w:p w14:paraId="367B9DDB">
      <w:pPr>
        <w:snapToGrid/>
        <w:spacing w:before="0" w:beforeAutospacing="0" w:after="0" w:afterAutospacing="0" w:line="140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FF0000"/>
          <w:spacing w:val="40"/>
          <w:w w:val="100"/>
          <w:sz w:val="72"/>
          <w:szCs w:val="7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FF0000"/>
          <w:spacing w:val="40"/>
          <w:w w:val="100"/>
          <w:sz w:val="72"/>
          <w:szCs w:val="72"/>
          <w:lang w:val="en-US" w:eastAsia="zh-CN"/>
        </w:rPr>
        <w:t>天府产业技术研究院</w:t>
      </w:r>
    </w:p>
    <w:p w14:paraId="32097709">
      <w:pPr>
        <w:snapToGrid/>
        <w:spacing w:before="0" w:beforeAutospacing="0" w:after="0" w:afterAutospacing="0" w:line="140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FF0000"/>
          <w:spacing w:val="-20"/>
          <w:w w:val="100"/>
          <w:sz w:val="72"/>
          <w:szCs w:val="7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FF0000"/>
          <w:spacing w:val="-20"/>
          <w:w w:val="100"/>
          <w:sz w:val="72"/>
          <w:szCs w:val="72"/>
          <w:lang w:val="en-US" w:eastAsia="zh-CN"/>
        </w:rPr>
        <w:t>理事会会议文件</w:t>
      </w:r>
    </w:p>
    <w:p w14:paraId="1AC8C007">
      <w:pPr>
        <w:snapToGrid/>
        <w:spacing w:before="0" w:beforeAutospacing="0" w:after="0" w:afterAutospacing="0" w:line="60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spacing w:val="0"/>
          <w:w w:val="100"/>
          <w:sz w:val="72"/>
          <w:szCs w:val="72"/>
        </w:rPr>
      </w:pPr>
    </w:p>
    <w:p w14:paraId="73115DB6">
      <w:pPr>
        <w:snapToGrid/>
        <w:spacing w:before="0" w:beforeAutospacing="0" w:after="0" w:afterAutospacing="0" w:line="600" w:lineRule="exact"/>
        <w:jc w:val="center"/>
        <w:textAlignment w:val="baseline"/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</w:pPr>
    </w:p>
    <w:p w14:paraId="6C8C82AE">
      <w:pPr>
        <w:snapToGrid/>
        <w:spacing w:before="0" w:beforeAutospacing="0" w:after="0" w:afterAutospacing="0" w:line="600" w:lineRule="exact"/>
        <w:ind w:right="-873"/>
        <w:jc w:val="both"/>
        <w:textAlignment w:val="baseline"/>
        <w:rPr>
          <w:rFonts w:hint="default" w:ascii="Times New Roman" w:hAnsi="Times New Roman" w:eastAsia="方正楷体简体" w:cs="Times New Roman"/>
          <w:b/>
          <w:i w:val="0"/>
          <w:caps w:val="0"/>
          <w:color w:val="auto"/>
          <w:spacing w:val="0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spacing w:val="0"/>
          <w:w w:val="100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375920</wp:posOffset>
                </wp:positionV>
                <wp:extent cx="6012815" cy="5715"/>
                <wp:effectExtent l="0" t="13970" r="6985" b="1841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2815" cy="571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95pt;margin-top:29.6pt;height:0.45pt;width:473.45pt;z-index:251659264;mso-width-relative:page;mso-height-relative:page;" filled="f" stroked="t" coordsize="21600,21600" o:gfxdata="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EO26HaAAAACAEAAA8AAAAAAAAAAQAgAAAAIgAA&#10;AGRycy9kb3ducmV2LnhtbFBLAQIUABQAAAAIAIdO4kBWN/+4BgIAAPwDAAAOAAAAAAAAAAEAIAAA&#10;ACkBAABkcnMvZTJvRG9jLnhtbFBLBQYAAAAABgAGAFkBAACh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 xml:space="preserve">               </w:t>
      </w:r>
      <w:r>
        <w:rPr>
          <w:rFonts w:hint="eastAsia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              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 xml:space="preserve"> 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          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 xml:space="preserve"> 20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楷体简体" w:cs="Times New Roman"/>
          <w:b/>
          <w:i w:val="0"/>
          <w:caps w:val="0"/>
          <w:color w:val="auto"/>
          <w:spacing w:val="0"/>
          <w:w w:val="100"/>
          <w:sz w:val="32"/>
          <w:szCs w:val="32"/>
        </w:rPr>
        <w:t>月</w:t>
      </w:r>
    </w:p>
    <w:p w14:paraId="7DBEA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</w:p>
    <w:p w14:paraId="0EFEDB14">
      <w:pPr>
        <w:tabs>
          <w:tab w:val="left" w:pos="2940"/>
        </w:tabs>
        <w:spacing w:line="600" w:lineRule="exact"/>
        <w:jc w:val="left"/>
        <w:rPr>
          <w:rFonts w:hint="default" w:ascii="Times New Roman" w:hAnsi="Times New Roman" w:eastAsia="方正楷体简体" w:cs="Times New Roman"/>
          <w:b/>
          <w:sz w:val="30"/>
          <w:szCs w:val="30"/>
        </w:rPr>
      </w:pPr>
      <w:r>
        <w:rPr>
          <w:rFonts w:hint="default" w:ascii="Times New Roman" w:hAnsi="Times New Roman" w:eastAsia="方正楷体简体" w:cs="Times New Roman"/>
          <w:b/>
          <w:sz w:val="30"/>
          <w:szCs w:val="30"/>
        </w:rPr>
        <w:tab/>
      </w:r>
    </w:p>
    <w:p w14:paraId="658F7578">
      <w:pPr>
        <w:spacing w:line="600" w:lineRule="exact"/>
        <w:jc w:val="left"/>
        <w:rPr>
          <w:rFonts w:hint="default" w:ascii="Times New Roman" w:hAnsi="Times New Roman" w:eastAsia="方正仿宋简体" w:cs="Times New Roman"/>
          <w:b/>
          <w:sz w:val="28"/>
          <w:szCs w:val="28"/>
        </w:rPr>
      </w:pPr>
    </w:p>
    <w:p w14:paraId="2AC44848">
      <w:pPr>
        <w:spacing w:line="800" w:lineRule="exact"/>
        <w:jc w:val="center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审议《天府产业技术研究院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章程（草案）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》</w:t>
      </w:r>
    </w:p>
    <w:p w14:paraId="454BC50A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5B77A402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0D7D01B2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26224198">
      <w:pP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1512848A">
      <w:pP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br w:type="page"/>
      </w:r>
    </w:p>
    <w:p w14:paraId="1AE358D6">
      <w:pPr>
        <w:rPr>
          <w:rFonts w:hint="default"/>
        </w:rPr>
      </w:pPr>
    </w:p>
    <w:p w14:paraId="3F0C93D5">
      <w:pP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</w:p>
    <w:p w14:paraId="7802A16A">
      <w:pPr>
        <w:pStyle w:val="23"/>
        <w:rPr>
          <w:rFonts w:hint="default" w:ascii="Times New Roman" w:hAnsi="Times New Roman" w:cs="Times New Roman"/>
        </w:rPr>
      </w:pPr>
    </w:p>
    <w:p w14:paraId="13288511">
      <w:pPr>
        <w:pStyle w:val="2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  <w:sectPr>
          <w:footerReference r:id="rId3" w:type="default"/>
          <w:footerReference r:id="rId4" w:type="even"/>
          <w:pgSz w:w="11906" w:h="16838"/>
          <w:pgMar w:top="1440" w:right="1304" w:bottom="1440" w:left="1304" w:header="851" w:footer="737" w:gutter="0"/>
          <w:pgNumType w:start="1"/>
          <w:cols w:space="0" w:num="1"/>
          <w:docGrid w:type="lines" w:linePitch="312" w:charSpace="0"/>
        </w:sectPr>
      </w:pPr>
    </w:p>
    <w:p w14:paraId="1604F0C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cs="Times New Roman"/>
          <w:sz w:val="44"/>
          <w:szCs w:val="44"/>
          <w:highlight w:val="none"/>
          <w:lang w:val="en-US" w:eastAsia="zh-CN"/>
        </w:rPr>
      </w:pPr>
    </w:p>
    <w:p w14:paraId="7FCFD17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天府产业技术研究院章程</w:t>
      </w:r>
    </w:p>
    <w:p w14:paraId="7DB7CF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楷体_GB2312" w:cs="Times New Roman"/>
          <w:b/>
          <w:bCs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（草案）</w:t>
      </w:r>
    </w:p>
    <w:p w14:paraId="0607774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default" w:ascii="Times New Roman" w:hAnsi="Times New Roman" w:eastAsia="仿宋_GB2312" w:cs="Times New Roman"/>
          <w:spacing w:val="0"/>
          <w:sz w:val="44"/>
          <w:szCs w:val="44"/>
        </w:rPr>
      </w:pPr>
    </w:p>
    <w:p w14:paraId="07D1555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第一章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highlight w:val="none"/>
        </w:rPr>
        <w:t>总则</w:t>
      </w:r>
    </w:p>
    <w:p w14:paraId="7303A73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第一条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天府产业技术研究院（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以下简称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是经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市政府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批准设立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、市场化运营的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公益二类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事业单位，是全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创新体系的重要组成部分。为规范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的运行与管理，制定本章程。</w:t>
      </w:r>
    </w:p>
    <w:p w14:paraId="69B0E85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宗旨与定位：以集聚创新资源、培育发展新兴产业、支撑传统产业转型升级为宗旨，以产业应用技术研究开发为重点，以引领产业发展和服务企业创新为根本，组织开展产业技术研究和集成攻关，创新体制机制，着力先行先试，建成需求引导、多元共建、开放合作、接轨国际、水平一流的新型研发组织，成为我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产业技术研发转化的先导中心、人才培育的重要基地。</w:t>
      </w:r>
    </w:p>
    <w:p w14:paraId="60D13E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第三条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主要业务：</w:t>
      </w:r>
    </w:p>
    <w:p w14:paraId="79C99D8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统筹管理由市财政出资建设的创新平台；</w:t>
      </w:r>
    </w:p>
    <w:p w14:paraId="43C1FC02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highlight w:val="none"/>
        </w:rPr>
        <w:t>引进科技人才、成果、机构等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highlight w:val="none"/>
          <w:lang w:val="en-US" w:eastAsia="zh-CN"/>
        </w:rPr>
        <w:t>创新创业资源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highlight w:val="none"/>
        </w:rPr>
        <w:t>；</w:t>
      </w:r>
    </w:p>
    <w:p w14:paraId="7D52DC63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攻克“卡脖子”技术和关键核心技术攻关；</w:t>
      </w:r>
    </w:p>
    <w:p w14:paraId="3549ED37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开展科技成果转移转化；</w:t>
      </w:r>
    </w:p>
    <w:p w14:paraId="778A8D42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建设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专业研究所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、企业联合创新中心、中试平台、检验检测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平台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等载体；</w:t>
      </w:r>
    </w:p>
    <w:p w14:paraId="68D61649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孵化培育科技型企业；</w:t>
      </w:r>
    </w:p>
    <w:p w14:paraId="050FD1A1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开展产业技术研究与分析预测、规划和战略研究；</w:t>
      </w:r>
    </w:p>
    <w:p w14:paraId="48741DF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提供产业技术研发应用等方面科研设施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科技信息服务；</w:t>
      </w:r>
    </w:p>
    <w:p w14:paraId="714E5239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其他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。</w:t>
      </w:r>
    </w:p>
    <w:p w14:paraId="2E98CFF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第四条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实行以理事会领导下院长负责制为主要架构的法人治理结构。受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政府委托，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市科技局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负责对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进行管理。</w:t>
      </w:r>
    </w:p>
    <w:p w14:paraId="73E3393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第五条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包括：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院本部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、专业研究所、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企业联合创新中心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天府产业技术研究院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有限公司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。</w:t>
      </w:r>
    </w:p>
    <w:p w14:paraId="0E93BBB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第六条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highlight w:val="none"/>
        </w:rPr>
        <w:t>建立市场化运行机制，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可以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通过设立公司和基金等方式，积极吸引社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highlight w:val="none"/>
        </w:rPr>
        <w:t>会资本，加速技术的转移转化和产业化。</w:t>
      </w:r>
    </w:p>
    <w:p w14:paraId="46E91B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158061E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第二章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理事会</w:t>
      </w:r>
    </w:p>
    <w:p w14:paraId="5576313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第七条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理事会由省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有关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政府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部门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在绵有关高校、院所、龙头企业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等相关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负责人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组成。理事会每届任期五年，设理事长、副理事长等职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highlight w:val="none"/>
        </w:rPr>
        <w:t>位。理事会设秘书处，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highlight w:val="none"/>
          <w:lang w:val="en-US" w:eastAsia="zh-CN"/>
        </w:rPr>
        <w:t>设在市科技局，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  <w:highlight w:val="none"/>
        </w:rPr>
        <w:t>负责理事会的日常工作。</w:t>
      </w:r>
    </w:p>
    <w:p w14:paraId="2C505D5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第八条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理事长由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市政府主要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领导担任。</w:t>
      </w:r>
    </w:p>
    <w:p w14:paraId="48CBFE8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第九条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理事会主要职权：</w:t>
      </w:r>
    </w:p>
    <w:p w14:paraId="01BD2A3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制定、修订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章程；</w:t>
      </w:r>
    </w:p>
    <w:p w14:paraId="1B0763BC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审定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发展规划、年度工作计划和经费预决算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；</w:t>
      </w:r>
    </w:p>
    <w:p w14:paraId="5277E84A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聘任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院长；</w:t>
      </w:r>
    </w:p>
    <w:p w14:paraId="2417A366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四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审定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薪酬制度；</w:t>
      </w:r>
    </w:p>
    <w:p w14:paraId="532C3938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考核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运行绩效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；</w:t>
      </w:r>
    </w:p>
    <w:p w14:paraId="3E2FB234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审定预备研究所转正等事项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。</w:t>
      </w:r>
    </w:p>
    <w:p w14:paraId="0DB70F1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理事长职权：</w:t>
      </w:r>
    </w:p>
    <w:p w14:paraId="199FEF0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召集和主持理事会会议；</w:t>
      </w:r>
    </w:p>
    <w:p w14:paraId="35D5971D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签发理事会决议和文件；</w:t>
      </w:r>
    </w:p>
    <w:p w14:paraId="441F6510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理事会会议闭会期间，行使理事会职权；</w:t>
      </w:r>
    </w:p>
    <w:p w14:paraId="4F4F0AB1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四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授权其他理事行使相关职权。</w:t>
      </w:r>
    </w:p>
    <w:p w14:paraId="31C07C7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第十一条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理事会会议分为例会和临时会议。例会每年至少召开两次。理事长认为必要或三分之一以上理事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成员单位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提议，应召开临时会议。</w:t>
      </w:r>
    </w:p>
    <w:p w14:paraId="0EB1E3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FF0000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第十二条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理事会会议须三分之二以上理事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成员单位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出席方可召开。理事会会议召开前，理事会秘书处应将会议内容以信函、邮件、传真等形式提前通知各理事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成员单位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理事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成员单位委派相关负责人参会。</w:t>
      </w:r>
    </w:p>
    <w:p w14:paraId="795C37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第十三条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提请理事会会议的表决事项由出席理事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成员单位代表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行使表决权，实行一人一票制。表决事项须经出席会议的二分之一以上理事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成员单位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表决通过方为有效。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就与理事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成员单位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有重大利害关系的事项表决时，该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成员单位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应当回避，不得参与表决。</w:t>
      </w:r>
    </w:p>
    <w:p w14:paraId="2C4E0F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both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72B14EF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第三章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院领导</w:t>
      </w:r>
    </w:p>
    <w:p w14:paraId="740BB9D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第十四条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设院长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名，副院长若干名。</w:t>
      </w:r>
    </w:p>
    <w:p w14:paraId="18EE1E2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第十五条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院长主持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全面工作；副院长分工负责，协助院长工作；根据工作需要，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可设院务委员，分工协助院长工作。</w:t>
      </w:r>
    </w:p>
    <w:p w14:paraId="1605A0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第十六条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组织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在院内发挥政治核心作用，按照基层党组织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有关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要求开展工作。</w:t>
      </w:r>
    </w:p>
    <w:p w14:paraId="4083A58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第十七条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院长主要职责：</w:t>
      </w:r>
    </w:p>
    <w:p w14:paraId="3122621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全面负责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日常管理和运行；</w:t>
      </w:r>
    </w:p>
    <w:p w14:paraId="3D6CB2A3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执行理事会决议；</w:t>
      </w:r>
    </w:p>
    <w:p w14:paraId="5F1D5E9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组织实施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发展规划和年度工作计划；</w:t>
      </w:r>
    </w:p>
    <w:p w14:paraId="766BB65C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四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聘任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专家咨询委员会成员；</w:t>
      </w:r>
    </w:p>
    <w:p w14:paraId="1B50D2EA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组织召开院长办公会，研究决策“三重一大”事项；</w:t>
      </w:r>
    </w:p>
    <w:p w14:paraId="3B4603B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六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行使理事会赋予的其他职权。</w:t>
      </w:r>
    </w:p>
    <w:p w14:paraId="1295759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74642F1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第四章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院本部</w:t>
      </w:r>
    </w:p>
    <w:p w14:paraId="37EC48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第十八条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院本部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主要职能：</w:t>
      </w:r>
    </w:p>
    <w:p w14:paraId="45D8F85C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市财政出资建设创新平台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统筹管理工作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；</w:t>
      </w:r>
    </w:p>
    <w:p w14:paraId="19E9F5D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highlight w:val="none"/>
        </w:rPr>
        <w:t>科技人才、成果、机构等“招院引所”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highlight w:val="none"/>
          <w:lang w:val="en-US" w:eastAsia="zh-CN"/>
        </w:rPr>
        <w:t>资源的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highlight w:val="none"/>
        </w:rPr>
        <w:t>引进工作；</w:t>
      </w:r>
    </w:p>
    <w:p w14:paraId="3524F962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专业研究所、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企业联合创新中心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和产业技术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有限公司的建设与服务；</w:t>
      </w:r>
    </w:p>
    <w:p w14:paraId="1ED6579A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（四）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产业技术战略和规划研究；</w:t>
      </w:r>
    </w:p>
    <w:p w14:paraId="295B0EA8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（五）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重大产业共性技术攻关的组织；</w:t>
      </w:r>
    </w:p>
    <w:p w14:paraId="7973D10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（六）研究院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发展政策措施的协调落实；</w:t>
      </w:r>
    </w:p>
    <w:p w14:paraId="601A0A7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（七）研究院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资金的使用与管理；</w:t>
      </w:r>
    </w:p>
    <w:p w14:paraId="1C489F37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（八）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所属独立法人机构的管理与监督；</w:t>
      </w:r>
    </w:p>
    <w:p w14:paraId="1AC5CCB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（九）研究院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日常运行服务与保障。</w:t>
      </w:r>
    </w:p>
    <w:p w14:paraId="243C2CB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第十九条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院本部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根据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建设发展的需要，自主确定内部组织架构和职能，实行自主岗位聘用，按需设岗、按岗聘用，公开招聘、竞聘上岗。</w:t>
      </w:r>
    </w:p>
    <w:p w14:paraId="1C4B920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第二十条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院本部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实行具有市场竞争力的薪酬制度，可探索试行股权、期权、市场化业务奖励等激励机制。</w:t>
      </w:r>
    </w:p>
    <w:p w14:paraId="5211ED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63BAFE4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第五章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专业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研究所</w:t>
      </w:r>
    </w:p>
    <w:p w14:paraId="2BDF327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第二十一条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专业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研究所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以下简称“研究所”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采取加盟制、共建制等方式组建。</w:t>
      </w:r>
    </w:p>
    <w:p w14:paraId="0924375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加盟制研究所：由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绵阳市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内的产业技术研发机构提出申请，经审定后成为研究所；</w:t>
      </w:r>
    </w:p>
    <w:p w14:paraId="3A7F5A1D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共建制研究所：由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研究院院本部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、领军人才及团队或海内外创新机构、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县市区（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园区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或企事业单位共同建设研究所；</w:t>
      </w:r>
    </w:p>
    <w:p w14:paraId="34C06782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根据发展需要，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可探索其他形式的研究所组建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方式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。</w:t>
      </w:r>
    </w:p>
    <w:p w14:paraId="1041F7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第二十二条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-17"/>
          <w:sz w:val="32"/>
          <w:szCs w:val="32"/>
          <w:highlight w:val="none"/>
        </w:rPr>
        <w:t>成为研究所的研发机构须具备以下基本条件：</w:t>
      </w:r>
    </w:p>
    <w:p w14:paraId="14E4E09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认同本章程，愿意接受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的管理；</w:t>
      </w:r>
    </w:p>
    <w:p w14:paraId="2F351CD7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具有独立法人资格；</w:t>
      </w:r>
    </w:p>
    <w:p w14:paraId="174EB35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定位于产业技术研究开发和技术服务，有明确的产业技术研发方向，符合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在相关领域的建设布局；</w:t>
      </w:r>
    </w:p>
    <w:p w14:paraId="619FC502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四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具备稳定的创新人才团队、国内领先的行业地位、一流的科研创新水平和合同科研能力；</w:t>
      </w:r>
    </w:p>
    <w:p w14:paraId="1DEADA62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）县市区（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园区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或依托单位能给予长期支持。</w:t>
      </w:r>
    </w:p>
    <w:p w14:paraId="669A25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第二十三条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研究所主要职责与义务：</w:t>
      </w:r>
    </w:p>
    <w:p w14:paraId="194ED34D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开展专业领域的产业技术战略和规划研究；</w:t>
      </w:r>
    </w:p>
    <w:p w14:paraId="2468D01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实施开放创新，集聚全球专业领域的人才和创新成果，开展产业技术研究开发；</w:t>
      </w:r>
    </w:p>
    <w:p w14:paraId="708DD56A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接受企业委托的合同科研，推进技术成果转移转化，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孵化培育科技型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企业；</w:t>
      </w:r>
    </w:p>
    <w:p w14:paraId="2116200D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四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开展检验检测、标准制定、企业孵化等公共服务；</w:t>
      </w:r>
    </w:p>
    <w:p w14:paraId="23A28007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与国内外高等学校、科研机构、企业等开展技术合作与交流；</w:t>
      </w:r>
    </w:p>
    <w:p w14:paraId="3C0F511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六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引进与培养人才，为企业开展人员培训；</w:t>
      </w:r>
    </w:p>
    <w:p w14:paraId="1CF63F6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绵阳市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内的企业提供技术和服务；</w:t>
      </w:r>
    </w:p>
    <w:p w14:paraId="51E16735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八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接受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院本部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的绩效考核与监督；</w:t>
      </w:r>
    </w:p>
    <w:p w14:paraId="6B281C0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九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完成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研究院院本部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交办的其他工作。</w:t>
      </w:r>
    </w:p>
    <w:p w14:paraId="0D6DA5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第二十四条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研究所作为独立法人自主运营。支持研究所实行多元化投入、市场化运营、企业化管理和开放式发展的体制机制。</w:t>
      </w:r>
    </w:p>
    <w:p w14:paraId="0C2C44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第二十五条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研究所实行预备制。预备研究所经培育，达到相关要求，经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理事会审定，转为正式研究所；预备期和正式期分别给予相应的经费支持。</w:t>
      </w:r>
    </w:p>
    <w:p w14:paraId="594DD82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第二十六条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研究所实行动态管理，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对正式研究所进行年度绩效考核和三年综合绩效考核。研究所管理办法由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另行制定，报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理事会备案。</w:t>
      </w:r>
    </w:p>
    <w:p w14:paraId="2A11BCA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第二十七条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研究所应实施开放创新，建立有利于集聚国内外创新资源和激发科研人员积极性的体制机制。</w:t>
      </w:r>
    </w:p>
    <w:p w14:paraId="3A3A5BA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第二十八条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研究所享受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市委市政府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支持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的相关优惠政策。</w:t>
      </w:r>
    </w:p>
    <w:p w14:paraId="2A9EFD7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35D4057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02E68C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第六章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企业联合创新中心</w:t>
      </w:r>
    </w:p>
    <w:p w14:paraId="012CB9B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第二十九条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企业联合创新中心（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以下简称“联创中心”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是按照我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市产业发展需要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，由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龙头企业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共同出资建设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的产业创新促进平台，承担组织推动相关产业领域技术创新工作。</w:t>
      </w:r>
    </w:p>
    <w:p w14:paraId="1C479FA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第三十条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联创中心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主要职能：</w:t>
      </w:r>
    </w:p>
    <w:p w14:paraId="3B41D2FD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围绕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转型升级要求，构建产业技术创新体系；</w:t>
      </w:r>
    </w:p>
    <w:p w14:paraId="01792514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根据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技术创新需要，集聚创新创业资源，整合统筹各类创新要素；</w:t>
      </w:r>
    </w:p>
    <w:p w14:paraId="7364C174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组织开展产业应用技术开发、共性技术应用示范、重大科技成果产业化；</w:t>
      </w:r>
    </w:p>
    <w:p w14:paraId="58042CA0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四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组织开展研发服务、企业孵化、交流合作、科技金融等功能平台建设。</w:t>
      </w:r>
    </w:p>
    <w:p w14:paraId="4F788A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第三十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一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对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联创中心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进行年度绩效考核。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企业</w:t>
      </w:r>
      <w:r>
        <w:rPr>
          <w:rFonts w:hint="default" w:ascii="Times New Roman" w:hAnsi="Times New Roman" w:eastAsia="仿宋_GB2312" w:cs="Times New Roman"/>
          <w:spacing w:val="-23"/>
          <w:sz w:val="32"/>
          <w:szCs w:val="32"/>
          <w:highlight w:val="none"/>
          <w:lang w:eastAsia="zh-CN"/>
        </w:rPr>
        <w:t>联合创新中心</w:t>
      </w:r>
      <w:r>
        <w:rPr>
          <w:rFonts w:hint="default" w:ascii="Times New Roman" w:hAnsi="Times New Roman" w:eastAsia="仿宋_GB2312" w:cs="Times New Roman"/>
          <w:spacing w:val="-23"/>
          <w:sz w:val="32"/>
          <w:szCs w:val="32"/>
          <w:highlight w:val="none"/>
        </w:rPr>
        <w:t>管理办法由</w:t>
      </w:r>
      <w:r>
        <w:rPr>
          <w:rFonts w:hint="default" w:ascii="Times New Roman" w:hAnsi="Times New Roman" w:eastAsia="仿宋_GB2312" w:cs="Times New Roman"/>
          <w:spacing w:val="-23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-23"/>
          <w:sz w:val="32"/>
          <w:szCs w:val="32"/>
          <w:highlight w:val="none"/>
        </w:rPr>
        <w:t>另行制定，报</w:t>
      </w:r>
      <w:r>
        <w:rPr>
          <w:rFonts w:hint="default" w:ascii="Times New Roman" w:hAnsi="Times New Roman" w:eastAsia="仿宋_GB2312" w:cs="Times New Roman"/>
          <w:spacing w:val="-23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-23"/>
          <w:sz w:val="32"/>
          <w:szCs w:val="32"/>
          <w:highlight w:val="none"/>
        </w:rPr>
        <w:t>理事会备案。</w:t>
      </w:r>
    </w:p>
    <w:p w14:paraId="1A9EA5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6D29B7C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第七章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天府产业技术研究院有限公司</w:t>
      </w:r>
    </w:p>
    <w:p w14:paraId="390FD05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第三十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二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天府产业技术研究院有限公司（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以下简称“研究院公司”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是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全资设立的有限公司。条件成熟时，可设立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集团公司。</w:t>
      </w:r>
    </w:p>
    <w:p w14:paraId="68FF8D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第三十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三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研究院公司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主要经营范围：专业研究所投资建设、平台投资建设、专业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科技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园区投资建设、技术交易平台建设及运营、研发项目投资与管理、科技与金融结合等。</w:t>
      </w:r>
    </w:p>
    <w:p w14:paraId="5C0FC18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第三十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四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研究院公司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设董事会。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有限公司按公司章程管理运行。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有限公司章程由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另行制订，报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理事会备案。</w:t>
      </w:r>
    </w:p>
    <w:p w14:paraId="25B2029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59097CB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八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章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经费</w:t>
      </w:r>
    </w:p>
    <w:p w14:paraId="7F6F161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三十五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经费来源包括：</w:t>
      </w:r>
    </w:p>
    <w:p w14:paraId="2EF8B598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合同研究、成果转化和服务收入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；</w:t>
      </w:r>
    </w:p>
    <w:p w14:paraId="428DA0E7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财政拨款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研究院专项资金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；</w:t>
      </w:r>
    </w:p>
    <w:p w14:paraId="4A770284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社会捐赠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；</w:t>
      </w:r>
    </w:p>
    <w:p w14:paraId="026B6DD2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其他。</w:t>
      </w:r>
    </w:p>
    <w:p w14:paraId="237B492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三十六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专项资金主要用于产业技术研发机构建设、重大原创技术项目的组织实施、各类创新资源的集聚、人才队伍建设及产业创新服务能力建设等。</w:t>
      </w:r>
    </w:p>
    <w:p w14:paraId="06CB721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三十七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专项资金由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管理和支出，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应按照专项资金管理办法规范使用。对支持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有限公司和市场化业务建设的财政资金，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应建立相应管理和监督办法。</w:t>
      </w:r>
    </w:p>
    <w:p w14:paraId="63181EF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三十八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可根据业务发展需要，探索和创新财政资金的使用方式，提升财政资金使用效能。对探索创新的新的使用方式应及时建立相应规范管理办法。</w:t>
      </w:r>
    </w:p>
    <w:p w14:paraId="0636FEB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三十九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对来源于合同科研、成果转化和服务收入，以及社会捐赠的经费，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应根据有关法律法规和政策规范使用与管理。</w:t>
      </w:r>
    </w:p>
    <w:p w14:paraId="57B26E2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501DFB2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九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章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考核管理</w:t>
      </w:r>
    </w:p>
    <w:p w14:paraId="58566B4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第四十条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理事会负责对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的运行绩效及院领导班子成员进行考核评估。</w:t>
      </w:r>
    </w:p>
    <w:p w14:paraId="3A22FBD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FF0000"/>
          <w:spacing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四十一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理事会对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运行绩效的主要考核内容为：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年度工作计划及中长期发展规划的落实执行情况；重大技术成果的产出和转移转化情况；专业研究所及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企业联合创新中心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的建设发展情况；创新资源的集聚情况；专业人才队伍的建设情况；高科技企业培育及中小企业服务情况；对地方产业发展支撑情况。</w:t>
      </w:r>
    </w:p>
    <w:p w14:paraId="38EA3C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四十二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理事会对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运行绩效的考核分为每年一次的年度考核和每三年一次的综合评估。运行绩效考核效用作为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确定下一步改革创新的方向、制定年度工作计划和中长期发展战略的指导、获得财政专项支持经费额度的依据。</w:t>
      </w:r>
    </w:p>
    <w:p w14:paraId="7E05095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四十三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理事会对院领导的考核分为年度考核和任期考核，考核结果作为院领导薪酬调整及续聘的依据；</w:t>
      </w:r>
    </w:p>
    <w:p w14:paraId="5A9D7FD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四十四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理事会授予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对其投资项目形成的知识产权拥有所有权、收益权和处置权；对所属独立法人机构的预决算方案、对外投资、业务开展等运行管理拥有独立决策权。</w:t>
      </w:r>
    </w:p>
    <w:p w14:paraId="6FF824F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四十五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应在人、财、物等方面建立相应的管理规章和权责明确、运行顺畅的内控制度。</w:t>
      </w:r>
    </w:p>
    <w:p w14:paraId="667EC5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四十六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鼓励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积极探索实施有利于促进产业技</w:t>
      </w:r>
      <w:r>
        <w:rPr>
          <w:rFonts w:hint="default" w:ascii="Times New Roman" w:hAnsi="Times New Roman" w:eastAsia="仿宋_GB2312" w:cs="Times New Roman"/>
          <w:spacing w:val="-23"/>
          <w:sz w:val="32"/>
          <w:szCs w:val="32"/>
          <w:highlight w:val="none"/>
        </w:rPr>
        <w:t>术研发及转化的新业务和有利于调动各方面人员积极性的新机制。</w:t>
      </w:r>
    </w:p>
    <w:p w14:paraId="1434B94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2E14EC6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</w:p>
    <w:p w14:paraId="10DB0CA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第十章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附则</w:t>
      </w:r>
    </w:p>
    <w:p w14:paraId="4369FC3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600" w:lineRule="exact"/>
        <w:ind w:left="0" w:leftChars="0"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第五十条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本章程由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理事会负责解释。</w:t>
      </w:r>
    </w:p>
    <w:p w14:paraId="7912E808"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600" w:lineRule="exact"/>
        <w:rPr>
          <w:rFonts w:hint="default" w:ascii="Times New Roman" w:hAnsi="Times New Roman" w:eastAsia="楷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第五十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>一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en-US" w:bidi="ar-SA"/>
        </w:rPr>
        <w:t>条</w:t>
      </w:r>
      <w:r>
        <w:rPr>
          <w:rFonts w:hint="default" w:ascii="Times New Roman" w:hAnsi="Times New Roman" w:eastAsia="楷体" w:cs="Times New Roman"/>
          <w:b/>
          <w:bCs/>
          <w:snapToGrid w:val="0"/>
          <w:color w:val="000000"/>
          <w:spacing w:val="0"/>
          <w:kern w:val="0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本章程自2024年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日理事会表决通过之日起生效，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eastAsia="zh-CN"/>
        </w:rPr>
        <w:t>研究院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  <w:t>按本章程进行规范管理和运行。</w:t>
      </w:r>
    </w:p>
    <w:sectPr>
      <w:footerReference r:id="rId5" w:type="default"/>
      <w:footerReference r:id="rId6" w:type="even"/>
      <w:pgSz w:w="11906" w:h="16838"/>
      <w:pgMar w:top="1417" w:right="1304" w:bottom="1417" w:left="1304" w:header="851" w:footer="856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BBD0B9-42DA-46FB-B78C-603CB4209A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CFCF3D4-F964-4F08-BFA2-A1ABD8212C7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A2CDDAE-316F-4D2B-95B3-10C065281B2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4755858-36BC-4EE9-851B-15531387E118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5" w:fontKey="{08B9E345-D748-4A85-819B-23859DC067DF}"/>
  </w:font>
  <w:font w:name="方正楷体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6" w:fontKey="{C91AA054-2A73-4439-AADA-8CF866694AFB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8634A045-2D14-4780-9406-015FA0C1853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C9D878E0-524B-4AC4-ADA2-A61E62C4F06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26308">
    <w:pPr>
      <w:pStyle w:val="5"/>
      <w:ind w:right="240"/>
      <w:jc w:val="right"/>
      <w:rPr>
        <w:rFonts w:ascii="宋体" w:hAnsi="宋体"/>
        <w:sz w:val="24"/>
      </w:rPr>
    </w:pPr>
  </w:p>
  <w:p w14:paraId="1D79576E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9869D">
    <w:pPr>
      <w:pStyle w:val="5"/>
      <w:ind w:firstLine="240" w:firstLineChars="100"/>
      <w:rPr>
        <w:rFonts w:ascii="宋体" w:hAnsi="宋体"/>
        <w:sz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A87DC">
    <w:pPr>
      <w:pStyle w:val="5"/>
      <w:ind w:right="240"/>
      <w:jc w:val="right"/>
      <w:rPr>
        <w:rFonts w:ascii="宋体" w:hAnsi="宋体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2795270</wp:posOffset>
              </wp:positionH>
              <wp:positionV relativeFrom="paragraph">
                <wp:posOffset>127000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4922E1">
                          <w:pPr>
                            <w:pStyle w:val="5"/>
                            <w:ind w:right="240"/>
                            <w:jc w:val="right"/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20.1pt;margin-top:1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QZ/y71QAAAAoBAAAPAAAAAAAAAAEAIAAAACIAAABkcnMvZG93bnJldi54bWxQ&#10;SwECFAAUAAAACACHTuJAzZi5FMEBAACNAwAADgAAAAAAAAABACAAAAAk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4922E1">
                    <w:pPr>
                      <w:pStyle w:val="5"/>
                      <w:ind w:right="240"/>
                      <w:jc w:val="right"/>
                      <w:rPr>
                        <w:rFonts w:asciiTheme="minorEastAsia" w:hAnsiTheme="minorEastAsia" w:eastAsiaTheme="minorEastAsia" w:cstheme="minorEastAsia"/>
                        <w:sz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7036A81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BFD8E">
    <w:pPr>
      <w:pStyle w:val="5"/>
      <w:ind w:firstLine="240" w:firstLineChars="100"/>
      <w:rPr>
        <w:rFonts w:ascii="宋体" w:hAnsi="宋体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B18A5F">
                          <w:pPr>
                            <w:pStyle w:val="5"/>
                            <w:ind w:firstLine="240" w:firstLineChars="100"/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 w:cstheme="minorEastAsia"/>
                              <w:sz w:val="24"/>
                            </w:rPr>
                            <w:t>14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4othXMEBAACNAwAADgAAAAAAAAABACAAAAAe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B18A5F">
                    <w:pPr>
                      <w:pStyle w:val="5"/>
                      <w:ind w:firstLine="240" w:firstLineChars="100"/>
                      <w:rPr>
                        <w:rFonts w:asciiTheme="minorEastAsia" w:hAnsiTheme="minorEastAsia" w:eastAsiaTheme="minorEastAsia" w:cstheme="minorEastAsia"/>
                        <w:sz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 w:cstheme="minorEastAsia"/>
                        <w:sz w:val="24"/>
                      </w:rPr>
                      <w:t>14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evenAndOddHeaders w:val="1"/>
  <w:drawingGridHorizontalSpacing w:val="207"/>
  <w:drawingGridVerticalSpacing w:val="3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zZDY0MWU5NGJlZGVjZDA4NWRiZmQ4OWI0ODRjYzUifQ=="/>
  </w:docVars>
  <w:rsids>
    <w:rsidRoot w:val="E1D7C55D"/>
    <w:rsid w:val="000005E7"/>
    <w:rsid w:val="00013AEA"/>
    <w:rsid w:val="00024702"/>
    <w:rsid w:val="000D594C"/>
    <w:rsid w:val="000D6C49"/>
    <w:rsid w:val="000E23C4"/>
    <w:rsid w:val="001001BE"/>
    <w:rsid w:val="001B04A8"/>
    <w:rsid w:val="001E6CC0"/>
    <w:rsid w:val="001F1D68"/>
    <w:rsid w:val="002442DC"/>
    <w:rsid w:val="00244EAA"/>
    <w:rsid w:val="0024737B"/>
    <w:rsid w:val="002A0F02"/>
    <w:rsid w:val="00326764"/>
    <w:rsid w:val="00362765"/>
    <w:rsid w:val="00502C12"/>
    <w:rsid w:val="0051617B"/>
    <w:rsid w:val="00530CA4"/>
    <w:rsid w:val="005321B8"/>
    <w:rsid w:val="005A227C"/>
    <w:rsid w:val="005D1C2D"/>
    <w:rsid w:val="005F341F"/>
    <w:rsid w:val="005F6829"/>
    <w:rsid w:val="006E2796"/>
    <w:rsid w:val="0073601E"/>
    <w:rsid w:val="007400F4"/>
    <w:rsid w:val="00840389"/>
    <w:rsid w:val="008C38E4"/>
    <w:rsid w:val="008D39CF"/>
    <w:rsid w:val="00A46F87"/>
    <w:rsid w:val="00A64857"/>
    <w:rsid w:val="00B248FC"/>
    <w:rsid w:val="00BC3929"/>
    <w:rsid w:val="00C24874"/>
    <w:rsid w:val="00C76595"/>
    <w:rsid w:val="00D5759E"/>
    <w:rsid w:val="00DB71D3"/>
    <w:rsid w:val="00DD7B1F"/>
    <w:rsid w:val="00E1072C"/>
    <w:rsid w:val="00FD4F6F"/>
    <w:rsid w:val="019C17C9"/>
    <w:rsid w:val="047E8621"/>
    <w:rsid w:val="05AE11EB"/>
    <w:rsid w:val="07780B4E"/>
    <w:rsid w:val="08B614C2"/>
    <w:rsid w:val="09FB6E58"/>
    <w:rsid w:val="0B287434"/>
    <w:rsid w:val="0E954B97"/>
    <w:rsid w:val="0FFF15EE"/>
    <w:rsid w:val="10895CE2"/>
    <w:rsid w:val="12D501A7"/>
    <w:rsid w:val="137FB9CD"/>
    <w:rsid w:val="14FF02FC"/>
    <w:rsid w:val="17CB54C2"/>
    <w:rsid w:val="18960F00"/>
    <w:rsid w:val="18E63F2C"/>
    <w:rsid w:val="19855007"/>
    <w:rsid w:val="1A584227"/>
    <w:rsid w:val="1B7A56E7"/>
    <w:rsid w:val="1D052FE6"/>
    <w:rsid w:val="1DE9169E"/>
    <w:rsid w:val="1EC71A2A"/>
    <w:rsid w:val="1FCB6B17"/>
    <w:rsid w:val="233F70B5"/>
    <w:rsid w:val="2575ACFF"/>
    <w:rsid w:val="27FB96BD"/>
    <w:rsid w:val="291E0426"/>
    <w:rsid w:val="2AF3C72F"/>
    <w:rsid w:val="2B283EF8"/>
    <w:rsid w:val="2C357514"/>
    <w:rsid w:val="2D661674"/>
    <w:rsid w:val="2DB60734"/>
    <w:rsid w:val="2EEB080B"/>
    <w:rsid w:val="2F05B289"/>
    <w:rsid w:val="2FE1138B"/>
    <w:rsid w:val="2FFF1D03"/>
    <w:rsid w:val="312529B7"/>
    <w:rsid w:val="33EB7ADF"/>
    <w:rsid w:val="33FDB23B"/>
    <w:rsid w:val="352978C7"/>
    <w:rsid w:val="355B7D16"/>
    <w:rsid w:val="35DDDAD4"/>
    <w:rsid w:val="36EAEE81"/>
    <w:rsid w:val="37D3630B"/>
    <w:rsid w:val="37DD8659"/>
    <w:rsid w:val="37FF192B"/>
    <w:rsid w:val="38C9655D"/>
    <w:rsid w:val="38F76C91"/>
    <w:rsid w:val="3A2D6380"/>
    <w:rsid w:val="3AAC0E09"/>
    <w:rsid w:val="3ABF2CDA"/>
    <w:rsid w:val="3BB356CC"/>
    <w:rsid w:val="3C47FB61"/>
    <w:rsid w:val="3C796C17"/>
    <w:rsid w:val="3CFF44B5"/>
    <w:rsid w:val="3DBF07C7"/>
    <w:rsid w:val="3DF7DF06"/>
    <w:rsid w:val="3DFF84F8"/>
    <w:rsid w:val="3E157CEF"/>
    <w:rsid w:val="3ECE9CDE"/>
    <w:rsid w:val="3EFEC64E"/>
    <w:rsid w:val="3F57552D"/>
    <w:rsid w:val="3F6A08A4"/>
    <w:rsid w:val="3F7F7ADE"/>
    <w:rsid w:val="3F9468F6"/>
    <w:rsid w:val="3FCBD349"/>
    <w:rsid w:val="3FDDBEFD"/>
    <w:rsid w:val="3FDFF0B8"/>
    <w:rsid w:val="3FF3695F"/>
    <w:rsid w:val="3FFFAAC1"/>
    <w:rsid w:val="4553265D"/>
    <w:rsid w:val="477755D2"/>
    <w:rsid w:val="479D8B3D"/>
    <w:rsid w:val="48BA3F8F"/>
    <w:rsid w:val="497D3799"/>
    <w:rsid w:val="49C049A2"/>
    <w:rsid w:val="4AC98A8A"/>
    <w:rsid w:val="4BBC66CE"/>
    <w:rsid w:val="4BFE2B63"/>
    <w:rsid w:val="4C8E5CA5"/>
    <w:rsid w:val="4CD06A60"/>
    <w:rsid w:val="4CD33930"/>
    <w:rsid w:val="4CD41B83"/>
    <w:rsid w:val="4D3A04A0"/>
    <w:rsid w:val="4D6C5F8C"/>
    <w:rsid w:val="4D87935A"/>
    <w:rsid w:val="4D9BB54B"/>
    <w:rsid w:val="4D9FA837"/>
    <w:rsid w:val="4E5D0DAC"/>
    <w:rsid w:val="4E7C3C6F"/>
    <w:rsid w:val="4EED65BF"/>
    <w:rsid w:val="4EF18DA8"/>
    <w:rsid w:val="507C2A18"/>
    <w:rsid w:val="519E2993"/>
    <w:rsid w:val="545240D7"/>
    <w:rsid w:val="54D5A3C4"/>
    <w:rsid w:val="56AD784C"/>
    <w:rsid w:val="57E39DE2"/>
    <w:rsid w:val="57EEC431"/>
    <w:rsid w:val="57FEC943"/>
    <w:rsid w:val="59490AB1"/>
    <w:rsid w:val="596FB60C"/>
    <w:rsid w:val="5AD132F9"/>
    <w:rsid w:val="5ADF3F59"/>
    <w:rsid w:val="5AFEE961"/>
    <w:rsid w:val="5DFE1AE7"/>
    <w:rsid w:val="5F7D99D6"/>
    <w:rsid w:val="5F976921"/>
    <w:rsid w:val="5F9E593F"/>
    <w:rsid w:val="5FE74BBE"/>
    <w:rsid w:val="5FEEE777"/>
    <w:rsid w:val="5FF74B64"/>
    <w:rsid w:val="61E34C31"/>
    <w:rsid w:val="62477473"/>
    <w:rsid w:val="6565919A"/>
    <w:rsid w:val="668E42AF"/>
    <w:rsid w:val="66ABF8B6"/>
    <w:rsid w:val="676D4F15"/>
    <w:rsid w:val="67774B31"/>
    <w:rsid w:val="678FF2E9"/>
    <w:rsid w:val="67B19032"/>
    <w:rsid w:val="6AC59E41"/>
    <w:rsid w:val="6AE3370F"/>
    <w:rsid w:val="6B7F93F3"/>
    <w:rsid w:val="6C6A1ED3"/>
    <w:rsid w:val="6CEE93F8"/>
    <w:rsid w:val="6D6EAA2D"/>
    <w:rsid w:val="6F76ED49"/>
    <w:rsid w:val="6F7D0772"/>
    <w:rsid w:val="6F7F7C34"/>
    <w:rsid w:val="6FAFCB49"/>
    <w:rsid w:val="6FBD7DA2"/>
    <w:rsid w:val="6FBE3F20"/>
    <w:rsid w:val="6FBEC7AE"/>
    <w:rsid w:val="6FEF46E1"/>
    <w:rsid w:val="71EFA6DC"/>
    <w:rsid w:val="73A94358"/>
    <w:rsid w:val="73DEE447"/>
    <w:rsid w:val="73EFB02B"/>
    <w:rsid w:val="746F75F0"/>
    <w:rsid w:val="754E638F"/>
    <w:rsid w:val="75B71672"/>
    <w:rsid w:val="75B99ECB"/>
    <w:rsid w:val="766E46CB"/>
    <w:rsid w:val="76FEC44A"/>
    <w:rsid w:val="772E5934"/>
    <w:rsid w:val="773F2CC8"/>
    <w:rsid w:val="777E9FA2"/>
    <w:rsid w:val="77B6044A"/>
    <w:rsid w:val="77BD2A8E"/>
    <w:rsid w:val="77D614FA"/>
    <w:rsid w:val="77DF6802"/>
    <w:rsid w:val="77EF6501"/>
    <w:rsid w:val="77F75566"/>
    <w:rsid w:val="77F79387"/>
    <w:rsid w:val="77FF7AAF"/>
    <w:rsid w:val="77FF8281"/>
    <w:rsid w:val="784C3AA8"/>
    <w:rsid w:val="78F60994"/>
    <w:rsid w:val="78F714AF"/>
    <w:rsid w:val="79996A9E"/>
    <w:rsid w:val="79BE1DA7"/>
    <w:rsid w:val="79FCFA64"/>
    <w:rsid w:val="79FF6A93"/>
    <w:rsid w:val="7B67520E"/>
    <w:rsid w:val="7B7EF792"/>
    <w:rsid w:val="7B8F23EA"/>
    <w:rsid w:val="7BB73FC4"/>
    <w:rsid w:val="7BF778E7"/>
    <w:rsid w:val="7BFFE10B"/>
    <w:rsid w:val="7C9F55B2"/>
    <w:rsid w:val="7CDFB24E"/>
    <w:rsid w:val="7CE490C2"/>
    <w:rsid w:val="7DBF1685"/>
    <w:rsid w:val="7DBF41A9"/>
    <w:rsid w:val="7DDAB37D"/>
    <w:rsid w:val="7DFB95D0"/>
    <w:rsid w:val="7DFF4B89"/>
    <w:rsid w:val="7E0F7438"/>
    <w:rsid w:val="7E7EA13D"/>
    <w:rsid w:val="7EB67A23"/>
    <w:rsid w:val="7EBF6B16"/>
    <w:rsid w:val="7EBFC182"/>
    <w:rsid w:val="7EDFF9A8"/>
    <w:rsid w:val="7EFF1EF8"/>
    <w:rsid w:val="7F37B5B1"/>
    <w:rsid w:val="7F3E8865"/>
    <w:rsid w:val="7F3F675C"/>
    <w:rsid w:val="7F5BD218"/>
    <w:rsid w:val="7F5F9746"/>
    <w:rsid w:val="7F6B257F"/>
    <w:rsid w:val="7F6BE952"/>
    <w:rsid w:val="7F6DA42C"/>
    <w:rsid w:val="7F7741FF"/>
    <w:rsid w:val="7F9EAD5D"/>
    <w:rsid w:val="7FAF73DB"/>
    <w:rsid w:val="7FBD2351"/>
    <w:rsid w:val="7FBE91D6"/>
    <w:rsid w:val="7FBFE26F"/>
    <w:rsid w:val="7FDF97CA"/>
    <w:rsid w:val="7FDFBFC1"/>
    <w:rsid w:val="7FEB9B70"/>
    <w:rsid w:val="7FEB9D22"/>
    <w:rsid w:val="7FEE39C5"/>
    <w:rsid w:val="7FF39B04"/>
    <w:rsid w:val="7FFAA7C8"/>
    <w:rsid w:val="7FFD0606"/>
    <w:rsid w:val="7FFD5D52"/>
    <w:rsid w:val="7FFECCDF"/>
    <w:rsid w:val="7FFED061"/>
    <w:rsid w:val="7FFF50E8"/>
    <w:rsid w:val="817C311A"/>
    <w:rsid w:val="8FFDF338"/>
    <w:rsid w:val="9139B50F"/>
    <w:rsid w:val="93978BF3"/>
    <w:rsid w:val="9BF78FE0"/>
    <w:rsid w:val="9DFFE333"/>
    <w:rsid w:val="9EBE87DE"/>
    <w:rsid w:val="9FD9E398"/>
    <w:rsid w:val="9FF647F3"/>
    <w:rsid w:val="9FFFAAD1"/>
    <w:rsid w:val="A3FE039F"/>
    <w:rsid w:val="A79FEDED"/>
    <w:rsid w:val="A7EFA441"/>
    <w:rsid w:val="ACFC5C97"/>
    <w:rsid w:val="ADB9F6B5"/>
    <w:rsid w:val="AEFDF605"/>
    <w:rsid w:val="AFBF5111"/>
    <w:rsid w:val="AFFDF3A7"/>
    <w:rsid w:val="B1F9FE9E"/>
    <w:rsid w:val="B57FABFF"/>
    <w:rsid w:val="B67E8282"/>
    <w:rsid w:val="B6AF8BE9"/>
    <w:rsid w:val="B77E2A6A"/>
    <w:rsid w:val="B7CF293C"/>
    <w:rsid w:val="B7F4BF16"/>
    <w:rsid w:val="B97FB698"/>
    <w:rsid w:val="B9A71982"/>
    <w:rsid w:val="BA678C1F"/>
    <w:rsid w:val="BBDF16C8"/>
    <w:rsid w:val="BD7A354C"/>
    <w:rsid w:val="BDF75970"/>
    <w:rsid w:val="BE57D665"/>
    <w:rsid w:val="BE7DC5EE"/>
    <w:rsid w:val="BE7F2A65"/>
    <w:rsid w:val="BE7F864F"/>
    <w:rsid w:val="BE9BCD53"/>
    <w:rsid w:val="BEBBF813"/>
    <w:rsid w:val="BFD69FBE"/>
    <w:rsid w:val="BFE7868D"/>
    <w:rsid w:val="BFF94764"/>
    <w:rsid w:val="C7FB13C6"/>
    <w:rsid w:val="C9FFF33F"/>
    <w:rsid w:val="CBB683D5"/>
    <w:rsid w:val="CC7F22E0"/>
    <w:rsid w:val="CDEA4A5C"/>
    <w:rsid w:val="CEFB73B7"/>
    <w:rsid w:val="CF7F8D37"/>
    <w:rsid w:val="D69F5967"/>
    <w:rsid w:val="D9BE16B0"/>
    <w:rsid w:val="DAFF4A3A"/>
    <w:rsid w:val="DB7FBDD6"/>
    <w:rsid w:val="DC0F8C10"/>
    <w:rsid w:val="DC3BF0E1"/>
    <w:rsid w:val="DDE3FE03"/>
    <w:rsid w:val="DDFFF234"/>
    <w:rsid w:val="DEB3C561"/>
    <w:rsid w:val="DFDB6066"/>
    <w:rsid w:val="DFDF9BFD"/>
    <w:rsid w:val="DFEFC4A5"/>
    <w:rsid w:val="DFF3DC74"/>
    <w:rsid w:val="DFF90EA3"/>
    <w:rsid w:val="DFFE050B"/>
    <w:rsid w:val="DFFE823C"/>
    <w:rsid w:val="DFFEB467"/>
    <w:rsid w:val="E1AC4613"/>
    <w:rsid w:val="E1D7C55D"/>
    <w:rsid w:val="E3E3FAA1"/>
    <w:rsid w:val="E7779C0C"/>
    <w:rsid w:val="E7AE1E7E"/>
    <w:rsid w:val="E9EEBFCF"/>
    <w:rsid w:val="EB9B837A"/>
    <w:rsid w:val="EBB56D1B"/>
    <w:rsid w:val="EBFB8273"/>
    <w:rsid w:val="EC9F9207"/>
    <w:rsid w:val="EDBF031D"/>
    <w:rsid w:val="EDE626A0"/>
    <w:rsid w:val="EE3BD289"/>
    <w:rsid w:val="EF6F8CD6"/>
    <w:rsid w:val="EF779B14"/>
    <w:rsid w:val="EF77ADA1"/>
    <w:rsid w:val="EFBF58AD"/>
    <w:rsid w:val="EFBF7A7B"/>
    <w:rsid w:val="EFE75B10"/>
    <w:rsid w:val="EFEFC3E0"/>
    <w:rsid w:val="EFF794DD"/>
    <w:rsid w:val="EFFE456B"/>
    <w:rsid w:val="EFFEAB95"/>
    <w:rsid w:val="EFFF8B1A"/>
    <w:rsid w:val="EFFFB9D0"/>
    <w:rsid w:val="F26FAD54"/>
    <w:rsid w:val="F2FF16FD"/>
    <w:rsid w:val="F2FF2A86"/>
    <w:rsid w:val="F3DFF09C"/>
    <w:rsid w:val="F3FF3764"/>
    <w:rsid w:val="F4EA5069"/>
    <w:rsid w:val="F5F6967A"/>
    <w:rsid w:val="F6A603EA"/>
    <w:rsid w:val="F6BF380C"/>
    <w:rsid w:val="F6CE637F"/>
    <w:rsid w:val="F6E75458"/>
    <w:rsid w:val="F746458B"/>
    <w:rsid w:val="F7BF02FE"/>
    <w:rsid w:val="F7F5EF79"/>
    <w:rsid w:val="F7FB8630"/>
    <w:rsid w:val="F8FC19AF"/>
    <w:rsid w:val="F9771274"/>
    <w:rsid w:val="F9ED4EED"/>
    <w:rsid w:val="FB6F72C4"/>
    <w:rsid w:val="FBBFDF44"/>
    <w:rsid w:val="FBDF8E15"/>
    <w:rsid w:val="FBFADCD3"/>
    <w:rsid w:val="FBFD297A"/>
    <w:rsid w:val="FBFDB065"/>
    <w:rsid w:val="FBFEAD07"/>
    <w:rsid w:val="FBFF724C"/>
    <w:rsid w:val="FBFFC591"/>
    <w:rsid w:val="FCBF8948"/>
    <w:rsid w:val="FCDF5858"/>
    <w:rsid w:val="FD7559FC"/>
    <w:rsid w:val="FD7788FA"/>
    <w:rsid w:val="FD7FB942"/>
    <w:rsid w:val="FDBF1F84"/>
    <w:rsid w:val="FDDEBBA8"/>
    <w:rsid w:val="FDDF9A37"/>
    <w:rsid w:val="FDFD5A0D"/>
    <w:rsid w:val="FE533C9A"/>
    <w:rsid w:val="FE55787B"/>
    <w:rsid w:val="FE636E47"/>
    <w:rsid w:val="FEEBDEE9"/>
    <w:rsid w:val="FEFE1625"/>
    <w:rsid w:val="FEFF8E3A"/>
    <w:rsid w:val="FEFF9D63"/>
    <w:rsid w:val="FEFFF25B"/>
    <w:rsid w:val="FF3752EC"/>
    <w:rsid w:val="FF6E4926"/>
    <w:rsid w:val="FF6F5818"/>
    <w:rsid w:val="FF764D68"/>
    <w:rsid w:val="FF7B63F6"/>
    <w:rsid w:val="FF7B9318"/>
    <w:rsid w:val="FF8B741F"/>
    <w:rsid w:val="FF9B59D9"/>
    <w:rsid w:val="FFAFCCCA"/>
    <w:rsid w:val="FFC75E09"/>
    <w:rsid w:val="FFCB2FE3"/>
    <w:rsid w:val="FFD36F1B"/>
    <w:rsid w:val="FFD70CC9"/>
    <w:rsid w:val="FFDB8400"/>
    <w:rsid w:val="FFE2B045"/>
    <w:rsid w:val="FFEE543D"/>
    <w:rsid w:val="FFEE8E73"/>
    <w:rsid w:val="FFEF6C9C"/>
    <w:rsid w:val="FFF7A613"/>
    <w:rsid w:val="FFFBC1C2"/>
    <w:rsid w:val="FFFD087E"/>
    <w:rsid w:val="FFFD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qFormat="1"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autoRedefine/>
    <w:qFormat/>
    <w:uiPriority w:val="0"/>
    <w:pPr>
      <w:ind w:left="2940"/>
    </w:pPr>
    <w:rPr>
      <w:rFonts w:ascii="Times New Roman" w:hAnsi="Times New Roman"/>
    </w:rPr>
  </w:style>
  <w:style w:type="paragraph" w:styleId="4">
    <w:name w:val="Normal Indent"/>
    <w:basedOn w:val="1"/>
    <w:next w:val="5"/>
    <w:qFormat/>
    <w:uiPriority w:val="0"/>
    <w:pPr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styleId="5">
    <w:name w:val="footer"/>
    <w:basedOn w:val="1"/>
    <w:next w:val="1"/>
    <w:link w:val="25"/>
    <w:autoRedefine/>
    <w:qFormat/>
    <w:uiPriority w:val="99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6">
    <w:name w:val="Body Text"/>
    <w:basedOn w:val="1"/>
    <w:autoRedefine/>
    <w:qFormat/>
    <w:uiPriority w:val="0"/>
    <w:pPr>
      <w:spacing w:after="140" w:line="276" w:lineRule="auto"/>
    </w:pPr>
  </w:style>
  <w:style w:type="paragraph" w:styleId="7">
    <w:name w:val="Body Text Indent"/>
    <w:basedOn w:val="1"/>
    <w:autoRedefine/>
    <w:qFormat/>
    <w:uiPriority w:val="0"/>
    <w:pPr>
      <w:autoSpaceDE w:val="0"/>
      <w:autoSpaceDN w:val="0"/>
      <w:adjustRightInd w:val="0"/>
      <w:spacing w:line="320" w:lineRule="exact"/>
      <w:ind w:left="1"/>
      <w:jc w:val="left"/>
    </w:pPr>
    <w:rPr>
      <w:rFonts w:ascii="仿宋_GB2312"/>
      <w:kern w:val="0"/>
      <w:sz w:val="24"/>
    </w:rPr>
  </w:style>
  <w:style w:type="paragraph" w:styleId="8">
    <w:name w:val="Plain Text"/>
    <w:basedOn w:val="1"/>
    <w:next w:val="9"/>
    <w:autoRedefine/>
    <w:unhideWhenUsed/>
    <w:qFormat/>
    <w:uiPriority w:val="99"/>
    <w:rPr>
      <w:rFonts w:ascii="宋体" w:cs="Courier New"/>
      <w:szCs w:val="21"/>
    </w:rPr>
  </w:style>
  <w:style w:type="paragraph" w:customStyle="1" w:styleId="9">
    <w:name w:val="列表段落1"/>
    <w:next w:val="1"/>
    <w:autoRedefine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0">
    <w:name w:val="Body Text Indent 2"/>
    <w:basedOn w:val="1"/>
    <w:next w:val="1"/>
    <w:autoRedefine/>
    <w:qFormat/>
    <w:uiPriority w:val="0"/>
    <w:pPr>
      <w:spacing w:after="120" w:line="480" w:lineRule="auto"/>
      <w:ind w:left="200" w:leftChars="200"/>
    </w:pPr>
  </w:style>
  <w:style w:type="paragraph" w:styleId="11">
    <w:name w:val="Balloon Text"/>
    <w:basedOn w:val="1"/>
    <w:link w:val="24"/>
    <w:autoRedefine/>
    <w:qFormat/>
    <w:uiPriority w:val="0"/>
    <w:rPr>
      <w:sz w:val="18"/>
      <w:szCs w:val="18"/>
    </w:rPr>
  </w:style>
  <w:style w:type="paragraph" w:styleId="1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仿宋_GB2312" w:cs="宋体"/>
      <w:b/>
      <w:bCs/>
      <w:kern w:val="28"/>
      <w:sz w:val="32"/>
      <w:szCs w:val="32"/>
    </w:rPr>
  </w:style>
  <w:style w:type="paragraph" w:styleId="14">
    <w:name w:val="footnote text"/>
    <w:basedOn w:val="1"/>
    <w:autoRedefine/>
    <w:qFormat/>
    <w:uiPriority w:val="0"/>
    <w:pPr>
      <w:snapToGrid w:val="0"/>
      <w:jc w:val="left"/>
    </w:pPr>
    <w:rPr>
      <w:sz w:val="18"/>
      <w:szCs w:val="18"/>
    </w:rPr>
  </w:style>
  <w:style w:type="paragraph" w:styleId="15">
    <w:name w:val="table of figures"/>
    <w:basedOn w:val="1"/>
    <w:next w:val="1"/>
    <w:autoRedefine/>
    <w:qFormat/>
    <w:uiPriority w:val="0"/>
    <w:pPr>
      <w:ind w:left="200" w:leftChars="200" w:hanging="200" w:hangingChars="200"/>
    </w:pPr>
  </w:style>
  <w:style w:type="paragraph" w:styleId="16">
    <w:name w:val="List 4"/>
    <w:basedOn w:val="1"/>
    <w:autoRedefine/>
    <w:qFormat/>
    <w:uiPriority w:val="0"/>
    <w:pPr>
      <w:ind w:left="800" w:leftChars="600" w:hanging="200" w:hangingChars="200"/>
      <w:contextualSpacing/>
    </w:pPr>
  </w:style>
  <w:style w:type="paragraph" w:styleId="17">
    <w:name w:val="Normal (Web)"/>
    <w:basedOn w:val="1"/>
    <w:next w:val="5"/>
    <w:autoRedefine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8">
    <w:name w:val="Body Text First Indent 2"/>
    <w:basedOn w:val="7"/>
    <w:autoRedefine/>
    <w:qFormat/>
    <w:uiPriority w:val="0"/>
    <w:pPr>
      <w:ind w:firstLine="640"/>
    </w:pPr>
  </w:style>
  <w:style w:type="character" w:styleId="21">
    <w:name w:val="Strong"/>
    <w:autoRedefine/>
    <w:qFormat/>
    <w:uiPriority w:val="22"/>
    <w:rPr>
      <w:b/>
      <w:bCs/>
    </w:rPr>
  </w:style>
  <w:style w:type="character" w:styleId="22">
    <w:name w:val="Hyperlink"/>
    <w:autoRedefine/>
    <w:unhideWhenUsed/>
    <w:qFormat/>
    <w:uiPriority w:val="99"/>
    <w:rPr>
      <w:color w:val="0000FF"/>
      <w:u w:val="single"/>
    </w:rPr>
  </w:style>
  <w:style w:type="paragraph" w:customStyle="1" w:styleId="23">
    <w:name w:val="正文2"/>
    <w:basedOn w:val="1"/>
    <w:next w:val="1"/>
    <w:autoRedefine/>
    <w:qFormat/>
    <w:uiPriority w:val="0"/>
    <w:rPr>
      <w:szCs w:val="22"/>
    </w:rPr>
  </w:style>
  <w:style w:type="character" w:customStyle="1" w:styleId="24">
    <w:name w:val="批注框文本 字符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5">
    <w:name w:val="页脚 字符"/>
    <w:link w:val="5"/>
    <w:autoRedefine/>
    <w:qFormat/>
    <w:uiPriority w:val="99"/>
    <w:rPr>
      <w:rFonts w:ascii="Calibri" w:hAnsi="Calibri"/>
      <w:kern w:val="2"/>
      <w:sz w:val="18"/>
      <w:szCs w:val="24"/>
    </w:rPr>
  </w:style>
  <w:style w:type="paragraph" w:customStyle="1" w:styleId="26">
    <w:name w:val="Default"/>
    <w:next w:val="5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7">
    <w:name w:val="w_pubtime"/>
    <w:autoRedefine/>
    <w:qFormat/>
    <w:uiPriority w:val="0"/>
  </w:style>
  <w:style w:type="character" w:customStyle="1" w:styleId="28">
    <w:name w:val="w_source"/>
    <w:autoRedefine/>
    <w:qFormat/>
    <w:uiPriority w:val="0"/>
  </w:style>
  <w:style w:type="character" w:customStyle="1" w:styleId="29">
    <w:name w:val="w_editor"/>
    <w:autoRedefine/>
    <w:qFormat/>
    <w:uiPriority w:val="0"/>
  </w:style>
  <w:style w:type="paragraph" w:customStyle="1" w:styleId="30">
    <w:name w:val="Body text|1"/>
    <w:basedOn w:val="1"/>
    <w:qFormat/>
    <w:uiPriority w:val="0"/>
    <w:pPr>
      <w:spacing w:line="389" w:lineRule="auto"/>
      <w:ind w:firstLine="400"/>
      <w:jc w:val="left"/>
    </w:pPr>
    <w:rPr>
      <w:rFonts w:ascii="宋体" w:hAnsi="宋体" w:cs="宋体"/>
      <w:color w:val="000000"/>
      <w:kern w:val="0"/>
      <w:sz w:val="30"/>
      <w:szCs w:val="30"/>
      <w:lang w:val="zh-TW" w:eastAsia="zh-TW" w:bidi="zh-TW"/>
    </w:rPr>
  </w:style>
  <w:style w:type="paragraph" w:customStyle="1" w:styleId="3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2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12</Pages>
  <Words>4048</Words>
  <Characters>4054</Characters>
  <Lines>41</Lines>
  <Paragraphs>11</Paragraphs>
  <TotalTime>1</TotalTime>
  <ScaleCrop>false</ScaleCrop>
  <LinksUpToDate>false</LinksUpToDate>
  <CharactersWithSpaces>4223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2020-05-27T01:52:00Z</dcterms:created>
  <dc:creator>uos</dc:creator>
  <cp:lastModifiedBy>IDV</cp:lastModifiedBy>
  <cp:lastPrinted>2024-05-24T16:02:00Z</cp:lastPrinted>
  <dcterms:modified xsi:type="dcterms:W3CDTF">2024-08-27T10:33:44Z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C171A4E0DFA0487A8C46EB6E046FECEA_13</vt:lpwstr>
  </property>
</Properties>
</file>