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outlineLvl w:val="0"/>
        <w:rPr>
          <w:rFonts w:ascii="Times New Roman" w:hAnsi="Times New Roman" w:eastAsia="方正小标宋简体"/>
          <w:sz w:val="44"/>
          <w:szCs w:val="44"/>
        </w:rPr>
      </w:pPr>
      <w:bookmarkStart w:id="0" w:name="_GoBack"/>
      <w:bookmarkEnd w:id="0"/>
    </w:p>
    <w:p>
      <w:pPr>
        <w:spacing w:line="560" w:lineRule="exact"/>
        <w:jc w:val="center"/>
        <w:outlineLvl w:val="0"/>
        <w:rPr>
          <w:rFonts w:ascii="Times New Roman" w:hAnsi="Times New Roman" w:eastAsia="方正小标宋简体"/>
          <w:sz w:val="44"/>
          <w:szCs w:val="44"/>
        </w:rPr>
      </w:pPr>
      <w:r>
        <w:rPr>
          <w:rFonts w:ascii="Times New Roman" w:hAnsi="Times New Roman" w:eastAsia="方正小标宋简体"/>
          <w:sz w:val="44"/>
          <w:szCs w:val="44"/>
        </w:rPr>
        <w:t>关于</w:t>
      </w:r>
      <w:r>
        <w:rPr>
          <w:rFonts w:hint="eastAsia" w:ascii="Times New Roman" w:hAnsi="Times New Roman" w:eastAsia="方正小标宋简体"/>
          <w:sz w:val="44"/>
          <w:szCs w:val="44"/>
        </w:rPr>
        <w:t>审议</w:t>
      </w:r>
      <w:r>
        <w:rPr>
          <w:rFonts w:ascii="Times New Roman" w:hAnsi="Times New Roman" w:eastAsia="方正小标宋简体"/>
          <w:sz w:val="44"/>
          <w:szCs w:val="44"/>
        </w:rPr>
        <w:t>《</w:t>
      </w:r>
      <w:r>
        <w:rPr>
          <w:rFonts w:hint="eastAsia" w:ascii="Times New Roman" w:hAnsi="Times New Roman" w:eastAsia="方正小标宋简体"/>
          <w:sz w:val="44"/>
          <w:szCs w:val="44"/>
        </w:rPr>
        <w:t>四川九洲投资控股集团有限公司</w:t>
      </w:r>
    </w:p>
    <w:p>
      <w:pPr>
        <w:spacing w:line="560" w:lineRule="exact"/>
        <w:jc w:val="center"/>
        <w:outlineLvl w:val="0"/>
        <w:rPr>
          <w:rFonts w:ascii="Times New Roman" w:hAnsi="Times New Roman" w:eastAsia="方正小标宋简体"/>
          <w:sz w:val="44"/>
          <w:szCs w:val="44"/>
        </w:rPr>
      </w:pPr>
      <w:r>
        <w:rPr>
          <w:rFonts w:hint="eastAsia" w:ascii="Times New Roman" w:hAnsi="Times New Roman" w:eastAsia="方正小标宋简体"/>
          <w:sz w:val="44"/>
          <w:szCs w:val="44"/>
        </w:rPr>
        <w:t>参股管理办法(暂行)</w:t>
      </w:r>
      <w:r>
        <w:rPr>
          <w:rFonts w:ascii="Times New Roman" w:hAnsi="Times New Roman" w:eastAsia="方正小标宋简体"/>
          <w:sz w:val="44"/>
          <w:szCs w:val="44"/>
        </w:rPr>
        <w:t>》的议案</w:t>
      </w:r>
    </w:p>
    <w:p>
      <w:pPr>
        <w:pStyle w:val="11"/>
        <w:spacing w:line="560" w:lineRule="exact"/>
        <w:ind w:firstLine="640"/>
        <w:rPr>
          <w:rFonts w:ascii="Times New Roman" w:hAnsi="Times New Roman" w:eastAsia="方正小标宋简体"/>
          <w:sz w:val="32"/>
          <w:szCs w:val="32"/>
        </w:rPr>
      </w:pPr>
    </w:p>
    <w:p>
      <w:pPr>
        <w:spacing w:line="520" w:lineRule="exact"/>
        <w:ind w:firstLine="640" w:firstLineChars="200"/>
        <w:outlineLvl w:val="0"/>
        <w:rPr>
          <w:rFonts w:ascii="Times New Roman" w:hAnsi="Times New Roman" w:eastAsia="黑体"/>
          <w:sz w:val="32"/>
          <w:szCs w:val="32"/>
        </w:rPr>
      </w:pPr>
      <w:r>
        <w:rPr>
          <w:rFonts w:ascii="Times New Roman" w:hAnsi="Times New Roman" w:eastAsia="黑体"/>
          <w:sz w:val="32"/>
          <w:szCs w:val="32"/>
        </w:rPr>
        <w:t>一、议案背景</w:t>
      </w:r>
    </w:p>
    <w:p>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6月23日，国务院国资委印发《国有企业参股管理暂行办法》（下称办法），要求国有企业加强内部制度建设，规范参股投资，切实维护国有资产权益，提高国有资本配置效率，防范参股投资风险。2024年1月2日，绵阳市国资委向市属国有企业转发办法，要求市属国企结合实际情况，制定完善参股管理制度规范。为全面规范、科学高效、权责清晰地开展参股管理工作，结合集团实际情况和现有相关制度规定，制定《四川九洲投资控股集团有限公司参股管理暂行办法》（下称参股管理办法）。</w:t>
      </w:r>
    </w:p>
    <w:p>
      <w:pPr>
        <w:spacing w:line="520" w:lineRule="exact"/>
        <w:ind w:firstLine="640" w:firstLineChars="200"/>
        <w:rPr>
          <w:rFonts w:ascii="Times New Roman" w:hAnsi="Times New Roman" w:eastAsia="黑体"/>
          <w:sz w:val="32"/>
          <w:szCs w:val="32"/>
        </w:rPr>
      </w:pPr>
      <w:r>
        <w:rPr>
          <w:rFonts w:ascii="Times New Roman" w:hAnsi="Times New Roman" w:eastAsia="黑体"/>
          <w:sz w:val="32"/>
          <w:szCs w:val="32"/>
        </w:rPr>
        <w:t>二、主要内容</w:t>
      </w:r>
    </w:p>
    <w:p>
      <w:pPr>
        <w:spacing w:line="520" w:lineRule="exact"/>
        <w:ind w:firstLine="641"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（一）办法定位</w:t>
      </w:r>
    </w:p>
    <w:p>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集团按照“聚焦主业、规范运营、管控风险、创造价值”的总体要求，对参股投资管理、参股股权经营管理和参股股权退出管理等事项进行全面规定。</w:t>
      </w:r>
    </w:p>
    <w:p>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办法在严格适用集团《股权投资管理办法》等相关办法的基础上，按照“聚焦主业，严格控制参股类投资”的思路，对参股投资按照投资目的对进行分类，明确总部资本运营部的归口管理职责以及参股投资主体针对参股经营事项和重大风险事项的决策流程，并对主动和被动退出参股投资情形进行了清晰界定。</w:t>
      </w:r>
    </w:p>
    <w:p>
      <w:pPr>
        <w:spacing w:line="520" w:lineRule="exact"/>
        <w:ind w:firstLine="641"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（二）定义及适用范围</w:t>
      </w:r>
    </w:p>
    <w:p>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1.定义：参股管理涵盖了参股投资的全流程，是指参股管理主体依据职责权限对参股企业的投资、经营、退出、监督问责等具体事项进行管理。</w:t>
      </w:r>
    </w:p>
    <w:p>
      <w:pPr>
        <w:spacing w:line="520" w:lineRule="exact"/>
        <w:ind w:firstLine="640" w:firstLineChars="200"/>
        <w:rPr>
          <w:rFonts w:eastAsia="仿宋_GB2312"/>
          <w:sz w:val="32"/>
          <w:szCs w:val="32"/>
        </w:rPr>
      </w:pPr>
      <w:r>
        <w:rPr>
          <w:rFonts w:hint="eastAsia" w:ascii="仿宋_GB2312" w:hAnsi="仿宋_GB2312" w:eastAsia="仿宋_GB2312" w:cs="仿宋_GB2312"/>
          <w:sz w:val="32"/>
          <w:szCs w:val="32"/>
        </w:rPr>
        <w:t>2.适用范围：适用于集团在所投资企业（下称参股企业）持股比例≤50%且不具有实际控制力的股权投资，按投资目的分为产业类投资、财务类投资和政策性投资。基金运营投资不适用。</w:t>
      </w:r>
    </w:p>
    <w:p>
      <w:pPr>
        <w:spacing w:line="600" w:lineRule="exact"/>
        <w:ind w:firstLine="641"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（三）主要内容</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7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46"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jc w:val="center"/>
              <w:rPr>
                <w:rFonts w:hint="eastAsia" w:ascii="宋体" w:hAnsi="宋体"/>
                <w:b/>
                <w:bCs/>
              </w:rPr>
            </w:pPr>
            <w:r>
              <w:rPr>
                <w:rFonts w:hint="eastAsia" w:ascii="宋体" w:hAnsi="宋体"/>
                <w:b/>
                <w:bCs/>
              </w:rPr>
              <w:t>要点</w:t>
            </w:r>
          </w:p>
        </w:tc>
        <w:tc>
          <w:tcPr>
            <w:tcW w:w="793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jc w:val="center"/>
              <w:rPr>
                <w:rFonts w:hint="eastAsia" w:ascii="宋体" w:hAnsi="宋体"/>
                <w:b/>
                <w:bCs/>
              </w:rPr>
            </w:pPr>
            <w:r>
              <w:rPr>
                <w:rFonts w:hint="eastAsia" w:ascii="宋体" w:hAnsi="宋体"/>
                <w:b/>
                <w:bCs/>
              </w:rPr>
              <w:t>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46" w:type="dxa"/>
            <w:vMerge w:val="restart"/>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jc w:val="center"/>
              <w:rPr>
                <w:rFonts w:hint="eastAsia" w:ascii="宋体" w:hAnsi="宋体"/>
                <w:b/>
                <w:bCs/>
              </w:rPr>
            </w:pPr>
            <w:r>
              <w:rPr>
                <w:rFonts w:hint="eastAsia" w:ascii="宋体" w:hAnsi="宋体"/>
                <w:b/>
                <w:bCs/>
              </w:rPr>
              <w:t>职责分工</w:t>
            </w:r>
          </w:p>
        </w:tc>
        <w:tc>
          <w:tcPr>
            <w:tcW w:w="793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rPr>
            </w:pPr>
            <w:r>
              <w:rPr>
                <w:rFonts w:hint="eastAsia" w:ascii="宋体" w:hAnsi="宋体"/>
              </w:rPr>
              <w:t>1.总部资本运营部是集团参股管理归口管理部门。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bCs/>
              </w:rPr>
            </w:pPr>
          </w:p>
        </w:tc>
        <w:tc>
          <w:tcPr>
            <w:tcW w:w="793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rPr>
            </w:pPr>
            <w:r>
              <w:rPr>
                <w:rFonts w:hint="eastAsia" w:ascii="宋体" w:hAnsi="宋体"/>
              </w:rPr>
              <w:t>2.总部其他职能部门按照职能职责及集团相关制度要求开展相关工作。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bCs/>
              </w:rPr>
            </w:pPr>
          </w:p>
        </w:tc>
        <w:tc>
          <w:tcPr>
            <w:tcW w:w="793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rPr>
            </w:pPr>
            <w:r>
              <w:rPr>
                <w:rFonts w:hint="eastAsia" w:ascii="宋体" w:hAnsi="宋体"/>
              </w:rPr>
              <w:t>3.参股投资主体负责会同总部开展参股投资，负责实施投后管理工作，对重大事项提出处置建议，经有权决策机构批准后实施。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846" w:type="dxa"/>
            <w:vMerge w:val="restart"/>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jc w:val="center"/>
              <w:rPr>
                <w:rFonts w:hint="eastAsia" w:ascii="宋体" w:hAnsi="宋体"/>
                <w:b/>
                <w:bCs/>
              </w:rPr>
            </w:pPr>
            <w:r>
              <w:rPr>
                <w:rFonts w:hint="eastAsia" w:ascii="宋体" w:hAnsi="宋体"/>
                <w:b/>
                <w:bCs/>
              </w:rPr>
              <w:t>投资管理</w:t>
            </w:r>
          </w:p>
        </w:tc>
        <w:tc>
          <w:tcPr>
            <w:tcW w:w="793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rPr>
            </w:pPr>
            <w:r>
              <w:rPr>
                <w:rFonts w:hint="eastAsia" w:ascii="宋体" w:hAnsi="宋体"/>
              </w:rPr>
              <w:t>1.实施流程和决策权限：按照集团投资管理相关制度执行。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bCs/>
              </w:rPr>
            </w:pPr>
          </w:p>
        </w:tc>
        <w:tc>
          <w:tcPr>
            <w:tcW w:w="793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rPr>
            </w:pPr>
            <w:r>
              <w:rPr>
                <w:rFonts w:hint="eastAsia" w:ascii="宋体" w:hAnsi="宋体"/>
              </w:rPr>
              <w:t>2.总部除参与基金组建外，原则上不参与参股类投资。产业公司因发展产业需要，可适当开展以产业培育为目的的产业类投资。由九洲创投或九洲君合管理的基金实施财务类投资。政策性投资，由总部指定主体参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bCs/>
              </w:rPr>
            </w:pPr>
          </w:p>
        </w:tc>
        <w:tc>
          <w:tcPr>
            <w:tcW w:w="793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rPr>
            </w:pPr>
            <w:r>
              <w:rPr>
                <w:rFonts w:hint="eastAsia" w:ascii="宋体" w:hAnsi="宋体"/>
              </w:rPr>
              <w:t>3.投资方案：应明确估值、股权比例、付款、业务和人员安排、分红、退出路径等，并根据投资目的设置业绩承诺等特殊权利。持股比例10%以上应争取董事或监事的提名权。投资方案应明确各方权利义务边界，并落实在投资协议、公司章程等文件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846" w:type="dxa"/>
            <w:vMerge w:val="restart"/>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jc w:val="center"/>
              <w:rPr>
                <w:rFonts w:hint="eastAsia" w:ascii="宋体" w:hAnsi="宋体"/>
                <w:b/>
                <w:bCs/>
              </w:rPr>
            </w:pPr>
            <w:r>
              <w:rPr>
                <w:rFonts w:hint="eastAsia" w:ascii="宋体" w:hAnsi="宋体"/>
                <w:b/>
                <w:bCs/>
              </w:rPr>
              <w:t>经营管理</w:t>
            </w:r>
          </w:p>
        </w:tc>
        <w:tc>
          <w:tcPr>
            <w:tcW w:w="793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rPr>
            </w:pPr>
            <w:r>
              <w:rPr>
                <w:rFonts w:hint="eastAsia" w:ascii="宋体" w:hAnsi="宋体"/>
              </w:rPr>
              <w:t>1.投资主体应明确参股管理的牵头部门、人员委派机制、参股经营事项决策流程等。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bCs/>
              </w:rPr>
            </w:pPr>
          </w:p>
        </w:tc>
        <w:tc>
          <w:tcPr>
            <w:tcW w:w="793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rPr>
            </w:pPr>
            <w:r>
              <w:rPr>
                <w:rFonts w:hint="eastAsia" w:ascii="宋体" w:hAnsi="宋体"/>
              </w:rPr>
              <w:t>2.台账管理：总部资本运营部负责督促投资主体报送参股投资项目的经营管理信息，并根据投资主体提供项目信息建立和维护参股投资台账。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bCs/>
              </w:rPr>
            </w:pPr>
          </w:p>
        </w:tc>
        <w:tc>
          <w:tcPr>
            <w:tcW w:w="793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rPr>
            </w:pPr>
            <w:r>
              <w:rPr>
                <w:rFonts w:hint="eastAsia" w:ascii="宋体" w:hAnsi="宋体"/>
              </w:rPr>
              <w:t>3.参股企业经营事项决策：（1）一般事项由参股投资主体履行内部决策流程后进行表决；（2）重要事项以及突发风险事项，投资主体及委派人员研究论证后，征求集团归口管理职能部门意见，经投资主体集团分管领导审批同意后，发表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bCs/>
              </w:rPr>
            </w:pPr>
          </w:p>
        </w:tc>
        <w:tc>
          <w:tcPr>
            <w:tcW w:w="793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rPr>
            </w:pPr>
            <w:r>
              <w:rPr>
                <w:rFonts w:hint="eastAsia" w:ascii="宋体" w:hAnsi="宋体"/>
              </w:rPr>
              <w:t>4.参股投资主体应督促参股企业及时分红或履行协议约定的业绩补偿等义务，并加强财务风险监督。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846"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jc w:val="center"/>
              <w:rPr>
                <w:rFonts w:hint="eastAsia" w:ascii="宋体" w:hAnsi="宋体"/>
                <w:b/>
                <w:bCs/>
              </w:rPr>
            </w:pPr>
            <w:r>
              <w:rPr>
                <w:rFonts w:hint="eastAsia" w:ascii="宋体" w:hAnsi="宋体"/>
                <w:b/>
                <w:bCs/>
              </w:rPr>
              <w:t>退出管理</w:t>
            </w:r>
          </w:p>
        </w:tc>
        <w:tc>
          <w:tcPr>
            <w:tcW w:w="793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rPr>
            </w:pPr>
            <w:r>
              <w:rPr>
                <w:rFonts w:hint="eastAsia" w:ascii="宋体" w:hAnsi="宋体"/>
              </w:rPr>
              <w:t>总部资本运营部根据投资目的和参股企业实际经营情况及时提出价值管理建议，采用主动与被动相结合方式实施参股股权退出。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jc w:val="center"/>
              <w:rPr>
                <w:rFonts w:hint="eastAsia" w:ascii="宋体" w:hAnsi="宋体"/>
                <w:b/>
                <w:bCs/>
              </w:rPr>
            </w:pPr>
            <w:r>
              <w:rPr>
                <w:rFonts w:hint="eastAsia" w:ascii="宋体" w:hAnsi="宋体"/>
                <w:b/>
                <w:bCs/>
              </w:rPr>
              <w:t>监督问责</w:t>
            </w:r>
          </w:p>
        </w:tc>
        <w:tc>
          <w:tcPr>
            <w:tcW w:w="793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rPr>
            </w:pPr>
            <w:r>
              <w:rPr>
                <w:rFonts w:hint="eastAsia" w:ascii="宋体" w:hAnsi="宋体"/>
              </w:rPr>
              <w:t>集团法务审计部需对重点参股企业进行投后专项审计。将参股投资事项列入投资主体的各级负责人任期经济责任重点审计内容。</w:t>
            </w:r>
          </w:p>
        </w:tc>
      </w:tr>
    </w:tbl>
    <w:p>
      <w:pPr>
        <w:spacing w:line="500" w:lineRule="exact"/>
        <w:ind w:firstLine="640" w:firstLineChars="200"/>
        <w:outlineLvl w:val="0"/>
        <w:rPr>
          <w:rFonts w:ascii="Times New Roman" w:hAnsi="Times New Roman" w:eastAsia="黑体"/>
          <w:sz w:val="32"/>
          <w:szCs w:val="32"/>
        </w:rPr>
      </w:pPr>
      <w:r>
        <w:rPr>
          <w:rFonts w:ascii="Times New Roman" w:hAnsi="Times New Roman" w:eastAsia="黑体"/>
          <w:sz w:val="32"/>
          <w:szCs w:val="32"/>
        </w:rPr>
        <w:t>三、决策事项</w:t>
      </w:r>
    </w:p>
    <w:p>
      <w:pPr>
        <w:spacing w:line="500" w:lineRule="exact"/>
        <w:ind w:firstLine="640" w:firstLineChars="200"/>
        <w:outlineLvl w:val="0"/>
        <w:rPr>
          <w:rFonts w:ascii="Times New Roman" w:hAnsi="Times New Roman" w:eastAsia="仿宋_GB2312"/>
          <w:sz w:val="32"/>
          <w:szCs w:val="32"/>
        </w:rPr>
      </w:pPr>
      <w:r>
        <w:rPr>
          <w:rFonts w:hint="eastAsia" w:ascii="Times New Roman" w:hAnsi="Times New Roman" w:eastAsia="仿宋_GB2312"/>
          <w:sz w:val="32"/>
          <w:szCs w:val="32"/>
        </w:rPr>
        <w:t>是否同意《四川九洲投资控股集团有限公司参股管理办法（暂行）》，并报绵阳市国资委备案。</w:t>
      </w:r>
    </w:p>
    <w:p>
      <w:pPr>
        <w:spacing w:line="500" w:lineRule="exact"/>
        <w:ind w:firstLine="640" w:firstLineChars="200"/>
        <w:outlineLvl w:val="0"/>
        <w:rPr>
          <w:rFonts w:ascii="Times New Roman" w:hAnsi="Times New Roman" w:eastAsia="黑体"/>
          <w:sz w:val="32"/>
          <w:szCs w:val="32"/>
        </w:rPr>
      </w:pPr>
      <w:r>
        <w:rPr>
          <w:rFonts w:hint="eastAsia" w:ascii="Times New Roman" w:hAnsi="Times New Roman" w:eastAsia="黑体"/>
          <w:sz w:val="32"/>
          <w:szCs w:val="32"/>
        </w:rPr>
        <w:t>四</w:t>
      </w:r>
      <w:r>
        <w:rPr>
          <w:rFonts w:ascii="Times New Roman" w:hAnsi="Times New Roman" w:eastAsia="黑体"/>
          <w:sz w:val="32"/>
          <w:szCs w:val="32"/>
        </w:rPr>
        <w:t>、决策依据</w:t>
      </w:r>
    </w:p>
    <w:p>
      <w:pPr>
        <w:spacing w:line="5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次新拟制参股管理暂行办法，依据《四川九洲投资控股集团有限公司制度管理办法》《四川九洲投资控股集团有限公司核决权限表》及《四川九洲投资控股集团有限公司党委会议事规则（试行）》，需经集团党委会前置审议后提交董事会审批。依据《绵阳市市属国有企业投融资及担保管理暂行办法》，需经绵阳市国资委备案后实施。</w:t>
      </w:r>
    </w:p>
    <w:p>
      <w:pPr>
        <w:spacing w:line="5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以上议案，请予以审议。</w:t>
      </w:r>
    </w:p>
    <w:p>
      <w:pPr>
        <w:spacing w:line="500" w:lineRule="exact"/>
        <w:ind w:firstLine="640" w:firstLineChars="200"/>
        <w:rPr>
          <w:rFonts w:ascii="Times New Roman" w:hAnsi="Times New Roman" w:eastAsia="仿宋_GB2312"/>
          <w:sz w:val="32"/>
          <w:szCs w:val="32"/>
        </w:rPr>
      </w:pPr>
    </w:p>
    <w:p>
      <w:pPr>
        <w:spacing w:line="500" w:lineRule="exact"/>
        <w:ind w:left="1628" w:leftChars="318" w:hanging="960" w:hangingChars="300"/>
        <w:rPr>
          <w:rFonts w:ascii="Times New Roman" w:hAnsi="Times New Roman" w:eastAsia="仿宋_GB2312"/>
          <w:sz w:val="32"/>
          <w:szCs w:val="32"/>
        </w:rPr>
      </w:pPr>
      <w:r>
        <w:rPr>
          <w:rFonts w:ascii="Times New Roman" w:hAnsi="Times New Roman" w:eastAsia="仿宋_GB2312"/>
          <w:sz w:val="32"/>
          <w:szCs w:val="32"/>
        </w:rPr>
        <w:t>附件：</w:t>
      </w:r>
      <w:r>
        <w:rPr>
          <w:rFonts w:hint="eastAsia" w:ascii="Times New Roman" w:hAnsi="Times New Roman" w:eastAsia="仿宋_GB2312"/>
          <w:sz w:val="32"/>
          <w:szCs w:val="32"/>
        </w:rPr>
        <w:t>四川九洲投资控股集团有限公司参股管理办法（暂行）</w:t>
      </w:r>
    </w:p>
    <w:p>
      <w:pPr>
        <w:spacing w:line="500" w:lineRule="exact"/>
        <w:ind w:left="1628" w:leftChars="318" w:hanging="960" w:hangingChars="300"/>
        <w:rPr>
          <w:rFonts w:ascii="Times New Roman" w:hAnsi="Times New Roman" w:eastAsia="仿宋_GB2312"/>
          <w:sz w:val="32"/>
          <w:szCs w:val="32"/>
        </w:rPr>
      </w:pPr>
    </w:p>
    <w:p>
      <w:pPr>
        <w:spacing w:line="460" w:lineRule="exact"/>
        <w:ind w:right="840" w:rightChars="400"/>
        <w:jc w:val="right"/>
        <w:rPr>
          <w:rFonts w:ascii="Times New Roman" w:hAnsi="Times New Roman" w:eastAsia="仿宋_GB2312"/>
          <w:sz w:val="32"/>
          <w:szCs w:val="32"/>
        </w:rPr>
      </w:pPr>
      <w:r>
        <w:rPr>
          <w:rFonts w:hint="eastAsia" w:ascii="Times New Roman" w:hAnsi="Times New Roman" w:eastAsia="仿宋_GB2312"/>
          <w:sz w:val="32"/>
          <w:szCs w:val="32"/>
        </w:rPr>
        <w:t>总部</w:t>
      </w:r>
      <w:r>
        <w:rPr>
          <w:rFonts w:ascii="Times New Roman" w:hAnsi="Times New Roman" w:eastAsia="仿宋_GB2312"/>
          <w:sz w:val="32"/>
          <w:szCs w:val="32"/>
        </w:rPr>
        <w:t>资本运营部</w:t>
      </w:r>
    </w:p>
    <w:p>
      <w:pPr>
        <w:wordWrap w:val="0"/>
        <w:spacing w:line="460" w:lineRule="exact"/>
        <w:ind w:right="420" w:rightChars="200"/>
        <w:jc w:val="right"/>
      </w:pPr>
      <w:r>
        <w:rPr>
          <w:rFonts w:hint="eastAsia" w:ascii="仿宋_GB2312" w:hAnsi="仿宋_GB2312" w:eastAsia="仿宋_GB2312" w:cs="仿宋_GB2312"/>
          <w:sz w:val="32"/>
          <w:szCs w:val="32"/>
        </w:rPr>
        <w:t xml:space="preserve">2024年7月29日 </w:t>
      </w:r>
    </w:p>
    <w:sectPr>
      <w:footerReference r:id="rId3" w:type="default"/>
      <w:pgSz w:w="11906" w:h="16838"/>
      <w:pgMar w:top="2041" w:right="1531" w:bottom="204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华文中宋"/>
    <w:panose1 w:val="02010600030101010101"/>
    <w:charset w:val="86"/>
    <w:family w:val="auto"/>
    <w:pitch w:val="default"/>
    <w:sig w:usb0="00000000" w:usb1="00000000" w:usb2="00000016" w:usb3="00000000" w:csb0="0004000F" w:csb1="00000000"/>
  </w:font>
  <w:font w:name="方正小标宋简体">
    <w:altName w:val="汉仪书宋二KW"/>
    <w:panose1 w:val="03000509000000000000"/>
    <w:charset w:val="86"/>
    <w:family w:val="script"/>
    <w:pitch w:val="default"/>
    <w:sig w:usb0="00000000" w:usb1="00000000" w:usb2="00000010" w:usb3="00000000" w:csb0="00040000" w:csb1="00000000"/>
  </w:font>
  <w:font w:name="仿宋_GB2312">
    <w:altName w:val="汉仪仿宋KW"/>
    <w:panose1 w:val="02010609030101010101"/>
    <w:charset w:val="86"/>
    <w:family w:val="modern"/>
    <w:pitch w:val="default"/>
    <w:sig w:usb0="00000000" w:usb1="00000000" w:usb2="00000010" w:usb3="00000000" w:csb0="00040000" w:csb1="00000000"/>
  </w:font>
  <w:font w:name="楷体_GB2312">
    <w:altName w:val="汉仪楷体KW"/>
    <w:panose1 w:val="02010609030101010101"/>
    <w:charset w:val="86"/>
    <w:family w:val="modern"/>
    <w:pitch w:val="default"/>
    <w:sig w:usb0="00000000" w:usb1="00000000" w:usb2="00000010" w:usb3="00000000" w:csb0="00040000" w:csb1="00000000"/>
  </w:font>
  <w:font w:name="汉仪中等线KW">
    <w:panose1 w:val="01010104010101010101"/>
    <w:charset w:val="86"/>
    <w:family w:val="auto"/>
    <w:pitch w:val="default"/>
    <w:sig w:usb0="800002BF" w:usb1="004F7CFA" w:usb2="00000000" w:usb3="00000000" w:csb0="00040001" w:csb1="00000000"/>
  </w:font>
  <w:font w:name="华文中宋">
    <w:panose1 w:val="02010600040101010101"/>
    <w:charset w:val="86"/>
    <w:family w:val="auto"/>
    <w:pitch w:val="default"/>
    <w:sig w:usb0="00000287" w:usb1="080F0000" w:usb2="00000000" w:usb3="00000000" w:csb0="0004009F" w:csb1="DFD70000"/>
  </w:font>
  <w:font w:name="汉仪仿宋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乐见体">
    <w:panose1 w:val="02020400000000000000"/>
    <w:charset w:val="86"/>
    <w:family w:val="auto"/>
    <w:pitch w:val="default"/>
    <w:sig w:usb0="80000003" w:usb1="08012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7436578"/>
      <w:docPartObj>
        <w:docPartGallery w:val="autotext"/>
      </w:docPartObj>
    </w:sdtPr>
    <w:sdtEndPr>
      <w:rPr>
        <w:rFonts w:ascii="宋体" w:hAnsi="宋体" w:eastAsia="宋体"/>
        <w:sz w:val="28"/>
        <w:szCs w:val="28"/>
      </w:rPr>
    </w:sdtEndPr>
    <w:sdtContent>
      <w:p>
        <w:pPr>
          <w:pStyle w:val="12"/>
          <w:jc w:val="right"/>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p>
    </w:sdtContent>
  </w:sdt>
  <w:p>
    <w:pPr>
      <w:pStyle w:val="12"/>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F6F"/>
    <w:rsid w:val="000328BC"/>
    <w:rsid w:val="00086ECD"/>
    <w:rsid w:val="000B6BDF"/>
    <w:rsid w:val="000C6BE9"/>
    <w:rsid w:val="002E6B60"/>
    <w:rsid w:val="003249DB"/>
    <w:rsid w:val="003840A6"/>
    <w:rsid w:val="004049DE"/>
    <w:rsid w:val="0043450D"/>
    <w:rsid w:val="00535562"/>
    <w:rsid w:val="00686F88"/>
    <w:rsid w:val="0084776B"/>
    <w:rsid w:val="008F2F6F"/>
    <w:rsid w:val="00966989"/>
    <w:rsid w:val="009E60B8"/>
    <w:rsid w:val="00B55C59"/>
    <w:rsid w:val="00C45189"/>
    <w:rsid w:val="00C6146D"/>
    <w:rsid w:val="00CE4E42"/>
    <w:rsid w:val="00CE65E7"/>
    <w:rsid w:val="00E00BFB"/>
    <w:rsid w:val="00F10D9F"/>
    <w:rsid w:val="00F57C71"/>
    <w:rsid w:val="7DE74034"/>
    <w:rsid w:val="7DEF87B4"/>
    <w:rsid w:val="7DFEEC92"/>
    <w:rsid w:val="BF75D6EC"/>
    <w:rsid w:val="DF5E27A1"/>
    <w:rsid w:val="FB941009"/>
    <w:rsid w:val="FDCDC77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14:ligatures w14:val="none"/>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6"/>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11">
    <w:name w:val="Normal Indent"/>
    <w:basedOn w:val="1"/>
    <w:qFormat/>
    <w:uiPriority w:val="0"/>
    <w:pPr>
      <w:ind w:firstLine="420" w:firstLineChars="200"/>
    </w:pPr>
  </w:style>
  <w:style w:type="paragraph" w:styleId="12">
    <w:name w:val="footer"/>
    <w:basedOn w:val="1"/>
    <w:link w:val="40"/>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13">
    <w:name w:val="header"/>
    <w:basedOn w:val="1"/>
    <w:link w:val="39"/>
    <w:unhideWhenUsed/>
    <w:uiPriority w:val="99"/>
    <w:pPr>
      <w:tabs>
        <w:tab w:val="center" w:pos="4153"/>
        <w:tab w:val="right" w:pos="8306"/>
      </w:tabs>
      <w:snapToGrid w:val="0"/>
      <w:jc w:val="center"/>
    </w:pPr>
    <w:rPr>
      <w:rFonts w:asciiTheme="minorHAnsi" w:hAnsiTheme="minorHAnsi" w:eastAsiaTheme="minorEastAsia" w:cstheme="minorBidi"/>
      <w:sz w:val="18"/>
      <w:szCs w:val="18"/>
    </w:rPr>
  </w:style>
  <w:style w:type="paragraph" w:styleId="14">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Body Text 2"/>
    <w:basedOn w:val="1"/>
    <w:link w:val="20"/>
    <w:unhideWhenUsed/>
    <w:qFormat/>
    <w:uiPriority w:val="99"/>
    <w:pPr>
      <w:spacing w:after="120" w:line="480" w:lineRule="auto"/>
    </w:pPr>
    <w:rPr>
      <w:rFonts w:ascii="等线" w:hAnsi="等线" w:eastAsia="等线" w:cstheme="minorBidi"/>
      <w:szCs w:val="24"/>
      <w14:ligatures w14:val="standardContextual"/>
    </w:rPr>
  </w:style>
  <w:style w:type="paragraph" w:styleId="16">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正文文本 2 字符"/>
    <w:basedOn w:val="19"/>
    <w:link w:val="15"/>
    <w:qFormat/>
    <w:uiPriority w:val="99"/>
    <w:rPr>
      <w:rFonts w:ascii="等线" w:hAnsi="等线" w:eastAsia="等线"/>
      <w:szCs w:val="24"/>
    </w:rPr>
  </w:style>
  <w:style w:type="character" w:customStyle="1" w:styleId="21">
    <w:name w:val="标题 1 字符"/>
    <w:basedOn w:val="19"/>
    <w:link w:val="2"/>
    <w:qFormat/>
    <w:uiPriority w:val="9"/>
    <w:rPr>
      <w:rFonts w:asciiTheme="majorHAnsi" w:hAnsiTheme="majorHAnsi" w:eastAsiaTheme="majorEastAsia" w:cstheme="majorBidi"/>
      <w:color w:val="104862" w:themeColor="accent1" w:themeShade="BF"/>
      <w:sz w:val="48"/>
      <w:szCs w:val="48"/>
      <w14:ligatures w14:val="none"/>
    </w:rPr>
  </w:style>
  <w:style w:type="character" w:customStyle="1" w:styleId="22">
    <w:name w:val="标题 2 字符"/>
    <w:basedOn w:val="19"/>
    <w:link w:val="3"/>
    <w:semiHidden/>
    <w:uiPriority w:val="9"/>
    <w:rPr>
      <w:rFonts w:asciiTheme="majorHAnsi" w:hAnsiTheme="majorHAnsi" w:eastAsiaTheme="majorEastAsia" w:cstheme="majorBidi"/>
      <w:color w:val="104862" w:themeColor="accent1" w:themeShade="BF"/>
      <w:sz w:val="40"/>
      <w:szCs w:val="40"/>
      <w14:ligatures w14:val="none"/>
    </w:rPr>
  </w:style>
  <w:style w:type="character" w:customStyle="1" w:styleId="23">
    <w:name w:val="标题 3 字符"/>
    <w:basedOn w:val="19"/>
    <w:link w:val="4"/>
    <w:semiHidden/>
    <w:uiPriority w:val="9"/>
    <w:rPr>
      <w:rFonts w:asciiTheme="majorHAnsi" w:hAnsiTheme="majorHAnsi" w:eastAsiaTheme="majorEastAsia" w:cstheme="majorBidi"/>
      <w:color w:val="104862" w:themeColor="accent1" w:themeShade="BF"/>
      <w:sz w:val="32"/>
      <w:szCs w:val="32"/>
      <w14:ligatures w14:val="none"/>
    </w:rPr>
  </w:style>
  <w:style w:type="character" w:customStyle="1" w:styleId="24">
    <w:name w:val="标题 4 字符"/>
    <w:basedOn w:val="19"/>
    <w:link w:val="5"/>
    <w:semiHidden/>
    <w:uiPriority w:val="9"/>
    <w:rPr>
      <w:rFonts w:cstheme="majorBidi"/>
      <w:color w:val="104862" w:themeColor="accent1" w:themeShade="BF"/>
      <w:sz w:val="28"/>
      <w:szCs w:val="28"/>
      <w14:ligatures w14:val="none"/>
    </w:rPr>
  </w:style>
  <w:style w:type="character" w:customStyle="1" w:styleId="25">
    <w:name w:val="标题 5 字符"/>
    <w:basedOn w:val="19"/>
    <w:link w:val="6"/>
    <w:semiHidden/>
    <w:uiPriority w:val="9"/>
    <w:rPr>
      <w:rFonts w:cstheme="majorBidi"/>
      <w:color w:val="104862" w:themeColor="accent1" w:themeShade="BF"/>
      <w:sz w:val="24"/>
      <w:szCs w:val="24"/>
      <w14:ligatures w14:val="none"/>
    </w:rPr>
  </w:style>
  <w:style w:type="character" w:customStyle="1" w:styleId="26">
    <w:name w:val="标题 6 字符"/>
    <w:basedOn w:val="19"/>
    <w:link w:val="7"/>
    <w:semiHidden/>
    <w:uiPriority w:val="9"/>
    <w:rPr>
      <w:rFonts w:cstheme="majorBidi"/>
      <w:b/>
      <w:bCs/>
      <w:color w:val="104862" w:themeColor="accent1" w:themeShade="BF"/>
      <w:szCs w:val="24"/>
      <w14:ligatures w14:val="none"/>
    </w:rPr>
  </w:style>
  <w:style w:type="character" w:customStyle="1" w:styleId="27">
    <w:name w:val="标题 7 字符"/>
    <w:basedOn w:val="19"/>
    <w:link w:val="8"/>
    <w:semiHidden/>
    <w:uiPriority w:val="9"/>
    <w:rPr>
      <w:rFonts w:cstheme="majorBidi"/>
      <w:b/>
      <w:bCs/>
      <w:color w:val="595959" w:themeColor="text1" w:themeTint="A6"/>
      <w:szCs w:val="24"/>
      <w14:textFill>
        <w14:solidFill>
          <w14:schemeClr w14:val="tx1">
            <w14:lumMod w14:val="65000"/>
            <w14:lumOff w14:val="35000"/>
          </w14:schemeClr>
        </w14:solidFill>
      </w14:textFill>
      <w14:ligatures w14:val="none"/>
    </w:rPr>
  </w:style>
  <w:style w:type="character" w:customStyle="1" w:styleId="28">
    <w:name w:val="标题 8 字符"/>
    <w:basedOn w:val="19"/>
    <w:link w:val="9"/>
    <w:semiHidden/>
    <w:uiPriority w:val="9"/>
    <w:rPr>
      <w:rFonts w:cstheme="majorBidi"/>
      <w:color w:val="595959" w:themeColor="text1" w:themeTint="A6"/>
      <w:szCs w:val="24"/>
      <w14:textFill>
        <w14:solidFill>
          <w14:schemeClr w14:val="tx1">
            <w14:lumMod w14:val="65000"/>
            <w14:lumOff w14:val="35000"/>
          </w14:schemeClr>
        </w14:solidFill>
      </w14:textFill>
      <w14:ligatures w14:val="none"/>
    </w:rPr>
  </w:style>
  <w:style w:type="character" w:customStyle="1" w:styleId="29">
    <w:name w:val="标题 9 字符"/>
    <w:basedOn w:val="19"/>
    <w:link w:val="10"/>
    <w:semiHidden/>
    <w:uiPriority w:val="9"/>
    <w:rPr>
      <w:rFonts w:eastAsiaTheme="majorEastAsia" w:cstheme="majorBidi"/>
      <w:color w:val="595959" w:themeColor="text1" w:themeTint="A6"/>
      <w:szCs w:val="24"/>
      <w14:textFill>
        <w14:solidFill>
          <w14:schemeClr w14:val="tx1">
            <w14:lumMod w14:val="65000"/>
            <w14:lumOff w14:val="35000"/>
          </w14:schemeClr>
        </w14:solidFill>
      </w14:textFill>
      <w14:ligatures w14:val="none"/>
    </w:rPr>
  </w:style>
  <w:style w:type="character" w:customStyle="1" w:styleId="30">
    <w:name w:val="标题 字符"/>
    <w:basedOn w:val="19"/>
    <w:link w:val="16"/>
    <w:uiPriority w:val="10"/>
    <w:rPr>
      <w:rFonts w:asciiTheme="majorHAnsi" w:hAnsiTheme="majorHAnsi" w:eastAsiaTheme="majorEastAsia" w:cstheme="majorBidi"/>
      <w:spacing w:val="-10"/>
      <w:kern w:val="28"/>
      <w:sz w:val="56"/>
      <w:szCs w:val="56"/>
      <w14:ligatures w14:val="none"/>
    </w:rPr>
  </w:style>
  <w:style w:type="character" w:customStyle="1" w:styleId="31">
    <w:name w:val="副标题 字符"/>
    <w:basedOn w:val="19"/>
    <w:link w:val="14"/>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none"/>
    </w:rPr>
  </w:style>
  <w:style w:type="paragraph" w:styleId="32">
    <w:name w:val="Quote"/>
    <w:basedOn w:val="1"/>
    <w:next w:val="1"/>
    <w:link w:val="33"/>
    <w:qFormat/>
    <w:uiPriority w:val="29"/>
    <w:pPr>
      <w:spacing w:before="160" w:after="160"/>
      <w:jc w:val="center"/>
    </w:pPr>
    <w:rPr>
      <w:rFonts w:asciiTheme="minorHAnsi" w:hAnsiTheme="minorHAnsi" w:eastAsiaTheme="minorEastAsia" w:cstheme="minorBidi"/>
      <w:i/>
      <w:iCs/>
      <w:color w:val="404040" w:themeColor="text1" w:themeTint="BF"/>
      <w:szCs w:val="24"/>
      <w14:textFill>
        <w14:solidFill>
          <w14:schemeClr w14:val="tx1">
            <w14:lumMod w14:val="75000"/>
            <w14:lumOff w14:val="25000"/>
          </w14:schemeClr>
        </w14:solidFill>
      </w14:textFill>
    </w:rPr>
  </w:style>
  <w:style w:type="character" w:customStyle="1" w:styleId="33">
    <w:name w:val="引用 字符"/>
    <w:basedOn w:val="19"/>
    <w:link w:val="32"/>
    <w:uiPriority w:val="29"/>
    <w:rPr>
      <w:i/>
      <w:iCs/>
      <w:color w:val="404040" w:themeColor="text1" w:themeTint="BF"/>
      <w:szCs w:val="24"/>
      <w14:textFill>
        <w14:solidFill>
          <w14:schemeClr w14:val="tx1">
            <w14:lumMod w14:val="75000"/>
            <w14:lumOff w14:val="25000"/>
          </w14:schemeClr>
        </w14:solidFill>
      </w14:textFill>
      <w14:ligatures w14:val="none"/>
    </w:rPr>
  </w:style>
  <w:style w:type="paragraph" w:styleId="34">
    <w:name w:val="List Paragraph"/>
    <w:basedOn w:val="1"/>
    <w:qFormat/>
    <w:uiPriority w:val="34"/>
    <w:pPr>
      <w:ind w:left="720"/>
      <w:contextualSpacing/>
    </w:pPr>
    <w:rPr>
      <w:rFonts w:asciiTheme="minorHAnsi" w:hAnsiTheme="minorHAnsi" w:eastAsiaTheme="minorEastAsia" w:cstheme="minorBidi"/>
      <w:szCs w:val="24"/>
    </w:rPr>
  </w:style>
  <w:style w:type="character" w:customStyle="1" w:styleId="35">
    <w:name w:val="Intense Emphasis"/>
    <w:basedOn w:val="19"/>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rFonts w:asciiTheme="minorHAnsi" w:hAnsiTheme="minorHAnsi" w:eastAsiaTheme="minorEastAsia" w:cstheme="minorBidi"/>
      <w:i/>
      <w:iCs/>
      <w:color w:val="104862" w:themeColor="accent1" w:themeShade="BF"/>
      <w:szCs w:val="24"/>
    </w:rPr>
  </w:style>
  <w:style w:type="character" w:customStyle="1" w:styleId="37">
    <w:name w:val="明显引用 字符"/>
    <w:basedOn w:val="19"/>
    <w:link w:val="36"/>
    <w:uiPriority w:val="30"/>
    <w:rPr>
      <w:i/>
      <w:iCs/>
      <w:color w:val="104862" w:themeColor="accent1" w:themeShade="BF"/>
      <w:szCs w:val="24"/>
      <w14:ligatures w14:val="none"/>
    </w:rPr>
  </w:style>
  <w:style w:type="character" w:customStyle="1" w:styleId="38">
    <w:name w:val="Intense Reference"/>
    <w:basedOn w:val="19"/>
    <w:qFormat/>
    <w:uiPriority w:val="32"/>
    <w:rPr>
      <w:b/>
      <w:bCs/>
      <w:smallCaps/>
      <w:color w:val="104862" w:themeColor="accent1" w:themeShade="BF"/>
      <w:spacing w:val="5"/>
    </w:rPr>
  </w:style>
  <w:style w:type="character" w:customStyle="1" w:styleId="39">
    <w:name w:val="页眉 字符"/>
    <w:basedOn w:val="19"/>
    <w:link w:val="13"/>
    <w:qFormat/>
    <w:uiPriority w:val="99"/>
    <w:rPr>
      <w:sz w:val="18"/>
      <w:szCs w:val="18"/>
      <w14:ligatures w14:val="none"/>
    </w:rPr>
  </w:style>
  <w:style w:type="character" w:customStyle="1" w:styleId="40">
    <w:name w:val="页脚 字符"/>
    <w:basedOn w:val="19"/>
    <w:link w:val="12"/>
    <w:qFormat/>
    <w:uiPriority w:val="0"/>
    <w:rPr>
      <w:sz w:val="18"/>
      <w:szCs w:val="18"/>
      <w14:ligatures w14: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255</Words>
  <Characters>1454</Characters>
  <Lines>12</Lines>
  <Paragraphs>3</Paragraphs>
  <TotalTime>16</TotalTime>
  <ScaleCrop>false</ScaleCrop>
  <LinksUpToDate>false</LinksUpToDate>
  <CharactersWithSpaces>1706</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2024-07-31T08:58:00Z</dcterms:created>
  <dc:creator>. Gabrielle</dc:creator>
  <cp:lastModifiedBy>. Gabrielle</cp:lastModifiedBy>
  <dcterms:modified xsi:type="dcterms:W3CDTF">2024-07-31T21:47:47Z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