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E9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  <w:t>九洲科工园区供电质量治理提升改造项目论证报告</w:t>
      </w:r>
    </w:p>
    <w:p w14:paraId="56750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</w:p>
    <w:p w14:paraId="11E33E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项目背景</w:t>
      </w:r>
    </w:p>
    <w:p w14:paraId="5B394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2023年前，九洲科工园从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110kV园艺站引出10kV园九线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（民品区，采用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position w:val="-6"/>
          <w:sz w:val="32"/>
          <w:szCs w:val="40"/>
          <w:lang w:val="en-US" w:eastAsia="zh-CN"/>
        </w:rPr>
        <w:t>*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240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铜芯高压电缆，负荷承载能力约6000kW）和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10kV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经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九线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（军品区，采用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position w:val="-6"/>
          <w:sz w:val="32"/>
          <w:szCs w:val="40"/>
          <w:lang w:val="en-US" w:eastAsia="zh-CN"/>
        </w:rPr>
        <w:t>*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0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铜芯高压电缆，负荷承载能力约7500kW）作为供电系统。2023年，为解决科工园生产用电负荷不足、高可靠性差等问题，集团总部投资近2000万元，完成对科工园区供电系统扩容改造，即：采用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position w:val="-6"/>
          <w:sz w:val="32"/>
          <w:szCs w:val="40"/>
          <w:lang w:val="en-US" w:eastAsia="zh-CN"/>
        </w:rPr>
        <w:t>*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500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铜芯高压电缆从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110kV金家林站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引出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10kV林九1线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（民品区）和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10kV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林九2线（军品区），负荷承载能力均为12000kW左右，军、民品区供电负荷分别扩增6000kW-8000kW，并将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园九线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和经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九线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作为备用电源，九洲电器、九州科技一次性缴纳高可靠性供电费合计190余万元，实现大部分厂房设备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双电源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供电。</w:t>
      </w:r>
    </w:p>
    <w:p w14:paraId="159572E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必要性</w:t>
      </w:r>
    </w:p>
    <w:p w14:paraId="3A83708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由于民品区112</w:t>
      </w:r>
      <w:r>
        <w:rPr>
          <w:rFonts w:hint="eastAsia" w:ascii="Times New Roman" w:hAnsi="Times New Roman" w:eastAsia="仿宋_GB2312" w:cs="Times New Roman"/>
          <w:sz w:val="32"/>
          <w:szCs w:val="40"/>
          <w:vertAlign w:val="superscript"/>
          <w:lang w:val="en-US" w:eastAsia="zh-CN"/>
        </w:rPr>
        <w:t>#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等新建厂房投用时间晚于供电系统扩容改造，且当时无高可靠性供电需求，故未将其供电系统接入备用电源。随着九州科技、九洲电器等产业公司的产能提升及其对产品品控要求的提高，现有供电系统已无法满足其对供电高可靠性和高品质电力的要求，近期出现的电压暂降和互感器熔毁等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突发性供电中断事故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，已对其生产和交付造成较大的经济损失和负面影响。现需对园区供电系统进行系统性改造，以满足其生产用电需求。</w:t>
      </w:r>
    </w:p>
    <w:p w14:paraId="3274E15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原因及需求分析</w:t>
      </w:r>
    </w:p>
    <w:p w14:paraId="377D808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  <w:t>原因分析</w:t>
      </w:r>
    </w:p>
    <w:p w14:paraId="0AE624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供电系统对九州科技等产业公司，生产交付造成较大影响的主要原因是电压暂降、电气故障、备用电源不足和缺乏有效的电力系统运行状态监测手段。</w:t>
      </w:r>
    </w:p>
    <w:p w14:paraId="64854EB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4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  <w:t>需求分析</w:t>
      </w:r>
    </w:p>
    <w:p w14:paraId="21212D4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电压暂降治理</w:t>
      </w:r>
    </w:p>
    <w:p w14:paraId="2A01E2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电压暂降是电网运行过程中无法避免、无法预测的常见隐患，在35kV及以下供电系统中较为频繁，电压暂降的形成的诱因是本供电系统或同源（变电站）其他供电系统遭遇恶劣气象天气（雷击、大风等）、突发故障、大负荷冲击（大功率设备启动）、谐振等4个方面。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u w:val="none"/>
          <w:lang w:val="en-US" w:eastAsia="zh-CN"/>
        </w:rPr>
        <w:t>电能质量电压暂降与短时中断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》（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GB/T 30137-2013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）中明确：电压暂降是指电网电压的有效值突然下降到额定值的90%到10%，持续时间在10ms-1min，不属于供电故障。园区绝大部分设备对电压暂降的耐受能力均低于上述标准。</w:t>
      </w:r>
    </w:p>
    <w:p w14:paraId="3D76697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应急供电保障</w:t>
      </w:r>
    </w:p>
    <w:p w14:paraId="19C390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电气故障是电力系统运行过程中无法避免的低概率风险隐患，故障通常分为高压侧和低压侧，一旦发生，园区供电必将受到较大影响，是制约生产交付有序进行的主要危害因素之一。</w:t>
      </w:r>
    </w:p>
    <w:p w14:paraId="6919C4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（1）高压侧电气故障。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科工园区大部分厂房设备已配置双电源供电系统，一旦发生高压电气故障时，可通过主、备电源切换来规避。主、备电源同时发生故障的概率极低（战争、特大自然灾害等），其造成的影响范围大，恢复周期长，要在此类情况下保障生产交付难度极大，投入成本极高，故不将其纳入本项目需求范畴。</w:t>
      </w:r>
    </w:p>
    <w:p w14:paraId="4AB001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（2）低压侧电气故障。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其特点是突发性、在一定条件下的可预见性，绝大部分故障是由元器件老化、超负荷运行、操作失误、设备质量等原因引发，其造成的影响范围相对较小，抢修恢复周期相对较长（4h—24h），可通过定期检测、维护保养、安装信息化监测系统等措施，有效降低电气故障的发生频率。</w:t>
      </w:r>
    </w:p>
    <w:p w14:paraId="7EBACB8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备用电源不足</w:t>
      </w:r>
    </w:p>
    <w:p w14:paraId="3DE14D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由于军品区231</w:t>
      </w:r>
      <w:r>
        <w:rPr>
          <w:rFonts w:hint="eastAsia" w:ascii="Times New Roman" w:hAnsi="Times New Roman" w:eastAsia="仿宋_GB2312" w:cs="Times New Roman"/>
          <w:sz w:val="32"/>
          <w:szCs w:val="40"/>
          <w:vertAlign w:val="superscript"/>
          <w:lang w:val="en-US" w:eastAsia="zh-CN"/>
        </w:rPr>
        <w:t>#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、民品区112</w:t>
      </w:r>
      <w:r>
        <w:rPr>
          <w:rFonts w:hint="eastAsia" w:ascii="Times New Roman" w:hAnsi="Times New Roman" w:eastAsia="仿宋_GB2312" w:cs="Times New Roman"/>
          <w:sz w:val="32"/>
          <w:szCs w:val="40"/>
          <w:vertAlign w:val="superscript"/>
          <w:lang w:val="en-US" w:eastAsia="zh-CN"/>
        </w:rPr>
        <w:t>#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等新建厂房投用时间晚于供电系统扩容改造，且无高可靠性供电需求，为避免资源浪费，降低项目投资成本，仅将原主供电源10kV园九线（3</w:t>
      </w:r>
      <w:r>
        <w:rPr>
          <w:rFonts w:hint="eastAsia" w:ascii="Times New Roman" w:hAnsi="Times New Roman" w:eastAsia="仿宋_GB2312" w:cs="Times New Roman"/>
          <w:position w:val="-6"/>
          <w:sz w:val="32"/>
          <w:szCs w:val="40"/>
          <w:lang w:val="en-US" w:eastAsia="zh-CN"/>
        </w:rPr>
        <w:t>*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240，负荷承载能力约6000kW），10kV经九线（3*300，负荷承载能力约7000kW），改为备用电源，与新建的主供电源（10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kV林九1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线、2线，均为3</w:t>
      </w:r>
      <w:r>
        <w:rPr>
          <w:rFonts w:hint="eastAsia" w:ascii="Times New Roman" w:hAnsi="Times New Roman" w:eastAsia="仿宋_GB2312" w:cs="Times New Roman"/>
          <w:position w:val="-6"/>
          <w:sz w:val="32"/>
          <w:szCs w:val="40"/>
          <w:lang w:val="en-US" w:eastAsia="zh-CN"/>
        </w:rPr>
        <w:t>*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500，承载能力均约12000kW）构成双电源供电系统。当前军、民品区主要产业公司的产能及其对产品品控要求大幅度提高，现有的备用电源不足，未接入备用电源的厂房设备的供电可靠性和品质相对较差。</w:t>
      </w:r>
    </w:p>
    <w:p w14:paraId="14C65CC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缺乏监测手段</w:t>
      </w:r>
    </w:p>
    <w:p w14:paraId="466262F7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当前园区供电系统仅配置了微机保护装置和部分低压系统监测设备。无法对母排、变压器、断路器等关键电气设备以及变配电站内环境进行有效的监测，无法实时获取电流、电压、频率等电力系统主要运行参数以及环境要素，更无法实现对异常数据进行预报警。</w:t>
      </w:r>
    </w:p>
    <w:p w14:paraId="4F7F046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可行性</w:t>
      </w:r>
    </w:p>
    <w:p w14:paraId="4B5186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经考察调研绵阳京东方、长虹、电科九所等企业，并结合相关专家的意见建议，当前解决生产系统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突发性供电中断事故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的技术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  <w:woUserID w:val="1"/>
        </w:rPr>
        <w:t>十分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成熟，且运用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  <w:woUserID w:val="1"/>
        </w:rPr>
        <w:t>较为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普遍，主要从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40"/>
          <w:lang w:val="en-US" w:eastAsia="zh-CN"/>
        </w:rPr>
        <w:t>高压侧和低压侧两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个方向着手。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高压侧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主要采用“双电源供电+速切开关”，在高压系统出现电压暂降等异常事件时，瞬间切换供电线路进行故障规避，可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有效消除电压暂降等供电异常事件对绝大部分设备的影响，避免出现大范围的电压波动或停电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低压侧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主要采用“超级”电容（DVR、AVSP等稳压装置）或备用电池组（UPS，铅酸或锂电池），在低压系统出现故障（电气设备损毁、谐振等）时，“超级”电容或备用电池组可快速响应，确保电压稳定且短时供电不中断，可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有效消除电压暂降等供电异常事件对少数敏感（电压暂降耐受能力极低）且重要（对生产交付影响大）设备的影响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；具体配置方案及数量根据各产业公司实际情况而定。</w:t>
      </w:r>
    </w:p>
    <w:p w14:paraId="7A51439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投资主体</w:t>
      </w:r>
    </w:p>
    <w:p w14:paraId="281881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高压侧改造由四川九洲投资控股集团有限公司出资，低压侧改造由相关需求单位出资。</w:t>
      </w:r>
    </w:p>
    <w:p w14:paraId="66D0A3B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解决方案</w:t>
      </w:r>
    </w:p>
    <w:p w14:paraId="51926FF9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目前，解决前述问题的技术已较为成熟，结合园区的实际情况，要系统性、全面性、前瞻性地解决园区当前供电系统存在的问题隐患，可分为短期处置、中期改造、长期治理三个阶段进行。</w:t>
      </w:r>
    </w:p>
    <w:p w14:paraId="555E6B06">
      <w:pPr>
        <w:keepNext w:val="0"/>
        <w:keepLines w:val="0"/>
        <w:pageBreakBefore w:val="0"/>
        <w:widowControl w:val="0"/>
        <w:numPr>
          <w:ilvl w:val="0"/>
          <w:numId w:val="4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3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  <w:t>第一阶段：短期处置（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3</w:t>
      </w:r>
      <w:r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  <w:t>个月）</w:t>
      </w:r>
    </w:p>
    <w:p w14:paraId="41D41ACE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由集团出资对军、民品区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高压侧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供电系统进行改造，即：更换高压切换开关，加装电力质量监测设备，对民品区现有备用电源负荷进行优化调整；军、民品区相关产业公司根据本方案建议，结合生产交付的实际情况，自行出资对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低压侧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供电系统进行改造，即：加装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“超级”电容（DVR、AVSP等稳压装置）或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备用电池组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UPS（铅酸或锂电池）。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具体改造方案如下。</w:t>
      </w:r>
    </w:p>
    <w:p w14:paraId="7CE87CE4">
      <w:pPr>
        <w:keepNext w:val="0"/>
        <w:keepLines w:val="0"/>
        <w:pageBreakBefore w:val="0"/>
        <w:widowControl w:val="0"/>
        <w:numPr>
          <w:ilvl w:val="0"/>
          <w:numId w:val="5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3" w:firstLineChars="200"/>
        <w:jc w:val="both"/>
        <w:textAlignment w:val="auto"/>
        <w:outlineLvl w:val="1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更换高压切换开关</w:t>
      </w:r>
    </w:p>
    <w:p w14:paraId="5A2832EC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default"/>
          <w:lang w:val="en-US"/>
        </w:rPr>
      </w:pPr>
      <w:r>
        <w:rPr>
          <w:rFonts w:hint="eastAsia" w:asci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将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军、民品区开闭所内的现有的</w:t>
      </w:r>
      <w:r>
        <w:rPr>
          <w:rFonts w:hint="eastAsia" w:asci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常规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备自投开关更换为快速切换开关</w:t>
      </w:r>
      <w:r>
        <w:rPr>
          <w:rFonts w:hint="eastAsia" w:asci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，减少主备电源切换时间，可确保园区绝大部分设备有效规避电压暂降等异常电力事件。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快速切换开关的适配功率按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12000kW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计，军、民品区各安装一套，每套改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造费用约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20万元，合计约4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0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万元（含配件及辅材）。</w:t>
      </w:r>
    </w:p>
    <w:p w14:paraId="0E055472">
      <w:pPr>
        <w:keepNext w:val="0"/>
        <w:keepLines w:val="0"/>
        <w:pageBreakBefore w:val="0"/>
        <w:widowControl w:val="0"/>
        <w:numPr>
          <w:ilvl w:val="0"/>
          <w:numId w:val="5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3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加装电力质量监测设备</w:t>
      </w:r>
    </w:p>
    <w:p w14:paraId="7E7946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Arial" w:hAnsi="Arial" w:eastAsia="仿宋_GB2312" w:cs="Arial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对园区主供电源进线、部分重要变压器加装电力质量监测设备，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实现对</w:t>
      </w:r>
      <w:r>
        <w:rPr>
          <w:rFonts w:hint="eastAsia" w:asci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其运行状态和电力质量的</w:t>
      </w:r>
      <w:r>
        <w:rPr>
          <w:rFonts w:hint="eastAsia" w:ascii="仿宋_GB2312" w:hAnsi="Calibri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监测、预报警，为故障分析和系统的优化改造提供数据支撑。</w:t>
      </w:r>
      <w:r>
        <w:rPr>
          <w:rFonts w:hint="eastAsia" w:ascii="Arial" w:hAnsi="Arial" w:eastAsia="仿宋_GB2312" w:cs="Arial"/>
          <w:sz w:val="32"/>
          <w:szCs w:val="32"/>
          <w:lang w:val="en-US" w:eastAsia="zh-CN"/>
        </w:rPr>
        <w:t>在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军、民品区</w:t>
      </w:r>
      <w:r>
        <w:rPr>
          <w:rFonts w:hint="eastAsia" w:ascii="Arial" w:hAnsi="Arial" w:eastAsia="仿宋_GB2312" w:cs="Arial"/>
          <w:sz w:val="32"/>
          <w:szCs w:val="32"/>
          <w:lang w:val="en-US" w:eastAsia="zh-CN"/>
        </w:rPr>
        <w:t>电源进线各安装一套电力</w:t>
      </w:r>
      <w:r>
        <w:rPr>
          <w:rFonts w:hint="default" w:ascii="Arial" w:hAnsi="Arial" w:eastAsia="仿宋_GB2312" w:cs="Arial"/>
          <w:sz w:val="32"/>
          <w:szCs w:val="32"/>
          <w:lang w:val="en-US" w:eastAsia="zh-CN"/>
        </w:rPr>
        <w:t>智慧监测系统（带波形记录、处理）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，每套8.5万元，小计17万元；园区内现有变压器35台套，本次先对重要的10台套变压器安装电力（变压器）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智慧监测系统（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不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带波形记录、处理）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，每套1.8万元，小计18万元；上述两项合计35万元。</w:t>
      </w:r>
    </w:p>
    <w:p w14:paraId="160EF754">
      <w:pPr>
        <w:keepNext w:val="0"/>
        <w:keepLines w:val="0"/>
        <w:pageBreakBefore w:val="0"/>
        <w:widowControl w:val="0"/>
        <w:numPr>
          <w:ilvl w:val="0"/>
          <w:numId w:val="5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3" w:firstLineChars="200"/>
        <w:jc w:val="both"/>
        <w:textAlignment w:val="auto"/>
        <w:outlineLvl w:val="1"/>
        <w:rPr>
          <w:rFonts w:hint="default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增加临时备用电源</w:t>
      </w:r>
    </w:p>
    <w:p w14:paraId="4AA89C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Arial" w:hAnsi="Arial" w:eastAsia="仿宋_GB2312" w:cs="Arial"/>
          <w:sz w:val="32"/>
          <w:szCs w:val="32"/>
          <w:lang w:val="en-US" w:eastAsia="zh-CN"/>
        </w:rPr>
        <w:t>为短期解决民品区备用电源用量不足的问题，避免现有主供电源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（10kV林九1线）出现故障对民品区单电源供电区域（112#、113#、114#、食堂、宿舍）生产和生活的不利影响，经与民品区相关产业公司沟通确认，拟通过协调或租赁柴油发电机（2—3台，约2600kVA-3600kVA），用于保障故障期间的供电。</w:t>
      </w:r>
    </w:p>
    <w:p w14:paraId="37F28944">
      <w:pPr>
        <w:keepNext w:val="0"/>
        <w:keepLines w:val="0"/>
        <w:pageBreakBefore w:val="0"/>
        <w:widowControl w:val="0"/>
        <w:numPr>
          <w:ilvl w:val="0"/>
          <w:numId w:val="5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3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低压侧供电系统改造</w:t>
      </w:r>
    </w:p>
    <w:p w14:paraId="622D3CA3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利用电容或电池的储能以及输出电力质量十分稳定特性，在电网电压降低时，释放电容或电池内存储的电能进行供电，瞬间切换，可在一定时间内（具体根据电容或电池配置数量而定）保持设备稳定供电。</w:t>
      </w:r>
    </w:p>
    <w:p w14:paraId="3DBF3762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以九州科技的需求为例：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  <w:t>要完全避免电压暂降对生产交付影响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；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在发生短期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（4h—24h）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电气故障时，其在产、在试产品顺利完成当前生产工序和试验，做到有序停产、停电。目前能满足需求且经济性、稳定性相对较好的技术手段，只有配备应急电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源UPS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铅酸或锂电池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。</w:t>
      </w:r>
    </w:p>
    <w:p w14:paraId="2C0A3F82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根据九州科技当前提供的设备参数进行UPS配置，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温循设备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的备用电源时长要达到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4h以上，SMT及其他设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备的备用电源时长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要达到0.5h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以上。</w:t>
      </w:r>
    </w:p>
    <w:p w14:paraId="14B04CD2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default" w:ascii="Times New Roman" w:hAnsi="Times New Roman" w:eastAsia="仿宋_GB2312" w:cs="Times New Roman"/>
          <w:sz w:val="32"/>
          <w:szCs w:val="40"/>
          <w:lang w:eastAsia="zh-CN"/>
          <w:woUserID w:val="2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九州科技优先实施此项改造，可基本解决其重要生产设备供电质量的稳定性需求；可避免无效的短期改造投入，有效缩短整个项目的实施周期，减少施工停电频次，降低项目投资成本；可将本项目对民品区供电稳定性、可靠性影响降至最低。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  <w:woUserID w:val="2"/>
        </w:rPr>
        <w:t>目前，九州科技正在对改造方案进行优化完善。</w:t>
      </w:r>
    </w:p>
    <w:p w14:paraId="67E7B8F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仿宋_GB2312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2"/>
        </w:rPr>
        <w:t>第一阶段集团总部需投资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75万元，用于高压侧改造。</w:t>
      </w:r>
    </w:p>
    <w:p w14:paraId="4A198118">
      <w:pPr>
        <w:keepNext w:val="0"/>
        <w:keepLines w:val="0"/>
        <w:pageBreakBefore w:val="0"/>
        <w:widowControl w:val="0"/>
        <w:numPr>
          <w:ilvl w:val="0"/>
          <w:numId w:val="4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3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  <w:t>第二阶段：中期改造（8个月）</w:t>
      </w:r>
    </w:p>
    <w:p w14:paraId="7D8015D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2023年园区实施电力扩容改造后，保留了原经九线（军品区，3*300，有效负载能力约7000kW）和园九线（民品区，3*240，有效负载能力约6000kW）作为园区备用电源。因民品备用电源容量有限，112</w:t>
      </w:r>
      <w:r>
        <w:rPr>
          <w:rFonts w:hint="eastAsia" w:ascii="Times New Roman" w:hAnsi="Times New Roman" w:eastAsia="仿宋_GB2312" w:cs="Times New Roman"/>
          <w:sz w:val="32"/>
          <w:szCs w:val="40"/>
          <w:vertAlign w:val="superscript"/>
          <w:lang w:val="en-US" w:eastAsia="zh-CN"/>
        </w:rPr>
        <w:t>#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、113</w:t>
      </w:r>
      <w:r>
        <w:rPr>
          <w:rFonts w:hint="eastAsia" w:ascii="Times New Roman" w:hAnsi="Times New Roman" w:eastAsia="仿宋_GB2312" w:cs="Times New Roman"/>
          <w:sz w:val="32"/>
          <w:szCs w:val="40"/>
          <w:vertAlign w:val="superscript"/>
          <w:lang w:val="en-US" w:eastAsia="zh-CN"/>
        </w:rPr>
        <w:t>#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、114</w:t>
      </w:r>
      <w:r>
        <w:rPr>
          <w:rFonts w:hint="eastAsia" w:ascii="Times New Roman" w:hAnsi="Times New Roman" w:eastAsia="仿宋_GB2312" w:cs="Times New Roman"/>
          <w:sz w:val="32"/>
          <w:szCs w:val="40"/>
          <w:vertAlign w:val="superscript"/>
          <w:lang w:val="en-US" w:eastAsia="zh-CN"/>
        </w:rPr>
        <w:t>#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、食堂</w:t>
      </w:r>
      <w:r>
        <w:rPr>
          <w:rFonts w:hint="eastAsia" w:ascii="Arial" w:hAnsi="Arial" w:eastAsia="仿宋_GB2312" w:cs="Arial"/>
          <w:sz w:val="32"/>
          <w:szCs w:val="32"/>
          <w:lang w:val="en-US" w:eastAsia="zh-CN"/>
        </w:rPr>
        <w:t>、宿舍实行单电源供电。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目前，民品区主要产业公司的产能、品控要求和对供电的高可靠性进一步提高，备用供电负荷容量已无法满足其需求，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  <w:t>建议由集团出资对民品区备用电源进行改造。</w:t>
      </w:r>
    </w:p>
    <w:p w14:paraId="0C98329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"/>
        </w:rPr>
        <w:t>民品区备用电源扩容改造方案为：</w:t>
      </w:r>
      <w:r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从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"/>
        </w:rPr>
        <w:t>110kV</w:t>
      </w:r>
      <w:r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园艺站</w:t>
      </w:r>
      <w:r>
        <w:rPr>
          <w:rFonts w:hint="default" w:ascii="仿宋_GB2312" w:hAnsi="Times New Roman" w:eastAsia="仿宋_GB2312" w:cs="仿宋_GB2312"/>
          <w:color w:val="auto"/>
          <w:kern w:val="2"/>
          <w:sz w:val="32"/>
          <w:szCs w:val="32"/>
          <w:highlight w:val="none"/>
          <w:lang w:eastAsia="zh-CN" w:bidi="ar"/>
          <w:woUserID w:val="2"/>
        </w:rPr>
        <w:t>（或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eastAsia="zh-CN" w:bidi="ar"/>
        </w:rPr>
        <w:t>220kV永兴站）</w:t>
      </w:r>
      <w:r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新建一路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"/>
        </w:rPr>
        <w:t>10kV电</w:t>
      </w:r>
      <w:r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源（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3*500，有效负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"/>
        </w:rPr>
        <w:t>载能力约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"/>
        </w:rPr>
        <w:t>12000kW）到民品区</w:t>
      </w:r>
      <w:r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，确保民品区主、备供电源的承载能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"/>
        </w:rPr>
        <w:t>力一致，</w:t>
      </w:r>
      <w:r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实现民品区所有生产负荷的双电源供电，彻底解决民品区供电的高可靠性需求。</w:t>
      </w:r>
    </w:p>
    <w:p w14:paraId="3F29F3E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Times New Roman" w:eastAsia="仿宋_GB2312" w:cs="仿宋_GB2312"/>
          <w:color w:val="auto"/>
          <w:kern w:val="2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对于军品区，虽然九洲电器当前无备用电源扩容需求，但考虑到军品区未来产业发展，建议在民品区备用电源扩容改造后，将园九线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"/>
          <w:woUserID w:val="2"/>
        </w:rPr>
        <w:t>予以保留，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用作民品区食堂、宿舍的主供电源（单电源供电），电缆保持带载状态有利于延缓绝缘老化和性能衰减。待军品区有备用负荷扩容需求时，将园九线延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"/>
        </w:rPr>
        <w:t>长至军品区，接入九洲电器新建厂房的变电站，九洲电器在新建厂房时只需预留出足够的安装场地即可。</w:t>
      </w:r>
    </w:p>
    <w:p w14:paraId="041795C6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outlineLvl w:val="1"/>
        <w:rPr>
          <w:rFonts w:hint="default" w:ascii="仿宋_GB2312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  <w:woUserID w:val="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经测算从110kV园艺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val="en-US" w:eastAsia="zh-CN" w:bidi="ar"/>
          <w:woUserID w:val="2"/>
        </w:rPr>
        <w:t>站（或220kV永兴站）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至民品区开闭所距离约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3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.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5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km-4km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3*500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铜芯高压电缆价格约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1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4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00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元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/m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电缆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预算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为490万元-56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0万元，新建电缆通道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长度暂按3.5km-4km计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，采取“顶管”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或“开挖”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工艺，造价约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6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00元/米，施工费约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210万元-240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万元，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电缆熔接、敷设、施工设计、造价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费用约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1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0万元，改造费用约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820万元-92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0万元；按照川价工〔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2004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〕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43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号文件及川发价格〔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2016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〕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482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号文件规定，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“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双电源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”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供电用户需按变压器总容</w:t>
      </w:r>
      <w:r>
        <w:rPr>
          <w:rFonts w:hint="eastAsia" w:ascii="仿宋_GB2312" w:hAnsi="Arial" w:eastAsia="仿宋_GB2312" w:cs="仿宋_GB2312"/>
          <w:kern w:val="2"/>
          <w:sz w:val="32"/>
          <w:szCs w:val="32"/>
          <w:lang w:val="en-US" w:eastAsia="zh-CN" w:bidi="ar"/>
          <w:woUserID w:val="2"/>
        </w:rPr>
        <w:t>量</w:t>
      </w:r>
      <w:r>
        <w:rPr>
          <w:rFonts w:hint="eastAsia" w:ascii="仿宋_GB2312" w:hAnsi="Arial" w:eastAsia="仿宋_GB2312" w:cs="仿宋_GB2312"/>
          <w:b/>
          <w:bCs/>
          <w:kern w:val="2"/>
          <w:sz w:val="32"/>
          <w:szCs w:val="32"/>
          <w:lang w:val="en-US" w:eastAsia="zh-CN" w:bidi="ar"/>
          <w:woUserID w:val="2"/>
        </w:rPr>
        <w:t>一次性</w:t>
      </w:r>
      <w:r>
        <w:rPr>
          <w:rFonts w:hint="eastAsia" w:ascii="仿宋_GB2312" w:hAnsi="Arial" w:eastAsia="仿宋_GB2312" w:cs="仿宋_GB2312"/>
          <w:kern w:val="2"/>
          <w:sz w:val="32"/>
          <w:szCs w:val="32"/>
          <w:lang w:val="en-US" w:eastAsia="zh-CN" w:bidi="ar"/>
          <w:woUserID w:val="2"/>
        </w:rPr>
        <w:t>缴纳高可靠性供电费，费用标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准为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120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元/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k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VA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，民品区现有变压器总容量约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21000kVA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，需缴纳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  <w:woUserID w:val="2"/>
        </w:rPr>
        <w:t>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252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  <w:woUserID w:val="2"/>
        </w:rPr>
        <w:t>万元</w:t>
      </w:r>
      <w:r>
        <w:rPr>
          <w:rFonts w:hint="eastAsia" w:ascii="仿宋_GB2312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  <w:woUserID w:val="2"/>
        </w:rPr>
        <w:t>；2023年军、民品区高可靠性费用分别由九洲电器、九州科技承担，此次民品区备用电源扩容改造所产生的高可靠性费用，建议仍由九州科技承担。</w:t>
      </w:r>
    </w:p>
    <w:p w14:paraId="42B1B41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第二阶段集团总部需投资约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820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万元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"/>
          <w:woUserID w:val="2"/>
        </w:rPr>
        <w:t>-920万元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  <w:woUserID w:val="2"/>
        </w:rPr>
        <w:t>，九州科技需缴纳高可靠性供电费约252万元。</w:t>
      </w:r>
    </w:p>
    <w:p w14:paraId="2B72CD4A">
      <w:pPr>
        <w:keepNext w:val="0"/>
        <w:keepLines w:val="0"/>
        <w:pageBreakBefore w:val="0"/>
        <w:widowControl w:val="0"/>
        <w:numPr>
          <w:ilvl w:val="0"/>
          <w:numId w:val="4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3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  <w:t>第三阶段：长期治理（2～3年）</w:t>
      </w:r>
    </w:p>
    <w:p w14:paraId="7EFB0B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40"/>
          <w:highlight w:val="yellow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电力等能源动力系统要实现长期安全、稳定、高效运行，就必须在管理、运维方面进行不断投入和改进。当前，园区能源动力系统在管理和运维方面还存在以下四个方面的问题，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缺乏必要的监测手段，对系统运行状态的实时感知能力低，无法获取有效的数据进行能效提升、故障预判和隐患分析治理；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二是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自动化、数字（智能）化程度低，绝大部分设备仍依靠人工启停和巡检，效率低、运维效果差；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三是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运维值守人员（截至2024年7月，共31人）年龄偏大，到2028年超50%的人员将退休，无法满足人工值守的最低运行标准；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40"/>
          <w:lang w:val="en-US" w:eastAsia="zh-CN"/>
        </w:rPr>
        <w:t>四是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人员整体技能水平偏低，高中及以下学历占比高达97%，难以胜任数字化运维管理工作。为满足园区供电质量的高可靠性、高稳定性要求，提升能源动力管理水平和风险隐患治理能力，建议适时启动园区能源动力系统数字化改造工作。</w:t>
      </w:r>
    </w:p>
    <w:p w14:paraId="1B066E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通过对能源动力系统运行数据的采集分析、大部分系统的自动化、数字化改造、运行环境的实时监测，可实现对主要运行参数以及环境要素的监测、记录和分析，对异常数据进行预报警。实施时保证监测系统的开放性和兼容性，以便于数据信息的交互和系统的更新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val="en-US" w:eastAsia="zh-CN"/>
        </w:rPr>
        <w:t>迭代。</w:t>
      </w:r>
    </w:p>
    <w:p w14:paraId="135F9A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综上所述，完成第一，二阶段的改造提升工作，集团总部需投资约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  <w:woUserID w:val="2"/>
        </w:rPr>
        <w:t>89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5万元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CN"/>
          <w:woUserID w:val="2"/>
        </w:rPr>
        <w:t>-995万元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，施工周期约8～10个月。结合第一，二阶段实施后的实际运行情况，开展第三阶段数字化能源动力系统的调研，并适时启动改造。</w:t>
      </w:r>
    </w:p>
    <w:p w14:paraId="16423F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项目预期效益</w:t>
      </w:r>
    </w:p>
    <w:p w14:paraId="1DA714BD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第一阶段改造实施后，园区内非电压敏感性（常规）生产设备在电压暂降等供电异常事件发生时，不再出现频闪、重启、断电、损坏等情况。</w:t>
      </w:r>
    </w:p>
    <w:p w14:paraId="3F267272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第二阶段改造实施后，可实现民品区所有生产、办公用电负荷双电源供电，可杜绝大范围、长时间停电情况的出现。</w:t>
      </w:r>
    </w:p>
    <w:p w14:paraId="5DD18760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在相关产业公司为其电压敏感性设备配置应急电源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UPS后，可确保其相关设备不出现突发性供电中断；在突发性电气故障发生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后，可确保其在产、在试产品能顺利完成当前工序和试验，做到有序停产、停电，避免因断电而导致产品出现残损或报废情况。</w:t>
      </w:r>
    </w:p>
    <w:p w14:paraId="56D7F040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第三阶段改造实施后，</w:t>
      </w:r>
      <w:r>
        <w:rPr>
          <w:rFonts w:hint="eastAsia" w:ascii="Times New Roman" w:hAnsi="Times New Roman" w:eastAsia="仿宋_GB2312" w:cs="Times New Roman"/>
          <w:sz w:val="32"/>
          <w:szCs w:val="40"/>
          <w:highlight w:val="none"/>
          <w:lang w:val="en-US" w:eastAsia="zh-CN"/>
        </w:rPr>
        <w:t>通过对能源动力系统运行数据的采集分析、大部分系统的自动化、数字化改造、运行环境的实时监测，可实现对主要运行参数以及环境要素的监测、记录和分析，对异常数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highlight w:val="none"/>
          <w:lang w:val="en-US" w:eastAsia="zh-CN"/>
        </w:rPr>
        <w:t>据进行预报警，提升能源动力隐患治理、节能降耗能力，切实提高园区能源保障的高可靠性。</w:t>
      </w:r>
    </w:p>
    <w:p w14:paraId="51BB64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</w:p>
    <w:p w14:paraId="5254C4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</w:p>
    <w:p w14:paraId="60464B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eastAsia="zh-CN"/>
        </w:rPr>
      </w:pPr>
    </w:p>
    <w:p w14:paraId="4172D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440" w:firstLineChars="17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园区服务中心</w:t>
      </w:r>
    </w:p>
    <w:p w14:paraId="37F045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120" w:firstLineChars="16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2024年8月9日</w:t>
      </w:r>
    </w:p>
    <w:bookmarkEnd w:id="0"/>
    <w:p w14:paraId="74000F75">
      <w:pPr>
        <w:rPr>
          <w:rFonts w:hint="eastAsia" w:ascii="方正小标宋简体" w:hAnsi="方正小标宋简体" w:eastAsia="方正小标宋简体" w:cs="方正小标宋简体"/>
          <w:kern w:val="2"/>
          <w:sz w:val="36"/>
          <w:szCs w:val="44"/>
          <w:lang w:val="en-US" w:eastAsia="zh-CN" w:bidi="ar-SA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85D2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E8C004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E8C004">
                    <w:pPr>
                      <w:pStyle w:val="4"/>
                      <w:rPr>
                        <w:rFonts w:hint="default" w:ascii="Times New Roman" w:hAnsi="Times New Roman" w:cs="Times New Roman"/>
                        <w:sz w:val="2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248D38"/>
    <w:multiLevelType w:val="singleLevel"/>
    <w:tmpl w:val="8E248D3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A07BDECE"/>
    <w:multiLevelType w:val="singleLevel"/>
    <w:tmpl w:val="A07BDEC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AA5C58E3"/>
    <w:multiLevelType w:val="singleLevel"/>
    <w:tmpl w:val="AA5C58E3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>
    <w:nsid w:val="10007FC6"/>
    <w:multiLevelType w:val="singleLevel"/>
    <w:tmpl w:val="10007FC6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440477CE"/>
    <w:multiLevelType w:val="singleLevel"/>
    <w:tmpl w:val="440477C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>
    <w:nsid w:val="7E4D65E5"/>
    <w:multiLevelType w:val="singleLevel"/>
    <w:tmpl w:val="7E4D65E5"/>
    <w:lvl w:ilvl="0" w:tentative="0">
      <w:start w:val="1"/>
      <w:numFmt w:val="chineseCounting"/>
      <w:suff w:val="nothing"/>
      <w:lvlText w:val="（%1）"/>
      <w:lvlJc w:val="left"/>
      <w:rPr>
        <w:rFonts w:hint="eastAsia" w:ascii="仿宋_GB2312" w:hAnsi="仿宋_GB2312" w:eastAsia="仿宋_GB2312" w:cs="仿宋_GB2312"/>
        <w:sz w:val="32"/>
        <w:szCs w:val="32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iMTFiMjExMWUzMGI2MGQyNjkyNzAwZDhlNWRkMTkifQ=="/>
  </w:docVars>
  <w:rsids>
    <w:rsidRoot w:val="00000000"/>
    <w:rsid w:val="038B5B7A"/>
    <w:rsid w:val="097B799E"/>
    <w:rsid w:val="0EA24FB8"/>
    <w:rsid w:val="130C41B6"/>
    <w:rsid w:val="176B5A75"/>
    <w:rsid w:val="17BF1A20"/>
    <w:rsid w:val="194D0550"/>
    <w:rsid w:val="1B084E8C"/>
    <w:rsid w:val="1B0D7FB6"/>
    <w:rsid w:val="1ECE699F"/>
    <w:rsid w:val="2065456C"/>
    <w:rsid w:val="20FC42F5"/>
    <w:rsid w:val="21F271D0"/>
    <w:rsid w:val="23D5432C"/>
    <w:rsid w:val="23ED78C8"/>
    <w:rsid w:val="243A027B"/>
    <w:rsid w:val="24415FD3"/>
    <w:rsid w:val="255908BC"/>
    <w:rsid w:val="255F65A3"/>
    <w:rsid w:val="28500CF4"/>
    <w:rsid w:val="2A306760"/>
    <w:rsid w:val="2CC7363E"/>
    <w:rsid w:val="2FDA48BA"/>
    <w:rsid w:val="37F25055"/>
    <w:rsid w:val="392E47B3"/>
    <w:rsid w:val="3A074E85"/>
    <w:rsid w:val="3E6508B9"/>
    <w:rsid w:val="3E653648"/>
    <w:rsid w:val="439058DA"/>
    <w:rsid w:val="43C118AA"/>
    <w:rsid w:val="43F056E0"/>
    <w:rsid w:val="475172AC"/>
    <w:rsid w:val="475B4BD9"/>
    <w:rsid w:val="483677E3"/>
    <w:rsid w:val="48583A74"/>
    <w:rsid w:val="4A705F31"/>
    <w:rsid w:val="4D265A75"/>
    <w:rsid w:val="52034C75"/>
    <w:rsid w:val="52E72867"/>
    <w:rsid w:val="55676D3E"/>
    <w:rsid w:val="56AE2637"/>
    <w:rsid w:val="57183488"/>
    <w:rsid w:val="58DC57AF"/>
    <w:rsid w:val="58FA7D53"/>
    <w:rsid w:val="5B722A39"/>
    <w:rsid w:val="63793DAF"/>
    <w:rsid w:val="65DE4ED2"/>
    <w:rsid w:val="68C01D11"/>
    <w:rsid w:val="6B954F04"/>
    <w:rsid w:val="714F2AA4"/>
    <w:rsid w:val="744C487A"/>
    <w:rsid w:val="761B5232"/>
    <w:rsid w:val="7789765C"/>
    <w:rsid w:val="786647BB"/>
    <w:rsid w:val="7F517E80"/>
    <w:rsid w:val="7FFF3731"/>
    <w:rsid w:val="85F7AB62"/>
    <w:rsid w:val="DFFF8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="100" w:afterLines="100" w:afterAutospacing="0" w:line="560" w:lineRule="exact"/>
      <w:jc w:val="center"/>
      <w:outlineLvl w:val="0"/>
    </w:pPr>
    <w:rPr>
      <w:rFonts w:hint="eastAsia" w:ascii="宋体" w:hAnsi="宋体" w:eastAsia="宋体"/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81"/>
    <w:basedOn w:val="8"/>
    <w:qFormat/>
    <w:uiPriority w:val="0"/>
    <w:rPr>
      <w:rFonts w:hint="eastAsia" w:ascii="仿宋_GB2312" w:eastAsia="仿宋_GB2312" w:cs="仿宋_GB2312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4749</Words>
  <Characters>5124</Characters>
  <Lines>0</Lines>
  <Paragraphs>0</Paragraphs>
  <TotalTime>0</TotalTime>
  <ScaleCrop>false</ScaleCrop>
  <LinksUpToDate>false</LinksUpToDate>
  <CharactersWithSpaces>5125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2023-05-12T00:42:00Z</dcterms:created>
  <dc:creator>admin</dc:creator>
  <cp:lastModifiedBy>落叶知秋</cp:lastModifiedBy>
  <dcterms:modified xsi:type="dcterms:W3CDTF">2024-08-09T06:11:27Z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B8DD5B8F188646A6973259F247E668A0_13</vt:lpwstr>
  </property>
</Properties>
</file>