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rFonts w:ascii="黑体" w:hAnsi="宋体" w:eastAsia="黑体" w:cs="黑体"/>
          <w:color w:val="000000"/>
          <w:kern w:val="0"/>
          <w:sz w:val="43"/>
          <w:szCs w:val="43"/>
          <w:lang w:val="en-US" w:eastAsia="zh-CN" w:bidi="ar"/>
        </w:rPr>
      </w:pPr>
      <w:r>
        <w:rPr>
          <w:rFonts w:ascii="黑体" w:hAnsi="宋体" w:eastAsia="黑体" w:cs="黑体"/>
          <w:color w:val="000000"/>
          <w:kern w:val="0"/>
          <w:sz w:val="43"/>
          <w:szCs w:val="43"/>
          <w:lang w:val="en-US" w:eastAsia="zh-CN" w:bidi="ar"/>
        </w:rPr>
        <w:t>“加速推进九洲集团数字化转型”</w:t>
      </w:r>
    </w:p>
    <w:p>
      <w:pPr>
        <w:keepNext w:val="0"/>
        <w:keepLines w:val="0"/>
        <w:widowControl/>
        <w:suppressLineNumbers w:val="0"/>
        <w:jc w:val="center"/>
        <w:rPr>
          <w:rFonts w:hint="default"/>
          <w:lang w:val="en-US"/>
        </w:rPr>
      </w:pPr>
      <w:r>
        <w:rPr>
          <w:rFonts w:ascii="黑体" w:hAnsi="宋体" w:eastAsia="黑体" w:cs="黑体"/>
          <w:color w:val="000000"/>
          <w:kern w:val="0"/>
          <w:sz w:val="43"/>
          <w:szCs w:val="43"/>
          <w:lang w:val="en-US" w:eastAsia="zh-CN" w:bidi="ar"/>
        </w:rPr>
        <w:t>课题</w:t>
      </w:r>
      <w:r>
        <w:rPr>
          <w:rFonts w:hint="eastAsia" w:ascii="黑体" w:hAnsi="宋体" w:eastAsia="黑体" w:cs="黑体"/>
          <w:color w:val="000000"/>
          <w:kern w:val="0"/>
          <w:sz w:val="43"/>
          <w:szCs w:val="43"/>
          <w:lang w:val="en-US" w:eastAsia="zh-CN" w:bidi="ar"/>
        </w:rPr>
        <w:t>报告</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课题背景</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640" w:leftChars="0" w:firstLine="0" w:firstLineChars="0"/>
        <w:textAlignment w:val="auto"/>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概念简述</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数字化转型是企业在全球数字化变革的背景下，为适应数字经济环境下企业生存发展和市场变化的需要，对企业进行的主动地、系统性、整体性的转型升级。是通过新一代数字技术的深入应用，构建一个全面感知、无缝连接、高度智能的数字孪生企业，进而以数字仿真，优化再造物理世界的企业，对传统管理模式、业务模式、商业模式进行创新和变革，实现企业业务的持续增长与发展。</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640" w:leftChars="0" w:firstLine="0" w:firstLineChars="0"/>
        <w:textAlignment w:val="auto"/>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趋势背景</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数字化转型上升为国家战略。国家自2017年以来已经连续六年将“数字经济”写入政府工作报告，并在十四五规划纲要中提出“以数字化转型整体驱动生产方式、生活方式和治理方式变革”，数字化转型从企业（组织）层面上升为国家战略。2020年9月，为贯彻落实习近平总书记关于推动数字经济和实体经济融合发展的重要指示精神，落实党中央、国务院关于推动新一代信息技术与制造业深度融合，打造数字经济新优势等决策部署，国务院国资委正式印发《关于加快推进国有企业数字化转型工作的通知》，强调要深入领会习近平总书记关于推动数字经济和实体经济融合发展的重要指示精神，把国有企业数字化转型作为新一轮产业变革浪潮中的重要任务。</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大型企业数字化转型步入“快车道”。当今，企业数字化转型已经被越来越多的企业所认知，越来越多的企业开始主动拥抱数字化转型。海康威视、浙江大华都是数字化转型较为成功的企业，通过数字化转型，他们在客户体验价值提升和业务运营效率提升方面取得了显著效果，业务领域持续拓展，经营规模高速增长。9月底，九洲集团领导班子率队前往两家公司调研学习，找到</w:t>
      </w:r>
      <w:r>
        <w:rPr>
          <w:rFonts w:hint="eastAsia" w:ascii="仿宋_GB2312" w:hAnsi="仿宋_GB2312" w:eastAsia="仿宋_GB2312" w:cs="仿宋_GB2312"/>
          <w:b w:val="0"/>
          <w:bCs w:val="0"/>
          <w:sz w:val="32"/>
          <w:szCs w:val="32"/>
          <w:lang w:val="en-US" w:eastAsia="zh-CN"/>
        </w:rPr>
        <w:t>了问题、</w:t>
      </w:r>
      <w:r>
        <w:rPr>
          <w:rFonts w:hint="eastAsia" w:ascii="仿宋_GB2312" w:hAnsi="仿宋_GB2312" w:eastAsia="仿宋_GB2312" w:cs="仿宋_GB2312"/>
          <w:sz w:val="32"/>
          <w:szCs w:val="32"/>
          <w:lang w:val="en-US" w:eastAsia="zh-CN"/>
        </w:rPr>
        <w:t>明确了差距，并果断将数字化转型工作作为实现九洲高质量发展的重要任务，要依托数字化转型为九洲的持续发展和迈向千亿台阶奠定基础。</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640" w:leftChars="0" w:firstLine="0" w:firstLineChars="0"/>
        <w:textAlignment w:val="auto"/>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现状和差距</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相较于国家对国有企业数字化转型的要求以及优秀企业转型实践，九洲目前的数字化发展现状存在较大的差距和诸多不足，因此，系统谋划九洲数字化转型工作成为当前阶段的必然选择。</w:t>
      </w:r>
    </w:p>
    <w:p>
      <w:pPr>
        <w:spacing w:line="560" w:lineRule="exact"/>
        <w:ind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集团总部数字化</w:t>
      </w:r>
      <w:r>
        <w:rPr>
          <w:rFonts w:hint="eastAsia" w:ascii="仿宋_GB2312" w:hAnsi="仿宋_GB2312" w:eastAsia="仿宋_GB2312" w:cs="仿宋_GB2312"/>
          <w:sz w:val="32"/>
          <w:szCs w:val="32"/>
          <w:lang w:val="en-US" w:eastAsia="zh-CN"/>
        </w:rPr>
        <w:t>发展现状有以下四方面不足</w:t>
      </w:r>
      <w:r>
        <w:rPr>
          <w:rFonts w:hint="default" w:ascii="仿宋_GB2312" w:hAnsi="仿宋_GB2312" w:eastAsia="仿宋_GB2312" w:cs="仿宋_GB2312"/>
          <w:sz w:val="32"/>
          <w:szCs w:val="32"/>
          <w:lang w:val="en-US" w:eastAsia="zh-CN"/>
        </w:rPr>
        <w:t>。一是系统应用较分散，覆盖面窄。集团总部目前主要以基础管理应用为主，已建系统18个，但较分散、软件厂商不统一、技术架构各异、存在跨系统集成共享、数据标准化和产业公司应用覆盖不足。特别是在财务共享、HR共享、投融资管理等资源共享和专业化服务方面缺乏应用支撑。二是数字化战略与企业整体战略一致性较低。三是组织架构设计不全面。缺少流程与变革的职能，无法有效支撑战略具象化。四是制度标准不统一，</w:t>
      </w:r>
      <w:r>
        <w:rPr>
          <w:rFonts w:hint="eastAsia" w:ascii="仿宋_GB2312" w:hAnsi="仿宋_GB2312" w:eastAsia="仿宋_GB2312" w:cs="仿宋_GB2312"/>
          <w:sz w:val="32"/>
          <w:szCs w:val="32"/>
          <w:lang w:val="en-US" w:eastAsia="zh-CN"/>
        </w:rPr>
        <w:t>系统适用性</w:t>
      </w:r>
      <w:r>
        <w:rPr>
          <w:rFonts w:hint="default" w:ascii="仿宋_GB2312" w:hAnsi="仿宋_GB2312" w:eastAsia="仿宋_GB2312" w:cs="仿宋_GB2312"/>
          <w:sz w:val="32"/>
          <w:szCs w:val="32"/>
          <w:lang w:val="en-US" w:eastAsia="zh-CN"/>
        </w:rPr>
        <w:t>差。已上线的部分主数据标准缺乏管理、维护、推广与升级；集团、各业务单元之间作业方法、建设标准不统一；应用治理方面目前集团还未涉及，导致业务难以全流程拉通，系统易用性差。</w:t>
      </w:r>
    </w:p>
    <w:p>
      <w:pPr>
        <w:spacing w:line="560" w:lineRule="exact"/>
        <w:ind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目前九洲与标杆企业之间存在的差距有三方面。一是数字化建设体系方面，战略、组织、流程、业务和IT还未拉通对齐。完备的数字化体系需要自顶向下的通盘设计，确保IT能够正确地承载企业战略，为企业创新和赋能提供强大动力。</w:t>
      </w:r>
      <w:r>
        <w:rPr>
          <w:rFonts w:hint="eastAsia" w:ascii="仿宋_GB2312" w:hAnsi="仿宋_GB2312" w:eastAsia="仿宋_GB2312" w:cs="仿宋_GB2312"/>
          <w:sz w:val="32"/>
          <w:szCs w:val="32"/>
          <w:lang w:val="en-US" w:eastAsia="zh-CN"/>
        </w:rPr>
        <w:t>二是数字化建设组织方面，当前阶段的IT团队与业务存在明显的“部门墙”。导致了沟通不畅、合作受阻，影响了企业的数字化进程。</w:t>
      </w:r>
      <w:r>
        <w:rPr>
          <w:rFonts w:hint="default" w:ascii="仿宋_GB2312" w:hAnsi="仿宋_GB2312" w:eastAsia="仿宋_GB2312" w:cs="仿宋_GB2312"/>
          <w:sz w:val="32"/>
          <w:szCs w:val="32"/>
          <w:lang w:val="en-US" w:eastAsia="zh-CN"/>
        </w:rPr>
        <w:t>三是数字化建设场景应用方面，目前的应用场景较为单一，主要聚焦于简单的行政办公和基础财务、人力资源和园区管理，目前迫切需要更为全面数字化场景应用，大幅提升企业的数字化能力。</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jc w:val="both"/>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标杆研究</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640" w:leftChars="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海康威视</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海康威视</w:t>
      </w:r>
      <w:r>
        <w:rPr>
          <w:rFonts w:hint="default" w:ascii="仿宋_GB2312" w:hAnsi="仿宋_GB2312" w:eastAsia="仿宋_GB2312" w:cs="仿宋_GB2312"/>
          <w:sz w:val="32"/>
          <w:szCs w:val="32"/>
          <w:lang w:val="en-US" w:eastAsia="zh-CN"/>
        </w:rPr>
        <w:t>以文化牵引，</w:t>
      </w:r>
      <w:r>
        <w:rPr>
          <w:rFonts w:hint="eastAsia" w:ascii="仿宋_GB2312" w:hAnsi="仿宋_GB2312" w:eastAsia="仿宋_GB2312" w:cs="仿宋_GB2312"/>
          <w:sz w:val="32"/>
          <w:szCs w:val="32"/>
          <w:lang w:val="en-US" w:eastAsia="zh-CN"/>
        </w:rPr>
        <w:t>有效</w:t>
      </w:r>
      <w:r>
        <w:rPr>
          <w:rFonts w:hint="default" w:ascii="仿宋_GB2312" w:hAnsi="仿宋_GB2312" w:eastAsia="仿宋_GB2312" w:cs="仿宋_GB2312"/>
          <w:sz w:val="32"/>
          <w:szCs w:val="32"/>
          <w:lang w:val="en-US" w:eastAsia="zh-CN"/>
        </w:rPr>
        <w:t>降低管理成本，提高凝聚力，引导员工自驱力。</w:t>
      </w:r>
      <w:r>
        <w:rPr>
          <w:rFonts w:hint="eastAsia" w:ascii="仿宋_GB2312" w:hAnsi="仿宋_GB2312" w:eastAsia="仿宋_GB2312" w:cs="仿宋_GB2312"/>
          <w:sz w:val="32"/>
          <w:szCs w:val="32"/>
          <w:lang w:val="en-US" w:eastAsia="zh-CN"/>
        </w:rPr>
        <w:t>做到</w:t>
      </w:r>
      <w:r>
        <w:rPr>
          <w:rFonts w:hint="default" w:ascii="仿宋_GB2312" w:hAnsi="仿宋_GB2312" w:eastAsia="仿宋_GB2312" w:cs="仿宋_GB2312"/>
          <w:sz w:val="32"/>
          <w:szCs w:val="32"/>
          <w:lang w:val="en-US" w:eastAsia="zh-CN"/>
        </w:rPr>
        <w:t>数字化战略、变革、流程与IT拉通，保障了IT不偏离于服务业务，结合业务以及新技术去构建的数字场景矩阵，保障技术和业务能够形成闭环，从而实现数字化落地。</w:t>
      </w:r>
      <w:r>
        <w:rPr>
          <w:rFonts w:hint="eastAsia" w:ascii="仿宋_GB2312" w:hAnsi="仿宋_GB2312" w:eastAsia="仿宋_GB2312" w:cs="仿宋_GB2312"/>
          <w:sz w:val="32"/>
          <w:szCs w:val="32"/>
          <w:lang w:val="en-US" w:eastAsia="zh-CN"/>
        </w:rPr>
        <w:t xml:space="preserve"> </w:t>
      </w:r>
    </w:p>
    <w:p>
      <w:pPr>
        <w:spacing w:line="560" w:lineRule="exact"/>
        <w:ind w:firstLine="640" w:firstLineChars="200"/>
        <w:rPr>
          <w:rFonts w:hint="default" w:ascii="楷体" w:hAnsi="楷体" w:eastAsia="楷体" w:cs="楷体"/>
          <w:b/>
          <w:bCs/>
          <w:sz w:val="32"/>
          <w:szCs w:val="32"/>
          <w:lang w:val="en-US" w:eastAsia="zh-CN"/>
        </w:rPr>
      </w:pPr>
      <w:r>
        <w:rPr>
          <w:rFonts w:hint="eastAsia" w:ascii="仿宋_GB2312" w:hAnsi="仿宋_GB2312" w:eastAsia="仿宋_GB2312" w:cs="仿宋_GB2312"/>
          <w:sz w:val="32"/>
          <w:szCs w:val="32"/>
          <w:lang w:val="en-US" w:eastAsia="zh-CN"/>
        </w:rPr>
        <w:t>海康威视</w:t>
      </w:r>
      <w:r>
        <w:rPr>
          <w:rFonts w:hint="default" w:ascii="仿宋_GB2312" w:hAnsi="仿宋_GB2312" w:eastAsia="仿宋_GB2312" w:cs="仿宋_GB2312"/>
          <w:sz w:val="32"/>
          <w:szCs w:val="32"/>
          <w:lang w:val="en-US" w:eastAsia="zh-CN"/>
        </w:rPr>
        <w:t>围绕智能物联战略、以客户为中心、关注用户体验，聚焦核心价值链和业务价值，依托数智技术，结合业务创新，</w:t>
      </w:r>
      <w:r>
        <w:rPr>
          <w:rFonts w:hint="eastAsia" w:ascii="仿宋_GB2312" w:hAnsi="仿宋_GB2312" w:eastAsia="仿宋_GB2312" w:cs="仿宋_GB2312"/>
          <w:sz w:val="32"/>
          <w:szCs w:val="32"/>
          <w:lang w:val="en-US" w:eastAsia="zh-CN"/>
        </w:rPr>
        <w:t>有效</w:t>
      </w:r>
      <w:r>
        <w:rPr>
          <w:rFonts w:hint="default" w:ascii="仿宋_GB2312" w:hAnsi="仿宋_GB2312" w:eastAsia="仿宋_GB2312" w:cs="仿宋_GB2312"/>
          <w:sz w:val="32"/>
          <w:szCs w:val="32"/>
          <w:lang w:val="en-US" w:eastAsia="zh-CN"/>
        </w:rPr>
        <w:t>识别转型机会点。</w:t>
      </w:r>
      <w:r>
        <w:rPr>
          <w:rFonts w:hint="eastAsia" w:ascii="仿宋_GB2312" w:hAnsi="仿宋_GB2312" w:eastAsia="仿宋_GB2312" w:cs="仿宋_GB2312"/>
          <w:sz w:val="32"/>
          <w:szCs w:val="32"/>
          <w:lang w:val="en-US" w:eastAsia="zh-CN"/>
        </w:rPr>
        <w:t>具体从五方面体现，一是</w:t>
      </w:r>
      <w:r>
        <w:rPr>
          <w:rFonts w:hint="default" w:ascii="仿宋_GB2312" w:hAnsi="仿宋_GB2312" w:eastAsia="仿宋_GB2312" w:cs="仿宋_GB2312"/>
          <w:sz w:val="32"/>
          <w:szCs w:val="32"/>
          <w:lang w:val="en-US" w:eastAsia="zh-CN"/>
        </w:rPr>
        <w:t>通过IT产品平台为抓手，建立健全数智化能力，助力业务数智化转型</w:t>
      </w:r>
      <w:r>
        <w:rPr>
          <w:rFonts w:hint="eastAsia" w:ascii="仿宋_GB2312" w:hAnsi="仿宋_GB2312" w:eastAsia="仿宋_GB2312" w:cs="仿宋_GB2312"/>
          <w:sz w:val="32"/>
          <w:szCs w:val="32"/>
          <w:lang w:val="en-US" w:eastAsia="zh-CN"/>
        </w:rPr>
        <w:t>；二是</w:t>
      </w:r>
      <w:r>
        <w:rPr>
          <w:rFonts w:hint="default" w:ascii="仿宋_GB2312" w:hAnsi="仿宋_GB2312" w:eastAsia="仿宋_GB2312" w:cs="仿宋_GB2312"/>
          <w:sz w:val="32"/>
          <w:szCs w:val="32"/>
          <w:lang w:val="en-US" w:eastAsia="zh-CN"/>
        </w:rPr>
        <w:t>通过建立业务数智化转型场景地图，识别转型机会点、赋能场景落地</w:t>
      </w:r>
      <w:r>
        <w:rPr>
          <w:rFonts w:hint="eastAsia" w:ascii="仿宋_GB2312" w:hAnsi="仿宋_GB2312" w:eastAsia="仿宋_GB2312" w:cs="仿宋_GB2312"/>
          <w:sz w:val="32"/>
          <w:szCs w:val="32"/>
          <w:lang w:val="en-US" w:eastAsia="zh-CN"/>
        </w:rPr>
        <w:t>；三是</w:t>
      </w:r>
      <w:r>
        <w:rPr>
          <w:rFonts w:hint="default" w:ascii="仿宋_GB2312" w:hAnsi="仿宋_GB2312" w:eastAsia="仿宋_GB2312" w:cs="仿宋_GB2312"/>
          <w:sz w:val="32"/>
          <w:szCs w:val="32"/>
          <w:lang w:val="en-US" w:eastAsia="zh-CN"/>
        </w:rPr>
        <w:t>通过打造IT中台沉淀业务能力，敏捷响应业务变化，支撑业务模式创新；</w:t>
      </w:r>
      <w:r>
        <w:rPr>
          <w:rFonts w:hint="eastAsia" w:ascii="仿宋_GB2312" w:hAnsi="仿宋_GB2312" w:eastAsia="仿宋_GB2312" w:cs="仿宋_GB2312"/>
          <w:sz w:val="32"/>
          <w:szCs w:val="32"/>
          <w:lang w:val="en-US" w:eastAsia="zh-CN"/>
        </w:rPr>
        <w:t>四是</w:t>
      </w:r>
      <w:r>
        <w:rPr>
          <w:rFonts w:hint="default" w:ascii="仿宋_GB2312" w:hAnsi="仿宋_GB2312" w:eastAsia="仿宋_GB2312" w:cs="仿宋_GB2312"/>
          <w:sz w:val="32"/>
          <w:szCs w:val="32"/>
          <w:lang w:val="en-US" w:eastAsia="zh-CN"/>
        </w:rPr>
        <w:t>通过移动化业务应用，满足业务的实时在线处理和便捷性，提升用户体验；</w:t>
      </w:r>
      <w:r>
        <w:rPr>
          <w:rFonts w:hint="eastAsia" w:ascii="仿宋_GB2312" w:hAnsi="仿宋_GB2312" w:eastAsia="仿宋_GB2312" w:cs="仿宋_GB2312"/>
          <w:sz w:val="32"/>
          <w:szCs w:val="32"/>
          <w:lang w:val="en-US" w:eastAsia="zh-CN"/>
        </w:rPr>
        <w:t>通过</w:t>
      </w:r>
      <w:r>
        <w:rPr>
          <w:rFonts w:hint="default" w:ascii="仿宋_GB2312" w:hAnsi="仿宋_GB2312" w:eastAsia="仿宋_GB2312" w:cs="仿宋_GB2312"/>
          <w:sz w:val="32"/>
          <w:szCs w:val="32"/>
          <w:lang w:val="en-US" w:eastAsia="zh-CN"/>
        </w:rPr>
        <w:t>打造数据流转链路，融合设备和业务过程数据，拉通业务，提高业务运行效率；</w:t>
      </w:r>
      <w:r>
        <w:rPr>
          <w:rFonts w:hint="eastAsia" w:ascii="仿宋_GB2312" w:hAnsi="仿宋_GB2312" w:eastAsia="仿宋_GB2312" w:cs="仿宋_GB2312"/>
          <w:sz w:val="32"/>
          <w:szCs w:val="32"/>
          <w:lang w:val="en-US" w:eastAsia="zh-CN"/>
        </w:rPr>
        <w:t>五是通过</w:t>
      </w:r>
      <w:r>
        <w:rPr>
          <w:rFonts w:hint="default" w:ascii="仿宋_GB2312" w:hAnsi="仿宋_GB2312" w:eastAsia="仿宋_GB2312" w:cs="仿宋_GB2312"/>
          <w:sz w:val="32"/>
          <w:szCs w:val="32"/>
          <w:lang w:val="en-US" w:eastAsia="zh-CN"/>
        </w:rPr>
        <w:t>建立智能化运维过程，实现监控、告警、通知，修复联动处理，保障业务系统高可用。</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640" w:leftChars="0" w:firstLine="0" w:firstLineChars="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浙江大华</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浙江大华</w:t>
      </w:r>
      <w:r>
        <w:rPr>
          <w:rFonts w:hint="default" w:ascii="仿宋_GB2312" w:hAnsi="仿宋_GB2312" w:eastAsia="仿宋_GB2312" w:cs="仿宋_GB2312"/>
          <w:sz w:val="32"/>
          <w:szCs w:val="32"/>
          <w:lang w:val="en-US" w:eastAsia="zh-CN"/>
        </w:rPr>
        <w:t>实施精细化管理，串联组织、目标对齐，思想统一。以流程驱动数字化，流程管理组织、业务组织与IT共同推进数字化建设，确保IT最大化服务于业务需求</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用数字化手段链接上下游生态伙伴，从供应链整合、产品销售、解决方案提供等维度，将生态伙伴进行链接。</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浙江大华</w:t>
      </w:r>
      <w:r>
        <w:rPr>
          <w:rFonts w:hint="default" w:ascii="仿宋_GB2312" w:hAnsi="仿宋_GB2312" w:eastAsia="仿宋_GB2312" w:cs="仿宋_GB2312"/>
          <w:sz w:val="32"/>
          <w:szCs w:val="32"/>
          <w:lang w:val="en-US" w:eastAsia="zh-CN"/>
        </w:rPr>
        <w:t>通过多个一站式平台的搭建深化应用多业务场景。</w:t>
      </w:r>
      <w:r>
        <w:rPr>
          <w:rFonts w:hint="eastAsia" w:ascii="仿宋_GB2312" w:hAnsi="仿宋_GB2312" w:eastAsia="仿宋_GB2312" w:cs="仿宋_GB2312"/>
          <w:sz w:val="32"/>
          <w:szCs w:val="32"/>
          <w:lang w:val="en-US" w:eastAsia="zh-CN"/>
        </w:rPr>
        <w:t>一是</w:t>
      </w:r>
      <w:r>
        <w:rPr>
          <w:rFonts w:hint="default" w:ascii="仿宋_GB2312" w:hAnsi="仿宋_GB2312" w:eastAsia="仿宋_GB2312" w:cs="仿宋_GB2312"/>
          <w:sz w:val="32"/>
          <w:szCs w:val="32"/>
          <w:lang w:val="en-US" w:eastAsia="zh-CN"/>
        </w:rPr>
        <w:t>数字化营销和经营场景</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通过销售一站式平台实现基于业务场景的引导式办公，同时业务过程可视、支持业务的移动办公，并能获得各种业务异常预警，各级管理者通过作战指挥平台对结果和过程做及时管理。</w:t>
      </w:r>
      <w:r>
        <w:rPr>
          <w:rFonts w:hint="eastAsia" w:ascii="仿宋_GB2312" w:hAnsi="仿宋_GB2312" w:eastAsia="仿宋_GB2312" w:cs="仿宋_GB2312"/>
          <w:sz w:val="32"/>
          <w:szCs w:val="32"/>
          <w:lang w:val="en-US" w:eastAsia="zh-CN"/>
        </w:rPr>
        <w:t>二是</w:t>
      </w:r>
      <w:r>
        <w:rPr>
          <w:rFonts w:hint="default" w:ascii="仿宋_GB2312" w:hAnsi="仿宋_GB2312" w:eastAsia="仿宋_GB2312" w:cs="仿宋_GB2312"/>
          <w:sz w:val="32"/>
          <w:szCs w:val="32"/>
          <w:lang w:val="en-US" w:eastAsia="zh-CN"/>
        </w:rPr>
        <w:t>数字化研发场景</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通过持续集成（CI/CD）/AI应用等数字化解决方案，拉通版本规划、开发/编译、扫描、测试到发布全过程并实现研发工作线上化，提升研发效率和产品质量。</w:t>
      </w:r>
      <w:r>
        <w:rPr>
          <w:rFonts w:hint="eastAsia" w:ascii="仿宋_GB2312" w:hAnsi="仿宋_GB2312" w:eastAsia="仿宋_GB2312" w:cs="仿宋_GB2312"/>
          <w:sz w:val="32"/>
          <w:szCs w:val="32"/>
          <w:lang w:val="en-US" w:eastAsia="zh-CN"/>
        </w:rPr>
        <w:t>三是</w:t>
      </w:r>
      <w:r>
        <w:rPr>
          <w:rFonts w:hint="default" w:ascii="仿宋_GB2312" w:hAnsi="仿宋_GB2312" w:eastAsia="仿宋_GB2312" w:cs="仿宋_GB2312"/>
          <w:sz w:val="32"/>
          <w:szCs w:val="32"/>
          <w:lang w:val="en-US" w:eastAsia="zh-CN"/>
        </w:rPr>
        <w:t>数字化供应链场景</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不断向供需两端延伸形成大供应链端到端体系。企业内部计划、制造、采购、物流等高效协同，形成企业内部、客户、供应商等联动的数字化网状敏捷供应商。实现制造自动化与智能化，导入自动化生产线、SMT、智能货架、自动化传送带、AGV设备等，通过IT/OT集成融合，实现数字化平台驱动智能硬件执行落地，在场景化应用上能够合力发挥出最大的价值，实现订单排产智能化、生产自动化、测试无人化及过程质量防呆，打造大华智慧（物联网）产业园区。</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海康与大华在数字化管控方面存在相似之处。海康的战略与IT部，大华的流程IT中心承担了数字化管控职能。</w:t>
      </w:r>
      <w:r>
        <w:rPr>
          <w:rFonts w:hint="default" w:ascii="仿宋_GB2312" w:hAnsi="仿宋_GB2312" w:eastAsia="仿宋_GB2312" w:cs="仿宋_GB2312"/>
          <w:sz w:val="32"/>
          <w:szCs w:val="32"/>
          <w:lang w:val="en-US" w:eastAsia="zh-CN"/>
        </w:rPr>
        <w:t>因为母子公司业务形态近似，海康与大华的数字化资源在母子公司之间是高效率共享的，杜绝了重复建设、资源分配不均等问题，借助IT平台业务在母公司端实现了逻辑上的自动合并，有效帮助母公司实现对子公司的管控目标。</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640" w:leftChars="0" w:firstLine="0" w:firstLineChars="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中电14所</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电科14所的数字化转型以“数字驱动变革，标准引领发展”为愿景，以“数智军工研究所”为目标，以运营管理为驱动、工程管理为核心，建设包含人力、财务、资产、市场、供应链、风险、计划、质量、成本等多层级、多管理要素的智慧管理平台和模式。</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14所搭建了“1环4链”“3+N智慧平台”的数字化总体架构。“1环”指战略管控，基于使命引领型战略管理，建设从战略规划到评估的管理闭环；“4链”指业务转型，强化端到端能力链条的打通，建设面向企业运营、技术创新、产品实现、战斗力生成的4大链条，形成驱动全所业务高效运行的信息航道；“3+N智慧平台”指平台支撑，建设研发、制造、保障三大核心应用与计划、质量、成本等N项管理要素深度融合的智慧平台，支撑业务链条的贯通和跨领域的信息融合；“新一代IT基础设施”指基础支撑，以通用和可靠的标准体系和安全体系为引领，建设大数据平台、高性能计算平台、高速研发网络等新一代基础设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第三章 总体思路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一、工作目标</w:t>
      </w:r>
    </w:p>
    <w:p>
      <w:pPr>
        <w:spacing w:line="560" w:lineRule="exact"/>
        <w:ind w:firstLine="640" w:firstLineChars="200"/>
        <w:rPr>
          <w:rFonts w:hint="eastAsia" w:ascii="楷体" w:hAnsi="楷体" w:eastAsia="楷体" w:cs="楷体"/>
          <w:b/>
          <w:bCs/>
          <w:sz w:val="32"/>
          <w:szCs w:val="32"/>
          <w:lang w:val="en-US" w:eastAsia="zh-CN"/>
        </w:rPr>
      </w:pPr>
      <w:r>
        <w:rPr>
          <w:rFonts w:hint="eastAsia" w:ascii="仿宋_GB2312" w:hAnsi="仿宋_GB2312" w:eastAsia="仿宋_GB2312" w:cs="仿宋_GB2312"/>
          <w:sz w:val="32"/>
          <w:szCs w:val="32"/>
          <w:lang w:val="en-US" w:eastAsia="zh-CN"/>
        </w:rPr>
        <w:t xml:space="preserve">持实事求是、问题导向原则，短期内解决集团数字化薄弱问题，全面梳理九洲集团数字化现状，快速弥补短板。长期须以数字化手段切实提升管理和经营效能，解决数字化产业发展赋能问题。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二、工作思路</w:t>
      </w:r>
    </w:p>
    <w:p>
      <w:pPr>
        <w:spacing w:line="560" w:lineRule="exact"/>
        <w:ind w:firstLine="640" w:firstLineChars="200"/>
      </w:pPr>
      <w:r>
        <w:rPr>
          <w:rFonts w:hint="eastAsia" w:ascii="仿宋_GB2312" w:hAnsi="仿宋_GB2312" w:eastAsia="仿宋_GB2312" w:cs="仿宋_GB2312"/>
          <w:sz w:val="32"/>
          <w:szCs w:val="32"/>
          <w:lang w:val="en-US" w:eastAsia="zh-CN"/>
        </w:rPr>
        <w:t>数字化转型是一项复杂的系统工程，技术是支点，业务是内核。九洲数字化转型将对准业务战略，以新一代信息技术驱动业务、管理和商业模式的深度变革重构。明确九洲数字化愿景，使九洲上下在方向上达成一致，设计由愿景驱动的顶层架构蓝图，基于架构蓝图，制定数字化转型的目标和举措，并最终输出变革项目，以助力九洲高质量发展迈上新台阶。通过内部调研，深入了解总部及各产业公司数字化现状及对未来数字化工作的目标及举措，针对性地梳理工作思路，探索工作路径，实现数字化落地。</w:t>
      </w:r>
    </w:p>
    <w:p>
      <w:pPr>
        <w:spacing w:line="560" w:lineRule="exact"/>
        <w:jc w:val="center"/>
        <w:rPr>
          <w:rFonts w:hint="default" w:ascii="楷体" w:hAnsi="楷体" w:eastAsia="楷体" w:cs="楷体"/>
          <w:b/>
          <w:bCs/>
          <w:sz w:val="32"/>
          <w:szCs w:val="32"/>
          <w:lang w:val="en-US" w:eastAsia="zh-CN"/>
        </w:rPr>
      </w:pPr>
      <w:r>
        <w:rPr>
          <w:rFonts w:hint="default" w:ascii="仿宋_GB2312" w:hAnsi="仿宋_GB2312" w:eastAsia="仿宋_GB2312" w:cs="仿宋_GB2312"/>
          <w:sz w:val="32"/>
          <w:szCs w:val="32"/>
          <w:lang w:val="en-US" w:eastAsia="zh-CN"/>
        </w:rPr>
        <w:drawing>
          <wp:anchor distT="0" distB="0" distL="114300" distR="114300" simplePos="0" relativeHeight="251659264" behindDoc="0" locked="0" layoutInCell="1" allowOverlap="1">
            <wp:simplePos x="0" y="0"/>
            <wp:positionH relativeFrom="margin">
              <wp:posOffset>0</wp:posOffset>
            </wp:positionH>
            <wp:positionV relativeFrom="paragraph">
              <wp:posOffset>243205</wp:posOffset>
            </wp:positionV>
            <wp:extent cx="5274310" cy="2137410"/>
            <wp:effectExtent l="0" t="0" r="13970" b="11430"/>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4310" cy="2137410"/>
                    </a:xfrm>
                    <a:prstGeom prst="rect">
                      <a:avLst/>
                    </a:prstGeom>
                  </pic:spPr>
                </pic:pic>
              </a:graphicData>
            </a:graphic>
          </wp:anchor>
        </w:drawing>
      </w:r>
      <w:r>
        <w:rPr>
          <w:rFonts w:hint="default" w:ascii="仿宋_GB2312" w:hAnsi="仿宋_GB2312" w:eastAsia="仿宋_GB2312" w:cs="仿宋_GB2312"/>
          <w:sz w:val="32"/>
          <w:szCs w:val="32"/>
          <w:lang w:val="en-US" w:eastAsia="zh-CN"/>
        </w:rPr>
        <w:t>图1 数字化转型规划总体思路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第四章 路径研究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一、明确愿景使命</w:t>
      </w:r>
    </w:p>
    <w:p>
      <w:pPr>
        <w:keepNext w:val="0"/>
        <w:keepLines w:val="0"/>
        <w:widowControl/>
        <w:suppressLineNumbers w:val="0"/>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坚定九洲开展数字化转型的决心和力度，以“把数智世界带入九洲，打造future数转标杆”为数字化转型愿景。明确转型需要对准业务战略，通过顶层设计来牵引架构蓝图的绘制、关键路径和举措，以及战略预算投入等后续数字化工作的开展。</w:t>
      </w:r>
    </w:p>
    <w:p>
      <w:pPr>
        <w:keepNext w:val="0"/>
        <w:keepLines w:val="0"/>
        <w:widowControl/>
        <w:suppressLineNumbers w:val="0"/>
        <w:jc w:val="left"/>
        <w:rPr>
          <w:rFonts w:hint="default" w:ascii="仿宋_GB2312" w:hAnsi="仿宋_GB2312" w:eastAsia="仿宋_GB2312" w:cs="仿宋_GB2312"/>
          <w:sz w:val="32"/>
          <w:szCs w:val="32"/>
          <w:lang w:val="en-US" w:eastAsia="zh-CN"/>
        </w:rPr>
      </w:pPr>
      <w:r>
        <w:drawing>
          <wp:inline distT="0" distB="0" distL="114300" distR="114300">
            <wp:extent cx="5395595" cy="1421130"/>
            <wp:effectExtent l="0" t="0" r="14605" b="1143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395595" cy="142113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楷体" w:hAnsi="楷体" w:eastAsia="楷体" w:cs="楷体"/>
          <w:b/>
          <w:bCs/>
          <w:sz w:val="32"/>
          <w:szCs w:val="32"/>
          <w:lang w:val="en-US" w:eastAsia="zh-CN"/>
        </w:rPr>
      </w:pPr>
      <w:r>
        <w:rPr>
          <w:rFonts w:hint="default" w:ascii="仿宋_GB2312" w:hAnsi="仿宋_GB2312" w:eastAsia="仿宋_GB2312" w:cs="仿宋_GB2312"/>
          <w:sz w:val="32"/>
          <w:szCs w:val="32"/>
          <w:lang w:val="en-US" w:eastAsia="zh-CN"/>
        </w:rPr>
        <w:t>图</w:t>
      </w:r>
      <w:r>
        <w:rPr>
          <w:rFonts w:hint="eastAsia" w:ascii="仿宋_GB2312" w:hAnsi="仿宋_GB2312" w:eastAsia="仿宋_GB2312" w:cs="仿宋_GB2312"/>
          <w:sz w:val="32"/>
          <w:szCs w:val="32"/>
          <w:lang w:val="en-US" w:eastAsia="zh-CN"/>
        </w:rPr>
        <w:t>2 九洲数字化愿景“Future”内涵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二、强化战略解码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数字化重塑战略管理体系，打造数智型战略体系。九洲初步建立完整的战略管理体系，已具备战略规划、战略解码、战略落地实施的基本战略管理要素，能够基于市场洞察明确各业务策略，并构建企业的经营计划，形成相应的落地措施。目前战略数字化能力的缺失让九洲在战略目标制定、战略高效落地、效果反馈调整等阶段面临较大的挑战。基于战略管理体系的要求，战略执行与管理需要与数智思维不断融合，有效承接战略解码工作，打通从战略制定到战略落地的链路。相对充分地实现标准化的战略管理方法及模板线上化，形成一个初级的管理执行闭环。推动九洲在过载信息环境中做出敏捷决策，为集团从战略规划到战略落地执行提供高效管理抓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三、设计蓝图架构</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640" w:leftChars="0"/>
        <w:textAlignment w:val="auto"/>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架构蓝图</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图</w:t>
      </w:r>
      <w:r>
        <w:rPr>
          <w:rFonts w:hint="eastAsia" w:ascii="仿宋_GB2312" w:hAnsi="仿宋_GB2312" w:eastAsia="仿宋_GB2312" w:cs="仿宋_GB2312"/>
          <w:sz w:val="32"/>
          <w:szCs w:val="32"/>
          <w:lang w:val="en-US" w:eastAsia="zh-CN"/>
        </w:rPr>
        <w:t>3 九洲数字化架构蓝图</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anchor distT="0" distB="0" distL="114300" distR="114300" simplePos="0" relativeHeight="251660288" behindDoc="0" locked="0" layoutInCell="1" allowOverlap="1">
            <wp:simplePos x="0" y="0"/>
            <wp:positionH relativeFrom="column">
              <wp:posOffset>235585</wp:posOffset>
            </wp:positionH>
            <wp:positionV relativeFrom="page">
              <wp:posOffset>4932045</wp:posOffset>
            </wp:positionV>
            <wp:extent cx="5360035" cy="2676525"/>
            <wp:effectExtent l="0" t="0" r="4445" b="5715"/>
            <wp:wrapTopAndBottom/>
            <wp:docPr id="7" name="图片 7" descr="架构蓝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架构蓝图"/>
                    <pic:cNvPicPr>
                      <a:picLocks noChangeAspect="1"/>
                    </pic:cNvPicPr>
                  </pic:nvPicPr>
                  <pic:blipFill>
                    <a:blip r:embed="rId6"/>
                    <a:stretch>
                      <a:fillRect/>
                    </a:stretch>
                  </pic:blipFill>
                  <pic:spPr>
                    <a:xfrm>
                      <a:off x="0" y="0"/>
                      <a:ext cx="5360035" cy="2676525"/>
                    </a:xfrm>
                    <a:prstGeom prst="rect">
                      <a:avLst/>
                    </a:prstGeom>
                  </pic:spPr>
                </pic:pic>
              </a:graphicData>
            </a:graphic>
          </wp:anchor>
        </w:drawing>
      </w:r>
      <w:r>
        <w:rPr>
          <w:rFonts w:hint="default" w:ascii="仿宋_GB2312" w:hAnsi="仿宋_GB2312" w:eastAsia="仿宋_GB2312" w:cs="仿宋_GB2312"/>
          <w:sz w:val="32"/>
          <w:szCs w:val="32"/>
          <w:lang w:val="en-US" w:eastAsia="zh-CN"/>
        </w:rPr>
        <w:t>九洲数字化转型总体架构蓝图共分为5层：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US" w:eastAsia="zh-CN"/>
        </w:rPr>
        <w:t>用户联接层</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面向用户构建全联接的协同平台，打造FUTURE客户体验。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一线作战层</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结合“面向市场创新主流业务</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面向客户主流业务”，以客户为中心，对准一线业务作业场景，赋能业务数字化作战。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业务能力层</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主动识别各业务领域能力进行数字化建设，包装成服务为一线作战和用户联接提供核心支撑，快速响应业务需求。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数字化运营层</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统一汇聚数据，引入AI、大数据分析等关键技术，提升各业务领域持续运营的能力，开拓新的业务数字化场景。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数据服务层</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通过构建基于云计算、大数据和人工智能的九洲数据底座，实现数据采集、挖掘、处理、分析和可视化全环节贯通，为业务域数字化和管理数字化提供全面的数据支持。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（二）4A架构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从业务架构、数据架构、应用架构及技术架构“一体</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楷体" w:hAnsi="楷体" w:eastAsia="楷体" w:cs="楷体"/>
          <w:b/>
          <w:bCs/>
          <w:sz w:val="32"/>
          <w:szCs w:val="32"/>
          <w:lang w:val="en-US" w:eastAsia="zh-CN"/>
        </w:rPr>
      </w:pPr>
      <w:r>
        <w:rPr>
          <w:rFonts w:hint="default" w:ascii="仿宋_GB2312" w:hAnsi="仿宋_GB2312" w:eastAsia="仿宋_GB2312" w:cs="仿宋_GB2312"/>
          <w:sz w:val="32"/>
          <w:szCs w:val="32"/>
          <w:lang w:val="en-US" w:eastAsia="zh-CN"/>
        </w:rPr>
        <w:t>四面”细化架构蓝图，一是以产业协同和集团赋能为两大核心，构建数字化业务架构（BusinessArchitecture，BA），引入数字技术进行业务模式的创新重塑，持续提升流程效率及业务能力。二是通过构建涵盖数据采集、存储、处理、应用、分析及安全的数据架构（Information</w:t>
      </w: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Architecture，IA），实现数据的统一标准和统一管理。三是构建快速响应市场和用户需求的应用架构（Application</w:t>
      </w: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Architecture，AA），在集团管控、数据融合、决策分析和产业赋能等应用领域提供多元数字化服务，提升用户体验。四是以九洲云数据中心为基础底座，基于物联网（IoT）、数字孪生、人工智能、边缘计算、云计算和区块链等先进技术构建技术架构（Technology</w:t>
      </w: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Architecture，TA），实现深层次数据融合，为各类应用提供支持，为九洲数字化转型提供强大的技术保障。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（三）网络安全与数据治理</w:t>
      </w:r>
    </w:p>
    <w:p>
      <w:pPr>
        <w:spacing w:line="560" w:lineRule="exact"/>
        <w:ind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以数据为主线围绕数据生命周期进行安全设计，驱动安</w:t>
      </w:r>
    </w:p>
    <w:p>
      <w:pPr>
        <w:spacing w:line="560" w:lineRule="exact"/>
        <w:rPr>
          <w:rFonts w:hint="default" w:ascii="楷体" w:hAnsi="楷体" w:eastAsia="楷体" w:cs="楷体"/>
          <w:b/>
          <w:bCs/>
          <w:sz w:val="32"/>
          <w:szCs w:val="32"/>
          <w:lang w:val="en-US" w:eastAsia="zh-CN"/>
        </w:rPr>
      </w:pPr>
      <w:r>
        <w:rPr>
          <w:rFonts w:hint="default" w:ascii="仿宋_GB2312" w:hAnsi="仿宋_GB2312" w:eastAsia="仿宋_GB2312" w:cs="仿宋_GB2312"/>
          <w:sz w:val="32"/>
          <w:szCs w:val="32"/>
          <w:lang w:val="en-US" w:eastAsia="zh-CN"/>
        </w:rPr>
        <w:t>全与业务融合，深入构建“零信任”的网络安全技术体系、“技管并重、动态循环”的网络安全管理体系、“服务导向”的网络运维管理体系，按照PDCA模式实现网络安全体系的不断完善，助力数字化转型下企业信息化建设，提升网络安全、数据安全保障能力。对标国家“数据管理能力成熟度评估模型（GB/T36073-2018）”标准，深入贯彻“数据”生产要素，通过持续培</w:t>
      </w:r>
      <w:r>
        <w:rPr>
          <w:rFonts w:hint="eastAsia" w:ascii="仿宋_GB2312" w:hAnsi="仿宋_GB2312" w:eastAsia="仿宋_GB2312" w:cs="仿宋_GB2312"/>
          <w:sz w:val="32"/>
          <w:szCs w:val="32"/>
          <w:lang w:val="en-US" w:eastAsia="zh-CN"/>
        </w:rPr>
        <w:t>养</w:t>
      </w:r>
      <w:r>
        <w:rPr>
          <w:rFonts w:hint="default" w:ascii="仿宋_GB2312" w:hAnsi="仿宋_GB2312" w:eastAsia="仿宋_GB2312" w:cs="仿宋_GB2312"/>
          <w:sz w:val="32"/>
          <w:szCs w:val="32"/>
          <w:lang w:val="en-US" w:eastAsia="zh-CN"/>
        </w:rPr>
        <w:t>数据文化、夯实数据组织、健全数据标准、建立数据制度、运用数据工具、提升数据质量等，实现以量化、精准的数据贯穿业务、系统、流程，驱动公司卓越运营和高质量发展。</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640" w:leftChars="0" w:firstLine="0" w:firstLineChars="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识别转型举措</w:t>
      </w:r>
    </w:p>
    <w:p>
      <w:pPr>
        <w:pStyle w:val="3"/>
        <w:spacing w:after="0"/>
        <w:ind w:firstLine="640" w:firstLineChars="200"/>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基于数字化转型架构蓝图，在开展数字化转型之初识别支撑九洲数字化愿景实现的关键点，明确九洲数字化转型要做以下四方面重点工作，达到重塑业务流程、提高作业效率等阶段目标，进而承接架构蓝图设计中的每个架构要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（一）以业务为中心</w:t>
      </w:r>
    </w:p>
    <w:p>
      <w:pPr>
        <w:pStyle w:val="3"/>
        <w:spacing w:after="0"/>
        <w:ind w:firstLine="640" w:firstLineChars="200"/>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九洲数字化转型坚持以业务为中心，“从业务中来，到业务中去”，服务和支撑业务发展。以流程规范化促进业务优化，对现有的制度流程和运营模式进行全面梳理，找出瓶颈和低效环节，通过优化和规范化，提升管理效率和响应速度，更好地服务和支撑业务发展。以流程场景化发掘数字化建设需求，深挖数字化建设的场景和应用需求，确保数字化服务于业务需求，提供系统性数字化建设规划。以流程数字化为业务提供数字化应用，在多业务场景使用数字化工具对业务赋能实现提质、提效、提速，为核心业务价值链增值，为一线提供数字化战力。以流程知识化积累和传承业务经验，将流程建设与知识管理相结合，通过知识管理将优秀实践经验转化为九洲核心战略资产，提高创新能力和竞争力。</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640" w:leftChars="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优化客户体验</w:t>
      </w:r>
    </w:p>
    <w:p>
      <w:pPr>
        <w:pStyle w:val="3"/>
        <w:spacing w:after="0"/>
        <w:ind w:firstLine="640" w:firstLineChars="200"/>
        <w:rPr>
          <w:rFonts w:hint="default" w:ascii="仿宋_GB2312" w:hAnsi="仿宋_GB2312" w:eastAsia="仿宋_GB2312" w:cs="仿宋_GB2312"/>
          <w:i w:val="0"/>
          <w:iCs w:val="0"/>
          <w:caps w:val="0"/>
          <w:color w:val="auto"/>
          <w:spacing w:val="0"/>
          <w:kern w:val="0"/>
          <w:sz w:val="32"/>
          <w:szCs w:val="32"/>
          <w:shd w:val="clear" w:fill="FDFDFE"/>
          <w:lang w:val="en-US" w:eastAsia="zh-CN" w:bidi="ar"/>
        </w:rPr>
      </w:pPr>
      <w:r>
        <w:rPr>
          <w:rFonts w:hint="eastAsia" w:ascii="仿宋_GB2312" w:hAnsi="仿宋_GB2312" w:eastAsia="仿宋_GB2312" w:cs="仿宋_GB2312"/>
          <w:i w:val="0"/>
          <w:iCs w:val="0"/>
          <w:caps w:val="0"/>
          <w:color w:val="auto"/>
          <w:spacing w:val="0"/>
          <w:kern w:val="0"/>
          <w:sz w:val="32"/>
          <w:szCs w:val="32"/>
          <w:shd w:val="clear" w:fill="FDFDFE"/>
          <w:lang w:val="en-US" w:eastAsia="zh-CN" w:bidi="ar"/>
        </w:rPr>
        <w:t>从功能到效率，重构员工体验。九洲数字化转型将对准集团内部日常办公、管理运营等场景，以及员工数字化应用能力和体验，重构内部作业模式，辅助内部管理运营实现流程科学、运作高效。通过数字化手段将原来的“流程管控员工”转变为“赋能员工”为组织创造价值。使员工获取信息数据更便捷，跨部门协作更通畅，内部运营更加高效。</w:t>
      </w:r>
    </w:p>
    <w:p>
      <w:pPr>
        <w:pStyle w:val="3"/>
        <w:spacing w:after="0"/>
        <w:ind w:firstLine="640" w:firstLineChars="200"/>
        <w:rPr>
          <w:rFonts w:hint="default" w:ascii="仿宋_GB2312" w:hAnsi="仿宋_GB2312" w:eastAsia="仿宋_GB2312" w:cs="仿宋_GB2312"/>
          <w:i w:val="0"/>
          <w:iCs w:val="0"/>
          <w:caps w:val="0"/>
          <w:color w:val="auto"/>
          <w:spacing w:val="0"/>
          <w:kern w:val="0"/>
          <w:sz w:val="32"/>
          <w:szCs w:val="32"/>
          <w:shd w:val="clear" w:fill="FDFDFE"/>
          <w:lang w:val="en-US" w:eastAsia="zh-CN" w:bidi="ar"/>
        </w:rPr>
      </w:pPr>
      <w:r>
        <w:rPr>
          <w:rFonts w:hint="eastAsia" w:ascii="仿宋_GB2312" w:hAnsi="仿宋_GB2312" w:eastAsia="仿宋_GB2312" w:cs="仿宋_GB2312"/>
          <w:i w:val="0"/>
          <w:iCs w:val="0"/>
          <w:caps w:val="0"/>
          <w:color w:val="auto"/>
          <w:spacing w:val="0"/>
          <w:kern w:val="0"/>
          <w:sz w:val="32"/>
          <w:szCs w:val="32"/>
          <w:shd w:val="clear" w:fill="FDFDFE"/>
          <w:lang w:val="en-US" w:eastAsia="zh-CN" w:bidi="ar"/>
        </w:rPr>
        <w:t>通过数字化手段，企业可以更好地理解和响应客户需求，优化与九洲现有大客户交互方式，让To B客户获得To C的体验。九洲作为大型智能制造企业，传统依赖通过产品的规格和功能来实现客户对九洲产品的认知。基于此次对九洲数字化转型愿景目标的识别，用数字化手段让政企客户从订单、生产、交付等全流程可视，满足差异化需求的配置能力，订单交付履行的在线可视，制造过程中问题的及时感知和改进等。给予九洲大客户类似C端消费者的交易服务体验，推动原有的产品交付是客户与产品关系的终结模式，向未来九洲与客户之间能连续的交互的模式转变，帮助九洲实现华为、中国移动等重要客户的黏性升级。</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（三）提升治理效能</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textAlignment w:val="auto"/>
        <w:rPr>
          <w:rFonts w:hint="eastAsia" w:ascii="仿宋_GB2312" w:hAnsi="仿宋_GB2312" w:eastAsia="仿宋_GB2312" w:cs="仿宋_GB2312"/>
          <w:i w:val="0"/>
          <w:iCs w:val="0"/>
          <w:caps w:val="0"/>
          <w:color w:val="auto"/>
          <w:spacing w:val="0"/>
          <w:sz w:val="32"/>
          <w:szCs w:val="32"/>
          <w:shd w:val="clear" w:fill="FDFDFE"/>
          <w:lang w:eastAsia="zh-CN"/>
        </w:rPr>
      </w:pPr>
      <w:r>
        <w:rPr>
          <w:rFonts w:hint="eastAsia" w:ascii="仿宋_GB2312" w:hAnsi="仿宋_GB2312" w:eastAsia="仿宋_GB2312" w:cs="仿宋_GB2312"/>
          <w:kern w:val="2"/>
          <w:sz w:val="32"/>
          <w:szCs w:val="32"/>
          <w:lang w:val="en-US" w:eastAsia="zh-CN" w:bidi="ar-SA"/>
        </w:rPr>
        <w:t>提升集团经营、资源、风险管控能力。</w:t>
      </w:r>
      <w:r>
        <w:rPr>
          <w:rFonts w:hint="eastAsia" w:ascii="仿宋_GB2312" w:hAnsi="仿宋_GB2312" w:eastAsia="仿宋_GB2312" w:cs="仿宋_GB2312"/>
          <w:i w:val="0"/>
          <w:iCs w:val="0"/>
          <w:caps w:val="0"/>
          <w:color w:val="auto"/>
          <w:spacing w:val="0"/>
          <w:sz w:val="32"/>
          <w:szCs w:val="32"/>
          <w:shd w:val="clear" w:fill="FDFDFE"/>
          <w:lang w:val="en-US" w:eastAsia="zh-CN"/>
        </w:rPr>
        <w:t>制定数字化管控流程，推动数字化战略执行，集团各产业公司和</w:t>
      </w:r>
      <w:r>
        <w:rPr>
          <w:rFonts w:hint="eastAsia" w:ascii="仿宋_GB2312" w:hAnsi="仿宋_GB2312" w:eastAsia="仿宋_GB2312" w:cs="仿宋_GB2312"/>
          <w:i w:val="0"/>
          <w:iCs w:val="0"/>
          <w:caps w:val="0"/>
          <w:color w:val="auto"/>
          <w:spacing w:val="0"/>
          <w:sz w:val="32"/>
          <w:szCs w:val="32"/>
          <w:shd w:val="clear" w:fill="FDFDFE"/>
        </w:rPr>
        <w:t>职能部门在</w:t>
      </w:r>
      <w:r>
        <w:rPr>
          <w:rFonts w:hint="eastAsia" w:ascii="仿宋_GB2312" w:hAnsi="仿宋_GB2312" w:eastAsia="仿宋_GB2312" w:cs="仿宋_GB2312"/>
          <w:i w:val="0"/>
          <w:iCs w:val="0"/>
          <w:caps w:val="0"/>
          <w:color w:val="auto"/>
          <w:spacing w:val="0"/>
          <w:sz w:val="32"/>
          <w:szCs w:val="32"/>
          <w:shd w:val="clear" w:fill="FDFDFE"/>
          <w:lang w:val="en-US" w:eastAsia="zh-CN"/>
        </w:rPr>
        <w:t>战略</w:t>
      </w:r>
      <w:r>
        <w:rPr>
          <w:rFonts w:hint="eastAsia" w:ascii="仿宋_GB2312" w:hAnsi="仿宋_GB2312" w:eastAsia="仿宋_GB2312" w:cs="仿宋_GB2312"/>
          <w:i w:val="0"/>
          <w:iCs w:val="0"/>
          <w:caps w:val="0"/>
          <w:color w:val="auto"/>
          <w:spacing w:val="0"/>
          <w:sz w:val="32"/>
          <w:szCs w:val="32"/>
          <w:shd w:val="clear" w:fill="FDFDFE"/>
        </w:rPr>
        <w:t>方向下协同工作。</w:t>
      </w:r>
      <w:r>
        <w:rPr>
          <w:rFonts w:hint="eastAsia" w:ascii="仿宋_GB2312" w:hAnsi="仿宋_GB2312" w:eastAsia="仿宋_GB2312" w:cs="仿宋_GB2312"/>
          <w:i w:val="0"/>
          <w:iCs w:val="0"/>
          <w:caps w:val="0"/>
          <w:color w:val="auto"/>
          <w:spacing w:val="0"/>
          <w:sz w:val="32"/>
          <w:szCs w:val="32"/>
          <w:shd w:val="clear" w:fill="FDFDFE"/>
          <w:lang w:val="en-US" w:eastAsia="zh-CN"/>
        </w:rPr>
        <w:t xml:space="preserve">建立健全集团财务管控体系，实施集团层面的绩效考核和经营目标管理；搭建集团财务共享中心， </w:t>
      </w:r>
      <w:r>
        <w:rPr>
          <w:rFonts w:hint="eastAsia" w:ascii="仿宋_GB2312" w:hAnsi="仿宋_GB2312" w:eastAsia="仿宋_GB2312" w:cs="仿宋_GB2312"/>
          <w:i w:val="0"/>
          <w:iCs w:val="0"/>
          <w:caps w:val="0"/>
          <w:color w:val="auto"/>
          <w:spacing w:val="0"/>
          <w:sz w:val="32"/>
          <w:szCs w:val="32"/>
          <w:shd w:val="clear" w:fill="FDFDFE"/>
        </w:rPr>
        <w:t>通过集中化、标准化的管理方式，优化财务流程、提升财务</w:t>
      </w:r>
      <w:r>
        <w:rPr>
          <w:rFonts w:hint="eastAsia" w:ascii="仿宋_GB2312" w:hAnsi="仿宋_GB2312" w:eastAsia="仿宋_GB2312" w:cs="仿宋_GB2312"/>
          <w:i w:val="0"/>
          <w:iCs w:val="0"/>
          <w:caps w:val="0"/>
          <w:color w:val="auto"/>
          <w:spacing w:val="0"/>
          <w:sz w:val="32"/>
          <w:szCs w:val="32"/>
          <w:shd w:val="clear" w:fill="FDFDFE"/>
          <w:lang w:val="en-US" w:eastAsia="zh-CN"/>
        </w:rPr>
        <w:t>工作</w:t>
      </w:r>
      <w:r>
        <w:rPr>
          <w:rFonts w:hint="eastAsia" w:ascii="仿宋_GB2312" w:hAnsi="仿宋_GB2312" w:eastAsia="仿宋_GB2312" w:cs="仿宋_GB2312"/>
          <w:i w:val="0"/>
          <w:iCs w:val="0"/>
          <w:caps w:val="0"/>
          <w:color w:val="auto"/>
          <w:spacing w:val="0"/>
          <w:sz w:val="32"/>
          <w:szCs w:val="32"/>
          <w:shd w:val="clear" w:fill="FDFDFE"/>
        </w:rPr>
        <w:t>效率</w:t>
      </w:r>
      <w:r>
        <w:rPr>
          <w:rFonts w:hint="eastAsia" w:ascii="仿宋_GB2312" w:hAnsi="仿宋_GB2312" w:eastAsia="仿宋_GB2312" w:cs="仿宋_GB2312"/>
          <w:i w:val="0"/>
          <w:iCs w:val="0"/>
          <w:caps w:val="0"/>
          <w:color w:val="auto"/>
          <w:spacing w:val="0"/>
          <w:sz w:val="32"/>
          <w:szCs w:val="32"/>
          <w:shd w:val="clear" w:fill="FDFDFE"/>
          <w:lang w:val="en-US" w:eastAsia="zh-CN"/>
        </w:rPr>
        <w:t>和质量。通过数字化平台，将集团及产业公司的人力资源进行统筹管理。通过分析历史数据和实时数据，集团能够更准确地了解产业的资源现状及需求，进行更精细化、更合理的资源配置，提高人力资源利用效率。建立风险预警机制和数据分析模型，及时发现潜在风险，采取相应的管控措施，加强合规性和安全性管理，确保集团运营的稳定性和可持续性。</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i w:val="0"/>
          <w:iCs w:val="0"/>
          <w:caps w:val="0"/>
          <w:color w:val="auto"/>
          <w:spacing w:val="0"/>
          <w:sz w:val="32"/>
          <w:szCs w:val="32"/>
          <w:shd w:val="clear" w:fill="FDFDFE"/>
          <w:lang w:val="en-US" w:eastAsia="zh-CN"/>
        </w:rPr>
        <w:t>提升集团数字化运营能力。</w:t>
      </w:r>
      <w:r>
        <w:rPr>
          <w:rFonts w:hint="eastAsia" w:ascii="仿宋_GB2312" w:hAnsi="仿宋_GB2312" w:eastAsia="仿宋_GB2312" w:cs="仿宋_GB2312"/>
          <w:b w:val="0"/>
          <w:bCs w:val="0"/>
          <w:i w:val="0"/>
          <w:iCs w:val="0"/>
          <w:caps w:val="0"/>
          <w:color w:val="auto"/>
          <w:spacing w:val="0"/>
          <w:sz w:val="32"/>
          <w:szCs w:val="32"/>
          <w:shd w:val="clear" w:fill="FDFDFE"/>
          <w:lang w:val="en-US" w:eastAsia="zh-CN"/>
        </w:rPr>
        <w:t>通过</w:t>
      </w:r>
      <w:r>
        <w:rPr>
          <w:rFonts w:hint="eastAsia" w:ascii="仿宋_GB2312" w:hAnsi="仿宋_GB2312" w:eastAsia="仿宋_GB2312" w:cs="仿宋_GB2312"/>
          <w:b w:val="0"/>
          <w:bCs w:val="0"/>
          <w:i w:val="0"/>
          <w:iCs w:val="0"/>
          <w:caps w:val="0"/>
          <w:color w:val="auto"/>
          <w:spacing w:val="0"/>
          <w:sz w:val="32"/>
          <w:szCs w:val="32"/>
          <w:shd w:val="clear" w:fill="FDFDFE"/>
        </w:rPr>
        <w:t>建立数字化运营体系、数据驱动的精准营销、优化销售渠道和流程、智能化客户服务以及数据分析和决策支持等</w:t>
      </w:r>
      <w:r>
        <w:rPr>
          <w:rFonts w:hint="eastAsia" w:ascii="仿宋_GB2312" w:hAnsi="仿宋_GB2312" w:eastAsia="仿宋_GB2312" w:cs="仿宋_GB2312"/>
          <w:b w:val="0"/>
          <w:bCs w:val="0"/>
          <w:i w:val="0"/>
          <w:iCs w:val="0"/>
          <w:caps w:val="0"/>
          <w:color w:val="auto"/>
          <w:spacing w:val="0"/>
          <w:sz w:val="32"/>
          <w:szCs w:val="32"/>
          <w:shd w:val="clear" w:fill="FDFDFE"/>
          <w:lang w:val="en-US" w:eastAsia="zh-CN"/>
        </w:rPr>
        <w:t>措施的实施，</w:t>
      </w:r>
      <w:r>
        <w:rPr>
          <w:rFonts w:hint="eastAsia" w:ascii="仿宋_GB2312" w:hAnsi="仿宋_GB2312" w:eastAsia="仿宋_GB2312" w:cs="仿宋_GB2312"/>
          <w:b w:val="0"/>
          <w:bCs w:val="0"/>
          <w:i w:val="0"/>
          <w:iCs w:val="0"/>
          <w:caps w:val="0"/>
          <w:color w:val="auto"/>
          <w:spacing w:val="0"/>
          <w:sz w:val="32"/>
          <w:szCs w:val="32"/>
          <w:shd w:val="clear" w:fill="FDFDFE"/>
        </w:rPr>
        <w:t>将有助于提高集团的运营效率、客户满意度和市场竞争力，推动集团在数字化时代保持持续发展</w:t>
      </w:r>
      <w:r>
        <w:rPr>
          <w:rFonts w:hint="eastAsia" w:ascii="仿宋_GB2312" w:hAnsi="仿宋_GB2312" w:eastAsia="仿宋_GB2312" w:cs="仿宋_GB2312"/>
          <w:b w:val="0"/>
          <w:bCs w:val="0"/>
          <w:i w:val="0"/>
          <w:iCs w:val="0"/>
          <w:caps w:val="0"/>
          <w:color w:val="auto"/>
          <w:spacing w:val="0"/>
          <w:sz w:val="32"/>
          <w:szCs w:val="32"/>
          <w:shd w:val="clear" w:fill="FDFDF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（四</w:t>
      </w:r>
      <w:bookmarkStart w:id="0" w:name="_GoBack"/>
      <w:bookmarkEnd w:id="0"/>
      <w:r>
        <w:rPr>
          <w:rFonts w:hint="eastAsia" w:ascii="楷体" w:hAnsi="楷体" w:eastAsia="楷体" w:cs="楷体"/>
          <w:b/>
          <w:bCs/>
          <w:sz w:val="32"/>
          <w:szCs w:val="32"/>
          <w:lang w:val="en-US" w:eastAsia="zh-CN"/>
        </w:rPr>
        <w:t>）上云用数赋智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auto"/>
          <w:spacing w:val="0"/>
          <w:kern w:val="0"/>
          <w:sz w:val="32"/>
          <w:szCs w:val="32"/>
          <w:shd w:val="clear" w:fill="FDFDFE"/>
          <w:lang w:val="en-US" w:eastAsia="zh-CN" w:bidi="ar"/>
        </w:rPr>
      </w:pPr>
      <w:r>
        <w:rPr>
          <w:rFonts w:hint="eastAsia" w:ascii="仿宋_GB2312" w:hAnsi="仿宋_GB2312" w:eastAsia="仿宋_GB2312" w:cs="仿宋_GB2312"/>
          <w:b w:val="0"/>
          <w:bCs w:val="0"/>
          <w:i w:val="0"/>
          <w:iCs w:val="0"/>
          <w:caps w:val="0"/>
          <w:color w:val="auto"/>
          <w:spacing w:val="0"/>
          <w:kern w:val="0"/>
          <w:sz w:val="32"/>
          <w:szCs w:val="32"/>
          <w:shd w:val="clear" w:fill="FDFDFE"/>
          <w:lang w:val="en-US" w:eastAsia="zh-CN" w:bidi="ar"/>
        </w:rPr>
        <w:t>利用大数据和云计算等技术的应用，为九洲数字化建设的云端化和普及化提供技术基础。搭建由大数据、人工智能、5G等技术集一体的新一代数字技术应用云平台，推动九洲的数字化建设深度体现数智融合的特点。一是打造服务平台，推动产业公司对接使用平台ERP、MES、财务管理等应用服务，实时监控生产数据，及时调整生产参数，提高生产效率、产品质量、产管理水平；二是以生产流程标准化、规范化为目标，建设九洲工业互联网平台，探索智能制造的标准化、模块化、精准化的路径，积极打造一到两个标杆工厂和示范车间。最后，这些标杆工厂和示范车间将充分展示九洲工业互联网平台的应用效果和价值，这些标杆工厂和示范车间也将成为九洲集团对外宣传的重要窗口，展示九洲集团在智能制造领域的实力和成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五、分步推动实施</w:t>
      </w:r>
    </w:p>
    <w:p>
      <w:pPr>
        <w:pStyle w:val="3"/>
        <w:rPr>
          <w:rFonts w:hint="eastAsia" w:ascii="楷体" w:hAnsi="楷体" w:eastAsia="楷体" w:cs="楷体"/>
          <w:b/>
          <w:bCs/>
          <w:sz w:val="32"/>
          <w:szCs w:val="32"/>
          <w:lang w:val="en-US" w:eastAsia="zh-CN"/>
        </w:rPr>
      </w:pPr>
    </w:p>
    <w:p>
      <w:pPr>
        <w:pStyle w:val="3"/>
        <w:rPr>
          <w:rFonts w:hint="eastAsia" w:ascii="楷体" w:hAnsi="楷体" w:eastAsia="楷体" w:cs="楷体"/>
          <w:b/>
          <w:bCs/>
          <w:sz w:val="32"/>
          <w:szCs w:val="32"/>
          <w:lang w:val="en-US" w:eastAsia="zh-CN"/>
        </w:rPr>
      </w:pPr>
    </w:p>
    <w:p>
      <w:pPr>
        <w:pStyle w:val="3"/>
        <w:rPr>
          <w:rFonts w:hint="eastAsia" w:ascii="楷体" w:hAnsi="楷体" w:eastAsia="楷体" w:cs="楷体"/>
          <w:b/>
          <w:bCs/>
          <w:sz w:val="32"/>
          <w:szCs w:val="32"/>
          <w:lang w:val="en-US" w:eastAsia="zh-CN"/>
        </w:rPr>
      </w:pPr>
    </w:p>
    <w:p>
      <w:pPr>
        <w:pStyle w:val="3"/>
        <w:rPr>
          <w:rFonts w:hint="eastAsia" w:ascii="楷体" w:hAnsi="楷体" w:eastAsia="楷体" w:cs="楷体"/>
          <w:b/>
          <w:bCs/>
          <w:sz w:val="32"/>
          <w:szCs w:val="32"/>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tbl>
      <w:tblPr>
        <w:tblStyle w:val="5"/>
        <w:tblpPr w:leftFromText="180" w:rightFromText="180" w:vertAnchor="text" w:horzAnchor="page" w:tblpX="1555" w:tblpY="545"/>
        <w:tblOverlap w:val="never"/>
        <w:tblW w:w="13578" w:type="dxa"/>
        <w:tblCellSpacing w:w="0" w:type="dxa"/>
        <w:tblInd w:w="0" w:type="dxa"/>
        <w:tblLayout w:type="autofit"/>
        <w:tblCellMar>
          <w:top w:w="0" w:type="dxa"/>
          <w:left w:w="0" w:type="dxa"/>
          <w:bottom w:w="0" w:type="dxa"/>
          <w:right w:w="0" w:type="dxa"/>
        </w:tblCellMar>
      </w:tblPr>
      <w:tblGrid>
        <w:gridCol w:w="2558"/>
        <w:gridCol w:w="816"/>
        <w:gridCol w:w="855"/>
        <w:gridCol w:w="844"/>
        <w:gridCol w:w="800"/>
        <w:gridCol w:w="753"/>
        <w:gridCol w:w="806"/>
        <w:gridCol w:w="758"/>
        <w:gridCol w:w="783"/>
        <w:gridCol w:w="792"/>
        <w:gridCol w:w="758"/>
        <w:gridCol w:w="724"/>
        <w:gridCol w:w="777"/>
        <w:gridCol w:w="777"/>
        <w:gridCol w:w="777"/>
      </w:tblGrid>
      <w:tr>
        <w:tblPrEx>
          <w:tblCellMar>
            <w:top w:w="0" w:type="dxa"/>
            <w:left w:w="0" w:type="dxa"/>
            <w:bottom w:w="0" w:type="dxa"/>
            <w:right w:w="0" w:type="dxa"/>
          </w:tblCellMar>
        </w:tblPrEx>
        <w:trPr>
          <w:trHeight w:val="757" w:hRule="atLeast"/>
          <w:tblCellSpacing w:w="0" w:type="dxa"/>
        </w:trPr>
        <w:tc>
          <w:tcPr>
            <w:tcW w:w="2558"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p>
        </w:tc>
        <w:tc>
          <w:tcPr>
            <w:tcW w:w="816"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b/>
                <w:bCs/>
                <w:color w:val="000000"/>
              </w:rPr>
              <w:t>11月</w:t>
            </w:r>
          </w:p>
        </w:tc>
        <w:tc>
          <w:tcPr>
            <w:tcW w:w="855"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b/>
                <w:bCs/>
                <w:color w:val="000000"/>
              </w:rPr>
              <w:t>12月</w:t>
            </w:r>
          </w:p>
        </w:tc>
        <w:tc>
          <w:tcPr>
            <w:tcW w:w="844"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b/>
                <w:bCs/>
                <w:color w:val="000000"/>
              </w:rPr>
              <w:t>1月</w:t>
            </w:r>
          </w:p>
        </w:tc>
        <w:tc>
          <w:tcPr>
            <w:tcW w:w="800"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b/>
                <w:bCs/>
                <w:color w:val="000000"/>
              </w:rPr>
              <w:t>2月</w:t>
            </w:r>
          </w:p>
        </w:tc>
        <w:tc>
          <w:tcPr>
            <w:tcW w:w="753"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b/>
                <w:bCs/>
                <w:color w:val="000000"/>
              </w:rPr>
              <w:t>3月</w:t>
            </w:r>
          </w:p>
        </w:tc>
        <w:tc>
          <w:tcPr>
            <w:tcW w:w="806"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b/>
                <w:bCs/>
                <w:color w:val="000000"/>
              </w:rPr>
              <w:t>4月</w:t>
            </w:r>
          </w:p>
        </w:tc>
        <w:tc>
          <w:tcPr>
            <w:tcW w:w="758"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b/>
                <w:bCs/>
                <w:color w:val="000000"/>
              </w:rPr>
              <w:t>5月</w:t>
            </w:r>
          </w:p>
        </w:tc>
        <w:tc>
          <w:tcPr>
            <w:tcW w:w="783"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b/>
                <w:bCs/>
                <w:color w:val="000000"/>
              </w:rPr>
              <w:t>6月</w:t>
            </w:r>
          </w:p>
        </w:tc>
        <w:tc>
          <w:tcPr>
            <w:tcW w:w="792"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b/>
                <w:bCs/>
                <w:color w:val="000000"/>
              </w:rPr>
              <w:t>7月</w:t>
            </w:r>
          </w:p>
        </w:tc>
        <w:tc>
          <w:tcPr>
            <w:tcW w:w="758"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b/>
                <w:bCs/>
                <w:color w:val="000000"/>
              </w:rPr>
              <w:t>8月</w:t>
            </w:r>
          </w:p>
        </w:tc>
        <w:tc>
          <w:tcPr>
            <w:tcW w:w="724"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b/>
                <w:bCs/>
                <w:color w:val="000000"/>
              </w:rPr>
              <w:t>9月</w:t>
            </w:r>
          </w:p>
        </w:tc>
        <w:tc>
          <w:tcPr>
            <w:tcW w:w="777"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b/>
                <w:bCs/>
                <w:color w:val="000000"/>
              </w:rPr>
              <w:t>10月</w:t>
            </w:r>
          </w:p>
        </w:tc>
        <w:tc>
          <w:tcPr>
            <w:tcW w:w="777"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b/>
                <w:bCs/>
                <w:color w:val="000000"/>
              </w:rPr>
              <w:t>11月</w:t>
            </w:r>
          </w:p>
        </w:tc>
        <w:tc>
          <w:tcPr>
            <w:tcW w:w="777"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b/>
                <w:bCs/>
                <w:color w:val="000000"/>
              </w:rPr>
              <w:t>12月</w:t>
            </w:r>
          </w:p>
        </w:tc>
      </w:tr>
      <w:tr>
        <w:tblPrEx>
          <w:tblCellMar>
            <w:top w:w="0" w:type="dxa"/>
            <w:left w:w="0" w:type="dxa"/>
            <w:bottom w:w="0" w:type="dxa"/>
            <w:right w:w="0" w:type="dxa"/>
          </w:tblCellMar>
        </w:tblPrEx>
        <w:trPr>
          <w:trHeight w:val="396" w:hRule="atLeast"/>
          <w:tblCellSpacing w:w="0" w:type="dxa"/>
        </w:trPr>
        <w:tc>
          <w:tcPr>
            <w:tcW w:w="2558"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FFFFFF" w:themeColor="background1"/>
                <w14:textFill>
                  <w14:solidFill>
                    <w14:schemeClr w14:val="bg1"/>
                  </w14:solidFill>
                </w14:textFill>
              </w:rPr>
              <w:t>数字化规划</w:t>
            </w:r>
          </w:p>
        </w:tc>
        <w:tc>
          <w:tcPr>
            <w:tcW w:w="816"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55"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44" w:type="dxa"/>
            <w:tcBorders>
              <w:top w:val="single" w:color="000000" w:sz="4" w:space="0"/>
              <w:left w:val="single" w:color="000000" w:sz="4" w:space="0"/>
              <w:bottom w:val="single" w:color="000000" w:sz="4" w:space="0"/>
              <w:right w:val="single" w:color="000000" w:sz="4" w:space="0"/>
            </w:tcBorders>
            <w:shd w:val="clear" w:color="auto" w:fill="4874CB" w:themeFill="accent1"/>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5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5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8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9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p>
        </w:tc>
        <w:tc>
          <w:tcPr>
            <w:tcW w:w="75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p>
        </w:tc>
      </w:tr>
      <w:tr>
        <w:tblPrEx>
          <w:tblCellMar>
            <w:top w:w="0" w:type="dxa"/>
            <w:left w:w="0" w:type="dxa"/>
            <w:bottom w:w="0" w:type="dxa"/>
            <w:right w:w="0" w:type="dxa"/>
          </w:tblCellMar>
        </w:tblPrEx>
        <w:trPr>
          <w:trHeight w:val="396" w:hRule="atLeast"/>
          <w:tblCellSpacing w:w="0" w:type="dxa"/>
        </w:trPr>
        <w:tc>
          <w:tcPr>
            <w:tcW w:w="2558"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rPr>
                <w:rFonts w:ascii="仿宋" w:hAnsi="仿宋" w:eastAsia="仿宋"/>
              </w:rPr>
            </w:pPr>
            <w:r>
              <w:rPr>
                <w:rFonts w:ascii="仿宋" w:hAnsi="仿宋" w:eastAsia="仿宋"/>
                <w:sz w:val="24"/>
                <w:szCs w:val="32"/>
              </w:rPr>
              <w:t>“加速推进九洲集团数字化转型”课题研究</w:t>
            </w:r>
          </w:p>
        </w:tc>
        <w:tc>
          <w:tcPr>
            <w:tcW w:w="816"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pPr>
            <w:r>
              <w:rPr>
                <w:rFonts w:hint="eastAsia"/>
              </w:rPr>
              <w:t>　</w:t>
            </w:r>
          </w:p>
        </w:tc>
        <w:tc>
          <w:tcPr>
            <w:tcW w:w="855"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r>
              <w:rPr>
                <w:rFonts w:hint="eastAsia"/>
              </w:rPr>
              <w:t>　</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r>
              <w:rPr>
                <w:rFonts w:hint="eastAsia"/>
              </w:rPr>
              <w:t>　</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rPr>
                <w:b/>
                <w:bCs/>
              </w:rPr>
            </w:pPr>
            <w:r>
              <w:rPr>
                <w:rFonts w:hint="eastAsia"/>
              </w:rPr>
              <w:t>　</w:t>
            </w:r>
          </w:p>
        </w:tc>
        <w:tc>
          <w:tcPr>
            <w:tcW w:w="75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r>
              <w:rPr>
                <w:rFonts w:hint="eastAsia"/>
              </w:rPr>
              <w:t>　</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r>
              <w:rPr>
                <w:rFonts w:hint="eastAsia"/>
              </w:rPr>
              <w:t>　</w:t>
            </w:r>
          </w:p>
        </w:tc>
        <w:tc>
          <w:tcPr>
            <w:tcW w:w="75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r>
              <w:rPr>
                <w:rFonts w:hint="eastAsia"/>
              </w:rPr>
              <w:t>　</w:t>
            </w:r>
          </w:p>
        </w:tc>
        <w:tc>
          <w:tcPr>
            <w:tcW w:w="78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r>
              <w:rPr>
                <w:rFonts w:hint="eastAsia"/>
              </w:rPr>
              <w:t>　</w:t>
            </w:r>
          </w:p>
        </w:tc>
        <w:tc>
          <w:tcPr>
            <w:tcW w:w="79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tc>
        <w:tc>
          <w:tcPr>
            <w:tcW w:w="75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tc>
        <w:tc>
          <w:tcPr>
            <w:tcW w:w="72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tc>
        <w:tc>
          <w:tcPr>
            <w:tcW w:w="77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tc>
        <w:tc>
          <w:tcPr>
            <w:tcW w:w="77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tc>
        <w:tc>
          <w:tcPr>
            <w:tcW w:w="77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tc>
      </w:tr>
      <w:tr>
        <w:tblPrEx>
          <w:tblCellMar>
            <w:top w:w="0" w:type="dxa"/>
            <w:left w:w="0" w:type="dxa"/>
            <w:bottom w:w="0" w:type="dxa"/>
            <w:right w:w="0" w:type="dxa"/>
          </w:tblCellMar>
        </w:tblPrEx>
        <w:trPr>
          <w:trHeight w:val="396" w:hRule="atLeast"/>
          <w:tblCellSpacing w:w="0" w:type="dxa"/>
        </w:trPr>
        <w:tc>
          <w:tcPr>
            <w:tcW w:w="2558" w:type="dxa"/>
            <w:tcBorders>
              <w:top w:val="single" w:color="000000" w:sz="4" w:space="0"/>
              <w:left w:val="single" w:color="000000" w:sz="4" w:space="0"/>
              <w:bottom w:val="single" w:color="000000" w:sz="4" w:space="0"/>
              <w:right w:val="single" w:color="000000" w:sz="4" w:space="0"/>
            </w:tcBorders>
            <w:shd w:val="clear" w:color="auto" w:fill="DBE3F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rPr>
              <w:t>数字化转型规划</w:t>
            </w:r>
          </w:p>
        </w:tc>
        <w:tc>
          <w:tcPr>
            <w:tcW w:w="816"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FF0000"/>
              </w:rPr>
              <w:t>　</w:t>
            </w:r>
          </w:p>
        </w:tc>
        <w:tc>
          <w:tcPr>
            <w:tcW w:w="855"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5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5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8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9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p>
        </w:tc>
        <w:tc>
          <w:tcPr>
            <w:tcW w:w="75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p>
        </w:tc>
      </w:tr>
      <w:tr>
        <w:tblPrEx>
          <w:tblCellMar>
            <w:top w:w="0" w:type="dxa"/>
            <w:left w:w="0" w:type="dxa"/>
            <w:bottom w:w="0" w:type="dxa"/>
            <w:right w:w="0" w:type="dxa"/>
          </w:tblCellMar>
        </w:tblPrEx>
        <w:trPr>
          <w:trHeight w:val="396" w:hRule="atLeast"/>
          <w:tblCellSpacing w:w="0" w:type="dxa"/>
        </w:trPr>
        <w:tc>
          <w:tcPr>
            <w:tcW w:w="2558" w:type="dxa"/>
            <w:tcBorders>
              <w:top w:val="single" w:color="000000" w:sz="4" w:space="0"/>
              <w:left w:val="single" w:color="000000" w:sz="4" w:space="0"/>
              <w:bottom w:val="single" w:color="000000" w:sz="4" w:space="0"/>
              <w:right w:val="single" w:color="000000" w:sz="4" w:space="0"/>
            </w:tcBorders>
            <w:shd w:val="clear" w:color="auto" w:fill="CFCECE"/>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rPr>
              <w:t>数字化赋能</w:t>
            </w:r>
          </w:p>
        </w:tc>
        <w:tc>
          <w:tcPr>
            <w:tcW w:w="816"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55"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44" w:type="dxa"/>
            <w:tcBorders>
              <w:top w:val="single" w:color="000000" w:sz="4" w:space="0"/>
              <w:left w:val="single" w:color="000000" w:sz="4" w:space="0"/>
              <w:bottom w:val="single" w:color="000000" w:sz="4" w:space="0"/>
              <w:right w:val="single" w:color="000000" w:sz="4" w:space="0"/>
            </w:tcBorders>
            <w:shd w:val="clear" w:color="auto" w:fill="CFCECE" w:themeFill="background2" w:themeFillShade="E5"/>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00" w:type="dxa"/>
            <w:tcBorders>
              <w:top w:val="single" w:color="000000" w:sz="4" w:space="0"/>
              <w:left w:val="single" w:color="000000" w:sz="4" w:space="0"/>
              <w:bottom w:val="single" w:color="000000" w:sz="4" w:space="0"/>
              <w:right w:val="single" w:color="000000" w:sz="4" w:space="0"/>
            </w:tcBorders>
            <w:shd w:val="clear" w:color="auto" w:fill="CFCECE" w:themeFill="background2" w:themeFillShade="E5"/>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53" w:type="dxa"/>
            <w:tcBorders>
              <w:top w:val="single" w:color="000000" w:sz="4" w:space="0"/>
              <w:left w:val="single" w:color="000000" w:sz="4" w:space="0"/>
              <w:bottom w:val="single" w:color="000000" w:sz="4" w:space="0"/>
              <w:right w:val="single" w:color="000000" w:sz="4" w:space="0"/>
            </w:tcBorders>
            <w:shd w:val="clear" w:color="auto" w:fill="CFCECE" w:themeFill="background2" w:themeFillShade="E5"/>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06" w:type="dxa"/>
            <w:tcBorders>
              <w:top w:val="single" w:color="000000" w:sz="4" w:space="0"/>
              <w:left w:val="single" w:color="000000" w:sz="4" w:space="0"/>
              <w:bottom w:val="single" w:color="000000" w:sz="4" w:space="0"/>
              <w:right w:val="single" w:color="000000" w:sz="4" w:space="0"/>
            </w:tcBorders>
            <w:shd w:val="clear" w:color="auto" w:fill="CFCECE" w:themeFill="background2" w:themeFillShade="E5"/>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58" w:type="dxa"/>
            <w:tcBorders>
              <w:top w:val="single" w:color="000000" w:sz="4" w:space="0"/>
              <w:left w:val="single" w:color="000000" w:sz="4" w:space="0"/>
              <w:bottom w:val="single" w:color="000000" w:sz="4" w:space="0"/>
              <w:right w:val="single" w:color="000000" w:sz="4" w:space="0"/>
            </w:tcBorders>
            <w:shd w:val="clear" w:color="auto" w:fill="CFCECE" w:themeFill="background2" w:themeFillShade="E5"/>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83" w:type="dxa"/>
            <w:tcBorders>
              <w:top w:val="single" w:color="000000" w:sz="4" w:space="0"/>
              <w:left w:val="single" w:color="000000" w:sz="4" w:space="0"/>
              <w:bottom w:val="single" w:color="000000" w:sz="4" w:space="0"/>
              <w:right w:val="single" w:color="000000" w:sz="4" w:space="0"/>
            </w:tcBorders>
            <w:shd w:val="clear" w:color="auto" w:fill="CFCECE" w:themeFill="background2" w:themeFillShade="E5"/>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92" w:type="dxa"/>
            <w:tcBorders>
              <w:top w:val="single" w:color="000000" w:sz="4" w:space="0"/>
              <w:left w:val="single" w:color="000000" w:sz="4" w:space="0"/>
              <w:bottom w:val="single" w:color="000000" w:sz="4" w:space="0"/>
              <w:right w:val="single" w:color="000000" w:sz="4" w:space="0"/>
            </w:tcBorders>
            <w:shd w:val="clear" w:color="auto" w:fill="CFCECE" w:themeFill="background2" w:themeFillShade="E5"/>
            <w:tcMar>
              <w:top w:w="10" w:type="dxa"/>
              <w:left w:w="10" w:type="dxa"/>
              <w:right w:w="10" w:type="dxa"/>
            </w:tcMar>
            <w:vAlign w:val="center"/>
          </w:tcPr>
          <w:p>
            <w:pPr>
              <w:pStyle w:val="4"/>
              <w:widowControl/>
              <w:rPr>
                <w:rFonts w:ascii="仿宋" w:hAnsi="仿宋" w:eastAsia="仿宋" w:cs="仿宋"/>
              </w:rPr>
            </w:pPr>
          </w:p>
        </w:tc>
        <w:tc>
          <w:tcPr>
            <w:tcW w:w="758" w:type="dxa"/>
            <w:tcBorders>
              <w:top w:val="single" w:color="000000" w:sz="4" w:space="0"/>
              <w:left w:val="single" w:color="000000" w:sz="4" w:space="0"/>
              <w:bottom w:val="single" w:color="000000" w:sz="4" w:space="0"/>
              <w:right w:val="single" w:color="000000" w:sz="4" w:space="0"/>
            </w:tcBorders>
            <w:shd w:val="clear" w:color="auto" w:fill="CFCECE" w:themeFill="background2" w:themeFillShade="E5"/>
            <w:tcMar>
              <w:top w:w="10" w:type="dxa"/>
              <w:left w:w="10" w:type="dxa"/>
              <w:right w:w="10" w:type="dxa"/>
            </w:tcMar>
            <w:vAlign w:val="center"/>
          </w:tcPr>
          <w:p>
            <w:pPr>
              <w:pStyle w:val="4"/>
              <w:widowControl/>
              <w:rPr>
                <w:rFonts w:ascii="仿宋" w:hAnsi="仿宋" w:eastAsia="仿宋" w:cs="仿宋"/>
              </w:rPr>
            </w:pPr>
          </w:p>
        </w:tc>
        <w:tc>
          <w:tcPr>
            <w:tcW w:w="724" w:type="dxa"/>
            <w:tcBorders>
              <w:top w:val="single" w:color="000000" w:sz="4" w:space="0"/>
              <w:left w:val="single" w:color="000000" w:sz="4" w:space="0"/>
              <w:bottom w:val="single" w:color="000000" w:sz="4" w:space="0"/>
              <w:right w:val="single" w:color="000000" w:sz="4" w:space="0"/>
            </w:tcBorders>
            <w:shd w:val="clear" w:color="auto" w:fill="CFCECE" w:themeFill="background2" w:themeFillShade="E5"/>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CFCECE" w:themeFill="background2" w:themeFillShade="E5"/>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CFCECE" w:themeFill="background2" w:themeFillShade="E5"/>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CFCECE" w:themeFill="background2" w:themeFillShade="E5"/>
            <w:tcMar>
              <w:top w:w="10" w:type="dxa"/>
              <w:left w:w="10" w:type="dxa"/>
              <w:right w:w="10" w:type="dxa"/>
            </w:tcMar>
            <w:vAlign w:val="center"/>
          </w:tcPr>
          <w:p>
            <w:pPr>
              <w:pStyle w:val="4"/>
              <w:widowControl/>
              <w:rPr>
                <w:rFonts w:ascii="仿宋" w:hAnsi="仿宋" w:eastAsia="仿宋" w:cs="仿宋"/>
              </w:rPr>
            </w:pPr>
          </w:p>
        </w:tc>
      </w:tr>
      <w:tr>
        <w:tblPrEx>
          <w:tblCellMar>
            <w:top w:w="0" w:type="dxa"/>
            <w:left w:w="0" w:type="dxa"/>
            <w:bottom w:w="0" w:type="dxa"/>
            <w:right w:w="0" w:type="dxa"/>
          </w:tblCellMar>
        </w:tblPrEx>
        <w:trPr>
          <w:trHeight w:val="396" w:hRule="atLeast"/>
          <w:tblCellSpacing w:w="0" w:type="dxa"/>
        </w:trPr>
        <w:tc>
          <w:tcPr>
            <w:tcW w:w="2558"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FFFFFF"/>
              </w:rPr>
              <w:t>流程与变革 </w:t>
            </w:r>
          </w:p>
        </w:tc>
        <w:tc>
          <w:tcPr>
            <w:tcW w:w="816"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55" w:type="dxa"/>
            <w:tcBorders>
              <w:top w:val="single" w:color="000000" w:sz="4" w:space="0"/>
              <w:left w:val="single" w:color="000000" w:sz="4" w:space="0"/>
              <w:bottom w:val="single" w:color="000000" w:sz="4" w:space="0"/>
              <w:right w:val="single" w:color="000000" w:sz="4" w:space="0"/>
            </w:tcBorders>
            <w:shd w:val="clear" w:color="auto" w:fill="4874CB" w:themeFill="accent1"/>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44" w:type="dxa"/>
            <w:tcBorders>
              <w:top w:val="single" w:color="000000" w:sz="4" w:space="0"/>
              <w:left w:val="single" w:color="000000" w:sz="4" w:space="0"/>
              <w:bottom w:val="single" w:color="000000" w:sz="4" w:space="0"/>
              <w:right w:val="single" w:color="000000" w:sz="4" w:space="0"/>
            </w:tcBorders>
            <w:shd w:val="clear" w:color="auto" w:fill="4874CB" w:themeFill="accent1"/>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00" w:type="dxa"/>
            <w:tcBorders>
              <w:top w:val="single" w:color="000000" w:sz="4" w:space="0"/>
              <w:left w:val="single" w:color="000000" w:sz="4" w:space="0"/>
              <w:bottom w:val="single" w:color="000000" w:sz="4" w:space="0"/>
              <w:right w:val="single" w:color="000000" w:sz="4" w:space="0"/>
            </w:tcBorders>
            <w:shd w:val="clear" w:color="auto" w:fill="4874CB" w:themeFill="accent1"/>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53" w:type="dxa"/>
            <w:tcBorders>
              <w:top w:val="single" w:color="000000" w:sz="4" w:space="0"/>
              <w:left w:val="single" w:color="000000" w:sz="4" w:space="0"/>
              <w:bottom w:val="single" w:color="000000" w:sz="4" w:space="0"/>
              <w:right w:val="single" w:color="000000" w:sz="4" w:space="0"/>
            </w:tcBorders>
            <w:shd w:val="clear" w:color="auto" w:fill="4874CB" w:themeFill="accent1"/>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06" w:type="dxa"/>
            <w:tcBorders>
              <w:top w:val="single" w:color="000000" w:sz="4" w:space="0"/>
              <w:left w:val="single" w:color="000000" w:sz="4" w:space="0"/>
              <w:bottom w:val="single" w:color="000000" w:sz="4" w:space="0"/>
              <w:right w:val="single" w:color="000000" w:sz="4" w:space="0"/>
            </w:tcBorders>
            <w:shd w:val="clear" w:color="auto" w:fill="4874CB" w:themeFill="accent1"/>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58" w:type="dxa"/>
            <w:tcBorders>
              <w:top w:val="single" w:color="000000" w:sz="4" w:space="0"/>
              <w:left w:val="single" w:color="000000" w:sz="4" w:space="0"/>
              <w:bottom w:val="single" w:color="000000" w:sz="4" w:space="0"/>
              <w:right w:val="single" w:color="000000" w:sz="4" w:space="0"/>
            </w:tcBorders>
            <w:shd w:val="clear" w:color="auto" w:fill="4874CB" w:themeFill="accent1"/>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83" w:type="dxa"/>
            <w:tcBorders>
              <w:top w:val="single" w:color="000000" w:sz="4" w:space="0"/>
              <w:left w:val="single" w:color="000000" w:sz="4" w:space="0"/>
              <w:bottom w:val="single" w:color="000000" w:sz="4" w:space="0"/>
              <w:right w:val="single" w:color="000000" w:sz="4" w:space="0"/>
            </w:tcBorders>
            <w:shd w:val="clear" w:color="auto" w:fill="4874CB" w:themeFill="accent1"/>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92" w:type="dxa"/>
            <w:tcBorders>
              <w:top w:val="single" w:color="000000" w:sz="4" w:space="0"/>
              <w:left w:val="single" w:color="000000" w:sz="4" w:space="0"/>
              <w:bottom w:val="single" w:color="000000" w:sz="4" w:space="0"/>
              <w:right w:val="single" w:color="000000" w:sz="4" w:space="0"/>
            </w:tcBorders>
            <w:shd w:val="clear" w:color="auto" w:fill="4874CB" w:themeFill="accent1"/>
            <w:tcMar>
              <w:top w:w="10" w:type="dxa"/>
              <w:left w:w="10" w:type="dxa"/>
              <w:right w:w="10" w:type="dxa"/>
            </w:tcMar>
            <w:vAlign w:val="center"/>
          </w:tcPr>
          <w:p>
            <w:pPr>
              <w:pStyle w:val="4"/>
              <w:widowControl/>
              <w:rPr>
                <w:rFonts w:ascii="仿宋" w:hAnsi="仿宋" w:eastAsia="仿宋" w:cs="仿宋"/>
              </w:rPr>
            </w:pPr>
          </w:p>
        </w:tc>
        <w:tc>
          <w:tcPr>
            <w:tcW w:w="758" w:type="dxa"/>
            <w:tcBorders>
              <w:top w:val="single" w:color="000000" w:sz="4" w:space="0"/>
              <w:left w:val="single" w:color="000000" w:sz="4" w:space="0"/>
              <w:bottom w:val="single" w:color="000000" w:sz="4" w:space="0"/>
              <w:right w:val="single" w:color="000000" w:sz="4" w:space="0"/>
            </w:tcBorders>
            <w:shd w:val="clear" w:color="auto" w:fill="4874CB" w:themeFill="accent1"/>
            <w:tcMar>
              <w:top w:w="10" w:type="dxa"/>
              <w:left w:w="10" w:type="dxa"/>
              <w:right w:w="10" w:type="dxa"/>
            </w:tcMar>
            <w:vAlign w:val="center"/>
          </w:tcPr>
          <w:p>
            <w:pPr>
              <w:pStyle w:val="4"/>
              <w:widowControl/>
              <w:rPr>
                <w:rFonts w:ascii="仿宋" w:hAnsi="仿宋" w:eastAsia="仿宋" w:cs="仿宋"/>
              </w:rPr>
            </w:pPr>
          </w:p>
        </w:tc>
        <w:tc>
          <w:tcPr>
            <w:tcW w:w="724" w:type="dxa"/>
            <w:tcBorders>
              <w:top w:val="single" w:color="000000" w:sz="4" w:space="0"/>
              <w:left w:val="single" w:color="000000" w:sz="4" w:space="0"/>
              <w:bottom w:val="single" w:color="000000" w:sz="4" w:space="0"/>
              <w:right w:val="single" w:color="000000" w:sz="4" w:space="0"/>
            </w:tcBorders>
            <w:shd w:val="clear" w:color="auto" w:fill="4874CB" w:themeFill="accent1"/>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4874CB" w:themeFill="accent1"/>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4874CB" w:themeFill="accent1"/>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4874CB" w:themeFill="accent1"/>
            <w:tcMar>
              <w:top w:w="10" w:type="dxa"/>
              <w:left w:w="10" w:type="dxa"/>
              <w:right w:w="10" w:type="dxa"/>
            </w:tcMar>
            <w:vAlign w:val="center"/>
          </w:tcPr>
          <w:p>
            <w:pPr>
              <w:pStyle w:val="4"/>
              <w:widowControl/>
              <w:rPr>
                <w:rFonts w:ascii="仿宋" w:hAnsi="仿宋" w:eastAsia="仿宋" w:cs="仿宋"/>
              </w:rPr>
            </w:pPr>
          </w:p>
        </w:tc>
      </w:tr>
      <w:tr>
        <w:tblPrEx>
          <w:tblCellMar>
            <w:top w:w="0" w:type="dxa"/>
            <w:left w:w="0" w:type="dxa"/>
            <w:bottom w:w="0" w:type="dxa"/>
            <w:right w:w="0" w:type="dxa"/>
          </w:tblCellMar>
        </w:tblPrEx>
        <w:trPr>
          <w:trHeight w:val="396" w:hRule="atLeast"/>
          <w:tblCellSpacing w:w="0" w:type="dxa"/>
        </w:trPr>
        <w:tc>
          <w:tcPr>
            <w:tcW w:w="2558"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ascii="仿宋" w:hAnsi="仿宋" w:eastAsia="仿宋"/>
              </w:rPr>
              <w:t>先进流程设计理论和标杆学习</w:t>
            </w:r>
          </w:p>
        </w:tc>
        <w:tc>
          <w:tcPr>
            <w:tcW w:w="816"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55"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44"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00"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53"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06"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58"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83"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92"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p>
        </w:tc>
        <w:tc>
          <w:tcPr>
            <w:tcW w:w="758"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p>
        </w:tc>
        <w:tc>
          <w:tcPr>
            <w:tcW w:w="724"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p>
        </w:tc>
      </w:tr>
      <w:tr>
        <w:tblPrEx>
          <w:tblCellMar>
            <w:top w:w="0" w:type="dxa"/>
            <w:left w:w="0" w:type="dxa"/>
            <w:bottom w:w="0" w:type="dxa"/>
            <w:right w:w="0" w:type="dxa"/>
          </w:tblCellMar>
        </w:tblPrEx>
        <w:trPr>
          <w:trHeight w:val="396" w:hRule="atLeast"/>
          <w:tblCellSpacing w:w="0" w:type="dxa"/>
        </w:trPr>
        <w:tc>
          <w:tcPr>
            <w:tcW w:w="2558" w:type="dxa"/>
            <w:tcBorders>
              <w:top w:val="single" w:color="000000" w:sz="4" w:space="0"/>
              <w:left w:val="single" w:color="000000" w:sz="4" w:space="0"/>
              <w:bottom w:val="single" w:color="000000" w:sz="4" w:space="0"/>
              <w:right w:val="single" w:color="000000" w:sz="4" w:space="0"/>
            </w:tcBorders>
            <w:shd w:val="clear" w:color="auto" w:fill="DBE3F4"/>
            <w:tcMar>
              <w:top w:w="10" w:type="dxa"/>
              <w:left w:w="10" w:type="dxa"/>
              <w:right w:w="10" w:type="dxa"/>
            </w:tcMar>
            <w:vAlign w:val="center"/>
          </w:tcPr>
          <w:p>
            <w:pPr>
              <w:pStyle w:val="4"/>
              <w:widowControl/>
              <w:rPr>
                <w:rFonts w:ascii="仿宋" w:hAnsi="仿宋" w:eastAsia="仿宋" w:cs="仿宋"/>
              </w:rPr>
            </w:pPr>
            <w:r>
              <w:rPr>
                <w:rFonts w:ascii="仿宋" w:hAnsi="仿宋" w:eastAsia="仿宋"/>
                <w:spacing w:val="-11"/>
                <w:sz w:val="24"/>
              </w:rPr>
              <w:t>集团流程与变革体系建设</w:t>
            </w:r>
          </w:p>
        </w:tc>
        <w:tc>
          <w:tcPr>
            <w:tcW w:w="816" w:type="dxa"/>
            <w:tcBorders>
              <w:top w:val="single" w:color="000000" w:sz="4" w:space="0"/>
              <w:left w:val="single" w:color="000000" w:sz="4" w:space="0"/>
              <w:bottom w:val="single" w:color="000000" w:sz="4" w:space="0"/>
              <w:right w:val="single" w:color="000000" w:sz="4" w:space="0"/>
            </w:tcBorders>
            <w:shd w:val="clear" w:color="auto" w:fill="DBE3F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55" w:type="dxa"/>
            <w:tcBorders>
              <w:top w:val="single" w:color="000000" w:sz="4" w:space="0"/>
              <w:left w:val="single" w:color="000000" w:sz="4" w:space="0"/>
              <w:bottom w:val="single" w:color="000000" w:sz="4" w:space="0"/>
              <w:right w:val="single" w:color="000000" w:sz="4" w:space="0"/>
            </w:tcBorders>
            <w:shd w:val="clear" w:color="auto" w:fill="DBE3F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44" w:type="dxa"/>
            <w:tcBorders>
              <w:top w:val="single" w:color="000000" w:sz="4" w:space="0"/>
              <w:left w:val="single" w:color="000000" w:sz="4" w:space="0"/>
              <w:bottom w:val="single" w:color="000000" w:sz="4" w:space="0"/>
              <w:right w:val="single" w:color="000000" w:sz="4" w:space="0"/>
            </w:tcBorders>
            <w:shd w:val="clear" w:color="auto" w:fill="DBE3F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00" w:type="dxa"/>
            <w:tcBorders>
              <w:top w:val="single" w:color="000000" w:sz="4" w:space="0"/>
              <w:left w:val="single" w:color="000000" w:sz="4" w:space="0"/>
              <w:bottom w:val="single" w:color="000000" w:sz="4" w:space="0"/>
              <w:right w:val="single" w:color="000000" w:sz="4" w:space="0"/>
            </w:tcBorders>
            <w:shd w:val="clear" w:color="auto" w:fill="DBE3F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53" w:type="dxa"/>
            <w:tcBorders>
              <w:top w:val="single" w:color="000000" w:sz="4" w:space="0"/>
              <w:left w:val="single" w:color="000000" w:sz="4" w:space="0"/>
              <w:bottom w:val="single" w:color="000000" w:sz="4" w:space="0"/>
              <w:right w:val="single" w:color="000000" w:sz="4" w:space="0"/>
            </w:tcBorders>
            <w:shd w:val="clear" w:color="auto" w:fill="DBE3F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06" w:type="dxa"/>
            <w:tcBorders>
              <w:top w:val="single" w:color="000000" w:sz="4" w:space="0"/>
              <w:left w:val="single" w:color="000000" w:sz="4" w:space="0"/>
              <w:bottom w:val="single" w:color="000000" w:sz="4" w:space="0"/>
              <w:right w:val="single" w:color="000000" w:sz="4" w:space="0"/>
            </w:tcBorders>
            <w:shd w:val="clear" w:color="auto" w:fill="DBE3F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58" w:type="dxa"/>
            <w:tcBorders>
              <w:top w:val="single" w:color="000000" w:sz="4" w:space="0"/>
              <w:left w:val="single" w:color="000000" w:sz="4" w:space="0"/>
              <w:bottom w:val="single" w:color="000000" w:sz="4" w:space="0"/>
              <w:right w:val="single" w:color="000000" w:sz="4" w:space="0"/>
            </w:tcBorders>
            <w:shd w:val="clear" w:color="auto" w:fill="DBE3F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8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9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p>
        </w:tc>
        <w:tc>
          <w:tcPr>
            <w:tcW w:w="75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p>
        </w:tc>
      </w:tr>
      <w:tr>
        <w:tblPrEx>
          <w:tblCellMar>
            <w:top w:w="0" w:type="dxa"/>
            <w:left w:w="0" w:type="dxa"/>
            <w:bottom w:w="0" w:type="dxa"/>
            <w:right w:w="0" w:type="dxa"/>
          </w:tblCellMar>
        </w:tblPrEx>
        <w:trPr>
          <w:trHeight w:val="396" w:hRule="atLeast"/>
          <w:tblCellSpacing w:w="0" w:type="dxa"/>
        </w:trPr>
        <w:tc>
          <w:tcPr>
            <w:tcW w:w="2558"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hint="default" w:ascii="仿宋" w:hAnsi="仿宋" w:eastAsia="仿宋" w:cs="仿宋"/>
                <w:lang w:val="en-US" w:eastAsia="zh-CN"/>
              </w:rPr>
            </w:pPr>
            <w:r>
              <w:rPr>
                <w:rFonts w:hint="eastAsia" w:ascii="仿宋" w:hAnsi="仿宋" w:eastAsia="仿宋" w:cs="仿宋"/>
                <w:color w:val="FFFFFF" w:themeColor="background1"/>
                <w14:textFill>
                  <w14:solidFill>
                    <w14:schemeClr w14:val="bg1"/>
                  </w14:solidFill>
                </w14:textFill>
              </w:rPr>
              <w:t>数字化</w:t>
            </w:r>
            <w:r>
              <w:rPr>
                <w:rFonts w:hint="eastAsia" w:ascii="仿宋" w:hAnsi="仿宋" w:eastAsia="仿宋" w:cs="仿宋"/>
                <w:color w:val="FFFFFF" w:themeColor="background1"/>
                <w:lang w:val="en-US" w:eastAsia="zh-CN"/>
                <w14:textFill>
                  <w14:solidFill>
                    <w14:schemeClr w14:val="bg1"/>
                  </w14:solidFill>
                </w14:textFill>
              </w:rPr>
              <w:t>架构与项目</w:t>
            </w:r>
          </w:p>
        </w:tc>
        <w:tc>
          <w:tcPr>
            <w:tcW w:w="816"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55"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44"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00"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53"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06"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58"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83"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92"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ascii="仿宋" w:hAnsi="仿宋" w:eastAsia="仿宋" w:cs="仿宋"/>
              </w:rPr>
            </w:pPr>
          </w:p>
        </w:tc>
        <w:tc>
          <w:tcPr>
            <w:tcW w:w="758"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ascii="仿宋" w:hAnsi="仿宋" w:eastAsia="仿宋" w:cs="仿宋"/>
              </w:rPr>
            </w:pPr>
          </w:p>
        </w:tc>
        <w:tc>
          <w:tcPr>
            <w:tcW w:w="724"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ascii="仿宋" w:hAnsi="仿宋" w:eastAsia="仿宋" w:cs="仿宋"/>
              </w:rPr>
            </w:pPr>
          </w:p>
        </w:tc>
      </w:tr>
      <w:tr>
        <w:tblPrEx>
          <w:tblCellMar>
            <w:top w:w="0" w:type="dxa"/>
            <w:left w:w="0" w:type="dxa"/>
            <w:bottom w:w="0" w:type="dxa"/>
            <w:right w:w="0" w:type="dxa"/>
          </w:tblCellMar>
        </w:tblPrEx>
        <w:trPr>
          <w:trHeight w:val="396" w:hRule="atLeast"/>
          <w:tblCellSpacing w:w="0" w:type="dxa"/>
        </w:trPr>
        <w:tc>
          <w:tcPr>
            <w:tcW w:w="2558"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rPr>
              <w:t>数字化项目需求备案</w:t>
            </w:r>
          </w:p>
        </w:tc>
        <w:tc>
          <w:tcPr>
            <w:tcW w:w="816"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55"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44"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00"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53"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06"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58"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83"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92"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p>
        </w:tc>
        <w:tc>
          <w:tcPr>
            <w:tcW w:w="758"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p>
        </w:tc>
        <w:tc>
          <w:tcPr>
            <w:tcW w:w="724"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p>
        </w:tc>
      </w:tr>
      <w:tr>
        <w:tblPrEx>
          <w:tblCellMar>
            <w:top w:w="0" w:type="dxa"/>
            <w:left w:w="0" w:type="dxa"/>
            <w:bottom w:w="0" w:type="dxa"/>
            <w:right w:w="0" w:type="dxa"/>
          </w:tblCellMar>
        </w:tblPrEx>
        <w:trPr>
          <w:trHeight w:val="396" w:hRule="atLeast"/>
          <w:tblCellSpacing w:w="0" w:type="dxa"/>
        </w:trPr>
        <w:tc>
          <w:tcPr>
            <w:tcW w:w="2558" w:type="dxa"/>
            <w:tcBorders>
              <w:top w:val="single" w:color="000000" w:sz="4" w:space="0"/>
              <w:left w:val="single" w:color="000000" w:sz="4" w:space="0"/>
              <w:bottom w:val="single" w:color="000000" w:sz="4" w:space="0"/>
              <w:right w:val="single" w:color="000000" w:sz="4" w:space="0"/>
            </w:tcBorders>
            <w:shd w:val="clear" w:color="auto" w:fill="DBE3F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rPr>
              <w:t>数字化转型架构规划</w:t>
            </w:r>
          </w:p>
        </w:tc>
        <w:tc>
          <w:tcPr>
            <w:tcW w:w="816" w:type="dxa"/>
            <w:tcBorders>
              <w:top w:val="single" w:color="000000" w:sz="4" w:space="0"/>
              <w:left w:val="single" w:color="000000" w:sz="4" w:space="0"/>
              <w:bottom w:val="single" w:color="000000" w:sz="4" w:space="0"/>
              <w:right w:val="single" w:color="000000" w:sz="4" w:space="0"/>
            </w:tcBorders>
            <w:shd w:val="clear" w:color="auto" w:fill="DBE3F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55" w:type="dxa"/>
            <w:tcBorders>
              <w:top w:val="single" w:color="000000" w:sz="4" w:space="0"/>
              <w:left w:val="single" w:color="000000" w:sz="4" w:space="0"/>
              <w:bottom w:val="single" w:color="000000" w:sz="4" w:space="0"/>
              <w:right w:val="single" w:color="000000" w:sz="4" w:space="0"/>
            </w:tcBorders>
            <w:shd w:val="clear" w:color="auto" w:fill="DBE3F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53"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06"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58"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83"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92"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58"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24"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r>
      <w:tr>
        <w:tblPrEx>
          <w:tblCellMar>
            <w:top w:w="0" w:type="dxa"/>
            <w:left w:w="0" w:type="dxa"/>
            <w:bottom w:w="0" w:type="dxa"/>
            <w:right w:w="0" w:type="dxa"/>
          </w:tblCellMar>
        </w:tblPrEx>
        <w:trPr>
          <w:trHeight w:val="396" w:hRule="atLeast"/>
          <w:tblCellSpacing w:w="0" w:type="dxa"/>
        </w:trPr>
        <w:tc>
          <w:tcPr>
            <w:tcW w:w="2558" w:type="dxa"/>
            <w:tcBorders>
              <w:top w:val="single" w:color="000000" w:sz="4" w:space="0"/>
              <w:left w:val="single" w:color="000000" w:sz="4" w:space="0"/>
              <w:bottom w:val="single" w:color="000000" w:sz="4" w:space="0"/>
              <w:right w:val="single" w:color="000000" w:sz="4" w:space="0"/>
            </w:tcBorders>
            <w:shd w:val="clear" w:color="auto" w:fill="CFCECE"/>
            <w:tcMar>
              <w:top w:w="10" w:type="dxa"/>
              <w:left w:w="10" w:type="dxa"/>
              <w:right w:w="10" w:type="dxa"/>
            </w:tcMar>
            <w:vAlign w:val="center"/>
          </w:tcPr>
          <w:p>
            <w:pPr>
              <w:pStyle w:val="4"/>
              <w:widowControl/>
              <w:rPr>
                <w:rFonts w:hint="default" w:ascii="仿宋" w:hAnsi="仿宋" w:eastAsia="仿宋" w:cs="仿宋"/>
                <w:lang w:val="en-US" w:eastAsia="zh-CN"/>
              </w:rPr>
            </w:pPr>
            <w:r>
              <w:rPr>
                <w:rFonts w:hint="eastAsia" w:ascii="仿宋" w:hAnsi="仿宋" w:eastAsia="仿宋" w:cs="仿宋"/>
                <w:lang w:val="en-US" w:eastAsia="zh-CN"/>
              </w:rPr>
              <w:t>4A架构建设</w:t>
            </w:r>
          </w:p>
        </w:tc>
        <w:tc>
          <w:tcPr>
            <w:tcW w:w="81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hint="eastAsia" w:ascii="仿宋" w:hAnsi="仿宋" w:eastAsia="仿宋" w:cs="仿宋"/>
                <w:color w:val="000000"/>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hint="eastAsia" w:ascii="仿宋" w:hAnsi="仿宋" w:eastAsia="仿宋" w:cs="仿宋"/>
                <w:color w:val="000000"/>
              </w:rPr>
            </w:pP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hint="eastAsia" w:ascii="仿宋" w:hAnsi="仿宋" w:eastAsia="仿宋" w:cs="仿宋"/>
                <w:color w:val="000000"/>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hint="eastAsia" w:ascii="仿宋" w:hAnsi="仿宋" w:eastAsia="仿宋" w:cs="仿宋"/>
                <w:color w:val="000000"/>
              </w:rPr>
            </w:pPr>
          </w:p>
        </w:tc>
        <w:tc>
          <w:tcPr>
            <w:tcW w:w="753"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hint="eastAsia" w:ascii="仿宋" w:hAnsi="仿宋" w:eastAsia="仿宋" w:cs="仿宋"/>
                <w:color w:val="000000"/>
              </w:rPr>
            </w:pPr>
          </w:p>
        </w:tc>
        <w:tc>
          <w:tcPr>
            <w:tcW w:w="806"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hint="eastAsia" w:ascii="仿宋" w:hAnsi="仿宋" w:eastAsia="仿宋" w:cs="仿宋"/>
                <w:color w:val="000000"/>
              </w:rPr>
            </w:pPr>
          </w:p>
        </w:tc>
        <w:tc>
          <w:tcPr>
            <w:tcW w:w="758"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hint="eastAsia" w:ascii="仿宋" w:hAnsi="仿宋" w:eastAsia="仿宋" w:cs="仿宋"/>
                <w:color w:val="000000"/>
              </w:rPr>
            </w:pPr>
          </w:p>
        </w:tc>
        <w:tc>
          <w:tcPr>
            <w:tcW w:w="783"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hint="eastAsia" w:ascii="仿宋" w:hAnsi="仿宋" w:eastAsia="仿宋" w:cs="仿宋"/>
                <w:color w:val="000000"/>
              </w:rPr>
            </w:pPr>
          </w:p>
        </w:tc>
        <w:tc>
          <w:tcPr>
            <w:tcW w:w="792"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58"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24"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r>
      <w:tr>
        <w:tblPrEx>
          <w:tblCellMar>
            <w:top w:w="0" w:type="dxa"/>
            <w:left w:w="0" w:type="dxa"/>
            <w:bottom w:w="0" w:type="dxa"/>
            <w:right w:w="0" w:type="dxa"/>
          </w:tblCellMar>
        </w:tblPrEx>
        <w:trPr>
          <w:trHeight w:val="396" w:hRule="atLeast"/>
          <w:tblCellSpacing w:w="0" w:type="dxa"/>
        </w:trPr>
        <w:tc>
          <w:tcPr>
            <w:tcW w:w="2558" w:type="dxa"/>
            <w:tcBorders>
              <w:top w:val="single" w:color="000000" w:sz="4" w:space="0"/>
              <w:left w:val="single" w:color="000000" w:sz="4" w:space="0"/>
              <w:bottom w:val="single" w:color="000000" w:sz="4" w:space="0"/>
              <w:right w:val="single" w:color="000000" w:sz="4" w:space="0"/>
            </w:tcBorders>
            <w:shd w:val="clear" w:color="auto" w:fill="4874CB" w:themeFill="accent1"/>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FFFFFF" w:themeColor="background1"/>
                <w14:textFill>
                  <w14:solidFill>
                    <w14:schemeClr w14:val="bg1"/>
                  </w14:solidFill>
                </w14:textFill>
              </w:rPr>
              <w:t>安全与保密</w:t>
            </w:r>
          </w:p>
        </w:tc>
        <w:tc>
          <w:tcPr>
            <w:tcW w:w="816"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55"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53"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06"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58"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83"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92"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58"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24"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r>
      <w:tr>
        <w:tblPrEx>
          <w:tblCellMar>
            <w:top w:w="0" w:type="dxa"/>
            <w:left w:w="0" w:type="dxa"/>
            <w:bottom w:w="0" w:type="dxa"/>
            <w:right w:w="0" w:type="dxa"/>
          </w:tblCellMar>
        </w:tblPrEx>
        <w:trPr>
          <w:trHeight w:val="396" w:hRule="atLeast"/>
          <w:tblCellSpacing w:w="0" w:type="dxa"/>
        </w:trPr>
        <w:tc>
          <w:tcPr>
            <w:tcW w:w="2558"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ascii="仿宋" w:hAnsi="仿宋" w:eastAsia="仿宋"/>
              </w:rPr>
              <w:t>6个应用系统的网络安全、数据统一性及IT基础资源的技术评估</w:t>
            </w:r>
          </w:p>
        </w:tc>
        <w:tc>
          <w:tcPr>
            <w:tcW w:w="816"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55"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53"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5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83"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r>
              <w:rPr>
                <w:rFonts w:hint="eastAsia" w:ascii="仿宋" w:hAnsi="仿宋" w:eastAsia="仿宋" w:cs="仿宋"/>
                <w:color w:val="000000"/>
              </w:rPr>
              <w:t>　</w:t>
            </w:r>
          </w:p>
        </w:tc>
        <w:tc>
          <w:tcPr>
            <w:tcW w:w="792"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58"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24"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r>
      <w:tr>
        <w:tblPrEx>
          <w:tblCellMar>
            <w:top w:w="0" w:type="dxa"/>
            <w:left w:w="0" w:type="dxa"/>
            <w:bottom w:w="0" w:type="dxa"/>
            <w:right w:w="0" w:type="dxa"/>
          </w:tblCellMar>
        </w:tblPrEx>
        <w:trPr>
          <w:trHeight w:val="396" w:hRule="atLeast"/>
          <w:tblCellSpacing w:w="0" w:type="dxa"/>
        </w:trPr>
        <w:tc>
          <w:tcPr>
            <w:tcW w:w="2558" w:type="dxa"/>
            <w:tcBorders>
              <w:top w:val="single" w:color="000000" w:sz="4" w:space="0"/>
              <w:left w:val="single" w:color="000000" w:sz="4" w:space="0"/>
              <w:bottom w:val="single" w:color="000000" w:sz="4" w:space="0"/>
              <w:right w:val="single" w:color="000000" w:sz="4" w:space="0"/>
            </w:tcBorders>
            <w:shd w:val="clear" w:color="auto" w:fill="4874CB" w:themeFill="accent1"/>
            <w:tcMar>
              <w:top w:w="10" w:type="dxa"/>
              <w:left w:w="10" w:type="dxa"/>
              <w:right w:w="10" w:type="dxa"/>
            </w:tcMar>
            <w:vAlign w:val="center"/>
          </w:tcPr>
          <w:p>
            <w:pPr>
              <w:pStyle w:val="4"/>
              <w:widowControl/>
              <w:rPr>
                <w:rFonts w:hint="eastAsia" w:ascii="仿宋" w:hAnsi="仿宋" w:eastAsia="仿宋" w:cs="仿宋"/>
              </w:rPr>
            </w:pPr>
            <w:r>
              <w:rPr>
                <w:rFonts w:hint="eastAsia" w:ascii="仿宋" w:hAnsi="仿宋" w:eastAsia="仿宋" w:cs="仿宋"/>
                <w:color w:val="FFFFFF" w:themeColor="background1"/>
                <w14:textFill>
                  <w14:solidFill>
                    <w14:schemeClr w14:val="bg1"/>
                  </w14:solidFill>
                </w14:textFill>
              </w:rPr>
              <w:t>数据管理</w:t>
            </w:r>
          </w:p>
        </w:tc>
        <w:tc>
          <w:tcPr>
            <w:tcW w:w="816"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hint="eastAsia" w:ascii="仿宋" w:hAnsi="仿宋" w:eastAsia="仿宋" w:cs="仿宋"/>
                <w:color w:val="000000"/>
              </w:rPr>
            </w:pPr>
          </w:p>
        </w:tc>
        <w:tc>
          <w:tcPr>
            <w:tcW w:w="855"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hint="eastAsia" w:ascii="仿宋" w:hAnsi="仿宋" w:eastAsia="仿宋" w:cs="仿宋"/>
                <w:color w:val="000000"/>
              </w:rPr>
            </w:pPr>
          </w:p>
        </w:tc>
        <w:tc>
          <w:tcPr>
            <w:tcW w:w="844"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hint="eastAsia" w:ascii="仿宋" w:hAnsi="仿宋" w:eastAsia="仿宋" w:cs="仿宋"/>
                <w:color w:val="000000"/>
              </w:rPr>
            </w:pPr>
          </w:p>
        </w:tc>
        <w:tc>
          <w:tcPr>
            <w:tcW w:w="800"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hint="eastAsia" w:ascii="仿宋" w:hAnsi="仿宋" w:eastAsia="仿宋" w:cs="仿宋"/>
                <w:color w:val="000000"/>
              </w:rPr>
            </w:pPr>
          </w:p>
        </w:tc>
        <w:tc>
          <w:tcPr>
            <w:tcW w:w="753"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hint="eastAsia" w:ascii="仿宋" w:hAnsi="仿宋" w:eastAsia="仿宋" w:cs="仿宋"/>
                <w:color w:val="000000"/>
              </w:rPr>
            </w:pPr>
          </w:p>
        </w:tc>
        <w:tc>
          <w:tcPr>
            <w:tcW w:w="806"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hint="eastAsia" w:ascii="仿宋" w:hAnsi="仿宋" w:eastAsia="仿宋" w:cs="仿宋"/>
                <w:color w:val="000000"/>
              </w:rPr>
            </w:pPr>
          </w:p>
        </w:tc>
        <w:tc>
          <w:tcPr>
            <w:tcW w:w="758"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hint="eastAsia" w:ascii="仿宋" w:hAnsi="仿宋" w:eastAsia="仿宋" w:cs="仿宋"/>
                <w:color w:val="000000"/>
              </w:rPr>
            </w:pPr>
          </w:p>
        </w:tc>
        <w:tc>
          <w:tcPr>
            <w:tcW w:w="783"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hint="eastAsia" w:ascii="仿宋" w:hAnsi="仿宋" w:eastAsia="仿宋" w:cs="仿宋"/>
                <w:color w:val="000000"/>
              </w:rPr>
            </w:pPr>
          </w:p>
        </w:tc>
        <w:tc>
          <w:tcPr>
            <w:tcW w:w="792"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ascii="仿宋" w:hAnsi="仿宋" w:eastAsia="仿宋" w:cs="仿宋"/>
              </w:rPr>
            </w:pPr>
          </w:p>
        </w:tc>
        <w:tc>
          <w:tcPr>
            <w:tcW w:w="758"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ascii="仿宋" w:hAnsi="仿宋" w:eastAsia="仿宋" w:cs="仿宋"/>
              </w:rPr>
            </w:pPr>
          </w:p>
        </w:tc>
        <w:tc>
          <w:tcPr>
            <w:tcW w:w="724"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ascii="仿宋" w:hAnsi="仿宋" w:eastAsia="仿宋" w:cs="仿宋"/>
              </w:rPr>
            </w:pPr>
          </w:p>
        </w:tc>
      </w:tr>
      <w:tr>
        <w:tblPrEx>
          <w:tblCellMar>
            <w:top w:w="0" w:type="dxa"/>
            <w:left w:w="0" w:type="dxa"/>
            <w:bottom w:w="0" w:type="dxa"/>
            <w:right w:w="0" w:type="dxa"/>
          </w:tblCellMar>
        </w:tblPrEx>
        <w:trPr>
          <w:trHeight w:val="396" w:hRule="atLeast"/>
          <w:tblCellSpacing w:w="0" w:type="dxa"/>
        </w:trPr>
        <w:tc>
          <w:tcPr>
            <w:tcW w:w="2558"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rPr>
            </w:pPr>
            <w:r>
              <w:rPr>
                <w:rFonts w:ascii="仿宋" w:hAnsi="仿宋" w:eastAsia="仿宋"/>
                <w:szCs w:val="32"/>
              </w:rPr>
              <w:t>形成</w:t>
            </w:r>
            <w:r>
              <w:rPr>
                <w:rFonts w:hint="eastAsia" w:ascii="仿宋" w:hAnsi="仿宋" w:eastAsia="仿宋"/>
                <w:szCs w:val="32"/>
                <w:lang w:val="en-US" w:eastAsia="zh-CN"/>
              </w:rPr>
              <w:t>集团</w:t>
            </w:r>
            <w:r>
              <w:rPr>
                <w:rFonts w:ascii="仿宋" w:hAnsi="仿宋" w:eastAsia="仿宋"/>
                <w:szCs w:val="32"/>
              </w:rPr>
              <w:t>主数据范围和标准总纲</w:t>
            </w:r>
          </w:p>
        </w:tc>
        <w:tc>
          <w:tcPr>
            <w:tcW w:w="816"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hint="eastAsia" w:ascii="仿宋" w:hAnsi="仿宋" w:eastAsia="仿宋" w:cs="仿宋"/>
                <w:color w:val="000000"/>
              </w:rPr>
            </w:pPr>
          </w:p>
        </w:tc>
        <w:tc>
          <w:tcPr>
            <w:tcW w:w="855"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hint="eastAsia" w:ascii="仿宋" w:hAnsi="仿宋" w:eastAsia="仿宋" w:cs="仿宋"/>
                <w:color w:val="000000"/>
              </w:rPr>
            </w:pP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hint="eastAsia" w:ascii="仿宋" w:hAnsi="仿宋" w:eastAsia="仿宋" w:cs="仿宋"/>
                <w:color w:val="000000"/>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hint="eastAsia" w:ascii="仿宋" w:hAnsi="仿宋" w:eastAsia="仿宋" w:cs="仿宋"/>
                <w:color w:val="000000"/>
              </w:rPr>
            </w:pPr>
          </w:p>
        </w:tc>
        <w:tc>
          <w:tcPr>
            <w:tcW w:w="753"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hint="eastAsia" w:ascii="仿宋" w:hAnsi="仿宋" w:eastAsia="仿宋" w:cs="仿宋"/>
                <w:color w:val="000000"/>
              </w:rPr>
            </w:pPr>
          </w:p>
        </w:tc>
        <w:tc>
          <w:tcPr>
            <w:tcW w:w="806"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hint="eastAsia" w:ascii="仿宋" w:hAnsi="仿宋" w:eastAsia="仿宋" w:cs="仿宋"/>
                <w:color w:val="000000"/>
              </w:rPr>
            </w:pPr>
          </w:p>
        </w:tc>
        <w:tc>
          <w:tcPr>
            <w:tcW w:w="758"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hint="eastAsia" w:ascii="仿宋" w:hAnsi="仿宋" w:eastAsia="仿宋" w:cs="仿宋"/>
                <w:color w:val="000000"/>
              </w:rPr>
            </w:pPr>
          </w:p>
        </w:tc>
        <w:tc>
          <w:tcPr>
            <w:tcW w:w="783"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hint="eastAsia" w:ascii="仿宋" w:hAnsi="仿宋" w:eastAsia="仿宋" w:cs="仿宋"/>
                <w:color w:val="000000"/>
              </w:rPr>
            </w:pPr>
          </w:p>
        </w:tc>
        <w:tc>
          <w:tcPr>
            <w:tcW w:w="792"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58"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24"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r>
      <w:tr>
        <w:tblPrEx>
          <w:tblCellMar>
            <w:top w:w="0" w:type="dxa"/>
            <w:left w:w="0" w:type="dxa"/>
            <w:bottom w:w="0" w:type="dxa"/>
            <w:right w:w="0" w:type="dxa"/>
          </w:tblCellMar>
        </w:tblPrEx>
        <w:trPr>
          <w:trHeight w:val="396" w:hRule="atLeast"/>
          <w:tblCellSpacing w:w="0" w:type="dxa"/>
        </w:trPr>
        <w:tc>
          <w:tcPr>
            <w:tcW w:w="2558"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hint="default" w:ascii="仿宋" w:hAnsi="仿宋" w:eastAsia="仿宋"/>
                <w:szCs w:val="32"/>
                <w:lang w:val="en-US" w:eastAsia="zh-CN"/>
              </w:rPr>
            </w:pPr>
            <w:r>
              <w:rPr>
                <w:rFonts w:hint="eastAsia" w:ascii="仿宋" w:hAnsi="仿宋" w:eastAsia="仿宋"/>
                <w:szCs w:val="32"/>
                <w:lang w:val="en-US" w:eastAsia="zh-CN"/>
              </w:rPr>
              <w:t>主数据系统建设</w:t>
            </w:r>
          </w:p>
        </w:tc>
        <w:tc>
          <w:tcPr>
            <w:tcW w:w="81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hint="eastAsia" w:ascii="仿宋" w:hAnsi="仿宋" w:eastAsia="仿宋" w:cs="仿宋"/>
                <w:color w:val="000000"/>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hint="eastAsia" w:ascii="仿宋" w:hAnsi="仿宋" w:eastAsia="仿宋" w:cs="仿宋"/>
                <w:color w:val="000000"/>
              </w:rPr>
            </w:pP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hint="eastAsia" w:ascii="仿宋" w:hAnsi="仿宋" w:eastAsia="仿宋" w:cs="仿宋"/>
                <w:color w:val="000000"/>
              </w:rPr>
            </w:pPr>
          </w:p>
        </w:tc>
        <w:tc>
          <w:tcPr>
            <w:tcW w:w="800" w:type="dxa"/>
            <w:tcBorders>
              <w:top w:val="single" w:color="000000" w:sz="4" w:space="0"/>
              <w:left w:val="single" w:color="000000" w:sz="4" w:space="0"/>
              <w:bottom w:val="single" w:color="000000" w:sz="4" w:space="0"/>
              <w:right w:val="single" w:color="000000" w:sz="4" w:space="0"/>
            </w:tcBorders>
            <w:shd w:val="clear" w:color="auto" w:fill="DBE3F4"/>
            <w:tcMar>
              <w:top w:w="10" w:type="dxa"/>
              <w:left w:w="10" w:type="dxa"/>
              <w:right w:w="10" w:type="dxa"/>
            </w:tcMar>
            <w:vAlign w:val="center"/>
          </w:tcPr>
          <w:p>
            <w:pPr>
              <w:pStyle w:val="4"/>
              <w:widowControl/>
              <w:rPr>
                <w:rFonts w:hint="eastAsia" w:ascii="仿宋" w:hAnsi="仿宋" w:eastAsia="仿宋" w:cs="仿宋"/>
                <w:color w:val="000000"/>
              </w:rPr>
            </w:pPr>
          </w:p>
        </w:tc>
        <w:tc>
          <w:tcPr>
            <w:tcW w:w="753" w:type="dxa"/>
            <w:tcBorders>
              <w:top w:val="single" w:color="000000" w:sz="4" w:space="0"/>
              <w:left w:val="single" w:color="000000" w:sz="4" w:space="0"/>
              <w:bottom w:val="single" w:color="000000" w:sz="4" w:space="0"/>
              <w:right w:val="single" w:color="000000" w:sz="4" w:space="0"/>
            </w:tcBorders>
            <w:shd w:val="clear" w:color="auto" w:fill="DBE3F4"/>
            <w:tcMar>
              <w:top w:w="10" w:type="dxa"/>
              <w:left w:w="10" w:type="dxa"/>
              <w:right w:w="10" w:type="dxa"/>
            </w:tcMar>
            <w:vAlign w:val="center"/>
          </w:tcPr>
          <w:p>
            <w:pPr>
              <w:pStyle w:val="4"/>
              <w:widowControl/>
              <w:rPr>
                <w:rFonts w:hint="eastAsia" w:ascii="仿宋" w:hAnsi="仿宋" w:eastAsia="仿宋" w:cs="仿宋"/>
                <w:color w:val="000000"/>
              </w:rPr>
            </w:pPr>
          </w:p>
        </w:tc>
        <w:tc>
          <w:tcPr>
            <w:tcW w:w="806" w:type="dxa"/>
            <w:tcBorders>
              <w:top w:val="single" w:color="000000" w:sz="4" w:space="0"/>
              <w:left w:val="single" w:color="000000" w:sz="4" w:space="0"/>
              <w:bottom w:val="single" w:color="000000" w:sz="4" w:space="0"/>
              <w:right w:val="single" w:color="000000" w:sz="4" w:space="0"/>
            </w:tcBorders>
            <w:shd w:val="clear" w:color="auto" w:fill="DBE3F4"/>
            <w:tcMar>
              <w:top w:w="10" w:type="dxa"/>
              <w:left w:w="10" w:type="dxa"/>
              <w:right w:w="10" w:type="dxa"/>
            </w:tcMar>
            <w:vAlign w:val="center"/>
          </w:tcPr>
          <w:p>
            <w:pPr>
              <w:pStyle w:val="4"/>
              <w:widowControl/>
              <w:rPr>
                <w:rFonts w:hint="eastAsia" w:ascii="仿宋" w:hAnsi="仿宋" w:eastAsia="仿宋" w:cs="仿宋"/>
                <w:color w:val="000000"/>
              </w:rPr>
            </w:pPr>
          </w:p>
        </w:tc>
        <w:tc>
          <w:tcPr>
            <w:tcW w:w="758" w:type="dxa"/>
            <w:tcBorders>
              <w:top w:val="single" w:color="000000" w:sz="4" w:space="0"/>
              <w:left w:val="single" w:color="000000" w:sz="4" w:space="0"/>
              <w:bottom w:val="single" w:color="000000" w:sz="4" w:space="0"/>
              <w:right w:val="single" w:color="000000" w:sz="4" w:space="0"/>
            </w:tcBorders>
            <w:shd w:val="clear" w:color="auto" w:fill="DBE3F4"/>
            <w:tcMar>
              <w:top w:w="10" w:type="dxa"/>
              <w:left w:w="10" w:type="dxa"/>
              <w:right w:w="10" w:type="dxa"/>
            </w:tcMar>
            <w:vAlign w:val="center"/>
          </w:tcPr>
          <w:p>
            <w:pPr>
              <w:pStyle w:val="4"/>
              <w:widowControl/>
              <w:rPr>
                <w:rFonts w:hint="eastAsia" w:ascii="仿宋" w:hAnsi="仿宋" w:eastAsia="仿宋" w:cs="仿宋"/>
                <w:color w:val="000000"/>
              </w:rPr>
            </w:pPr>
          </w:p>
        </w:tc>
        <w:tc>
          <w:tcPr>
            <w:tcW w:w="783" w:type="dxa"/>
            <w:tcBorders>
              <w:top w:val="single" w:color="000000" w:sz="4" w:space="0"/>
              <w:left w:val="single" w:color="000000" w:sz="4" w:space="0"/>
              <w:bottom w:val="single" w:color="000000" w:sz="4" w:space="0"/>
              <w:right w:val="single" w:color="000000" w:sz="4" w:space="0"/>
            </w:tcBorders>
            <w:shd w:val="clear" w:color="auto" w:fill="DBE3F4"/>
            <w:tcMar>
              <w:top w:w="10" w:type="dxa"/>
              <w:left w:w="10" w:type="dxa"/>
              <w:right w:w="10" w:type="dxa"/>
            </w:tcMar>
            <w:vAlign w:val="center"/>
          </w:tcPr>
          <w:p>
            <w:pPr>
              <w:pStyle w:val="4"/>
              <w:widowControl/>
              <w:rPr>
                <w:rFonts w:hint="eastAsia" w:ascii="仿宋" w:hAnsi="仿宋" w:eastAsia="仿宋" w:cs="仿宋"/>
                <w:color w:val="000000"/>
              </w:rPr>
            </w:pPr>
          </w:p>
        </w:tc>
        <w:tc>
          <w:tcPr>
            <w:tcW w:w="792" w:type="dxa"/>
            <w:tcBorders>
              <w:top w:val="single" w:color="000000" w:sz="4" w:space="0"/>
              <w:left w:val="single" w:color="000000" w:sz="4" w:space="0"/>
              <w:bottom w:val="single" w:color="000000" w:sz="4" w:space="0"/>
              <w:right w:val="single" w:color="000000" w:sz="4" w:space="0"/>
            </w:tcBorders>
            <w:shd w:val="clear" w:color="auto" w:fill="DBE3F4"/>
            <w:tcMar>
              <w:top w:w="10" w:type="dxa"/>
              <w:left w:w="10" w:type="dxa"/>
              <w:right w:w="10" w:type="dxa"/>
            </w:tcMar>
            <w:vAlign w:val="center"/>
          </w:tcPr>
          <w:p>
            <w:pPr>
              <w:pStyle w:val="4"/>
              <w:widowControl/>
              <w:rPr>
                <w:rFonts w:ascii="仿宋" w:hAnsi="仿宋" w:eastAsia="仿宋" w:cs="仿宋"/>
              </w:rPr>
            </w:pPr>
          </w:p>
        </w:tc>
        <w:tc>
          <w:tcPr>
            <w:tcW w:w="758"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24"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r>
      <w:tr>
        <w:tblPrEx>
          <w:tblCellMar>
            <w:top w:w="0" w:type="dxa"/>
            <w:left w:w="0" w:type="dxa"/>
            <w:bottom w:w="0" w:type="dxa"/>
            <w:right w:w="0" w:type="dxa"/>
          </w:tblCellMar>
        </w:tblPrEx>
        <w:trPr>
          <w:trHeight w:val="396" w:hRule="atLeast"/>
          <w:tblCellSpacing w:w="0" w:type="dxa"/>
        </w:trPr>
        <w:tc>
          <w:tcPr>
            <w:tcW w:w="2558"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ascii="仿宋" w:hAnsi="仿宋" w:eastAsia="仿宋"/>
                <w:szCs w:val="32"/>
              </w:rPr>
            </w:pPr>
            <w:r>
              <w:rPr>
                <w:rFonts w:hint="eastAsia" w:ascii="仿宋" w:hAnsi="仿宋" w:eastAsia="仿宋"/>
                <w:color w:val="FFFFFF" w:themeColor="background1"/>
                <w:szCs w:val="32"/>
                <w14:textFill>
                  <w14:solidFill>
                    <w14:schemeClr w14:val="bg1"/>
                  </w14:solidFill>
                </w14:textFill>
              </w:rPr>
              <w:t>研发及制造数字化转型</w:t>
            </w:r>
          </w:p>
        </w:tc>
        <w:tc>
          <w:tcPr>
            <w:tcW w:w="816"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hint="eastAsia" w:ascii="仿宋" w:hAnsi="仿宋" w:eastAsia="仿宋" w:cs="仿宋"/>
                <w:color w:val="000000"/>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hint="eastAsia" w:ascii="仿宋" w:hAnsi="仿宋" w:eastAsia="仿宋" w:cs="仿宋"/>
                <w:color w:val="000000"/>
              </w:rPr>
            </w:pP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hint="eastAsia" w:ascii="仿宋" w:hAnsi="仿宋" w:eastAsia="仿宋" w:cs="仿宋"/>
                <w:color w:val="000000"/>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hint="eastAsia" w:ascii="仿宋" w:hAnsi="仿宋" w:eastAsia="仿宋" w:cs="仿宋"/>
                <w:color w:val="000000"/>
              </w:rPr>
            </w:pPr>
          </w:p>
        </w:tc>
        <w:tc>
          <w:tcPr>
            <w:tcW w:w="753"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hint="eastAsia" w:ascii="仿宋" w:hAnsi="仿宋" w:eastAsia="仿宋" w:cs="仿宋"/>
                <w:color w:val="000000"/>
              </w:rPr>
            </w:pPr>
          </w:p>
        </w:tc>
        <w:tc>
          <w:tcPr>
            <w:tcW w:w="806"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hint="eastAsia" w:ascii="仿宋" w:hAnsi="仿宋" w:eastAsia="仿宋" w:cs="仿宋"/>
                <w:color w:val="000000"/>
              </w:rPr>
            </w:pPr>
          </w:p>
        </w:tc>
        <w:tc>
          <w:tcPr>
            <w:tcW w:w="758"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hint="eastAsia" w:ascii="仿宋" w:hAnsi="仿宋" w:eastAsia="仿宋" w:cs="仿宋"/>
                <w:color w:val="000000"/>
              </w:rPr>
            </w:pPr>
          </w:p>
        </w:tc>
        <w:tc>
          <w:tcPr>
            <w:tcW w:w="783"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hint="eastAsia" w:ascii="仿宋" w:hAnsi="仿宋" w:eastAsia="仿宋" w:cs="仿宋"/>
                <w:color w:val="000000"/>
              </w:rPr>
            </w:pPr>
          </w:p>
        </w:tc>
        <w:tc>
          <w:tcPr>
            <w:tcW w:w="792"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58" w:type="dxa"/>
            <w:tcBorders>
              <w:top w:val="single" w:color="000000" w:sz="4" w:space="0"/>
              <w:left w:val="single" w:color="000000" w:sz="4" w:space="0"/>
              <w:bottom w:val="single" w:color="000000" w:sz="4" w:space="0"/>
              <w:right w:val="single" w:color="000000" w:sz="4" w:space="0"/>
            </w:tcBorders>
            <w:shd w:val="clear" w:color="auto" w:fill="4874CB" w:themeFill="accent1"/>
            <w:tcMar>
              <w:top w:w="10" w:type="dxa"/>
              <w:left w:w="10" w:type="dxa"/>
              <w:right w:w="10" w:type="dxa"/>
            </w:tcMar>
            <w:vAlign w:val="center"/>
          </w:tcPr>
          <w:p>
            <w:pPr>
              <w:pStyle w:val="4"/>
              <w:widowControl/>
              <w:rPr>
                <w:rFonts w:ascii="仿宋" w:hAnsi="仿宋" w:eastAsia="仿宋" w:cs="仿宋"/>
              </w:rPr>
            </w:pPr>
          </w:p>
        </w:tc>
        <w:tc>
          <w:tcPr>
            <w:tcW w:w="724" w:type="dxa"/>
            <w:tcBorders>
              <w:top w:val="single" w:color="000000" w:sz="4" w:space="0"/>
              <w:left w:val="single" w:color="000000" w:sz="4" w:space="0"/>
              <w:bottom w:val="single" w:color="000000" w:sz="4" w:space="0"/>
              <w:right w:val="single" w:color="000000" w:sz="4" w:space="0"/>
            </w:tcBorders>
            <w:shd w:val="clear" w:color="auto" w:fill="4874CB" w:themeFill="accent1"/>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4874CB" w:themeFill="accent1"/>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4874CB" w:themeFill="accent1"/>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4472C4"/>
            <w:tcMar>
              <w:top w:w="10" w:type="dxa"/>
              <w:left w:w="10" w:type="dxa"/>
              <w:right w:w="10" w:type="dxa"/>
            </w:tcMar>
            <w:vAlign w:val="center"/>
          </w:tcPr>
          <w:p>
            <w:pPr>
              <w:pStyle w:val="4"/>
              <w:widowControl/>
              <w:rPr>
                <w:rFonts w:ascii="仿宋" w:hAnsi="仿宋" w:eastAsia="仿宋" w:cs="仿宋"/>
              </w:rPr>
            </w:pPr>
          </w:p>
        </w:tc>
      </w:tr>
      <w:tr>
        <w:tblPrEx>
          <w:tblCellMar>
            <w:top w:w="0" w:type="dxa"/>
            <w:left w:w="0" w:type="dxa"/>
            <w:bottom w:w="0" w:type="dxa"/>
            <w:right w:w="0" w:type="dxa"/>
          </w:tblCellMar>
        </w:tblPrEx>
        <w:trPr>
          <w:trHeight w:val="396" w:hRule="atLeast"/>
          <w:tblCellSpacing w:w="0" w:type="dxa"/>
        </w:trPr>
        <w:tc>
          <w:tcPr>
            <w:tcW w:w="2558"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hint="eastAsia" w:ascii="仿宋" w:hAnsi="仿宋" w:eastAsia="仿宋"/>
                <w:szCs w:val="32"/>
              </w:rPr>
            </w:pPr>
            <w:r>
              <w:rPr>
                <w:rFonts w:hint="eastAsia" w:ascii="仿宋" w:hAnsi="仿宋" w:eastAsia="仿宋"/>
                <w:szCs w:val="32"/>
              </w:rPr>
              <w:t>研发数字化转型方案</w:t>
            </w:r>
          </w:p>
        </w:tc>
        <w:tc>
          <w:tcPr>
            <w:tcW w:w="816"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hint="eastAsia" w:ascii="仿宋" w:hAnsi="仿宋" w:eastAsia="仿宋" w:cs="仿宋"/>
                <w:color w:val="000000"/>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hint="eastAsia" w:ascii="仿宋" w:hAnsi="仿宋" w:eastAsia="仿宋" w:cs="仿宋"/>
                <w:color w:val="000000"/>
              </w:rPr>
            </w:pP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hint="eastAsia" w:ascii="仿宋" w:hAnsi="仿宋" w:eastAsia="仿宋" w:cs="仿宋"/>
                <w:color w:val="000000"/>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hint="eastAsia" w:ascii="仿宋" w:hAnsi="仿宋" w:eastAsia="仿宋" w:cs="仿宋"/>
                <w:color w:val="000000"/>
              </w:rPr>
            </w:pPr>
          </w:p>
        </w:tc>
        <w:tc>
          <w:tcPr>
            <w:tcW w:w="753"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hint="eastAsia" w:ascii="仿宋" w:hAnsi="仿宋" w:eastAsia="仿宋" w:cs="仿宋"/>
                <w:color w:val="000000"/>
              </w:rPr>
            </w:pPr>
          </w:p>
        </w:tc>
        <w:tc>
          <w:tcPr>
            <w:tcW w:w="806"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hint="eastAsia" w:ascii="仿宋" w:hAnsi="仿宋" w:eastAsia="仿宋" w:cs="仿宋"/>
                <w:color w:val="000000"/>
              </w:rPr>
            </w:pPr>
          </w:p>
        </w:tc>
        <w:tc>
          <w:tcPr>
            <w:tcW w:w="758"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hint="eastAsia" w:ascii="仿宋" w:hAnsi="仿宋" w:eastAsia="仿宋" w:cs="仿宋"/>
                <w:color w:val="000000"/>
              </w:rPr>
            </w:pPr>
          </w:p>
        </w:tc>
        <w:tc>
          <w:tcPr>
            <w:tcW w:w="783"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hint="eastAsia" w:ascii="仿宋" w:hAnsi="仿宋" w:eastAsia="仿宋" w:cs="仿宋"/>
                <w:color w:val="000000"/>
              </w:rPr>
            </w:pPr>
          </w:p>
        </w:tc>
        <w:tc>
          <w:tcPr>
            <w:tcW w:w="792"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58"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24"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p>
        </w:tc>
      </w:tr>
      <w:tr>
        <w:tblPrEx>
          <w:tblCellMar>
            <w:top w:w="0" w:type="dxa"/>
            <w:left w:w="0" w:type="dxa"/>
            <w:bottom w:w="0" w:type="dxa"/>
            <w:right w:w="0" w:type="dxa"/>
          </w:tblCellMar>
        </w:tblPrEx>
        <w:trPr>
          <w:trHeight w:val="396" w:hRule="atLeast"/>
          <w:tblCellSpacing w:w="0" w:type="dxa"/>
        </w:trPr>
        <w:tc>
          <w:tcPr>
            <w:tcW w:w="2558"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hint="eastAsia" w:ascii="仿宋" w:hAnsi="仿宋" w:eastAsia="仿宋"/>
                <w:szCs w:val="32"/>
              </w:rPr>
            </w:pPr>
            <w:r>
              <w:rPr>
                <w:rFonts w:hint="eastAsia" w:ascii="仿宋" w:hAnsi="仿宋" w:eastAsia="仿宋"/>
                <w:szCs w:val="32"/>
              </w:rPr>
              <w:t>制造数字化转型方案</w:t>
            </w:r>
          </w:p>
        </w:tc>
        <w:tc>
          <w:tcPr>
            <w:tcW w:w="816"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hint="eastAsia" w:ascii="仿宋" w:hAnsi="仿宋" w:eastAsia="仿宋" w:cs="仿宋"/>
                <w:color w:val="000000"/>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hint="eastAsia" w:ascii="仿宋" w:hAnsi="仿宋" w:eastAsia="仿宋" w:cs="仿宋"/>
                <w:color w:val="000000"/>
              </w:rPr>
            </w:pP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hint="eastAsia" w:ascii="仿宋" w:hAnsi="仿宋" w:eastAsia="仿宋" w:cs="仿宋"/>
                <w:color w:val="000000"/>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pStyle w:val="4"/>
              <w:widowControl/>
              <w:rPr>
                <w:rFonts w:hint="eastAsia" w:ascii="仿宋" w:hAnsi="仿宋" w:eastAsia="仿宋" w:cs="仿宋"/>
                <w:color w:val="000000"/>
              </w:rPr>
            </w:pPr>
          </w:p>
        </w:tc>
        <w:tc>
          <w:tcPr>
            <w:tcW w:w="753"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hint="eastAsia" w:ascii="仿宋" w:hAnsi="仿宋" w:eastAsia="仿宋" w:cs="仿宋"/>
                <w:color w:val="000000"/>
              </w:rPr>
            </w:pPr>
          </w:p>
        </w:tc>
        <w:tc>
          <w:tcPr>
            <w:tcW w:w="806"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hint="eastAsia" w:ascii="仿宋" w:hAnsi="仿宋" w:eastAsia="仿宋" w:cs="仿宋"/>
                <w:color w:val="000000"/>
              </w:rPr>
            </w:pPr>
          </w:p>
        </w:tc>
        <w:tc>
          <w:tcPr>
            <w:tcW w:w="758"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hint="eastAsia" w:ascii="仿宋" w:hAnsi="仿宋" w:eastAsia="仿宋" w:cs="仿宋"/>
                <w:color w:val="000000"/>
              </w:rPr>
            </w:pPr>
          </w:p>
        </w:tc>
        <w:tc>
          <w:tcPr>
            <w:tcW w:w="783"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hint="eastAsia" w:ascii="仿宋" w:hAnsi="仿宋" w:eastAsia="仿宋" w:cs="仿宋"/>
                <w:color w:val="000000"/>
              </w:rPr>
            </w:pPr>
          </w:p>
        </w:tc>
        <w:tc>
          <w:tcPr>
            <w:tcW w:w="792"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58"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24"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p>
        </w:tc>
        <w:tc>
          <w:tcPr>
            <w:tcW w:w="777" w:type="dxa"/>
            <w:tcBorders>
              <w:top w:val="single" w:color="000000" w:sz="4" w:space="0"/>
              <w:left w:val="single" w:color="000000" w:sz="4" w:space="0"/>
              <w:bottom w:val="single" w:color="000000" w:sz="4" w:space="0"/>
              <w:right w:val="single" w:color="000000" w:sz="4" w:space="0"/>
            </w:tcBorders>
            <w:shd w:val="clear" w:color="auto" w:fill="B8CCE4"/>
            <w:tcMar>
              <w:top w:w="10" w:type="dxa"/>
              <w:left w:w="10" w:type="dxa"/>
              <w:right w:w="10" w:type="dxa"/>
            </w:tcMar>
            <w:vAlign w:val="center"/>
          </w:tcPr>
          <w:p>
            <w:pPr>
              <w:pStyle w:val="4"/>
              <w:widowControl/>
              <w:rPr>
                <w:rFonts w:ascii="仿宋" w:hAnsi="仿宋" w:eastAsia="仿宋" w:cs="仿宋"/>
              </w:rPr>
            </w:pP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楷体" w:hAnsi="楷体" w:eastAsia="楷体" w:cs="楷体"/>
          <w:b/>
          <w:bCs/>
          <w:sz w:val="32"/>
          <w:szCs w:val="32"/>
          <w:lang w:val="en-US" w:eastAsia="zh-CN"/>
        </w:rPr>
      </w:pPr>
    </w:p>
    <w:p>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pPr>
        <w:keepNext w:val="0"/>
        <w:keepLines w:val="0"/>
        <w:pageBreakBefore w:val="0"/>
        <w:widowControl w:val="0"/>
        <w:numPr>
          <w:ilvl w:val="0"/>
          <w:numId w:val="6"/>
        </w:numPr>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保障措施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数字化转型影响的不仅仅是企业的IT组织，数字化转型的主体也不能只是IT组织。从集团最高层到业务骨干再到一线作业人员，从集团平台职能部门到一线生产团队，从技能到工作习惯，都会带来全面而广泛的影响。因此，九洲的数字化转型要成功实施，至少需要在组织引领、专业队伍、制度建设、考核激励、风险管控五个方面进行保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一、强化组织领导</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数字化转型是一把手工程，数字化转型涉及多个领域，包括技术、业务流程、组织架构和文化等。需要集团领导层的积极参与和全力支持。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数字化转型需要集团组织的推动和领导。要具备长远的战略眼光和强大的领导力，能够制定可行的数字化转型计划，以确保数字化转型的成功。其次，数字化转型需要组织的文化凝聚和思想统一。很多员工对转型的不理解、不确定等心理因素都会给转型带来重重阻力，而数字化转型需要全员参与和支持，因此领导者需要鼓励员工接受新技术和新的业务流程，加强团队之间的合作，并建立开放、创新和实验的文化氛围，以支持数字化转型的成功。最后，数字化转型需要组织的长期投资。数字化转型需要有足够的技术和人才支持，只有不断地坚定的投入资源，才能确保数字化转型的长期和持续成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二、壮大人才队伍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组建一支高水平业务和IT一体化队伍。业务部门与IT部门融合，为IT产品配齐关键角色。九洲对于既懂业务又懂技术的复合型人才的需求极为迫切。选择优秀的业务骨干和IT技术人员共同投入数字化转型及变革中。一方面，数字化转型需要业务主导，IT使能，从优秀的业务主管中选拔项目关键角色，使易于被业务接受；另一方面优秀的IT人员经过数字化转型的洗礼将涌现出一批有前瞻视野、了解业务模式和流程设计的新生力量，再回到原核心岗位后，能持续巩固转型成果并赋能产业发展。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因此，九洲要多层级多途径联动和汇聚“智造”人才：一是加强对数字人才培养的统筹规划。以重点项目确保人才培养计划落到实处，推动数字化人才在集团范围内合理配置、合理分布、合理使用。二是加强九洲和产业公司、专业院校联合培养。一方面依托高校平台，深度开展产教融合创新，培养契合九洲需求的人</w:t>
      </w:r>
      <w:r>
        <w:rPr>
          <w:rFonts w:hint="eastAsia" w:ascii="仿宋_GB2312" w:hAnsi="仿宋_GB2312" w:eastAsia="仿宋_GB2312" w:cs="仿宋_GB2312"/>
          <w:b w:val="0"/>
          <w:bCs w:val="0"/>
          <w:kern w:val="2"/>
          <w:sz w:val="32"/>
          <w:szCs w:val="32"/>
          <w:lang w:val="en-US" w:eastAsia="zh-CN" w:bidi="ar-SA"/>
        </w:rPr>
        <w:t>才库，真正实现数</w:t>
      </w:r>
      <w:r>
        <w:rPr>
          <w:rFonts w:hint="eastAsia" w:ascii="仿宋_GB2312" w:hAnsi="仿宋_GB2312" w:eastAsia="仿宋_GB2312" w:cs="仿宋_GB2312"/>
          <w:kern w:val="2"/>
          <w:sz w:val="32"/>
          <w:szCs w:val="32"/>
          <w:lang w:val="en-US" w:eastAsia="zh-CN" w:bidi="ar-SA"/>
        </w:rPr>
        <w:t>字化人才供给端优化；另一方面直接吸纳相关产业公司成熟的员工，用最前沿的商业模式和最新的数字技术为九洲数字化发展助力。三是加强数字化技能培训教育。不同的岗位对数字化的要求不同，每个岗位都应接受数字化的教育。组织开发面向大九洲的数字技能通用培训教材、讲座等，搭建数字化学习教育平台，持续提升全体员工的数字思维和数字素养。</w:t>
      </w:r>
    </w:p>
    <w:p>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640" w:leftChars="0" w:firstLine="0" w:firstLineChars="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加强制度建设</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构建一套完善成熟的数字化转型与变革治理机制体系。形成数字化领导力，有效推进转型和变革。数字化管理体系的建设需要包括战略规划、组织架构、流程优化、IT技术支持等内部管理机制。明确数字化转型专班和各单位什么能做，什么不能做。确保在统一制度的规范和框架下，各领域展开自身数字化转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一是梳理集团层面和业务层面的管理界面，明确转型和变革组织的设置及其运作机制。二是构建规范的数字化建设制度规则体系，实现“集团统筹、产业复用、一地审批”。鼓励各单位在标准框架内梳理流程、建设系统等。三是构建架构原则框架，明确全局总体的方针和原则，并针对每条原则给出具体的标准、规范，以达到提供指南的效果。</w:t>
      </w:r>
    </w:p>
    <w:p>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640" w:leftChars="0" w:firstLine="0" w:firstLineChars="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严肃考核激励</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明确数字化转型的指标和权重是前提。数字化转型的目标是提升组织的效率和产业数字化能力，指标可包括数字化转型的成本效益、项目的数量和质量等。在明确目标和指标后，制定相应的绩效考核指标和权重。绩效考核指标量化数字化转型的成果和效果，权重则反映了各项指标的重要程度，将重要的考核维度和考核项赋予较大的权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定期评估和调整绩效考核体系是关键。指标与权重需要定期评估和调整，以确保与集团的数字化转型目标保持一致。以及与其他组织的比较，找出改进的空间。根据评估结果，可以对绩效考核指标和权重进行动态调整，以提高考核的有效性和精准性。</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建立激励与奖惩机制是保障。绩效考核的目的不仅是评估数字化转型的成果，还应激励和促进九洲和全体员工的数字化工作的自主性和积极性。一方面，对于集团领导和业务负责人实行责任归位，权责对等。数字化转型工作需要管理者的战略决心、信心和耐心，需要集团领导和业务一把手自上而下的推动和行动。因此，要将数字化转型工作的各项成果也纳入经营层的个人考核之中；另一方面，通过设定奖励和晋升制度，激励员工积极参与到数字化转型中。帮助员工在思想意识上进行转变，激发一批有激情的个人和团队投入九洲数字化转型事业中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五、做好风险管控</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数字化转型的过程伴随着许多风险，风险管控是数字化转型过程中不可或缺的一部分。包括安全、技术、组织等风险，九洲必须建立风险管控和反馈机制，识别和评估可能出现的风险，并采取措施进行风险管理。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风险管控包含以下四方面：一是风险评估。评估风险的严重程度和可能性，以确定应对措施的优先级。例如，对于信息安全风险，定哪些数据需要加密、哪些数据需要备份、用户访问权限等。二是风险缓解。采取措施降低风险的发生概率或严重程度。例如加强信息安全措施，加强密码策略等。三是风险转移。可以购买信息安全保险等商业保险，将风险转移给第三方。四是风险监控和反馈。数字化转型的风险处理是个持续的过程，需要建立风险监控和反馈机制，建立信息安全监控系统，以确保风险监控和反馈的有效性。</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C50880"/>
    <w:multiLevelType w:val="singleLevel"/>
    <w:tmpl w:val="8EC50880"/>
    <w:lvl w:ilvl="0" w:tentative="0">
      <w:start w:val="1"/>
      <w:numFmt w:val="chineseCounting"/>
      <w:suff w:val="nothing"/>
      <w:lvlText w:val="（%1）"/>
      <w:lvlJc w:val="left"/>
      <w:rPr>
        <w:rFonts w:hint="eastAsia"/>
      </w:rPr>
    </w:lvl>
  </w:abstractNum>
  <w:abstractNum w:abstractNumId="1">
    <w:nsid w:val="8FC6279C"/>
    <w:multiLevelType w:val="singleLevel"/>
    <w:tmpl w:val="8FC6279C"/>
    <w:lvl w:ilvl="0" w:tentative="0">
      <w:start w:val="1"/>
      <w:numFmt w:val="chineseCounting"/>
      <w:suff w:val="space"/>
      <w:lvlText w:val="第%1章"/>
      <w:lvlJc w:val="left"/>
      <w:rPr>
        <w:rFonts w:hint="eastAsia"/>
      </w:rPr>
    </w:lvl>
  </w:abstractNum>
  <w:abstractNum w:abstractNumId="2">
    <w:nsid w:val="B3A0AF07"/>
    <w:multiLevelType w:val="singleLevel"/>
    <w:tmpl w:val="B3A0AF07"/>
    <w:lvl w:ilvl="0" w:tentative="0">
      <w:start w:val="5"/>
      <w:numFmt w:val="chineseCounting"/>
      <w:suff w:val="space"/>
      <w:lvlText w:val="第%1章"/>
      <w:lvlJc w:val="left"/>
      <w:rPr>
        <w:rFonts w:hint="eastAsia"/>
      </w:rPr>
    </w:lvl>
  </w:abstractNum>
  <w:abstractNum w:abstractNumId="3">
    <w:nsid w:val="D7000A7A"/>
    <w:multiLevelType w:val="singleLevel"/>
    <w:tmpl w:val="D7000A7A"/>
    <w:lvl w:ilvl="0" w:tentative="0">
      <w:start w:val="2"/>
      <w:numFmt w:val="chineseCounting"/>
      <w:suff w:val="nothing"/>
      <w:lvlText w:val="%1、"/>
      <w:lvlJc w:val="left"/>
      <w:rPr>
        <w:rFonts w:hint="eastAsia"/>
      </w:rPr>
    </w:lvl>
  </w:abstractNum>
  <w:abstractNum w:abstractNumId="4">
    <w:nsid w:val="EB228B4E"/>
    <w:multiLevelType w:val="singleLevel"/>
    <w:tmpl w:val="EB228B4E"/>
    <w:lvl w:ilvl="0" w:tentative="0">
      <w:start w:val="1"/>
      <w:numFmt w:val="chineseCounting"/>
      <w:suff w:val="nothing"/>
      <w:lvlText w:val="%1、"/>
      <w:lvlJc w:val="left"/>
      <w:pPr>
        <w:ind w:left="640" w:leftChars="0" w:firstLine="0" w:firstLineChars="0"/>
      </w:pPr>
      <w:rPr>
        <w:rFonts w:hint="eastAsia"/>
      </w:rPr>
    </w:lvl>
  </w:abstractNum>
  <w:abstractNum w:abstractNumId="5">
    <w:nsid w:val="20BFFBBB"/>
    <w:multiLevelType w:val="singleLevel"/>
    <w:tmpl w:val="20BFFBBB"/>
    <w:lvl w:ilvl="0" w:tentative="0">
      <w:start w:val="2"/>
      <w:numFmt w:val="chineseCounting"/>
      <w:suff w:val="nothing"/>
      <w:lvlText w:val="（%1）"/>
      <w:lvlJc w:val="left"/>
      <w:rPr>
        <w:rFonts w:hint="eastAsia"/>
      </w:rPr>
    </w:lvl>
  </w:abstractNum>
  <w:abstractNum w:abstractNumId="6">
    <w:nsid w:val="25A83DA2"/>
    <w:multiLevelType w:val="singleLevel"/>
    <w:tmpl w:val="25A83DA2"/>
    <w:lvl w:ilvl="0" w:tentative="0">
      <w:start w:val="1"/>
      <w:numFmt w:val="chineseCounting"/>
      <w:suff w:val="nothing"/>
      <w:lvlText w:val="%1、"/>
      <w:lvlJc w:val="left"/>
      <w:rPr>
        <w:rFonts w:hint="eastAsia"/>
      </w:rPr>
    </w:lvl>
  </w:abstractNum>
  <w:num w:numId="1">
    <w:abstractNumId w:val="1"/>
  </w:num>
  <w:num w:numId="2">
    <w:abstractNumId w:val="4"/>
  </w:num>
  <w:num w:numId="3">
    <w:abstractNumId w:val="6"/>
  </w:num>
  <w:num w:numId="4">
    <w:abstractNumId w:val="0"/>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ljN2E3ODEwMDk1ZTQzY2M0ZmQ1OTJlMmViMGI4NTMifQ=="/>
  </w:docVars>
  <w:rsids>
    <w:rsidRoot w:val="27C44DE3"/>
    <w:rsid w:val="00BD424F"/>
    <w:rsid w:val="022D173F"/>
    <w:rsid w:val="034870A7"/>
    <w:rsid w:val="035B3281"/>
    <w:rsid w:val="040041E0"/>
    <w:rsid w:val="04156BFD"/>
    <w:rsid w:val="05551447"/>
    <w:rsid w:val="05C13E91"/>
    <w:rsid w:val="05E355AA"/>
    <w:rsid w:val="06857121"/>
    <w:rsid w:val="06BC10DA"/>
    <w:rsid w:val="07043F0B"/>
    <w:rsid w:val="07E57BDD"/>
    <w:rsid w:val="08DD18E5"/>
    <w:rsid w:val="0A1F579B"/>
    <w:rsid w:val="0B0E7EE3"/>
    <w:rsid w:val="0B55492E"/>
    <w:rsid w:val="0BB35A1E"/>
    <w:rsid w:val="0E001028"/>
    <w:rsid w:val="0F5F3EF3"/>
    <w:rsid w:val="0FD45C91"/>
    <w:rsid w:val="10BC7123"/>
    <w:rsid w:val="111C31CE"/>
    <w:rsid w:val="120E1C01"/>
    <w:rsid w:val="122D6BF8"/>
    <w:rsid w:val="132A73A5"/>
    <w:rsid w:val="13620201"/>
    <w:rsid w:val="13634952"/>
    <w:rsid w:val="13AF7BF6"/>
    <w:rsid w:val="13B93C3C"/>
    <w:rsid w:val="1643701D"/>
    <w:rsid w:val="165352F1"/>
    <w:rsid w:val="16BB05C9"/>
    <w:rsid w:val="17E0373D"/>
    <w:rsid w:val="180E1D6D"/>
    <w:rsid w:val="18CF153C"/>
    <w:rsid w:val="19EC0A10"/>
    <w:rsid w:val="1A3C1CB9"/>
    <w:rsid w:val="1AF776D6"/>
    <w:rsid w:val="1B2942EF"/>
    <w:rsid w:val="1C3A64A9"/>
    <w:rsid w:val="1DC00253"/>
    <w:rsid w:val="1FB261E4"/>
    <w:rsid w:val="1FCE24DF"/>
    <w:rsid w:val="204607B7"/>
    <w:rsid w:val="20AE5140"/>
    <w:rsid w:val="21ED1832"/>
    <w:rsid w:val="22A64FE5"/>
    <w:rsid w:val="22D2177E"/>
    <w:rsid w:val="23407D5D"/>
    <w:rsid w:val="24301E0D"/>
    <w:rsid w:val="257F3613"/>
    <w:rsid w:val="27C44DE3"/>
    <w:rsid w:val="289C584F"/>
    <w:rsid w:val="292264CC"/>
    <w:rsid w:val="293E7C0B"/>
    <w:rsid w:val="29626662"/>
    <w:rsid w:val="29631AB9"/>
    <w:rsid w:val="29686D03"/>
    <w:rsid w:val="29E512E5"/>
    <w:rsid w:val="2A7A4A94"/>
    <w:rsid w:val="2ACE738C"/>
    <w:rsid w:val="2B831C5C"/>
    <w:rsid w:val="2BDD6474"/>
    <w:rsid w:val="2C364D8E"/>
    <w:rsid w:val="2C7C6680"/>
    <w:rsid w:val="2CE16753"/>
    <w:rsid w:val="2DFF6B75"/>
    <w:rsid w:val="2E5857BF"/>
    <w:rsid w:val="2EF174C9"/>
    <w:rsid w:val="30346031"/>
    <w:rsid w:val="323368B6"/>
    <w:rsid w:val="328274EB"/>
    <w:rsid w:val="34401FC8"/>
    <w:rsid w:val="349E3B3F"/>
    <w:rsid w:val="34D76ADF"/>
    <w:rsid w:val="34DD4587"/>
    <w:rsid w:val="368045CB"/>
    <w:rsid w:val="37CC0E78"/>
    <w:rsid w:val="37E55D83"/>
    <w:rsid w:val="37F259ED"/>
    <w:rsid w:val="3902014B"/>
    <w:rsid w:val="39936F85"/>
    <w:rsid w:val="3A4931D0"/>
    <w:rsid w:val="3B613E15"/>
    <w:rsid w:val="3C0E0A33"/>
    <w:rsid w:val="3DD11608"/>
    <w:rsid w:val="3FAB647D"/>
    <w:rsid w:val="3FEC45F5"/>
    <w:rsid w:val="401F52AF"/>
    <w:rsid w:val="40744734"/>
    <w:rsid w:val="40EC1995"/>
    <w:rsid w:val="412C3E0C"/>
    <w:rsid w:val="41AE4B4B"/>
    <w:rsid w:val="41C32A6E"/>
    <w:rsid w:val="43A86F10"/>
    <w:rsid w:val="443837A1"/>
    <w:rsid w:val="44F648D4"/>
    <w:rsid w:val="45292FA8"/>
    <w:rsid w:val="452D2BA1"/>
    <w:rsid w:val="4557299B"/>
    <w:rsid w:val="4590259D"/>
    <w:rsid w:val="460B5680"/>
    <w:rsid w:val="464B0105"/>
    <w:rsid w:val="46737CA9"/>
    <w:rsid w:val="46E42955"/>
    <w:rsid w:val="47433702"/>
    <w:rsid w:val="474653BD"/>
    <w:rsid w:val="47655843"/>
    <w:rsid w:val="47DB7858"/>
    <w:rsid w:val="47FE6B56"/>
    <w:rsid w:val="486F5C07"/>
    <w:rsid w:val="48E54B66"/>
    <w:rsid w:val="497452C7"/>
    <w:rsid w:val="49F90912"/>
    <w:rsid w:val="4A4C1A86"/>
    <w:rsid w:val="4A565917"/>
    <w:rsid w:val="4A723666"/>
    <w:rsid w:val="4A9F32E3"/>
    <w:rsid w:val="4ADA3818"/>
    <w:rsid w:val="4B3320DC"/>
    <w:rsid w:val="4BC94A00"/>
    <w:rsid w:val="4C793ECB"/>
    <w:rsid w:val="4D2D31F4"/>
    <w:rsid w:val="4DD5524B"/>
    <w:rsid w:val="50CB1F07"/>
    <w:rsid w:val="512005A4"/>
    <w:rsid w:val="51C73B28"/>
    <w:rsid w:val="524D357A"/>
    <w:rsid w:val="527C7EE5"/>
    <w:rsid w:val="52AD5F01"/>
    <w:rsid w:val="52B1213A"/>
    <w:rsid w:val="559B4B26"/>
    <w:rsid w:val="55E464CD"/>
    <w:rsid w:val="55FF6223"/>
    <w:rsid w:val="56826DCB"/>
    <w:rsid w:val="56A24F6D"/>
    <w:rsid w:val="56D007FF"/>
    <w:rsid w:val="57004346"/>
    <w:rsid w:val="57392DAD"/>
    <w:rsid w:val="58277AC2"/>
    <w:rsid w:val="5A1F48A4"/>
    <w:rsid w:val="5A9E4314"/>
    <w:rsid w:val="5D156F6C"/>
    <w:rsid w:val="5D4C4020"/>
    <w:rsid w:val="60CE5DB0"/>
    <w:rsid w:val="6136238C"/>
    <w:rsid w:val="61752DB1"/>
    <w:rsid w:val="61CE2A52"/>
    <w:rsid w:val="634241E3"/>
    <w:rsid w:val="643F4EF4"/>
    <w:rsid w:val="64AD52C2"/>
    <w:rsid w:val="64F47DAF"/>
    <w:rsid w:val="65FC2B20"/>
    <w:rsid w:val="663D39AB"/>
    <w:rsid w:val="66B46722"/>
    <w:rsid w:val="681D761D"/>
    <w:rsid w:val="68821376"/>
    <w:rsid w:val="6B016D82"/>
    <w:rsid w:val="6B035B56"/>
    <w:rsid w:val="6BF82A20"/>
    <w:rsid w:val="6D236B9A"/>
    <w:rsid w:val="6D2A6629"/>
    <w:rsid w:val="6D7911F0"/>
    <w:rsid w:val="6D8D38F1"/>
    <w:rsid w:val="6DAF0D17"/>
    <w:rsid w:val="6DBD7659"/>
    <w:rsid w:val="6DDB56A0"/>
    <w:rsid w:val="6FF17AB5"/>
    <w:rsid w:val="70AC59E2"/>
    <w:rsid w:val="71634691"/>
    <w:rsid w:val="719E0FF3"/>
    <w:rsid w:val="73D83EF4"/>
    <w:rsid w:val="7400347E"/>
    <w:rsid w:val="7404035D"/>
    <w:rsid w:val="745D33A6"/>
    <w:rsid w:val="74BF7515"/>
    <w:rsid w:val="75800DC0"/>
    <w:rsid w:val="758451B8"/>
    <w:rsid w:val="7722331F"/>
    <w:rsid w:val="773F310C"/>
    <w:rsid w:val="777F7099"/>
    <w:rsid w:val="779655B4"/>
    <w:rsid w:val="79D33FDF"/>
    <w:rsid w:val="7ADB2B8E"/>
    <w:rsid w:val="7B7812ED"/>
    <w:rsid w:val="7B863116"/>
    <w:rsid w:val="7D8132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2"/>
    <w:basedOn w:val="1"/>
    <w:qFormat/>
    <w:uiPriority w:val="0"/>
    <w:pPr>
      <w:spacing w:after="120" w:line="480" w:lineRule="auto"/>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8689</Words>
  <Characters>8877</Characters>
  <Lines>0</Lines>
  <Paragraphs>0</Paragraphs>
  <TotalTime>48</TotalTime>
  <ScaleCrop>false</ScaleCrop>
  <LinksUpToDate>false</LinksUpToDate>
  <CharactersWithSpaces>8996</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2023-11-06T00:28:00Z</dcterms:created>
  <dc:creator>97352</dc:creator>
  <cp:lastModifiedBy>章安然</cp:lastModifiedBy>
  <dcterms:modified xsi:type="dcterms:W3CDTF">2023-11-16T12:16:55Z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FB0C39AC4DDF4558BCB17E80BB6622B5_13</vt:lpwstr>
  </property>
</Properties>
</file>