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EB6BE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  <w:t>关于</w:t>
      </w:r>
      <w:r>
        <w:rPr>
          <w:rFonts w:hint="eastAsia" w:eastAsia="方正小标宋简体" w:cs="Times New Roman"/>
          <w:color w:val="auto"/>
          <w:kern w:val="0"/>
          <w:sz w:val="44"/>
          <w:szCs w:val="44"/>
          <w:lang w:val="en-US" w:eastAsia="zh-CN"/>
        </w:rPr>
        <w:t>做好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  <w:t>灭火器维修</w:t>
      </w:r>
      <w:r>
        <w:rPr>
          <w:rFonts w:hint="eastAsia" w:eastAsia="方正小标宋简体" w:cs="Times New Roman"/>
          <w:color w:val="auto"/>
          <w:kern w:val="0"/>
          <w:sz w:val="44"/>
          <w:szCs w:val="44"/>
          <w:lang w:val="en-US" w:eastAsia="zh-CN"/>
        </w:rPr>
        <w:t>或</w:t>
      </w: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  <w:t>更换工作的</w:t>
      </w:r>
    </w:p>
    <w:p w14:paraId="0C2BE65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lang w:val="en-US" w:eastAsia="zh-CN"/>
        </w:rPr>
        <w:t>通知</w:t>
      </w:r>
    </w:p>
    <w:p w14:paraId="1FD84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hint="default" w:ascii="Times New Roman" w:hAnsi="Times New Roman" w:eastAsia="华文楷体" w:cs="Times New Roman"/>
          <w:color w:val="auto"/>
          <w:sz w:val="44"/>
          <w:szCs w:val="44"/>
          <w:lang w:val="en-US" w:eastAsia="zh-CN"/>
        </w:rPr>
      </w:pPr>
    </w:p>
    <w:p w14:paraId="58220F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各产业公司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，园区服务中心、资本运营部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：</w:t>
      </w:r>
    </w:p>
    <w:p w14:paraId="160238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 w:firstLine="640" w:firstLineChars="200"/>
        <w:textAlignment w:val="auto"/>
        <w:rPr>
          <w:rFonts w:hint="default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《消防设施通用规范》（GB55036-2022）于2023年3月1日起实施，要求灭火器应定期维护、维修和报废，但未对维修时间作出明确要求。近期省市消防救援主管部门明确要求参照《建筑灭火器配置验收及检查规范》（GB50444-2008）中的维修时间进行灭火器的管理。结合以上情况，现就集团灭火器维修、更换工作通知如下：</w:t>
      </w:r>
    </w:p>
    <w:p w14:paraId="44271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firstLine="640" w:firstLineChars="200"/>
        <w:textAlignment w:val="auto"/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园区服务中心、九洲千城会同资本运营部按照总部自用及租赁物业情况，各产业公司按照自用及租赁物业情况，梳理年内应更换、维修灭火器的数量，并明确责任主体，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填报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附件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，于2025年5月16日下班前报送至总部安全环保部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（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联系人：邓钦中，联系电话：13320909828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）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总部拟根据汇总情况开展灭火器集中采购，确定灭火器规格单价，各产业公司根据采购情况承担费用成本。</w:t>
      </w:r>
    </w:p>
    <w:p w14:paraId="5C31D55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firstLine="640" w:firstLineChars="200"/>
        <w:jc w:val="both"/>
        <w:textAlignment w:val="auto"/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经初步测算，灭火器在满5年时需进行维修，单次维修的价格超过新购灭火器的半价，且维修后仅能使用两年，推荐各产业公司在灭火器临近维修期限时优先选择更换灭火器。</w:t>
      </w:r>
    </w:p>
    <w:p w14:paraId="03863AB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firstLine="640" w:firstLineChars="200"/>
        <w:jc w:val="both"/>
        <w:textAlignment w:val="auto"/>
        <w:rPr>
          <w:rFonts w:hint="default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5909961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firstLine="640" w:firstLineChars="200"/>
        <w:jc w:val="both"/>
        <w:textAlignment w:val="auto"/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附件：</w:t>
      </w:r>
    </w:p>
    <w:p w14:paraId="6B158D8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1、XX公司灭火器维修/更换摸底情况表</w:t>
      </w:r>
    </w:p>
    <w:p w14:paraId="4F32488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firstLine="640" w:firstLineChars="200"/>
        <w:jc w:val="both"/>
        <w:textAlignment w:val="auto"/>
        <w:rPr>
          <w:rFonts w:hint="default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 w:cs="Times New Roman"/>
          <w:color w:val="auto"/>
          <w:kern w:val="2"/>
          <w:sz w:val="32"/>
          <w:szCs w:val="32"/>
          <w:lang w:val="en-US" w:eastAsia="zh-CN" w:bidi="ar-SA"/>
        </w:rPr>
        <w:t>2、灭火器维修和报废汇总表</w:t>
      </w:r>
    </w:p>
    <w:p w14:paraId="3BF193C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jc w:val="right"/>
        <w:textAlignment w:val="auto"/>
        <w:rPr>
          <w:rFonts w:hint="default" w:ascii="Times New Roman" w:hAnsi="Times New Roman" w:eastAsia="仿宋_GB2312" w:cs="Times New Roman"/>
          <w:color w:val="auto"/>
          <w:spacing w:val="7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7"/>
          <w:sz w:val="32"/>
          <w:szCs w:val="32"/>
          <w:lang w:val="en-US" w:eastAsia="zh-CN"/>
        </w:rPr>
        <w:t xml:space="preserve"> </w:t>
      </w:r>
    </w:p>
    <w:p w14:paraId="345B7CE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jc w:val="right"/>
        <w:textAlignment w:val="auto"/>
        <w:rPr>
          <w:rFonts w:hint="default" w:ascii="Times New Roman" w:hAnsi="Times New Roman" w:cs="Times New Roman"/>
          <w:color w:val="auto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pacing w:val="7"/>
          <w:sz w:val="32"/>
          <w:szCs w:val="32"/>
          <w:lang w:val="en-US" w:eastAsia="zh-CN"/>
        </w:rPr>
        <w:t xml:space="preserve">四川九洲投资控股集团有限公司 </w:t>
      </w:r>
    </w:p>
    <w:p w14:paraId="27714CB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pacing w:val="-2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7"/>
          <w:sz w:val="32"/>
          <w:szCs w:val="32"/>
          <w:lang w:val="en-US" w:eastAsia="zh-CN"/>
        </w:rPr>
        <w:t xml:space="preserve">                          安全环保部  </w:t>
      </w:r>
    </w:p>
    <w:p w14:paraId="50801D9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ind w:firstLine="0" w:firstLineChars="0"/>
        <w:jc w:val="right"/>
        <w:textAlignment w:val="auto"/>
        <w:rPr>
          <w:rFonts w:hint="default" w:ascii="Times New Roman" w:hAnsi="Times New Roman" w:eastAsia="仿宋_GB2312" w:cs="Times New Roman"/>
          <w:color w:val="auto"/>
          <w:spacing w:val="-19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-2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auto"/>
          <w:spacing w:val="-2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-20"/>
          <w:sz w:val="32"/>
          <w:szCs w:val="32"/>
        </w:rPr>
        <w:t xml:space="preserve">年 </w:t>
      </w:r>
      <w:r>
        <w:rPr>
          <w:rFonts w:hint="default" w:ascii="Times New Roman" w:hAnsi="Times New Roman" w:eastAsia="仿宋_GB2312" w:cs="Times New Roman"/>
          <w:color w:val="auto"/>
          <w:spacing w:val="-2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pacing w:val="-20"/>
          <w:sz w:val="32"/>
          <w:szCs w:val="32"/>
        </w:rPr>
        <w:t xml:space="preserve"> 月 </w:t>
      </w:r>
      <w:r>
        <w:rPr>
          <w:rFonts w:hint="default" w:ascii="Times New Roman" w:hAnsi="Times New Roman" w:eastAsia="仿宋_GB2312" w:cs="Times New Roman"/>
          <w:color w:val="auto"/>
          <w:spacing w:val="-2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pacing w:val="-20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pacing w:val="-19"/>
          <w:sz w:val="32"/>
          <w:szCs w:val="32"/>
        </w:rPr>
        <w:t>日</w:t>
      </w:r>
      <w:r>
        <w:rPr>
          <w:rFonts w:hint="default" w:ascii="Times New Roman" w:hAnsi="Times New Roman" w:eastAsia="仿宋_GB2312" w:cs="Times New Roman"/>
          <w:color w:val="auto"/>
          <w:spacing w:val="-19"/>
          <w:sz w:val="32"/>
          <w:szCs w:val="32"/>
          <w:lang w:val="en-US" w:eastAsia="zh-CN"/>
        </w:rPr>
        <w:t xml:space="preserve">         </w:t>
      </w:r>
    </w:p>
    <w:p w14:paraId="212ADAC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32E2AE7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700" w:lineRule="exact"/>
        <w:textAlignment w:val="auto"/>
        <w:rPr>
          <w:rFonts w:hint="default" w:ascii="Times New Roman" w:hAnsi="Times New Roman" w:cs="Times New Roman"/>
          <w:lang w:val="en-US" w:eastAsia="zh-CN"/>
        </w:rPr>
        <w:sectPr>
          <w:headerReference r:id="rId3" w:type="default"/>
          <w:pgSz w:w="11906" w:h="16838"/>
          <w:pgMar w:top="2098" w:right="1474" w:bottom="1984" w:left="1587" w:header="1134" w:footer="113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050"/>
        <w:gridCol w:w="1107"/>
        <w:gridCol w:w="956"/>
        <w:gridCol w:w="937"/>
        <w:gridCol w:w="1463"/>
        <w:gridCol w:w="1519"/>
        <w:gridCol w:w="1275"/>
        <w:gridCol w:w="1500"/>
        <w:gridCol w:w="1489"/>
      </w:tblGrid>
      <w:tr w14:paraId="5584C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72" w:type="dxa"/>
            <w:gridSpan w:val="10"/>
            <w:tcBorders>
              <w:top w:val="nil"/>
              <w:left w:val="nil"/>
              <w:right w:val="nil"/>
            </w:tcBorders>
          </w:tcPr>
          <w:p w14:paraId="3159A8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附件1：</w:t>
            </w:r>
          </w:p>
          <w:p w14:paraId="6D6FD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44"/>
                <w:szCs w:val="52"/>
                <w:vertAlign w:val="baseline"/>
                <w:lang w:val="en-US" w:eastAsia="zh-CN"/>
              </w:rPr>
              <w:t>XX</w:t>
            </w:r>
            <w:r>
              <w:rPr>
                <w:rFonts w:hint="eastAsia" w:cs="Times New Roman"/>
                <w:sz w:val="44"/>
                <w:szCs w:val="52"/>
                <w:vertAlign w:val="baseline"/>
                <w:lang w:val="en-US" w:eastAsia="zh-CN"/>
              </w:rPr>
              <w:t>公司</w:t>
            </w:r>
            <w:r>
              <w:rPr>
                <w:rFonts w:hint="default" w:ascii="Times New Roman" w:hAnsi="Times New Roman" w:cs="Times New Roman"/>
                <w:sz w:val="44"/>
                <w:szCs w:val="52"/>
                <w:vertAlign w:val="baseline"/>
                <w:lang w:val="en-US" w:eastAsia="zh-CN"/>
              </w:rPr>
              <w:t>灭火器维修/更换摸底情况表</w:t>
            </w:r>
          </w:p>
        </w:tc>
      </w:tr>
      <w:tr w14:paraId="3CFB8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6" w:type="dxa"/>
            <w:vAlign w:val="center"/>
          </w:tcPr>
          <w:p w14:paraId="2E259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灭火器管理主体单位</w:t>
            </w:r>
          </w:p>
        </w:tc>
        <w:tc>
          <w:tcPr>
            <w:tcW w:w="1050" w:type="dxa"/>
            <w:vAlign w:val="center"/>
          </w:tcPr>
          <w:p w14:paraId="7D9EA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楼栋</w:t>
            </w:r>
          </w:p>
        </w:tc>
        <w:tc>
          <w:tcPr>
            <w:tcW w:w="1107" w:type="dxa"/>
            <w:vAlign w:val="center"/>
          </w:tcPr>
          <w:p w14:paraId="5EEA3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灭火器类型</w:t>
            </w:r>
          </w:p>
        </w:tc>
        <w:tc>
          <w:tcPr>
            <w:tcW w:w="956" w:type="dxa"/>
            <w:vAlign w:val="center"/>
          </w:tcPr>
          <w:p w14:paraId="40D50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规格</w:t>
            </w:r>
          </w:p>
        </w:tc>
        <w:tc>
          <w:tcPr>
            <w:tcW w:w="937" w:type="dxa"/>
            <w:vAlign w:val="center"/>
          </w:tcPr>
          <w:p w14:paraId="57D55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数量</w:t>
            </w:r>
          </w:p>
          <w:p w14:paraId="3315D2F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（个）</w:t>
            </w:r>
          </w:p>
        </w:tc>
        <w:tc>
          <w:tcPr>
            <w:tcW w:w="1463" w:type="dxa"/>
            <w:vAlign w:val="center"/>
          </w:tcPr>
          <w:p w14:paraId="79BB4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出厂时间</w:t>
            </w:r>
          </w:p>
        </w:tc>
        <w:tc>
          <w:tcPr>
            <w:tcW w:w="1519" w:type="dxa"/>
            <w:vAlign w:val="center"/>
          </w:tcPr>
          <w:p w14:paraId="24D40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维修时间</w:t>
            </w:r>
          </w:p>
        </w:tc>
        <w:tc>
          <w:tcPr>
            <w:tcW w:w="1275" w:type="dxa"/>
            <w:vAlign w:val="center"/>
          </w:tcPr>
          <w:p w14:paraId="3FE3D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是否有损坏</w:t>
            </w:r>
          </w:p>
        </w:tc>
        <w:tc>
          <w:tcPr>
            <w:tcW w:w="1500" w:type="dxa"/>
            <w:vAlign w:val="center"/>
          </w:tcPr>
          <w:p w14:paraId="5E583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本次拟维修/更换</w:t>
            </w:r>
          </w:p>
        </w:tc>
        <w:tc>
          <w:tcPr>
            <w:tcW w:w="1489" w:type="dxa"/>
            <w:vAlign w:val="center"/>
          </w:tcPr>
          <w:p w14:paraId="6CE1B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是否参加本次集采</w:t>
            </w:r>
          </w:p>
        </w:tc>
      </w:tr>
      <w:tr w14:paraId="66394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676" w:type="dxa"/>
            <w:vAlign w:val="center"/>
          </w:tcPr>
          <w:p w14:paraId="69D62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（例）园区服务中心</w:t>
            </w:r>
          </w:p>
        </w:tc>
        <w:tc>
          <w:tcPr>
            <w:tcW w:w="1050" w:type="dxa"/>
            <w:vAlign w:val="center"/>
          </w:tcPr>
          <w:p w14:paraId="4291E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202</w:t>
            </w:r>
          </w:p>
        </w:tc>
        <w:tc>
          <w:tcPr>
            <w:tcW w:w="1107" w:type="dxa"/>
            <w:vAlign w:val="center"/>
          </w:tcPr>
          <w:p w14:paraId="5E692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干粉</w:t>
            </w:r>
          </w:p>
        </w:tc>
        <w:tc>
          <w:tcPr>
            <w:tcW w:w="956" w:type="dxa"/>
            <w:vAlign w:val="center"/>
          </w:tcPr>
          <w:p w14:paraId="3A678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4kg</w:t>
            </w:r>
          </w:p>
        </w:tc>
        <w:tc>
          <w:tcPr>
            <w:tcW w:w="937" w:type="dxa"/>
            <w:vAlign w:val="center"/>
          </w:tcPr>
          <w:p w14:paraId="76C28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100</w:t>
            </w:r>
          </w:p>
        </w:tc>
        <w:tc>
          <w:tcPr>
            <w:tcW w:w="1463" w:type="dxa"/>
            <w:vAlign w:val="center"/>
          </w:tcPr>
          <w:p w14:paraId="60730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2020.10</w:t>
            </w:r>
          </w:p>
        </w:tc>
        <w:tc>
          <w:tcPr>
            <w:tcW w:w="1519" w:type="dxa"/>
            <w:vAlign w:val="center"/>
          </w:tcPr>
          <w:p w14:paraId="129D57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/</w:t>
            </w:r>
          </w:p>
        </w:tc>
        <w:tc>
          <w:tcPr>
            <w:tcW w:w="1275" w:type="dxa"/>
            <w:vAlign w:val="center"/>
          </w:tcPr>
          <w:p w14:paraId="23315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无</w:t>
            </w:r>
          </w:p>
        </w:tc>
        <w:tc>
          <w:tcPr>
            <w:tcW w:w="1500" w:type="dxa"/>
            <w:vAlign w:val="center"/>
          </w:tcPr>
          <w:p w14:paraId="7F84D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更换</w:t>
            </w:r>
          </w:p>
        </w:tc>
        <w:tc>
          <w:tcPr>
            <w:tcW w:w="1489" w:type="dxa"/>
            <w:vAlign w:val="center"/>
          </w:tcPr>
          <w:p w14:paraId="0258C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是</w:t>
            </w:r>
          </w:p>
        </w:tc>
      </w:tr>
      <w:tr w14:paraId="786E5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6" w:type="dxa"/>
            <w:vAlign w:val="center"/>
          </w:tcPr>
          <w:p w14:paraId="339BC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（例）九州科技</w:t>
            </w:r>
          </w:p>
        </w:tc>
        <w:tc>
          <w:tcPr>
            <w:tcW w:w="1050" w:type="dxa"/>
            <w:vAlign w:val="center"/>
          </w:tcPr>
          <w:p w14:paraId="19010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114</w:t>
            </w:r>
          </w:p>
        </w:tc>
        <w:tc>
          <w:tcPr>
            <w:tcW w:w="1107" w:type="dxa"/>
            <w:vAlign w:val="center"/>
          </w:tcPr>
          <w:p w14:paraId="21F6E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二氧化碳</w:t>
            </w:r>
          </w:p>
        </w:tc>
        <w:tc>
          <w:tcPr>
            <w:tcW w:w="956" w:type="dxa"/>
            <w:vAlign w:val="center"/>
          </w:tcPr>
          <w:p w14:paraId="5F251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5kg</w:t>
            </w:r>
          </w:p>
        </w:tc>
        <w:tc>
          <w:tcPr>
            <w:tcW w:w="937" w:type="dxa"/>
            <w:vAlign w:val="center"/>
          </w:tcPr>
          <w:p w14:paraId="2190C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50</w:t>
            </w:r>
          </w:p>
        </w:tc>
        <w:tc>
          <w:tcPr>
            <w:tcW w:w="1463" w:type="dxa"/>
            <w:vAlign w:val="center"/>
          </w:tcPr>
          <w:p w14:paraId="78D03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2020.11</w:t>
            </w:r>
          </w:p>
        </w:tc>
        <w:tc>
          <w:tcPr>
            <w:tcW w:w="1519" w:type="dxa"/>
            <w:vAlign w:val="center"/>
          </w:tcPr>
          <w:p w14:paraId="6EF1C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/</w:t>
            </w:r>
          </w:p>
        </w:tc>
        <w:tc>
          <w:tcPr>
            <w:tcW w:w="1275" w:type="dxa"/>
            <w:vAlign w:val="center"/>
          </w:tcPr>
          <w:p w14:paraId="327FB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无</w:t>
            </w:r>
          </w:p>
        </w:tc>
        <w:tc>
          <w:tcPr>
            <w:tcW w:w="1500" w:type="dxa"/>
            <w:vAlign w:val="center"/>
          </w:tcPr>
          <w:p w14:paraId="57125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维修</w:t>
            </w:r>
          </w:p>
        </w:tc>
        <w:tc>
          <w:tcPr>
            <w:tcW w:w="1489" w:type="dxa"/>
            <w:vAlign w:val="center"/>
          </w:tcPr>
          <w:p w14:paraId="589D1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是</w:t>
            </w:r>
          </w:p>
        </w:tc>
      </w:tr>
      <w:tr w14:paraId="35B0A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6" w:type="dxa"/>
            <w:vAlign w:val="center"/>
          </w:tcPr>
          <w:p w14:paraId="1DA39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（例）九州科技</w:t>
            </w:r>
          </w:p>
        </w:tc>
        <w:tc>
          <w:tcPr>
            <w:tcW w:w="1050" w:type="dxa"/>
            <w:vAlign w:val="center"/>
          </w:tcPr>
          <w:p w14:paraId="61EE4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114</w:t>
            </w:r>
          </w:p>
        </w:tc>
        <w:tc>
          <w:tcPr>
            <w:tcW w:w="1107" w:type="dxa"/>
            <w:vAlign w:val="center"/>
          </w:tcPr>
          <w:p w14:paraId="58483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二氧化碳</w:t>
            </w:r>
          </w:p>
        </w:tc>
        <w:tc>
          <w:tcPr>
            <w:tcW w:w="956" w:type="dxa"/>
            <w:vAlign w:val="center"/>
          </w:tcPr>
          <w:p w14:paraId="6A960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5kg</w:t>
            </w:r>
          </w:p>
        </w:tc>
        <w:tc>
          <w:tcPr>
            <w:tcW w:w="937" w:type="dxa"/>
            <w:vAlign w:val="center"/>
          </w:tcPr>
          <w:p w14:paraId="49487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1463" w:type="dxa"/>
            <w:vAlign w:val="center"/>
          </w:tcPr>
          <w:p w14:paraId="4945F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2024.10</w:t>
            </w:r>
          </w:p>
        </w:tc>
        <w:tc>
          <w:tcPr>
            <w:tcW w:w="1519" w:type="dxa"/>
            <w:vAlign w:val="center"/>
          </w:tcPr>
          <w:p w14:paraId="4E028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/</w:t>
            </w:r>
          </w:p>
        </w:tc>
        <w:tc>
          <w:tcPr>
            <w:tcW w:w="1275" w:type="dxa"/>
            <w:vAlign w:val="center"/>
          </w:tcPr>
          <w:p w14:paraId="27ABFF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是</w:t>
            </w:r>
          </w:p>
        </w:tc>
        <w:tc>
          <w:tcPr>
            <w:tcW w:w="1500" w:type="dxa"/>
            <w:vAlign w:val="center"/>
          </w:tcPr>
          <w:p w14:paraId="4A3E2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更换</w:t>
            </w:r>
          </w:p>
        </w:tc>
        <w:tc>
          <w:tcPr>
            <w:tcW w:w="1489" w:type="dxa"/>
            <w:vAlign w:val="center"/>
          </w:tcPr>
          <w:p w14:paraId="218E7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是</w:t>
            </w:r>
          </w:p>
        </w:tc>
      </w:tr>
      <w:tr w14:paraId="4FF9E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6" w:type="dxa"/>
            <w:vAlign w:val="center"/>
          </w:tcPr>
          <w:p w14:paraId="1BD48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vAlign w:val="center"/>
          </w:tcPr>
          <w:p w14:paraId="75D0F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107" w:type="dxa"/>
            <w:vAlign w:val="center"/>
          </w:tcPr>
          <w:p w14:paraId="77589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956" w:type="dxa"/>
            <w:vAlign w:val="center"/>
          </w:tcPr>
          <w:p w14:paraId="18847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937" w:type="dxa"/>
            <w:vAlign w:val="center"/>
          </w:tcPr>
          <w:p w14:paraId="2C7C1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463" w:type="dxa"/>
            <w:vAlign w:val="center"/>
          </w:tcPr>
          <w:p w14:paraId="0F1D2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19" w:type="dxa"/>
            <w:vAlign w:val="center"/>
          </w:tcPr>
          <w:p w14:paraId="0F26C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23DBD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06D0E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489" w:type="dxa"/>
            <w:vAlign w:val="center"/>
          </w:tcPr>
          <w:p w14:paraId="6E582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</w:tr>
    </w:tbl>
    <w:p w14:paraId="35F081B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（备注：本表仅填报总部或产业公司应更换、维修的灭火器情况，门面等租赁物业由产权单位督促其更换）</w:t>
      </w:r>
    </w:p>
    <w:p w14:paraId="0ED5C22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eastAsia="仿宋_GB2312" w:cs="Times New Roman"/>
          <w:sz w:val="32"/>
          <w:szCs w:val="32"/>
          <w:lang w:val="en-US" w:eastAsia="zh-CN"/>
        </w:rPr>
      </w:pPr>
    </w:p>
    <w:p w14:paraId="18D77B1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eastAsia="仿宋_GB2312" w:cs="Times New Roman"/>
          <w:sz w:val="32"/>
          <w:szCs w:val="32"/>
          <w:lang w:val="en-US" w:eastAsia="zh-CN"/>
        </w:rPr>
      </w:pPr>
    </w:p>
    <w:p w14:paraId="47AAA59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eastAsia="仿宋_GB2312" w:cs="Times New Roman"/>
          <w:sz w:val="32"/>
          <w:szCs w:val="32"/>
          <w:lang w:val="en-US" w:eastAsia="zh-CN"/>
        </w:rPr>
      </w:pPr>
    </w:p>
    <w:p w14:paraId="2511CA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eastAsia="仿宋_GB2312" w:cs="Times New Roman"/>
          <w:sz w:val="32"/>
          <w:szCs w:val="32"/>
          <w:lang w:val="en-US" w:eastAsia="zh-CN"/>
        </w:rPr>
      </w:pPr>
    </w:p>
    <w:p w14:paraId="01A8EAC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eastAsia="仿宋_GB2312" w:cs="Times New Roman"/>
          <w:sz w:val="32"/>
          <w:szCs w:val="32"/>
          <w:lang w:val="en-US" w:eastAsia="zh-CN"/>
        </w:rPr>
      </w:pPr>
    </w:p>
    <w:p w14:paraId="280A382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eastAsia="仿宋_GB2312" w:cs="Times New Roman"/>
          <w:sz w:val="32"/>
          <w:szCs w:val="32"/>
          <w:lang w:val="en-US" w:eastAsia="zh-CN"/>
        </w:rPr>
      </w:pPr>
    </w:p>
    <w:p w14:paraId="4AD8C1E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eastAsia="仿宋_GB2312" w:cs="Times New Roman"/>
          <w:sz w:val="32"/>
          <w:szCs w:val="32"/>
          <w:lang w:val="en-US" w:eastAsia="zh-CN"/>
        </w:rPr>
      </w:pPr>
    </w:p>
    <w:p w14:paraId="1DA42BC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eastAsia="仿宋_GB2312" w:cs="Times New Roman"/>
          <w:sz w:val="32"/>
          <w:szCs w:val="32"/>
          <w:lang w:val="en-US" w:eastAsia="zh-CN"/>
        </w:rPr>
      </w:pPr>
    </w:p>
    <w:p w14:paraId="7B2CB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附件2：</w:t>
      </w:r>
    </w:p>
    <w:p w14:paraId="1CA0FD7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kern w:val="2"/>
          <w:sz w:val="44"/>
          <w:szCs w:val="52"/>
          <w:vertAlign w:val="baseli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44"/>
          <w:szCs w:val="52"/>
          <w:vertAlign w:val="baseline"/>
          <w:lang w:val="en-US" w:eastAsia="zh-CN" w:bidi="ar-SA"/>
        </w:rPr>
        <w:t>灭火器维修和报废汇总表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3056"/>
        <w:gridCol w:w="1463"/>
        <w:gridCol w:w="1894"/>
        <w:gridCol w:w="4350"/>
        <w:gridCol w:w="1087"/>
      </w:tblGrid>
      <w:tr w14:paraId="21729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71" w:type="dxa"/>
            <w:gridSpan w:val="2"/>
            <w:vAlign w:val="center"/>
          </w:tcPr>
          <w:p w14:paraId="469B7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灭火器类型</w:t>
            </w:r>
          </w:p>
        </w:tc>
        <w:tc>
          <w:tcPr>
            <w:tcW w:w="1463" w:type="dxa"/>
            <w:vAlign w:val="center"/>
          </w:tcPr>
          <w:p w14:paraId="69C64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维修条件</w:t>
            </w:r>
          </w:p>
        </w:tc>
        <w:tc>
          <w:tcPr>
            <w:tcW w:w="1894" w:type="dxa"/>
            <w:vAlign w:val="center"/>
          </w:tcPr>
          <w:p w14:paraId="1FF11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维修年限</w:t>
            </w:r>
          </w:p>
        </w:tc>
        <w:tc>
          <w:tcPr>
            <w:tcW w:w="4350" w:type="dxa"/>
            <w:vAlign w:val="center"/>
          </w:tcPr>
          <w:p w14:paraId="7F14B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报废条件</w:t>
            </w:r>
          </w:p>
        </w:tc>
        <w:tc>
          <w:tcPr>
            <w:tcW w:w="1087" w:type="dxa"/>
            <w:vAlign w:val="center"/>
          </w:tcPr>
          <w:p w14:paraId="6B0AA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8"/>
                <w:szCs w:val="36"/>
                <w:vertAlign w:val="baseline"/>
                <w:lang w:val="en-US" w:eastAsia="zh-CN"/>
              </w:rPr>
              <w:t>最大报废年限</w:t>
            </w:r>
          </w:p>
        </w:tc>
      </w:tr>
      <w:tr w14:paraId="4E703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115" w:type="dxa"/>
            <w:vMerge w:val="restart"/>
            <w:vAlign w:val="center"/>
          </w:tcPr>
          <w:p w14:paraId="3ADD3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水基型灭火器</w:t>
            </w:r>
          </w:p>
        </w:tc>
        <w:tc>
          <w:tcPr>
            <w:tcW w:w="3056" w:type="dxa"/>
            <w:vAlign w:val="center"/>
          </w:tcPr>
          <w:p w14:paraId="29880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手提式水基型灭火器</w:t>
            </w:r>
          </w:p>
        </w:tc>
        <w:tc>
          <w:tcPr>
            <w:tcW w:w="1463" w:type="dxa"/>
            <w:vMerge w:val="restart"/>
            <w:vAlign w:val="center"/>
          </w:tcPr>
          <w:p w14:paraId="021B1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存在机械损伤、明显锈蚀、灭火剂泄露、被开启使用过</w:t>
            </w: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、达到维修年限</w:t>
            </w: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或符合其他维修条件的灭火器应及时进行维修。</w:t>
            </w:r>
          </w:p>
        </w:tc>
        <w:tc>
          <w:tcPr>
            <w:tcW w:w="1894" w:type="dxa"/>
            <w:vMerge w:val="restart"/>
            <w:vAlign w:val="center"/>
          </w:tcPr>
          <w:p w14:paraId="5269A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出厂期满3年；首次维修以后每满1年</w:t>
            </w:r>
          </w:p>
        </w:tc>
        <w:tc>
          <w:tcPr>
            <w:tcW w:w="4350" w:type="dxa"/>
            <w:vMerge w:val="restart"/>
            <w:vAlign w:val="center"/>
          </w:tcPr>
          <w:p w14:paraId="6DBBD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1、</w:t>
            </w: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筒体锈蚀面积大于或等于筒体总表面积的1/3</w:t>
            </w: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表面有凹坑</w:t>
            </w: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；</w:t>
            </w:r>
          </w:p>
          <w:p w14:paraId="6EF68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2、</w:t>
            </w: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简体明显变形</w:t>
            </w: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机械损伤严重</w:t>
            </w: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；</w:t>
            </w:r>
          </w:p>
          <w:p w14:paraId="7822E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3、</w:t>
            </w: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器头存在裂纹、无泄压机构</w:t>
            </w: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；</w:t>
            </w:r>
          </w:p>
          <w:p w14:paraId="7ACB1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存在简体为平底等结构不合理现象</w:t>
            </w: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；</w:t>
            </w:r>
          </w:p>
          <w:p w14:paraId="4DB1A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4、</w:t>
            </w: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没有间歇喷射机构的手提式灭火器</w:t>
            </w: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；</w:t>
            </w:r>
          </w:p>
          <w:p w14:paraId="66A5D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5、</w:t>
            </w: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不能确认生产单位名称和出厂时间</w:t>
            </w: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包括铭牌脱落</w:t>
            </w: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铭牌模糊、不能分辨生产单位名称</w:t>
            </w: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，6、</w:t>
            </w: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出厂时间钢印无法识别等</w:t>
            </w: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；</w:t>
            </w:r>
          </w:p>
          <w:p w14:paraId="6BB0C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筒体</w:t>
            </w: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有锡焊、铜焊或补缀等修补痕迹</w:t>
            </w: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；</w:t>
            </w:r>
          </w:p>
          <w:p w14:paraId="54614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7、</w:t>
            </w: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被火烧过</w:t>
            </w: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；</w:t>
            </w:r>
          </w:p>
          <w:p w14:paraId="39B22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8、</w:t>
            </w:r>
            <w:r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  <w:t>出厂时间达到或超过最大报废期限</w:t>
            </w:r>
          </w:p>
        </w:tc>
        <w:tc>
          <w:tcPr>
            <w:tcW w:w="1087" w:type="dxa"/>
            <w:vMerge w:val="restart"/>
            <w:vAlign w:val="center"/>
          </w:tcPr>
          <w:p w14:paraId="1CAACF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6年</w:t>
            </w:r>
          </w:p>
        </w:tc>
      </w:tr>
      <w:tr w14:paraId="12973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dxa"/>
            <w:vMerge w:val="continue"/>
            <w:vAlign w:val="center"/>
          </w:tcPr>
          <w:p w14:paraId="365EB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056" w:type="dxa"/>
            <w:vAlign w:val="center"/>
          </w:tcPr>
          <w:p w14:paraId="43A8A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推车式水基型灭火器</w:t>
            </w:r>
          </w:p>
        </w:tc>
        <w:tc>
          <w:tcPr>
            <w:tcW w:w="1463" w:type="dxa"/>
            <w:vMerge w:val="continue"/>
            <w:vAlign w:val="center"/>
          </w:tcPr>
          <w:p w14:paraId="45396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vMerge w:val="continue"/>
            <w:vAlign w:val="center"/>
          </w:tcPr>
          <w:p w14:paraId="31F48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350" w:type="dxa"/>
            <w:vMerge w:val="continue"/>
            <w:vAlign w:val="center"/>
          </w:tcPr>
          <w:p w14:paraId="58A84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087" w:type="dxa"/>
            <w:vMerge w:val="continue"/>
            <w:vAlign w:val="center"/>
          </w:tcPr>
          <w:p w14:paraId="3F337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34072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dxa"/>
            <w:vMerge w:val="restart"/>
            <w:vAlign w:val="center"/>
          </w:tcPr>
          <w:p w14:paraId="746AA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干粉灭火器</w:t>
            </w:r>
          </w:p>
        </w:tc>
        <w:tc>
          <w:tcPr>
            <w:tcW w:w="3056" w:type="dxa"/>
            <w:vAlign w:val="center"/>
          </w:tcPr>
          <w:p w14:paraId="78853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手提式（贮压式）干粉灭火器</w:t>
            </w:r>
          </w:p>
        </w:tc>
        <w:tc>
          <w:tcPr>
            <w:tcW w:w="1463" w:type="dxa"/>
            <w:vMerge w:val="continue"/>
            <w:vAlign w:val="center"/>
          </w:tcPr>
          <w:p w14:paraId="6B63B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vMerge w:val="restart"/>
            <w:vAlign w:val="center"/>
          </w:tcPr>
          <w:p w14:paraId="629D4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出厂期满5年；首次维修以后满2年</w:t>
            </w:r>
          </w:p>
        </w:tc>
        <w:tc>
          <w:tcPr>
            <w:tcW w:w="4350" w:type="dxa"/>
            <w:vMerge w:val="continue"/>
            <w:vAlign w:val="center"/>
          </w:tcPr>
          <w:p w14:paraId="2EE87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087" w:type="dxa"/>
            <w:vMerge w:val="restart"/>
            <w:vAlign w:val="center"/>
          </w:tcPr>
          <w:p w14:paraId="6CDC8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10年</w:t>
            </w:r>
          </w:p>
        </w:tc>
      </w:tr>
      <w:tr w14:paraId="1933B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dxa"/>
            <w:vMerge w:val="continue"/>
            <w:vAlign w:val="center"/>
          </w:tcPr>
          <w:p w14:paraId="73A36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056" w:type="dxa"/>
            <w:vAlign w:val="center"/>
          </w:tcPr>
          <w:p w14:paraId="7ED1A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手提式（储气瓶式）干粉灭火器</w:t>
            </w:r>
          </w:p>
        </w:tc>
        <w:tc>
          <w:tcPr>
            <w:tcW w:w="1463" w:type="dxa"/>
            <w:vMerge w:val="continue"/>
            <w:vAlign w:val="center"/>
          </w:tcPr>
          <w:p w14:paraId="62CCD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vMerge w:val="continue"/>
            <w:vAlign w:val="center"/>
          </w:tcPr>
          <w:p w14:paraId="40E7B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350" w:type="dxa"/>
            <w:vMerge w:val="continue"/>
            <w:vAlign w:val="center"/>
          </w:tcPr>
          <w:p w14:paraId="6BF17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087" w:type="dxa"/>
            <w:vMerge w:val="continue"/>
            <w:vAlign w:val="center"/>
          </w:tcPr>
          <w:p w14:paraId="04CD1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7B484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dxa"/>
            <w:vMerge w:val="continue"/>
            <w:vAlign w:val="center"/>
          </w:tcPr>
          <w:p w14:paraId="03132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056" w:type="dxa"/>
            <w:vAlign w:val="center"/>
          </w:tcPr>
          <w:p w14:paraId="1EA59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推车式（贮压式）干粉灭火器</w:t>
            </w:r>
          </w:p>
        </w:tc>
        <w:tc>
          <w:tcPr>
            <w:tcW w:w="1463" w:type="dxa"/>
            <w:vMerge w:val="continue"/>
            <w:vAlign w:val="center"/>
          </w:tcPr>
          <w:p w14:paraId="075AD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vMerge w:val="continue"/>
            <w:vAlign w:val="center"/>
          </w:tcPr>
          <w:p w14:paraId="40502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350" w:type="dxa"/>
            <w:vMerge w:val="continue"/>
            <w:vAlign w:val="center"/>
          </w:tcPr>
          <w:p w14:paraId="65ECF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087" w:type="dxa"/>
            <w:vMerge w:val="continue"/>
            <w:vAlign w:val="center"/>
          </w:tcPr>
          <w:p w14:paraId="7924A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604DF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dxa"/>
            <w:vMerge w:val="continue"/>
            <w:vAlign w:val="center"/>
          </w:tcPr>
          <w:p w14:paraId="23632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056" w:type="dxa"/>
            <w:vAlign w:val="center"/>
          </w:tcPr>
          <w:p w14:paraId="28B4C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推车式（储气瓶式）干粉灭火器</w:t>
            </w:r>
          </w:p>
        </w:tc>
        <w:tc>
          <w:tcPr>
            <w:tcW w:w="1463" w:type="dxa"/>
            <w:vMerge w:val="continue"/>
            <w:vAlign w:val="center"/>
          </w:tcPr>
          <w:p w14:paraId="1A25F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vMerge w:val="continue"/>
            <w:vAlign w:val="center"/>
          </w:tcPr>
          <w:p w14:paraId="3BEDA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350" w:type="dxa"/>
            <w:vMerge w:val="continue"/>
            <w:vAlign w:val="center"/>
          </w:tcPr>
          <w:p w14:paraId="59EAF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087" w:type="dxa"/>
            <w:vMerge w:val="continue"/>
            <w:vAlign w:val="center"/>
          </w:tcPr>
          <w:p w14:paraId="11D7F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1B76E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dxa"/>
            <w:vMerge w:val="restart"/>
            <w:vAlign w:val="center"/>
          </w:tcPr>
          <w:p w14:paraId="0EE6A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洁净气体灭火器</w:t>
            </w:r>
          </w:p>
        </w:tc>
        <w:tc>
          <w:tcPr>
            <w:tcW w:w="3056" w:type="dxa"/>
            <w:vAlign w:val="center"/>
          </w:tcPr>
          <w:p w14:paraId="1E98C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手提式洁净气体灭火器</w:t>
            </w:r>
          </w:p>
        </w:tc>
        <w:tc>
          <w:tcPr>
            <w:tcW w:w="1463" w:type="dxa"/>
            <w:vMerge w:val="continue"/>
            <w:vAlign w:val="center"/>
          </w:tcPr>
          <w:p w14:paraId="16552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vMerge w:val="continue"/>
            <w:vAlign w:val="center"/>
          </w:tcPr>
          <w:p w14:paraId="2918E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350" w:type="dxa"/>
            <w:vMerge w:val="continue"/>
            <w:vAlign w:val="center"/>
          </w:tcPr>
          <w:p w14:paraId="3A63E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087" w:type="dxa"/>
            <w:vMerge w:val="continue"/>
            <w:vAlign w:val="center"/>
          </w:tcPr>
          <w:p w14:paraId="53B3C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36737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dxa"/>
            <w:vMerge w:val="continue"/>
            <w:vAlign w:val="center"/>
          </w:tcPr>
          <w:p w14:paraId="6FD98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056" w:type="dxa"/>
            <w:vAlign w:val="center"/>
          </w:tcPr>
          <w:p w14:paraId="52C54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推车式洁净气体灭火器</w:t>
            </w:r>
          </w:p>
        </w:tc>
        <w:tc>
          <w:tcPr>
            <w:tcW w:w="1463" w:type="dxa"/>
            <w:vMerge w:val="continue"/>
            <w:vAlign w:val="center"/>
          </w:tcPr>
          <w:p w14:paraId="1DD04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vMerge w:val="continue"/>
            <w:vAlign w:val="center"/>
          </w:tcPr>
          <w:p w14:paraId="33C5F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350" w:type="dxa"/>
            <w:vMerge w:val="continue"/>
            <w:vAlign w:val="center"/>
          </w:tcPr>
          <w:p w14:paraId="37D2A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087" w:type="dxa"/>
            <w:vMerge w:val="continue"/>
            <w:vAlign w:val="center"/>
          </w:tcPr>
          <w:p w14:paraId="4AACC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5F0E3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dxa"/>
            <w:vMerge w:val="restart"/>
            <w:vAlign w:val="center"/>
          </w:tcPr>
          <w:p w14:paraId="35ED4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二氧化碳灭火器</w:t>
            </w:r>
          </w:p>
        </w:tc>
        <w:tc>
          <w:tcPr>
            <w:tcW w:w="3056" w:type="dxa"/>
            <w:vAlign w:val="center"/>
          </w:tcPr>
          <w:p w14:paraId="16B9A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手提式二氧化碳灭火器</w:t>
            </w:r>
          </w:p>
        </w:tc>
        <w:tc>
          <w:tcPr>
            <w:tcW w:w="1463" w:type="dxa"/>
            <w:vMerge w:val="continue"/>
            <w:vAlign w:val="center"/>
          </w:tcPr>
          <w:p w14:paraId="1A1FD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vMerge w:val="continue"/>
            <w:vAlign w:val="center"/>
          </w:tcPr>
          <w:p w14:paraId="27E17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350" w:type="dxa"/>
            <w:vMerge w:val="continue"/>
            <w:vAlign w:val="center"/>
          </w:tcPr>
          <w:p w14:paraId="27970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087" w:type="dxa"/>
            <w:vMerge w:val="restart"/>
            <w:vAlign w:val="center"/>
          </w:tcPr>
          <w:p w14:paraId="69A2F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12年</w:t>
            </w:r>
          </w:p>
        </w:tc>
      </w:tr>
      <w:tr w14:paraId="01A06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" w:type="dxa"/>
            <w:vMerge w:val="continue"/>
            <w:vAlign w:val="center"/>
          </w:tcPr>
          <w:p w14:paraId="48F1D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056" w:type="dxa"/>
            <w:vAlign w:val="center"/>
          </w:tcPr>
          <w:p w14:paraId="2B1B8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28"/>
                <w:szCs w:val="36"/>
                <w:vertAlign w:val="baseline"/>
                <w:lang w:val="en-US" w:eastAsia="zh-CN"/>
              </w:rPr>
              <w:t>推车式二氧化碳灭火器</w:t>
            </w:r>
          </w:p>
        </w:tc>
        <w:tc>
          <w:tcPr>
            <w:tcW w:w="1463" w:type="dxa"/>
            <w:vMerge w:val="continue"/>
            <w:vAlign w:val="center"/>
          </w:tcPr>
          <w:p w14:paraId="251F1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894" w:type="dxa"/>
            <w:vMerge w:val="continue"/>
            <w:vAlign w:val="center"/>
          </w:tcPr>
          <w:p w14:paraId="3621C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350" w:type="dxa"/>
            <w:vMerge w:val="continue"/>
            <w:vAlign w:val="center"/>
          </w:tcPr>
          <w:p w14:paraId="73F7B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087" w:type="dxa"/>
            <w:vMerge w:val="continue"/>
            <w:vAlign w:val="center"/>
          </w:tcPr>
          <w:p w14:paraId="6EE56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36"/>
                <w:vertAlign w:val="baseline"/>
                <w:lang w:val="en-US" w:eastAsia="zh-CN"/>
              </w:rPr>
            </w:pPr>
          </w:p>
        </w:tc>
      </w:tr>
    </w:tbl>
    <w:p w14:paraId="1477EC7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default" w:eastAsia="仿宋_GB2312" w:cs="Times New Roman"/>
          <w:sz w:val="32"/>
          <w:szCs w:val="32"/>
          <w:lang w:val="en-US" w:eastAsia="zh-CN"/>
        </w:rPr>
      </w:pPr>
    </w:p>
    <w:sectPr>
      <w:headerReference r:id="rId4" w:type="default"/>
      <w:footerReference r:id="rId5" w:type="default"/>
      <w:pgSz w:w="16838" w:h="11906" w:orient="landscape"/>
      <w:pgMar w:top="1587" w:right="2098" w:bottom="1474" w:left="1984" w:header="1134" w:footer="1134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Arial Unicode MS">
    <w:altName w:val="Arial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QisiAaBanSong">
    <w:altName w:val="汉仪书宋二KW"/>
    <w:panose1 w:val="00020600040101010101"/>
    <w:charset w:val="86"/>
    <w:family w:val="auto"/>
    <w:pitch w:val="default"/>
    <w:sig w:usb0="00000000" w:usb1="00000000" w:usb2="00000016" w:usb3="00000000" w:csb0="60020001" w:csb1="C0D6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077A3E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FA97D">
    <w:pPr>
      <w:pStyle w:val="7"/>
      <w:pBdr>
        <w:bottom w:val="single" w:color="auto" w:sz="4" w:space="1"/>
      </w:pBdr>
      <w:spacing w:line="300" w:lineRule="exact"/>
      <w:jc w:val="right"/>
      <w:rPr>
        <w:rFonts w:hint="eastAsia" w:ascii="QisiAaBanSong" w:hAnsi="QisiAaBanSong" w:eastAsia="QisiAaBanSong" w:cs="QisiAaBanSong"/>
        <w:b/>
        <w:bCs w:val="0"/>
        <w:color w:val="3172C4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  <w:lang w:val="en-US" w:eastAsia="zh-CN" w:bidi="ar-SA"/>
      </w:rPr>
      <w:t xml:space="preserve">         </w:t>
    </w:r>
    <w:r>
      <w:rPr>
        <w:rFonts w:hint="eastAsia" w:ascii="QisiAaBanSong" w:hAnsi="QisiAaBanSong" w:eastAsia="QisiAaBanSong" w:cs="QisiAaBanSong"/>
        <w:b w:val="0"/>
        <w:bCs/>
        <w:color w:val="FF0000"/>
        <w:spacing w:val="-20"/>
        <w:kern w:val="0"/>
        <w:sz w:val="22"/>
        <w:szCs w:val="22"/>
        <w:lang w:val="en-US" w:eastAsia="zh-CN" w:bidi="ar-SA"/>
      </w:rPr>
      <w:t xml:space="preserve">                                                                                          </w:t>
    </w:r>
    <w:r>
      <w:rPr>
        <w:rFonts w:hint="eastAsia" w:ascii="仿宋_GB2312" w:hAnsi="仿宋_GB2312" w:eastAsia="仿宋_GB2312" w:cs="仿宋_GB2312"/>
        <w:b/>
        <w:bCs w:val="0"/>
        <w:color w:val="3172C4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 w14:paraId="426609B4">
    <w:pPr>
      <w:pStyle w:val="7"/>
      <w:pBdr>
        <w:bottom w:val="single" w:color="auto" w:sz="4" w:space="1"/>
      </w:pBdr>
      <w:spacing w:line="300" w:lineRule="exact"/>
      <w:jc w:val="center"/>
      <w:rPr>
        <w:rFonts w:hint="eastAsia" w:ascii="仿宋_GB2312" w:hAnsi="仿宋_GB2312" w:eastAsia="仿宋_GB2312" w:cs="仿宋_GB2312"/>
        <w:b w:val="0"/>
        <w:bCs/>
        <w:color w:val="3172C4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9729"/>
              <wp:lineTo x="2365" y="19729"/>
              <wp:lineTo x="21285" y="18085"/>
              <wp:lineTo x="21285" y="3288"/>
              <wp:lineTo x="2365" y="0"/>
              <wp:lineTo x="215" y="0"/>
            </wp:wrapPolygon>
          </wp:wrapTight>
          <wp:docPr id="11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3172C4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</w:t>
    </w:r>
    <w:r>
      <w:rPr>
        <w:rFonts w:hint="eastAsia" w:ascii="仿宋_GB2312" w:hAnsi="仿宋_GB2312" w:eastAsia="仿宋_GB2312" w:cs="仿宋_GB2312"/>
        <w:b/>
        <w:bCs w:val="0"/>
        <w:color w:val="3172C4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整体至上  团结协作</w:t>
    </w:r>
  </w:p>
  <w:p w14:paraId="170893A5">
    <w:pPr>
      <w:pStyle w:val="7"/>
      <w:pBdr>
        <w:bottom w:val="single" w:color="auto" w:sz="4" w:space="1"/>
      </w:pBdr>
      <w:spacing w:line="300" w:lineRule="exact"/>
      <w:jc w:val="right"/>
      <w:rPr>
        <w:rFonts w:hint="eastAsia" w:ascii="QisiAaBanSong" w:hAnsi="QisiAaBanSong" w:eastAsia="QisiAaBanSong" w:cs="QisiAaBanSong"/>
        <w:b w:val="0"/>
        <w:bCs/>
        <w:color w:val="3172C4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仿宋_GB2312" w:hAnsi="仿宋_GB2312" w:eastAsia="仿宋_GB2312" w:cs="仿宋_GB2312"/>
        <w:b/>
        <w:bCs w:val="0"/>
        <w:color w:val="3172C4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 w14:paraId="06F06F61">
    <w:pPr>
      <w:pStyle w:val="7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jc w:val="left"/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16"/>
        <w:szCs w:val="16"/>
        <w:lang w:val="en-US" w:eastAsia="zh-CN" w:bidi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2147BC">
    <w:pPr>
      <w:pStyle w:val="7"/>
      <w:pBdr>
        <w:bottom w:val="single" w:color="auto" w:sz="4" w:space="1"/>
      </w:pBdr>
      <w:spacing w:line="300" w:lineRule="exact"/>
      <w:jc w:val="right"/>
      <w:rPr>
        <w:rFonts w:hint="eastAsia" w:ascii="QisiAaBanSong" w:hAnsi="QisiAaBanSong" w:eastAsia="QisiAaBanSong" w:cs="QisiAaBanSong"/>
        <w:b/>
        <w:bCs w:val="0"/>
        <w:color w:val="3172C4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  <w:lang w:val="en-US" w:eastAsia="zh-CN" w:bidi="ar-SA"/>
      </w:rPr>
      <w:t xml:space="preserve">         </w:t>
    </w:r>
    <w:r>
      <w:rPr>
        <w:rFonts w:hint="eastAsia" w:ascii="QisiAaBanSong" w:hAnsi="QisiAaBanSong" w:eastAsia="QisiAaBanSong" w:cs="QisiAaBanSong"/>
        <w:b w:val="0"/>
        <w:bCs/>
        <w:color w:val="FF0000"/>
        <w:spacing w:val="-20"/>
        <w:kern w:val="0"/>
        <w:sz w:val="22"/>
        <w:szCs w:val="22"/>
        <w:lang w:val="en-US" w:eastAsia="zh-CN" w:bidi="ar-SA"/>
      </w:rPr>
      <w:t xml:space="preserve">                                                                                          </w:t>
    </w:r>
    <w:r>
      <w:rPr>
        <w:rFonts w:hint="eastAsia" w:ascii="仿宋_GB2312" w:hAnsi="仿宋_GB2312" w:eastAsia="仿宋_GB2312" w:cs="仿宋_GB2312"/>
        <w:b/>
        <w:bCs w:val="0"/>
        <w:color w:val="3172C4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 w14:paraId="73BA6E0B">
    <w:pPr>
      <w:pStyle w:val="7"/>
      <w:pBdr>
        <w:bottom w:val="single" w:color="auto" w:sz="4" w:space="1"/>
      </w:pBdr>
      <w:spacing w:line="300" w:lineRule="exact"/>
      <w:jc w:val="center"/>
      <w:rPr>
        <w:rFonts w:hint="eastAsia" w:ascii="仿宋_GB2312" w:hAnsi="仿宋_GB2312" w:eastAsia="仿宋_GB2312" w:cs="仿宋_GB2312"/>
        <w:b w:val="0"/>
        <w:bCs/>
        <w:color w:val="3172C4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bookmarkStart w:id="0" w:name="_GoBack"/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9729"/>
              <wp:lineTo x="2365" y="19729"/>
              <wp:lineTo x="21285" y="18085"/>
              <wp:lineTo x="21285" y="3288"/>
              <wp:lineTo x="2365" y="0"/>
              <wp:lineTo x="215" y="0"/>
            </wp:wrapPolygon>
          </wp:wrapTight>
          <wp:docPr id="2" name="图片 2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  <w:r>
      <w:rPr>
        <w:rFonts w:hint="eastAsia" w:ascii="QisiAaBanSong" w:hAnsi="QisiAaBanSong" w:eastAsia="QisiAaBanSong" w:cs="QisiAaBanSong"/>
        <w:b w:val="0"/>
        <w:bCs/>
        <w:color w:val="3172C4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</w:t>
    </w:r>
    <w:r>
      <w:rPr>
        <w:rFonts w:hint="eastAsia" w:ascii="仿宋_GB2312" w:hAnsi="仿宋_GB2312" w:eastAsia="仿宋_GB2312" w:cs="仿宋_GB2312"/>
        <w:b/>
        <w:bCs w:val="0"/>
        <w:color w:val="3172C4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整体至上  团结协作</w:t>
    </w:r>
  </w:p>
  <w:p w14:paraId="1E088977">
    <w:pPr>
      <w:pStyle w:val="7"/>
      <w:pBdr>
        <w:bottom w:val="single" w:color="auto" w:sz="4" w:space="1"/>
      </w:pBdr>
      <w:spacing w:line="300" w:lineRule="exact"/>
      <w:jc w:val="right"/>
      <w:rPr>
        <w:rFonts w:hint="eastAsia" w:ascii="QisiAaBanSong" w:hAnsi="QisiAaBanSong" w:eastAsia="QisiAaBanSong" w:cs="QisiAaBanSong"/>
        <w:b w:val="0"/>
        <w:bCs/>
        <w:color w:val="3172C4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仿宋_GB2312" w:hAnsi="仿宋_GB2312" w:eastAsia="仿宋_GB2312" w:cs="仿宋_GB2312"/>
        <w:b/>
        <w:bCs w:val="0"/>
        <w:color w:val="3172C4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 w14:paraId="5D97C6EB">
    <w:pPr>
      <w:pStyle w:val="7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jc w:val="left"/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16"/>
        <w:szCs w:val="16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2NjVjMmQ5ODM4NDUyNmFiMGZkOWYwNWZiOWNmMGEifQ=="/>
  </w:docVars>
  <w:rsids>
    <w:rsidRoot w:val="0B884F77"/>
    <w:rsid w:val="00125EBC"/>
    <w:rsid w:val="00411C54"/>
    <w:rsid w:val="00561082"/>
    <w:rsid w:val="00790A4D"/>
    <w:rsid w:val="00A224F2"/>
    <w:rsid w:val="00A24712"/>
    <w:rsid w:val="00B0753E"/>
    <w:rsid w:val="00B46800"/>
    <w:rsid w:val="00C97D22"/>
    <w:rsid w:val="00E914DC"/>
    <w:rsid w:val="00EF2FA1"/>
    <w:rsid w:val="024E06A7"/>
    <w:rsid w:val="041E22FB"/>
    <w:rsid w:val="04A86794"/>
    <w:rsid w:val="05026895"/>
    <w:rsid w:val="0694510C"/>
    <w:rsid w:val="06B62CBE"/>
    <w:rsid w:val="0ADD3CCF"/>
    <w:rsid w:val="0B884F77"/>
    <w:rsid w:val="0BCD49E3"/>
    <w:rsid w:val="0C550884"/>
    <w:rsid w:val="0C825B1D"/>
    <w:rsid w:val="0D043662"/>
    <w:rsid w:val="0E566179"/>
    <w:rsid w:val="0ECE378A"/>
    <w:rsid w:val="0FE97C61"/>
    <w:rsid w:val="10330E74"/>
    <w:rsid w:val="104F46B4"/>
    <w:rsid w:val="10D22634"/>
    <w:rsid w:val="11233D04"/>
    <w:rsid w:val="122B048A"/>
    <w:rsid w:val="125067AE"/>
    <w:rsid w:val="133C7784"/>
    <w:rsid w:val="148D05FA"/>
    <w:rsid w:val="152D2C57"/>
    <w:rsid w:val="15441466"/>
    <w:rsid w:val="16787FFA"/>
    <w:rsid w:val="168406E3"/>
    <w:rsid w:val="17DB1D81"/>
    <w:rsid w:val="198B0A7A"/>
    <w:rsid w:val="1AF0703E"/>
    <w:rsid w:val="1BD36F21"/>
    <w:rsid w:val="1F4B7481"/>
    <w:rsid w:val="1F85484F"/>
    <w:rsid w:val="20F56116"/>
    <w:rsid w:val="212D4FA1"/>
    <w:rsid w:val="21E227E6"/>
    <w:rsid w:val="21F12760"/>
    <w:rsid w:val="27D8088F"/>
    <w:rsid w:val="285310EF"/>
    <w:rsid w:val="2984637B"/>
    <w:rsid w:val="2B277B63"/>
    <w:rsid w:val="2B2D2CA0"/>
    <w:rsid w:val="2B8617E7"/>
    <w:rsid w:val="2BED7625"/>
    <w:rsid w:val="2CB465AA"/>
    <w:rsid w:val="2CEF0003"/>
    <w:rsid w:val="2D026E55"/>
    <w:rsid w:val="2D7E0041"/>
    <w:rsid w:val="2DA374FD"/>
    <w:rsid w:val="2DD44D89"/>
    <w:rsid w:val="2DFC3414"/>
    <w:rsid w:val="2E4E0CE7"/>
    <w:rsid w:val="2F722736"/>
    <w:rsid w:val="303606DC"/>
    <w:rsid w:val="30362126"/>
    <w:rsid w:val="309D08C8"/>
    <w:rsid w:val="30B97FFD"/>
    <w:rsid w:val="31955412"/>
    <w:rsid w:val="31CB4BAF"/>
    <w:rsid w:val="33A44E48"/>
    <w:rsid w:val="33F61444"/>
    <w:rsid w:val="343A08C2"/>
    <w:rsid w:val="34903516"/>
    <w:rsid w:val="3577477D"/>
    <w:rsid w:val="359E1DFA"/>
    <w:rsid w:val="35CB080F"/>
    <w:rsid w:val="360F2B12"/>
    <w:rsid w:val="37AB3241"/>
    <w:rsid w:val="386D0F1F"/>
    <w:rsid w:val="39421CB1"/>
    <w:rsid w:val="39AA4914"/>
    <w:rsid w:val="39D704A2"/>
    <w:rsid w:val="3A153947"/>
    <w:rsid w:val="3B0246FF"/>
    <w:rsid w:val="3B9F54F4"/>
    <w:rsid w:val="3C641140"/>
    <w:rsid w:val="3D336678"/>
    <w:rsid w:val="3E96556B"/>
    <w:rsid w:val="3EA71FA6"/>
    <w:rsid w:val="40D9394E"/>
    <w:rsid w:val="45C76F45"/>
    <w:rsid w:val="46060A87"/>
    <w:rsid w:val="464949DA"/>
    <w:rsid w:val="466E5E98"/>
    <w:rsid w:val="47223079"/>
    <w:rsid w:val="47833F1C"/>
    <w:rsid w:val="47E74939"/>
    <w:rsid w:val="483973A5"/>
    <w:rsid w:val="48B44301"/>
    <w:rsid w:val="49D31982"/>
    <w:rsid w:val="4D6B16DA"/>
    <w:rsid w:val="50085D0C"/>
    <w:rsid w:val="50165C05"/>
    <w:rsid w:val="50AB575E"/>
    <w:rsid w:val="50F16364"/>
    <w:rsid w:val="52683BC7"/>
    <w:rsid w:val="52B52649"/>
    <w:rsid w:val="53283BC9"/>
    <w:rsid w:val="55061CE8"/>
    <w:rsid w:val="559334FE"/>
    <w:rsid w:val="56A31EE4"/>
    <w:rsid w:val="59193290"/>
    <w:rsid w:val="593E7CA2"/>
    <w:rsid w:val="59BA5C7D"/>
    <w:rsid w:val="5B5419FF"/>
    <w:rsid w:val="5C314457"/>
    <w:rsid w:val="5E4A2C3E"/>
    <w:rsid w:val="5E967A74"/>
    <w:rsid w:val="5EC56AE2"/>
    <w:rsid w:val="5F8E3006"/>
    <w:rsid w:val="5FF9437A"/>
    <w:rsid w:val="602A5424"/>
    <w:rsid w:val="60E54B4C"/>
    <w:rsid w:val="6188215E"/>
    <w:rsid w:val="61CD6067"/>
    <w:rsid w:val="62F320EE"/>
    <w:rsid w:val="65B24490"/>
    <w:rsid w:val="66B65FA5"/>
    <w:rsid w:val="66CC2BFD"/>
    <w:rsid w:val="672A6D30"/>
    <w:rsid w:val="67DFA878"/>
    <w:rsid w:val="68C94977"/>
    <w:rsid w:val="6A6257BB"/>
    <w:rsid w:val="6A711AD5"/>
    <w:rsid w:val="6AF32EE8"/>
    <w:rsid w:val="6C2F5B58"/>
    <w:rsid w:val="6C9C1AB9"/>
    <w:rsid w:val="6D082ED1"/>
    <w:rsid w:val="6E1B45FE"/>
    <w:rsid w:val="6E63712C"/>
    <w:rsid w:val="6ED577AA"/>
    <w:rsid w:val="6FF334D0"/>
    <w:rsid w:val="71810C1C"/>
    <w:rsid w:val="71FE0CBD"/>
    <w:rsid w:val="728D7D7F"/>
    <w:rsid w:val="730B4C41"/>
    <w:rsid w:val="75510906"/>
    <w:rsid w:val="75B4293A"/>
    <w:rsid w:val="760A2DC7"/>
    <w:rsid w:val="78E545C3"/>
    <w:rsid w:val="7A04221B"/>
    <w:rsid w:val="7ABA1B24"/>
    <w:rsid w:val="7E040C0B"/>
    <w:rsid w:val="7EFC341A"/>
    <w:rsid w:val="7FDD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  <w:textAlignment w:val="auto"/>
    </w:pPr>
  </w:style>
  <w:style w:type="paragraph" w:styleId="5">
    <w:name w:val="Body Text Indent 2"/>
    <w:basedOn w:val="1"/>
    <w:next w:val="1"/>
    <w:qFormat/>
    <w:uiPriority w:val="0"/>
    <w:pPr>
      <w:spacing w:line="480" w:lineRule="auto"/>
      <w:ind w:left="420" w:leftChars="200"/>
    </w:p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 Unicode MS" w:hAnsi="Arial Unicode MS" w:eastAsia="宋体" w:cs="Arial Unicode MS"/>
      <w:color w:val="000000"/>
      <w:sz w:val="24"/>
      <w:szCs w:val="24"/>
      <w:lang w:val="en-US" w:eastAsia="zh-CN" w:bidi="ar-SA"/>
    </w:rPr>
  </w:style>
  <w:style w:type="character" w:customStyle="1" w:styleId="14">
    <w:name w:val="页眉 Char"/>
    <w:basedOn w:val="11"/>
    <w:link w:val="7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5">
    <w:name w:val="页脚 Char"/>
    <w:basedOn w:val="11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1105</Words>
  <Characters>1186</Characters>
  <Lines>1</Lines>
  <Paragraphs>1</Paragraphs>
  <TotalTime>10</TotalTime>
  <ScaleCrop>false</ScaleCrop>
  <LinksUpToDate>false</LinksUpToDate>
  <CharactersWithSpaces>1229</CharactersWithSpaces>
  <Application>WPS Office WWO_wpscloud_20250304120550-3e8b91ee63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2022-10-31T11:04:00Z</dcterms:created>
  <dc:creator>Administrator</dc:creator>
  <cp:lastModifiedBy>邓钦中</cp:lastModifiedBy>
  <cp:lastPrinted>2024-02-06T09:48:00Z</cp:lastPrinted>
  <dcterms:modified xsi:type="dcterms:W3CDTF">2025-05-09T17:01:29Z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2052-12.9.0.18253</vt:lpwstr>
  </property>
  <property fmtid="{D5CDD505-2E9C-101B-9397-08002B2CF9AE}" pid="3" name="ICV">
    <vt:lpwstr>368E7D681914F27969C41D6816675644_43</vt:lpwstr>
  </property>
  <property fmtid="{D5CDD505-2E9C-101B-9397-08002B2CF9AE}" pid="4" name="KSOTemplateDocerSaveRecord">
    <vt:lpwstr>eyJoZGlkIjoiZjM5NDc3MzljZmUwNzg3MDU1ODk0MGJmNTE1ZTFlYzkiLCJ1c2VySWQiOiIyNjk3Njc1MzIifQ==</vt:lpwstr>
  </property>
</Properties>
</file>