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autoSpaceDE/>
        <w:autoSpaceDN/>
        <w:bidi w:val="0"/>
        <w:adjustRightInd/>
        <w:snapToGrid/>
        <w:spacing w:line="560" w:lineRule="exact"/>
        <w:jc w:val="center"/>
        <w:textAlignment w:val="auto"/>
        <w:outlineLvl w:val="1"/>
        <w:rPr>
          <w:rFonts w:hint="eastAsia" w:ascii="方正小标宋简体" w:hAnsi="黑体" w:eastAsia="方正小标宋简体" w:cs="宋体"/>
          <w:b w:val="0"/>
          <w:bCs w:val="0"/>
          <w:color w:val="000000"/>
          <w:kern w:val="0"/>
          <w:sz w:val="44"/>
          <w:szCs w:val="44"/>
        </w:rPr>
      </w:pPr>
    </w:p>
    <w:p>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r>
        <w:rPr>
          <w:rFonts w:ascii="方正小标宋简体" w:hAnsi="方正小标宋简体" w:eastAsia="方正小标宋简体" w:cs="方正小标宋简体"/>
          <w:b w:val="0"/>
          <w:bCs/>
          <w:sz w:val="44"/>
          <w:szCs w:val="44"/>
          <w:highlight w:val="none"/>
        </w:rPr>
        <w:t>202</w:t>
      </w:r>
      <w:r>
        <w:rPr>
          <w:rFonts w:hint="eastAsia" w:ascii="方正小标宋简体" w:hAnsi="方正小标宋简体" w:eastAsia="方正小标宋简体" w:cs="方正小标宋简体"/>
          <w:b w:val="0"/>
          <w:bCs/>
          <w:sz w:val="44"/>
          <w:szCs w:val="44"/>
          <w:highlight w:val="none"/>
          <w:lang w:val="en-US" w:eastAsia="zh-CN"/>
        </w:rPr>
        <w:t>4</w:t>
      </w:r>
      <w:r>
        <w:rPr>
          <w:rFonts w:ascii="方正小标宋简体" w:hAnsi="方正小标宋简体" w:eastAsia="方正小标宋简体" w:cs="方正小标宋简体"/>
          <w:b w:val="0"/>
          <w:bCs/>
          <w:sz w:val="44"/>
          <w:szCs w:val="44"/>
          <w:highlight w:val="none"/>
        </w:rPr>
        <w:t>年度经营业绩责任书</w:t>
      </w:r>
    </w:p>
    <w:p>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single"/>
          <w:lang w:val="en-US" w:eastAsia="zh-CN"/>
        </w:rPr>
      </w:pPr>
      <w:r>
        <w:rPr>
          <w:rFonts w:hint="eastAsia" w:ascii="仿宋_GB2312" w:hAnsi="仿宋_GB2312" w:eastAsia="仿宋_GB2312" w:cs="仿宋_GB2312"/>
          <w:b w:val="0"/>
          <w:bCs/>
          <w:sz w:val="32"/>
          <w:szCs w:val="32"/>
          <w:highlight w:val="none"/>
          <w:lang w:val="en-US" w:eastAsia="zh-CN"/>
        </w:rPr>
        <w:t>公司</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sz w:val="32"/>
          <w:szCs w:val="32"/>
          <w:highlight w:val="none"/>
          <w:lang w:val="en-US" w:eastAsia="zh-CN"/>
        </w:rPr>
        <w:t>四川九洲后勤服务有限责任公司</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甲方（考核方、授权代表）：</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身份证号码：</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任职单位及职务：</w:t>
      </w:r>
    </w:p>
    <w:p>
      <w:pPr>
        <w:keepNext w:val="0"/>
        <w:keepLines w:val="0"/>
        <w:pageBreakBefore w:val="0"/>
        <w:kinsoku/>
        <w:wordWrap/>
        <w:overflowPunct/>
        <w:topLinePunct w:val="0"/>
        <w:autoSpaceDE/>
        <w:autoSpaceDN/>
        <w:bidi w:val="0"/>
        <w:spacing w:line="560" w:lineRule="exact"/>
        <w:ind w:firstLine="640" w:firstLineChars="200"/>
        <w:jc w:val="left"/>
        <w:rPr>
          <w:rFonts w:hint="eastAsia" w:ascii="仿宋_GB2312" w:hAnsi="仿宋_GB2312" w:eastAsia="仿宋_GB2312" w:cs="仿宋_GB2312"/>
          <w:b w:val="0"/>
          <w:bCs/>
          <w:sz w:val="32"/>
          <w:szCs w:val="32"/>
          <w:highlight w:val="none"/>
        </w:rPr>
      </w:pPr>
    </w:p>
    <w:p>
      <w:pPr>
        <w:keepNext w:val="0"/>
        <w:keepLines w:val="0"/>
        <w:pageBreakBefore w:val="0"/>
        <w:kinsoku/>
        <w:wordWrap/>
        <w:overflowPunct/>
        <w:topLinePunct w:val="0"/>
        <w:autoSpaceDE/>
        <w:autoSpaceDN/>
        <w:bidi w:val="0"/>
        <w:spacing w:line="560" w:lineRule="exact"/>
        <w:ind w:firstLine="640" w:firstLineChars="200"/>
        <w:jc w:val="left"/>
        <w:rPr>
          <w:rFonts w:hint="eastAsia" w:ascii="仿宋_GB2312" w:hAnsi="仿宋_GB2312" w:eastAsia="仿宋_GB2312" w:cs="仿宋_GB2312"/>
          <w:b w:val="0"/>
          <w:bCs/>
          <w:sz w:val="32"/>
          <w:szCs w:val="32"/>
          <w:highlight w:val="none"/>
          <w:u w:val="single"/>
          <w:lang w:val="en-US" w:eastAsia="zh-CN"/>
        </w:rPr>
      </w:pPr>
      <w:r>
        <w:rPr>
          <w:rFonts w:hint="eastAsia" w:ascii="仿宋_GB2312" w:hAnsi="仿宋_GB2312" w:eastAsia="仿宋_GB2312" w:cs="仿宋_GB2312"/>
          <w:b w:val="0"/>
          <w:bCs/>
          <w:sz w:val="32"/>
          <w:szCs w:val="32"/>
          <w:highlight w:val="none"/>
          <w:lang w:val="en-US" w:eastAsia="zh-CN"/>
        </w:rPr>
        <w:t>乙方（</w:t>
      </w:r>
      <w:r>
        <w:rPr>
          <w:rFonts w:hint="eastAsia" w:ascii="仿宋_GB2312" w:hAnsi="仿宋_GB2312" w:eastAsia="仿宋_GB2312" w:cs="仿宋_GB2312"/>
          <w:b w:val="0"/>
          <w:bCs/>
          <w:sz w:val="32"/>
          <w:szCs w:val="32"/>
          <w:highlight w:val="none"/>
        </w:rPr>
        <w:t>被考核方</w:t>
      </w:r>
      <w:r>
        <w:rPr>
          <w:rFonts w:hint="eastAsia" w:ascii="仿宋_GB2312" w:hAnsi="仿宋_GB2312" w:eastAsia="仿宋_GB2312" w:cs="仿宋_GB2312"/>
          <w:b w:val="0"/>
          <w:bCs/>
          <w:sz w:val="32"/>
          <w:szCs w:val="32"/>
          <w:highlight w:val="none"/>
          <w:lang w:val="en-US" w:eastAsia="zh-CN"/>
        </w:rPr>
        <w:t>）</w:t>
      </w:r>
      <w:r>
        <w:rPr>
          <w:rFonts w:hint="eastAsia" w:ascii="仿宋_GB2312" w:hAnsi="仿宋_GB2312" w:eastAsia="仿宋_GB2312" w:cs="仿宋_GB2312"/>
          <w:b w:val="0"/>
          <w:bCs/>
          <w:sz w:val="32"/>
          <w:szCs w:val="32"/>
          <w:highlight w:val="none"/>
        </w:rPr>
        <w:t>：彭波</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身份证号码：510922197309056918</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为充分调动公司经营者的积极性，鼓励为公司经营发展找增量、提效益，引导其全面完成年度和任期经营目标任务，结合《绵阳市市属国有企业负责人经营业绩考核办法》（绵府办发〔2021〕24号）及九洲集团薪酬绩效等相关管理制度,业绩指标一年一签。为此特制定本责任书。</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一、</w:t>
      </w:r>
      <w:r>
        <w:rPr>
          <w:rFonts w:hint="eastAsia" w:ascii="黑体" w:hAnsi="黑体" w:eastAsia="黑体" w:cs="黑体"/>
          <w:b w:val="0"/>
          <w:bCs/>
          <w:sz w:val="32"/>
          <w:szCs w:val="32"/>
          <w:highlight w:val="none"/>
        </w:rPr>
        <w:t>考核周期</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考核期限：</w:t>
      </w:r>
      <w:r>
        <w:rPr>
          <w:rFonts w:hint="eastAsia" w:ascii="仿宋_GB2312" w:hAnsi="仿宋_GB2312" w:eastAsia="仿宋_GB2312" w:cs="仿宋_GB2312"/>
          <w:b w:val="0"/>
          <w:bCs/>
          <w:sz w:val="32"/>
          <w:szCs w:val="32"/>
          <w:highlight w:val="none"/>
          <w:u w:val="single"/>
        </w:rPr>
        <w:t>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年1月1日至202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年12月31日</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val="en-US" w:eastAsia="zh-CN"/>
        </w:rPr>
        <w:t>二、</w:t>
      </w:r>
      <w:r>
        <w:rPr>
          <w:rFonts w:hint="eastAsia" w:ascii="黑体" w:hAnsi="黑体" w:eastAsia="黑体" w:cs="黑体"/>
          <w:b w:val="0"/>
          <w:bCs/>
          <w:sz w:val="32"/>
          <w:szCs w:val="32"/>
          <w:highlight w:val="none"/>
          <w:lang w:eastAsia="zh-CN"/>
        </w:rPr>
        <w:t>考核指标</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经营业绩指标分为组织绩效指标、任务绩效指标、协同绩效指标和红线指标等四个维度</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由甲方根据企业发展战略、经营计划、历史数据、行业对标情况以及乙方岗位职责等确定，202</w:t>
      </w:r>
      <w:r>
        <w:rPr>
          <w:rFonts w:hint="eastAsia" w:ascii="仿宋_GB2312" w:hAnsi="仿宋_GB2312" w:eastAsia="仿宋_GB2312" w:cs="仿宋_GB2312"/>
          <w:b w:val="0"/>
          <w:bCs/>
          <w:sz w:val="32"/>
          <w:szCs w:val="32"/>
          <w:highlight w:val="none"/>
          <w:lang w:val="en-US" w:eastAsia="zh-CN"/>
        </w:rPr>
        <w:t>4</w:t>
      </w:r>
      <w:r>
        <w:rPr>
          <w:rFonts w:hint="eastAsia" w:ascii="仿宋_GB2312" w:hAnsi="仿宋_GB2312" w:eastAsia="仿宋_GB2312" w:cs="仿宋_GB2312"/>
          <w:b w:val="0"/>
          <w:bCs/>
          <w:sz w:val="32"/>
          <w:szCs w:val="32"/>
          <w:highlight w:val="none"/>
        </w:rPr>
        <w:t>年业绩目标如下：</w:t>
      </w:r>
    </w:p>
    <w:p>
      <w:pPr>
        <w:keepNext w:val="0"/>
        <w:keepLines w:val="0"/>
        <w:pageBreakBefore w:val="0"/>
        <w:kinsoku/>
        <w:wordWrap/>
        <w:overflowPunct/>
        <w:topLinePunct w:val="0"/>
        <w:autoSpaceDE/>
        <w:autoSpaceDN/>
        <w:bidi w:val="0"/>
        <w:spacing w:line="560" w:lineRule="exact"/>
        <w:ind w:firstLine="643" w:firstLineChars="200"/>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rPr>
        <w:t>（一）组织绩效</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b w:val="0"/>
          <w:bCs/>
          <w:sz w:val="32"/>
          <w:szCs w:val="32"/>
          <w:highlight w:val="none"/>
        </w:rPr>
      </w:pPr>
      <w:r>
        <w:rPr>
          <w:rFonts w:hint="eastAsia" w:ascii="仿宋_GB2312" w:eastAsia="仿宋_GB2312"/>
          <w:b w:val="0"/>
          <w:bCs/>
          <w:sz w:val="32"/>
          <w:szCs w:val="32"/>
          <w:highlight w:val="none"/>
        </w:rPr>
        <w:t>组织绩效指标为定量的经济指标，主要包括所在公司营业收入、利润总额、人工成本利润率、期间费用率、应收账款周转率、存货周转率等指标，指标得分上不封顶。</w:t>
      </w:r>
    </w:p>
    <w:tbl>
      <w:tblPr>
        <w:tblStyle w:val="20"/>
        <w:tblW w:w="517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49"/>
        <w:gridCol w:w="672"/>
        <w:gridCol w:w="624"/>
        <w:gridCol w:w="600"/>
        <w:gridCol w:w="552"/>
        <w:gridCol w:w="552"/>
        <w:gridCol w:w="660"/>
        <w:gridCol w:w="552"/>
        <w:gridCol w:w="564"/>
        <w:gridCol w:w="456"/>
        <w:gridCol w:w="432"/>
        <w:gridCol w:w="404"/>
        <w:gridCol w:w="495"/>
        <w:gridCol w:w="429"/>
        <w:gridCol w:w="464"/>
        <w:gridCol w:w="5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5" w:hRule="atLeast"/>
          <w:jc w:val="center"/>
        </w:trPr>
        <w:tc>
          <w:tcPr>
            <w:tcW w:w="719"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kern w:val="0"/>
                <w:sz w:val="21"/>
                <w:szCs w:val="21"/>
                <w:highlight w:val="none"/>
                <w:u w:val="none"/>
                <w:lang w:val="en-US" w:eastAsia="zh-CN"/>
              </w:rPr>
            </w:pPr>
            <w:r>
              <w:rPr>
                <w:rFonts w:hint="eastAsia" w:ascii="仿宋_GB2312" w:hAnsi="仿宋_GB2312" w:eastAsia="仿宋_GB2312" w:cs="仿宋_GB2312"/>
                <w:b/>
                <w:bCs/>
                <w:i w:val="0"/>
                <w:iCs w:val="0"/>
                <w:color w:val="auto"/>
                <w:kern w:val="0"/>
                <w:sz w:val="21"/>
                <w:szCs w:val="21"/>
                <w:highlight w:val="none"/>
                <w:u w:val="none"/>
                <w:lang w:val="en-US" w:eastAsia="zh-CN"/>
              </w:rPr>
              <w:t>公司</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kern w:val="0"/>
                <w:sz w:val="21"/>
                <w:szCs w:val="21"/>
                <w:highlight w:val="none"/>
                <w:u w:val="none"/>
                <w:lang w:val="en-US" w:eastAsia="zh-CN"/>
              </w:rPr>
            </w:pPr>
            <w:r>
              <w:rPr>
                <w:rFonts w:hint="eastAsia" w:ascii="仿宋_GB2312" w:hAnsi="仿宋_GB2312" w:eastAsia="仿宋_GB2312" w:cs="仿宋_GB2312"/>
                <w:b/>
                <w:bCs/>
                <w:i w:val="0"/>
                <w:iCs w:val="0"/>
                <w:color w:val="auto"/>
                <w:kern w:val="0"/>
                <w:sz w:val="21"/>
                <w:szCs w:val="21"/>
                <w:highlight w:val="none"/>
                <w:u w:val="none"/>
                <w:lang w:val="en-US" w:eastAsia="zh-CN"/>
              </w:rPr>
              <w:t>（部门）</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rPr>
              <w:t>名称</w:t>
            </w:r>
          </w:p>
        </w:tc>
        <w:tc>
          <w:tcPr>
            <w:tcW w:w="358" w:type="pct"/>
            <w:vMerge w:val="restart"/>
            <w:tcBorders>
              <w:top w:val="single" w:color="000000" w:sz="4" w:space="0"/>
              <w:left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rPr>
            </w:pPr>
            <w:r>
              <w:rPr>
                <w:rStyle w:val="44"/>
                <w:rFonts w:hint="eastAsia" w:ascii="仿宋_GB2312" w:hAnsi="仿宋_GB2312" w:eastAsia="仿宋_GB2312" w:cs="仿宋_GB2312"/>
                <w:b/>
                <w:bCs/>
                <w:color w:val="auto"/>
                <w:sz w:val="21"/>
                <w:szCs w:val="21"/>
                <w:highlight w:val="none"/>
                <w:lang w:val="en-US" w:eastAsia="zh-CN"/>
              </w:rPr>
              <w:t>权</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rPr>
            </w:pPr>
            <w:r>
              <w:rPr>
                <w:rStyle w:val="44"/>
                <w:rFonts w:hint="eastAsia" w:ascii="仿宋_GB2312" w:hAnsi="仿宋_GB2312" w:eastAsia="仿宋_GB2312" w:cs="仿宋_GB2312"/>
                <w:b/>
                <w:bCs/>
                <w:color w:val="auto"/>
                <w:sz w:val="21"/>
                <w:szCs w:val="21"/>
                <w:highlight w:val="none"/>
                <w:lang w:val="en-US" w:eastAsia="zh-CN"/>
              </w:rPr>
              <w:t>重</w:t>
            </w:r>
          </w:p>
        </w:tc>
        <w:tc>
          <w:tcPr>
            <w:tcW w:w="652" w:type="pct"/>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rPr>
            </w:pPr>
            <w:r>
              <w:rPr>
                <w:rStyle w:val="44"/>
                <w:rFonts w:hint="eastAsia" w:ascii="仿宋_GB2312" w:hAnsi="仿宋_GB2312" w:eastAsia="仿宋_GB2312" w:cs="仿宋_GB2312"/>
                <w:b/>
                <w:bCs/>
                <w:color w:val="auto"/>
                <w:sz w:val="21"/>
                <w:szCs w:val="21"/>
                <w:highlight w:val="none"/>
                <w:lang w:val="en-US" w:eastAsia="zh-CN"/>
              </w:rPr>
              <w:t>营业收入</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rPr>
              <w:t>(万元)</w:t>
            </w:r>
          </w:p>
        </w:tc>
        <w:tc>
          <w:tcPr>
            <w:tcW w:w="588" w:type="pct"/>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rPr>
            </w:pPr>
            <w:r>
              <w:rPr>
                <w:rStyle w:val="44"/>
                <w:rFonts w:hint="eastAsia" w:ascii="仿宋_GB2312" w:hAnsi="仿宋_GB2312" w:eastAsia="仿宋_GB2312" w:cs="仿宋_GB2312"/>
                <w:b/>
                <w:bCs/>
                <w:color w:val="auto"/>
                <w:sz w:val="21"/>
                <w:szCs w:val="21"/>
                <w:highlight w:val="none"/>
                <w:lang w:val="en-US" w:eastAsia="zh-CN"/>
              </w:rPr>
              <w:t>利润总额</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rPr>
              <w:t>(万元)</w:t>
            </w:r>
          </w:p>
        </w:tc>
        <w:tc>
          <w:tcPr>
            <w:tcW w:w="646" w:type="pct"/>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rPr>
            </w:pPr>
            <w:r>
              <w:rPr>
                <w:rStyle w:val="44"/>
                <w:rFonts w:hint="eastAsia" w:ascii="仿宋_GB2312" w:hAnsi="仿宋_GB2312" w:eastAsia="仿宋_GB2312" w:cs="仿宋_GB2312"/>
                <w:b/>
                <w:bCs/>
                <w:color w:val="auto"/>
                <w:sz w:val="21"/>
                <w:szCs w:val="21"/>
                <w:highlight w:val="none"/>
                <w:lang w:val="en-US" w:eastAsia="zh-CN"/>
              </w:rPr>
              <w:t>在绵产值/营收</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rPr>
            </w:pPr>
            <w:r>
              <w:rPr>
                <w:rStyle w:val="44"/>
                <w:rFonts w:hint="eastAsia" w:ascii="仿宋_GB2312" w:hAnsi="仿宋_GB2312" w:eastAsia="仿宋_GB2312" w:cs="仿宋_GB2312"/>
                <w:b/>
                <w:bCs/>
                <w:color w:val="auto"/>
                <w:sz w:val="21"/>
                <w:szCs w:val="21"/>
                <w:highlight w:val="none"/>
                <w:lang w:val="en-US" w:eastAsia="zh-CN"/>
              </w:rPr>
              <w:t>(万元)</w:t>
            </w:r>
          </w:p>
        </w:tc>
        <w:tc>
          <w:tcPr>
            <w:tcW w:w="544" w:type="pct"/>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rPr>
            </w:pPr>
            <w:r>
              <w:rPr>
                <w:rStyle w:val="44"/>
                <w:rFonts w:hint="eastAsia" w:ascii="仿宋_GB2312" w:hAnsi="仿宋_GB2312" w:eastAsia="仿宋_GB2312" w:cs="仿宋_GB2312"/>
                <w:b/>
                <w:bCs/>
                <w:color w:val="auto"/>
                <w:sz w:val="21"/>
                <w:szCs w:val="21"/>
                <w:highlight w:val="none"/>
                <w:lang w:val="en-US" w:eastAsia="zh-CN"/>
              </w:rPr>
              <w:t>人工</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rPr>
            </w:pPr>
            <w:r>
              <w:rPr>
                <w:rStyle w:val="44"/>
                <w:rFonts w:hint="eastAsia" w:ascii="仿宋_GB2312" w:hAnsi="仿宋_GB2312" w:eastAsia="仿宋_GB2312" w:cs="仿宋_GB2312"/>
                <w:b/>
                <w:bCs/>
                <w:color w:val="auto"/>
                <w:sz w:val="21"/>
                <w:szCs w:val="21"/>
                <w:highlight w:val="none"/>
                <w:lang w:val="en-US" w:eastAsia="zh-CN"/>
              </w:rPr>
              <w:t>成本</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rPr>
              <w:t>利润率</w:t>
            </w:r>
          </w:p>
        </w:tc>
        <w:tc>
          <w:tcPr>
            <w:tcW w:w="445" w:type="pct"/>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rPr>
            </w:pPr>
            <w:r>
              <w:rPr>
                <w:rStyle w:val="44"/>
                <w:rFonts w:hint="eastAsia" w:ascii="仿宋_GB2312" w:hAnsi="仿宋_GB2312" w:eastAsia="仿宋_GB2312" w:cs="仿宋_GB2312"/>
                <w:b/>
                <w:bCs/>
                <w:color w:val="auto"/>
                <w:sz w:val="21"/>
                <w:szCs w:val="21"/>
                <w:highlight w:val="none"/>
                <w:lang w:val="en-US" w:eastAsia="zh-CN"/>
              </w:rPr>
              <w:t>人均利润</w:t>
            </w:r>
          </w:p>
        </w:tc>
        <w:tc>
          <w:tcPr>
            <w:tcW w:w="492" w:type="pct"/>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rPr>
              <w:t>期间费用率</w:t>
            </w:r>
          </w:p>
        </w:tc>
        <w:tc>
          <w:tcPr>
            <w:tcW w:w="551" w:type="pct"/>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b/>
                <w:color w:val="auto"/>
                <w:sz w:val="21"/>
                <w:szCs w:val="21"/>
              </w:rPr>
            </w:pPr>
            <w:r>
              <w:rPr>
                <w:rStyle w:val="44"/>
                <w:b/>
                <w:color w:val="auto"/>
                <w:sz w:val="21"/>
                <w:szCs w:val="21"/>
              </w:rPr>
              <w:t>两金</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Cs/>
                <w:color w:val="auto"/>
                <w:sz w:val="21"/>
                <w:szCs w:val="21"/>
                <w:highlight w:val="none"/>
                <w:vertAlign w:val="baseline"/>
                <w:lang w:val="en-US" w:eastAsia="zh-CN"/>
              </w:rPr>
            </w:pPr>
            <w:r>
              <w:rPr>
                <w:rStyle w:val="44"/>
                <w:b/>
                <w:color w:val="auto"/>
                <w:sz w:val="21"/>
                <w:szCs w:val="21"/>
              </w:rPr>
              <w:t>周转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719" w:type="pct"/>
            <w:vMerge w:val="continue"/>
            <w:tcBorders>
              <w:top w:val="single" w:color="000000" w:sz="4" w:space="0"/>
              <w:left w:val="single" w:color="000000" w:sz="4" w:space="0"/>
              <w:bottom w:val="single" w:color="auto" w:sz="4" w:space="0"/>
              <w:right w:val="single" w:color="000000" w:sz="4" w:space="0"/>
            </w:tcBorders>
            <w:noWrap/>
            <w:vAlign w:val="center"/>
          </w:tcPr>
          <w:p>
            <w:pPr>
              <w:keepNext w:val="0"/>
              <w:keepLines w:val="0"/>
              <w:pageBreakBefore w:val="0"/>
              <w:kinsoku/>
              <w:wordWrap/>
              <w:overflowPunct/>
              <w:topLinePunct w:val="0"/>
              <w:autoSpaceDE/>
              <w:autoSpaceDN/>
              <w:bidi w:val="0"/>
              <w:spacing w:line="400" w:lineRule="exact"/>
              <w:jc w:val="center"/>
              <w:rPr>
                <w:rFonts w:hint="eastAsia" w:ascii="仿宋_GB2312" w:hAnsi="仿宋_GB2312" w:eastAsia="仿宋_GB2312" w:cs="仿宋_GB2312"/>
                <w:b/>
                <w:bCs/>
                <w:i w:val="0"/>
                <w:iCs w:val="0"/>
                <w:color w:val="auto"/>
                <w:sz w:val="21"/>
                <w:szCs w:val="21"/>
                <w:highlight w:val="none"/>
                <w:u w:val="none"/>
              </w:rPr>
            </w:pPr>
          </w:p>
        </w:tc>
        <w:tc>
          <w:tcPr>
            <w:tcW w:w="358" w:type="pct"/>
            <w:vMerge w:val="continue"/>
            <w:tcBorders>
              <w:left w:val="single" w:color="000000" w:sz="4" w:space="0"/>
              <w:bottom w:val="single" w:color="auto"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kern w:val="0"/>
                <w:sz w:val="21"/>
                <w:szCs w:val="21"/>
                <w:highlight w:val="none"/>
                <w:u w:val="none"/>
                <w:lang w:val="en-US" w:eastAsia="zh-CN"/>
              </w:rPr>
            </w:pPr>
          </w:p>
        </w:tc>
        <w:tc>
          <w:tcPr>
            <w:tcW w:w="332"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kern w:val="0"/>
                <w:sz w:val="21"/>
                <w:szCs w:val="21"/>
                <w:highlight w:val="none"/>
                <w:u w:val="none"/>
                <w:lang w:val="en-US" w:eastAsia="zh-CN"/>
              </w:rPr>
            </w:pPr>
            <w:r>
              <w:rPr>
                <w:rFonts w:hint="eastAsia" w:ascii="仿宋_GB2312" w:hAnsi="仿宋_GB2312" w:eastAsia="仿宋_GB2312" w:cs="仿宋_GB2312"/>
                <w:b/>
                <w:bCs/>
                <w:i w:val="0"/>
                <w:iCs w:val="0"/>
                <w:color w:val="auto"/>
                <w:kern w:val="0"/>
                <w:sz w:val="21"/>
                <w:szCs w:val="21"/>
                <w:highlight w:val="none"/>
                <w:u w:val="none"/>
                <w:lang w:val="en-US" w:eastAsia="zh-CN"/>
              </w:rPr>
              <w:t>目</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rPr>
              <w:t>标</w:t>
            </w:r>
          </w:p>
        </w:tc>
        <w:tc>
          <w:tcPr>
            <w:tcW w:w="320"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rPr>
              <w:t>权重</w:t>
            </w:r>
          </w:p>
        </w:tc>
        <w:tc>
          <w:tcPr>
            <w:tcW w:w="294"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rPr>
              <w:t>目标</w:t>
            </w:r>
          </w:p>
        </w:tc>
        <w:tc>
          <w:tcPr>
            <w:tcW w:w="294"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rPr>
              <w:t>权重</w:t>
            </w:r>
          </w:p>
        </w:tc>
        <w:tc>
          <w:tcPr>
            <w:tcW w:w="352"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rPr>
            </w:pPr>
            <w:r>
              <w:rPr>
                <w:rStyle w:val="44"/>
                <w:rFonts w:hint="eastAsia" w:ascii="仿宋_GB2312" w:hAnsi="仿宋_GB2312" w:eastAsia="仿宋_GB2312" w:cs="仿宋_GB2312"/>
                <w:b/>
                <w:bCs/>
                <w:color w:val="auto"/>
                <w:sz w:val="21"/>
                <w:szCs w:val="21"/>
                <w:highlight w:val="none"/>
                <w:lang w:val="en-US" w:eastAsia="zh-CN"/>
              </w:rPr>
              <w:t>目</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SA"/>
              </w:rPr>
            </w:pPr>
            <w:r>
              <w:rPr>
                <w:rStyle w:val="44"/>
                <w:rFonts w:hint="eastAsia" w:ascii="仿宋_GB2312" w:hAnsi="仿宋_GB2312" w:eastAsia="仿宋_GB2312" w:cs="仿宋_GB2312"/>
                <w:b/>
                <w:bCs/>
                <w:color w:val="auto"/>
                <w:sz w:val="21"/>
                <w:szCs w:val="21"/>
                <w:highlight w:val="none"/>
                <w:lang w:val="en-US" w:eastAsia="zh-CN"/>
              </w:rPr>
              <w:t>标</w:t>
            </w:r>
          </w:p>
        </w:tc>
        <w:tc>
          <w:tcPr>
            <w:tcW w:w="294"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SA"/>
              </w:rPr>
            </w:pPr>
            <w:r>
              <w:rPr>
                <w:rStyle w:val="44"/>
                <w:rFonts w:hint="eastAsia" w:ascii="仿宋_GB2312" w:hAnsi="仿宋_GB2312" w:eastAsia="仿宋_GB2312" w:cs="仿宋_GB2312"/>
                <w:b/>
                <w:bCs/>
                <w:color w:val="auto"/>
                <w:sz w:val="21"/>
                <w:szCs w:val="21"/>
                <w:highlight w:val="none"/>
                <w:lang w:val="en-US" w:eastAsia="zh-CN"/>
              </w:rPr>
              <w:t>权重</w:t>
            </w:r>
          </w:p>
        </w:tc>
        <w:tc>
          <w:tcPr>
            <w:tcW w:w="300"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rPr>
              <w:t>目标</w:t>
            </w:r>
          </w:p>
        </w:tc>
        <w:tc>
          <w:tcPr>
            <w:tcW w:w="243"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rPr>
              <w:t>权重</w:t>
            </w:r>
          </w:p>
        </w:tc>
        <w:tc>
          <w:tcPr>
            <w:tcW w:w="230"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rPr>
            </w:pPr>
            <w:r>
              <w:rPr>
                <w:rStyle w:val="44"/>
                <w:rFonts w:hint="eastAsia" w:ascii="仿宋_GB2312" w:hAnsi="仿宋_GB2312" w:eastAsia="仿宋_GB2312" w:cs="仿宋_GB2312"/>
                <w:b/>
                <w:bCs/>
                <w:color w:val="auto"/>
                <w:sz w:val="21"/>
                <w:szCs w:val="21"/>
                <w:highlight w:val="none"/>
                <w:lang w:val="en-US" w:eastAsia="zh-CN"/>
              </w:rPr>
              <w:t>目标</w:t>
            </w:r>
          </w:p>
        </w:tc>
        <w:tc>
          <w:tcPr>
            <w:tcW w:w="215"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rPr>
            </w:pPr>
            <w:r>
              <w:rPr>
                <w:rStyle w:val="44"/>
                <w:rFonts w:hint="eastAsia" w:ascii="仿宋_GB2312" w:hAnsi="仿宋_GB2312" w:eastAsia="仿宋_GB2312" w:cs="仿宋_GB2312"/>
                <w:b/>
                <w:bCs/>
                <w:color w:val="auto"/>
                <w:sz w:val="21"/>
                <w:szCs w:val="21"/>
                <w:highlight w:val="none"/>
                <w:lang w:val="en-US" w:eastAsia="zh-CN"/>
              </w:rPr>
              <w:t>权重</w:t>
            </w:r>
          </w:p>
        </w:tc>
        <w:tc>
          <w:tcPr>
            <w:tcW w:w="264"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rPr>
              <w:t>目标</w:t>
            </w:r>
          </w:p>
        </w:tc>
        <w:tc>
          <w:tcPr>
            <w:tcW w:w="228"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rPr>
              <w:t>权重</w:t>
            </w:r>
          </w:p>
        </w:tc>
        <w:tc>
          <w:tcPr>
            <w:tcW w:w="247"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rPr>
              <w:t>目标</w:t>
            </w:r>
          </w:p>
        </w:tc>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rPr>
            </w:pPr>
            <w:r>
              <w:rPr>
                <w:rStyle w:val="44"/>
                <w:rFonts w:hint="eastAsia" w:ascii="仿宋_GB2312" w:hAnsi="仿宋_GB2312" w:eastAsia="仿宋_GB2312" w:cs="仿宋_GB2312"/>
                <w:b/>
                <w:bCs/>
                <w:color w:val="auto"/>
                <w:sz w:val="21"/>
                <w:szCs w:val="21"/>
                <w:highlight w:val="none"/>
                <w:lang w:val="en-US" w:eastAsia="zh-CN"/>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719" w:type="pct"/>
            <w:tcBorders>
              <w:top w:val="single" w:color="auto" w:sz="4" w:space="0"/>
              <w:left w:val="single" w:color="000000" w:sz="4" w:space="0"/>
              <w:bottom w:val="single" w:color="000000" w:sz="4" w:space="0"/>
              <w:right w:val="single" w:color="000000" w:sz="4" w:space="0"/>
            </w:tcBorders>
            <w:noWrap/>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b/>
                <w:bCs/>
                <w:i w:val="0"/>
                <w:iCs w:val="0"/>
                <w:color w:val="auto"/>
                <w:sz w:val="20"/>
                <w:szCs w:val="20"/>
                <w:highlight w:val="none"/>
                <w:u w:val="none"/>
                <w:lang w:val="en-US" w:eastAsia="zh-CN"/>
              </w:rPr>
            </w:pPr>
            <w:r>
              <w:rPr>
                <w:rFonts w:hint="eastAsia" w:ascii="仿宋_GB2312" w:hAnsi="仿宋_GB2312" w:eastAsia="仿宋_GB2312" w:cs="仿宋_GB2312"/>
                <w:b w:val="0"/>
                <w:bCs w:val="0"/>
                <w:i w:val="0"/>
                <w:iCs w:val="0"/>
                <w:color w:val="auto"/>
                <w:sz w:val="20"/>
                <w:szCs w:val="20"/>
                <w:highlight w:val="none"/>
                <w:u w:val="none"/>
                <w:lang w:val="en-US" w:eastAsia="zh-CN"/>
              </w:rPr>
              <w:t>四川九洲后勤服务有限责任公司</w:t>
            </w:r>
          </w:p>
        </w:tc>
        <w:tc>
          <w:tcPr>
            <w:tcW w:w="358" w:type="pct"/>
            <w:tcBorders>
              <w:top w:val="single" w:color="auto" w:sz="4" w:space="0"/>
              <w:left w:val="single" w:color="000000" w:sz="4" w:space="0"/>
              <w:bottom w:val="single" w:color="auto" w:sz="4" w:space="0"/>
              <w:right w:val="single" w:color="000000"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b w:val="0"/>
                <w:bCs w:val="0"/>
                <w:i w:val="0"/>
                <w:iCs w:val="0"/>
                <w:color w:val="auto"/>
                <w:kern w:val="0"/>
                <w:sz w:val="18"/>
                <w:szCs w:val="18"/>
                <w:highlight w:val="none"/>
                <w:u w:val="none"/>
                <w:lang w:val="en-US" w:eastAsia="zh-CN"/>
              </w:rPr>
            </w:pPr>
            <w:r>
              <w:rPr>
                <w:rFonts w:hint="eastAsia" w:ascii="仿宋_GB2312" w:hAnsi="仿宋_GB2312" w:eastAsia="仿宋_GB2312" w:cs="仿宋_GB2312"/>
                <w:b w:val="0"/>
                <w:bCs w:val="0"/>
                <w:i w:val="0"/>
                <w:iCs w:val="0"/>
                <w:color w:val="auto"/>
                <w:kern w:val="0"/>
                <w:sz w:val="18"/>
                <w:szCs w:val="18"/>
                <w:highlight w:val="none"/>
                <w:u w:val="none"/>
                <w:lang w:val="en-US" w:eastAsia="zh-CN"/>
              </w:rPr>
              <w:t>100%</w:t>
            </w:r>
          </w:p>
        </w:tc>
        <w:tc>
          <w:tcPr>
            <w:tcW w:w="332" w:type="pct"/>
            <w:tcBorders>
              <w:top w:val="single" w:color="000000" w:sz="4" w:space="0"/>
              <w:left w:val="single" w:color="000000" w:sz="4" w:space="0"/>
              <w:bottom w:val="single" w:color="000000" w:sz="4" w:space="0"/>
              <w:right w:val="single" w:color="000000"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b w:val="0"/>
                <w:bCs w:val="0"/>
                <w:i w:val="0"/>
                <w:iCs w:val="0"/>
                <w:color w:val="auto"/>
                <w:kern w:val="0"/>
                <w:sz w:val="18"/>
                <w:szCs w:val="18"/>
                <w:highlight w:val="none"/>
                <w:u w:val="none"/>
                <w:lang w:val="en-US" w:eastAsia="zh-CN"/>
              </w:rPr>
            </w:pPr>
            <w:r>
              <w:rPr>
                <w:rFonts w:hint="eastAsia" w:ascii="仿宋_GB2312" w:hAnsi="仿宋_GB2312" w:eastAsia="仿宋_GB2312" w:cs="仿宋_GB2312"/>
                <w:b w:val="0"/>
                <w:bCs w:val="0"/>
                <w:i w:val="0"/>
                <w:iCs w:val="0"/>
                <w:color w:val="000000"/>
                <w:sz w:val="18"/>
                <w:szCs w:val="18"/>
                <w:highlight w:val="none"/>
                <w:u w:val="none"/>
                <w:lang w:val="en-US" w:eastAsia="zh-CN"/>
              </w:rPr>
              <w:t>9000</w:t>
            </w:r>
          </w:p>
        </w:tc>
        <w:tc>
          <w:tcPr>
            <w:tcW w:w="320" w:type="pct"/>
            <w:tcBorders>
              <w:top w:val="single" w:color="000000" w:sz="4" w:space="0"/>
              <w:left w:val="single" w:color="000000" w:sz="4" w:space="0"/>
              <w:bottom w:val="single" w:color="000000" w:sz="4" w:space="0"/>
              <w:right w:val="single" w:color="000000"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Style w:val="44"/>
                <w:rFonts w:hint="default" w:ascii="仿宋_GB2312" w:hAnsi="仿宋_GB2312" w:eastAsia="仿宋_GB2312" w:cs="仿宋_GB2312"/>
                <w:b w:val="0"/>
                <w:bCs w:val="0"/>
                <w:color w:val="auto"/>
                <w:sz w:val="18"/>
                <w:szCs w:val="18"/>
                <w:highlight w:val="none"/>
                <w:lang w:val="en-US" w:eastAsia="zh-CN"/>
              </w:rPr>
            </w:pPr>
            <w:r>
              <w:rPr>
                <w:rStyle w:val="44"/>
                <w:rFonts w:hint="eastAsia" w:ascii="仿宋_GB2312" w:hAnsi="仿宋_GB2312" w:eastAsia="仿宋_GB2312" w:cs="仿宋_GB2312"/>
                <w:b w:val="0"/>
                <w:bCs w:val="0"/>
                <w:color w:val="auto"/>
                <w:sz w:val="18"/>
                <w:szCs w:val="18"/>
                <w:highlight w:val="none"/>
                <w:lang w:val="en-US" w:eastAsia="zh-CN"/>
              </w:rPr>
              <w:t>100%</w:t>
            </w:r>
          </w:p>
        </w:tc>
        <w:tc>
          <w:tcPr>
            <w:tcW w:w="294" w:type="pct"/>
            <w:tcBorders>
              <w:top w:val="single" w:color="000000" w:sz="4" w:space="0"/>
              <w:left w:val="single" w:color="000000" w:sz="4" w:space="0"/>
              <w:bottom w:val="single" w:color="000000" w:sz="4" w:space="0"/>
              <w:right w:val="single" w:color="000000"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Style w:val="44"/>
                <w:rFonts w:hint="default" w:ascii="仿宋_GB2312" w:hAnsi="仿宋_GB2312" w:eastAsia="仿宋_GB2312" w:cs="仿宋_GB2312"/>
                <w:b w:val="0"/>
                <w:bCs w:val="0"/>
                <w:color w:val="000000"/>
                <w:sz w:val="18"/>
                <w:szCs w:val="18"/>
                <w:highlight w:val="none"/>
                <w:lang w:val="en-US" w:eastAsia="zh-CN"/>
              </w:rPr>
            </w:pPr>
            <w:r>
              <w:rPr>
                <w:rStyle w:val="44"/>
                <w:rFonts w:hint="eastAsia" w:ascii="仿宋_GB2312" w:hAnsi="仿宋_GB2312" w:eastAsia="仿宋_GB2312" w:cs="仿宋_GB2312"/>
                <w:b w:val="0"/>
                <w:bCs w:val="0"/>
                <w:color w:val="000000"/>
                <w:sz w:val="18"/>
                <w:szCs w:val="18"/>
                <w:highlight w:val="none"/>
                <w:lang w:val="en-US" w:eastAsia="zh-CN"/>
              </w:rPr>
              <w:t>0</w:t>
            </w:r>
          </w:p>
        </w:tc>
        <w:tc>
          <w:tcPr>
            <w:tcW w:w="294" w:type="pct"/>
            <w:tcBorders>
              <w:top w:val="single" w:color="000000" w:sz="4" w:space="0"/>
              <w:left w:val="single" w:color="000000" w:sz="4" w:space="0"/>
              <w:bottom w:val="single" w:color="000000" w:sz="4" w:space="0"/>
              <w:right w:val="single" w:color="000000"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Style w:val="44"/>
                <w:rFonts w:hint="default" w:ascii="仿宋_GB2312" w:hAnsi="仿宋_GB2312" w:eastAsia="仿宋_GB2312" w:cs="仿宋_GB2312"/>
                <w:b w:val="0"/>
                <w:bCs w:val="0"/>
                <w:color w:val="000000"/>
                <w:sz w:val="18"/>
                <w:szCs w:val="18"/>
                <w:highlight w:val="none"/>
                <w:lang w:val="en-US" w:eastAsia="zh-CN"/>
              </w:rPr>
            </w:pPr>
            <w:r>
              <w:rPr>
                <w:rStyle w:val="44"/>
                <w:rFonts w:hint="eastAsia" w:ascii="仿宋_GB2312" w:hAnsi="仿宋_GB2312" w:eastAsia="仿宋_GB2312" w:cs="仿宋_GB2312"/>
                <w:b w:val="0"/>
                <w:bCs w:val="0"/>
                <w:color w:val="000000"/>
                <w:sz w:val="18"/>
                <w:szCs w:val="18"/>
                <w:highlight w:val="none"/>
                <w:lang w:val="en-US" w:eastAsia="zh-CN"/>
              </w:rPr>
              <w:t>0</w:t>
            </w:r>
          </w:p>
        </w:tc>
        <w:tc>
          <w:tcPr>
            <w:tcW w:w="352"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default" w:ascii="仿宋_GB2312" w:hAnsi="仿宋_GB2312" w:eastAsia="仿宋_GB2312" w:cs="仿宋_GB2312"/>
                <w:b w:val="0"/>
                <w:bCs w:val="0"/>
                <w:color w:val="000000"/>
                <w:sz w:val="18"/>
                <w:szCs w:val="18"/>
                <w:highlight w:val="none"/>
                <w:lang w:val="en-US" w:eastAsia="zh-CN"/>
              </w:rPr>
            </w:pPr>
            <w:r>
              <w:rPr>
                <w:rStyle w:val="44"/>
                <w:rFonts w:hint="eastAsia" w:ascii="仿宋_GB2312" w:hAnsi="仿宋_GB2312" w:eastAsia="仿宋_GB2312" w:cs="仿宋_GB2312"/>
                <w:b w:val="0"/>
                <w:bCs w:val="0"/>
                <w:color w:val="000000"/>
                <w:sz w:val="18"/>
                <w:szCs w:val="18"/>
                <w:highlight w:val="none"/>
                <w:lang w:val="en-US" w:eastAsia="zh-CN"/>
              </w:rPr>
              <w:t>7600</w:t>
            </w:r>
          </w:p>
        </w:tc>
        <w:tc>
          <w:tcPr>
            <w:tcW w:w="294"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default" w:ascii="仿宋_GB2312" w:hAnsi="仿宋_GB2312" w:eastAsia="仿宋_GB2312" w:cs="仿宋_GB2312"/>
                <w:b w:val="0"/>
                <w:bCs w:val="0"/>
                <w:color w:val="000000"/>
                <w:sz w:val="18"/>
                <w:szCs w:val="18"/>
                <w:highlight w:val="none"/>
                <w:lang w:val="en-US" w:eastAsia="zh-CN"/>
              </w:rPr>
            </w:pPr>
            <w:r>
              <w:rPr>
                <w:rStyle w:val="44"/>
                <w:rFonts w:hint="eastAsia" w:ascii="仿宋_GB2312" w:hAnsi="仿宋_GB2312" w:eastAsia="仿宋_GB2312" w:cs="仿宋_GB2312"/>
                <w:b w:val="0"/>
                <w:bCs w:val="0"/>
                <w:color w:val="000000"/>
                <w:sz w:val="18"/>
                <w:szCs w:val="18"/>
                <w:highlight w:val="none"/>
                <w:lang w:val="en-US" w:eastAsia="zh-CN"/>
              </w:rPr>
              <w:t>84%</w:t>
            </w:r>
          </w:p>
        </w:tc>
        <w:tc>
          <w:tcPr>
            <w:tcW w:w="300"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default" w:ascii="仿宋_GB2312" w:hAnsi="仿宋_GB2312" w:eastAsia="仿宋_GB2312" w:cs="仿宋_GB2312"/>
                <w:b w:val="0"/>
                <w:bCs w:val="0"/>
                <w:color w:val="000000"/>
                <w:sz w:val="18"/>
                <w:szCs w:val="18"/>
                <w:highlight w:val="none"/>
                <w:lang w:val="en-US" w:eastAsia="zh-CN"/>
              </w:rPr>
            </w:pPr>
            <w:r>
              <w:rPr>
                <w:rStyle w:val="44"/>
                <w:rFonts w:hint="eastAsia" w:ascii="仿宋_GB2312" w:hAnsi="仿宋_GB2312" w:eastAsia="仿宋_GB2312" w:cs="仿宋_GB2312"/>
                <w:b w:val="0"/>
                <w:bCs w:val="0"/>
                <w:color w:val="000000"/>
                <w:sz w:val="18"/>
                <w:szCs w:val="18"/>
                <w:highlight w:val="none"/>
                <w:lang w:val="en-US" w:eastAsia="zh-CN"/>
              </w:rPr>
              <w:t>0</w:t>
            </w:r>
          </w:p>
        </w:tc>
        <w:tc>
          <w:tcPr>
            <w:tcW w:w="243"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default" w:ascii="仿宋_GB2312" w:hAnsi="仿宋_GB2312" w:eastAsia="仿宋_GB2312" w:cs="仿宋_GB2312"/>
                <w:b w:val="0"/>
                <w:bCs w:val="0"/>
                <w:color w:val="000000"/>
                <w:sz w:val="18"/>
                <w:szCs w:val="18"/>
                <w:highlight w:val="none"/>
                <w:lang w:val="en-US" w:eastAsia="zh-CN"/>
              </w:rPr>
            </w:pPr>
            <w:r>
              <w:rPr>
                <w:rStyle w:val="44"/>
                <w:rFonts w:hint="eastAsia" w:ascii="仿宋_GB2312" w:hAnsi="仿宋_GB2312" w:eastAsia="仿宋_GB2312" w:cs="仿宋_GB2312"/>
                <w:b w:val="0"/>
                <w:bCs w:val="0"/>
                <w:color w:val="000000"/>
                <w:sz w:val="18"/>
                <w:szCs w:val="18"/>
                <w:highlight w:val="none"/>
                <w:lang w:val="en-US" w:eastAsia="zh-CN"/>
              </w:rPr>
              <w:t>0</w:t>
            </w:r>
          </w:p>
        </w:tc>
        <w:tc>
          <w:tcPr>
            <w:tcW w:w="230"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default" w:ascii="仿宋_GB2312" w:hAnsi="仿宋_GB2312" w:eastAsia="仿宋_GB2312" w:cs="仿宋_GB2312"/>
                <w:b w:val="0"/>
                <w:bCs w:val="0"/>
                <w:color w:val="000000"/>
                <w:sz w:val="18"/>
                <w:szCs w:val="18"/>
                <w:highlight w:val="none"/>
                <w:lang w:val="en-US" w:eastAsia="zh-CN"/>
              </w:rPr>
            </w:pPr>
            <w:r>
              <w:rPr>
                <w:rStyle w:val="44"/>
                <w:rFonts w:hint="eastAsia" w:ascii="仿宋_GB2312" w:hAnsi="仿宋_GB2312" w:eastAsia="仿宋_GB2312" w:cs="仿宋_GB2312"/>
                <w:b w:val="0"/>
                <w:bCs w:val="0"/>
                <w:color w:val="000000"/>
                <w:sz w:val="18"/>
                <w:szCs w:val="18"/>
                <w:highlight w:val="none"/>
                <w:lang w:val="en-US" w:eastAsia="zh-CN"/>
              </w:rPr>
              <w:t>0</w:t>
            </w:r>
          </w:p>
        </w:tc>
        <w:tc>
          <w:tcPr>
            <w:tcW w:w="215"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default" w:ascii="仿宋_GB2312" w:hAnsi="仿宋_GB2312" w:eastAsia="仿宋_GB2312" w:cs="仿宋_GB2312"/>
                <w:b w:val="0"/>
                <w:bCs w:val="0"/>
                <w:color w:val="000000"/>
                <w:sz w:val="18"/>
                <w:szCs w:val="18"/>
                <w:highlight w:val="none"/>
                <w:lang w:val="en-US" w:eastAsia="zh-CN"/>
              </w:rPr>
            </w:pPr>
            <w:r>
              <w:rPr>
                <w:rStyle w:val="44"/>
                <w:rFonts w:hint="eastAsia" w:ascii="仿宋_GB2312" w:hAnsi="仿宋_GB2312" w:eastAsia="仿宋_GB2312" w:cs="仿宋_GB2312"/>
                <w:b w:val="0"/>
                <w:bCs w:val="0"/>
                <w:color w:val="000000"/>
                <w:sz w:val="18"/>
                <w:szCs w:val="18"/>
                <w:highlight w:val="none"/>
                <w:lang w:val="en-US" w:eastAsia="zh-CN"/>
              </w:rPr>
              <w:t>0</w:t>
            </w:r>
          </w:p>
        </w:tc>
        <w:tc>
          <w:tcPr>
            <w:tcW w:w="264"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AutoHyphens/>
              <w:kinsoku/>
              <w:wordWrap/>
              <w:overflowPunct/>
              <w:topLinePunct w:val="0"/>
              <w:autoSpaceDE/>
              <w:autoSpaceDN/>
              <w:bidi w:val="0"/>
              <w:adjustRightInd w:val="0"/>
              <w:snapToGrid w:val="0"/>
              <w:spacing w:line="400" w:lineRule="exact"/>
              <w:jc w:val="center"/>
              <w:textAlignment w:val="auto"/>
              <w:rPr>
                <w:rFonts w:hint="default" w:ascii="仿宋_GB2312" w:hAnsi="仿宋_GB2312" w:eastAsia="仿宋_GB2312" w:cs="仿宋_GB2312"/>
                <w:b w:val="0"/>
                <w:bCs w:val="0"/>
                <w:color w:val="000000"/>
                <w:kern w:val="2"/>
                <w:sz w:val="18"/>
                <w:szCs w:val="18"/>
                <w:highlight w:val="none"/>
                <w:vertAlign w:val="baseline"/>
                <w:lang w:val="en-US" w:eastAsia="zh-CN" w:bidi="ar-SA"/>
              </w:rPr>
            </w:pPr>
            <w:r>
              <w:rPr>
                <w:rFonts w:hint="eastAsia" w:ascii="仿宋_GB2312" w:hAnsi="仿宋_GB2312" w:eastAsia="仿宋_GB2312" w:cs="仿宋_GB2312"/>
                <w:b w:val="0"/>
                <w:bCs w:val="0"/>
                <w:color w:val="000000"/>
                <w:kern w:val="2"/>
                <w:sz w:val="18"/>
                <w:szCs w:val="18"/>
                <w:highlight w:val="none"/>
                <w:vertAlign w:val="baseline"/>
                <w:lang w:val="en-US" w:eastAsia="zh-CN" w:bidi="ar-SA"/>
              </w:rPr>
              <w:t>0</w:t>
            </w:r>
          </w:p>
        </w:tc>
        <w:tc>
          <w:tcPr>
            <w:tcW w:w="228"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default" w:ascii="仿宋_GB2312" w:hAnsi="仿宋_GB2312" w:eastAsia="仿宋_GB2312" w:cs="仿宋_GB2312"/>
                <w:b w:val="0"/>
                <w:bCs w:val="0"/>
                <w:color w:val="auto"/>
                <w:sz w:val="18"/>
                <w:szCs w:val="18"/>
                <w:highlight w:val="none"/>
                <w:lang w:val="en-US" w:eastAsia="zh-CN"/>
              </w:rPr>
            </w:pPr>
            <w:r>
              <w:rPr>
                <w:rStyle w:val="44"/>
                <w:rFonts w:hint="eastAsia" w:ascii="仿宋_GB2312" w:hAnsi="仿宋_GB2312" w:eastAsia="仿宋_GB2312" w:cs="仿宋_GB2312"/>
                <w:b w:val="0"/>
                <w:bCs w:val="0"/>
                <w:color w:val="auto"/>
                <w:sz w:val="18"/>
                <w:szCs w:val="18"/>
                <w:highlight w:val="none"/>
                <w:lang w:val="en-US" w:eastAsia="zh-CN"/>
              </w:rPr>
              <w:t>0</w:t>
            </w:r>
          </w:p>
        </w:tc>
        <w:tc>
          <w:tcPr>
            <w:tcW w:w="247"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_GB2312" w:hAnsi="仿宋_GB2312" w:eastAsia="仿宋_GB2312" w:cs="仿宋_GB2312"/>
                <w:b w:val="0"/>
                <w:bCs w:val="0"/>
                <w:i w:val="0"/>
                <w:iCs w:val="0"/>
                <w:color w:val="auto"/>
                <w:kern w:val="0"/>
                <w:sz w:val="18"/>
                <w:szCs w:val="18"/>
                <w:highlight w:val="none"/>
                <w:u w:val="none"/>
                <w:lang w:val="en-US" w:eastAsia="zh-CN"/>
              </w:rPr>
            </w:pPr>
            <w:r>
              <w:rPr>
                <w:rFonts w:hint="eastAsia" w:ascii="仿宋_GB2312" w:hAnsi="仿宋_GB2312" w:eastAsia="仿宋_GB2312" w:cs="仿宋_GB2312"/>
                <w:b w:val="0"/>
                <w:bCs w:val="0"/>
                <w:i w:val="0"/>
                <w:iCs w:val="0"/>
                <w:color w:val="auto"/>
                <w:kern w:val="0"/>
                <w:sz w:val="18"/>
                <w:szCs w:val="18"/>
                <w:highlight w:val="none"/>
                <w:u w:val="none"/>
                <w:lang w:val="en-US" w:eastAsia="zh-CN"/>
              </w:rPr>
              <w:t>0</w:t>
            </w:r>
          </w:p>
        </w:tc>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default" w:ascii="仿宋_GB2312" w:hAnsi="仿宋_GB2312" w:eastAsia="仿宋_GB2312" w:cs="仿宋_GB2312"/>
                <w:b w:val="0"/>
                <w:bCs w:val="0"/>
                <w:color w:val="auto"/>
                <w:sz w:val="18"/>
                <w:szCs w:val="18"/>
                <w:highlight w:val="none"/>
                <w:lang w:val="en-US" w:eastAsia="zh-CN"/>
              </w:rPr>
            </w:pPr>
            <w:r>
              <w:rPr>
                <w:rStyle w:val="44"/>
                <w:rFonts w:hint="eastAsia" w:ascii="仿宋_GB2312" w:hAnsi="仿宋_GB2312" w:eastAsia="仿宋_GB2312" w:cs="仿宋_GB2312"/>
                <w:b w:val="0"/>
                <w:bCs w:val="0"/>
                <w:color w:val="auto"/>
                <w:sz w:val="18"/>
                <w:szCs w:val="18"/>
                <w:highlight w:val="none"/>
                <w:lang w:val="en-US" w:eastAsia="zh-CN"/>
              </w:rPr>
              <w:t>0</w:t>
            </w:r>
          </w:p>
        </w:tc>
      </w:tr>
    </w:tbl>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Times New Roman" w:eastAsia="仿宋_GB2312" w:cs="Times New Roman"/>
          <w:b/>
          <w:bCs w:val="0"/>
          <w:sz w:val="32"/>
          <w:szCs w:val="32"/>
          <w:highlight w:val="none"/>
        </w:rPr>
      </w:pPr>
      <w:r>
        <w:rPr>
          <w:rFonts w:hint="eastAsia" w:ascii="仿宋_GB2312" w:hAnsi="Times New Roman" w:eastAsia="仿宋_GB2312" w:cs="Times New Roman"/>
          <w:b w:val="0"/>
          <w:bCs/>
          <w:sz w:val="32"/>
          <w:szCs w:val="32"/>
          <w:highlight w:val="none"/>
          <w:lang w:eastAsia="zh-CN"/>
        </w:rPr>
        <w:t>备注：</w:t>
      </w:r>
      <w:r>
        <w:rPr>
          <w:rFonts w:hint="eastAsia" w:ascii="仿宋_GB2312" w:hAnsi="Times New Roman" w:eastAsia="仿宋_GB2312" w:cs="Times New Roman"/>
          <w:b w:val="0"/>
          <w:bCs/>
          <w:sz w:val="32"/>
          <w:szCs w:val="32"/>
          <w:highlight w:val="none"/>
          <w:lang w:val="en-US" w:eastAsia="zh-CN"/>
        </w:rPr>
        <w:t>人工成本利润率不低于“较上年人工成本利润率优化2%”。（以上指标根据快报数测算，待薪酬分配专项审计报告出具后进行调整）</w:t>
      </w:r>
    </w:p>
    <w:p>
      <w:pPr>
        <w:keepNext w:val="0"/>
        <w:keepLines w:val="0"/>
        <w:pageBreakBefore w:val="0"/>
        <w:widowControl/>
        <w:kinsoku/>
        <w:wordWrap/>
        <w:overflowPunct/>
        <w:topLinePunct w:val="0"/>
        <w:autoSpaceDE/>
        <w:autoSpaceDN/>
        <w:bidi w:val="0"/>
        <w:spacing w:line="560" w:lineRule="exact"/>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（二）任务绩效</w:t>
      </w:r>
    </w:p>
    <w:p>
      <w:pPr>
        <w:keepNext w:val="0"/>
        <w:keepLines w:val="0"/>
        <w:pageBreakBefore w:val="0"/>
        <w:widowControl/>
        <w:kinsoku/>
        <w:wordWrap/>
        <w:overflowPunct/>
        <w:topLinePunct w:val="0"/>
        <w:autoSpaceDE/>
        <w:autoSpaceDN/>
        <w:bidi w:val="0"/>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任务绩效指标为定性的重点任务指标，主要包括经营发展、科技创新、数字化转型、党建工作、投融资、专项工作等。每项得分不超过120分。</w:t>
      </w:r>
    </w:p>
    <w:tbl>
      <w:tblPr>
        <w:tblStyle w:val="46"/>
        <w:tblW w:w="51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62"/>
        <w:gridCol w:w="1527"/>
        <w:gridCol w:w="6098"/>
        <w:gridCol w:w="9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blHeader/>
        </w:trPr>
        <w:tc>
          <w:tcPr>
            <w:tcW w:w="306"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b/>
                <w:bCs/>
                <w:color w:val="000000"/>
                <w:spacing w:val="3"/>
                <w:sz w:val="24"/>
                <w:szCs w:val="24"/>
                <w:highlight w:val="none"/>
              </w:rPr>
            </w:pPr>
            <w:r>
              <w:rPr>
                <w:rFonts w:hint="eastAsia" w:ascii="仿宋_GB2312" w:hAnsi="仿宋_GB2312" w:eastAsia="仿宋_GB2312" w:cs="仿宋_GB2312"/>
                <w:b/>
                <w:bCs/>
                <w:color w:val="000000"/>
                <w:spacing w:val="3"/>
                <w:sz w:val="24"/>
                <w:szCs w:val="24"/>
                <w:highlight w:val="none"/>
              </w:rPr>
              <w:t>序号</w:t>
            </w:r>
          </w:p>
        </w:tc>
        <w:tc>
          <w:tcPr>
            <w:tcW w:w="831"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b/>
                <w:bCs/>
                <w:color w:val="000000"/>
                <w:spacing w:val="3"/>
                <w:sz w:val="24"/>
                <w:szCs w:val="24"/>
                <w:highlight w:val="none"/>
              </w:rPr>
            </w:pPr>
            <w:r>
              <w:rPr>
                <w:rFonts w:hint="eastAsia" w:ascii="仿宋_GB2312" w:hAnsi="仿宋_GB2312" w:eastAsia="仿宋_GB2312" w:cs="仿宋_GB2312"/>
                <w:b/>
                <w:bCs/>
                <w:color w:val="000000"/>
                <w:spacing w:val="3"/>
                <w:sz w:val="24"/>
                <w:szCs w:val="24"/>
                <w:highlight w:val="none"/>
              </w:rPr>
              <w:t>指标名称</w:t>
            </w:r>
          </w:p>
        </w:tc>
        <w:tc>
          <w:tcPr>
            <w:tcW w:w="3318"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b/>
                <w:bCs/>
                <w:color w:val="000000"/>
                <w:spacing w:val="3"/>
                <w:sz w:val="24"/>
                <w:szCs w:val="24"/>
                <w:highlight w:val="none"/>
              </w:rPr>
            </w:pPr>
            <w:r>
              <w:rPr>
                <w:rFonts w:hint="eastAsia" w:ascii="仿宋_GB2312" w:hAnsi="仿宋_GB2312" w:eastAsia="仿宋_GB2312" w:cs="仿宋_GB2312"/>
                <w:b/>
                <w:bCs/>
                <w:color w:val="000000"/>
                <w:spacing w:val="3"/>
                <w:sz w:val="24"/>
                <w:szCs w:val="24"/>
                <w:highlight w:val="none"/>
              </w:rPr>
              <w:t>202</w:t>
            </w:r>
            <w:r>
              <w:rPr>
                <w:rFonts w:hint="eastAsia" w:ascii="仿宋_GB2312" w:hAnsi="仿宋_GB2312" w:eastAsia="仿宋_GB2312" w:cs="仿宋_GB2312"/>
                <w:b/>
                <w:bCs/>
                <w:color w:val="000000"/>
                <w:spacing w:val="3"/>
                <w:sz w:val="24"/>
                <w:szCs w:val="24"/>
                <w:highlight w:val="none"/>
                <w:lang w:val="en-US" w:eastAsia="zh-CN"/>
              </w:rPr>
              <w:t>4</w:t>
            </w:r>
            <w:r>
              <w:rPr>
                <w:rFonts w:hint="eastAsia" w:ascii="仿宋_GB2312" w:hAnsi="仿宋_GB2312" w:eastAsia="仿宋_GB2312" w:cs="仿宋_GB2312"/>
                <w:b/>
                <w:bCs/>
                <w:color w:val="000000"/>
                <w:spacing w:val="3"/>
                <w:sz w:val="24"/>
                <w:szCs w:val="24"/>
                <w:highlight w:val="none"/>
              </w:rPr>
              <w:t>年度目标</w:t>
            </w:r>
          </w:p>
        </w:tc>
        <w:tc>
          <w:tcPr>
            <w:tcW w:w="543"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b/>
                <w:bCs/>
                <w:color w:val="000000"/>
                <w:sz w:val="24"/>
                <w:szCs w:val="24"/>
                <w:highlight w:val="none"/>
              </w:rPr>
            </w:pPr>
            <w:r>
              <w:rPr>
                <w:rFonts w:hint="eastAsia" w:ascii="仿宋_GB2312" w:hAnsi="仿宋_GB2312" w:eastAsia="仿宋_GB2312" w:cs="仿宋_GB2312"/>
                <w:b/>
                <w:bCs/>
                <w:color w:val="000000"/>
                <w:spacing w:val="-3"/>
                <w:sz w:val="24"/>
                <w:szCs w:val="24"/>
                <w:highlight w:val="none"/>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06"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color w:val="000000"/>
                <w:spacing w:val="3"/>
                <w:sz w:val="24"/>
                <w:szCs w:val="24"/>
                <w:highlight w:val="none"/>
              </w:rPr>
            </w:pPr>
            <w:r>
              <w:rPr>
                <w:rFonts w:hint="eastAsia" w:ascii="仿宋_GB2312" w:hAnsi="仿宋_GB2312" w:eastAsia="仿宋_GB2312" w:cs="仿宋_GB2312"/>
                <w:b w:val="0"/>
                <w:bCs w:val="0"/>
                <w:color w:val="000000"/>
                <w:spacing w:val="3"/>
                <w:sz w:val="24"/>
                <w:szCs w:val="24"/>
                <w:highlight w:val="none"/>
              </w:rPr>
              <w:t>1</w:t>
            </w:r>
          </w:p>
        </w:tc>
        <w:tc>
          <w:tcPr>
            <w:tcW w:w="831"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default" w:ascii="仿宋_GB2312" w:hAnsi="仿宋_GB2312" w:eastAsia="仿宋_GB2312" w:cs="仿宋_GB2312"/>
                <w:color w:val="000000"/>
                <w:spacing w:val="3"/>
                <w:sz w:val="24"/>
                <w:szCs w:val="24"/>
                <w:highlight w:val="none"/>
                <w:lang w:val="en-US" w:eastAsia="zh-CN"/>
              </w:rPr>
            </w:pPr>
            <w:r>
              <w:rPr>
                <w:rFonts w:hint="eastAsia" w:ascii="仿宋_GB2312" w:hAnsi="仿宋_GB2312" w:eastAsia="仿宋_GB2312" w:cs="仿宋_GB2312"/>
                <w:color w:val="000000"/>
                <w:spacing w:val="3"/>
                <w:sz w:val="24"/>
                <w:szCs w:val="24"/>
                <w:highlight w:val="none"/>
                <w:lang w:val="en-US" w:eastAsia="zh-CN"/>
              </w:rPr>
              <w:t>经营发展</w:t>
            </w:r>
          </w:p>
        </w:tc>
        <w:tc>
          <w:tcPr>
            <w:tcW w:w="3318"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default" w:ascii="仿宋_GB2312" w:hAnsi="仿宋_GB2312" w:eastAsia="仿宋_GB2312" w:cs="仿宋_GB2312"/>
                <w:color w:val="000000"/>
                <w:spacing w:val="3"/>
                <w:sz w:val="24"/>
                <w:szCs w:val="24"/>
                <w:highlight w:val="none"/>
                <w:lang w:val="en-US" w:eastAsia="zh-CN"/>
              </w:rPr>
            </w:pPr>
            <w:r>
              <w:rPr>
                <w:rFonts w:hint="eastAsia" w:ascii="仿宋_GB2312" w:hAnsi="仿宋_GB2312" w:eastAsia="仿宋_GB2312" w:cs="仿宋_GB2312"/>
                <w:color w:val="000000"/>
                <w:spacing w:val="3"/>
                <w:sz w:val="24"/>
                <w:szCs w:val="24"/>
                <w:highlight w:val="none"/>
                <w:lang w:val="en-US" w:eastAsia="zh-CN"/>
              </w:rPr>
              <w:t>九洲科工园后勤服务满意度达到80%。</w:t>
            </w:r>
          </w:p>
        </w:tc>
        <w:tc>
          <w:tcPr>
            <w:tcW w:w="543"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spacing w:val="3"/>
                <w:kern w:val="2"/>
                <w:sz w:val="24"/>
                <w:szCs w:val="24"/>
                <w:highlight w:val="none"/>
                <w:lang w:val="en-US" w:eastAsia="zh-CN" w:bidi="ar-SA"/>
              </w:rPr>
            </w:pPr>
            <w:r>
              <w:rPr>
                <w:rFonts w:hint="eastAsia" w:ascii="仿宋_GB2312" w:hAnsi="仿宋_GB2312" w:eastAsia="仿宋_GB2312" w:cs="仿宋_GB2312"/>
                <w:color w:val="000000"/>
                <w:spacing w:val="3"/>
                <w:kern w:val="2"/>
                <w:sz w:val="24"/>
                <w:szCs w:val="24"/>
                <w:highlight w:val="none"/>
                <w:lang w:val="en-US" w:eastAsia="zh-CN" w:bidi="ar-SA"/>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06"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b w:val="0"/>
                <w:bCs w:val="0"/>
                <w:color w:val="000000"/>
                <w:spacing w:val="3"/>
                <w:sz w:val="24"/>
                <w:szCs w:val="24"/>
                <w:highlight w:val="none"/>
                <w:lang w:val="en-US" w:eastAsia="zh-CN"/>
              </w:rPr>
            </w:pPr>
            <w:r>
              <w:rPr>
                <w:rFonts w:hint="eastAsia" w:ascii="仿宋_GB2312" w:hAnsi="仿宋_GB2312" w:eastAsia="仿宋_GB2312" w:cs="仿宋_GB2312"/>
                <w:b w:val="0"/>
                <w:bCs w:val="0"/>
                <w:color w:val="000000"/>
                <w:spacing w:val="3"/>
                <w:sz w:val="24"/>
                <w:szCs w:val="24"/>
                <w:highlight w:val="none"/>
                <w:lang w:val="en-US" w:eastAsia="zh-CN"/>
              </w:rPr>
              <w:t>2</w:t>
            </w:r>
          </w:p>
        </w:tc>
        <w:tc>
          <w:tcPr>
            <w:tcW w:w="831"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b w:val="0"/>
                <w:bCs w:val="0"/>
                <w:color w:val="000000"/>
                <w:spacing w:val="3"/>
                <w:sz w:val="24"/>
                <w:szCs w:val="24"/>
                <w:highlight w:val="none"/>
                <w:lang w:val="en-US" w:eastAsia="zh-CN"/>
              </w:rPr>
            </w:pPr>
            <w:r>
              <w:rPr>
                <w:rFonts w:hint="eastAsia" w:ascii="仿宋_GB2312" w:hAnsi="仿宋_GB2312" w:eastAsia="仿宋_GB2312" w:cs="仿宋_GB2312"/>
                <w:b w:val="0"/>
                <w:bCs w:val="0"/>
                <w:color w:val="000000"/>
                <w:spacing w:val="3"/>
                <w:sz w:val="24"/>
                <w:szCs w:val="24"/>
                <w:highlight w:val="none"/>
                <w:lang w:val="en-US" w:eastAsia="zh-CN"/>
              </w:rPr>
              <w:t>安全环保</w:t>
            </w:r>
          </w:p>
        </w:tc>
        <w:tc>
          <w:tcPr>
            <w:tcW w:w="3318"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仿宋_GB2312" w:hAnsi="仿宋_GB2312" w:eastAsia="仿宋_GB2312" w:cs="仿宋_GB2312"/>
                <w:b w:val="0"/>
                <w:bCs w:val="0"/>
                <w:color w:val="000000"/>
                <w:spacing w:val="3"/>
                <w:sz w:val="24"/>
                <w:szCs w:val="24"/>
                <w:highlight w:val="none"/>
                <w:lang w:val="en-US" w:eastAsia="zh-CN"/>
              </w:rPr>
            </w:pPr>
            <w:r>
              <w:rPr>
                <w:rFonts w:hint="eastAsia" w:ascii="仿宋_GB2312" w:hAnsi="仿宋_GB2312" w:eastAsia="仿宋_GB2312" w:cs="仿宋_GB2312"/>
                <w:b w:val="0"/>
                <w:bCs w:val="0"/>
                <w:color w:val="000000"/>
                <w:spacing w:val="3"/>
                <w:sz w:val="24"/>
                <w:szCs w:val="24"/>
                <w:highlight w:val="none"/>
                <w:lang w:eastAsia="zh-CN"/>
              </w:rPr>
              <w:t>完成年度安全责任书层层签订，抓实《全员安全生产责任制》《安全生产和环境保护考核追责办法》等制度的贯彻执行。</w:t>
            </w:r>
          </w:p>
        </w:tc>
        <w:tc>
          <w:tcPr>
            <w:tcW w:w="543"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spacing w:val="3"/>
                <w:kern w:val="2"/>
                <w:sz w:val="24"/>
                <w:szCs w:val="24"/>
                <w:highlight w:val="none"/>
                <w:lang w:val="en-US" w:eastAsia="zh-CN" w:bidi="ar-SA"/>
              </w:rPr>
            </w:pPr>
            <w:r>
              <w:rPr>
                <w:rFonts w:hint="eastAsia" w:ascii="仿宋_GB2312" w:hAnsi="仿宋_GB2312" w:eastAsia="仿宋_GB2312" w:cs="仿宋_GB2312"/>
                <w:color w:val="000000"/>
                <w:spacing w:val="3"/>
                <w:kern w:val="2"/>
                <w:sz w:val="24"/>
                <w:szCs w:val="24"/>
                <w:highlight w:val="none"/>
                <w:lang w:val="en-US" w:eastAsia="zh-CN" w:bidi="ar-S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06"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b w:val="0"/>
                <w:bCs w:val="0"/>
                <w:color w:val="000000"/>
                <w:spacing w:val="3"/>
                <w:sz w:val="24"/>
                <w:szCs w:val="24"/>
                <w:highlight w:val="none"/>
                <w:lang w:val="en-US" w:eastAsia="zh-CN"/>
              </w:rPr>
            </w:pPr>
            <w:r>
              <w:rPr>
                <w:rFonts w:hint="eastAsia" w:ascii="仿宋_GB2312" w:hAnsi="仿宋_GB2312" w:eastAsia="仿宋_GB2312" w:cs="仿宋_GB2312"/>
                <w:b w:val="0"/>
                <w:bCs w:val="0"/>
                <w:color w:val="000000"/>
                <w:spacing w:val="3"/>
                <w:sz w:val="24"/>
                <w:szCs w:val="24"/>
                <w:highlight w:val="none"/>
                <w:lang w:val="en-US" w:eastAsia="zh-CN"/>
              </w:rPr>
              <w:t>3</w:t>
            </w:r>
          </w:p>
        </w:tc>
        <w:tc>
          <w:tcPr>
            <w:tcW w:w="831"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b w:val="0"/>
                <w:bCs w:val="0"/>
                <w:color w:val="000000"/>
                <w:spacing w:val="3"/>
                <w:sz w:val="24"/>
                <w:szCs w:val="24"/>
                <w:highlight w:val="none"/>
                <w:shd w:val="clear" w:color="auto" w:fill="auto"/>
                <w:lang w:val="en-US" w:eastAsia="zh-CN"/>
              </w:rPr>
            </w:pPr>
            <w:r>
              <w:rPr>
                <w:rFonts w:hint="eastAsia" w:ascii="仿宋_GB2312" w:hAnsi="仿宋_GB2312" w:eastAsia="仿宋_GB2312" w:cs="仿宋_GB2312"/>
                <w:b w:val="0"/>
                <w:bCs w:val="0"/>
                <w:color w:val="000000"/>
                <w:spacing w:val="3"/>
                <w:sz w:val="24"/>
                <w:szCs w:val="24"/>
                <w:highlight w:val="none"/>
                <w:shd w:val="clear" w:color="auto" w:fill="auto"/>
                <w:lang w:val="en-US" w:eastAsia="zh-CN"/>
              </w:rPr>
              <w:t>安全环保</w:t>
            </w:r>
          </w:p>
        </w:tc>
        <w:tc>
          <w:tcPr>
            <w:tcW w:w="3318"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仿宋_GB2312" w:hAnsi="仿宋_GB2312" w:eastAsia="仿宋_GB2312" w:cs="仿宋_GB2312"/>
                <w:b w:val="0"/>
                <w:bCs w:val="0"/>
                <w:color w:val="000000"/>
                <w:spacing w:val="3"/>
                <w:sz w:val="24"/>
                <w:szCs w:val="24"/>
                <w:highlight w:val="none"/>
                <w:shd w:val="clear" w:color="auto" w:fill="auto"/>
                <w:lang w:val="en-US" w:eastAsia="zh-CN"/>
              </w:rPr>
            </w:pPr>
            <w:r>
              <w:rPr>
                <w:rFonts w:hint="eastAsia" w:ascii="仿宋_GB2312" w:hAnsi="仿宋_GB2312" w:eastAsia="仿宋_GB2312" w:cs="仿宋_GB2312"/>
                <w:color w:val="000000"/>
                <w:spacing w:val="3"/>
                <w:sz w:val="24"/>
                <w:szCs w:val="24"/>
                <w:highlight w:val="none"/>
                <w:lang w:val="en-US" w:eastAsia="zh-CN"/>
              </w:rPr>
              <w:t>推进双重预防机制和安全生产标准化建设，开展安全生产隐患排查，集团隐患整改率达98%以上;全年死亡事故为0、重伤事故为0、轻伤率≤1‰。</w:t>
            </w:r>
          </w:p>
        </w:tc>
        <w:tc>
          <w:tcPr>
            <w:tcW w:w="543"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spacing w:val="3"/>
                <w:kern w:val="2"/>
                <w:sz w:val="24"/>
                <w:szCs w:val="24"/>
                <w:highlight w:val="none"/>
                <w:lang w:val="en-US" w:eastAsia="zh-CN" w:bidi="ar-SA"/>
              </w:rPr>
            </w:pPr>
            <w:r>
              <w:rPr>
                <w:rFonts w:hint="eastAsia" w:ascii="仿宋_GB2312" w:hAnsi="仿宋_GB2312" w:eastAsia="仿宋_GB2312" w:cs="仿宋_GB2312"/>
                <w:color w:val="000000"/>
                <w:spacing w:val="3"/>
                <w:kern w:val="2"/>
                <w:sz w:val="24"/>
                <w:szCs w:val="24"/>
                <w:highlight w:val="none"/>
                <w:lang w:val="en-US" w:eastAsia="zh-CN" w:bidi="ar-S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06"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b w:val="0"/>
                <w:bCs w:val="0"/>
                <w:color w:val="000000"/>
                <w:spacing w:val="3"/>
                <w:sz w:val="24"/>
                <w:szCs w:val="24"/>
                <w:highlight w:val="none"/>
                <w:lang w:val="en-US" w:eastAsia="zh-CN"/>
              </w:rPr>
            </w:pPr>
            <w:r>
              <w:rPr>
                <w:rFonts w:hint="eastAsia" w:ascii="仿宋_GB2312" w:hAnsi="仿宋_GB2312" w:eastAsia="仿宋_GB2312" w:cs="仿宋_GB2312"/>
                <w:b w:val="0"/>
                <w:bCs w:val="0"/>
                <w:color w:val="000000"/>
                <w:spacing w:val="3"/>
                <w:sz w:val="24"/>
                <w:szCs w:val="24"/>
                <w:highlight w:val="none"/>
                <w:lang w:val="en-US" w:eastAsia="zh-CN"/>
              </w:rPr>
              <w:t>4</w:t>
            </w:r>
          </w:p>
        </w:tc>
        <w:tc>
          <w:tcPr>
            <w:tcW w:w="831"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b w:val="0"/>
                <w:bCs w:val="0"/>
                <w:color w:val="000000"/>
                <w:spacing w:val="3"/>
                <w:sz w:val="24"/>
                <w:szCs w:val="24"/>
                <w:highlight w:val="none"/>
                <w:lang w:val="en-US" w:eastAsia="zh-CN"/>
              </w:rPr>
            </w:pPr>
            <w:r>
              <w:rPr>
                <w:rFonts w:hint="eastAsia" w:ascii="仿宋_GB2312" w:hAnsi="仿宋_GB2312" w:eastAsia="仿宋_GB2312" w:cs="仿宋_GB2312"/>
                <w:b w:val="0"/>
                <w:bCs w:val="0"/>
                <w:color w:val="000000"/>
                <w:spacing w:val="3"/>
                <w:sz w:val="24"/>
                <w:szCs w:val="24"/>
                <w:highlight w:val="none"/>
                <w:lang w:val="en-US" w:eastAsia="zh-CN"/>
              </w:rPr>
              <w:t>安全环保</w:t>
            </w:r>
          </w:p>
        </w:tc>
        <w:tc>
          <w:tcPr>
            <w:tcW w:w="3318"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仿宋_GB2312" w:hAnsi="仿宋_GB2312" w:eastAsia="仿宋_GB2312" w:cs="仿宋_GB2312"/>
                <w:b w:val="0"/>
                <w:bCs w:val="0"/>
                <w:color w:val="000000"/>
                <w:spacing w:val="3"/>
                <w:sz w:val="24"/>
                <w:szCs w:val="24"/>
                <w:highlight w:val="none"/>
                <w:lang w:val="en-US" w:eastAsia="zh-CN"/>
              </w:rPr>
            </w:pPr>
            <w:r>
              <w:rPr>
                <w:rFonts w:hint="eastAsia" w:ascii="仿宋_GB2312" w:hAnsi="仿宋_GB2312" w:eastAsia="仿宋_GB2312" w:cs="仿宋_GB2312"/>
                <w:b w:val="0"/>
                <w:bCs w:val="0"/>
                <w:color w:val="000000"/>
                <w:spacing w:val="3"/>
                <w:sz w:val="24"/>
                <w:szCs w:val="24"/>
                <w:highlight w:val="none"/>
              </w:rPr>
              <w:t>开展环境保护、职业健康专项排查治理，确保职业病及职业中毒事故为0、环境污染事故为0。</w:t>
            </w:r>
          </w:p>
        </w:tc>
        <w:tc>
          <w:tcPr>
            <w:tcW w:w="543"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spacing w:val="3"/>
                <w:kern w:val="2"/>
                <w:sz w:val="24"/>
                <w:szCs w:val="24"/>
                <w:highlight w:val="none"/>
                <w:lang w:val="en-US" w:eastAsia="zh-CN" w:bidi="ar-SA"/>
              </w:rPr>
            </w:pPr>
            <w:r>
              <w:rPr>
                <w:rFonts w:hint="eastAsia" w:ascii="仿宋_GB2312" w:hAnsi="仿宋_GB2312" w:eastAsia="仿宋_GB2312" w:cs="仿宋_GB2312"/>
                <w:color w:val="000000"/>
                <w:spacing w:val="3"/>
                <w:kern w:val="2"/>
                <w:sz w:val="24"/>
                <w:szCs w:val="24"/>
                <w:highlight w:val="none"/>
                <w:lang w:val="en-US" w:eastAsia="zh-CN" w:bidi="ar-S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06"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b w:val="0"/>
                <w:bCs w:val="0"/>
                <w:color w:val="000000"/>
                <w:spacing w:val="3"/>
                <w:kern w:val="2"/>
                <w:sz w:val="24"/>
                <w:szCs w:val="24"/>
                <w:highlight w:val="none"/>
                <w:lang w:val="en-US" w:eastAsia="zh-CN" w:bidi="ar-SA"/>
              </w:rPr>
            </w:pPr>
            <w:r>
              <w:rPr>
                <w:rFonts w:hint="eastAsia" w:ascii="仿宋_GB2312" w:hAnsi="仿宋_GB2312" w:eastAsia="仿宋_GB2312" w:cs="仿宋_GB2312"/>
                <w:b w:val="0"/>
                <w:bCs w:val="0"/>
                <w:color w:val="000000"/>
                <w:spacing w:val="3"/>
                <w:sz w:val="24"/>
                <w:szCs w:val="24"/>
                <w:highlight w:val="none"/>
                <w:lang w:val="en-US" w:eastAsia="zh-CN"/>
              </w:rPr>
              <w:t>5</w:t>
            </w:r>
          </w:p>
        </w:tc>
        <w:tc>
          <w:tcPr>
            <w:tcW w:w="831"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_GB2312" w:hAnsi="仿宋_GB2312" w:eastAsia="仿宋_GB2312" w:cs="仿宋_GB2312"/>
                <w:b w:val="0"/>
                <w:bCs w:val="0"/>
                <w:color w:val="000000"/>
                <w:spacing w:val="3"/>
                <w:kern w:val="2"/>
                <w:sz w:val="24"/>
                <w:szCs w:val="24"/>
                <w:highlight w:val="none"/>
                <w:lang w:val="en-US" w:eastAsia="zh-CN" w:bidi="ar-SA"/>
              </w:rPr>
            </w:pPr>
            <w:r>
              <w:rPr>
                <w:rFonts w:hint="eastAsia" w:ascii="仿宋_GB2312" w:hAnsi="仿宋_GB2312" w:eastAsia="仿宋_GB2312" w:cs="仿宋_GB2312"/>
                <w:b w:val="0"/>
                <w:bCs w:val="0"/>
                <w:color w:val="000000"/>
                <w:spacing w:val="3"/>
                <w:sz w:val="24"/>
                <w:szCs w:val="24"/>
                <w:highlight w:val="none"/>
                <w:lang w:val="en-US" w:eastAsia="zh-CN"/>
              </w:rPr>
              <w:t>治安综合治理</w:t>
            </w:r>
          </w:p>
        </w:tc>
        <w:tc>
          <w:tcPr>
            <w:tcW w:w="3318"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left"/>
              <w:textAlignment w:val="auto"/>
              <w:rPr>
                <w:rFonts w:hint="eastAsia" w:ascii="仿宋_GB2312" w:hAnsi="仿宋_GB2312" w:eastAsia="仿宋_GB2312" w:cs="仿宋_GB2312"/>
                <w:b w:val="0"/>
                <w:bCs w:val="0"/>
                <w:color w:val="000000"/>
                <w:spacing w:val="3"/>
                <w:kern w:val="2"/>
                <w:sz w:val="24"/>
                <w:szCs w:val="24"/>
                <w:highlight w:val="none"/>
                <w:lang w:val="en-US" w:eastAsia="zh-CN" w:bidi="ar-SA"/>
              </w:rPr>
            </w:pPr>
            <w:r>
              <w:rPr>
                <w:rFonts w:hint="eastAsia" w:ascii="仿宋_GB2312" w:hAnsi="仿宋_GB2312" w:eastAsia="仿宋_GB2312" w:cs="仿宋_GB2312"/>
                <w:b w:val="0"/>
                <w:bCs w:val="0"/>
                <w:color w:val="000000"/>
                <w:spacing w:val="3"/>
                <w:kern w:val="2"/>
                <w:sz w:val="24"/>
                <w:szCs w:val="24"/>
                <w:highlight w:val="none"/>
                <w:lang w:val="en-US" w:eastAsia="zh-CN" w:bidi="ar-SA"/>
              </w:rPr>
              <w:t>保证</w:t>
            </w:r>
            <w:r>
              <w:rPr>
                <w:rFonts w:hint="eastAsia" w:ascii="仿宋_GB2312" w:hAnsi="仿宋_GB2312" w:eastAsia="仿宋_GB2312" w:cs="仿宋_GB2312"/>
                <w:b w:val="0"/>
                <w:bCs w:val="0"/>
                <w:color w:val="000000"/>
                <w:spacing w:val="-6"/>
                <w:kern w:val="2"/>
                <w:sz w:val="24"/>
                <w:szCs w:val="24"/>
                <w:highlight w:val="none"/>
                <w:lang w:val="en-US" w:eastAsia="zh-CN" w:bidi="ar-SA"/>
              </w:rPr>
              <w:t>企业生产经营秩序，维护员工安全，维护辖区稳定；无重特大刑事案件发生、无重大稳定事件发生、无重特大火灾事故发生。</w:t>
            </w:r>
          </w:p>
        </w:tc>
        <w:tc>
          <w:tcPr>
            <w:tcW w:w="543"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spacing w:val="3"/>
                <w:kern w:val="2"/>
                <w:sz w:val="24"/>
                <w:szCs w:val="24"/>
                <w:highlight w:val="none"/>
                <w:lang w:val="en-US" w:eastAsia="zh-CN" w:bidi="ar-SA"/>
              </w:rPr>
            </w:pPr>
            <w:r>
              <w:rPr>
                <w:rFonts w:hint="eastAsia" w:ascii="仿宋_GB2312" w:hAnsi="仿宋_GB2312" w:eastAsia="仿宋_GB2312" w:cs="仿宋_GB2312"/>
                <w:color w:val="000000"/>
                <w:spacing w:val="3"/>
                <w:kern w:val="2"/>
                <w:sz w:val="24"/>
                <w:szCs w:val="24"/>
                <w:highlight w:val="none"/>
                <w:lang w:val="en-US" w:eastAsia="zh-CN" w:bidi="ar-S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06"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default" w:ascii="仿宋_GB2312" w:hAnsi="仿宋_GB2312" w:eastAsia="仿宋_GB2312" w:cs="仿宋_GB2312"/>
                <w:b w:val="0"/>
                <w:bCs w:val="0"/>
                <w:color w:val="000000"/>
                <w:spacing w:val="3"/>
                <w:sz w:val="24"/>
                <w:szCs w:val="24"/>
                <w:highlight w:val="none"/>
                <w:lang w:val="en-US" w:eastAsia="zh-CN"/>
              </w:rPr>
            </w:pPr>
            <w:r>
              <w:rPr>
                <w:rFonts w:hint="eastAsia" w:ascii="仿宋_GB2312" w:hAnsi="仿宋_GB2312" w:eastAsia="仿宋_GB2312" w:cs="仿宋_GB2312"/>
                <w:b w:val="0"/>
                <w:bCs w:val="0"/>
                <w:color w:val="000000"/>
                <w:spacing w:val="3"/>
                <w:sz w:val="24"/>
                <w:szCs w:val="24"/>
                <w:highlight w:val="none"/>
                <w:lang w:val="en-US" w:eastAsia="zh-CN"/>
              </w:rPr>
              <w:t>6</w:t>
            </w:r>
          </w:p>
        </w:tc>
        <w:tc>
          <w:tcPr>
            <w:tcW w:w="831"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b w:val="0"/>
                <w:bCs w:val="0"/>
                <w:color w:val="000000"/>
                <w:spacing w:val="3"/>
                <w:sz w:val="24"/>
                <w:szCs w:val="24"/>
                <w:highlight w:val="none"/>
                <w:lang w:val="en-US" w:eastAsia="zh-CN"/>
              </w:rPr>
            </w:pPr>
            <w:r>
              <w:rPr>
                <w:rFonts w:hint="eastAsia" w:ascii="仿宋_GB2312" w:hAnsi="仿宋_GB2312" w:eastAsia="仿宋_GB2312" w:cs="仿宋_GB2312"/>
                <w:b w:val="0"/>
                <w:bCs w:val="0"/>
                <w:color w:val="000000"/>
                <w:spacing w:val="3"/>
                <w:sz w:val="24"/>
                <w:szCs w:val="24"/>
                <w:highlight w:val="none"/>
                <w:lang w:val="en-US" w:eastAsia="zh-CN"/>
              </w:rPr>
              <w:t>基建保障</w:t>
            </w:r>
          </w:p>
        </w:tc>
        <w:tc>
          <w:tcPr>
            <w:tcW w:w="3318"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仿宋_GB2312" w:hAnsi="仿宋_GB2312" w:eastAsia="仿宋_GB2312" w:cs="仿宋_GB2312"/>
                <w:b w:val="0"/>
                <w:bCs w:val="0"/>
                <w:color w:val="000000"/>
                <w:spacing w:val="3"/>
                <w:sz w:val="24"/>
                <w:szCs w:val="24"/>
                <w:highlight w:val="none"/>
                <w:lang w:val="en-US" w:eastAsia="zh-CN"/>
              </w:rPr>
            </w:pPr>
            <w:r>
              <w:rPr>
                <w:rFonts w:hint="eastAsia" w:ascii="仿宋_GB2312" w:hAnsi="仿宋_GB2312" w:eastAsia="仿宋_GB2312" w:cs="仿宋_GB2312"/>
                <w:b w:val="0"/>
                <w:bCs w:val="0"/>
                <w:color w:val="000000"/>
                <w:spacing w:val="3"/>
                <w:sz w:val="24"/>
                <w:szCs w:val="24"/>
                <w:highlight w:val="none"/>
                <w:lang w:val="en-US" w:eastAsia="zh-CN"/>
              </w:rPr>
              <w:t>完成九洲（成都）创新中心公寓装修装饰。</w:t>
            </w:r>
          </w:p>
        </w:tc>
        <w:tc>
          <w:tcPr>
            <w:tcW w:w="543"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spacing w:val="3"/>
                <w:kern w:val="2"/>
                <w:sz w:val="24"/>
                <w:szCs w:val="24"/>
                <w:highlight w:val="none"/>
                <w:lang w:val="en-US" w:eastAsia="zh-CN" w:bidi="ar-SA"/>
              </w:rPr>
            </w:pPr>
            <w:r>
              <w:rPr>
                <w:rFonts w:hint="eastAsia" w:ascii="仿宋_GB2312" w:hAnsi="仿宋_GB2312" w:eastAsia="仿宋_GB2312" w:cs="仿宋_GB2312"/>
                <w:color w:val="000000"/>
                <w:spacing w:val="3"/>
                <w:kern w:val="2"/>
                <w:sz w:val="24"/>
                <w:szCs w:val="24"/>
                <w:highlight w:val="none"/>
                <w:lang w:val="en-US" w:eastAsia="zh-CN" w:bidi="ar-S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06"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default" w:ascii="仿宋_GB2312" w:hAnsi="仿宋_GB2312" w:eastAsia="仿宋_GB2312" w:cs="仿宋_GB2312"/>
                <w:b w:val="0"/>
                <w:bCs w:val="0"/>
                <w:color w:val="000000"/>
                <w:spacing w:val="3"/>
                <w:sz w:val="24"/>
                <w:szCs w:val="24"/>
                <w:highlight w:val="none"/>
                <w:lang w:val="en-US" w:eastAsia="zh-CN"/>
              </w:rPr>
            </w:pPr>
            <w:r>
              <w:rPr>
                <w:rFonts w:hint="eastAsia" w:ascii="仿宋_GB2312" w:hAnsi="仿宋_GB2312" w:eastAsia="仿宋_GB2312" w:cs="仿宋_GB2312"/>
                <w:b w:val="0"/>
                <w:bCs w:val="0"/>
                <w:color w:val="000000"/>
                <w:spacing w:val="3"/>
                <w:sz w:val="24"/>
                <w:szCs w:val="24"/>
                <w:highlight w:val="none"/>
                <w:lang w:val="en-US" w:eastAsia="zh-CN"/>
              </w:rPr>
              <w:t>7</w:t>
            </w:r>
          </w:p>
        </w:tc>
        <w:tc>
          <w:tcPr>
            <w:tcW w:w="831"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_GB2312" w:hAnsi="仿宋_GB2312" w:eastAsia="仿宋_GB2312" w:cs="仿宋_GB2312"/>
                <w:b w:val="0"/>
                <w:bCs w:val="0"/>
                <w:color w:val="000000"/>
                <w:spacing w:val="3"/>
                <w:kern w:val="2"/>
                <w:sz w:val="24"/>
                <w:szCs w:val="24"/>
                <w:highlight w:val="none"/>
                <w:lang w:val="en-US" w:eastAsia="zh-CN" w:bidi="ar-SA"/>
              </w:rPr>
            </w:pPr>
            <w:r>
              <w:rPr>
                <w:rFonts w:hint="eastAsia" w:ascii="仿宋_GB2312" w:hAnsi="仿宋_GB2312" w:eastAsia="仿宋_GB2312" w:cs="仿宋_GB2312"/>
                <w:b w:val="0"/>
                <w:bCs w:val="0"/>
                <w:color w:val="000000"/>
                <w:spacing w:val="3"/>
                <w:sz w:val="24"/>
                <w:szCs w:val="24"/>
                <w:highlight w:val="none"/>
                <w:lang w:val="en-US" w:eastAsia="zh-CN"/>
              </w:rPr>
              <w:t>园区服务</w:t>
            </w:r>
          </w:p>
        </w:tc>
        <w:tc>
          <w:tcPr>
            <w:tcW w:w="3318"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left"/>
              <w:textAlignment w:val="auto"/>
              <w:rPr>
                <w:rFonts w:hint="eastAsia" w:ascii="仿宋_GB2312" w:hAnsi="仿宋_GB2312" w:eastAsia="仿宋_GB2312" w:cs="仿宋_GB2312"/>
                <w:b w:val="0"/>
                <w:bCs w:val="0"/>
                <w:color w:val="000000"/>
                <w:spacing w:val="3"/>
                <w:kern w:val="2"/>
                <w:sz w:val="24"/>
                <w:szCs w:val="24"/>
                <w:highlight w:val="none"/>
                <w:lang w:val="en-US" w:eastAsia="zh-CN" w:bidi="ar-SA"/>
              </w:rPr>
            </w:pPr>
            <w:r>
              <w:rPr>
                <w:rFonts w:hint="eastAsia" w:ascii="仿宋_GB2312" w:hAnsi="仿宋_GB2312" w:eastAsia="仿宋_GB2312" w:cs="仿宋_GB2312"/>
                <w:b w:val="0"/>
                <w:bCs w:val="0"/>
                <w:color w:val="000000"/>
                <w:spacing w:val="3"/>
                <w:sz w:val="24"/>
                <w:szCs w:val="24"/>
                <w:highlight w:val="none"/>
                <w:lang w:val="en-US" w:eastAsia="zh-CN"/>
              </w:rPr>
              <w:t>会同集团相关部门完成集团业务车辆处置。</w:t>
            </w:r>
          </w:p>
        </w:tc>
        <w:tc>
          <w:tcPr>
            <w:tcW w:w="543"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000000"/>
                <w:spacing w:val="3"/>
                <w:kern w:val="2"/>
                <w:sz w:val="24"/>
                <w:szCs w:val="24"/>
                <w:highlight w:val="none"/>
                <w:lang w:val="en-US" w:eastAsia="zh-CN" w:bidi="ar-SA"/>
              </w:rPr>
            </w:pPr>
            <w:r>
              <w:rPr>
                <w:rFonts w:hint="eastAsia" w:ascii="仿宋_GB2312" w:hAnsi="仿宋_GB2312" w:eastAsia="仿宋_GB2312" w:cs="仿宋_GB2312"/>
                <w:color w:val="000000"/>
                <w:spacing w:val="3"/>
                <w:kern w:val="2"/>
                <w:sz w:val="24"/>
                <w:szCs w:val="24"/>
                <w:highlight w:val="none"/>
                <w:lang w:val="en-US" w:eastAsia="zh-CN" w:bidi="ar-SA"/>
              </w:rPr>
              <w:t>5</w:t>
            </w:r>
            <w:bookmarkStart w:id="0" w:name="_GoBack"/>
            <w:bookmarkEnd w:id="0"/>
            <w:r>
              <w:rPr>
                <w:rFonts w:hint="eastAsia" w:ascii="仿宋_GB2312" w:hAnsi="仿宋_GB2312" w:eastAsia="仿宋_GB2312" w:cs="仿宋_GB2312"/>
                <w:color w:val="000000"/>
                <w:spacing w:val="3"/>
                <w:kern w:val="2"/>
                <w:sz w:val="24"/>
                <w:szCs w:val="24"/>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06"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color w:val="000000"/>
                <w:spacing w:val="3"/>
                <w:kern w:val="2"/>
                <w:sz w:val="24"/>
                <w:szCs w:val="24"/>
                <w:highlight w:val="none"/>
                <w:lang w:val="en-US" w:eastAsia="zh-CN" w:bidi="ar-SA"/>
              </w:rPr>
            </w:pPr>
            <w:r>
              <w:rPr>
                <w:rFonts w:hint="eastAsia" w:ascii="仿宋_GB2312" w:hAnsi="仿宋_GB2312" w:eastAsia="仿宋_GB2312" w:cs="仿宋_GB2312"/>
                <w:color w:val="000000"/>
                <w:spacing w:val="3"/>
                <w:sz w:val="24"/>
                <w:szCs w:val="24"/>
                <w:highlight w:val="none"/>
                <w:lang w:val="en-US" w:eastAsia="zh-CN"/>
              </w:rPr>
              <w:t>8</w:t>
            </w:r>
          </w:p>
        </w:tc>
        <w:tc>
          <w:tcPr>
            <w:tcW w:w="831"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_GB2312" w:hAnsi="仿宋_GB2312" w:eastAsia="仿宋_GB2312" w:cs="仿宋_GB2312"/>
                <w:b w:val="0"/>
                <w:bCs w:val="0"/>
                <w:color w:val="000000"/>
                <w:spacing w:val="3"/>
                <w:kern w:val="2"/>
                <w:sz w:val="24"/>
                <w:szCs w:val="24"/>
                <w:highlight w:val="none"/>
                <w:lang w:val="en-US" w:eastAsia="zh-CN" w:bidi="ar-SA"/>
              </w:rPr>
            </w:pPr>
            <w:r>
              <w:rPr>
                <w:rFonts w:hint="eastAsia" w:ascii="仿宋_GB2312" w:hAnsi="仿宋_GB2312" w:eastAsia="仿宋_GB2312" w:cs="仿宋_GB2312"/>
                <w:b w:val="0"/>
                <w:bCs w:val="0"/>
                <w:color w:val="000000"/>
                <w:spacing w:val="3"/>
                <w:sz w:val="24"/>
                <w:szCs w:val="24"/>
                <w:highlight w:val="none"/>
                <w:lang w:val="en-US" w:eastAsia="zh-CN"/>
              </w:rPr>
              <w:t>数字化转型</w:t>
            </w:r>
          </w:p>
        </w:tc>
        <w:tc>
          <w:tcPr>
            <w:tcW w:w="3318"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left"/>
              <w:textAlignment w:val="auto"/>
              <w:rPr>
                <w:rFonts w:hint="eastAsia" w:ascii="仿宋_GB2312" w:hAnsi="仿宋_GB2312" w:eastAsia="仿宋_GB2312" w:cs="仿宋_GB2312"/>
                <w:b w:val="0"/>
                <w:bCs w:val="0"/>
                <w:color w:val="000000"/>
                <w:spacing w:val="3"/>
                <w:kern w:val="2"/>
                <w:sz w:val="24"/>
                <w:szCs w:val="24"/>
                <w:highlight w:val="none"/>
                <w:lang w:val="en-US" w:eastAsia="zh-CN" w:bidi="ar-SA"/>
              </w:rPr>
            </w:pPr>
            <w:r>
              <w:rPr>
                <w:rFonts w:hint="eastAsia" w:ascii="仿宋_GB2312" w:hAnsi="仿宋_GB2312" w:eastAsia="仿宋_GB2312" w:cs="仿宋_GB2312"/>
                <w:b w:val="0"/>
                <w:bCs w:val="0"/>
                <w:color w:val="000000"/>
                <w:spacing w:val="3"/>
                <w:sz w:val="24"/>
                <w:szCs w:val="24"/>
                <w:highlight w:val="none"/>
                <w:lang w:val="en-US" w:eastAsia="zh-CN"/>
              </w:rPr>
              <w:t>完成九洲科工园安防系统改造升级。</w:t>
            </w:r>
          </w:p>
        </w:tc>
        <w:tc>
          <w:tcPr>
            <w:tcW w:w="543"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spacing w:val="3"/>
                <w:kern w:val="2"/>
                <w:sz w:val="24"/>
                <w:szCs w:val="24"/>
                <w:highlight w:val="none"/>
                <w:lang w:val="en-US" w:eastAsia="zh-CN" w:bidi="ar-SA"/>
              </w:rPr>
            </w:pPr>
            <w:r>
              <w:rPr>
                <w:rFonts w:hint="eastAsia" w:ascii="仿宋_GB2312" w:hAnsi="仿宋_GB2312" w:eastAsia="仿宋_GB2312" w:cs="仿宋_GB2312"/>
                <w:color w:val="000000"/>
                <w:spacing w:val="3"/>
                <w:kern w:val="2"/>
                <w:sz w:val="24"/>
                <w:szCs w:val="24"/>
                <w:highlight w:val="none"/>
                <w:lang w:val="en-US" w:eastAsia="zh-CN" w:bidi="ar-S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06"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b w:val="0"/>
                <w:bCs w:val="0"/>
                <w:color w:val="000000"/>
                <w:spacing w:val="3"/>
                <w:kern w:val="2"/>
                <w:sz w:val="24"/>
                <w:szCs w:val="24"/>
                <w:highlight w:val="none"/>
                <w:lang w:val="en-US" w:eastAsia="zh-CN" w:bidi="ar-SA"/>
              </w:rPr>
            </w:pPr>
            <w:r>
              <w:rPr>
                <w:rFonts w:hint="eastAsia" w:ascii="仿宋_GB2312" w:hAnsi="仿宋_GB2312" w:eastAsia="仿宋_GB2312" w:cs="仿宋_GB2312"/>
                <w:b w:val="0"/>
                <w:bCs w:val="0"/>
                <w:color w:val="000000"/>
                <w:spacing w:val="3"/>
                <w:sz w:val="24"/>
                <w:szCs w:val="24"/>
                <w:highlight w:val="none"/>
                <w:lang w:val="en-US" w:eastAsia="zh-CN"/>
              </w:rPr>
              <w:t>9</w:t>
            </w:r>
          </w:p>
        </w:tc>
        <w:tc>
          <w:tcPr>
            <w:tcW w:w="831"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_GB2312" w:hAnsi="仿宋_GB2312" w:eastAsia="仿宋_GB2312" w:cs="仿宋_GB2312"/>
                <w:b w:val="0"/>
                <w:bCs w:val="0"/>
                <w:color w:val="000000"/>
                <w:spacing w:val="3"/>
                <w:kern w:val="2"/>
                <w:sz w:val="24"/>
                <w:szCs w:val="24"/>
                <w:highlight w:val="none"/>
                <w:lang w:val="en-US" w:eastAsia="zh-CN" w:bidi="ar-SA"/>
              </w:rPr>
            </w:pPr>
            <w:r>
              <w:rPr>
                <w:rFonts w:hint="eastAsia" w:ascii="仿宋_GB2312" w:hAnsi="仿宋_GB2312" w:eastAsia="仿宋_GB2312" w:cs="仿宋_GB2312"/>
                <w:b w:val="0"/>
                <w:bCs w:val="0"/>
                <w:color w:val="000000"/>
                <w:spacing w:val="3"/>
                <w:sz w:val="24"/>
                <w:szCs w:val="24"/>
                <w:highlight w:val="none"/>
                <w:lang w:val="en-US" w:eastAsia="zh-CN"/>
              </w:rPr>
              <w:t>数字化转型</w:t>
            </w:r>
          </w:p>
        </w:tc>
        <w:tc>
          <w:tcPr>
            <w:tcW w:w="3318"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left"/>
              <w:textAlignment w:val="auto"/>
              <w:rPr>
                <w:rFonts w:hint="eastAsia" w:ascii="仿宋_GB2312" w:hAnsi="仿宋_GB2312" w:eastAsia="仿宋_GB2312" w:cs="仿宋_GB2312"/>
                <w:b w:val="0"/>
                <w:bCs w:val="0"/>
                <w:color w:val="000000"/>
                <w:spacing w:val="3"/>
                <w:kern w:val="2"/>
                <w:sz w:val="24"/>
                <w:szCs w:val="24"/>
                <w:highlight w:val="none"/>
                <w:lang w:val="en-US" w:eastAsia="zh-CN" w:bidi="ar-SA"/>
              </w:rPr>
            </w:pPr>
            <w:r>
              <w:rPr>
                <w:rFonts w:hint="eastAsia" w:ascii="仿宋_GB2312" w:hAnsi="仿宋_GB2312" w:eastAsia="仿宋_GB2312" w:cs="仿宋_GB2312"/>
                <w:b w:val="0"/>
                <w:bCs w:val="0"/>
                <w:color w:val="000000"/>
                <w:spacing w:val="3"/>
                <w:sz w:val="24"/>
                <w:szCs w:val="24"/>
                <w:highlight w:val="none"/>
                <w:lang w:val="en-US" w:eastAsia="zh-CN"/>
              </w:rPr>
              <w:t>主要业务流程上线率达到80%。</w:t>
            </w:r>
          </w:p>
        </w:tc>
        <w:tc>
          <w:tcPr>
            <w:tcW w:w="543"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spacing w:val="3"/>
                <w:kern w:val="2"/>
                <w:sz w:val="24"/>
                <w:szCs w:val="24"/>
                <w:highlight w:val="none"/>
                <w:lang w:val="en-US" w:eastAsia="zh-CN" w:bidi="ar-SA"/>
              </w:rPr>
            </w:pPr>
            <w:r>
              <w:rPr>
                <w:rFonts w:hint="eastAsia" w:ascii="仿宋_GB2312" w:hAnsi="仿宋_GB2312" w:eastAsia="仿宋_GB2312" w:cs="仿宋_GB2312"/>
                <w:color w:val="000000"/>
                <w:spacing w:val="3"/>
                <w:kern w:val="2"/>
                <w:sz w:val="24"/>
                <w:szCs w:val="24"/>
                <w:highlight w:val="no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06"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b w:val="0"/>
                <w:bCs w:val="0"/>
                <w:color w:val="000000"/>
                <w:spacing w:val="3"/>
                <w:kern w:val="2"/>
                <w:sz w:val="24"/>
                <w:szCs w:val="24"/>
                <w:highlight w:val="none"/>
                <w:lang w:val="en-US" w:eastAsia="zh-CN" w:bidi="ar-SA"/>
              </w:rPr>
            </w:pPr>
            <w:r>
              <w:rPr>
                <w:rFonts w:hint="eastAsia" w:ascii="仿宋_GB2312" w:hAnsi="仿宋_GB2312" w:eastAsia="仿宋_GB2312" w:cs="仿宋_GB2312"/>
                <w:b w:val="0"/>
                <w:bCs w:val="0"/>
                <w:color w:val="000000"/>
                <w:spacing w:val="3"/>
                <w:sz w:val="24"/>
                <w:szCs w:val="24"/>
                <w:highlight w:val="none"/>
                <w:lang w:val="en-US" w:eastAsia="zh-CN"/>
              </w:rPr>
              <w:t>10</w:t>
            </w:r>
          </w:p>
        </w:tc>
        <w:tc>
          <w:tcPr>
            <w:tcW w:w="831"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_GB2312" w:hAnsi="仿宋_GB2312" w:eastAsia="仿宋_GB2312" w:cs="仿宋_GB2312"/>
                <w:color w:val="000000"/>
                <w:spacing w:val="3"/>
                <w:kern w:val="2"/>
                <w:sz w:val="24"/>
                <w:szCs w:val="24"/>
                <w:highlight w:val="none"/>
                <w:lang w:val="en-US" w:eastAsia="zh-CN" w:bidi="ar-SA"/>
              </w:rPr>
            </w:pPr>
            <w:r>
              <w:rPr>
                <w:rFonts w:hint="eastAsia" w:ascii="仿宋_GB2312" w:hAnsi="仿宋_GB2312" w:eastAsia="仿宋_GB2312" w:cs="仿宋_GB2312"/>
                <w:color w:val="000000"/>
                <w:spacing w:val="3"/>
                <w:sz w:val="24"/>
                <w:szCs w:val="24"/>
                <w:highlight w:val="none"/>
                <w:lang w:val="en-US" w:eastAsia="zh-CN"/>
              </w:rPr>
              <w:t>数字化转型</w:t>
            </w:r>
          </w:p>
        </w:tc>
        <w:tc>
          <w:tcPr>
            <w:tcW w:w="3318"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left"/>
              <w:textAlignment w:val="auto"/>
              <w:rPr>
                <w:rFonts w:hint="eastAsia" w:ascii="仿宋_GB2312" w:hAnsi="仿宋_GB2312" w:eastAsia="仿宋_GB2312" w:cs="仿宋_GB2312"/>
                <w:color w:val="000000"/>
                <w:spacing w:val="3"/>
                <w:kern w:val="2"/>
                <w:sz w:val="24"/>
                <w:szCs w:val="24"/>
                <w:highlight w:val="none"/>
                <w:lang w:val="en-US" w:eastAsia="zh-CN" w:bidi="ar-SA"/>
              </w:rPr>
            </w:pPr>
            <w:r>
              <w:rPr>
                <w:rFonts w:hint="eastAsia" w:ascii="仿宋_GB2312" w:hAnsi="仿宋_GB2312" w:eastAsia="仿宋_GB2312" w:cs="仿宋_GB2312"/>
                <w:color w:val="000000"/>
                <w:spacing w:val="3"/>
                <w:sz w:val="24"/>
                <w:szCs w:val="24"/>
                <w:highlight w:val="none"/>
                <w:lang w:val="en-US" w:eastAsia="zh-CN"/>
              </w:rPr>
              <w:t>完成九洲科工园人员管控、车辆管理系统立项论证，并按集团决策意见推进实施。</w:t>
            </w:r>
          </w:p>
        </w:tc>
        <w:tc>
          <w:tcPr>
            <w:tcW w:w="543"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spacing w:val="3"/>
                <w:kern w:val="2"/>
                <w:sz w:val="24"/>
                <w:szCs w:val="24"/>
                <w:highlight w:val="none"/>
                <w:lang w:val="en-US" w:eastAsia="zh-CN" w:bidi="ar-SA"/>
              </w:rPr>
            </w:pPr>
            <w:r>
              <w:rPr>
                <w:rFonts w:hint="eastAsia" w:ascii="仿宋_GB2312" w:hAnsi="仿宋_GB2312" w:eastAsia="仿宋_GB2312" w:cs="仿宋_GB2312"/>
                <w:color w:val="000000"/>
                <w:spacing w:val="3"/>
                <w:kern w:val="2"/>
                <w:sz w:val="24"/>
                <w:szCs w:val="24"/>
                <w:highlight w:val="no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06"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b w:val="0"/>
                <w:bCs w:val="0"/>
                <w:color w:val="000000"/>
                <w:spacing w:val="3"/>
                <w:sz w:val="24"/>
                <w:szCs w:val="24"/>
                <w:highlight w:val="none"/>
                <w:lang w:val="en-US" w:eastAsia="zh-CN"/>
              </w:rPr>
            </w:pPr>
            <w:r>
              <w:rPr>
                <w:rFonts w:hint="eastAsia" w:ascii="仿宋_GB2312" w:hAnsi="仿宋_GB2312" w:eastAsia="仿宋_GB2312" w:cs="仿宋_GB2312"/>
                <w:b w:val="0"/>
                <w:bCs w:val="0"/>
                <w:color w:val="000000"/>
                <w:spacing w:val="3"/>
                <w:sz w:val="24"/>
                <w:szCs w:val="24"/>
                <w:highlight w:val="none"/>
                <w:lang w:val="en-US" w:eastAsia="zh-CN"/>
              </w:rPr>
              <w:t>11</w:t>
            </w:r>
          </w:p>
        </w:tc>
        <w:tc>
          <w:tcPr>
            <w:tcW w:w="831"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_GB2312" w:hAnsi="仿宋_GB2312" w:eastAsia="仿宋_GB2312" w:cs="仿宋_GB2312"/>
                <w:b w:val="0"/>
                <w:bCs w:val="0"/>
                <w:color w:val="000000"/>
                <w:spacing w:val="3"/>
                <w:kern w:val="2"/>
                <w:sz w:val="24"/>
                <w:szCs w:val="24"/>
                <w:highlight w:val="none"/>
                <w:lang w:val="en-US" w:eastAsia="zh-CN" w:bidi="ar-SA"/>
              </w:rPr>
            </w:pPr>
            <w:r>
              <w:rPr>
                <w:rFonts w:hint="eastAsia" w:ascii="仿宋_GB2312" w:hAnsi="仿宋_GB2312" w:eastAsia="仿宋_GB2312" w:cs="仿宋_GB2312"/>
                <w:b w:val="0"/>
                <w:bCs w:val="0"/>
                <w:color w:val="000000"/>
                <w:spacing w:val="3"/>
                <w:sz w:val="24"/>
                <w:szCs w:val="24"/>
                <w:highlight w:val="none"/>
                <w:lang w:val="en-US" w:eastAsia="zh-CN"/>
              </w:rPr>
              <w:t>党建</w:t>
            </w:r>
          </w:p>
        </w:tc>
        <w:tc>
          <w:tcPr>
            <w:tcW w:w="3318"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left"/>
              <w:textAlignment w:val="auto"/>
              <w:rPr>
                <w:rFonts w:hint="eastAsia" w:ascii="仿宋_GB2312" w:hAnsi="仿宋_GB2312" w:eastAsia="仿宋_GB2312" w:cs="仿宋_GB2312"/>
                <w:b w:val="0"/>
                <w:bCs w:val="0"/>
                <w:color w:val="000000"/>
                <w:spacing w:val="3"/>
                <w:kern w:val="2"/>
                <w:sz w:val="24"/>
                <w:szCs w:val="24"/>
                <w:highlight w:val="none"/>
                <w:lang w:val="en-US" w:eastAsia="zh-CN" w:bidi="ar-SA"/>
              </w:rPr>
            </w:pPr>
            <w:r>
              <w:rPr>
                <w:rFonts w:hint="eastAsia" w:ascii="仿宋_GB2312" w:hAnsi="仿宋_GB2312" w:eastAsia="仿宋_GB2312" w:cs="仿宋_GB2312"/>
                <w:b w:val="0"/>
                <w:bCs w:val="0"/>
                <w:color w:val="000000"/>
                <w:spacing w:val="11"/>
                <w:sz w:val="24"/>
                <w:szCs w:val="24"/>
                <w:highlight w:val="none"/>
                <w:lang w:val="en-US" w:eastAsia="zh-CN"/>
              </w:rPr>
              <w:t>加强党组织建设、推进党的理论建设、加强党风廉政建设。</w:t>
            </w:r>
          </w:p>
        </w:tc>
        <w:tc>
          <w:tcPr>
            <w:tcW w:w="543"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000000"/>
                <w:spacing w:val="3"/>
                <w:kern w:val="2"/>
                <w:sz w:val="24"/>
                <w:szCs w:val="24"/>
                <w:highlight w:val="none"/>
                <w:lang w:val="en-US" w:eastAsia="zh-CN" w:bidi="ar-SA"/>
              </w:rPr>
            </w:pPr>
            <w:r>
              <w:rPr>
                <w:rFonts w:hint="eastAsia" w:ascii="仿宋_GB2312" w:hAnsi="仿宋_GB2312" w:eastAsia="仿宋_GB2312" w:cs="仿宋_GB2312"/>
                <w:color w:val="000000"/>
                <w:spacing w:val="3"/>
                <w:kern w:val="2"/>
                <w:sz w:val="24"/>
                <w:szCs w:val="24"/>
                <w:highlight w:val="none"/>
                <w:lang w:val="en-US" w:eastAsia="zh-CN" w:bidi="ar-SA"/>
              </w:rPr>
              <w:t>10%</w:t>
            </w:r>
          </w:p>
        </w:tc>
      </w:tr>
    </w:tbl>
    <w:p>
      <w:pPr>
        <w:keepNext w:val="0"/>
        <w:keepLines w:val="0"/>
        <w:pageBreakBefore w:val="0"/>
        <w:widowControl/>
        <w:kinsoku/>
        <w:wordWrap/>
        <w:overflowPunct/>
        <w:topLinePunct w:val="0"/>
        <w:autoSpaceDE/>
        <w:autoSpaceDN/>
        <w:bidi w:val="0"/>
        <w:spacing w:line="560" w:lineRule="exact"/>
        <w:ind w:firstLine="643" w:firstLineChars="200"/>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（三）协同绩效指标</w:t>
      </w:r>
    </w:p>
    <w:p>
      <w:pPr>
        <w:keepNext w:val="0"/>
        <w:keepLines w:val="0"/>
        <w:pageBreakBefore w:val="0"/>
        <w:widowControl/>
        <w:kinsoku/>
        <w:wordWrap/>
        <w:overflowPunct/>
        <w:topLinePunct w:val="0"/>
        <w:autoSpaceDE/>
        <w:autoSpaceDN/>
        <w:bidi w:val="0"/>
        <w:spacing w:line="560" w:lineRule="exact"/>
        <w:ind w:firstLine="643" w:firstLineChars="200"/>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1．协同</w:t>
      </w:r>
      <w:r>
        <w:rPr>
          <w:rFonts w:hint="default" w:ascii="仿宋_GB2312" w:eastAsia="仿宋_GB2312"/>
          <w:b/>
          <w:bCs/>
          <w:sz w:val="32"/>
          <w:szCs w:val="32"/>
          <w:highlight w:val="none"/>
          <w:lang w:val="en-US" w:eastAsia="zh-CN"/>
        </w:rPr>
        <w:t>绩效考评</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由公司主要领导、分管领导、主要业务关联单位负责人等从业务上下游协作配合效果和工作具体成效等方面进行综合评价打分。具体评分规则如下：</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Ⅰ档(150分)：协作效果好，工作成效远超预期。</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Ⅱ档(120分)：协作效果较好，工作成效符合预期。</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Ⅲ档(100分)：协作效果和工作成效基本符合预期。</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Ⅳ档(80分)：协作效果不佳，工作成效与预期有一定差距。</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Ⅴ档(60分)：协作效果较差，工作成效与预期有较大差距。</w:t>
      </w:r>
    </w:p>
    <w:p>
      <w:pPr>
        <w:keepNext w:val="0"/>
        <w:keepLines w:val="0"/>
        <w:pageBreakBefore w:val="0"/>
        <w:widowControl/>
        <w:kinsoku/>
        <w:wordWrap/>
        <w:overflowPunct/>
        <w:topLinePunct w:val="0"/>
        <w:autoSpaceDE/>
        <w:autoSpaceDN/>
        <w:bidi w:val="0"/>
        <w:adjustRightInd/>
        <w:snapToGrid/>
        <w:spacing w:line="540" w:lineRule="exact"/>
        <w:ind w:firstLine="643" w:firstLineChars="200"/>
        <w:textAlignment w:val="auto"/>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2．协同</w:t>
      </w:r>
      <w:r>
        <w:rPr>
          <w:rFonts w:hint="default" w:ascii="仿宋_GB2312" w:eastAsia="仿宋_GB2312"/>
          <w:b/>
          <w:bCs/>
          <w:sz w:val="32"/>
          <w:szCs w:val="32"/>
          <w:highlight w:val="none"/>
          <w:lang w:val="en-US" w:eastAsia="zh-CN"/>
        </w:rPr>
        <w:t>绩效得分</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w:t>
      </w:r>
      <w:r>
        <w:rPr>
          <w:rFonts w:hint="default" w:ascii="仿宋_GB2312" w:eastAsia="仿宋_GB2312"/>
          <w:sz w:val="32"/>
          <w:szCs w:val="32"/>
          <w:highlight w:val="none"/>
          <w:lang w:val="en-US" w:eastAsia="zh-CN"/>
        </w:rPr>
        <w:t>各单位第一负责人</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年度周边绩效得分=集团公司主要领导评分×30%+分管领导评分×40%+业务关联单位第一负责人评分×30%</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仿宋_GB2312" w:eastAsia="仿宋_GB2312"/>
          <w:spacing w:val="-11"/>
          <w:sz w:val="32"/>
          <w:szCs w:val="32"/>
          <w:highlight w:val="none"/>
          <w:lang w:val="en-US" w:eastAsia="zh-CN"/>
        </w:rPr>
      </w:pPr>
      <w:r>
        <w:rPr>
          <w:rFonts w:hint="eastAsia" w:ascii="仿宋_GB2312" w:eastAsia="仿宋_GB2312"/>
          <w:sz w:val="32"/>
          <w:szCs w:val="32"/>
          <w:highlight w:val="none"/>
          <w:lang w:val="en-US" w:eastAsia="zh-CN"/>
        </w:rPr>
        <w:t>（2）</w:t>
      </w:r>
      <w:r>
        <w:rPr>
          <w:rFonts w:hint="default" w:ascii="仿宋_GB2312" w:eastAsia="仿宋_GB2312"/>
          <w:spacing w:val="-11"/>
          <w:sz w:val="32"/>
          <w:szCs w:val="32"/>
          <w:highlight w:val="none"/>
          <w:lang w:val="en-US" w:eastAsia="zh-CN"/>
        </w:rPr>
        <w:t>各单位其他纳入九洲集团公司职数管理的中层管理人员</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年度周边绩效得分=分管领导评分×30%+单位第一负责人评分×40%+业务关联单位负责人评分×30%</w:t>
      </w:r>
    </w:p>
    <w:p>
      <w:pPr>
        <w:keepNext w:val="0"/>
        <w:keepLines w:val="0"/>
        <w:pageBreakBefore w:val="0"/>
        <w:widowControl/>
        <w:kinsoku/>
        <w:wordWrap/>
        <w:overflowPunct/>
        <w:topLinePunct w:val="0"/>
        <w:autoSpaceDE/>
        <w:autoSpaceDN/>
        <w:bidi w:val="0"/>
        <w:adjustRightInd/>
        <w:snapToGrid/>
        <w:spacing w:line="540" w:lineRule="exact"/>
        <w:ind w:firstLine="643" w:firstLineChars="200"/>
        <w:textAlignment w:val="auto"/>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（四）红线指标</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红线指标为不能突破的红线条款，主要包括党风廉政建设、安全、保密和践行企业文化等。采取扣分制，原则上红线指标总扣分不超过10分，因为党风廉政建设、安全、保密等造成一票否决或重大责任事故的，全部或部分扣减年度绩效得分。</w:t>
      </w:r>
    </w:p>
    <w:p>
      <w:pPr>
        <w:keepNext w:val="0"/>
        <w:keepLines w:val="0"/>
        <w:pageBreakBefore w:val="0"/>
        <w:numPr>
          <w:ilvl w:val="0"/>
          <w:numId w:val="0"/>
        </w:numPr>
        <w:kinsoku/>
        <w:wordWrap/>
        <w:overflowPunct/>
        <w:topLinePunct w:val="0"/>
        <w:autoSpaceDE/>
        <w:autoSpaceDN/>
        <w:bidi w:val="0"/>
        <w:adjustRightInd/>
        <w:snapToGrid/>
        <w:spacing w:line="540" w:lineRule="exact"/>
        <w:ind w:left="641" w:leftChars="0"/>
        <w:jc w:val="left"/>
        <w:textAlignment w:val="auto"/>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eastAsia="zh-CN"/>
        </w:rPr>
        <w:t>三、考核兑现</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宋体" w:eastAsia="仿宋_GB2312" w:cs="Times New Roman"/>
          <w:b/>
          <w:bCs w:val="0"/>
          <w:sz w:val="32"/>
          <w:szCs w:val="32"/>
          <w:highlight w:val="none"/>
          <w:lang w:eastAsia="zh-CN"/>
        </w:rPr>
      </w:pPr>
      <w:r>
        <w:rPr>
          <w:rFonts w:hint="eastAsia" w:ascii="仿宋_GB2312" w:hAnsi="宋体" w:eastAsia="仿宋_GB2312" w:cs="Times New Roman"/>
          <w:b/>
          <w:bCs w:val="0"/>
          <w:sz w:val="32"/>
          <w:szCs w:val="32"/>
          <w:highlight w:val="none"/>
          <w:lang w:eastAsia="zh-CN"/>
        </w:rPr>
        <w:t>考核得分=组织绩效得分×</w:t>
      </w:r>
      <w:r>
        <w:rPr>
          <w:rFonts w:hint="eastAsia" w:ascii="仿宋_GB2312" w:hAnsi="宋体" w:eastAsia="仿宋_GB2312" w:cs="Times New Roman"/>
          <w:b/>
          <w:bCs w:val="0"/>
          <w:sz w:val="32"/>
          <w:szCs w:val="32"/>
          <w:highlight w:val="none"/>
          <w:lang w:val="en-US" w:eastAsia="zh-CN"/>
        </w:rPr>
        <w:t>3</w:t>
      </w:r>
      <w:r>
        <w:rPr>
          <w:rFonts w:hint="eastAsia" w:ascii="仿宋_GB2312" w:hAnsi="宋体" w:eastAsia="仿宋_GB2312" w:cs="Times New Roman"/>
          <w:b/>
          <w:bCs w:val="0"/>
          <w:sz w:val="32"/>
          <w:szCs w:val="32"/>
          <w:highlight w:val="none"/>
          <w:lang w:eastAsia="zh-CN"/>
        </w:rPr>
        <w:t>0%+任务绩效得分×</w:t>
      </w:r>
      <w:r>
        <w:rPr>
          <w:rFonts w:hint="eastAsia" w:ascii="仿宋_GB2312" w:hAnsi="宋体" w:eastAsia="仿宋_GB2312" w:cs="Times New Roman"/>
          <w:b/>
          <w:bCs w:val="0"/>
          <w:sz w:val="32"/>
          <w:szCs w:val="32"/>
          <w:highlight w:val="none"/>
          <w:lang w:val="en-US" w:eastAsia="zh-CN"/>
        </w:rPr>
        <w:t>5</w:t>
      </w:r>
      <w:r>
        <w:rPr>
          <w:rFonts w:hint="eastAsia" w:ascii="仿宋_GB2312" w:hAnsi="宋体" w:eastAsia="仿宋_GB2312" w:cs="Times New Roman"/>
          <w:b/>
          <w:bCs w:val="0"/>
          <w:sz w:val="32"/>
          <w:szCs w:val="32"/>
          <w:highlight w:val="none"/>
          <w:lang w:eastAsia="zh-CN"/>
        </w:rPr>
        <w:t>0%+</w:t>
      </w:r>
      <w:r>
        <w:rPr>
          <w:rFonts w:hint="eastAsia" w:ascii="仿宋_GB2312" w:hAnsi="宋体" w:eastAsia="仿宋_GB2312" w:cs="Times New Roman"/>
          <w:b/>
          <w:bCs w:val="0"/>
          <w:sz w:val="32"/>
          <w:szCs w:val="32"/>
          <w:highlight w:val="none"/>
          <w:lang w:val="en-US" w:eastAsia="zh-CN"/>
        </w:rPr>
        <w:t>协同</w:t>
      </w:r>
      <w:r>
        <w:rPr>
          <w:rFonts w:hint="eastAsia" w:ascii="仿宋_GB2312" w:hAnsi="宋体" w:eastAsia="仿宋_GB2312" w:cs="Times New Roman"/>
          <w:b/>
          <w:bCs w:val="0"/>
          <w:sz w:val="32"/>
          <w:szCs w:val="32"/>
          <w:highlight w:val="none"/>
          <w:lang w:eastAsia="zh-CN"/>
        </w:rPr>
        <w:t>绩效得分×20%-红线指标扣分</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年薪=基本年薪+绩效年薪</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基本年薪占年薪标准的</w:t>
      </w:r>
      <w:r>
        <w:rPr>
          <w:rFonts w:hint="eastAsia" w:ascii="仿宋_GB2312" w:hAnsi="宋体" w:eastAsia="仿宋_GB2312" w:cs="Times New Roman"/>
          <w:b w:val="0"/>
          <w:bCs/>
          <w:sz w:val="32"/>
          <w:szCs w:val="32"/>
          <w:highlight w:val="none"/>
          <w:lang w:val="en-US" w:eastAsia="zh-CN"/>
        </w:rPr>
        <w:t>4</w:t>
      </w:r>
      <w:r>
        <w:rPr>
          <w:rFonts w:hint="eastAsia" w:ascii="仿宋_GB2312" w:hAnsi="宋体" w:eastAsia="仿宋_GB2312" w:cs="Times New Roman"/>
          <w:b w:val="0"/>
          <w:bCs/>
          <w:sz w:val="32"/>
          <w:szCs w:val="32"/>
          <w:highlight w:val="none"/>
          <w:lang w:eastAsia="zh-CN"/>
        </w:rPr>
        <w:t>0%，绩效年薪占年薪标准的</w:t>
      </w:r>
      <w:r>
        <w:rPr>
          <w:rFonts w:hint="eastAsia" w:ascii="仿宋_GB2312" w:hAnsi="宋体" w:eastAsia="仿宋_GB2312" w:cs="Times New Roman"/>
          <w:b w:val="0"/>
          <w:bCs/>
          <w:sz w:val="32"/>
          <w:szCs w:val="32"/>
          <w:highlight w:val="none"/>
          <w:lang w:val="en-US" w:eastAsia="zh-CN"/>
        </w:rPr>
        <w:t>6</w:t>
      </w:r>
      <w:r>
        <w:rPr>
          <w:rFonts w:hint="eastAsia" w:ascii="仿宋_GB2312" w:hAnsi="宋体" w:eastAsia="仿宋_GB2312" w:cs="Times New Roman"/>
          <w:b w:val="0"/>
          <w:bCs/>
          <w:sz w:val="32"/>
          <w:szCs w:val="32"/>
          <w:highlight w:val="none"/>
          <w:lang w:eastAsia="zh-CN"/>
        </w:rPr>
        <w:t>0%。年薪兑现与乙方年度经营业绩考核得分挂钩，具体挂钩方式如下：</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绩效年薪=绩效年薪标准×考核得分/100。绩效年薪不超过绩效年薪标准的2倍。</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乙方年薪实行预发制，年终根据考核结果结算年薪，并结合已预发年薪兑现剩余部分。</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eastAsia="仿宋_GB2312"/>
          <w:sz w:val="32"/>
          <w:szCs w:val="32"/>
          <w:highlight w:val="none"/>
          <w:lang w:val="en-US" w:eastAsia="zh-CN"/>
        </w:rPr>
        <w:t>超额利润奖励按照专项考核管理办法进行。</w:t>
      </w:r>
    </w:p>
    <w:p>
      <w:pPr>
        <w:keepNext w:val="0"/>
        <w:keepLines w:val="0"/>
        <w:pageBreakBefore w:val="0"/>
        <w:numPr>
          <w:ilvl w:val="0"/>
          <w:numId w:val="0"/>
        </w:numPr>
        <w:kinsoku/>
        <w:wordWrap/>
        <w:overflowPunct/>
        <w:topLinePunct w:val="0"/>
        <w:autoSpaceDE/>
        <w:autoSpaceDN/>
        <w:bidi w:val="0"/>
        <w:adjustRightInd/>
        <w:snapToGrid/>
        <w:spacing w:line="540" w:lineRule="exact"/>
        <w:ind w:left="641" w:leftChars="0"/>
        <w:jc w:val="left"/>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四、</w:t>
      </w:r>
      <w:r>
        <w:rPr>
          <w:rFonts w:hint="eastAsia" w:ascii="黑体" w:hAnsi="黑体" w:eastAsia="黑体" w:cs="黑体"/>
          <w:b w:val="0"/>
          <w:bCs/>
          <w:sz w:val="32"/>
          <w:szCs w:val="32"/>
          <w:highlight w:val="none"/>
        </w:rPr>
        <w:t>其他</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宋体" w:eastAsia="仿宋_GB2312"/>
          <w:b w:val="0"/>
          <w:bCs/>
          <w:sz w:val="32"/>
          <w:szCs w:val="32"/>
          <w:highlight w:val="none"/>
        </w:rPr>
      </w:pPr>
      <w:r>
        <w:rPr>
          <w:rFonts w:hint="eastAsia" w:ascii="仿宋_GB2312" w:hAnsi="宋体" w:eastAsia="仿宋_GB2312"/>
          <w:b w:val="0"/>
          <w:bCs/>
          <w:sz w:val="32"/>
          <w:szCs w:val="32"/>
          <w:highlight w:val="none"/>
        </w:rPr>
        <w:t>1</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本协议其他未尽事宜由双方另行协商。</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eastAsia="仿宋_GB2312"/>
          <w:b w:val="0"/>
          <w:bCs/>
          <w:sz w:val="32"/>
          <w:szCs w:val="32"/>
          <w:highlight w:val="none"/>
        </w:rPr>
      </w:pPr>
      <w:r>
        <w:rPr>
          <w:rFonts w:hint="eastAsia" w:ascii="仿宋_GB2312" w:hAnsi="宋体" w:eastAsia="仿宋_GB2312"/>
          <w:b w:val="0"/>
          <w:bCs/>
          <w:sz w:val="32"/>
          <w:szCs w:val="32"/>
          <w:highlight w:val="none"/>
        </w:rPr>
        <w:t>2</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本协议一式三份，甲方、乙方、干部管理部门各执一份，自甲、乙双方签字（盖章）之日起生效。</w:t>
      </w:r>
    </w:p>
    <w:p>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val="en-US" w:eastAsia="zh-CN"/>
        </w:rPr>
      </w:pPr>
      <w:r>
        <w:rPr>
          <w:rFonts w:hint="eastAsia" w:ascii="仿宋_GB2312" w:hAnsi="宋体" w:eastAsia="仿宋_GB2312"/>
          <w:b w:val="0"/>
          <w:bCs/>
          <w:sz w:val="32"/>
          <w:szCs w:val="32"/>
          <w:highlight w:val="none"/>
          <w:lang w:val="en-US" w:eastAsia="zh-CN"/>
        </w:rPr>
        <w:t xml:space="preserve"> </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val="en-US" w:eastAsia="zh-CN"/>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甲方（盖章）：</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乙方（签字）：</w:t>
      </w:r>
    </w:p>
    <w:p>
      <w:pPr>
        <w:keepNext w:val="0"/>
        <w:keepLines w:val="0"/>
        <w:pageBreakBefore w:val="0"/>
        <w:kinsoku/>
        <w:wordWrap/>
        <w:overflowPunct/>
        <w:topLinePunct w:val="0"/>
        <w:autoSpaceDE/>
        <w:autoSpaceDN/>
        <w:bidi w:val="0"/>
        <w:adjustRightInd w:val="0"/>
        <w:snapToGrid w:val="0"/>
        <w:spacing w:line="560" w:lineRule="exact"/>
        <w:rPr>
          <w:rFonts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法定代表人</w:t>
      </w:r>
      <w:r>
        <w:rPr>
          <w:rFonts w:hint="eastAsia" w:ascii="黑体" w:hAnsi="黑体" w:eastAsia="黑体" w:cs="黑体"/>
          <w:b w:val="0"/>
          <w:bCs/>
          <w:sz w:val="32"/>
          <w:szCs w:val="32"/>
          <w:highlight w:val="none"/>
          <w:lang w:val="en-US" w:eastAsia="zh-CN"/>
        </w:rPr>
        <w:t>/授权代表</w:t>
      </w:r>
      <w:r>
        <w:rPr>
          <w:rFonts w:hint="eastAsia" w:ascii="黑体" w:hAnsi="黑体" w:eastAsia="黑体" w:cs="黑体"/>
          <w:b w:val="0"/>
          <w:bCs/>
          <w:sz w:val="32"/>
          <w:szCs w:val="32"/>
          <w:highlight w:val="none"/>
        </w:rPr>
        <w:t>（签字）：</w:t>
      </w:r>
    </w:p>
    <w:p>
      <w:pPr>
        <w:pStyle w:val="47"/>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ascii="黑体" w:hAnsi="黑体" w:eastAsia="黑体" w:cs="黑体"/>
          <w:b w:val="0"/>
          <w:bCs/>
          <w:sz w:val="32"/>
          <w:szCs w:val="32"/>
          <w:highlight w:val="none"/>
        </w:rPr>
      </w:pPr>
    </w:p>
    <w:p>
      <w:pPr>
        <w:pStyle w:val="47"/>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hint="default" w:ascii="黑体" w:hAnsi="黑体" w:eastAsia="黑体" w:cs="黑体"/>
          <w:b w:val="0"/>
          <w:bCs w:val="0"/>
          <w:sz w:val="32"/>
          <w:szCs w:val="32"/>
          <w:highlight w:val="none"/>
          <w:lang w:val="en-US" w:eastAsia="zh-CN"/>
        </w:rPr>
      </w:pPr>
      <w:r>
        <w:rPr>
          <w:rFonts w:hint="eastAsia" w:ascii="黑体" w:hAnsi="黑体" w:eastAsia="黑体" w:cs="黑体"/>
          <w:b w:val="0"/>
          <w:bCs/>
          <w:sz w:val="32"/>
          <w:szCs w:val="32"/>
          <w:highlight w:val="none"/>
        </w:rPr>
        <w:t>签订日期：</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年</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月</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lang w:eastAsia="zh-CN"/>
        </w:rPr>
        <w:t>日</w:t>
      </w:r>
    </w:p>
    <w:sectPr>
      <w:headerReference r:id="rId3" w:type="default"/>
      <w:footerReference r:id="rId4"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24E120B-E1ED-4757-BB71-2A4994D6728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E4AF27C7-A65F-4168-800C-A1A18284E272}"/>
  </w:font>
  <w:font w:name="方正小标宋简体">
    <w:panose1 w:val="02000000000000000000"/>
    <w:charset w:val="86"/>
    <w:family w:val="script"/>
    <w:pitch w:val="default"/>
    <w:sig w:usb0="00000001" w:usb1="08000000" w:usb2="00000000" w:usb3="00000000" w:csb0="00040000" w:csb1="00000000"/>
    <w:embedRegular r:id="rId3" w:fontKey="{D3D75681-E5C4-470E-9A51-3CEEEF995218}"/>
  </w:font>
  <w:font w:name="楷体_GB2312">
    <w:panose1 w:val="02010609030101010101"/>
    <w:charset w:val="86"/>
    <w:family w:val="modern"/>
    <w:pitch w:val="default"/>
    <w:sig w:usb0="00000001" w:usb1="080E0000" w:usb2="00000000" w:usb3="00000000" w:csb0="00040000" w:csb1="00000000"/>
    <w:embedRegular r:id="rId4" w:fontKey="{C773FAE7-E4EB-479B-A583-46719A77AE8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kzNzk0ODNkZmU4OTFlOTUyZTZkMGVhYjJmZjUxZTIifQ=="/>
    <w:docVar w:name="KSO_WPS_MARK_KEY" w:val="95bb8dde-9632-4bb2-a5b1-52eb62e2f37d"/>
  </w:docVars>
  <w:rsids>
    <w:rsidRoot w:val="00000000"/>
    <w:rsid w:val="5E4938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paragraph" w:styleId="2">
    <w:name w:val="heading 1"/>
    <w:basedOn w:val="1"/>
    <w:next w:val="1"/>
    <w:link w:val="23"/>
    <w:qFormat/>
    <w:uiPriority w:val="9"/>
    <w:pPr>
      <w:keepNext/>
      <w:keepLines/>
      <w:spacing w:before="480" w:after="80"/>
      <w:outlineLvl w:val="0"/>
    </w:pPr>
    <w:rPr>
      <w:rFonts w:ascii="等线 Light" w:hAnsi="等线 Light" w:eastAsia="等线 Light" w:cs="宋体"/>
      <w:color w:val="104862"/>
      <w:sz w:val="48"/>
      <w:szCs w:val="48"/>
    </w:rPr>
  </w:style>
  <w:style w:type="paragraph" w:styleId="3">
    <w:name w:val="heading 2"/>
    <w:basedOn w:val="1"/>
    <w:next w:val="1"/>
    <w:link w:val="24"/>
    <w:qFormat/>
    <w:uiPriority w:val="9"/>
    <w:pPr>
      <w:keepNext/>
      <w:keepLines/>
      <w:spacing w:before="160" w:after="80"/>
      <w:outlineLvl w:val="1"/>
    </w:pPr>
    <w:rPr>
      <w:rFonts w:ascii="等线 Light" w:hAnsi="等线 Light" w:eastAsia="等线 Light" w:cs="宋体"/>
      <w:color w:val="104862"/>
      <w:sz w:val="40"/>
      <w:szCs w:val="40"/>
    </w:rPr>
  </w:style>
  <w:style w:type="paragraph" w:styleId="4">
    <w:name w:val="heading 3"/>
    <w:basedOn w:val="1"/>
    <w:next w:val="1"/>
    <w:link w:val="25"/>
    <w:qFormat/>
    <w:uiPriority w:val="9"/>
    <w:pPr>
      <w:keepNext/>
      <w:keepLines/>
      <w:spacing w:before="160" w:after="80"/>
      <w:outlineLvl w:val="2"/>
    </w:pPr>
    <w:rPr>
      <w:rFonts w:ascii="等线 Light" w:hAnsi="等线 Light" w:eastAsia="等线 Light" w:cs="宋体"/>
      <w:color w:val="104862"/>
      <w:sz w:val="32"/>
      <w:szCs w:val="32"/>
    </w:rPr>
  </w:style>
  <w:style w:type="paragraph" w:styleId="5">
    <w:name w:val="heading 4"/>
    <w:basedOn w:val="1"/>
    <w:next w:val="1"/>
    <w:link w:val="26"/>
    <w:qFormat/>
    <w:uiPriority w:val="9"/>
    <w:pPr>
      <w:keepNext/>
      <w:keepLines/>
      <w:spacing w:before="80" w:after="40"/>
      <w:outlineLvl w:val="3"/>
    </w:pPr>
    <w:rPr>
      <w:rFonts w:cs="宋体"/>
      <w:color w:val="104862"/>
      <w:sz w:val="28"/>
      <w:szCs w:val="28"/>
    </w:rPr>
  </w:style>
  <w:style w:type="paragraph" w:styleId="6">
    <w:name w:val="heading 5"/>
    <w:basedOn w:val="1"/>
    <w:next w:val="1"/>
    <w:link w:val="27"/>
    <w:qFormat/>
    <w:uiPriority w:val="9"/>
    <w:pPr>
      <w:keepNext/>
      <w:keepLines/>
      <w:spacing w:before="80" w:after="40"/>
      <w:outlineLvl w:val="4"/>
    </w:pPr>
    <w:rPr>
      <w:rFonts w:cs="宋体"/>
      <w:color w:val="104862"/>
      <w:sz w:val="24"/>
      <w:szCs w:val="24"/>
    </w:rPr>
  </w:style>
  <w:style w:type="paragraph" w:styleId="7">
    <w:name w:val="heading 6"/>
    <w:basedOn w:val="1"/>
    <w:next w:val="1"/>
    <w:link w:val="28"/>
    <w:qFormat/>
    <w:uiPriority w:val="9"/>
    <w:pPr>
      <w:keepNext/>
      <w:keepLines/>
      <w:spacing w:before="40"/>
      <w:outlineLvl w:val="5"/>
    </w:pPr>
    <w:rPr>
      <w:rFonts w:cs="宋体"/>
      <w:b/>
      <w:bCs/>
      <w:color w:val="104862"/>
    </w:rPr>
  </w:style>
  <w:style w:type="paragraph" w:styleId="8">
    <w:name w:val="heading 7"/>
    <w:basedOn w:val="1"/>
    <w:next w:val="1"/>
    <w:link w:val="29"/>
    <w:qFormat/>
    <w:uiPriority w:val="9"/>
    <w:pPr>
      <w:keepNext/>
      <w:keepLines/>
      <w:spacing w:before="40"/>
      <w:outlineLvl w:val="6"/>
    </w:pPr>
    <w:rPr>
      <w:rFonts w:cs="宋体"/>
      <w:b/>
      <w:bCs/>
      <w:color w:val="595959"/>
    </w:rPr>
  </w:style>
  <w:style w:type="paragraph" w:styleId="9">
    <w:name w:val="heading 8"/>
    <w:basedOn w:val="1"/>
    <w:next w:val="1"/>
    <w:link w:val="30"/>
    <w:qFormat/>
    <w:uiPriority w:val="9"/>
    <w:pPr>
      <w:keepNext/>
      <w:keepLines/>
      <w:outlineLvl w:val="7"/>
    </w:pPr>
    <w:rPr>
      <w:rFonts w:cs="宋体"/>
      <w:color w:val="595959"/>
    </w:rPr>
  </w:style>
  <w:style w:type="paragraph" w:styleId="10">
    <w:name w:val="heading 9"/>
    <w:basedOn w:val="1"/>
    <w:next w:val="1"/>
    <w:link w:val="31"/>
    <w:qFormat/>
    <w:uiPriority w:val="9"/>
    <w:pPr>
      <w:keepNext/>
      <w:keepLines/>
      <w:outlineLvl w:val="8"/>
    </w:pPr>
    <w:rPr>
      <w:rFonts w:eastAsia="等线 Light" w:cs="宋体"/>
      <w:color w:val="595959"/>
    </w:rPr>
  </w:style>
  <w:style w:type="character" w:default="1" w:styleId="22">
    <w:name w:val="Default Paragraph Font"/>
    <w:qFormat/>
    <w:uiPriority w:val="1"/>
  </w:style>
  <w:style w:type="table" w:default="1" w:styleId="20">
    <w:name w:val="Normal Table"/>
    <w:qFormat/>
    <w:uiPriority w:val="99"/>
    <w:tblPr>
      <w:tblCellMar>
        <w:top w:w="0" w:type="dxa"/>
        <w:left w:w="108" w:type="dxa"/>
        <w:bottom w:w="0" w:type="dxa"/>
        <w:right w:w="108" w:type="dxa"/>
      </w:tblCellMar>
    </w:tblPr>
  </w:style>
  <w:style w:type="paragraph" w:styleId="11">
    <w:name w:val="Body Text"/>
    <w:basedOn w:val="1"/>
    <w:next w:val="1"/>
    <w:qFormat/>
    <w:uiPriority w:val="99"/>
    <w:pPr>
      <w:spacing w:after="120"/>
    </w:pPr>
  </w:style>
  <w:style w:type="paragraph" w:styleId="12">
    <w:name w:val="Plain Text"/>
    <w:basedOn w:val="1"/>
    <w:qFormat/>
    <w:uiPriority w:val="0"/>
    <w:rPr>
      <w:rFonts w:ascii="宋体" w:hAnsi="Courier New" w:cs="Courier New"/>
      <w:szCs w:val="21"/>
    </w:rPr>
  </w:style>
  <w:style w:type="paragraph" w:styleId="13">
    <w:name w:val="footer"/>
    <w:basedOn w:val="1"/>
    <w:link w:val="42"/>
    <w:qFormat/>
    <w:uiPriority w:val="99"/>
    <w:pPr>
      <w:tabs>
        <w:tab w:val="center" w:pos="4153"/>
        <w:tab w:val="right" w:pos="8306"/>
      </w:tabs>
      <w:snapToGrid w:val="0"/>
      <w:jc w:val="left"/>
    </w:pPr>
    <w:rPr>
      <w:sz w:val="18"/>
      <w:szCs w:val="18"/>
    </w:rPr>
  </w:style>
  <w:style w:type="paragraph" w:styleId="14">
    <w:name w:val="header"/>
    <w:basedOn w:val="1"/>
    <w:link w:val="41"/>
    <w:qFormat/>
    <w:uiPriority w:val="99"/>
    <w:pPr>
      <w:tabs>
        <w:tab w:val="center" w:pos="4153"/>
        <w:tab w:val="right" w:pos="8306"/>
      </w:tabs>
      <w:snapToGrid w:val="0"/>
      <w:jc w:val="center"/>
    </w:pPr>
    <w:rPr>
      <w:sz w:val="18"/>
      <w:szCs w:val="18"/>
    </w:rPr>
  </w:style>
  <w:style w:type="paragraph" w:styleId="15">
    <w:name w:val="toc 1"/>
    <w:basedOn w:val="1"/>
    <w:next w:val="1"/>
    <w:qFormat/>
    <w:uiPriority w:val="0"/>
    <w:rPr>
      <w:rFonts w:ascii="Calibri" w:hAnsi="Calibri"/>
    </w:rPr>
  </w:style>
  <w:style w:type="paragraph" w:styleId="16">
    <w:name w:val="Subtitle"/>
    <w:basedOn w:val="1"/>
    <w:next w:val="1"/>
    <w:link w:val="33"/>
    <w:qFormat/>
    <w:uiPriority w:val="11"/>
    <w:pPr>
      <w:spacing w:after="160"/>
      <w:jc w:val="center"/>
    </w:pPr>
    <w:rPr>
      <w:rFonts w:ascii="等线 Light" w:hAnsi="等线 Light" w:eastAsia="等线 Light" w:cs="宋体"/>
      <w:color w:val="595959"/>
      <w:spacing w:val="15"/>
      <w:sz w:val="28"/>
      <w:szCs w:val="28"/>
    </w:rPr>
  </w:style>
  <w:style w:type="paragraph" w:styleId="17">
    <w:name w:val="Body Text 2"/>
    <w:basedOn w:val="1"/>
    <w:qFormat/>
    <w:uiPriority w:val="0"/>
    <w:pPr>
      <w:widowControl w:val="0"/>
      <w:kinsoku/>
      <w:autoSpaceDE/>
      <w:autoSpaceDN/>
      <w:spacing w:line="600" w:lineRule="exact"/>
      <w:ind w:left="1280" w:hanging="1280" w:hangingChars="400"/>
      <w:textAlignment w:val="auto"/>
    </w:pPr>
  </w:style>
  <w:style w:type="paragraph" w:styleId="18">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2"/>
    <w:qFormat/>
    <w:uiPriority w:val="10"/>
    <w:pPr>
      <w:spacing w:after="80"/>
      <w:contextualSpacing/>
      <w:jc w:val="center"/>
    </w:pPr>
    <w:rPr>
      <w:rFonts w:ascii="等线 Light" w:hAnsi="等线 Light" w:eastAsia="等线 Light" w:cs="宋体"/>
      <w:spacing w:val="-10"/>
      <w:kern w:val="28"/>
      <w:sz w:val="56"/>
      <w:szCs w:val="56"/>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标题 1 字符"/>
    <w:basedOn w:val="22"/>
    <w:link w:val="2"/>
    <w:qFormat/>
    <w:uiPriority w:val="9"/>
    <w:rPr>
      <w:rFonts w:ascii="等线 Light" w:hAnsi="等线 Light" w:eastAsia="等线 Light" w:cs="宋体"/>
      <w:color w:val="104862"/>
      <w:sz w:val="48"/>
      <w:szCs w:val="48"/>
    </w:rPr>
  </w:style>
  <w:style w:type="character" w:customStyle="1" w:styleId="24">
    <w:name w:val="标题 2 字符"/>
    <w:basedOn w:val="22"/>
    <w:link w:val="3"/>
    <w:qFormat/>
    <w:uiPriority w:val="9"/>
    <w:rPr>
      <w:rFonts w:ascii="等线 Light" w:hAnsi="等线 Light" w:eastAsia="等线 Light" w:cs="宋体"/>
      <w:color w:val="104862"/>
      <w:sz w:val="40"/>
      <w:szCs w:val="40"/>
    </w:rPr>
  </w:style>
  <w:style w:type="character" w:customStyle="1" w:styleId="25">
    <w:name w:val="标题 3 字符"/>
    <w:basedOn w:val="22"/>
    <w:link w:val="4"/>
    <w:qFormat/>
    <w:uiPriority w:val="9"/>
    <w:rPr>
      <w:rFonts w:ascii="等线 Light" w:hAnsi="等线 Light" w:eastAsia="等线 Light" w:cs="宋体"/>
      <w:color w:val="104862"/>
      <w:sz w:val="32"/>
      <w:szCs w:val="32"/>
    </w:rPr>
  </w:style>
  <w:style w:type="character" w:customStyle="1" w:styleId="26">
    <w:name w:val="标题 4 字符"/>
    <w:basedOn w:val="22"/>
    <w:link w:val="5"/>
    <w:qFormat/>
    <w:uiPriority w:val="9"/>
    <w:rPr>
      <w:rFonts w:cs="宋体"/>
      <w:color w:val="104862"/>
      <w:sz w:val="28"/>
      <w:szCs w:val="28"/>
    </w:rPr>
  </w:style>
  <w:style w:type="character" w:customStyle="1" w:styleId="27">
    <w:name w:val="标题 5 字符"/>
    <w:basedOn w:val="22"/>
    <w:link w:val="6"/>
    <w:qFormat/>
    <w:uiPriority w:val="9"/>
    <w:rPr>
      <w:rFonts w:cs="宋体"/>
      <w:color w:val="104862"/>
      <w:sz w:val="24"/>
      <w:szCs w:val="24"/>
    </w:rPr>
  </w:style>
  <w:style w:type="character" w:customStyle="1" w:styleId="28">
    <w:name w:val="标题 6 字符"/>
    <w:basedOn w:val="22"/>
    <w:link w:val="7"/>
    <w:qFormat/>
    <w:uiPriority w:val="9"/>
    <w:rPr>
      <w:rFonts w:cs="宋体"/>
      <w:b/>
      <w:bCs/>
      <w:color w:val="104862"/>
    </w:rPr>
  </w:style>
  <w:style w:type="character" w:customStyle="1" w:styleId="29">
    <w:name w:val="标题 7 字符"/>
    <w:basedOn w:val="22"/>
    <w:link w:val="8"/>
    <w:qFormat/>
    <w:uiPriority w:val="9"/>
    <w:rPr>
      <w:rFonts w:cs="宋体"/>
      <w:b/>
      <w:bCs/>
      <w:color w:val="595959"/>
    </w:rPr>
  </w:style>
  <w:style w:type="character" w:customStyle="1" w:styleId="30">
    <w:name w:val="标题 8 字符"/>
    <w:basedOn w:val="22"/>
    <w:link w:val="9"/>
    <w:qFormat/>
    <w:uiPriority w:val="9"/>
    <w:rPr>
      <w:rFonts w:cs="宋体"/>
      <w:color w:val="595959"/>
    </w:rPr>
  </w:style>
  <w:style w:type="character" w:customStyle="1" w:styleId="31">
    <w:name w:val="标题 9 字符"/>
    <w:basedOn w:val="22"/>
    <w:link w:val="10"/>
    <w:qFormat/>
    <w:uiPriority w:val="9"/>
    <w:rPr>
      <w:rFonts w:eastAsia="等线 Light" w:cs="宋体"/>
      <w:color w:val="595959"/>
    </w:rPr>
  </w:style>
  <w:style w:type="character" w:customStyle="1" w:styleId="32">
    <w:name w:val="标题 字符"/>
    <w:basedOn w:val="22"/>
    <w:link w:val="19"/>
    <w:qFormat/>
    <w:uiPriority w:val="10"/>
    <w:rPr>
      <w:rFonts w:ascii="等线 Light" w:hAnsi="等线 Light" w:eastAsia="等线 Light" w:cs="宋体"/>
      <w:spacing w:val="-10"/>
      <w:kern w:val="28"/>
      <w:sz w:val="56"/>
      <w:szCs w:val="56"/>
    </w:rPr>
  </w:style>
  <w:style w:type="character" w:customStyle="1" w:styleId="33">
    <w:name w:val="副标题 字符"/>
    <w:basedOn w:val="22"/>
    <w:link w:val="16"/>
    <w:qFormat/>
    <w:uiPriority w:val="11"/>
    <w:rPr>
      <w:rFonts w:ascii="等线 Light" w:hAnsi="等线 Light" w:eastAsia="等线 Light" w:cs="宋体"/>
      <w:color w:val="595959"/>
      <w:spacing w:val="15"/>
      <w:sz w:val="28"/>
      <w:szCs w:val="28"/>
    </w:rPr>
  </w:style>
  <w:style w:type="paragraph" w:styleId="34">
    <w:name w:val="Quote"/>
    <w:basedOn w:val="1"/>
    <w:next w:val="1"/>
    <w:link w:val="35"/>
    <w:qFormat/>
    <w:uiPriority w:val="29"/>
    <w:pPr>
      <w:spacing w:before="160" w:after="160"/>
      <w:jc w:val="center"/>
    </w:pPr>
    <w:rPr>
      <w:i/>
      <w:iCs/>
      <w:color w:val="3F3F3F"/>
    </w:rPr>
  </w:style>
  <w:style w:type="character" w:customStyle="1" w:styleId="35">
    <w:name w:val="引用 字符"/>
    <w:basedOn w:val="22"/>
    <w:link w:val="34"/>
    <w:qFormat/>
    <w:uiPriority w:val="29"/>
    <w:rPr>
      <w:i/>
      <w:iCs/>
      <w:color w:val="3F3F3F"/>
    </w:rPr>
  </w:style>
  <w:style w:type="paragraph" w:styleId="36">
    <w:name w:val="List Paragraph"/>
    <w:basedOn w:val="1"/>
    <w:qFormat/>
    <w:uiPriority w:val="34"/>
    <w:pPr>
      <w:ind w:left="720"/>
      <w:contextualSpacing/>
    </w:pPr>
  </w:style>
  <w:style w:type="character" w:customStyle="1" w:styleId="37">
    <w:name w:val="Intense Emphasis_02c4ff61-a4d6-470f-8e09-0d8122b936a2"/>
    <w:basedOn w:val="22"/>
    <w:qFormat/>
    <w:uiPriority w:val="21"/>
    <w:rPr>
      <w:i/>
      <w:iCs/>
      <w:color w:val="104862"/>
    </w:rPr>
  </w:style>
  <w:style w:type="paragraph" w:styleId="38">
    <w:name w:val="Intense Quote"/>
    <w:basedOn w:val="1"/>
    <w:next w:val="1"/>
    <w:link w:val="39"/>
    <w:qFormat/>
    <w:uiPriority w:val="30"/>
    <w:pPr>
      <w:pBdr>
        <w:top w:val="single" w:color="0F4761" w:sz="4" w:space="10"/>
        <w:bottom w:val="single" w:color="0F4761" w:sz="4" w:space="10"/>
      </w:pBdr>
      <w:spacing w:before="360" w:after="360"/>
      <w:ind w:left="864" w:right="864"/>
      <w:jc w:val="center"/>
    </w:pPr>
    <w:rPr>
      <w:i/>
      <w:iCs/>
      <w:color w:val="104862"/>
    </w:rPr>
  </w:style>
  <w:style w:type="character" w:customStyle="1" w:styleId="39">
    <w:name w:val="明显引用 字符"/>
    <w:basedOn w:val="22"/>
    <w:link w:val="38"/>
    <w:qFormat/>
    <w:uiPriority w:val="30"/>
    <w:rPr>
      <w:i/>
      <w:iCs/>
      <w:color w:val="104862"/>
    </w:rPr>
  </w:style>
  <w:style w:type="character" w:customStyle="1" w:styleId="40">
    <w:name w:val="Intense Reference_277944db-7cac-4b94-87ac-71aeb273c8b5"/>
    <w:basedOn w:val="22"/>
    <w:qFormat/>
    <w:uiPriority w:val="32"/>
    <w:rPr>
      <w:b/>
      <w:bCs/>
      <w:smallCaps/>
      <w:color w:val="104862"/>
      <w:spacing w:val="5"/>
    </w:rPr>
  </w:style>
  <w:style w:type="character" w:customStyle="1" w:styleId="41">
    <w:name w:val="页眉 字符"/>
    <w:basedOn w:val="22"/>
    <w:link w:val="14"/>
    <w:qFormat/>
    <w:uiPriority w:val="99"/>
    <w:rPr>
      <w:sz w:val="18"/>
      <w:szCs w:val="18"/>
    </w:rPr>
  </w:style>
  <w:style w:type="character" w:customStyle="1" w:styleId="42">
    <w:name w:val="页脚 字符"/>
    <w:basedOn w:val="22"/>
    <w:link w:val="13"/>
    <w:qFormat/>
    <w:uiPriority w:val="99"/>
    <w:rPr>
      <w:sz w:val="18"/>
      <w:szCs w:val="18"/>
    </w:rPr>
  </w:style>
  <w:style w:type="paragraph" w:customStyle="1" w:styleId="4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44">
    <w:name w:val="font11"/>
    <w:basedOn w:val="22"/>
    <w:qFormat/>
    <w:uiPriority w:val="0"/>
    <w:rPr>
      <w:rFonts w:hint="eastAsia" w:ascii="仿宋_GB2312" w:eastAsia="仿宋_GB2312" w:cs="仿宋_GB2312"/>
      <w:color w:val="000000"/>
      <w:sz w:val="22"/>
      <w:szCs w:val="22"/>
      <w:u w:val="none"/>
    </w:rPr>
  </w:style>
  <w:style w:type="paragraph" w:customStyle="1" w:styleId="45">
    <w:name w:val="Table Text"/>
    <w:basedOn w:val="1"/>
    <w:qFormat/>
    <w:uiPriority w:val="0"/>
    <w:rPr>
      <w:rFonts w:ascii="宋体" w:hAnsi="宋体" w:eastAsia="宋体" w:cs="宋体"/>
      <w:sz w:val="24"/>
      <w:szCs w:val="24"/>
      <w:lang w:val="en-US" w:eastAsia="en-US" w:bidi="ar-SA"/>
    </w:rPr>
  </w:style>
  <w:style w:type="table" w:customStyle="1" w:styleId="46">
    <w:name w:val="Table Normal"/>
    <w:qFormat/>
    <w:uiPriority w:val="0"/>
    <w:tblPr>
      <w:tblCellMar>
        <w:top w:w="0" w:type="dxa"/>
        <w:left w:w="0" w:type="dxa"/>
        <w:bottom w:w="0" w:type="dxa"/>
        <w:right w:w="0" w:type="dxa"/>
      </w:tblCellMar>
    </w:tblPr>
  </w:style>
  <w:style w:type="paragraph" w:customStyle="1" w:styleId="47">
    <w:name w:val="普通(网站)1"/>
    <w:basedOn w:val="1"/>
    <w:qFormat/>
    <w:uiPriority w:val="0"/>
    <w:pPr>
      <w:widowControl/>
      <w:spacing w:beforeAutospacing="1"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1826</Words>
  <Characters>1955</Characters>
  <Paragraphs>177</Paragraphs>
  <TotalTime>3</TotalTime>
  <ScaleCrop>false</ScaleCrop>
  <LinksUpToDate>false</LinksUpToDate>
  <CharactersWithSpaces>1986</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2024-01-21T12:35:00Z</dcterms:created>
  <dc:creator>a15280976656@outlook.com</dc:creator>
  <cp:lastModifiedBy>王宁</cp:lastModifiedBy>
  <cp:lastPrinted>2024-06-05T01:41:00Z</cp:lastPrinted>
  <dcterms:modified xsi:type="dcterms:W3CDTF">2024-06-13T08:08:27Z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FE739CBC0FEF4175AB065E70F2A0EFA8_13</vt:lpwstr>
  </property>
</Properties>
</file>