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杜明茗</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身份证号码：510727198705230610</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pPr w:leftFromText="180" w:rightFromText="180" w:vertAnchor="text" w:horzAnchor="page" w:tblpX="742" w:tblpY="122"/>
        <w:tblOverlap w:val="never"/>
        <w:tblW w:w="58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679"/>
        <w:gridCol w:w="623"/>
        <w:gridCol w:w="641"/>
        <w:gridCol w:w="701"/>
        <w:gridCol w:w="638"/>
        <w:gridCol w:w="624"/>
        <w:gridCol w:w="650"/>
        <w:gridCol w:w="740"/>
        <w:gridCol w:w="533"/>
        <w:gridCol w:w="650"/>
        <w:gridCol w:w="650"/>
        <w:gridCol w:w="637"/>
        <w:gridCol w:w="676"/>
        <w:gridCol w:w="727"/>
        <w:gridCol w:w="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19"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利润总额(万元)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在绵产值/营收(万元)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利润率</w:t>
            </w:r>
          </w:p>
        </w:tc>
        <w:tc>
          <w:tcPr>
            <w:tcW w:w="61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人均利润</w:t>
            </w:r>
          </w:p>
        </w:tc>
        <w:tc>
          <w:tcPr>
            <w:tcW w:w="61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期间费用率</w:t>
            </w:r>
          </w:p>
        </w:tc>
        <w:tc>
          <w:tcPr>
            <w:tcW w:w="65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4"/>
                <w:b/>
                <w:color w:val="auto"/>
                <w:sz w:val="21"/>
                <w:szCs w:val="21"/>
                <w:lang w:bidi="ar"/>
              </w:rPr>
              <w:t>两金周转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8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19"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80" w:type="pct"/>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九洲</w:t>
            </w:r>
          </w:p>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千城</w:t>
            </w:r>
          </w:p>
        </w:tc>
        <w:tc>
          <w:tcPr>
            <w:tcW w:w="319" w:type="pct"/>
            <w:tcBorders>
              <w:top w:val="single" w:color="auto" w:sz="4" w:space="0"/>
              <w:left w:val="single" w:color="000000" w:sz="4" w:space="0"/>
              <w:bottom w:val="single" w:color="auto"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kern w:val="0"/>
                <w:sz w:val="21"/>
                <w:szCs w:val="21"/>
                <w:highlight w:val="none"/>
                <w:u w:val="none"/>
                <w:lang w:val="en-US" w:eastAsia="zh-CN" w:bidi="ar"/>
              </w:rPr>
            </w:pPr>
            <w:r>
              <w:rPr>
                <w:rStyle w:val="44"/>
                <w:rFonts w:hint="eastAsia" w:hAnsi="仿宋_GB2312"/>
                <w:b w:val="0"/>
                <w:bCs w:val="0"/>
                <w:color w:val="auto"/>
                <w:kern w:val="2"/>
                <w:sz w:val="21"/>
                <w:szCs w:val="21"/>
                <w:highlight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spacing w:val="-2"/>
                <w:sz w:val="21"/>
                <w:szCs w:val="21"/>
              </w:rPr>
              <w:t>220000</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4"/>
                <w:rFonts w:hint="default" w:ascii="仿宋_GB2312" w:hAnsi="仿宋_GB2312" w:eastAsia="仿宋_GB2312" w:cs="仿宋_GB2312"/>
                <w:b/>
                <w:bCs/>
                <w:color w:val="auto"/>
                <w:sz w:val="21"/>
                <w:szCs w:val="21"/>
                <w:highlight w:val="none"/>
                <w:lang w:val="en-US" w:eastAsia="zh-CN" w:bidi="ar"/>
              </w:rPr>
            </w:pPr>
            <w:r>
              <w:rPr>
                <w:rStyle w:val="44"/>
                <w:rFonts w:hint="eastAsia" w:hAnsi="仿宋_GB2312"/>
                <w:b w:val="0"/>
                <w:bCs w:val="0"/>
                <w:color w:val="auto"/>
                <w:kern w:val="2"/>
                <w:sz w:val="21"/>
                <w:szCs w:val="21"/>
                <w:highlight w:val="none"/>
                <w:lang w:val="en-US" w:eastAsia="zh-CN" w:bidi="ar"/>
              </w:rPr>
              <w:t>20%</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4"/>
                <w:rFonts w:hint="eastAsia" w:ascii="仿宋_GB2312" w:hAnsi="仿宋_GB2312" w:eastAsia="仿宋_GB2312" w:cs="仿宋_GB2312"/>
                <w:b/>
                <w:bCs/>
                <w:color w:val="auto"/>
                <w:sz w:val="21"/>
                <w:szCs w:val="21"/>
                <w:highlight w:val="none"/>
                <w:lang w:val="en-US" w:eastAsia="zh-CN" w:bidi="ar"/>
              </w:rPr>
            </w:pPr>
            <w:r>
              <w:rPr>
                <w:rFonts w:hint="eastAsia" w:ascii="仿宋_GB2312" w:hAnsi="仿宋_GB2312" w:eastAsia="仿宋_GB2312" w:cs="仿宋_GB2312"/>
                <w:spacing w:val="-4"/>
                <w:sz w:val="21"/>
                <w:szCs w:val="21"/>
              </w:rPr>
              <w:t>7000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4"/>
                <w:rFonts w:hint="default" w:ascii="仿宋_GB2312" w:hAnsi="仿宋_GB2312" w:eastAsia="仿宋_GB2312" w:cs="仿宋_GB2312"/>
                <w:b/>
                <w:bCs/>
                <w:color w:val="auto"/>
                <w:sz w:val="21"/>
                <w:szCs w:val="21"/>
                <w:highlight w:val="none"/>
                <w:lang w:val="en-US" w:eastAsia="zh-CN" w:bidi="ar"/>
              </w:rPr>
            </w:pPr>
            <w:r>
              <w:rPr>
                <w:rStyle w:val="44"/>
                <w:rFonts w:hint="eastAsia" w:hAnsi="仿宋_GB2312"/>
                <w:b w:val="0"/>
                <w:bCs w:val="0"/>
                <w:color w:val="auto"/>
                <w:kern w:val="2"/>
                <w:sz w:val="21"/>
                <w:szCs w:val="21"/>
                <w:highlight w:val="none"/>
                <w:lang w:val="en-US" w:eastAsia="zh-CN" w:bidi="ar"/>
              </w:rPr>
              <w:t>50%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spacing w:val="-2"/>
                <w:kern w:val="2"/>
                <w:sz w:val="21"/>
                <w:szCs w:val="21"/>
                <w:lang w:val="en-US" w:eastAsia="zh-CN" w:bidi="ar-SA"/>
              </w:rPr>
            </w:pPr>
            <w:r>
              <w:rPr>
                <w:rFonts w:hint="eastAsia" w:ascii="仿宋_GB2312" w:hAnsi="仿宋_GB2312" w:eastAsia="仿宋_GB2312" w:cs="仿宋_GB2312"/>
                <w:spacing w:val="-2"/>
                <w:kern w:val="2"/>
                <w:sz w:val="21"/>
                <w:szCs w:val="21"/>
                <w:lang w:val="en-US" w:eastAsia="zh-CN" w:bidi="ar-SA"/>
              </w:rPr>
              <w:t>135</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2"/>
                <w:kern w:val="2"/>
                <w:sz w:val="21"/>
                <w:szCs w:val="21"/>
                <w:lang w:val="en-US" w:eastAsia="zh-CN" w:bidi="ar-SA"/>
              </w:rPr>
              <w:t>98</w:t>
            </w:r>
            <w:r>
              <w:rPr>
                <w:rStyle w:val="44"/>
                <w:rFonts w:hint="eastAsia" w:ascii="仿宋_GB2312" w:hAnsi="仿宋_GB2312" w:eastAsia="仿宋_GB2312" w:cs="仿宋_GB2312"/>
                <w:b w:val="0"/>
                <w:bCs w:val="0"/>
                <w:color w:val="auto"/>
                <w:sz w:val="21"/>
                <w:szCs w:val="21"/>
                <w:highlight w:val="none"/>
                <w:lang w:val="en-US" w:eastAsia="zh-CN" w:bidi="ar"/>
              </w:rPr>
              <w:t>3</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Style w:val="44"/>
                <w:rFonts w:hint="eastAsia" w:ascii="仿宋_GB2312" w:hAnsi="仿宋_GB2312" w:eastAsia="仿宋_GB2312" w:cs="仿宋_GB2312"/>
                <w:b w:val="0"/>
                <w:bCs w:val="0"/>
                <w:color w:val="auto"/>
                <w:sz w:val="21"/>
                <w:szCs w:val="21"/>
                <w:highlight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5"/>
                <w:sz w:val="21"/>
                <w:szCs w:val="21"/>
              </w:rPr>
              <w:t>143.9%</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Style w:val="44"/>
                <w:rFonts w:hint="eastAsia" w:ascii="仿宋_GB2312" w:hAnsi="仿宋_GB2312" w:eastAsia="仿宋_GB2312" w:cs="仿宋_GB2312"/>
                <w:b w:val="0"/>
                <w:bCs w:val="0"/>
                <w:color w:val="auto"/>
                <w:sz w:val="21"/>
                <w:szCs w:val="21"/>
                <w:highlight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3"/>
                <w:sz w:val="21"/>
                <w:szCs w:val="21"/>
              </w:rPr>
              <w:t>28.6</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Style w:val="44"/>
                <w:rFonts w:hint="eastAsia" w:ascii="仿宋_GB2312" w:hAnsi="仿宋_GB2312" w:eastAsia="仿宋_GB2312" w:cs="仿宋_GB2312"/>
                <w:b w:val="0"/>
                <w:bCs w:val="0"/>
                <w:color w:val="auto"/>
                <w:sz w:val="21"/>
                <w:szCs w:val="21"/>
                <w:highlight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40" w:lineRule="exact"/>
              <w:jc w:val="center"/>
              <w:textAlignment w:val="auto"/>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spacing w:val="1"/>
                <w:sz w:val="21"/>
                <w:szCs w:val="21"/>
              </w:rPr>
              <w:t>9.65%</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Style w:val="44"/>
                <w:rFonts w:hint="eastAsia" w:ascii="仿宋_GB2312" w:hAnsi="仿宋_GB2312" w:eastAsia="仿宋_GB2312" w:cs="仿宋_GB2312"/>
                <w:b w:val="0"/>
                <w:bCs w:val="0"/>
                <w:color w:val="auto"/>
                <w:sz w:val="21"/>
                <w:szCs w:val="21"/>
                <w:highlight w:val="none"/>
                <w:lang w:val="en-US" w:eastAsia="zh-CN" w:bidi="ar"/>
              </w:rPr>
              <w:t>5%</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val="0"/>
                <w:bCs w:val="0"/>
                <w:i w:val="0"/>
                <w:iCs w:val="0"/>
                <w:color w:val="auto"/>
                <w:kern w:val="0"/>
                <w:sz w:val="21"/>
                <w:szCs w:val="21"/>
                <w:highlight w:val="none"/>
                <w:u w:val="none"/>
                <w:lang w:val="en-US" w:eastAsia="zh-CN" w:bidi="ar"/>
              </w:rPr>
            </w:pPr>
            <w:r>
              <w:rPr>
                <w:rFonts w:hint="eastAsia" w:ascii="仿宋_GB2312" w:hAnsi="仿宋_GB2312" w:eastAsia="仿宋_GB2312" w:cs="仿宋_GB2312"/>
                <w:sz w:val="21"/>
                <w:szCs w:val="21"/>
              </w:rPr>
              <w:t>两金管控较上年有大幅提升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default" w:ascii="仿宋_GB2312" w:hAnsi="仿宋_GB2312" w:eastAsia="仿宋_GB2312" w:cs="仿宋_GB2312"/>
                <w:b w:val="0"/>
                <w:bCs w:val="0"/>
                <w:color w:val="auto"/>
                <w:sz w:val="21"/>
                <w:szCs w:val="21"/>
                <w:highlight w:val="none"/>
                <w:lang w:val="en-US" w:eastAsia="zh-CN" w:bidi="ar"/>
              </w:rPr>
            </w:pPr>
            <w:r>
              <w:rPr>
                <w:rStyle w:val="44"/>
                <w:rFonts w:hint="eastAsia" w:ascii="仿宋_GB2312" w:hAnsi="仿宋_GB2312" w:eastAsia="仿宋_GB2312" w:cs="仿宋_GB2312"/>
                <w:b w:val="0"/>
                <w:bCs w:val="0"/>
                <w:color w:val="auto"/>
                <w:sz w:val="21"/>
                <w:szCs w:val="21"/>
                <w:highlight w:val="none"/>
                <w:lang w:val="en-US" w:eastAsia="zh-CN" w:bidi="ar"/>
              </w:rPr>
              <w:t>5%</w:t>
            </w:r>
          </w:p>
        </w:tc>
      </w:tr>
    </w:tbl>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备注：人工成本利润率不低于“较上年人工成本利润率优化2%”。（以上指标根据快报数测算，待薪酬分配专项审计报告出具后进行调整）</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期间费用率目标值9.65%(剔除较上年增加的财务费用);收</w:t>
      </w:r>
    </w:p>
    <w:p>
      <w:pPr>
        <w:widowControl/>
        <w:spacing w:line="56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入完成率未达100%,费用率11.8%和费用预算额2.84亿元的孰低额。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在绵营收135983</w:t>
      </w:r>
      <w:r>
        <w:rPr>
          <w:rFonts w:hint="eastAsia" w:ascii="仿宋_GB2312" w:eastAsia="仿宋_GB2312"/>
          <w:sz w:val="32"/>
          <w:szCs w:val="32"/>
          <w:highlight w:val="none"/>
          <w:lang w:val="en-US" w:eastAsia="zh-CN"/>
        </w:rPr>
        <w:t>万元</w:t>
      </w:r>
      <w:r>
        <w:rPr>
          <w:rFonts w:hint="default" w:ascii="仿宋_GB2312" w:eastAsia="仿宋_GB2312"/>
          <w:sz w:val="32"/>
          <w:szCs w:val="32"/>
          <w:highlight w:val="none"/>
          <w:lang w:val="en-US" w:eastAsia="zh-CN"/>
        </w:rPr>
        <w:t>（未考虑内部交易抵销）</w:t>
      </w:r>
      <w:r>
        <w:rPr>
          <w:rFonts w:hint="eastAsia" w:ascii="仿宋_GB2312" w:eastAsia="仿宋_GB2312"/>
          <w:sz w:val="32"/>
          <w:szCs w:val="32"/>
          <w:highlight w:val="none"/>
          <w:lang w:val="en-US" w:eastAsia="zh-CN"/>
        </w:rPr>
        <w:t>。</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6"/>
        <w:tblW w:w="50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3"/>
        <w:gridCol w:w="1315"/>
        <w:gridCol w:w="5858"/>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2" w:type="pct"/>
            <w:noWrap w:val="0"/>
            <w:vAlign w:val="center"/>
          </w:tcPr>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房地产存量可售货值去化不低于30%;</w:t>
            </w:r>
          </w:p>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又一城项目招商率不低于80%;汇巨大厦(4F-6F)楼层招租不低于70%;1958项目招商率不低于90%;汉地尚街招商率不低于7</w:t>
            </w:r>
            <w:r>
              <w:rPr>
                <w:rFonts w:hint="eastAsia" w:ascii="仿宋_GB2312" w:hAnsi="仿宋_GB2312" w:eastAsia="仿宋_GB2312" w:cs="仿宋_GB2312"/>
                <w:spacing w:val="3"/>
                <w:sz w:val="24"/>
                <w:szCs w:val="24"/>
                <w:highlight w:val="none"/>
                <w:lang w:val="en-US" w:eastAsia="zh-CN"/>
              </w:rPr>
              <w:t>7</w:t>
            </w:r>
            <w:bookmarkStart w:id="0" w:name="_GoBack"/>
            <w:bookmarkEnd w:id="0"/>
            <w:r>
              <w:rPr>
                <w:rFonts w:hint="eastAsia" w:ascii="仿宋_GB2312" w:hAnsi="仿宋_GB2312" w:eastAsia="仿宋_GB2312" w:cs="仿宋_GB2312"/>
                <w:spacing w:val="3"/>
                <w:sz w:val="24"/>
                <w:szCs w:val="24"/>
                <w:highlight w:val="none"/>
                <w:lang w:eastAsia="zh-CN"/>
              </w:rPr>
              <w:t>%;</w:t>
            </w:r>
          </w:p>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完成16号项目酒店招商协议签订。</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1"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val="en-US" w:eastAsia="zh-CN"/>
              </w:rPr>
              <w:t>数字化转型</w:t>
            </w:r>
          </w:p>
        </w:tc>
        <w:tc>
          <w:tcPr>
            <w:tcW w:w="3292" w:type="pct"/>
            <w:noWrap w:val="0"/>
            <w:vAlign w:val="center"/>
          </w:tcPr>
          <w:p>
            <w:pPr>
              <w:pStyle w:val="45"/>
              <w:keepNext w:val="0"/>
              <w:keepLines w:val="0"/>
              <w:pageBreakBefore w:val="0"/>
              <w:widowControl w:val="0"/>
              <w:numPr>
                <w:ilvl w:val="0"/>
                <w:numId w:val="2"/>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成立以业务牵头的相关数字化转型工作组，落实集团数字化工作部署，配合完成财务、商旅、集采、人资等垂直管控 线条的数字化转型落地；</w:t>
            </w:r>
          </w:p>
          <w:p>
            <w:pPr>
              <w:pStyle w:val="45"/>
              <w:keepNext w:val="0"/>
              <w:keepLines w:val="0"/>
              <w:pageBreakBefore w:val="0"/>
              <w:widowControl w:val="0"/>
              <w:numPr>
                <w:ilvl w:val="0"/>
                <w:numId w:val="2"/>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主要业务流程上线率达到80%;</w:t>
            </w:r>
          </w:p>
          <w:p>
            <w:pPr>
              <w:pStyle w:val="45"/>
              <w:keepNext w:val="0"/>
              <w:keepLines w:val="0"/>
              <w:pageBreakBefore w:val="0"/>
              <w:widowControl w:val="0"/>
              <w:numPr>
                <w:ilvl w:val="0"/>
                <w:numId w:val="2"/>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完成经营性资产管理系统、档案管理系统建设；</w:t>
            </w:r>
          </w:p>
          <w:p>
            <w:pPr>
              <w:pStyle w:val="45"/>
              <w:keepNext w:val="0"/>
              <w:keepLines w:val="0"/>
              <w:pageBreakBefore w:val="0"/>
              <w:widowControl w:val="0"/>
              <w:numPr>
                <w:ilvl w:val="0"/>
                <w:numId w:val="2"/>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建立</w:t>
            </w:r>
            <w:r>
              <w:rPr>
                <w:rFonts w:hint="eastAsia" w:ascii="仿宋_GB2312" w:hAnsi="仿宋_GB2312" w:eastAsia="仿宋_GB2312" w:cs="仿宋_GB2312"/>
                <w:spacing w:val="3"/>
                <w:sz w:val="24"/>
                <w:szCs w:val="24"/>
                <w:highlight w:val="none"/>
                <w:lang w:eastAsia="zh-CN"/>
              </w:rPr>
              <w:t>《广联达数字新成本平台》指标库。</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投融资</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上报集团不低于2亿元可落地融资方案。</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党建</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eastAsia="zh-CN"/>
              </w:rPr>
              <w:t>按专项办法进行考核评价。</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widowControl/>
        <w:spacing w:line="560" w:lineRule="exact"/>
        <w:rPr>
          <w:rFonts w:hint="default" w:ascii="仿宋_GB2312" w:eastAsia="仿宋_GB2312"/>
          <w:sz w:val="32"/>
          <w:szCs w:val="32"/>
          <w:highlight w:val="none"/>
          <w:lang w:val="en-US" w:eastAsia="zh-CN"/>
        </w:rPr>
      </w:pPr>
    </w:p>
    <w:p>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法定代表人（签字）：</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日</w: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7564"/>
        </w:tabs>
        <w:bidi w:val="0"/>
        <w:jc w:val="left"/>
        <w:rPr>
          <w:rFonts w:hint="default"/>
          <w:lang w:val="en-US" w:eastAsia="zh-CN"/>
        </w:rPr>
      </w:pP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A6C58848-D6FA-483B-B3BC-47576EB082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7AA1DD67-2FEE-4D8C-9C55-E3C6FD47B02C}"/>
  </w:font>
  <w:font w:name="方正小标宋简体">
    <w:panose1 w:val="02000000000000000000"/>
    <w:charset w:val="86"/>
    <w:family w:val="script"/>
    <w:pitch w:val="default"/>
    <w:sig w:usb0="00000001" w:usb1="080E0000" w:usb2="00000000" w:usb3="00000000" w:csb0="00040000" w:csb1="00000000"/>
    <w:embedRegular r:id="rId3" w:fontKey="{451DA7B9-BDDE-464C-8703-53AAA7742ED8}"/>
  </w:font>
  <w:font w:name="楷体_GB2312">
    <w:panose1 w:val="02010609030101010101"/>
    <w:charset w:val="86"/>
    <w:family w:val="modern"/>
    <w:pitch w:val="default"/>
    <w:sig w:usb0="00000001" w:usb1="080E0000" w:usb2="00000000" w:usb3="00000000" w:csb0="00040000" w:csb1="00000000"/>
    <w:embedRegular r:id="rId4" w:fontKey="{8C5F7CEB-C44B-4AA7-A9DB-38E980E599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D1361"/>
    <w:multiLevelType w:val="singleLevel"/>
    <w:tmpl w:val="A65D1361"/>
    <w:lvl w:ilvl="0" w:tentative="0">
      <w:start w:val="1"/>
      <w:numFmt w:val="decimal"/>
      <w:lvlText w:val="%1."/>
      <w:lvlJc w:val="left"/>
      <w:pPr>
        <w:tabs>
          <w:tab w:val="left" w:pos="312"/>
        </w:tabs>
      </w:pPr>
    </w:lvl>
  </w:abstractNum>
  <w:abstractNum w:abstractNumId="1">
    <w:nsid w:val="EF6E17D2"/>
    <w:multiLevelType w:val="singleLevel"/>
    <w:tmpl w:val="EF6E17D2"/>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jYTc5ZWFhNjE3YWY4ZTJjMmUwNmM4MmQ4MGQwMDQ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0A2831"/>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1B1CC8"/>
    <w:rsid w:val="0E2854AC"/>
    <w:rsid w:val="0E67321C"/>
    <w:rsid w:val="0F3B0205"/>
    <w:rsid w:val="0F4F16B2"/>
    <w:rsid w:val="0FB652ED"/>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0A0CBC"/>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CE20A7B"/>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10F17"/>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937C6C"/>
    <w:rsid w:val="49A03796"/>
    <w:rsid w:val="49A53CC1"/>
    <w:rsid w:val="49BF7253"/>
    <w:rsid w:val="49C83E68"/>
    <w:rsid w:val="49F3676E"/>
    <w:rsid w:val="4A3E237C"/>
    <w:rsid w:val="4AB443EC"/>
    <w:rsid w:val="4AF85673"/>
    <w:rsid w:val="4B6B71A0"/>
    <w:rsid w:val="4B982BB3"/>
    <w:rsid w:val="4BF7108D"/>
    <w:rsid w:val="4BFC429C"/>
    <w:rsid w:val="4C8F09A5"/>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4FF86E7B"/>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0C15C2E"/>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133CF9"/>
    <w:rsid w:val="7A2B7977"/>
    <w:rsid w:val="7A6A4943"/>
    <w:rsid w:val="7AC041A5"/>
    <w:rsid w:val="7AD54393"/>
    <w:rsid w:val="7AE2272C"/>
    <w:rsid w:val="7B2C2BB5"/>
    <w:rsid w:val="7BEB3862"/>
    <w:rsid w:val="7C376AA7"/>
    <w:rsid w:val="7C42333B"/>
    <w:rsid w:val="7C4466BB"/>
    <w:rsid w:val="7C9C679D"/>
    <w:rsid w:val="7CB73744"/>
    <w:rsid w:val="7CD23C96"/>
    <w:rsid w:val="7CFB7CEE"/>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autoRedefine/>
    <w:semiHidden/>
    <w:qFormat/>
    <w:uiPriority w:val="9"/>
    <w:rPr>
      <w:rFonts w:cstheme="majorBidi"/>
      <w:color w:val="104862" w:themeColor="accent1" w:themeShade="BF"/>
      <w:sz w:val="28"/>
      <w:szCs w:val="28"/>
    </w:rPr>
  </w:style>
  <w:style w:type="character" w:customStyle="1" w:styleId="27">
    <w:name w:val="标题 5 字符"/>
    <w:basedOn w:val="22"/>
    <w:link w:val="6"/>
    <w:autoRedefine/>
    <w:semiHidden/>
    <w:qFormat/>
    <w:uiPriority w:val="9"/>
    <w:rPr>
      <w:rFonts w:cstheme="majorBidi"/>
      <w:color w:val="104862" w:themeColor="accent1" w:themeShade="BF"/>
      <w:sz w:val="24"/>
      <w:szCs w:val="24"/>
    </w:rPr>
  </w:style>
  <w:style w:type="character" w:customStyle="1" w:styleId="28">
    <w:name w:val="标题 6 字符"/>
    <w:basedOn w:val="22"/>
    <w:link w:val="7"/>
    <w:autoRedefine/>
    <w:semiHidden/>
    <w:qFormat/>
    <w:uiPriority w:val="9"/>
    <w:rPr>
      <w:rFonts w:cstheme="majorBidi"/>
      <w:b/>
      <w:bCs/>
      <w:color w:val="104862" w:themeColor="accent1" w:themeShade="BF"/>
    </w:rPr>
  </w:style>
  <w:style w:type="character" w:customStyle="1" w:styleId="29">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autoRedefine/>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autoRedefine/>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autoRedefine/>
    <w:qFormat/>
    <w:uiPriority w:val="34"/>
    <w:pPr>
      <w:ind w:left="720"/>
      <w:contextualSpacing/>
    </w:pPr>
  </w:style>
  <w:style w:type="character" w:customStyle="1" w:styleId="37">
    <w:name w:val="Intense Emphasis"/>
    <w:basedOn w:val="22"/>
    <w:autoRedefine/>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autoRedefine/>
    <w:qFormat/>
    <w:uiPriority w:val="30"/>
    <w:rPr>
      <w:i/>
      <w:iCs/>
      <w:color w:val="104862" w:themeColor="accent1" w:themeShade="BF"/>
    </w:rPr>
  </w:style>
  <w:style w:type="character" w:customStyle="1" w:styleId="40">
    <w:name w:val="Intense Reference"/>
    <w:basedOn w:val="22"/>
    <w:autoRedefine/>
    <w:qFormat/>
    <w:uiPriority w:val="32"/>
    <w:rPr>
      <w:b/>
      <w:bCs/>
      <w:smallCaps/>
      <w:color w:val="104862" w:themeColor="accent1" w:themeShade="BF"/>
      <w:spacing w:val="5"/>
    </w:rPr>
  </w:style>
  <w:style w:type="character" w:customStyle="1" w:styleId="41">
    <w:name w:val="页眉 字符"/>
    <w:basedOn w:val="22"/>
    <w:link w:val="14"/>
    <w:autoRedefine/>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autoRedefine/>
    <w:qFormat/>
    <w:uiPriority w:val="0"/>
    <w:rPr>
      <w:rFonts w:hint="eastAsia" w:ascii="仿宋_GB2312" w:eastAsia="仿宋_GB2312" w:cs="仿宋_GB2312"/>
      <w:color w:val="000000"/>
      <w:sz w:val="22"/>
      <w:szCs w:val="22"/>
      <w:u w:val="none"/>
    </w:rPr>
  </w:style>
  <w:style w:type="paragraph" w:customStyle="1" w:styleId="45">
    <w:name w:val="Table Text"/>
    <w:basedOn w:val="1"/>
    <w:autoRedefine/>
    <w:semiHidden/>
    <w:qFormat/>
    <w:uiPriority w:val="0"/>
    <w:rPr>
      <w:rFonts w:ascii="宋体" w:hAnsi="宋体" w:eastAsia="宋体" w:cs="宋体"/>
      <w:sz w:val="24"/>
      <w:szCs w:val="24"/>
      <w:lang w:val="en-US" w:eastAsia="en-US" w:bidi="ar-SA"/>
    </w:rPr>
  </w:style>
  <w:style w:type="table" w:customStyle="1" w:styleId="46">
    <w:name w:val="Table Normal"/>
    <w:autoRedefine/>
    <w:unhideWhenUsed/>
    <w:qFormat/>
    <w:uiPriority w:val="0"/>
    <w:tblPr>
      <w:tblCellMar>
        <w:top w:w="0" w:type="dxa"/>
        <w:left w:w="0" w:type="dxa"/>
        <w:bottom w:w="0" w:type="dxa"/>
        <w:right w:w="0" w:type="dxa"/>
      </w:tblCellMar>
    </w:tblPr>
  </w:style>
  <w:style w:type="paragraph" w:customStyle="1" w:styleId="47">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1696</Words>
  <Characters>1877</Characters>
  <Lines>25</Lines>
  <Paragraphs>7</Paragraphs>
  <TotalTime>1</TotalTime>
  <ScaleCrop>false</ScaleCrop>
  <LinksUpToDate>false</LinksUpToDate>
  <CharactersWithSpaces>1907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wang</cp:lastModifiedBy>
  <cp:lastPrinted>2024-06-07T04:48:00Z</cp:lastPrinted>
  <dcterms:modified xsi:type="dcterms:W3CDTF">2024-06-07T09:24:12Z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