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941917">
      <w:pPr>
        <w:tabs>
          <w:tab w:val="left" w:pos="1395"/>
          <w:tab w:val="center" w:pos="4535"/>
        </w:tabs>
        <w:spacing w:after="156" w:afterLines="50"/>
        <w:jc w:val="center"/>
        <w:outlineLvl w:val="0"/>
        <w:rPr>
          <w:rFonts w:ascii="宋体" w:hAnsi="宋体" w:eastAsia="宋体" w:cs="宋体"/>
          <w:b/>
          <w:bCs/>
          <w:color w:val="auto"/>
          <w:sz w:val="36"/>
          <w:szCs w:val="36"/>
          <w:highlight w:val="none"/>
        </w:rPr>
      </w:pPr>
      <w:bookmarkStart w:id="0" w:name="_Toc286752012"/>
      <w:bookmarkStart w:id="1" w:name="_Toc24112403"/>
      <w:r>
        <w:rPr>
          <w:rFonts w:hint="eastAsia" w:ascii="宋体" w:hAnsi="宋体" w:eastAsia="宋体" w:cs="宋体"/>
          <w:b/>
          <w:bCs/>
          <w:color w:val="auto"/>
          <w:kern w:val="36"/>
          <w:sz w:val="36"/>
          <w:szCs w:val="36"/>
          <w:highlight w:val="none"/>
        </w:rPr>
        <w:t xml:space="preserve">第一章  </w:t>
      </w:r>
      <w:bookmarkEnd w:id="0"/>
      <w:bookmarkEnd w:id="1"/>
      <w:r>
        <w:rPr>
          <w:rFonts w:hint="eastAsia" w:ascii="宋体" w:hAnsi="宋体" w:eastAsia="宋体" w:cs="宋体"/>
          <w:b/>
          <w:bCs/>
          <w:color w:val="auto"/>
          <w:kern w:val="36"/>
          <w:sz w:val="36"/>
          <w:szCs w:val="36"/>
          <w:highlight w:val="none"/>
        </w:rPr>
        <w:t>招标公告</w:t>
      </w:r>
    </w:p>
    <w:p w14:paraId="71F68F1F">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受四川九洲空管科技有限责任公司委托，四川国锃招标代理有限公司现邀请合格的潜在投标人参与本项目投标。</w:t>
      </w:r>
    </w:p>
    <w:p w14:paraId="5C111331">
      <w:pPr>
        <w:pStyle w:val="5"/>
        <w:autoSpaceDE w:val="0"/>
        <w:autoSpaceDN w:val="0"/>
        <w:adjustRightInd w:val="0"/>
        <w:snapToGrid w:val="0"/>
        <w:spacing w:line="380" w:lineRule="exact"/>
        <w:ind w:left="780" w:hanging="360" w:firstLineChars="0"/>
        <w:jc w:val="left"/>
        <w:rPr>
          <w:rFonts w:ascii="宋体" w:hAnsi="宋体" w:cs="宋体"/>
          <w:color w:val="auto"/>
          <w:kern w:val="0"/>
          <w:highlight w:val="none"/>
        </w:rPr>
      </w:pPr>
      <w:r>
        <w:rPr>
          <w:rFonts w:ascii="宋体" w:hAnsi="宋体" w:cs="宋体"/>
          <w:color w:val="auto"/>
          <w:kern w:val="0"/>
          <w:highlight w:val="none"/>
        </w:rPr>
        <w:t>1.</w:t>
      </w:r>
      <w:r>
        <w:rPr>
          <w:rFonts w:hint="eastAsia" w:ascii="宋体" w:hAnsi="宋体" w:cs="宋体"/>
          <w:color w:val="auto"/>
          <w:kern w:val="0"/>
          <w:highlight w:val="none"/>
        </w:rPr>
        <w:t>项目名称及招标编号</w:t>
      </w:r>
    </w:p>
    <w:p w14:paraId="719EE725">
      <w:pPr>
        <w:pStyle w:val="5"/>
        <w:autoSpaceDE w:val="0"/>
        <w:autoSpaceDN w:val="0"/>
        <w:adjustRightInd w:val="0"/>
        <w:snapToGrid w:val="0"/>
        <w:spacing w:line="380" w:lineRule="exact"/>
        <w:ind w:left="780" w:firstLine="0" w:firstLineChars="0"/>
        <w:jc w:val="left"/>
        <w:rPr>
          <w:rFonts w:ascii="宋体" w:hAnsi="宋体" w:cs="宋体"/>
          <w:color w:val="auto"/>
          <w:kern w:val="0"/>
          <w:highlight w:val="none"/>
        </w:rPr>
      </w:pPr>
      <w:r>
        <w:rPr>
          <w:rFonts w:hint="eastAsia" w:ascii="宋体" w:hAnsi="宋体" w:cs="宋体"/>
          <w:color w:val="auto"/>
          <w:kern w:val="0"/>
          <w:highlight w:val="none"/>
        </w:rPr>
        <w:t>项目名称：</w:t>
      </w:r>
      <w:bookmarkStart w:id="2" w:name="_GoBack"/>
      <w:r>
        <w:rPr>
          <w:rFonts w:hint="eastAsia" w:ascii="宋体" w:hAnsi="宋体" w:cs="宋体"/>
          <w:color w:val="auto"/>
          <w:kern w:val="0"/>
          <w:highlight w:val="none"/>
        </w:rPr>
        <w:t>TC等系统优化与集成</w:t>
      </w:r>
      <w:bookmarkEnd w:id="2"/>
    </w:p>
    <w:p w14:paraId="7918EB5D">
      <w:pPr>
        <w:pStyle w:val="5"/>
        <w:autoSpaceDE w:val="0"/>
        <w:autoSpaceDN w:val="0"/>
        <w:adjustRightInd w:val="0"/>
        <w:snapToGrid w:val="0"/>
        <w:spacing w:line="380" w:lineRule="exact"/>
        <w:ind w:left="780" w:firstLine="0" w:firstLineChars="0"/>
        <w:jc w:val="left"/>
        <w:rPr>
          <w:rFonts w:hint="eastAsia" w:ascii="宋体" w:hAnsi="宋体" w:eastAsia="宋体" w:cs="宋体"/>
          <w:color w:val="auto"/>
          <w:kern w:val="0"/>
          <w:highlight w:val="none"/>
          <w:lang w:eastAsia="zh-CN"/>
        </w:rPr>
      </w:pPr>
      <w:r>
        <w:rPr>
          <w:rFonts w:hint="eastAsia" w:ascii="宋体" w:hAnsi="宋体" w:cs="宋体"/>
          <w:color w:val="auto"/>
          <w:kern w:val="0"/>
          <w:highlight w:val="none"/>
        </w:rPr>
        <w:t>招标编号：</w:t>
      </w:r>
      <w:r>
        <w:rPr>
          <w:rFonts w:hint="eastAsia" w:ascii="宋体" w:hAnsi="宋体" w:cs="宋体"/>
          <w:color w:val="auto"/>
          <w:kern w:val="0"/>
          <w:highlight w:val="none"/>
          <w:lang w:eastAsia="zh-CN"/>
        </w:rPr>
        <w:t>SCGZ招【2026】4-01号</w:t>
      </w:r>
    </w:p>
    <w:p w14:paraId="1BF187E8">
      <w:pPr>
        <w:snapToGrid w:val="0"/>
        <w:spacing w:line="380" w:lineRule="exact"/>
        <w:ind w:firstLine="420" w:firstLineChars="200"/>
        <w:rPr>
          <w:rFonts w:ascii="宋体" w:hAnsi="宋体" w:eastAsia="宋体" w:cs="宋体"/>
          <w:color w:val="auto"/>
          <w:kern w:val="0"/>
          <w:highlight w:val="none"/>
        </w:rPr>
      </w:pPr>
      <w:r>
        <w:rPr>
          <w:rFonts w:hint="eastAsia" w:ascii="宋体" w:hAnsi="宋体" w:eastAsia="宋体" w:cs="宋体"/>
          <w:color w:val="auto"/>
          <w:kern w:val="0"/>
          <w:highlight w:val="none"/>
        </w:rPr>
        <w:t>2.招标概况与范围</w:t>
      </w:r>
    </w:p>
    <w:p w14:paraId="3FFD9790">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 xml:space="preserve">2.1 </w:t>
      </w:r>
      <w:r>
        <w:rPr>
          <w:rFonts w:hint="eastAsia" w:ascii="宋体" w:eastAsia="宋体" w:cs="宋体"/>
          <w:color w:val="auto"/>
          <w:kern w:val="0"/>
          <w:highlight w:val="none"/>
        </w:rPr>
        <w:t>招标货物名称及数量</w:t>
      </w:r>
    </w:p>
    <w:tbl>
      <w:tblPr>
        <w:tblStyle w:val="3"/>
        <w:tblW w:w="5090" w:type="pct"/>
        <w:tblInd w:w="49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646"/>
        <w:gridCol w:w="2683"/>
        <w:gridCol w:w="1714"/>
        <w:gridCol w:w="2632"/>
      </w:tblGrid>
      <w:tr w14:paraId="541F8E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1670" w:type="dxa"/>
            <w:tcBorders>
              <w:bottom w:val="single" w:color="auto" w:sz="12" w:space="0"/>
            </w:tcBorders>
            <w:vAlign w:val="center"/>
          </w:tcPr>
          <w:p w14:paraId="3EC2DC21">
            <w:pPr>
              <w:spacing w:line="380" w:lineRule="exact"/>
              <w:jc w:val="center"/>
              <w:rPr>
                <w:rFonts w:ascii="宋体" w:eastAsia="宋体" w:cs="宋体"/>
                <w:color w:val="auto"/>
                <w:kern w:val="0"/>
                <w:highlight w:val="none"/>
              </w:rPr>
            </w:pPr>
            <w:r>
              <w:rPr>
                <w:rFonts w:hint="eastAsia" w:ascii="宋体" w:eastAsia="宋体" w:cs="宋体"/>
                <w:color w:val="auto"/>
                <w:kern w:val="0"/>
                <w:highlight w:val="none"/>
              </w:rPr>
              <w:t>项目名称</w:t>
            </w:r>
          </w:p>
        </w:tc>
        <w:tc>
          <w:tcPr>
            <w:tcW w:w="2721" w:type="dxa"/>
            <w:tcBorders>
              <w:bottom w:val="single" w:color="auto" w:sz="12" w:space="0"/>
            </w:tcBorders>
            <w:vAlign w:val="center"/>
          </w:tcPr>
          <w:p w14:paraId="392F7D8A">
            <w:pPr>
              <w:spacing w:line="380" w:lineRule="exact"/>
              <w:jc w:val="center"/>
              <w:rPr>
                <w:rFonts w:ascii="宋体" w:eastAsia="宋体" w:cs="宋体"/>
                <w:color w:val="auto"/>
                <w:kern w:val="0"/>
                <w:highlight w:val="none"/>
              </w:rPr>
            </w:pPr>
            <w:r>
              <w:rPr>
                <w:rFonts w:hint="eastAsia" w:ascii="宋体" w:eastAsia="宋体" w:cs="宋体"/>
                <w:color w:val="auto"/>
                <w:kern w:val="0"/>
                <w:highlight w:val="none"/>
              </w:rPr>
              <w:t>技术要求</w:t>
            </w:r>
          </w:p>
        </w:tc>
        <w:tc>
          <w:tcPr>
            <w:tcW w:w="1734" w:type="dxa"/>
            <w:tcBorders>
              <w:bottom w:val="single" w:color="auto" w:sz="12" w:space="0"/>
            </w:tcBorders>
            <w:vAlign w:val="center"/>
          </w:tcPr>
          <w:p w14:paraId="20E0A8CF">
            <w:pPr>
              <w:spacing w:line="380" w:lineRule="exact"/>
              <w:jc w:val="center"/>
              <w:rPr>
                <w:rFonts w:ascii="宋体" w:eastAsia="宋体" w:cs="宋体"/>
                <w:color w:val="auto"/>
                <w:kern w:val="0"/>
                <w:highlight w:val="none"/>
              </w:rPr>
            </w:pPr>
            <w:r>
              <w:rPr>
                <w:rFonts w:hint="eastAsia" w:ascii="宋体" w:eastAsia="宋体" w:cs="宋体"/>
                <w:color w:val="auto"/>
                <w:kern w:val="0"/>
                <w:highlight w:val="none"/>
              </w:rPr>
              <w:t>交货期</w:t>
            </w:r>
          </w:p>
        </w:tc>
        <w:tc>
          <w:tcPr>
            <w:tcW w:w="2673" w:type="dxa"/>
            <w:tcBorders>
              <w:bottom w:val="single" w:color="auto" w:sz="12" w:space="0"/>
            </w:tcBorders>
            <w:vAlign w:val="center"/>
          </w:tcPr>
          <w:p w14:paraId="0EE02FC8">
            <w:pPr>
              <w:spacing w:line="380" w:lineRule="exact"/>
              <w:jc w:val="center"/>
              <w:rPr>
                <w:rFonts w:ascii="宋体" w:eastAsia="宋体" w:cs="宋体"/>
                <w:color w:val="auto"/>
                <w:kern w:val="0"/>
                <w:highlight w:val="none"/>
              </w:rPr>
            </w:pPr>
            <w:r>
              <w:rPr>
                <w:rFonts w:hint="eastAsia" w:ascii="宋体" w:eastAsia="宋体" w:cs="宋体"/>
                <w:color w:val="auto"/>
                <w:kern w:val="0"/>
                <w:highlight w:val="none"/>
              </w:rPr>
              <w:t>交货地点</w:t>
            </w:r>
          </w:p>
        </w:tc>
      </w:tr>
      <w:tr w14:paraId="6489EA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49" w:hRule="atLeast"/>
        </w:trPr>
        <w:tc>
          <w:tcPr>
            <w:tcW w:w="1670" w:type="dxa"/>
            <w:tcBorders>
              <w:top w:val="single" w:color="auto" w:sz="12" w:space="0"/>
            </w:tcBorders>
            <w:vAlign w:val="center"/>
          </w:tcPr>
          <w:p w14:paraId="03BED870">
            <w:pPr>
              <w:spacing w:line="380" w:lineRule="exact"/>
              <w:rPr>
                <w:rFonts w:ascii="宋体" w:eastAsia="宋体" w:cs="宋体"/>
                <w:color w:val="auto"/>
                <w:highlight w:val="none"/>
              </w:rPr>
            </w:pPr>
            <w:r>
              <w:rPr>
                <w:rFonts w:hint="eastAsia" w:ascii="宋体" w:eastAsia="宋体" w:cs="宋体"/>
                <w:color w:val="auto"/>
                <w:highlight w:val="none"/>
              </w:rPr>
              <w:t>TC等系统优化与集成</w:t>
            </w:r>
          </w:p>
        </w:tc>
        <w:tc>
          <w:tcPr>
            <w:tcW w:w="2721" w:type="dxa"/>
            <w:tcBorders>
              <w:top w:val="single" w:color="auto" w:sz="12" w:space="0"/>
            </w:tcBorders>
            <w:vAlign w:val="center"/>
          </w:tcPr>
          <w:p w14:paraId="59AB9A8E">
            <w:pPr>
              <w:spacing w:line="380" w:lineRule="exact"/>
              <w:rPr>
                <w:rFonts w:ascii="宋体" w:eastAsia="宋体" w:cs="宋体"/>
                <w:color w:val="auto"/>
                <w:kern w:val="0"/>
                <w:highlight w:val="none"/>
              </w:rPr>
            </w:pPr>
            <w:r>
              <w:rPr>
                <w:rFonts w:hint="eastAsia" w:ascii="宋体" w:eastAsia="宋体" w:cs="宋体"/>
                <w:color w:val="auto"/>
                <w:kern w:val="0"/>
                <w:highlight w:val="none"/>
              </w:rPr>
              <w:t>详见第五章《技术标准和要求》</w:t>
            </w:r>
          </w:p>
        </w:tc>
        <w:tc>
          <w:tcPr>
            <w:tcW w:w="1734" w:type="dxa"/>
            <w:tcBorders>
              <w:top w:val="single" w:color="auto" w:sz="12" w:space="0"/>
            </w:tcBorders>
            <w:vAlign w:val="center"/>
          </w:tcPr>
          <w:p w14:paraId="65E51FAA">
            <w:pPr>
              <w:spacing w:line="380" w:lineRule="exact"/>
              <w:rPr>
                <w:rFonts w:ascii="宋体" w:eastAsia="宋体" w:cs="宋体"/>
                <w:color w:val="auto"/>
                <w:kern w:val="0"/>
                <w:highlight w:val="none"/>
              </w:rPr>
            </w:pPr>
            <w:r>
              <w:rPr>
                <w:rFonts w:hint="eastAsia" w:ascii="宋体" w:hAnsi="宋体" w:eastAsia="宋体" w:cs="宋体"/>
                <w:color w:val="auto"/>
                <w:kern w:val="0"/>
                <w:highlight w:val="none"/>
              </w:rPr>
              <w:t>7个月内全部项目内容建设，达到验收状态。</w:t>
            </w:r>
          </w:p>
        </w:tc>
        <w:tc>
          <w:tcPr>
            <w:tcW w:w="2673" w:type="dxa"/>
            <w:tcBorders>
              <w:top w:val="single" w:color="auto" w:sz="12" w:space="0"/>
            </w:tcBorders>
            <w:vAlign w:val="center"/>
          </w:tcPr>
          <w:p w14:paraId="50D4DB92">
            <w:pPr>
              <w:spacing w:line="380" w:lineRule="exact"/>
              <w:rPr>
                <w:rFonts w:ascii="宋体" w:eastAsia="宋体" w:cs="宋体"/>
                <w:color w:val="auto"/>
                <w:kern w:val="0"/>
                <w:highlight w:val="none"/>
              </w:rPr>
            </w:pPr>
            <w:r>
              <w:rPr>
                <w:rFonts w:hint="eastAsia" w:ascii="宋体" w:eastAsia="宋体" w:cs="宋体"/>
                <w:color w:val="auto"/>
                <w:kern w:val="0"/>
                <w:highlight w:val="none"/>
              </w:rPr>
              <w:t>四川省绵阳市四川九洲空管科技有限责任公司</w:t>
            </w:r>
          </w:p>
        </w:tc>
      </w:tr>
    </w:tbl>
    <w:p w14:paraId="0FC85872">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2.2 招标方式/招标组织形式：公开招标/委托招标</w:t>
      </w:r>
    </w:p>
    <w:p w14:paraId="5F10C3E6">
      <w:pPr>
        <w:tabs>
          <w:tab w:val="left" w:pos="7980"/>
        </w:tabs>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3.投标人资格条件要求</w:t>
      </w:r>
    </w:p>
    <w:p w14:paraId="4B7DE241">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3.1 具有独立承担民事责任的能力，且在中国大陆（不含港澳台）注册并合法运营；</w:t>
      </w:r>
    </w:p>
    <w:p w14:paraId="4540EC4E">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3.2 具有良好的商业信誉和健全的财务会计制度；</w:t>
      </w:r>
    </w:p>
    <w:p w14:paraId="253C0B03">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3.3 具有履行合同所必需的设备和专业技术能力；</w:t>
      </w:r>
    </w:p>
    <w:p w14:paraId="26EADE3E">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3.4 具有依法缴纳税收和社会保障资金的良好记录；</w:t>
      </w:r>
    </w:p>
    <w:p w14:paraId="62BEC5E4">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3.5 参加招标活动前三年内，在经营活动中没有重大违法记录；</w:t>
      </w:r>
    </w:p>
    <w:p w14:paraId="3BFCF1BD">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3.6 法律、行政法规规定的其他条件；</w:t>
      </w:r>
    </w:p>
    <w:p w14:paraId="7A527C36">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3.7 根据项目特殊要求设置的特定条件：</w:t>
      </w:r>
    </w:p>
    <w:p w14:paraId="62DD73F4">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w:t>
      </w:r>
      <w:r>
        <w:rPr>
          <w:rFonts w:ascii="宋体" w:hAnsi="宋体" w:eastAsia="宋体" w:cs="宋体"/>
          <w:color w:val="auto"/>
          <w:kern w:val="0"/>
          <w:highlight w:val="none"/>
        </w:rPr>
        <w:t>1</w:t>
      </w:r>
      <w:r>
        <w:rPr>
          <w:rFonts w:hint="eastAsia" w:ascii="宋体" w:hAnsi="宋体" w:eastAsia="宋体" w:cs="宋体"/>
          <w:color w:val="auto"/>
          <w:kern w:val="0"/>
          <w:highlight w:val="none"/>
        </w:rPr>
        <w:t>）法定代表人为中华人民共和国国籍，未拥有境外永久居留权（含港澳台）；</w:t>
      </w:r>
    </w:p>
    <w:p w14:paraId="1DC7BD83">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w:t>
      </w:r>
      <w:r>
        <w:rPr>
          <w:rFonts w:ascii="宋体" w:hAnsi="宋体" w:eastAsia="宋体" w:cs="宋体"/>
          <w:color w:val="auto"/>
          <w:kern w:val="0"/>
          <w:highlight w:val="none"/>
        </w:rPr>
        <w:t>2</w:t>
      </w:r>
      <w:r>
        <w:rPr>
          <w:rFonts w:hint="eastAsia" w:ascii="宋体" w:hAnsi="宋体" w:eastAsia="宋体" w:cs="宋体"/>
          <w:color w:val="auto"/>
          <w:kern w:val="0"/>
          <w:highlight w:val="none"/>
        </w:rPr>
        <w:t>）投标人和法定代表人近三年无行贿犯罪记录；</w:t>
      </w:r>
    </w:p>
    <w:p w14:paraId="18E5B324">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w:t>
      </w:r>
      <w:r>
        <w:rPr>
          <w:rFonts w:ascii="宋体" w:hAnsi="宋体" w:eastAsia="宋体" w:cs="宋体"/>
          <w:color w:val="auto"/>
          <w:kern w:val="0"/>
          <w:highlight w:val="none"/>
        </w:rPr>
        <w:t>3</w:t>
      </w:r>
      <w:r>
        <w:rPr>
          <w:rFonts w:hint="eastAsia" w:ascii="宋体" w:hAnsi="宋体" w:eastAsia="宋体" w:cs="宋体"/>
          <w:color w:val="auto"/>
          <w:kern w:val="0"/>
          <w:highlight w:val="none"/>
        </w:rPr>
        <w:t>）投标人未被“信用中国”或“中国执行信息公开网”网站列入失信被执行人名单；</w:t>
      </w:r>
    </w:p>
    <w:p w14:paraId="1915FA67">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3.8 本项目不接受联合体投标。</w:t>
      </w:r>
    </w:p>
    <w:p w14:paraId="1F1C1213">
      <w:pPr>
        <w:spacing w:line="38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4.招标文件获取方式、时间、地点：</w:t>
      </w:r>
    </w:p>
    <w:p w14:paraId="2566D3CB">
      <w:pPr>
        <w:spacing w:line="38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招标文件自2026年</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月</w:t>
      </w:r>
      <w:r>
        <w:rPr>
          <w:rFonts w:hint="eastAsia" w:ascii="宋体" w:hAnsi="宋体" w:eastAsia="宋体" w:cs="宋体"/>
          <w:color w:val="auto"/>
          <w:highlight w:val="none"/>
          <w:lang w:val="en-US" w:eastAsia="zh-CN"/>
        </w:rPr>
        <w:t>9</w:t>
      </w:r>
      <w:r>
        <w:rPr>
          <w:rFonts w:hint="eastAsia" w:ascii="宋体" w:hAnsi="宋体" w:eastAsia="宋体" w:cs="宋体"/>
          <w:color w:val="auto"/>
          <w:highlight w:val="none"/>
        </w:rPr>
        <w:t>日至2026年</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月</w:t>
      </w:r>
      <w:r>
        <w:rPr>
          <w:rFonts w:hint="eastAsia" w:ascii="宋体" w:hAnsi="宋体" w:eastAsia="宋体" w:cs="宋体"/>
          <w:color w:val="auto"/>
          <w:highlight w:val="none"/>
          <w:lang w:val="en-US" w:eastAsia="zh-CN"/>
        </w:rPr>
        <w:t>14</w:t>
      </w:r>
      <w:r>
        <w:rPr>
          <w:rFonts w:hint="eastAsia" w:ascii="宋体" w:hAnsi="宋体" w:eastAsia="宋体" w:cs="宋体"/>
          <w:color w:val="auto"/>
          <w:highlight w:val="none"/>
        </w:rPr>
        <w:t>日09:00-17:00（北京时间）在</w:t>
      </w:r>
      <w:r>
        <w:rPr>
          <w:rFonts w:hint="eastAsia" w:ascii="宋体" w:hAnsi="宋体" w:eastAsia="宋体" w:cs="宋体"/>
          <w:color w:val="auto"/>
          <w:highlight w:val="none"/>
          <w:u w:val="single"/>
        </w:rPr>
        <w:t>四川国锃招标代理有限公司（绵阳市科创园区科技路5号二楼）</w:t>
      </w:r>
      <w:r>
        <w:rPr>
          <w:rFonts w:hint="eastAsia" w:ascii="宋体" w:hAnsi="宋体" w:eastAsia="宋体" w:cs="宋体"/>
          <w:color w:val="auto"/>
          <w:highlight w:val="none"/>
        </w:rPr>
        <w:t>获取。</w:t>
      </w:r>
    </w:p>
    <w:p w14:paraId="7B17379D">
      <w:pPr>
        <w:spacing w:line="38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本项目招标文件有偿获取，招标文件售价：人民币300.00元/份（招标文件售后不退, 投标资格不能转让）。</w:t>
      </w:r>
    </w:p>
    <w:p w14:paraId="4FD38FF7">
      <w:pPr>
        <w:adjustRightInd w:val="0"/>
        <w:snapToGrid w:val="0"/>
        <w:spacing w:line="380" w:lineRule="exact"/>
        <w:ind w:firstLine="420" w:firstLineChars="200"/>
        <w:rPr>
          <w:rFonts w:ascii="宋体" w:hAnsi="宋体" w:eastAsia="宋体" w:cs="宋体"/>
          <w:color w:val="auto"/>
          <w:kern w:val="0"/>
          <w:highlight w:val="none"/>
        </w:rPr>
      </w:pPr>
      <w:r>
        <w:rPr>
          <w:rFonts w:hint="eastAsia" w:ascii="宋体" w:hAnsi="宋体" w:eastAsia="宋体" w:cs="宋体"/>
          <w:color w:val="auto"/>
          <w:kern w:val="0"/>
          <w:highlight w:val="none"/>
        </w:rPr>
        <w:t>投标人根据自身实际情况，可任意选择以下方式进行报名：</w:t>
      </w:r>
    </w:p>
    <w:p w14:paraId="16950044">
      <w:pPr>
        <w:spacing w:line="380" w:lineRule="exact"/>
        <w:ind w:firstLine="420" w:firstLineChars="200"/>
        <w:rPr>
          <w:rFonts w:ascii="宋体" w:hAnsi="宋体" w:eastAsia="宋体" w:cs="宋体"/>
          <w:color w:val="auto"/>
          <w:kern w:val="0"/>
          <w:highlight w:val="none"/>
        </w:rPr>
      </w:pPr>
      <w:r>
        <w:rPr>
          <w:rFonts w:hint="eastAsia" w:ascii="宋体" w:hAnsi="宋体" w:eastAsia="宋体" w:cs="宋体"/>
          <w:color w:val="auto"/>
          <w:kern w:val="0"/>
          <w:highlight w:val="none"/>
        </w:rPr>
        <w:t>①现场报名：投标人须提交“报名申请表”及相关附件（“报名申请表”请投标人在招标公告附件中自行下载）。</w:t>
      </w:r>
    </w:p>
    <w:p w14:paraId="5F404F8A">
      <w:pPr>
        <w:spacing w:line="380" w:lineRule="exact"/>
        <w:ind w:firstLine="420" w:firstLineChars="200"/>
        <w:rPr>
          <w:rFonts w:ascii="宋体" w:hAnsi="宋体" w:eastAsia="宋体" w:cs="宋体"/>
          <w:color w:val="auto"/>
          <w:highlight w:val="none"/>
        </w:rPr>
      </w:pPr>
      <w:r>
        <w:rPr>
          <w:rFonts w:hint="eastAsia" w:ascii="宋体" w:hAnsi="宋体" w:eastAsia="宋体" w:cs="宋体"/>
          <w:color w:val="auto"/>
          <w:kern w:val="0"/>
          <w:highlight w:val="none"/>
        </w:rPr>
        <w:t>②网上报名：投标人登录四川国锃招标代理有限公司网站（https://www.scgzzb.cn/)获取，具体获取流程详见该网站下载中心的“四川国锃招投标系统投标人使用手册”。</w:t>
      </w:r>
    </w:p>
    <w:p w14:paraId="1CAEAB33">
      <w:pPr>
        <w:spacing w:line="38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5.投标截止时间和开标时间：2026年</w:t>
      </w:r>
      <w:r>
        <w:rPr>
          <w:rFonts w:ascii="宋体" w:hAnsi="宋体" w:eastAsia="宋体" w:cs="宋体"/>
          <w:color w:val="auto"/>
          <w:highlight w:val="none"/>
        </w:rPr>
        <w:t>4</w:t>
      </w:r>
      <w:r>
        <w:rPr>
          <w:rFonts w:hint="eastAsia" w:ascii="宋体" w:hAnsi="宋体" w:eastAsia="宋体" w:cs="宋体"/>
          <w:color w:val="auto"/>
          <w:highlight w:val="none"/>
        </w:rPr>
        <w:t>月</w:t>
      </w:r>
      <w:r>
        <w:rPr>
          <w:rFonts w:ascii="宋体" w:hAnsi="宋体" w:eastAsia="宋体" w:cs="宋体"/>
          <w:color w:val="auto"/>
          <w:highlight w:val="none"/>
        </w:rPr>
        <w:t>23</w:t>
      </w:r>
      <w:r>
        <w:rPr>
          <w:rFonts w:hint="eastAsia" w:ascii="宋体" w:hAnsi="宋体" w:eastAsia="宋体" w:cs="宋体"/>
          <w:color w:val="auto"/>
          <w:highlight w:val="none"/>
        </w:rPr>
        <w:t xml:space="preserve">日09时30分（北京时间）。   </w:t>
      </w:r>
    </w:p>
    <w:p w14:paraId="202825E8">
      <w:pPr>
        <w:spacing w:line="38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投标文件必须在递交投标文件截止时间前送达开标地点。逾期送达、密封和标注错误的投标文件，四川国锃招标代理有限公司恕不接收。本次招标不接收邮寄的投标文件。</w:t>
      </w:r>
    </w:p>
    <w:p w14:paraId="2E46D142">
      <w:pPr>
        <w:spacing w:line="38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6.开标地点：</w:t>
      </w:r>
      <w:r>
        <w:rPr>
          <w:rFonts w:hint="eastAsia" w:ascii="宋体" w:hAnsi="宋体" w:eastAsia="宋体" w:cs="宋体"/>
          <w:color w:val="auto"/>
          <w:highlight w:val="none"/>
          <w:u w:val="single"/>
        </w:rPr>
        <w:t>四川国锃招标代理有限公司开标室（绵阳市科创园区科技路5号二楼）</w:t>
      </w:r>
      <w:r>
        <w:rPr>
          <w:rFonts w:hint="eastAsia" w:ascii="宋体" w:hAnsi="宋体" w:eastAsia="宋体" w:cs="宋体"/>
          <w:color w:val="auto"/>
          <w:highlight w:val="none"/>
        </w:rPr>
        <w:t>。</w:t>
      </w:r>
    </w:p>
    <w:p w14:paraId="0AE4E674">
      <w:pPr>
        <w:spacing w:line="38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7.本投标邀请在</w:t>
      </w:r>
      <w:r>
        <w:rPr>
          <w:rFonts w:hint="eastAsia" w:ascii="宋体" w:hAnsi="宋体" w:eastAsia="宋体" w:cs="宋体"/>
          <w:color w:val="auto"/>
          <w:highlight w:val="none"/>
          <w:u w:val="single"/>
        </w:rPr>
        <w:t>四川九洲投资控股集团有限公司官网（https://www.jezetek.cc/）和中国招标采购信息网（http://www.sczbcg.com/index.html）</w:t>
      </w:r>
      <w:r>
        <w:rPr>
          <w:rFonts w:hint="eastAsia" w:ascii="宋体" w:hAnsi="宋体" w:eastAsia="宋体" w:cs="宋体"/>
          <w:color w:val="auto"/>
          <w:highlight w:val="none"/>
        </w:rPr>
        <w:t>上以公告形式发布。</w:t>
      </w:r>
    </w:p>
    <w:p w14:paraId="6349E271">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8.联系方式</w:t>
      </w:r>
    </w:p>
    <w:p w14:paraId="24640BAF">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招  标  人：四川九洲空管科技有限责任公司</w:t>
      </w:r>
    </w:p>
    <w:p w14:paraId="5DC06FE0">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地      址：四川省绵阳市科创园区九华路6号</w:t>
      </w:r>
    </w:p>
    <w:p w14:paraId="420AA024">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联  系  人：王女士（商务）0816-2469314</w:t>
      </w:r>
    </w:p>
    <w:p w14:paraId="492C3FF2">
      <w:pPr>
        <w:autoSpaceDE w:val="0"/>
        <w:autoSpaceDN w:val="0"/>
        <w:adjustRightInd w:val="0"/>
        <w:snapToGrid w:val="0"/>
        <w:spacing w:line="380" w:lineRule="exact"/>
        <w:ind w:firstLine="1680" w:firstLineChars="800"/>
        <w:jc w:val="left"/>
        <w:rPr>
          <w:rFonts w:ascii="宋体" w:hAnsi="宋体" w:eastAsia="宋体" w:cs="宋体"/>
          <w:color w:val="auto"/>
          <w:kern w:val="0"/>
          <w:highlight w:val="none"/>
        </w:rPr>
      </w:pPr>
      <w:r>
        <w:rPr>
          <w:rFonts w:hint="eastAsia" w:ascii="宋体" w:hAnsi="宋体" w:eastAsia="宋体" w:cs="宋体"/>
          <w:color w:val="auto"/>
          <w:kern w:val="0"/>
          <w:highlight w:val="none"/>
        </w:rPr>
        <w:t>何先生（技术）18608090376X</w:t>
      </w:r>
    </w:p>
    <w:p w14:paraId="6B4B2582">
      <w:pPr>
        <w:pStyle w:val="2"/>
        <w:numPr>
          <w:ilvl w:val="255"/>
          <w:numId w:val="0"/>
        </w:numPr>
        <w:ind w:left="420" w:leftChars="200"/>
        <w:rPr>
          <w:color w:val="auto"/>
          <w:highlight w:val="none"/>
        </w:rPr>
      </w:pPr>
      <w:r>
        <w:rPr>
          <w:rFonts w:hint="eastAsia" w:ascii="宋体" w:hAnsi="宋体" w:cs="宋体"/>
          <w:color w:val="auto"/>
          <w:kern w:val="0"/>
          <w:highlight w:val="none"/>
        </w:rPr>
        <w:t xml:space="preserve">         </w:t>
      </w:r>
    </w:p>
    <w:p w14:paraId="070FAA55">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p>
    <w:p w14:paraId="2620D3FE">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招标代理机构：四川国锃招标代理有限公司</w:t>
      </w:r>
    </w:p>
    <w:p w14:paraId="1280C72C">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地        址：绵阳市科创园区科技路5号二楼</w:t>
      </w:r>
    </w:p>
    <w:p w14:paraId="1655D4F6">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邮        编：621000</w:t>
      </w:r>
    </w:p>
    <w:p w14:paraId="6D0ED713">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联   系   人：陈  华 0816-2351166（报名咨询）</w:t>
      </w:r>
    </w:p>
    <w:p w14:paraId="0B8804F2">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 xml:space="preserve">              袁  月 18009050628（项目咨询）</w:t>
      </w:r>
    </w:p>
    <w:p w14:paraId="75BF8504">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p>
    <w:p w14:paraId="5F7F7585">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p>
    <w:p w14:paraId="5A3ADE45">
      <w:pPr>
        <w:autoSpaceDE w:val="0"/>
        <w:autoSpaceDN w:val="0"/>
        <w:adjustRightInd w:val="0"/>
        <w:snapToGrid w:val="0"/>
        <w:spacing w:line="380" w:lineRule="exact"/>
        <w:ind w:firstLine="5460" w:firstLineChars="2600"/>
        <w:jc w:val="left"/>
        <w:rPr>
          <w:rFonts w:ascii="宋体" w:hAnsi="宋体" w:eastAsia="宋体" w:cs="宋体"/>
          <w:color w:val="auto"/>
          <w:kern w:val="0"/>
          <w:highlight w:val="none"/>
        </w:rPr>
      </w:pPr>
      <w:r>
        <w:rPr>
          <w:rFonts w:hint="eastAsia" w:ascii="宋体" w:hAnsi="宋体" w:eastAsia="宋体" w:cs="宋体"/>
          <w:color w:val="auto"/>
          <w:kern w:val="0"/>
          <w:highlight w:val="none"/>
        </w:rPr>
        <w:t xml:space="preserve"> </w:t>
      </w:r>
    </w:p>
    <w:p w14:paraId="4382ED7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modern"/>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670E85"/>
    <w:multiLevelType w:val="multilevel"/>
    <w:tmpl w:val="59670E85"/>
    <w:lvl w:ilvl="0" w:tentative="0">
      <w:start w:val="1"/>
      <w:numFmt w:val="decimal"/>
      <w:lvlText w:val="%1"/>
      <w:lvlJc w:val="left"/>
      <w:pPr>
        <w:tabs>
          <w:tab w:val="left" w:pos="360"/>
        </w:tabs>
        <w:ind w:left="360" w:hanging="360"/>
      </w:pPr>
      <w:rPr>
        <w:rFonts w:hint="eastAsia"/>
      </w:rPr>
    </w:lvl>
    <w:lvl w:ilvl="1" w:tentative="0">
      <w:start w:val="1"/>
      <w:numFmt w:val="decimal"/>
      <w:isLgl/>
      <w:lvlText w:val="%1.%2"/>
      <w:lvlJc w:val="left"/>
      <w:pPr>
        <w:tabs>
          <w:tab w:val="left" w:pos="360"/>
        </w:tabs>
        <w:ind w:left="360" w:hanging="360"/>
      </w:pPr>
      <w:rPr>
        <w:rFonts w:hint="default"/>
      </w:rPr>
    </w:lvl>
    <w:lvl w:ilvl="2" w:tentative="0">
      <w:start w:val="1"/>
      <w:numFmt w:val="decimal"/>
      <w:isLgl/>
      <w:lvlText w:val="%1.%2.%3"/>
      <w:lvlJc w:val="left"/>
      <w:pPr>
        <w:tabs>
          <w:tab w:val="left" w:pos="720"/>
        </w:tabs>
        <w:ind w:left="720" w:hanging="720"/>
      </w:pPr>
      <w:rPr>
        <w:rFonts w:hint="default"/>
      </w:rPr>
    </w:lvl>
    <w:lvl w:ilvl="3" w:tentative="0">
      <w:start w:val="1"/>
      <w:numFmt w:val="decimal"/>
      <w:isLgl/>
      <w:lvlText w:val="%1.%2.%3.%4"/>
      <w:lvlJc w:val="left"/>
      <w:pPr>
        <w:tabs>
          <w:tab w:val="left" w:pos="1080"/>
        </w:tabs>
        <w:ind w:left="1080" w:hanging="1080"/>
      </w:pPr>
      <w:rPr>
        <w:rFonts w:hint="default"/>
      </w:rPr>
    </w:lvl>
    <w:lvl w:ilvl="4" w:tentative="0">
      <w:start w:val="1"/>
      <w:numFmt w:val="decimal"/>
      <w:isLgl/>
      <w:lvlText w:val="%1.%2.%3.%4.%5"/>
      <w:lvlJc w:val="left"/>
      <w:pPr>
        <w:tabs>
          <w:tab w:val="left" w:pos="1080"/>
        </w:tabs>
        <w:ind w:left="1080" w:hanging="1080"/>
      </w:pPr>
      <w:rPr>
        <w:rFonts w:hint="default"/>
      </w:rPr>
    </w:lvl>
    <w:lvl w:ilvl="5" w:tentative="0">
      <w:start w:val="1"/>
      <w:numFmt w:val="decimal"/>
      <w:isLgl/>
      <w:lvlText w:val="%1.%2.%3.%4.%5.%6"/>
      <w:lvlJc w:val="left"/>
      <w:pPr>
        <w:tabs>
          <w:tab w:val="left" w:pos="1440"/>
        </w:tabs>
        <w:ind w:left="1440" w:hanging="1440"/>
      </w:pPr>
      <w:rPr>
        <w:rFonts w:hint="default"/>
      </w:rPr>
    </w:lvl>
    <w:lvl w:ilvl="6" w:tentative="0">
      <w:start w:val="1"/>
      <w:numFmt w:val="decimal"/>
      <w:isLgl/>
      <w:lvlText w:val="%1.%2.%3.%4.%5.%6.%7"/>
      <w:lvlJc w:val="left"/>
      <w:pPr>
        <w:tabs>
          <w:tab w:val="left" w:pos="1440"/>
        </w:tabs>
        <w:ind w:left="1440" w:hanging="1440"/>
      </w:pPr>
      <w:rPr>
        <w:rFonts w:hint="default"/>
      </w:rPr>
    </w:lvl>
    <w:lvl w:ilvl="7" w:tentative="0">
      <w:start w:val="1"/>
      <w:numFmt w:val="decimal"/>
      <w:isLgl/>
      <w:lvlText w:val="%1.%2.%3.%4.%5.%6.%7.%8"/>
      <w:lvlJc w:val="left"/>
      <w:pPr>
        <w:tabs>
          <w:tab w:val="left" w:pos="1800"/>
        </w:tabs>
        <w:ind w:left="1800" w:hanging="1800"/>
      </w:pPr>
      <w:rPr>
        <w:rFonts w:hint="default"/>
      </w:rPr>
    </w:lvl>
    <w:lvl w:ilvl="8" w:tentative="0">
      <w:start w:val="1"/>
      <w:numFmt w:val="decimal"/>
      <w:pStyle w:val="2"/>
      <w:isLgl/>
      <w:lvlText w:val="%1.%2.%3.%4.%5.%6.%7.%8.%9"/>
      <w:lvlJc w:val="left"/>
      <w:pPr>
        <w:tabs>
          <w:tab w:val="left" w:pos="2160"/>
        </w:tabs>
        <w:ind w:left="216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6C573A3"/>
    <w:rsid w:val="56C573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MS Gothic" w:cs="MS Gothic"/>
      <w:kern w:val="2"/>
      <w:sz w:val="21"/>
      <w:szCs w:val="21"/>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Indent 2"/>
    <w:basedOn w:val="1"/>
    <w:qFormat/>
    <w:uiPriority w:val="0"/>
    <w:pPr>
      <w:numPr>
        <w:ilvl w:val="8"/>
        <w:numId w:val="1"/>
      </w:numPr>
      <w:tabs>
        <w:tab w:val="clear" w:pos="2160"/>
      </w:tabs>
      <w:adjustRightInd w:val="0"/>
      <w:snapToGrid w:val="0"/>
      <w:spacing w:line="348" w:lineRule="auto"/>
      <w:ind w:left="0" w:firstLine="560" w:firstLineChars="200"/>
    </w:pPr>
    <w:rPr>
      <w:rFonts w:eastAsia="宋体" w:cs="Times New Roman"/>
      <w:sz w:val="28"/>
      <w:szCs w:val="20"/>
    </w:rPr>
  </w:style>
  <w:style w:type="paragraph" w:styleId="5">
    <w:name w:val="List Paragraph"/>
    <w:basedOn w:val="1"/>
    <w:qFormat/>
    <w:uiPriority w:val="0"/>
    <w:pPr>
      <w:ind w:firstLine="420" w:firstLineChars="200"/>
    </w:pPr>
    <w:rPr>
      <w:rFonts w:eastAsia="宋体" w:cs="Times New Roman"/>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2026-04-07T04:42:00Z</dcterms:created>
  <dc:creator>王淇</dc:creator>
  <cp:lastModifiedBy>王淇</cp:lastModifiedBy>
  <dcterms:modified xsi:type="dcterms:W3CDTF">2026-04-07T04:42:58Z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D20AF42BA3024A8EA54FD08BC3D96DE2_11</vt:lpwstr>
  </property>
  <property fmtid="{D5CDD505-2E9C-101B-9397-08002B2CF9AE}" pid="4" name="KSOTemplateDocerSaveRecord">
    <vt:lpwstr>eyJoZGlkIjoiMTBiYWQ0Njk5ZTY3OTIzODQyZjY2MGM2NDczMzA5MGUiLCJ1c2VySWQiOiI3MDczOTYyMzIifQ==</vt:lpwstr>
  </property>
</Properties>
</file>