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8AE06">
      <w:pPr>
        <w:pStyle w:val="19"/>
        <w:adjustRightInd w:val="0"/>
        <w:snapToGrid w:val="0"/>
        <w:ind w:left="0"/>
        <w:contextualSpacing w:val="0"/>
        <w:jc w:val="center"/>
        <w:rPr>
          <w:rFonts w:ascii="仿宋_GB2312" w:eastAsia="仿宋_GB2312" w:cs="仿宋_GB2312"/>
          <w:b/>
          <w:bCs/>
          <w:sz w:val="44"/>
          <w:szCs w:val="44"/>
          <w:lang w:bidi="ar"/>
        </w:rPr>
      </w:pPr>
      <w:r>
        <w:rPr>
          <w:rFonts w:hint="eastAsia" w:ascii="仿宋_GB2312" w:eastAsia="仿宋_GB2312" w:cs="仿宋_GB2312"/>
          <w:b/>
          <w:bCs/>
          <w:sz w:val="44"/>
          <w:szCs w:val="44"/>
          <w:lang w:eastAsia="zh-CN" w:bidi="ar"/>
        </w:rPr>
        <w:t>制造执行系统（MES）</w:t>
      </w:r>
      <w:r>
        <w:rPr>
          <w:rFonts w:hint="eastAsia" w:ascii="仿宋_GB2312" w:eastAsia="仿宋_GB2312" w:cs="仿宋_GB2312"/>
          <w:b/>
          <w:bCs/>
          <w:sz w:val="44"/>
          <w:szCs w:val="44"/>
          <w:lang w:bidi="ar"/>
        </w:rPr>
        <w:t>技术要求</w:t>
      </w:r>
    </w:p>
    <w:p w14:paraId="1A29257C">
      <w:pPr>
        <w:pStyle w:val="19"/>
        <w:adjustRightInd w:val="0"/>
        <w:snapToGrid w:val="0"/>
        <w:ind w:left="0"/>
        <w:contextualSpacing w:val="0"/>
        <w:jc w:val="center"/>
        <w:rPr>
          <w:rFonts w:ascii="仿宋_GB2312" w:eastAsia="仿宋_GB2312" w:cs="仿宋_GB2312"/>
          <w:b/>
          <w:bCs/>
          <w:sz w:val="44"/>
          <w:szCs w:val="44"/>
          <w:lang w:bidi="ar"/>
        </w:rPr>
      </w:pPr>
    </w:p>
    <w:p w14:paraId="3797CD59">
      <w:pPr>
        <w:pStyle w:val="19"/>
        <w:numPr>
          <w:ilvl w:val="0"/>
          <w:numId w:val="2"/>
        </w:numPr>
        <w:adjustRightInd w:val="0"/>
        <w:snapToGrid w:val="0"/>
        <w:spacing w:line="560" w:lineRule="exact"/>
        <w:contextualSpacing w:val="0"/>
        <w:outlineLvl w:val="0"/>
        <w:rPr>
          <w:rFonts w:ascii="仿宋_GB2312" w:eastAsia="仿宋_GB2312" w:cs="仿宋_GB2312"/>
          <w:sz w:val="32"/>
          <w:szCs w:val="32"/>
          <w:lang w:bidi="ar"/>
        </w:rPr>
      </w:pPr>
      <w:r>
        <w:rPr>
          <w:rFonts w:hint="eastAsia" w:ascii="仿宋_GB2312" w:eastAsia="仿宋_GB2312" w:cs="仿宋_GB2312"/>
          <w:b/>
          <w:bCs/>
          <w:sz w:val="32"/>
          <w:szCs w:val="32"/>
          <w:lang w:bidi="ar"/>
        </w:rPr>
        <w:t>设备名称：</w:t>
      </w:r>
      <w:r>
        <w:rPr>
          <w:rFonts w:hint="eastAsia" w:ascii="仿宋_GB2312" w:eastAsia="仿宋_GB2312" w:cs="仿宋_GB2312"/>
          <w:sz w:val="32"/>
          <w:szCs w:val="32"/>
          <w:lang w:eastAsia="zh-CN" w:bidi="ar"/>
        </w:rPr>
        <w:t>制造执行系统（MES）</w:t>
      </w:r>
    </w:p>
    <w:p w14:paraId="525D50DF">
      <w:pPr>
        <w:pStyle w:val="19"/>
        <w:numPr>
          <w:ilvl w:val="0"/>
          <w:numId w:val="2"/>
        </w:numPr>
        <w:adjustRightInd w:val="0"/>
        <w:snapToGrid w:val="0"/>
        <w:spacing w:line="560" w:lineRule="exact"/>
        <w:contextualSpacing w:val="0"/>
        <w:outlineLvl w:val="0"/>
        <w:rPr>
          <w:rFonts w:ascii="仿宋_GB2312" w:eastAsia="仿宋_GB2312" w:cs="仿宋_GB2312"/>
          <w:b/>
          <w:bCs/>
          <w:sz w:val="32"/>
          <w:szCs w:val="32"/>
          <w:lang w:bidi="ar"/>
        </w:rPr>
      </w:pPr>
      <w:r>
        <w:rPr>
          <w:rFonts w:hint="eastAsia" w:ascii="仿宋_GB2312" w:eastAsia="仿宋_GB2312" w:cs="仿宋_GB2312"/>
          <w:b/>
          <w:bCs/>
          <w:sz w:val="32"/>
          <w:szCs w:val="32"/>
          <w:lang w:val="en-US" w:eastAsia="zh-CN" w:bidi="ar"/>
        </w:rPr>
        <w:t>★</w:t>
      </w:r>
      <w:r>
        <w:rPr>
          <w:rFonts w:hint="eastAsia" w:ascii="仿宋_GB2312" w:eastAsia="仿宋_GB2312" w:cs="仿宋_GB2312"/>
          <w:b/>
          <w:bCs/>
          <w:sz w:val="32"/>
          <w:szCs w:val="32"/>
          <w:lang w:bidi="ar"/>
        </w:rPr>
        <w:t>数量：</w:t>
      </w:r>
      <w:r>
        <w:rPr>
          <w:rFonts w:hint="eastAsia" w:ascii="仿宋_GB2312" w:eastAsia="仿宋_GB2312" w:cs="仿宋_GB2312"/>
          <w:sz w:val="32"/>
          <w:szCs w:val="32"/>
          <w:lang w:bidi="ar"/>
        </w:rPr>
        <w:t>1套</w:t>
      </w:r>
    </w:p>
    <w:p w14:paraId="360EF820">
      <w:pPr>
        <w:pStyle w:val="19"/>
        <w:numPr>
          <w:ilvl w:val="0"/>
          <w:numId w:val="2"/>
        </w:numPr>
        <w:adjustRightInd w:val="0"/>
        <w:snapToGrid w:val="0"/>
        <w:spacing w:line="560" w:lineRule="exact"/>
        <w:contextualSpacing w:val="0"/>
        <w:outlineLvl w:val="0"/>
        <w:rPr>
          <w:rFonts w:ascii="仿宋_GB2312" w:eastAsia="仿宋_GB2312" w:cs="仿宋_GB2312"/>
          <w:sz w:val="32"/>
          <w:szCs w:val="32"/>
          <w:lang w:bidi="ar"/>
        </w:rPr>
      </w:pPr>
      <w:r>
        <w:rPr>
          <w:rFonts w:hint="eastAsia" w:ascii="仿宋_GB2312" w:eastAsia="仿宋_GB2312" w:cs="仿宋_GB2312"/>
          <w:b/>
          <w:bCs/>
          <w:sz w:val="32"/>
          <w:szCs w:val="32"/>
          <w:lang w:val="en-US" w:eastAsia="zh-CN" w:bidi="ar"/>
        </w:rPr>
        <w:t>★</w:t>
      </w:r>
      <w:r>
        <w:rPr>
          <w:rFonts w:hint="eastAsia" w:ascii="仿宋_GB2312" w:eastAsia="仿宋_GB2312" w:cs="仿宋_GB2312"/>
          <w:b/>
          <w:bCs/>
          <w:sz w:val="32"/>
          <w:szCs w:val="32"/>
          <w:lang w:bidi="ar"/>
        </w:rPr>
        <w:t>交货期</w:t>
      </w:r>
      <w:bookmarkStart w:id="12" w:name="_GoBack"/>
      <w:bookmarkEnd w:id="12"/>
      <w:r>
        <w:rPr>
          <w:rFonts w:hint="eastAsia" w:ascii="仿宋_GB2312" w:eastAsia="仿宋_GB2312" w:cs="仿宋_GB2312"/>
          <w:b/>
          <w:bCs/>
          <w:sz w:val="32"/>
          <w:szCs w:val="32"/>
          <w:lang w:bidi="ar"/>
        </w:rPr>
        <w:t>：</w:t>
      </w:r>
      <w:r>
        <w:rPr>
          <w:rFonts w:hint="eastAsia" w:ascii="仿宋_GB2312" w:eastAsia="仿宋_GB2312" w:cs="仿宋_GB2312"/>
          <w:sz w:val="32"/>
          <w:szCs w:val="32"/>
          <w:lang w:bidi="ar"/>
        </w:rPr>
        <w:t>2026年10月上线验收</w:t>
      </w:r>
    </w:p>
    <w:p w14:paraId="0E5C49AC">
      <w:pPr>
        <w:pStyle w:val="19"/>
        <w:numPr>
          <w:ilvl w:val="0"/>
          <w:numId w:val="2"/>
        </w:numPr>
        <w:adjustRightInd w:val="0"/>
        <w:snapToGrid w:val="0"/>
        <w:spacing w:line="560" w:lineRule="exact"/>
        <w:contextualSpacing w:val="0"/>
        <w:outlineLvl w:val="0"/>
        <w:rPr>
          <w:rFonts w:ascii="仿宋_GB2312" w:eastAsia="仿宋_GB2312" w:cs="仿宋_GB2312"/>
          <w:b/>
          <w:bCs/>
          <w:sz w:val="32"/>
          <w:szCs w:val="32"/>
          <w:lang w:bidi="ar"/>
        </w:rPr>
      </w:pPr>
      <w:r>
        <w:rPr>
          <w:rFonts w:hint="eastAsia" w:ascii="仿宋_GB2312" w:eastAsia="仿宋_GB2312" w:cs="仿宋_GB2312"/>
          <w:b/>
          <w:bCs/>
          <w:sz w:val="32"/>
          <w:szCs w:val="32"/>
          <w:lang w:bidi="ar"/>
        </w:rPr>
        <w:t>项目功能描述</w:t>
      </w:r>
    </w:p>
    <w:p w14:paraId="034E580E">
      <w:pPr>
        <w:pStyle w:val="19"/>
        <w:numPr>
          <w:ilvl w:val="1"/>
          <w:numId w:val="2"/>
        </w:numPr>
        <w:adjustRightInd w:val="0"/>
        <w:snapToGrid w:val="0"/>
        <w:spacing w:line="560" w:lineRule="exact"/>
        <w:contextualSpacing w:val="0"/>
        <w:outlineLvl w:val="1"/>
        <w:rPr>
          <w:rFonts w:ascii="仿宋_GB2312" w:eastAsia="仿宋_GB2312" w:cs="仿宋_GB2312"/>
          <w:b/>
          <w:bCs/>
          <w:sz w:val="32"/>
          <w:szCs w:val="32"/>
          <w:lang w:bidi="ar"/>
        </w:rPr>
      </w:pPr>
      <w:r>
        <w:rPr>
          <w:rFonts w:hint="eastAsia" w:ascii="仿宋_GB2312" w:eastAsia="仿宋_GB2312" w:cs="仿宋_GB2312"/>
          <w:b/>
          <w:bCs/>
          <w:sz w:val="32"/>
          <w:szCs w:val="32"/>
          <w:lang w:bidi="ar"/>
        </w:rPr>
        <w:t>项目需求概述</w:t>
      </w:r>
    </w:p>
    <w:p w14:paraId="0856A6A2">
      <w:pPr>
        <w:pStyle w:val="20"/>
        <w:spacing w:line="560" w:lineRule="exact"/>
        <w:ind w:firstLine="640"/>
        <w:rPr>
          <w:rFonts w:ascii="仿宋_GB2312" w:eastAsia="仿宋_GB2312" w:cs="仿宋_GB2312"/>
          <w:sz w:val="32"/>
          <w:szCs w:val="32"/>
          <w:lang w:bidi="ar"/>
        </w:rPr>
      </w:pPr>
      <w:r>
        <w:rPr>
          <w:rFonts w:hint="eastAsia" w:ascii="仿宋_GB2312" w:eastAsia="仿宋_GB2312" w:cs="仿宋_GB2312"/>
          <w:sz w:val="32"/>
          <w:szCs w:val="32"/>
          <w:lang w:bidi="ar"/>
        </w:rPr>
        <w:t>本项目旨在为</w:t>
      </w:r>
      <w:r>
        <w:rPr>
          <w:rFonts w:hint="eastAsia" w:ascii="仿宋_GB2312" w:eastAsia="仿宋_GB2312" w:cs="仿宋_GB2312"/>
          <w:sz w:val="32"/>
          <w:szCs w:val="32"/>
          <w:lang w:val="en-US" w:eastAsia="zh-CN" w:bidi="ar"/>
        </w:rPr>
        <w:t>招标方</w:t>
      </w:r>
      <w:r>
        <w:rPr>
          <w:rFonts w:hint="eastAsia" w:ascii="仿宋_GB2312" w:eastAsia="仿宋_GB2312" w:cs="仿宋_GB2312"/>
          <w:sz w:val="32"/>
          <w:szCs w:val="32"/>
          <w:lang w:bidi="ar"/>
        </w:rPr>
        <w:t>构建高效可靠的</w:t>
      </w:r>
      <w:r>
        <w:rPr>
          <w:rFonts w:hint="eastAsia" w:ascii="仿宋_GB2312" w:eastAsia="仿宋_GB2312" w:cs="仿宋_GB2312"/>
          <w:sz w:val="32"/>
          <w:szCs w:val="32"/>
          <w:lang w:eastAsia="zh-CN" w:bidi="ar"/>
        </w:rPr>
        <w:t>制造执行系统（MES）</w:t>
      </w:r>
      <w:r>
        <w:rPr>
          <w:rFonts w:hint="eastAsia" w:ascii="仿宋_GB2312" w:eastAsia="仿宋_GB2312" w:cs="仿宋_GB2312"/>
          <w:sz w:val="32"/>
          <w:szCs w:val="32"/>
          <w:lang w:bidi="ar"/>
        </w:rPr>
        <w:t>（以下简称“MES”），基于现有研发、工艺及制造基础，对“生产计划-物料准备-生产执行-生产入库”全流程进行系统化梳理与功能升级，打造覆盖生产计划、工艺管理、物料配送、生产执行、质量管控、产品追溯及数据分析的一体化平台。</w:t>
      </w:r>
    </w:p>
    <w:p w14:paraId="3C1614ED">
      <w:pPr>
        <w:pStyle w:val="20"/>
        <w:spacing w:line="560" w:lineRule="exact"/>
        <w:ind w:firstLine="640"/>
        <w:rPr>
          <w:rFonts w:ascii="仿宋_GB2312" w:eastAsia="仿宋_GB2312" w:cs="仿宋_GB2312"/>
          <w:sz w:val="32"/>
          <w:szCs w:val="32"/>
          <w:lang w:bidi="ar"/>
        </w:rPr>
      </w:pPr>
      <w:r>
        <w:rPr>
          <w:rFonts w:hint="eastAsia" w:ascii="仿宋_GB2312" w:eastAsia="仿宋_GB2312" w:cs="仿宋_GB2312"/>
          <w:sz w:val="32"/>
          <w:szCs w:val="32"/>
          <w:lang w:bidi="ar"/>
        </w:rPr>
        <w:t>项目将重点提升系统架构性能、响应速度与运行可靠性，深度集成TC、ERP、WMS等系统，实现车间计划精准编制、生产调度高效协调、资源模块化准备、物料准时配送及质量结构化监控，助力业主构建“全面感知、可靠传输、快速响应、精准执行”的制造运营体系，形成“高质量、低成本、短周期”的交付能力，推动全业务流程向数字化、协同化、高效化转型。</w:t>
      </w:r>
    </w:p>
    <w:p w14:paraId="74EF93C5">
      <w:pPr>
        <w:pStyle w:val="20"/>
        <w:spacing w:line="560" w:lineRule="exact"/>
        <w:ind w:firstLine="640"/>
        <w:rPr>
          <w:rFonts w:ascii="仿宋_GB2312" w:eastAsia="仿宋_GB2312" w:cs="仿宋_GB2312"/>
          <w:sz w:val="32"/>
          <w:szCs w:val="32"/>
          <w:lang w:bidi="ar"/>
        </w:rPr>
      </w:pPr>
      <w:r>
        <w:rPr>
          <w:rFonts w:hint="eastAsia" w:ascii="仿宋_GB2312" w:eastAsia="仿宋_GB2312" w:cs="仿宋_GB2312"/>
          <w:sz w:val="32"/>
          <w:szCs w:val="32"/>
          <w:lang w:bidi="ar"/>
        </w:rPr>
        <w:t>系统将构建基础数据管理、工艺与BOM管理、生产计划调度、生产执行、过程质量管理、物料管理、追溯管理、设备数据采集、产线控制、工装工具管理、仪器设备管理及看板管理等核心模块，最终实现计划科学制定、工单有序排产、过程严格可控、数据全面采集、精准追溯、资源优化调配、异常及时预警、高效协同制造及多维度生产分析，全面提升生产运营效率与管理水平。同时，投标方需提供全生产类数据治理方案。</w:t>
      </w:r>
    </w:p>
    <w:p w14:paraId="1369F95C">
      <w:pPr>
        <w:pStyle w:val="20"/>
        <w:spacing w:line="560" w:lineRule="exact"/>
        <w:ind w:firstLine="640"/>
        <w:rPr>
          <w:rFonts w:ascii="仿宋_GB2312" w:eastAsia="仿宋_GB2312" w:cs="仿宋_GB2312"/>
          <w:sz w:val="32"/>
          <w:szCs w:val="32"/>
          <w:highlight w:val="none"/>
          <w:lang w:bidi="ar"/>
        </w:rPr>
      </w:pPr>
      <w:r>
        <w:rPr>
          <w:rFonts w:hint="eastAsia" w:ascii="仿宋_GB2312" w:eastAsia="仿宋_GB2312" w:cs="仿宋_GB2312"/>
          <w:sz w:val="32"/>
          <w:szCs w:val="32"/>
          <w:lang w:bidi="ar"/>
        </w:rPr>
        <w:t>依托系统生产数据支撑，设备数据采集与产线控制模块重点实现五大核心功能：①轨道路线与工艺路线精准匹配，确保生产流程贴合工艺标准；</w:t>
      </w:r>
      <w:r>
        <w:rPr>
          <w:rFonts w:hint="eastAsia" w:ascii="仿宋_GB2312" w:eastAsia="仿宋_GB2312" w:cs="仿宋_GB2312"/>
          <w:sz w:val="32"/>
          <w:szCs w:val="32"/>
          <w:highlight w:val="none"/>
          <w:lang w:bidi="ar"/>
        </w:rPr>
        <w:t>②</w:t>
      </w:r>
      <w:r>
        <w:rPr>
          <w:rFonts w:ascii="仿宋_GB2312" w:eastAsia="仿宋_GB2312" w:cs="仿宋_GB2312"/>
          <w:sz w:val="32"/>
          <w:szCs w:val="32"/>
          <w:highlight w:val="none"/>
          <w:lang w:bidi="ar"/>
        </w:rPr>
        <w:t>SMT+THT产线加工程序与轨道宽度一键自动切换</w:t>
      </w:r>
      <w:r>
        <w:rPr>
          <w:rFonts w:hint="eastAsia" w:ascii="仿宋_GB2312" w:eastAsia="仿宋_GB2312" w:cs="仿宋_GB2312"/>
          <w:sz w:val="32"/>
          <w:szCs w:val="32"/>
          <w:highlight w:val="none"/>
          <w:lang w:bidi="ar"/>
        </w:rPr>
        <w:t>；③生产全数据采集与PCB条码绑定，通过唯一条码实现产品全生命周期追溯；④采集整合后的生产数据按规范格式输出至各子模块，为跨模块协同提供统一数据基础；</w:t>
      </w:r>
      <w:r>
        <w:rPr>
          <w:rFonts w:hint="eastAsia" w:ascii="仿宋_GB2312" w:eastAsia="仿宋_GB2312" w:cs="仿宋_GB2312"/>
          <w:sz w:val="32"/>
          <w:szCs w:val="32"/>
          <w:highlight w:val="none"/>
          <w:lang w:val="en-US" w:eastAsia="zh-CN" w:bidi="ar"/>
        </w:rPr>
        <w:t>⑤</w:t>
      </w:r>
      <w:r>
        <w:rPr>
          <w:rFonts w:ascii="仿宋_GB2312" w:eastAsia="仿宋_GB2312" w:cs="仿宋_GB2312"/>
          <w:sz w:val="32"/>
          <w:szCs w:val="32"/>
          <w:highlight w:val="none"/>
          <w:lang w:bidi="ar"/>
        </w:rPr>
        <w:t>实现设备数据与系统内业务数据无缝衔接。</w:t>
      </w:r>
    </w:p>
    <w:p w14:paraId="26021806">
      <w:pPr>
        <w:pStyle w:val="19"/>
        <w:numPr>
          <w:ilvl w:val="1"/>
          <w:numId w:val="2"/>
        </w:numPr>
        <w:adjustRightInd w:val="0"/>
        <w:snapToGrid w:val="0"/>
        <w:spacing w:after="312" w:afterLines="100" w:line="560" w:lineRule="exact"/>
        <w:contextualSpacing w:val="0"/>
        <w:outlineLvl w:val="1"/>
        <w:rPr>
          <w:rFonts w:ascii="仿宋_GB2312" w:eastAsia="仿宋_GB2312" w:cs="仿宋_GB2312"/>
          <w:b/>
          <w:bCs/>
          <w:sz w:val="32"/>
          <w:szCs w:val="32"/>
          <w:lang w:bidi="ar"/>
        </w:rPr>
      </w:pPr>
      <w:r>
        <w:rPr>
          <w:rFonts w:hint="eastAsia" w:ascii="仿宋_GB2312" w:eastAsia="仿宋_GB2312" w:cs="仿宋_GB2312"/>
          <w:b/>
          <w:bCs/>
          <w:sz w:val="32"/>
          <w:szCs w:val="32"/>
          <w:lang w:bidi="ar"/>
        </w:rPr>
        <w:t>★项目实施功能</w:t>
      </w:r>
    </w:p>
    <w:tbl>
      <w:tblPr>
        <w:tblStyle w:val="14"/>
        <w:tblW w:w="8392" w:type="dxa"/>
        <w:tblInd w:w="93" w:type="dxa"/>
        <w:tblLayout w:type="fixed"/>
        <w:tblCellMar>
          <w:top w:w="0" w:type="dxa"/>
          <w:left w:w="108" w:type="dxa"/>
          <w:bottom w:w="0" w:type="dxa"/>
          <w:right w:w="108" w:type="dxa"/>
        </w:tblCellMar>
      </w:tblPr>
      <w:tblGrid>
        <w:gridCol w:w="874"/>
        <w:gridCol w:w="1278"/>
        <w:gridCol w:w="6240"/>
      </w:tblGrid>
      <w:tr w14:paraId="1412E7BF">
        <w:tblPrEx>
          <w:tblCellMar>
            <w:top w:w="0" w:type="dxa"/>
            <w:left w:w="108" w:type="dxa"/>
            <w:bottom w:w="0" w:type="dxa"/>
            <w:right w:w="108" w:type="dxa"/>
          </w:tblCellMar>
        </w:tblPrEx>
        <w:trPr>
          <w:trHeight w:val="480" w:hRule="atLeast"/>
          <w:tblHeader/>
        </w:trPr>
        <w:tc>
          <w:tcPr>
            <w:tcW w:w="874" w:type="dxa"/>
            <w:tcBorders>
              <w:top w:val="single" w:color="000000" w:sz="4" w:space="0"/>
              <w:left w:val="single" w:color="000000" w:sz="4" w:space="0"/>
              <w:bottom w:val="single" w:color="000000" w:sz="4" w:space="0"/>
              <w:right w:val="single" w:color="000000" w:sz="4" w:space="0"/>
            </w:tcBorders>
            <w:vAlign w:val="center"/>
          </w:tcPr>
          <w:p w14:paraId="5B2CB940">
            <w:pPr>
              <w:widowControl/>
              <w:jc w:val="center"/>
              <w:textAlignment w:val="center"/>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kern w:val="0"/>
                <w:sz w:val="28"/>
                <w:szCs w:val="28"/>
                <w:lang w:bidi="ar"/>
              </w:rPr>
              <w:t>模块</w:t>
            </w:r>
          </w:p>
        </w:tc>
        <w:tc>
          <w:tcPr>
            <w:tcW w:w="1278" w:type="dxa"/>
            <w:tcBorders>
              <w:top w:val="single" w:color="000000" w:sz="4" w:space="0"/>
              <w:left w:val="single" w:color="000000" w:sz="4" w:space="0"/>
              <w:bottom w:val="single" w:color="000000" w:sz="4" w:space="0"/>
              <w:right w:val="single" w:color="000000" w:sz="4" w:space="0"/>
            </w:tcBorders>
            <w:vAlign w:val="center"/>
          </w:tcPr>
          <w:p w14:paraId="6BAE65B8">
            <w:pPr>
              <w:widowControl/>
              <w:jc w:val="center"/>
              <w:textAlignment w:val="center"/>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kern w:val="0"/>
                <w:sz w:val="28"/>
                <w:szCs w:val="28"/>
                <w:lang w:bidi="ar"/>
              </w:rPr>
              <w:t>功能</w:t>
            </w:r>
          </w:p>
        </w:tc>
        <w:tc>
          <w:tcPr>
            <w:tcW w:w="6240" w:type="dxa"/>
            <w:tcBorders>
              <w:top w:val="single" w:color="000000" w:sz="4" w:space="0"/>
              <w:left w:val="single" w:color="000000" w:sz="4" w:space="0"/>
              <w:bottom w:val="single" w:color="000000" w:sz="4" w:space="0"/>
              <w:right w:val="single" w:color="000000" w:sz="4" w:space="0"/>
            </w:tcBorders>
            <w:vAlign w:val="center"/>
          </w:tcPr>
          <w:p w14:paraId="7C299BFF">
            <w:pPr>
              <w:widowControl/>
              <w:jc w:val="center"/>
              <w:textAlignment w:val="center"/>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kern w:val="0"/>
                <w:sz w:val="28"/>
                <w:szCs w:val="28"/>
                <w:lang w:bidi="ar"/>
              </w:rPr>
              <w:t>主要功能描述</w:t>
            </w:r>
          </w:p>
        </w:tc>
      </w:tr>
      <w:tr w14:paraId="39176FE8">
        <w:tblPrEx>
          <w:tblCellMar>
            <w:top w:w="0" w:type="dxa"/>
            <w:left w:w="108" w:type="dxa"/>
            <w:bottom w:w="0" w:type="dxa"/>
            <w:right w:w="108" w:type="dxa"/>
          </w:tblCellMar>
        </w:tblPrEx>
        <w:trPr>
          <w:trHeight w:val="1785" w:hRule="atLeast"/>
        </w:trPr>
        <w:tc>
          <w:tcPr>
            <w:tcW w:w="874" w:type="dxa"/>
            <w:vMerge w:val="restart"/>
            <w:tcBorders>
              <w:top w:val="single" w:color="000000" w:sz="4" w:space="0"/>
              <w:left w:val="single" w:color="000000" w:sz="4" w:space="0"/>
              <w:bottom w:val="single" w:color="000000" w:sz="4" w:space="0"/>
              <w:right w:val="single" w:color="000000" w:sz="4" w:space="0"/>
            </w:tcBorders>
            <w:vAlign w:val="center"/>
          </w:tcPr>
          <w:p w14:paraId="34A1F538">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基础数据管理</w:t>
            </w:r>
          </w:p>
        </w:tc>
        <w:tc>
          <w:tcPr>
            <w:tcW w:w="1278" w:type="dxa"/>
            <w:tcBorders>
              <w:top w:val="single" w:color="000000" w:sz="4" w:space="0"/>
              <w:left w:val="single" w:color="000000" w:sz="4" w:space="0"/>
              <w:bottom w:val="single" w:color="000000" w:sz="4" w:space="0"/>
              <w:right w:val="single" w:color="000000" w:sz="4" w:space="0"/>
            </w:tcBorders>
            <w:vAlign w:val="center"/>
          </w:tcPr>
          <w:p w14:paraId="441803DD">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生产能力建模</w:t>
            </w:r>
          </w:p>
        </w:tc>
        <w:tc>
          <w:tcPr>
            <w:tcW w:w="6240" w:type="dxa"/>
            <w:tcBorders>
              <w:top w:val="single" w:color="000000" w:sz="4" w:space="0"/>
              <w:left w:val="single" w:color="000000" w:sz="4" w:space="0"/>
              <w:bottom w:val="single" w:color="000000" w:sz="4" w:space="0"/>
              <w:right w:val="single" w:color="000000" w:sz="4" w:space="0"/>
            </w:tcBorders>
            <w:vAlign w:val="center"/>
          </w:tcPr>
          <w:p w14:paraId="4FADD927">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创建与管理设备产能、人员效率等多维度指标数据，建立产能模型；配置多场景能力模板适配“多品种、小批量”模式；结合历史与实时数据动态标准指标，支撑产能规划等。</w:t>
            </w:r>
          </w:p>
        </w:tc>
      </w:tr>
      <w:tr w14:paraId="33660B06">
        <w:tblPrEx>
          <w:tblCellMar>
            <w:top w:w="0" w:type="dxa"/>
            <w:left w:w="108" w:type="dxa"/>
            <w:bottom w:w="0" w:type="dxa"/>
            <w:right w:w="108" w:type="dxa"/>
          </w:tblCellMar>
        </w:tblPrEx>
        <w:trPr>
          <w:trHeight w:val="9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7576D9B5">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60424AC8">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生产资源建模</w:t>
            </w:r>
          </w:p>
        </w:tc>
        <w:tc>
          <w:tcPr>
            <w:tcW w:w="6240" w:type="dxa"/>
            <w:tcBorders>
              <w:top w:val="single" w:color="000000" w:sz="4" w:space="0"/>
              <w:left w:val="single" w:color="000000" w:sz="4" w:space="0"/>
              <w:bottom w:val="single" w:color="000000" w:sz="4" w:space="0"/>
              <w:right w:val="single" w:color="000000" w:sz="4" w:space="0"/>
            </w:tcBorders>
            <w:vAlign w:val="center"/>
          </w:tcPr>
          <w:p w14:paraId="72FBCF7B">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同步MDM物料编码，创建设备、仪器、工装工具、SMT特殊物料等资源编码；构建“人、机、料、法、环”等多维资源模型，可灵活配置与扩展资源属性；实时监控资源状态，动态调整分配策略优化利用率等。</w:t>
            </w:r>
          </w:p>
        </w:tc>
      </w:tr>
      <w:tr w14:paraId="4FB3D9A0">
        <w:tblPrEx>
          <w:tblCellMar>
            <w:top w:w="0" w:type="dxa"/>
            <w:left w:w="108" w:type="dxa"/>
            <w:bottom w:w="0" w:type="dxa"/>
            <w:right w:w="108" w:type="dxa"/>
          </w:tblCellMar>
        </w:tblPrEx>
        <w:trPr>
          <w:trHeight w:val="1449"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31F69ED2">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161BB0AD">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数据</w:t>
            </w:r>
          </w:p>
          <w:p w14:paraId="22282A7F">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建模</w:t>
            </w:r>
          </w:p>
        </w:tc>
        <w:tc>
          <w:tcPr>
            <w:tcW w:w="6240" w:type="dxa"/>
            <w:tcBorders>
              <w:top w:val="single" w:color="000000" w:sz="4" w:space="0"/>
              <w:left w:val="single" w:color="000000" w:sz="4" w:space="0"/>
              <w:bottom w:val="single" w:color="000000" w:sz="4" w:space="0"/>
              <w:right w:val="single" w:color="000000" w:sz="4" w:space="0"/>
            </w:tcBorders>
            <w:vAlign w:val="center"/>
          </w:tcPr>
          <w:p w14:paraId="6642C0E9">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完成BOM数据、生产数据、工艺数据、质量数据等相关结构化数据建模及非结构化数据管理。</w:t>
            </w:r>
          </w:p>
        </w:tc>
      </w:tr>
      <w:tr w14:paraId="27FAF781">
        <w:tblPrEx>
          <w:tblCellMar>
            <w:top w:w="0" w:type="dxa"/>
            <w:left w:w="108" w:type="dxa"/>
            <w:bottom w:w="0" w:type="dxa"/>
            <w:right w:w="108" w:type="dxa"/>
          </w:tblCellMar>
        </w:tblPrEx>
        <w:trPr>
          <w:trHeight w:val="160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785C3BC8">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133EB5B">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工艺流程建模</w:t>
            </w:r>
          </w:p>
        </w:tc>
        <w:tc>
          <w:tcPr>
            <w:tcW w:w="6240" w:type="dxa"/>
            <w:tcBorders>
              <w:top w:val="single" w:color="000000" w:sz="4" w:space="0"/>
              <w:left w:val="single" w:color="000000" w:sz="4" w:space="0"/>
              <w:bottom w:val="single" w:color="000000" w:sz="4" w:space="0"/>
              <w:right w:val="single" w:color="000000" w:sz="4" w:space="0"/>
            </w:tcBorders>
            <w:vAlign w:val="center"/>
          </w:tcPr>
          <w:p w14:paraId="1DD3587A">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完成对产品、产品系列、BOM、工艺路线、工序、工步、工艺资源、工艺模板、纪实采集配置等工艺信息的建模与管理等。</w:t>
            </w:r>
          </w:p>
        </w:tc>
      </w:tr>
      <w:tr w14:paraId="075CF079">
        <w:tblPrEx>
          <w:tblCellMar>
            <w:top w:w="0" w:type="dxa"/>
            <w:left w:w="108" w:type="dxa"/>
            <w:bottom w:w="0" w:type="dxa"/>
            <w:right w:w="108" w:type="dxa"/>
          </w:tblCellMar>
        </w:tblPrEx>
        <w:trPr>
          <w:trHeight w:val="238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0DA04540">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13A00EED">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工位</w:t>
            </w:r>
          </w:p>
          <w:p w14:paraId="32FFC887">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建模</w:t>
            </w:r>
          </w:p>
        </w:tc>
        <w:tc>
          <w:tcPr>
            <w:tcW w:w="6240" w:type="dxa"/>
            <w:tcBorders>
              <w:top w:val="single" w:color="000000" w:sz="4" w:space="0"/>
              <w:left w:val="single" w:color="000000" w:sz="4" w:space="0"/>
              <w:bottom w:val="single" w:color="000000" w:sz="4" w:space="0"/>
              <w:right w:val="single" w:color="000000" w:sz="4" w:space="0"/>
            </w:tcBorders>
            <w:vAlign w:val="center"/>
          </w:tcPr>
          <w:p w14:paraId="4D5CA646">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建立含唯一编码、物理位置、所属产线等属性的标准化档案，动态关联工艺工序、设备、人员、物料等，支撑工单接收、进度报工、数据采集、SOP绑定等操作，具备异常上报、预警及联动处理能力，记录操作历史与状态变更等。</w:t>
            </w:r>
          </w:p>
        </w:tc>
      </w:tr>
      <w:tr w14:paraId="79AD7F6B">
        <w:tblPrEx>
          <w:tblCellMar>
            <w:top w:w="0" w:type="dxa"/>
            <w:left w:w="108" w:type="dxa"/>
            <w:bottom w:w="0" w:type="dxa"/>
            <w:right w:w="108" w:type="dxa"/>
          </w:tblCellMar>
        </w:tblPrEx>
        <w:trPr>
          <w:trHeight w:val="209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6499F8B5">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6533917">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生产流程管理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3ABA9A00">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构建不同订单类型的差异化流程模板库；支持多维度实时监控并自动预警；支持全流程追溯；提供动态调度与协同功能；支持工艺变更同步与报表分析等。</w:t>
            </w:r>
          </w:p>
        </w:tc>
      </w:tr>
      <w:tr w14:paraId="0D675FC3">
        <w:tblPrEx>
          <w:tblCellMar>
            <w:top w:w="0" w:type="dxa"/>
            <w:left w:w="108" w:type="dxa"/>
            <w:bottom w:w="0" w:type="dxa"/>
            <w:right w:w="108" w:type="dxa"/>
          </w:tblCellMar>
        </w:tblPrEx>
        <w:trPr>
          <w:trHeight w:val="193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1965F3CA">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noWrap/>
            <w:vAlign w:val="center"/>
          </w:tcPr>
          <w:p w14:paraId="7AAFD8EC">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工单</w:t>
            </w:r>
          </w:p>
          <w:p w14:paraId="28074811">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512C28CA">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实现工单全生命周期闭环管理；支持批量拆分与状态变更审批；自动关联工艺、物料数据；实时反馈执行进度与异常；支撑质量追溯与动态版本同步等。</w:t>
            </w:r>
          </w:p>
        </w:tc>
      </w:tr>
      <w:tr w14:paraId="7E56757A">
        <w:tblPrEx>
          <w:tblCellMar>
            <w:top w:w="0" w:type="dxa"/>
            <w:left w:w="108" w:type="dxa"/>
            <w:bottom w:w="0" w:type="dxa"/>
            <w:right w:w="108" w:type="dxa"/>
          </w:tblCellMar>
        </w:tblPrEx>
        <w:trPr>
          <w:trHeight w:val="146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A7E799B">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4B9C9FF">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组织</w:t>
            </w:r>
          </w:p>
          <w:p w14:paraId="2D5E3DCC">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32851C18">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建立“车间-班组-人员”三级管理体系，每个层级明确定义各层级负责人；支持批量导入组织节点并自动校验层级关系与信息完整性等。</w:t>
            </w:r>
          </w:p>
        </w:tc>
      </w:tr>
      <w:tr w14:paraId="1A996EF5">
        <w:tblPrEx>
          <w:tblCellMar>
            <w:top w:w="0" w:type="dxa"/>
            <w:left w:w="108" w:type="dxa"/>
            <w:bottom w:w="0" w:type="dxa"/>
            <w:right w:w="108" w:type="dxa"/>
          </w:tblCellMar>
        </w:tblPrEx>
        <w:trPr>
          <w:trHeight w:val="192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C2AB6F1">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42B2B77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人员能力管理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17574D31">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创建并管理人员信息、技能矩阵等数据；生成技能分布看板，支撑排班调配；支持技能资质、岗位权限与工单要求的匹配校验，关键工序预设严格资质校验规则，不满足则即时阻断操作等。</w:t>
            </w:r>
          </w:p>
        </w:tc>
      </w:tr>
      <w:tr w14:paraId="7DB1F3F8">
        <w:tblPrEx>
          <w:tblCellMar>
            <w:top w:w="0" w:type="dxa"/>
            <w:left w:w="108" w:type="dxa"/>
            <w:bottom w:w="0" w:type="dxa"/>
            <w:right w:w="108" w:type="dxa"/>
          </w:tblCellMar>
        </w:tblPrEx>
        <w:trPr>
          <w:trHeight w:val="161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195E10BE">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66BEF76C">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日历/班次管理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2BF6EC1B">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设置工作日历，自定义节假日与倒班周期；规范班次定义与临时调整审批流程，确保信息同步至相关模块等。</w:t>
            </w:r>
          </w:p>
        </w:tc>
      </w:tr>
      <w:tr w14:paraId="20C1E87C">
        <w:tblPrEx>
          <w:tblCellMar>
            <w:top w:w="0" w:type="dxa"/>
            <w:left w:w="108" w:type="dxa"/>
            <w:bottom w:w="0" w:type="dxa"/>
            <w:right w:w="108" w:type="dxa"/>
          </w:tblCellMar>
        </w:tblPrEx>
        <w:trPr>
          <w:trHeight w:val="149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196EC544">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795AC03">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序列号管理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374E83AE">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管理含供应商原始序号、半成品/成品序列号；与产品全生命周期数据绑定；支持序列号批量生成、规则自定义及状态变更等。</w:t>
            </w:r>
          </w:p>
        </w:tc>
      </w:tr>
      <w:tr w14:paraId="1FAAF419">
        <w:tblPrEx>
          <w:tblCellMar>
            <w:top w:w="0" w:type="dxa"/>
            <w:left w:w="108" w:type="dxa"/>
            <w:bottom w:w="0" w:type="dxa"/>
            <w:right w:w="108" w:type="dxa"/>
          </w:tblCellMar>
        </w:tblPrEx>
        <w:trPr>
          <w:trHeight w:val="165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4C907726">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36C149FF">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二维码/标签管理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6D524C92">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支持生成包含多种信息的二维码；规范管理外部二维码导入；支持标签设计自定义、在线打印、补打审批；确保标签信息一致与可追溯等。</w:t>
            </w:r>
          </w:p>
        </w:tc>
      </w:tr>
      <w:tr w14:paraId="6D4411DE">
        <w:tblPrEx>
          <w:tblCellMar>
            <w:top w:w="0" w:type="dxa"/>
            <w:left w:w="108" w:type="dxa"/>
            <w:bottom w:w="0" w:type="dxa"/>
            <w:right w:w="108" w:type="dxa"/>
          </w:tblCellMar>
        </w:tblPrEx>
        <w:trPr>
          <w:trHeight w:val="2515" w:hRule="atLeast"/>
        </w:trPr>
        <w:tc>
          <w:tcPr>
            <w:tcW w:w="874" w:type="dxa"/>
            <w:vMerge w:val="restart"/>
            <w:tcBorders>
              <w:top w:val="single" w:color="000000" w:sz="4" w:space="0"/>
              <w:left w:val="single" w:color="000000" w:sz="4" w:space="0"/>
              <w:bottom w:val="single" w:color="000000" w:sz="4" w:space="0"/>
              <w:right w:val="single" w:color="000000" w:sz="4" w:space="0"/>
            </w:tcBorders>
            <w:vAlign w:val="center"/>
          </w:tcPr>
          <w:p w14:paraId="15F7F54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生产工艺与BOM管理</w:t>
            </w:r>
          </w:p>
        </w:tc>
        <w:tc>
          <w:tcPr>
            <w:tcW w:w="1278" w:type="dxa"/>
            <w:tcBorders>
              <w:top w:val="single" w:color="000000" w:sz="4" w:space="0"/>
              <w:left w:val="single" w:color="000000" w:sz="4" w:space="0"/>
              <w:bottom w:val="single" w:color="000000" w:sz="4" w:space="0"/>
              <w:right w:val="single" w:color="000000" w:sz="4" w:space="0"/>
            </w:tcBorders>
            <w:vAlign w:val="center"/>
          </w:tcPr>
          <w:p w14:paraId="10525059">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工艺</w:t>
            </w:r>
          </w:p>
          <w:p w14:paraId="16B867D0">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69AE8D67">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支持手动搭建或TC软件、数字化工艺软件对接结构化工艺；提供拖拽式工艺路线设计，构建“产品-工艺路线-工序-工步”四级体系；支持轻量化三维装配工艺展示；支持工艺文件版本与有效性管理等。</w:t>
            </w:r>
          </w:p>
        </w:tc>
      </w:tr>
      <w:tr w14:paraId="7468A514">
        <w:tblPrEx>
          <w:tblCellMar>
            <w:top w:w="0" w:type="dxa"/>
            <w:left w:w="108" w:type="dxa"/>
            <w:bottom w:w="0" w:type="dxa"/>
            <w:right w:w="108" w:type="dxa"/>
          </w:tblCellMar>
        </w:tblPrEx>
        <w:trPr>
          <w:trHeight w:val="224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1A7A8BF9">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6989BBDE">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工艺路线管理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37478D62">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构建覆盖</w:t>
            </w:r>
            <w:r>
              <w:rPr>
                <w:rFonts w:hint="eastAsia" w:ascii="仿宋_GB2312" w:hAnsi="仿宋_GB2312" w:eastAsia="仿宋_GB2312" w:cs="仿宋_GB2312"/>
                <w:color w:val="000000"/>
                <w:kern w:val="0"/>
                <w:sz w:val="28"/>
                <w:szCs w:val="28"/>
                <w:lang w:eastAsia="zh" w:bidi="ar"/>
              </w:rPr>
              <w:t>SMT/THT</w:t>
            </w:r>
            <w:r>
              <w:rPr>
                <w:rFonts w:hint="eastAsia" w:ascii="仿宋_GB2312" w:hAnsi="仿宋_GB2312" w:eastAsia="仿宋_GB2312" w:cs="仿宋_GB2312"/>
                <w:color w:val="000000"/>
                <w:kern w:val="0"/>
                <w:sz w:val="28"/>
                <w:szCs w:val="28"/>
                <w:lang w:bidi="ar"/>
              </w:rPr>
              <w:t>、</w:t>
            </w:r>
            <w:r>
              <w:rPr>
                <w:rFonts w:hint="eastAsia" w:ascii="仿宋_GB2312" w:hAnsi="仿宋_GB2312" w:eastAsia="仿宋_GB2312" w:cs="仿宋_GB2312"/>
                <w:color w:val="000000"/>
                <w:kern w:val="0"/>
                <w:sz w:val="28"/>
                <w:szCs w:val="28"/>
                <w:lang w:eastAsia="zh" w:bidi="ar"/>
              </w:rPr>
              <w:t>组装、</w:t>
            </w:r>
            <w:r>
              <w:rPr>
                <w:rFonts w:hint="eastAsia" w:ascii="仿宋_GB2312" w:hAnsi="仿宋_GB2312" w:eastAsia="仿宋_GB2312" w:cs="仿宋_GB2312"/>
                <w:color w:val="000000"/>
                <w:kern w:val="0"/>
                <w:sz w:val="28"/>
                <w:szCs w:val="28"/>
                <w:lang w:bidi="ar"/>
              </w:rPr>
              <w:t>调试、试验、包装、</w:t>
            </w:r>
            <w:r>
              <w:rPr>
                <w:rFonts w:hint="eastAsia" w:ascii="仿宋_GB2312" w:hAnsi="仿宋_GB2312" w:eastAsia="仿宋_GB2312" w:cs="仿宋_GB2312"/>
                <w:color w:val="000000"/>
                <w:kern w:val="0"/>
                <w:sz w:val="28"/>
                <w:szCs w:val="28"/>
                <w:lang w:eastAsia="zh" w:bidi="ar"/>
              </w:rPr>
              <w:t>工序检、最终检的全生产流程的结构化工艺路线；面向生产调度及执行进行批量报工、工序工步串并行、作业任务生成规则等配置</w:t>
            </w:r>
            <w:r>
              <w:rPr>
                <w:rFonts w:hint="eastAsia" w:ascii="仿宋_GB2312" w:hAnsi="仿宋_GB2312" w:eastAsia="仿宋_GB2312" w:cs="仿宋_GB2312"/>
                <w:color w:val="000000"/>
                <w:kern w:val="0"/>
                <w:sz w:val="28"/>
                <w:szCs w:val="28"/>
                <w:lang w:bidi="ar"/>
              </w:rPr>
              <w:t>；适配NPI与批产模式，提供工艺柔性配置能力等。</w:t>
            </w:r>
          </w:p>
        </w:tc>
      </w:tr>
      <w:tr w14:paraId="47682D55">
        <w:tblPrEx>
          <w:tblCellMar>
            <w:top w:w="0" w:type="dxa"/>
            <w:left w:w="108" w:type="dxa"/>
            <w:bottom w:w="0" w:type="dxa"/>
            <w:right w:w="108" w:type="dxa"/>
          </w:tblCellMar>
        </w:tblPrEx>
        <w:trPr>
          <w:trHeight w:val="113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44E22387">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E8999C9">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标准工时管理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3B418294">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eastAsia="zh" w:bidi="ar"/>
              </w:rPr>
              <w:t>支持基于工序模版或工艺路线的标准工时的导入或手动输入</w:t>
            </w:r>
            <w:r>
              <w:rPr>
                <w:rFonts w:hint="eastAsia" w:ascii="仿宋_GB2312" w:hAnsi="仿宋_GB2312" w:eastAsia="仿宋_GB2312" w:cs="仿宋_GB2312"/>
                <w:color w:val="000000"/>
                <w:kern w:val="0"/>
                <w:sz w:val="28"/>
                <w:szCs w:val="28"/>
                <w:lang w:bidi="ar"/>
              </w:rPr>
              <w:t>等</w:t>
            </w:r>
            <w:r>
              <w:rPr>
                <w:rFonts w:hint="eastAsia" w:ascii="仿宋_GB2312" w:hAnsi="仿宋_GB2312" w:eastAsia="仿宋_GB2312" w:cs="仿宋_GB2312"/>
                <w:color w:val="000000"/>
                <w:kern w:val="0"/>
                <w:sz w:val="28"/>
                <w:szCs w:val="28"/>
                <w:lang w:eastAsia="zh" w:bidi="ar"/>
              </w:rPr>
              <w:t>。</w:t>
            </w:r>
          </w:p>
        </w:tc>
      </w:tr>
      <w:tr w14:paraId="6AB6C66D">
        <w:tblPrEx>
          <w:tblCellMar>
            <w:top w:w="0" w:type="dxa"/>
            <w:left w:w="108" w:type="dxa"/>
            <w:bottom w:w="0" w:type="dxa"/>
            <w:right w:w="108" w:type="dxa"/>
          </w:tblCellMar>
        </w:tblPrEx>
        <w:trPr>
          <w:trHeight w:val="104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D505D25">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F8849D2">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工序参数管控</w:t>
            </w:r>
          </w:p>
        </w:tc>
        <w:tc>
          <w:tcPr>
            <w:tcW w:w="6240" w:type="dxa"/>
            <w:tcBorders>
              <w:top w:val="single" w:color="000000" w:sz="4" w:space="0"/>
              <w:left w:val="single" w:color="000000" w:sz="4" w:space="0"/>
              <w:bottom w:val="single" w:color="000000" w:sz="4" w:space="0"/>
              <w:right w:val="single" w:color="000000" w:sz="4" w:space="0"/>
            </w:tcBorders>
            <w:vAlign w:val="center"/>
          </w:tcPr>
          <w:p w14:paraId="7477229D">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支持设定工序参数上下限，参数值可自动导入或手动维护，确保参数在合理范围等。</w:t>
            </w:r>
          </w:p>
        </w:tc>
      </w:tr>
      <w:tr w14:paraId="4B058F61">
        <w:tblPrEx>
          <w:tblCellMar>
            <w:top w:w="0" w:type="dxa"/>
            <w:left w:w="108" w:type="dxa"/>
            <w:bottom w:w="0" w:type="dxa"/>
            <w:right w:w="108" w:type="dxa"/>
          </w:tblCellMar>
        </w:tblPrEx>
        <w:trPr>
          <w:trHeight w:val="152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30B6653F">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57B1D974">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SOP</w:t>
            </w:r>
          </w:p>
          <w:p w14:paraId="495EF167">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447DE312">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配置电子化文件链接，支持实时查看作业指导文件；采用树形存储与动态权限管理，按角色匹配访问范围等。</w:t>
            </w:r>
          </w:p>
        </w:tc>
      </w:tr>
      <w:tr w14:paraId="56F96AB5">
        <w:tblPrEx>
          <w:tblCellMar>
            <w:top w:w="0" w:type="dxa"/>
            <w:left w:w="108" w:type="dxa"/>
            <w:bottom w:w="0" w:type="dxa"/>
            <w:right w:w="108" w:type="dxa"/>
          </w:tblCellMar>
        </w:tblPrEx>
        <w:trPr>
          <w:trHeight w:val="307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7C45E0B6">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5FBA2F27">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制造BOM管理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6D2E6602">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生产工单MBOM的规范化定义、灵活化调整与版本管理：以MBOM归集生产要素（物料、工艺、资源等），指导现场生产；实现MBOM版本有效性控制，确保在用版本唯一且合规；将MBOM版本与工单强绑定，避免版本错用；同时记录MBOM版本变更轨迹（变更人、时间、原因），支持变更追溯等。</w:t>
            </w:r>
          </w:p>
        </w:tc>
      </w:tr>
      <w:tr w14:paraId="25CFCA7E">
        <w:tblPrEx>
          <w:tblCellMar>
            <w:top w:w="0" w:type="dxa"/>
            <w:left w:w="108" w:type="dxa"/>
            <w:bottom w:w="0" w:type="dxa"/>
            <w:right w:w="108" w:type="dxa"/>
          </w:tblCellMar>
        </w:tblPrEx>
        <w:trPr>
          <w:trHeight w:val="181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733B5B07">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1669241">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实物BOM管理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2E672B9C">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支持针对单台套产品实物基线（BBOM）的记实配置，匹配生产管理的业务对象，定义BBOM收集记实数据的维度，根据实际生产记实数据自动构建BBOM等。</w:t>
            </w:r>
          </w:p>
        </w:tc>
      </w:tr>
      <w:tr w14:paraId="3E7D09F8">
        <w:tblPrEx>
          <w:tblCellMar>
            <w:top w:w="0" w:type="dxa"/>
            <w:left w:w="108" w:type="dxa"/>
            <w:bottom w:w="0" w:type="dxa"/>
            <w:right w:w="108" w:type="dxa"/>
          </w:tblCellMar>
        </w:tblPrEx>
        <w:trPr>
          <w:trHeight w:val="1530" w:hRule="atLeast"/>
        </w:trPr>
        <w:tc>
          <w:tcPr>
            <w:tcW w:w="874" w:type="dxa"/>
            <w:vMerge w:val="restart"/>
            <w:tcBorders>
              <w:top w:val="single" w:color="000000" w:sz="4" w:space="0"/>
              <w:left w:val="single" w:color="000000" w:sz="4" w:space="0"/>
              <w:bottom w:val="single" w:color="000000" w:sz="4" w:space="0"/>
              <w:right w:val="single" w:color="000000" w:sz="4" w:space="0"/>
            </w:tcBorders>
            <w:vAlign w:val="center"/>
          </w:tcPr>
          <w:p w14:paraId="3A31538B">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生产计划调度</w:t>
            </w:r>
          </w:p>
        </w:tc>
        <w:tc>
          <w:tcPr>
            <w:tcW w:w="1278" w:type="dxa"/>
            <w:tcBorders>
              <w:top w:val="single" w:color="000000" w:sz="4" w:space="0"/>
              <w:left w:val="single" w:color="000000" w:sz="4" w:space="0"/>
              <w:bottom w:val="single" w:color="000000" w:sz="4" w:space="0"/>
              <w:right w:val="single" w:color="000000" w:sz="4" w:space="0"/>
            </w:tcBorders>
            <w:vAlign w:val="center"/>
          </w:tcPr>
          <w:p w14:paraId="4654304A">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订单</w:t>
            </w:r>
          </w:p>
          <w:p w14:paraId="77B9CF9A">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接收</w:t>
            </w:r>
          </w:p>
        </w:tc>
        <w:tc>
          <w:tcPr>
            <w:tcW w:w="6240" w:type="dxa"/>
            <w:tcBorders>
              <w:top w:val="single" w:color="000000" w:sz="4" w:space="0"/>
              <w:left w:val="single" w:color="000000" w:sz="4" w:space="0"/>
              <w:bottom w:val="single" w:color="000000" w:sz="4" w:space="0"/>
              <w:right w:val="single" w:color="000000" w:sz="4" w:space="0"/>
            </w:tcBorders>
            <w:vAlign w:val="center"/>
          </w:tcPr>
          <w:p w14:paraId="69EACEFF">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与ERP同步生产订单信息，记录订单数据流转信息，支持历史查询与全程追溯等。</w:t>
            </w:r>
          </w:p>
        </w:tc>
      </w:tr>
      <w:tr w14:paraId="4EDFC90B">
        <w:tblPrEx>
          <w:tblCellMar>
            <w:top w:w="0" w:type="dxa"/>
            <w:left w:w="108" w:type="dxa"/>
            <w:bottom w:w="0" w:type="dxa"/>
            <w:right w:w="108" w:type="dxa"/>
          </w:tblCellMar>
        </w:tblPrEx>
        <w:trPr>
          <w:trHeight w:val="2333"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946A16D">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79FC64D">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工单</w:t>
            </w:r>
          </w:p>
          <w:p w14:paraId="7990C741">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创建</w:t>
            </w:r>
          </w:p>
        </w:tc>
        <w:tc>
          <w:tcPr>
            <w:tcW w:w="6240" w:type="dxa"/>
            <w:tcBorders>
              <w:top w:val="single" w:color="000000" w:sz="4" w:space="0"/>
              <w:left w:val="single" w:color="000000" w:sz="4" w:space="0"/>
              <w:bottom w:val="single" w:color="000000" w:sz="4" w:space="0"/>
              <w:right w:val="single" w:color="000000" w:sz="4" w:space="0"/>
            </w:tcBorders>
            <w:vAlign w:val="center"/>
          </w:tcPr>
          <w:p w14:paraId="1B3C921E">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与生产订单精准关联，支持批产、科研、复查、改制、售后返修、在制品返修、原材料销售等类型；支持按预设规则合并零散ERP订单，明确工艺、资源等关键信息，生成批次与序列号，科研试制产品需标首件标识。合并操作与ERP实时同步，维护原始工单与合并批关联等。</w:t>
            </w:r>
          </w:p>
        </w:tc>
      </w:tr>
      <w:tr w14:paraId="3886A5B4">
        <w:tblPrEx>
          <w:tblCellMar>
            <w:top w:w="0" w:type="dxa"/>
            <w:left w:w="108" w:type="dxa"/>
            <w:bottom w:w="0" w:type="dxa"/>
            <w:right w:w="108" w:type="dxa"/>
          </w:tblCellMar>
        </w:tblPrEx>
        <w:trPr>
          <w:trHeight w:val="2072"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6684B5D8">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0882965">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工单</w:t>
            </w:r>
          </w:p>
          <w:p w14:paraId="54A7E0C3">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分批</w:t>
            </w:r>
          </w:p>
        </w:tc>
        <w:tc>
          <w:tcPr>
            <w:tcW w:w="6240" w:type="dxa"/>
            <w:tcBorders>
              <w:top w:val="single" w:color="000000" w:sz="4" w:space="0"/>
              <w:left w:val="single" w:color="000000" w:sz="4" w:space="0"/>
              <w:bottom w:val="single" w:color="000000" w:sz="4" w:space="0"/>
              <w:right w:val="single" w:color="000000" w:sz="4" w:space="0"/>
            </w:tcBorders>
            <w:vAlign w:val="center"/>
          </w:tcPr>
          <w:p w14:paraId="024CECCF">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支持依生产策划，按物料情况拆分为多个“子批”并行生产；子批启动作业计划需与原工单绑定，实现批次跟踪。分批操作与ERP实时双向同步，维护原始工单与子批层级关联等。</w:t>
            </w:r>
          </w:p>
        </w:tc>
      </w:tr>
      <w:tr w14:paraId="2A56D341">
        <w:tblPrEx>
          <w:tblCellMar>
            <w:top w:w="0" w:type="dxa"/>
            <w:left w:w="108" w:type="dxa"/>
            <w:bottom w:w="0" w:type="dxa"/>
            <w:right w:w="108" w:type="dxa"/>
          </w:tblCellMar>
        </w:tblPrEx>
        <w:trPr>
          <w:trHeight w:val="1093"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5F1BCBF7">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35530489">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物资齐套查询</w:t>
            </w:r>
          </w:p>
        </w:tc>
        <w:tc>
          <w:tcPr>
            <w:tcW w:w="6240" w:type="dxa"/>
            <w:tcBorders>
              <w:top w:val="single" w:color="000000" w:sz="4" w:space="0"/>
              <w:left w:val="single" w:color="000000" w:sz="4" w:space="0"/>
              <w:bottom w:val="single" w:color="000000" w:sz="4" w:space="0"/>
              <w:right w:val="single" w:color="000000" w:sz="4" w:space="0"/>
            </w:tcBorders>
            <w:vAlign w:val="center"/>
          </w:tcPr>
          <w:p w14:paraId="38D0989E">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依据工单配料表要求，一键查询WMS系统库存信息，输出缺料清单；支持一键锁定物料库存等。</w:t>
            </w:r>
          </w:p>
        </w:tc>
      </w:tr>
      <w:tr w14:paraId="46DBD1B3">
        <w:tblPrEx>
          <w:tblCellMar>
            <w:top w:w="0" w:type="dxa"/>
            <w:left w:w="108" w:type="dxa"/>
            <w:bottom w:w="0" w:type="dxa"/>
            <w:right w:w="108" w:type="dxa"/>
          </w:tblCellMar>
        </w:tblPrEx>
        <w:trPr>
          <w:trHeight w:val="1699"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562A0699">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677EA83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生产准备检查</w:t>
            </w:r>
          </w:p>
        </w:tc>
        <w:tc>
          <w:tcPr>
            <w:tcW w:w="6240" w:type="dxa"/>
            <w:tcBorders>
              <w:top w:val="single" w:color="000000" w:sz="4" w:space="0"/>
              <w:left w:val="single" w:color="000000" w:sz="4" w:space="0"/>
              <w:bottom w:val="single" w:color="000000" w:sz="4" w:space="0"/>
              <w:right w:val="single" w:color="000000" w:sz="4" w:space="0"/>
            </w:tcBorders>
            <w:vAlign w:val="center"/>
          </w:tcPr>
          <w:p w14:paraId="7AF3B8FD">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覆盖人员、工装设备、物料、工艺文件、设计资料等要素的准备检查；自动检查齐套性并生成缺项清单；跟踪准备进度并设置滞后预警；明确生产准备状态判定规则等。</w:t>
            </w:r>
          </w:p>
        </w:tc>
      </w:tr>
      <w:tr w14:paraId="44C0874F">
        <w:tblPrEx>
          <w:tblCellMar>
            <w:top w:w="0" w:type="dxa"/>
            <w:left w:w="108" w:type="dxa"/>
            <w:bottom w:w="0" w:type="dxa"/>
            <w:right w:w="108" w:type="dxa"/>
          </w:tblCellMar>
        </w:tblPrEx>
        <w:trPr>
          <w:trHeight w:val="300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37E0347D">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811A105">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工单</w:t>
            </w:r>
          </w:p>
          <w:p w14:paraId="350EDDA1">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排程</w:t>
            </w:r>
          </w:p>
        </w:tc>
        <w:tc>
          <w:tcPr>
            <w:tcW w:w="6240" w:type="dxa"/>
            <w:tcBorders>
              <w:top w:val="single" w:color="000000" w:sz="4" w:space="0"/>
              <w:left w:val="single" w:color="000000" w:sz="4" w:space="0"/>
              <w:bottom w:val="single" w:color="000000" w:sz="4" w:space="0"/>
              <w:right w:val="single" w:color="000000" w:sz="4" w:space="0"/>
            </w:tcBorders>
            <w:vAlign w:val="center"/>
          </w:tcPr>
          <w:p w14:paraId="0FD635E0">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kern w:val="0"/>
                <w:sz w:val="28"/>
                <w:szCs w:val="28"/>
                <w:lang w:bidi="ar"/>
              </w:rPr>
              <w:t>支持基础排程策略（如正排/倒排、优先级设定）、和可视化调整（甘特图拖拽）；允许调整排产资源及约束规则；排程结果直接指导车间执行（如工单下发、设备派工），并同步反馈执行进度，形成“排程-执行-反馈”的闭环；支持将已有排产计划一键转换为模板，实现工单在现有产线/设备上的快速短期排程优化</w:t>
            </w:r>
            <w:r>
              <w:rPr>
                <w:rFonts w:hint="eastAsia" w:ascii="仿宋_GB2312" w:hAnsi="仿宋_GB2312" w:eastAsia="仿宋_GB2312" w:cs="仿宋_GB2312"/>
                <w:color w:val="000000"/>
                <w:kern w:val="0"/>
                <w:sz w:val="28"/>
                <w:szCs w:val="28"/>
                <w:lang w:bidi="ar"/>
              </w:rPr>
              <w:t>等</w:t>
            </w:r>
            <w:r>
              <w:rPr>
                <w:rFonts w:hint="eastAsia" w:ascii="仿宋_GB2312" w:hAnsi="仿宋_GB2312" w:eastAsia="仿宋_GB2312" w:cs="仿宋_GB2312"/>
                <w:kern w:val="0"/>
                <w:sz w:val="28"/>
                <w:szCs w:val="28"/>
                <w:lang w:bidi="ar"/>
              </w:rPr>
              <w:t>。</w:t>
            </w:r>
          </w:p>
        </w:tc>
      </w:tr>
      <w:tr w14:paraId="356DBE4C">
        <w:tblPrEx>
          <w:tblCellMar>
            <w:top w:w="0" w:type="dxa"/>
            <w:left w:w="108" w:type="dxa"/>
            <w:bottom w:w="0" w:type="dxa"/>
            <w:right w:w="108" w:type="dxa"/>
          </w:tblCellMar>
        </w:tblPrEx>
        <w:trPr>
          <w:trHeight w:val="109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3DD1100">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3162ABC">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工单</w:t>
            </w:r>
          </w:p>
          <w:p w14:paraId="22A95F9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下发</w:t>
            </w:r>
          </w:p>
        </w:tc>
        <w:tc>
          <w:tcPr>
            <w:tcW w:w="6240" w:type="dxa"/>
            <w:tcBorders>
              <w:top w:val="single" w:color="000000" w:sz="4" w:space="0"/>
              <w:left w:val="single" w:color="000000" w:sz="4" w:space="0"/>
              <w:bottom w:val="single" w:color="000000" w:sz="4" w:space="0"/>
              <w:right w:val="single" w:color="000000" w:sz="4" w:space="0"/>
            </w:tcBorders>
            <w:vAlign w:val="center"/>
          </w:tcPr>
          <w:p w14:paraId="3E8E1445">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跨班组/部门下发工单，自动生成二维码与物料配套单；支持“缺项下发”并标记缺项等。</w:t>
            </w:r>
          </w:p>
        </w:tc>
      </w:tr>
      <w:tr w14:paraId="45BE0285">
        <w:tblPrEx>
          <w:tblCellMar>
            <w:top w:w="0" w:type="dxa"/>
            <w:left w:w="108" w:type="dxa"/>
            <w:bottom w:w="0" w:type="dxa"/>
            <w:right w:w="108" w:type="dxa"/>
          </w:tblCellMar>
        </w:tblPrEx>
        <w:trPr>
          <w:trHeight w:val="119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79CE8A23">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5B8547A1">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工单</w:t>
            </w:r>
          </w:p>
          <w:p w14:paraId="791896E5">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激活</w:t>
            </w:r>
          </w:p>
        </w:tc>
        <w:tc>
          <w:tcPr>
            <w:tcW w:w="6240" w:type="dxa"/>
            <w:tcBorders>
              <w:top w:val="single" w:color="000000" w:sz="4" w:space="0"/>
              <w:left w:val="single" w:color="000000" w:sz="4" w:space="0"/>
              <w:bottom w:val="single" w:color="000000" w:sz="4" w:space="0"/>
              <w:right w:val="single" w:color="000000" w:sz="4" w:space="0"/>
            </w:tcBorders>
            <w:vAlign w:val="center"/>
          </w:tcPr>
          <w:p w14:paraId="32FB430D">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自动生成物料配套申请，审批后推送至WMS；自动触发派工，实现物料准备与生产执行衔接等。</w:t>
            </w:r>
          </w:p>
        </w:tc>
      </w:tr>
      <w:tr w14:paraId="3BB76368">
        <w:tblPrEx>
          <w:tblCellMar>
            <w:top w:w="0" w:type="dxa"/>
            <w:left w:w="108" w:type="dxa"/>
            <w:bottom w:w="0" w:type="dxa"/>
            <w:right w:w="108" w:type="dxa"/>
          </w:tblCellMar>
        </w:tblPrEx>
        <w:trPr>
          <w:trHeight w:val="169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7D91EBC">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3273C85">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工单</w:t>
            </w:r>
          </w:p>
          <w:p w14:paraId="0BB136C0">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变更</w:t>
            </w:r>
          </w:p>
        </w:tc>
        <w:tc>
          <w:tcPr>
            <w:tcW w:w="6240" w:type="dxa"/>
            <w:tcBorders>
              <w:top w:val="single" w:color="000000" w:sz="4" w:space="0"/>
              <w:left w:val="single" w:color="000000" w:sz="4" w:space="0"/>
              <w:bottom w:val="single" w:color="000000" w:sz="4" w:space="0"/>
              <w:right w:val="single" w:color="000000" w:sz="4" w:space="0"/>
            </w:tcBorders>
            <w:vAlign w:val="center"/>
          </w:tcPr>
          <w:p w14:paraId="4474873A">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支持动态调整、变更生产作业计划，计划发生变更后自动产生变更记录；记录变更时间节点、变更人、变更原因等关键信息，并将调整信息、影响范围等自动反馈给调度人员、操作工人等。</w:t>
            </w:r>
          </w:p>
        </w:tc>
      </w:tr>
      <w:tr w14:paraId="6EC64C1F">
        <w:tblPrEx>
          <w:tblCellMar>
            <w:top w:w="0" w:type="dxa"/>
            <w:left w:w="108" w:type="dxa"/>
            <w:bottom w:w="0" w:type="dxa"/>
            <w:right w:w="108" w:type="dxa"/>
          </w:tblCellMar>
        </w:tblPrEx>
        <w:trPr>
          <w:trHeight w:val="233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70E81A8D">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45E1AB49">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工单</w:t>
            </w:r>
          </w:p>
          <w:p w14:paraId="3A15E726">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派工</w:t>
            </w:r>
          </w:p>
        </w:tc>
        <w:tc>
          <w:tcPr>
            <w:tcW w:w="6240" w:type="dxa"/>
            <w:tcBorders>
              <w:top w:val="single" w:color="000000" w:sz="4" w:space="0"/>
              <w:left w:val="single" w:color="000000" w:sz="4" w:space="0"/>
              <w:bottom w:val="single" w:color="000000" w:sz="4" w:space="0"/>
              <w:right w:val="single" w:color="000000" w:sz="4" w:space="0"/>
            </w:tcBorders>
            <w:vAlign w:val="center"/>
          </w:tcPr>
          <w:p w14:paraId="52892A31">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采用两级派工模式（计划员到班组、班组到人员）；支持自动与手动派工，允许派工调整；设置派工策略，支持批量派工，支持按照最优、最熟悉等多种规则一键派工，支持多工序合并派工，支持派工至设备、工位、班组、个人等不同对象等。</w:t>
            </w:r>
          </w:p>
        </w:tc>
      </w:tr>
      <w:tr w14:paraId="5F4EBA5D">
        <w:tblPrEx>
          <w:tblCellMar>
            <w:top w:w="0" w:type="dxa"/>
            <w:left w:w="108" w:type="dxa"/>
            <w:bottom w:w="0" w:type="dxa"/>
            <w:right w:w="108" w:type="dxa"/>
          </w:tblCellMar>
        </w:tblPrEx>
        <w:trPr>
          <w:trHeight w:val="198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5BC748B3">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9CC324F">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工单</w:t>
            </w:r>
          </w:p>
          <w:p w14:paraId="0E557625">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监控</w:t>
            </w:r>
          </w:p>
        </w:tc>
        <w:tc>
          <w:tcPr>
            <w:tcW w:w="6240" w:type="dxa"/>
            <w:tcBorders>
              <w:top w:val="single" w:color="000000" w:sz="4" w:space="0"/>
              <w:left w:val="single" w:color="000000" w:sz="4" w:space="0"/>
              <w:bottom w:val="single" w:color="000000" w:sz="4" w:space="0"/>
              <w:right w:val="single" w:color="000000" w:sz="4" w:space="0"/>
            </w:tcBorders>
            <w:vAlign w:val="center"/>
          </w:tcPr>
          <w:p w14:paraId="13023CD6">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通过不同颜色和状态标记醒目的展示各工单执行情况，包括工单完成进度、变更状态、预警状态，关联生产计划的完成进度、预警状态、实际完成时间等信息，并可自定义生产相关统计分析报表等。</w:t>
            </w:r>
          </w:p>
        </w:tc>
      </w:tr>
      <w:tr w14:paraId="51A36F91">
        <w:tblPrEx>
          <w:tblCellMar>
            <w:top w:w="0" w:type="dxa"/>
            <w:left w:w="108" w:type="dxa"/>
            <w:bottom w:w="0" w:type="dxa"/>
            <w:right w:w="108" w:type="dxa"/>
          </w:tblCellMar>
        </w:tblPrEx>
        <w:trPr>
          <w:trHeight w:val="138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0FFEE791">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30ADBCC6">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工单</w:t>
            </w:r>
          </w:p>
          <w:p w14:paraId="0AA2ACB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查询</w:t>
            </w:r>
          </w:p>
        </w:tc>
        <w:tc>
          <w:tcPr>
            <w:tcW w:w="6240" w:type="dxa"/>
            <w:tcBorders>
              <w:top w:val="single" w:color="000000" w:sz="4" w:space="0"/>
              <w:left w:val="single" w:color="000000" w:sz="4" w:space="0"/>
              <w:bottom w:val="single" w:color="000000" w:sz="4" w:space="0"/>
              <w:right w:val="single" w:color="000000" w:sz="4" w:space="0"/>
            </w:tcBorders>
            <w:vAlign w:val="center"/>
          </w:tcPr>
          <w:p w14:paraId="1849932F">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按工单编号、物料号、项目代码、工单下达日期、工单生成日期、工单状态、工单类型等多维度筛选，进行组合查询等。</w:t>
            </w:r>
          </w:p>
        </w:tc>
      </w:tr>
      <w:tr w14:paraId="16535D57">
        <w:tblPrEx>
          <w:tblCellMar>
            <w:top w:w="0" w:type="dxa"/>
            <w:left w:w="108" w:type="dxa"/>
            <w:bottom w:w="0" w:type="dxa"/>
            <w:right w:w="108" w:type="dxa"/>
          </w:tblCellMar>
        </w:tblPrEx>
        <w:trPr>
          <w:trHeight w:val="113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3AEFE7D4">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38D8B74">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批次</w:t>
            </w:r>
          </w:p>
          <w:p w14:paraId="6666FD2A">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12E01D48">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根据实际生产情况，系统支持工单批次的生成、拆分、合并、暂停等业务操作等。</w:t>
            </w:r>
          </w:p>
        </w:tc>
      </w:tr>
      <w:tr w14:paraId="17FC761C">
        <w:tblPrEx>
          <w:tblCellMar>
            <w:top w:w="0" w:type="dxa"/>
            <w:left w:w="108" w:type="dxa"/>
            <w:bottom w:w="0" w:type="dxa"/>
            <w:right w:w="108" w:type="dxa"/>
          </w:tblCellMar>
        </w:tblPrEx>
        <w:trPr>
          <w:trHeight w:val="143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1F37C605">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1F10BB8">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工单返工管理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5F67FFB2">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支持创建返工工单并关联原工单信息，调整BOM物料；设置优先级等。</w:t>
            </w:r>
          </w:p>
        </w:tc>
      </w:tr>
      <w:tr w14:paraId="7765E318">
        <w:tblPrEx>
          <w:tblCellMar>
            <w:top w:w="0" w:type="dxa"/>
            <w:left w:w="108" w:type="dxa"/>
            <w:bottom w:w="0" w:type="dxa"/>
            <w:right w:w="108" w:type="dxa"/>
          </w:tblCellMar>
        </w:tblPrEx>
        <w:trPr>
          <w:trHeight w:val="112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3BAFB252">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363DD906">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工单外协管理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73560156">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支持拆分外协任务并转出，经审批后同步至ERP；允许撤回未转出的外协任务。</w:t>
            </w:r>
          </w:p>
        </w:tc>
      </w:tr>
      <w:tr w14:paraId="29B1DC72">
        <w:tblPrEx>
          <w:tblCellMar>
            <w:top w:w="0" w:type="dxa"/>
            <w:left w:w="108" w:type="dxa"/>
            <w:bottom w:w="0" w:type="dxa"/>
            <w:right w:w="108" w:type="dxa"/>
          </w:tblCellMar>
        </w:tblPrEx>
        <w:trPr>
          <w:trHeight w:val="143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94D4CF8">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CF6D7EC">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插单</w:t>
            </w:r>
          </w:p>
          <w:p w14:paraId="0FE83882">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267A5C04">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建立紧急插单分级审批流程，自动调整工单优先级；基于有限能力重新排程并可视化展示差异，确保快速响应与影响最小化等。</w:t>
            </w:r>
          </w:p>
        </w:tc>
      </w:tr>
      <w:tr w14:paraId="6F05C8E3">
        <w:tblPrEx>
          <w:tblCellMar>
            <w:top w:w="0" w:type="dxa"/>
            <w:left w:w="108" w:type="dxa"/>
            <w:bottom w:w="0" w:type="dxa"/>
            <w:right w:w="108" w:type="dxa"/>
          </w:tblCellMar>
        </w:tblPrEx>
        <w:trPr>
          <w:trHeight w:val="138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7133A18A">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3D237415">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临时任务管理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3380DE6A">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支持设备维护、专项安排等非生产性临时工单发起、审批，引用通用工艺路线，关联原产品生产订单，完成成本归集等。</w:t>
            </w:r>
          </w:p>
        </w:tc>
      </w:tr>
      <w:tr w14:paraId="7258CE5B">
        <w:tblPrEx>
          <w:tblCellMar>
            <w:top w:w="0" w:type="dxa"/>
            <w:left w:w="108" w:type="dxa"/>
            <w:bottom w:w="0" w:type="dxa"/>
            <w:right w:w="108" w:type="dxa"/>
          </w:tblCellMar>
        </w:tblPrEx>
        <w:trPr>
          <w:trHeight w:val="214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2048BB7">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66F4549">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更改贯彻管理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1C14F0CF">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接收设计技术通知单、工艺更改信息，发放给受影响的环节进行贯彻，提供更改显性化接收、更改贯彻策划的功能；支持对生产计划、物资配套、实物处置等进行更改落实；记录贯彻状态，支持更改落实闭环追溯等。</w:t>
            </w:r>
          </w:p>
        </w:tc>
      </w:tr>
      <w:tr w14:paraId="450235A0">
        <w:tblPrEx>
          <w:tblCellMar>
            <w:top w:w="0" w:type="dxa"/>
            <w:left w:w="108" w:type="dxa"/>
            <w:bottom w:w="0" w:type="dxa"/>
            <w:right w:w="108" w:type="dxa"/>
          </w:tblCellMar>
        </w:tblPrEx>
        <w:trPr>
          <w:trHeight w:val="137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06381AE6">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ABB840D">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报表</w:t>
            </w:r>
          </w:p>
          <w:p w14:paraId="42556D3A">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0EA1210F">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建立多周期生产计划机制与预警功能；生成多维度报表（计划、生产、工单等），支持自定义报表，为决策提供依据等。</w:t>
            </w:r>
          </w:p>
        </w:tc>
      </w:tr>
      <w:tr w14:paraId="37426116">
        <w:tblPrEx>
          <w:tblCellMar>
            <w:top w:w="0" w:type="dxa"/>
            <w:left w:w="108" w:type="dxa"/>
            <w:bottom w:w="0" w:type="dxa"/>
            <w:right w:w="108" w:type="dxa"/>
          </w:tblCellMar>
        </w:tblPrEx>
        <w:trPr>
          <w:trHeight w:val="1395" w:hRule="atLeast"/>
        </w:trPr>
        <w:tc>
          <w:tcPr>
            <w:tcW w:w="874" w:type="dxa"/>
            <w:vMerge w:val="restart"/>
            <w:tcBorders>
              <w:top w:val="single" w:color="000000" w:sz="4" w:space="0"/>
              <w:left w:val="single" w:color="000000" w:sz="4" w:space="0"/>
              <w:bottom w:val="single" w:color="000000" w:sz="4" w:space="0"/>
              <w:right w:val="single" w:color="000000" w:sz="4" w:space="0"/>
            </w:tcBorders>
            <w:vAlign w:val="center"/>
          </w:tcPr>
          <w:p w14:paraId="4DA8F923">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生产执行</w:t>
            </w:r>
          </w:p>
        </w:tc>
        <w:tc>
          <w:tcPr>
            <w:tcW w:w="1278" w:type="dxa"/>
            <w:tcBorders>
              <w:top w:val="single" w:color="000000" w:sz="4" w:space="0"/>
              <w:left w:val="single" w:color="000000" w:sz="4" w:space="0"/>
              <w:bottom w:val="single" w:color="000000" w:sz="4" w:space="0"/>
              <w:right w:val="single" w:color="000000" w:sz="4" w:space="0"/>
            </w:tcBorders>
            <w:vAlign w:val="center"/>
          </w:tcPr>
          <w:p w14:paraId="4EB24049">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任务</w:t>
            </w:r>
          </w:p>
          <w:p w14:paraId="397AA25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接收</w:t>
            </w:r>
          </w:p>
        </w:tc>
        <w:tc>
          <w:tcPr>
            <w:tcW w:w="6240" w:type="dxa"/>
            <w:tcBorders>
              <w:top w:val="single" w:color="000000" w:sz="4" w:space="0"/>
              <w:left w:val="single" w:color="000000" w:sz="4" w:space="0"/>
              <w:bottom w:val="single" w:color="000000" w:sz="4" w:space="0"/>
              <w:right w:val="single" w:color="000000" w:sz="4" w:space="0"/>
            </w:tcBorders>
            <w:vAlign w:val="center"/>
          </w:tcPr>
          <w:p w14:paraId="2810FB8A">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支持手动或条码扫描接收任务，工单自动关联工艺图纸，实现无纸化操作；终端实时展示工单进度等信息。</w:t>
            </w:r>
          </w:p>
        </w:tc>
      </w:tr>
      <w:tr w14:paraId="4B1490E8">
        <w:tblPrEx>
          <w:tblCellMar>
            <w:top w:w="0" w:type="dxa"/>
            <w:left w:w="108" w:type="dxa"/>
            <w:bottom w:w="0" w:type="dxa"/>
            <w:right w:w="108" w:type="dxa"/>
          </w:tblCellMar>
        </w:tblPrEx>
        <w:trPr>
          <w:trHeight w:val="1619"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60DA486A">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47E94840">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工序</w:t>
            </w:r>
          </w:p>
          <w:p w14:paraId="0E1BBFD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开工</w:t>
            </w:r>
          </w:p>
        </w:tc>
        <w:tc>
          <w:tcPr>
            <w:tcW w:w="6240" w:type="dxa"/>
            <w:tcBorders>
              <w:top w:val="single" w:color="000000" w:sz="4" w:space="0"/>
              <w:left w:val="single" w:color="000000" w:sz="4" w:space="0"/>
              <w:bottom w:val="single" w:color="000000" w:sz="4" w:space="0"/>
              <w:right w:val="single" w:color="000000" w:sz="4" w:space="0"/>
            </w:tcBorders>
            <w:vAlign w:val="center"/>
          </w:tcPr>
          <w:p w14:paraId="7CBC0207">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扫码工装工具、仪器设备、物料、生产软件程序等资源信息，与工单或产品绑定，核查合规性，记录开工时间，实现全要素管控；同步推送质检通知，启动工序检验管控流程等。</w:t>
            </w:r>
          </w:p>
        </w:tc>
      </w:tr>
      <w:tr w14:paraId="2386C6FD">
        <w:tblPrEx>
          <w:tblCellMar>
            <w:top w:w="0" w:type="dxa"/>
            <w:left w:w="108" w:type="dxa"/>
            <w:bottom w:w="0" w:type="dxa"/>
            <w:right w:w="108" w:type="dxa"/>
          </w:tblCellMar>
        </w:tblPrEx>
        <w:trPr>
          <w:trHeight w:val="1971"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12A47266">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193AE9D">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工序</w:t>
            </w:r>
          </w:p>
          <w:p w14:paraId="0176FEA7">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执行</w:t>
            </w:r>
          </w:p>
        </w:tc>
        <w:tc>
          <w:tcPr>
            <w:tcW w:w="6240" w:type="dxa"/>
            <w:tcBorders>
              <w:top w:val="single" w:color="000000" w:sz="4" w:space="0"/>
              <w:left w:val="single" w:color="000000" w:sz="4" w:space="0"/>
              <w:bottom w:val="single" w:color="000000" w:sz="4" w:space="0"/>
              <w:right w:val="single" w:color="000000" w:sz="4" w:space="0"/>
            </w:tcBorders>
            <w:vAlign w:val="center"/>
          </w:tcPr>
          <w:p w14:paraId="759F84B7">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在线查阅SOP文件，自动匹配图纸与工艺版本；支持工艺流程防呆；管理序号标签打印；支持生成产品提交单并推动检验流程；规范挪料与工序暂停流程等。</w:t>
            </w:r>
          </w:p>
        </w:tc>
      </w:tr>
      <w:tr w14:paraId="4701AE0C">
        <w:tblPrEx>
          <w:tblCellMar>
            <w:top w:w="0" w:type="dxa"/>
            <w:left w:w="108" w:type="dxa"/>
            <w:bottom w:w="0" w:type="dxa"/>
            <w:right w:w="108" w:type="dxa"/>
          </w:tblCellMar>
        </w:tblPrEx>
        <w:trPr>
          <w:trHeight w:val="492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40B92A29">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21EF7AA">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SMT上料防错</w:t>
            </w:r>
          </w:p>
        </w:tc>
        <w:tc>
          <w:tcPr>
            <w:tcW w:w="6240" w:type="dxa"/>
            <w:tcBorders>
              <w:top w:val="single" w:color="000000" w:sz="4" w:space="0"/>
              <w:left w:val="single" w:color="000000" w:sz="4" w:space="0"/>
              <w:bottom w:val="single" w:color="000000" w:sz="4" w:space="0"/>
              <w:right w:val="single" w:color="000000" w:sz="4" w:space="0"/>
            </w:tcBorders>
            <w:vAlign w:val="center"/>
          </w:tcPr>
          <w:p w14:paraId="294BA2BF">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与数据采集模块、产线控制模块集成，在物料装载、核对、更换等各个环节建立多重校验。主要包括：</w:t>
            </w:r>
          </w:p>
          <w:p w14:paraId="6BCB24E2">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1.支持贴片机机台料站表自动同步与离线上传；</w:t>
            </w:r>
          </w:p>
          <w:p w14:paraId="10287FDF">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2.上料/续料时通过扫描料盘、Feeder及站位条码，与料站表实时比对，一致则放行，错误则报警锁机等；</w:t>
            </w:r>
          </w:p>
          <w:p w14:paraId="0D3962BF">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3.续料需通过旧料盘二维码或相邻料盘确认防错；支持定时或触发式对料，异常时停线等；</w:t>
            </w:r>
          </w:p>
          <w:p w14:paraId="294C68BC">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4.自动绑定物料批次、SN与PCBA序列号，实现全追溯等；</w:t>
            </w:r>
          </w:p>
          <w:p w14:paraId="62624478">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5.完整记录操作日志并生成上料记录报表，满足质量分析需求。</w:t>
            </w:r>
          </w:p>
        </w:tc>
      </w:tr>
      <w:tr w14:paraId="6906EF81">
        <w:tblPrEx>
          <w:tblCellMar>
            <w:top w:w="0" w:type="dxa"/>
            <w:left w:w="108" w:type="dxa"/>
            <w:bottom w:w="0" w:type="dxa"/>
            <w:right w:w="108" w:type="dxa"/>
          </w:tblCellMar>
        </w:tblPrEx>
        <w:trPr>
          <w:trHeight w:val="224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01A15C7">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5B819770">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数据</w:t>
            </w:r>
          </w:p>
          <w:p w14:paraId="75D54BA3">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采集</w:t>
            </w:r>
          </w:p>
        </w:tc>
        <w:tc>
          <w:tcPr>
            <w:tcW w:w="6240" w:type="dxa"/>
            <w:tcBorders>
              <w:top w:val="single" w:color="000000" w:sz="4" w:space="0"/>
              <w:left w:val="single" w:color="000000" w:sz="4" w:space="0"/>
              <w:bottom w:val="single" w:color="000000" w:sz="4" w:space="0"/>
              <w:right w:val="single" w:color="000000" w:sz="4" w:space="0"/>
            </w:tcBorders>
            <w:vAlign w:val="center"/>
          </w:tcPr>
          <w:p w14:paraId="0116D27D">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序参数信息采集并与标准值比对，超限时报警；采集电子记录信息，自动生成标准化记录并校验完整性；建立补录审批机制，保障数据完整可追溯。同时，与设备数据采集/产线控制模块集成，获取运行期间的设备数据及相关业务执行数据等。</w:t>
            </w:r>
          </w:p>
        </w:tc>
      </w:tr>
      <w:tr w14:paraId="08D635B2">
        <w:tblPrEx>
          <w:tblCellMar>
            <w:top w:w="0" w:type="dxa"/>
            <w:left w:w="108" w:type="dxa"/>
            <w:bottom w:w="0" w:type="dxa"/>
            <w:right w:w="108" w:type="dxa"/>
          </w:tblCellMar>
        </w:tblPrEx>
        <w:trPr>
          <w:trHeight w:val="217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7CC1D7D9">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8AE9639">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报工</w:t>
            </w:r>
          </w:p>
          <w:p w14:paraId="3A4C5BC3">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2224A412">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具备多种灵活报工方式，支持指派给同一操作人员的多道连续工序，扫码后多道工序批量报工；工序报工自动记录完工信息与工时；末道工序报工校验物料投料情况，关联入库流程，同步数据至ERP等。</w:t>
            </w:r>
          </w:p>
        </w:tc>
      </w:tr>
      <w:tr w14:paraId="5B4409D2">
        <w:tblPrEx>
          <w:tblCellMar>
            <w:top w:w="0" w:type="dxa"/>
            <w:left w:w="108" w:type="dxa"/>
            <w:bottom w:w="0" w:type="dxa"/>
            <w:right w:w="108" w:type="dxa"/>
          </w:tblCellMar>
        </w:tblPrEx>
        <w:trPr>
          <w:trHeight w:val="333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38E5EBC4">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563FFE14">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异常</w:t>
            </w:r>
          </w:p>
          <w:p w14:paraId="692F321F">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0CA63BE0">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分类定义异常；支持多种异常触发，针对不同异常设置响应时间、处理时间、响应人员等基础信息；按等级分级处置，一定时间内未</w:t>
            </w:r>
            <w:r>
              <w:rPr>
                <w:rFonts w:hint="eastAsia" w:ascii="仿宋_GB2312" w:hAnsi="仿宋_GB2312" w:eastAsia="仿宋_GB2312" w:cs="仿宋_GB2312"/>
                <w:kern w:val="0"/>
                <w:sz w:val="28"/>
                <w:szCs w:val="28"/>
                <w:lang w:bidi="ar"/>
              </w:rPr>
              <w:t>处理进行升级跳转；可视化监控处置进度；对各</w:t>
            </w:r>
            <w:r>
              <w:rPr>
                <w:rFonts w:hint="eastAsia" w:ascii="仿宋_GB2312" w:hAnsi="仿宋_GB2312" w:eastAsia="仿宋_GB2312" w:cs="仿宋_GB2312"/>
                <w:color w:val="000000"/>
                <w:kern w:val="0"/>
                <w:sz w:val="28"/>
                <w:szCs w:val="28"/>
                <w:lang w:bidi="ar"/>
              </w:rPr>
              <w:t>类异常数据进行多维度（包括但不限于组织、时段、项目、产品、异常类型、等级、处置方式）统计汇总并分析形成图表，支撑持续改进等。</w:t>
            </w:r>
          </w:p>
        </w:tc>
      </w:tr>
      <w:tr w14:paraId="1CED2216">
        <w:tblPrEx>
          <w:tblCellMar>
            <w:top w:w="0" w:type="dxa"/>
            <w:left w:w="108" w:type="dxa"/>
            <w:bottom w:w="0" w:type="dxa"/>
            <w:right w:w="108" w:type="dxa"/>
          </w:tblCellMar>
        </w:tblPrEx>
        <w:trPr>
          <w:trHeight w:val="116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DE3B8A7">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12C2754A">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工序外协管理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40214C76">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提交工序委外申请，审批后同步至ERP；外协任务转入后自动关联生产任务，支持自动报工与转序等。</w:t>
            </w:r>
          </w:p>
        </w:tc>
      </w:tr>
      <w:tr w14:paraId="0AE5767C">
        <w:tblPrEx>
          <w:tblCellMar>
            <w:top w:w="0" w:type="dxa"/>
            <w:left w:w="108" w:type="dxa"/>
            <w:bottom w:w="0" w:type="dxa"/>
            <w:right w:w="108" w:type="dxa"/>
          </w:tblCellMar>
        </w:tblPrEx>
        <w:trPr>
          <w:trHeight w:val="147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6C6D2B71">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E7A92A5">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返工返修管理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71DD0163">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建立在制品返工返修流程，关联原生产工单并跟踪进度；标准化售后返修流程、记录模板，设置超期提醒，生成超期报告等。</w:t>
            </w:r>
          </w:p>
        </w:tc>
      </w:tr>
      <w:tr w14:paraId="28CC7157">
        <w:tblPrEx>
          <w:tblCellMar>
            <w:top w:w="0" w:type="dxa"/>
            <w:left w:w="108" w:type="dxa"/>
            <w:bottom w:w="0" w:type="dxa"/>
            <w:right w:w="108" w:type="dxa"/>
          </w:tblCellMar>
        </w:tblPrEx>
        <w:trPr>
          <w:trHeight w:val="155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6FECABE3">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3CFB68DE">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工时</w:t>
            </w:r>
          </w:p>
          <w:p w14:paraId="410FC17A">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24137969">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开工、报工记录自动计算实际工时，并支持与标准工时进行对比分析、优化；支持工单工时灵活修正和维护等。</w:t>
            </w:r>
          </w:p>
        </w:tc>
      </w:tr>
      <w:tr w14:paraId="791DB1C4">
        <w:tblPrEx>
          <w:tblCellMar>
            <w:top w:w="0" w:type="dxa"/>
            <w:left w:w="108" w:type="dxa"/>
            <w:bottom w:w="0" w:type="dxa"/>
            <w:right w:w="108" w:type="dxa"/>
          </w:tblCellMar>
        </w:tblPrEx>
        <w:trPr>
          <w:trHeight w:val="109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7FFFC501">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4D6A5D6D">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来料</w:t>
            </w:r>
          </w:p>
          <w:p w14:paraId="05F4E812">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加工</w:t>
            </w:r>
          </w:p>
        </w:tc>
        <w:tc>
          <w:tcPr>
            <w:tcW w:w="6240" w:type="dxa"/>
            <w:tcBorders>
              <w:top w:val="single" w:color="000000" w:sz="4" w:space="0"/>
              <w:left w:val="single" w:color="000000" w:sz="4" w:space="0"/>
              <w:bottom w:val="single" w:color="000000" w:sz="4" w:space="0"/>
              <w:right w:val="single" w:color="000000" w:sz="4" w:space="0"/>
            </w:tcBorders>
            <w:vAlign w:val="center"/>
          </w:tcPr>
          <w:p w14:paraId="41908ED0">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管理来料加工订单全生命周期；规范交接单与结算流程，确保业务流转与费用核算准确等。</w:t>
            </w:r>
          </w:p>
        </w:tc>
      </w:tr>
      <w:tr w14:paraId="3512136C">
        <w:tblPrEx>
          <w:tblCellMar>
            <w:top w:w="0" w:type="dxa"/>
            <w:left w:w="108" w:type="dxa"/>
            <w:bottom w:w="0" w:type="dxa"/>
            <w:right w:w="108" w:type="dxa"/>
          </w:tblCellMar>
        </w:tblPrEx>
        <w:trPr>
          <w:trHeight w:val="177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42D42A80">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5CEFBE3B">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文档</w:t>
            </w:r>
          </w:p>
          <w:p w14:paraId="21DEA297">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400A52A6">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依据GJB9001C、GB/T19001、AS9100D、CCAR-145体系标准建立产品的生产记录与报告模板库；自动提取生产数据生成记录与报告等。</w:t>
            </w:r>
          </w:p>
        </w:tc>
      </w:tr>
      <w:tr w14:paraId="549E28E5">
        <w:tblPrEx>
          <w:tblCellMar>
            <w:top w:w="0" w:type="dxa"/>
            <w:left w:w="108" w:type="dxa"/>
            <w:bottom w:w="0" w:type="dxa"/>
            <w:right w:w="108" w:type="dxa"/>
          </w:tblCellMar>
        </w:tblPrEx>
        <w:trPr>
          <w:trHeight w:val="134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06E1D4CE">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A5CA376">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报表</w:t>
            </w:r>
          </w:p>
          <w:p w14:paraId="39DA808A">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68C4A1EC">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支持生产过程相关报表汇总查询，按订单查询关键进展；提供工时、工艺、产品提交单等细分报表，支持自定义报表等。</w:t>
            </w:r>
          </w:p>
        </w:tc>
      </w:tr>
      <w:tr w14:paraId="0D2CB43A">
        <w:tblPrEx>
          <w:tblCellMar>
            <w:top w:w="0" w:type="dxa"/>
            <w:left w:w="108" w:type="dxa"/>
            <w:bottom w:w="0" w:type="dxa"/>
            <w:right w:w="108" w:type="dxa"/>
          </w:tblCellMar>
        </w:tblPrEx>
        <w:trPr>
          <w:trHeight w:val="1917" w:hRule="atLeast"/>
        </w:trPr>
        <w:tc>
          <w:tcPr>
            <w:tcW w:w="874" w:type="dxa"/>
            <w:vMerge w:val="restart"/>
            <w:tcBorders>
              <w:top w:val="single" w:color="000000" w:sz="4" w:space="0"/>
              <w:left w:val="single" w:color="000000" w:sz="4" w:space="0"/>
              <w:bottom w:val="single" w:color="000000" w:sz="4" w:space="0"/>
              <w:right w:val="single" w:color="000000" w:sz="4" w:space="0"/>
            </w:tcBorders>
            <w:vAlign w:val="center"/>
          </w:tcPr>
          <w:p w14:paraId="0ADCD0EA">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过程质量管理</w:t>
            </w:r>
          </w:p>
        </w:tc>
        <w:tc>
          <w:tcPr>
            <w:tcW w:w="1278" w:type="dxa"/>
            <w:tcBorders>
              <w:top w:val="single" w:color="000000" w:sz="4" w:space="0"/>
              <w:left w:val="single" w:color="000000" w:sz="4" w:space="0"/>
              <w:bottom w:val="single" w:color="000000" w:sz="4" w:space="0"/>
              <w:right w:val="single" w:color="000000" w:sz="4" w:space="0"/>
            </w:tcBorders>
            <w:vAlign w:val="center"/>
          </w:tcPr>
          <w:p w14:paraId="2F3CCB1C">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检验任务管理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558A12CC">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构建覆盖装配检验、调试检验、包装检验、返修品验收、最终检业务等，维护检验方案、检验计划、检验项目、检验任务、缺陷信息等；分配检验任务并设定优先级，保障关键任务优先执行等。</w:t>
            </w:r>
          </w:p>
        </w:tc>
      </w:tr>
      <w:tr w14:paraId="030F4B24">
        <w:tblPrEx>
          <w:tblCellMar>
            <w:top w:w="0" w:type="dxa"/>
            <w:left w:w="108" w:type="dxa"/>
            <w:bottom w:w="0" w:type="dxa"/>
            <w:right w:w="108" w:type="dxa"/>
          </w:tblCellMar>
        </w:tblPrEx>
        <w:trPr>
          <w:trHeight w:val="150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422BA805">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F28638B">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工序</w:t>
            </w:r>
          </w:p>
          <w:p w14:paraId="0B8AEE8A">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检验</w:t>
            </w:r>
          </w:p>
        </w:tc>
        <w:tc>
          <w:tcPr>
            <w:tcW w:w="6240" w:type="dxa"/>
            <w:tcBorders>
              <w:top w:val="single" w:color="000000" w:sz="4" w:space="0"/>
              <w:left w:val="single" w:color="000000" w:sz="4" w:space="0"/>
              <w:bottom w:val="single" w:color="000000" w:sz="4" w:space="0"/>
              <w:right w:val="single" w:color="000000" w:sz="4" w:space="0"/>
            </w:tcBorders>
            <w:vAlign w:val="center"/>
          </w:tcPr>
          <w:p w14:paraId="507481C8">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执行工序专检、首件检验、过程巡检、最终检等；自动生成过程检验记录等。</w:t>
            </w:r>
          </w:p>
        </w:tc>
      </w:tr>
      <w:tr w14:paraId="2D33283F">
        <w:tblPrEx>
          <w:tblCellMar>
            <w:top w:w="0" w:type="dxa"/>
            <w:left w:w="108" w:type="dxa"/>
            <w:bottom w:w="0" w:type="dxa"/>
            <w:right w:w="108" w:type="dxa"/>
          </w:tblCellMar>
        </w:tblPrEx>
        <w:trPr>
          <w:trHeight w:val="156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52063DF9">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64E2BEE7">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不合格品管理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5DFC71CF">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发起不合格品审理流程，同步至QMS；依据QMS反馈结果，执行返修、返工、报废等处置，报废时触发重投计划等。</w:t>
            </w:r>
          </w:p>
        </w:tc>
      </w:tr>
      <w:tr w14:paraId="619CAD14">
        <w:tblPrEx>
          <w:tblCellMar>
            <w:top w:w="0" w:type="dxa"/>
            <w:left w:w="108" w:type="dxa"/>
            <w:bottom w:w="0" w:type="dxa"/>
            <w:right w:w="108" w:type="dxa"/>
          </w:tblCellMar>
        </w:tblPrEx>
        <w:trPr>
          <w:trHeight w:val="1445" w:hRule="atLeast"/>
        </w:trPr>
        <w:tc>
          <w:tcPr>
            <w:tcW w:w="874" w:type="dxa"/>
            <w:vMerge w:val="restart"/>
            <w:tcBorders>
              <w:top w:val="single" w:color="000000" w:sz="4" w:space="0"/>
              <w:left w:val="single" w:color="000000" w:sz="4" w:space="0"/>
              <w:bottom w:val="single" w:color="000000" w:sz="4" w:space="0"/>
              <w:right w:val="single" w:color="000000" w:sz="4" w:space="0"/>
            </w:tcBorders>
            <w:vAlign w:val="center"/>
          </w:tcPr>
          <w:p w14:paraId="2CB6B478">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物料管理</w:t>
            </w:r>
          </w:p>
        </w:tc>
        <w:tc>
          <w:tcPr>
            <w:tcW w:w="1278" w:type="dxa"/>
            <w:tcBorders>
              <w:top w:val="single" w:color="000000" w:sz="4" w:space="0"/>
              <w:left w:val="single" w:color="000000" w:sz="4" w:space="0"/>
              <w:bottom w:val="single" w:color="000000" w:sz="4" w:space="0"/>
              <w:right w:val="single" w:color="000000" w:sz="4" w:space="0"/>
            </w:tcBorders>
            <w:vAlign w:val="center"/>
          </w:tcPr>
          <w:p w14:paraId="27BA566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材料定额管理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22ACBDAB">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全流程闭环管理材料定额，分解至工序/工位级；生成配料单并监控消耗，超限时触发预警；支持定额调整等。</w:t>
            </w:r>
          </w:p>
        </w:tc>
      </w:tr>
      <w:tr w14:paraId="62A71EFE">
        <w:tblPrEx>
          <w:tblCellMar>
            <w:top w:w="0" w:type="dxa"/>
            <w:left w:w="108" w:type="dxa"/>
            <w:bottom w:w="0" w:type="dxa"/>
            <w:right w:w="108" w:type="dxa"/>
          </w:tblCellMar>
        </w:tblPrEx>
        <w:trPr>
          <w:trHeight w:val="965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1DD3F5D0">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1774E532">
            <w:pPr>
              <w:widowControl/>
              <w:adjustRightInd w:val="0"/>
              <w:snapToGrid w:val="0"/>
              <w:spacing w:line="40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特殊物料管理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28BB1EB2">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与设备数据采集模块、产线控制模块集成，实现SMT生产所需的钢网、刮刀、FEEDER、焊膏和湿敏器件等全面管控：</w:t>
            </w:r>
          </w:p>
          <w:p w14:paraId="2D2FC147">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钢网管控：物料编码与PCB料号、版本号关联绑定；生命周期管理（最大使用次数、记录使用次数、清洗次数、张力测试日期及结果等）；状态管理（可用、使用中、清洗中、待检验、报废等）；存储位管理等。</w:t>
            </w:r>
          </w:p>
          <w:p w14:paraId="2BADE199">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刮刀管理：基于使用次数或时间自动预警更换的寿命管理等。</w:t>
            </w:r>
          </w:p>
          <w:p w14:paraId="0B5B371C">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Feeder管理：物料编码并关联型号（如8mm、编带、管装）；状态管理（校准OK、校准NG、维修中、报废）；记录最后一次校准时间和结果；记录当前安装在贴片机的站位，实现贴装机位绑定等。</w:t>
            </w:r>
          </w:p>
          <w:p w14:paraId="15377BE3">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锡膏管理：生产全程追溯锡膏批次号；进行有效期管理，对冷藏有效期、回温时间计时、开封后使用时效计时，系统超时自动锁定并预警；与冰箱、温湿度传感器集成，实现温湿度监控；扫描工单与焊膏批次，确保型号正确且在有效期内，做好投料核对等。</w:t>
            </w:r>
          </w:p>
          <w:p w14:paraId="74F1FF55">
            <w:pPr>
              <w:widowControl/>
              <w:adjustRightInd w:val="0"/>
              <w:snapToGrid w:val="0"/>
              <w:spacing w:line="400" w:lineRule="exact"/>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湿敏器件管理：建立生产过程湿敏管理机制，跟踪拆包、暴露时间及存储条件，避免湿敏失效导致质量问题</w:t>
            </w:r>
            <w:r>
              <w:rPr>
                <w:rFonts w:hint="eastAsia" w:ascii="仿宋_GB2312" w:hAnsi="仿宋_GB2312" w:eastAsia="仿宋_GB2312" w:cs="仿宋_GB2312"/>
                <w:color w:val="000000"/>
                <w:kern w:val="0"/>
                <w:sz w:val="28"/>
                <w:szCs w:val="28"/>
                <w:lang w:bidi="ar"/>
              </w:rPr>
              <w:t>等</w:t>
            </w:r>
            <w:r>
              <w:rPr>
                <w:rFonts w:hint="eastAsia" w:ascii="仿宋_GB2312" w:hAnsi="仿宋_GB2312" w:eastAsia="仿宋_GB2312" w:cs="仿宋_GB2312"/>
                <w:kern w:val="0"/>
                <w:sz w:val="28"/>
                <w:szCs w:val="28"/>
                <w:lang w:bidi="ar"/>
              </w:rPr>
              <w:t>。</w:t>
            </w:r>
          </w:p>
        </w:tc>
      </w:tr>
      <w:tr w14:paraId="04B6CD4F">
        <w:tblPrEx>
          <w:tblCellMar>
            <w:top w:w="0" w:type="dxa"/>
            <w:left w:w="108" w:type="dxa"/>
            <w:bottom w:w="0" w:type="dxa"/>
            <w:right w:w="108" w:type="dxa"/>
          </w:tblCellMar>
        </w:tblPrEx>
        <w:trPr>
          <w:trHeight w:val="178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5010AE23">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44653BC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出入库管控</w:t>
            </w:r>
          </w:p>
        </w:tc>
        <w:tc>
          <w:tcPr>
            <w:tcW w:w="6240" w:type="dxa"/>
            <w:tcBorders>
              <w:top w:val="single" w:color="000000" w:sz="4" w:space="0"/>
              <w:left w:val="single" w:color="000000" w:sz="4" w:space="0"/>
              <w:bottom w:val="single" w:color="000000" w:sz="4" w:space="0"/>
              <w:right w:val="single" w:color="000000" w:sz="4" w:space="0"/>
            </w:tcBorders>
            <w:vAlign w:val="center"/>
          </w:tcPr>
          <w:p w14:paraId="45294C57">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支持虚拟入库简化跨工段流转；规范实物出入库审批流程，同步数据至WMS；与亮灯货架对接，对未完工工单物料进行管理，关联相关数据，满足临时存放需求等。</w:t>
            </w:r>
          </w:p>
        </w:tc>
      </w:tr>
      <w:tr w14:paraId="7A76E50F">
        <w:tblPrEx>
          <w:tblCellMar>
            <w:top w:w="0" w:type="dxa"/>
            <w:left w:w="108" w:type="dxa"/>
            <w:bottom w:w="0" w:type="dxa"/>
            <w:right w:w="108" w:type="dxa"/>
          </w:tblCellMar>
        </w:tblPrEx>
        <w:trPr>
          <w:trHeight w:val="152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374CCAAB">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5254C5E7">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流转</w:t>
            </w:r>
          </w:p>
          <w:p w14:paraId="0929F6E3">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交接</w:t>
            </w:r>
          </w:p>
        </w:tc>
        <w:tc>
          <w:tcPr>
            <w:tcW w:w="6240" w:type="dxa"/>
            <w:tcBorders>
              <w:top w:val="single" w:color="000000" w:sz="4" w:space="0"/>
              <w:left w:val="single" w:color="000000" w:sz="4" w:space="0"/>
              <w:bottom w:val="single" w:color="000000" w:sz="4" w:space="0"/>
              <w:right w:val="single" w:color="000000" w:sz="4" w:space="0"/>
            </w:tcBorders>
            <w:vAlign w:val="center"/>
          </w:tcPr>
          <w:p w14:paraId="7A9B1DD8">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批次产品打印唯一二维码标签，工序交接扫码确认；车间外部转序通过电子转序单完成交接，提升流转效率与准确性等。</w:t>
            </w:r>
          </w:p>
        </w:tc>
      </w:tr>
      <w:tr w14:paraId="6EAE9FF0">
        <w:tblPrEx>
          <w:tblCellMar>
            <w:top w:w="0" w:type="dxa"/>
            <w:left w:w="108" w:type="dxa"/>
            <w:bottom w:w="0" w:type="dxa"/>
            <w:right w:w="108" w:type="dxa"/>
          </w:tblCellMar>
        </w:tblPrEx>
        <w:trPr>
          <w:trHeight w:val="214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6EDCF685">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63E0422B">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物料配送管理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00E51F16">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预留AGV对接接口；基于工单配料表拆分配送需求，通过调度AGV,构建拉动式配送体系；</w:t>
            </w:r>
          </w:p>
          <w:p w14:paraId="0019A9C3">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与WMS系统对接，支持紧急叫料、报废补料、工单退料等多场景管理，保障物料及时供应与规范流转等。</w:t>
            </w:r>
          </w:p>
        </w:tc>
      </w:tr>
      <w:tr w14:paraId="53299B54">
        <w:tblPrEx>
          <w:tblCellMar>
            <w:top w:w="0" w:type="dxa"/>
            <w:left w:w="108" w:type="dxa"/>
            <w:bottom w:w="0" w:type="dxa"/>
            <w:right w:w="108" w:type="dxa"/>
          </w:tblCellMar>
        </w:tblPrEx>
        <w:trPr>
          <w:trHeight w:val="1925" w:hRule="atLeast"/>
        </w:trPr>
        <w:tc>
          <w:tcPr>
            <w:tcW w:w="874" w:type="dxa"/>
            <w:vMerge w:val="restart"/>
            <w:tcBorders>
              <w:top w:val="single" w:color="000000" w:sz="4" w:space="0"/>
              <w:left w:val="single" w:color="000000" w:sz="4" w:space="0"/>
              <w:bottom w:val="single" w:color="000000" w:sz="4" w:space="0"/>
              <w:right w:val="single" w:color="000000" w:sz="4" w:space="0"/>
            </w:tcBorders>
            <w:vAlign w:val="center"/>
          </w:tcPr>
          <w:p w14:paraId="01DB3867">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追溯管理</w:t>
            </w:r>
          </w:p>
        </w:tc>
        <w:tc>
          <w:tcPr>
            <w:tcW w:w="1278" w:type="dxa"/>
            <w:tcBorders>
              <w:top w:val="single" w:color="000000" w:sz="4" w:space="0"/>
              <w:left w:val="single" w:color="000000" w:sz="4" w:space="0"/>
              <w:bottom w:val="single" w:color="000000" w:sz="4" w:space="0"/>
              <w:right w:val="single" w:color="000000" w:sz="4" w:space="0"/>
            </w:tcBorders>
            <w:vAlign w:val="center"/>
          </w:tcPr>
          <w:p w14:paraId="137268B2">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基础数据绑定</w:t>
            </w:r>
          </w:p>
        </w:tc>
        <w:tc>
          <w:tcPr>
            <w:tcW w:w="6240" w:type="dxa"/>
            <w:tcBorders>
              <w:top w:val="single" w:color="000000" w:sz="4" w:space="0"/>
              <w:left w:val="single" w:color="000000" w:sz="4" w:space="0"/>
              <w:bottom w:val="single" w:color="000000" w:sz="4" w:space="0"/>
              <w:right w:val="single" w:color="000000" w:sz="4" w:space="0"/>
            </w:tcBorders>
            <w:vAlign w:val="center"/>
          </w:tcPr>
          <w:p w14:paraId="7777269F">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建立物料、产品、工艺等数据的强制关联，自动采集物料信息并校验；关键工序设置扫码校验节点，构建多层级追溯链；关联设备、工艺、环境数据，支持版本回滚查询等。</w:t>
            </w:r>
          </w:p>
        </w:tc>
      </w:tr>
      <w:tr w14:paraId="730EB119">
        <w:tblPrEx>
          <w:tblCellMar>
            <w:top w:w="0" w:type="dxa"/>
            <w:left w:w="108" w:type="dxa"/>
            <w:bottom w:w="0" w:type="dxa"/>
            <w:right w:w="108" w:type="dxa"/>
          </w:tblCellMar>
        </w:tblPrEx>
        <w:trPr>
          <w:trHeight w:val="169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3D503F12">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48600A1E">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正向追溯功能</w:t>
            </w:r>
          </w:p>
        </w:tc>
        <w:tc>
          <w:tcPr>
            <w:tcW w:w="6240" w:type="dxa"/>
            <w:tcBorders>
              <w:top w:val="single" w:color="000000" w:sz="4" w:space="0"/>
              <w:left w:val="single" w:color="000000" w:sz="4" w:space="0"/>
              <w:bottom w:val="single" w:color="000000" w:sz="4" w:space="0"/>
              <w:right w:val="single" w:color="000000" w:sz="4" w:space="0"/>
            </w:tcBorders>
            <w:vAlign w:val="center"/>
          </w:tcPr>
          <w:p w14:paraId="5462F2C5">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以“产品物料+序列号”为索引，生成涵盖多类信息的电子履历；支持逐层穿透查询，可视化展示追溯路径，支持多种格式导出等。</w:t>
            </w:r>
          </w:p>
        </w:tc>
      </w:tr>
      <w:tr w14:paraId="273803AF">
        <w:tblPrEx>
          <w:tblCellMar>
            <w:top w:w="0" w:type="dxa"/>
            <w:left w:w="108" w:type="dxa"/>
            <w:bottom w:w="0" w:type="dxa"/>
            <w:right w:w="108" w:type="dxa"/>
          </w:tblCellMar>
        </w:tblPrEx>
        <w:trPr>
          <w:trHeight w:val="185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68774A06">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1FAD813D">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反向追溯功能</w:t>
            </w:r>
          </w:p>
        </w:tc>
        <w:tc>
          <w:tcPr>
            <w:tcW w:w="6240" w:type="dxa"/>
            <w:tcBorders>
              <w:top w:val="single" w:color="000000" w:sz="4" w:space="0"/>
              <w:left w:val="single" w:color="000000" w:sz="4" w:space="0"/>
              <w:bottom w:val="single" w:color="000000" w:sz="4" w:space="0"/>
              <w:right w:val="single" w:color="000000" w:sz="4" w:space="0"/>
            </w:tcBorders>
            <w:vAlign w:val="center"/>
          </w:tcPr>
          <w:p w14:paraId="1A91D480">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以“物料编号+批次号”为索引，检索使用该批次的产品范围，输出在制品、库存品、已交付产品的影响范围清单；标注在制品位置并评估风险；关联已交付产品信息，生成追溯报告等。</w:t>
            </w:r>
          </w:p>
        </w:tc>
      </w:tr>
      <w:tr w14:paraId="3E60ED98">
        <w:tblPrEx>
          <w:tblCellMar>
            <w:top w:w="0" w:type="dxa"/>
            <w:left w:w="108" w:type="dxa"/>
            <w:bottom w:w="0" w:type="dxa"/>
            <w:right w:w="108" w:type="dxa"/>
          </w:tblCellMar>
        </w:tblPrEx>
        <w:trPr>
          <w:trHeight w:val="1415" w:hRule="atLeast"/>
        </w:trPr>
        <w:tc>
          <w:tcPr>
            <w:tcW w:w="874" w:type="dxa"/>
            <w:tcBorders>
              <w:top w:val="single" w:color="000000" w:sz="4" w:space="0"/>
              <w:left w:val="single" w:color="000000" w:sz="4" w:space="0"/>
              <w:bottom w:val="single" w:color="000000" w:sz="4" w:space="0"/>
              <w:right w:val="single" w:color="000000" w:sz="4" w:space="0"/>
            </w:tcBorders>
            <w:vAlign w:val="center"/>
          </w:tcPr>
          <w:p w14:paraId="7AA3F36A">
            <w:pPr>
              <w:widowControl/>
              <w:adjustRightInd w:val="0"/>
              <w:snapToGrid w:val="0"/>
              <w:spacing w:line="40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产线控制</w:t>
            </w:r>
          </w:p>
        </w:tc>
        <w:tc>
          <w:tcPr>
            <w:tcW w:w="1278" w:type="dxa"/>
            <w:tcBorders>
              <w:top w:val="single" w:color="000000" w:sz="4" w:space="0"/>
              <w:left w:val="single" w:color="000000" w:sz="4" w:space="0"/>
              <w:bottom w:val="single" w:color="000000" w:sz="4" w:space="0"/>
              <w:right w:val="single" w:color="000000" w:sz="4" w:space="0"/>
            </w:tcBorders>
            <w:vAlign w:val="center"/>
          </w:tcPr>
          <w:p w14:paraId="4F4725C1">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产线</w:t>
            </w:r>
          </w:p>
          <w:p w14:paraId="0BB4A162">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sz w:val="28"/>
                <w:szCs w:val="28"/>
              </w:rPr>
              <w:t>控制</w:t>
            </w:r>
          </w:p>
        </w:tc>
        <w:tc>
          <w:tcPr>
            <w:tcW w:w="6240" w:type="dxa"/>
            <w:tcBorders>
              <w:top w:val="single" w:color="000000" w:sz="4" w:space="0"/>
              <w:left w:val="single" w:color="000000" w:sz="4" w:space="0"/>
              <w:bottom w:val="single" w:color="000000" w:sz="4" w:space="0"/>
              <w:right w:val="single" w:color="000000" w:sz="4" w:space="0"/>
            </w:tcBorders>
            <w:vAlign w:val="center"/>
          </w:tcPr>
          <w:p w14:paraId="5B18BAE6">
            <w:pPr>
              <w:pStyle w:val="5"/>
              <w:numPr>
                <w:ilvl w:val="0"/>
                <w:numId w:val="3"/>
              </w:numPr>
              <w:snapToGrid w:val="0"/>
              <w:spacing w:before="0" w:after="0" w:line="400" w:lineRule="exact"/>
              <w:ind w:firstLineChars="0"/>
              <w:rPr>
                <w:rFonts w:ascii="仿宋" w:hAnsi="仿宋" w:eastAsia="仿宋" w:cs="仿宋"/>
                <w:sz w:val="28"/>
                <w:szCs w:val="28"/>
              </w:rPr>
            </w:pPr>
            <w:r>
              <w:rPr>
                <w:rFonts w:ascii="仿宋" w:hAnsi="仿宋" w:eastAsia="仿宋" w:cs="仿宋"/>
                <w:sz w:val="28"/>
                <w:szCs w:val="28"/>
              </w:rPr>
              <w:t>数据承接</w:t>
            </w:r>
          </w:p>
          <w:p w14:paraId="6244152C">
            <w:pPr>
              <w:pStyle w:val="20"/>
              <w:spacing w:line="400" w:lineRule="exact"/>
              <w:ind w:firstLine="560"/>
              <w:rPr>
                <w:rFonts w:ascii="仿宋_GB2312" w:eastAsia="仿宋_GB2312" w:cs="仿宋_GB2312"/>
                <w:sz w:val="28"/>
                <w:szCs w:val="28"/>
                <w:lang w:bidi="ar"/>
              </w:rPr>
            </w:pPr>
            <w:r>
              <w:rPr>
                <w:rFonts w:hint="eastAsia" w:ascii="仿宋_GB2312" w:eastAsia="仿宋_GB2312" w:cs="仿宋_GB2312"/>
                <w:sz w:val="28"/>
                <w:szCs w:val="28"/>
                <w:lang w:bidi="ar"/>
              </w:rPr>
              <w:t>承接</w:t>
            </w:r>
            <w:r>
              <w:rPr>
                <w:rFonts w:ascii="仿宋_GB2312" w:eastAsia="仿宋_GB2312" w:cs="仿宋_GB2312"/>
                <w:sz w:val="28"/>
                <w:szCs w:val="28"/>
                <w:lang w:bidi="ar"/>
              </w:rPr>
              <w:t>生产数据，获取生产工单核心数据（如产品型号、生产批量、</w:t>
            </w:r>
            <w:r>
              <w:rPr>
                <w:rFonts w:hint="eastAsia" w:ascii="仿宋_GB2312" w:eastAsia="仿宋_GB2312" w:cs="仿宋_GB2312"/>
                <w:sz w:val="28"/>
                <w:szCs w:val="28"/>
                <w:lang w:bidi="ar"/>
              </w:rPr>
              <w:t>加工程序编码、加工参数</w:t>
            </w:r>
            <w:r>
              <w:rPr>
                <w:rFonts w:ascii="仿宋_GB2312" w:eastAsia="仿宋_GB2312" w:cs="仿宋_GB2312"/>
                <w:sz w:val="28"/>
                <w:szCs w:val="28"/>
                <w:lang w:bidi="ar"/>
              </w:rPr>
              <w:t>等），以此作为换产指令生成的核心依据，确保换产与生产计划精准匹配。</w:t>
            </w:r>
          </w:p>
          <w:p w14:paraId="24DF59B3">
            <w:pPr>
              <w:pStyle w:val="5"/>
              <w:numPr>
                <w:ilvl w:val="0"/>
                <w:numId w:val="3"/>
              </w:numPr>
              <w:snapToGrid w:val="0"/>
              <w:spacing w:before="0" w:after="0" w:line="400" w:lineRule="exact"/>
              <w:ind w:firstLineChars="0"/>
              <w:rPr>
                <w:rFonts w:ascii="仿宋" w:hAnsi="仿宋" w:eastAsia="仿宋" w:cs="仿宋"/>
                <w:sz w:val="28"/>
                <w:szCs w:val="28"/>
              </w:rPr>
            </w:pPr>
            <w:r>
              <w:rPr>
                <w:rFonts w:hint="eastAsia" w:ascii="仿宋" w:hAnsi="仿宋" w:eastAsia="仿宋" w:cs="仿宋"/>
                <w:sz w:val="28"/>
                <w:szCs w:val="28"/>
              </w:rPr>
              <w:t>轨道路线构建</w:t>
            </w:r>
            <w:r>
              <w:rPr>
                <w:rFonts w:ascii="仿宋" w:hAnsi="仿宋" w:eastAsia="仿宋" w:cs="仿宋"/>
                <w:sz w:val="28"/>
                <w:szCs w:val="28"/>
              </w:rPr>
              <w:t>​</w:t>
            </w:r>
          </w:p>
          <w:p w14:paraId="7387BEDA">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构建“自动匹配+人工干预”双模式工艺路线管理机制。系统初始化时，建立</w:t>
            </w:r>
            <w:r>
              <w:rPr>
                <w:rFonts w:hint="eastAsia" w:ascii="仿宋_GB2312" w:eastAsia="仿宋_GB2312" w:cs="仿宋_GB2312"/>
                <w:sz w:val="28"/>
                <w:szCs w:val="28"/>
                <w:lang w:bidi="ar"/>
              </w:rPr>
              <w:t>MES</w:t>
            </w:r>
            <w:r>
              <w:rPr>
                <w:rFonts w:ascii="仿宋_GB2312" w:eastAsia="仿宋_GB2312" w:cs="仿宋_GB2312"/>
                <w:sz w:val="28"/>
                <w:szCs w:val="28"/>
                <w:lang w:bidi="ar"/>
              </w:rPr>
              <w:t>工单工艺路线与SMT产线轨道路线的映射数据库，包含各工序设备关联关系、物料流转路径等信息。当接收工单后，自动识别工单中的工艺路线编号，并生成可视化生产流程图；若需人工更改路线，操作人员可</w:t>
            </w:r>
            <w:r>
              <w:rPr>
                <w:rFonts w:hint="eastAsia" w:ascii="仿宋_GB2312" w:eastAsia="仿宋_GB2312" w:cs="仿宋_GB2312"/>
                <w:sz w:val="28"/>
                <w:szCs w:val="28"/>
                <w:lang w:bidi="ar"/>
              </w:rPr>
              <w:t>运用</w:t>
            </w:r>
            <w:r>
              <w:rPr>
                <w:rFonts w:ascii="仿宋_GB2312" w:eastAsia="仿宋_GB2312" w:cs="仿宋_GB2312"/>
                <w:sz w:val="28"/>
                <w:szCs w:val="28"/>
                <w:lang w:bidi="ar"/>
              </w:rPr>
              <w:t>拖拽式</w:t>
            </w:r>
            <w:r>
              <w:rPr>
                <w:rFonts w:hint="eastAsia" w:ascii="仿宋_GB2312" w:eastAsia="仿宋_GB2312" w:cs="仿宋_GB2312"/>
                <w:sz w:val="28"/>
                <w:szCs w:val="28"/>
                <w:lang w:bidi="ar"/>
              </w:rPr>
              <w:t>等简单</w:t>
            </w:r>
            <w:r>
              <w:rPr>
                <w:rFonts w:ascii="仿宋_GB2312" w:eastAsia="仿宋_GB2312" w:cs="仿宋_GB2312"/>
                <w:sz w:val="28"/>
                <w:szCs w:val="28"/>
                <w:lang w:bidi="ar"/>
              </w:rPr>
              <w:t>操作</w:t>
            </w:r>
            <w:r>
              <w:rPr>
                <w:rFonts w:hint="eastAsia" w:ascii="仿宋_GB2312" w:eastAsia="仿宋_GB2312" w:cs="仿宋_GB2312"/>
                <w:sz w:val="28"/>
                <w:szCs w:val="28"/>
                <w:lang w:bidi="ar"/>
              </w:rPr>
              <w:t>对</w:t>
            </w:r>
            <w:r>
              <w:rPr>
                <w:rFonts w:ascii="仿宋_GB2312" w:eastAsia="仿宋_GB2312" w:cs="仿宋_GB2312"/>
                <w:sz w:val="28"/>
                <w:szCs w:val="28"/>
                <w:lang w:bidi="ar"/>
              </w:rPr>
              <w:t>产线工序、设备节点</w:t>
            </w:r>
            <w:r>
              <w:rPr>
                <w:rFonts w:hint="eastAsia" w:ascii="仿宋_GB2312" w:eastAsia="仿宋_GB2312" w:cs="仿宋_GB2312"/>
                <w:sz w:val="28"/>
                <w:szCs w:val="28"/>
                <w:lang w:bidi="ar"/>
              </w:rPr>
              <w:t>进行</w:t>
            </w:r>
            <w:r>
              <w:rPr>
                <w:rFonts w:ascii="仿宋_GB2312" w:eastAsia="仿宋_GB2312" w:cs="仿宋_GB2312"/>
                <w:sz w:val="28"/>
                <w:szCs w:val="28"/>
                <w:lang w:bidi="ar"/>
              </w:rPr>
              <w:t>调整，系统实时校验路线合理性（如避免前后工序设备冲突），调整完成后自动更新轨道路线指令，同步下发至相关设备。</w:t>
            </w:r>
          </w:p>
          <w:p w14:paraId="6C90E1B3">
            <w:pPr>
              <w:pStyle w:val="5"/>
              <w:numPr>
                <w:ilvl w:val="0"/>
                <w:numId w:val="3"/>
              </w:numPr>
              <w:snapToGrid w:val="0"/>
              <w:spacing w:before="0" w:after="0" w:line="400" w:lineRule="exact"/>
              <w:ind w:firstLineChars="0"/>
              <w:rPr>
                <w:rFonts w:ascii="仿宋" w:hAnsi="仿宋" w:eastAsia="仿宋" w:cs="仿宋"/>
                <w:sz w:val="28"/>
                <w:szCs w:val="28"/>
              </w:rPr>
            </w:pPr>
            <w:r>
              <w:rPr>
                <w:rFonts w:ascii="仿宋" w:hAnsi="仿宋" w:eastAsia="仿宋" w:cs="仿宋"/>
                <w:sz w:val="28"/>
                <w:szCs w:val="28"/>
                <w:highlight w:val="none"/>
              </w:rPr>
              <w:t>自动</w:t>
            </w:r>
            <w:r>
              <w:rPr>
                <w:rFonts w:hint="eastAsia" w:ascii="仿宋" w:hAnsi="仿宋" w:eastAsia="仿宋" w:cs="仿宋"/>
                <w:sz w:val="28"/>
                <w:szCs w:val="28"/>
                <w:highlight w:val="none"/>
              </w:rPr>
              <w:t>换线</w:t>
            </w:r>
            <w:r>
              <w:rPr>
                <w:rFonts w:ascii="仿宋" w:hAnsi="仿宋" w:eastAsia="仿宋" w:cs="仿宋"/>
                <w:sz w:val="28"/>
                <w:szCs w:val="28"/>
              </w:rPr>
              <w:t>功能​</w:t>
            </w:r>
          </w:p>
          <w:p w14:paraId="7564C3FB">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生产程序切换：系统接收</w:t>
            </w:r>
            <w:r>
              <w:rPr>
                <w:rFonts w:hint="eastAsia" w:ascii="仿宋_GB2312" w:eastAsia="仿宋_GB2312" w:cs="仿宋_GB2312"/>
                <w:sz w:val="28"/>
                <w:szCs w:val="28"/>
                <w:lang w:bidi="ar"/>
              </w:rPr>
              <w:t>识别MES其他功能模块生产</w:t>
            </w:r>
            <w:r>
              <w:rPr>
                <w:rFonts w:ascii="仿宋_GB2312" w:eastAsia="仿宋_GB2312" w:cs="仿宋_GB2312"/>
                <w:sz w:val="28"/>
                <w:szCs w:val="28"/>
                <w:lang w:bidi="ar"/>
              </w:rPr>
              <w:t>数据后</w:t>
            </w:r>
            <w:r>
              <w:rPr>
                <w:rFonts w:hint="eastAsia" w:ascii="仿宋_GB2312" w:eastAsia="仿宋_GB2312" w:cs="仿宋_GB2312"/>
                <w:sz w:val="28"/>
                <w:szCs w:val="28"/>
                <w:lang w:bidi="ar"/>
              </w:rPr>
              <w:t>，将相关生产信息</w:t>
            </w:r>
            <w:r>
              <w:rPr>
                <w:rFonts w:ascii="仿宋_GB2312" w:eastAsia="仿宋_GB2312" w:cs="仿宋_GB2312"/>
                <w:sz w:val="28"/>
                <w:szCs w:val="28"/>
                <w:lang w:bidi="ar"/>
              </w:rPr>
              <w:t>下发至产线相关设备。</w:t>
            </w:r>
          </w:p>
          <w:p w14:paraId="153375DF">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轨道自动调宽：根据产品对应的PCB板尺寸（范围50</w:t>
            </w:r>
            <w:r>
              <w:rPr>
                <w:rFonts w:hint="eastAsia" w:ascii="仿宋_GB2312" w:eastAsia="仿宋_GB2312" w:cs="仿宋_GB2312"/>
                <w:sz w:val="28"/>
                <w:szCs w:val="28"/>
                <w:lang w:bidi="ar"/>
              </w:rPr>
              <w:t>*</w:t>
            </w:r>
            <w:r>
              <w:rPr>
                <w:rFonts w:ascii="仿宋_GB2312" w:eastAsia="仿宋_GB2312" w:cs="仿宋_GB2312"/>
                <w:sz w:val="28"/>
                <w:szCs w:val="28"/>
                <w:lang w:bidi="ar"/>
              </w:rPr>
              <w:t>50-510</w:t>
            </w:r>
            <w:r>
              <w:rPr>
                <w:rFonts w:hint="eastAsia" w:ascii="仿宋_GB2312" w:eastAsia="仿宋_GB2312" w:cs="仿宋_GB2312"/>
                <w:sz w:val="28"/>
                <w:szCs w:val="28"/>
                <w:lang w:bidi="ar"/>
              </w:rPr>
              <w:t>*</w:t>
            </w:r>
            <w:r>
              <w:rPr>
                <w:rFonts w:ascii="仿宋_GB2312" w:eastAsia="仿宋_GB2312" w:cs="仿宋_GB2312"/>
                <w:sz w:val="28"/>
                <w:szCs w:val="28"/>
                <w:lang w:bidi="ar"/>
              </w:rPr>
              <w:t>460mm），自动向轨道调宽装置发送控制信号</w:t>
            </w:r>
            <w:r>
              <w:rPr>
                <w:rFonts w:hint="eastAsia" w:ascii="仿宋_GB2312" w:eastAsia="仿宋_GB2312" w:cs="仿宋_GB2312"/>
                <w:sz w:val="28"/>
                <w:szCs w:val="28"/>
                <w:lang w:bidi="ar"/>
              </w:rPr>
              <w:t>（如</w:t>
            </w:r>
            <w:r>
              <w:rPr>
                <w:rFonts w:ascii="仿宋_GB2312" w:eastAsia="仿宋_GB2312" w:cs="仿宋_GB2312"/>
                <w:sz w:val="28"/>
                <w:szCs w:val="28"/>
                <w:lang w:bidi="ar"/>
              </w:rPr>
              <w:t>驱动伺服电机</w:t>
            </w:r>
            <w:r>
              <w:rPr>
                <w:rFonts w:hint="eastAsia" w:ascii="仿宋_GB2312" w:eastAsia="仿宋_GB2312" w:cs="仿宋_GB2312"/>
                <w:sz w:val="28"/>
                <w:szCs w:val="28"/>
                <w:lang w:bidi="ar"/>
              </w:rPr>
              <w:t>）</w:t>
            </w:r>
            <w:r>
              <w:rPr>
                <w:rFonts w:ascii="仿宋_GB2312" w:eastAsia="仿宋_GB2312" w:cs="仿宋_GB2312"/>
                <w:sz w:val="28"/>
                <w:szCs w:val="28"/>
                <w:lang w:bidi="ar"/>
              </w:rPr>
              <w:t>调整轨道宽度，精度需满足生产要求，适配不同规格产品的流转需求。</w:t>
            </w:r>
          </w:p>
          <w:p w14:paraId="6AC43745">
            <w:pPr>
              <w:pStyle w:val="5"/>
              <w:numPr>
                <w:ilvl w:val="0"/>
                <w:numId w:val="3"/>
              </w:numPr>
              <w:snapToGrid w:val="0"/>
              <w:spacing w:before="0" w:after="0" w:line="400" w:lineRule="exact"/>
              <w:ind w:firstLineChars="0"/>
              <w:rPr>
                <w:rFonts w:ascii="仿宋" w:hAnsi="仿宋" w:eastAsia="仿宋" w:cs="仿宋"/>
                <w:sz w:val="28"/>
                <w:szCs w:val="28"/>
              </w:rPr>
            </w:pPr>
            <w:r>
              <w:rPr>
                <w:rFonts w:ascii="仿宋" w:hAnsi="仿宋" w:eastAsia="仿宋" w:cs="仿宋"/>
                <w:sz w:val="28"/>
                <w:szCs w:val="28"/>
              </w:rPr>
              <w:t>换产场景覆盖</w:t>
            </w:r>
          </w:p>
          <w:p w14:paraId="2C88FC0C">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清线换产：待当前物料完全流转出生产线后，再执行生产程序切换与轨道调宽。</w:t>
            </w:r>
          </w:p>
          <w:p w14:paraId="59B2BF05">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不清线连续换产：系统</w:t>
            </w:r>
            <w:r>
              <w:rPr>
                <w:rFonts w:hint="eastAsia" w:ascii="仿宋_GB2312" w:eastAsia="仿宋_GB2312" w:cs="仿宋_GB2312"/>
                <w:sz w:val="28"/>
                <w:szCs w:val="28"/>
                <w:lang w:bidi="ar"/>
              </w:rPr>
              <w:t>根据MES工单顺序</w:t>
            </w:r>
            <w:r>
              <w:rPr>
                <w:rFonts w:ascii="仿宋_GB2312" w:eastAsia="仿宋_GB2312" w:cs="仿宋_GB2312"/>
                <w:sz w:val="28"/>
                <w:szCs w:val="28"/>
                <w:lang w:bidi="ar"/>
              </w:rPr>
              <w:t>，在当前批次</w:t>
            </w:r>
            <w:r>
              <w:rPr>
                <w:rFonts w:hint="eastAsia" w:ascii="仿宋_GB2312" w:eastAsia="仿宋_GB2312" w:cs="仿宋_GB2312"/>
                <w:sz w:val="28"/>
                <w:szCs w:val="28"/>
                <w:lang w:bidi="ar"/>
              </w:rPr>
              <w:t>工单工序生产完毕后</w:t>
            </w:r>
            <w:r>
              <w:rPr>
                <w:rFonts w:ascii="仿宋_GB2312" w:eastAsia="仿宋_GB2312" w:cs="仿宋_GB2312"/>
                <w:sz w:val="28"/>
                <w:szCs w:val="28"/>
                <w:lang w:bidi="ar"/>
              </w:rPr>
              <w:t>，同步加载下一</w:t>
            </w:r>
            <w:r>
              <w:rPr>
                <w:rFonts w:hint="eastAsia" w:ascii="仿宋_GB2312" w:eastAsia="仿宋_GB2312" w:cs="仿宋_GB2312"/>
                <w:sz w:val="28"/>
                <w:szCs w:val="28"/>
                <w:lang w:bidi="ar"/>
              </w:rPr>
              <w:t>种产品加工</w:t>
            </w:r>
            <w:r>
              <w:rPr>
                <w:rFonts w:ascii="仿宋_GB2312" w:eastAsia="仿宋_GB2312" w:cs="仿宋_GB2312"/>
                <w:sz w:val="28"/>
                <w:szCs w:val="28"/>
                <w:lang w:bidi="ar"/>
              </w:rPr>
              <w:t>程序，并</w:t>
            </w:r>
            <w:r>
              <w:rPr>
                <w:rFonts w:hint="eastAsia" w:ascii="仿宋_GB2312" w:eastAsia="仿宋_GB2312" w:cs="仿宋_GB2312"/>
                <w:sz w:val="28"/>
                <w:szCs w:val="28"/>
                <w:lang w:bidi="ar"/>
              </w:rPr>
              <w:t>调整</w:t>
            </w:r>
            <w:r>
              <w:rPr>
                <w:rFonts w:ascii="仿宋_GB2312" w:eastAsia="仿宋_GB2312" w:cs="仿宋_GB2312"/>
                <w:sz w:val="28"/>
                <w:szCs w:val="28"/>
                <w:lang w:bidi="ar"/>
              </w:rPr>
              <w:t>轨道宽度</w:t>
            </w:r>
            <w:r>
              <w:rPr>
                <w:rFonts w:hint="eastAsia" w:ascii="仿宋_GB2312" w:eastAsia="仿宋_GB2312" w:cs="仿宋_GB2312"/>
                <w:sz w:val="28"/>
                <w:szCs w:val="28"/>
                <w:lang w:bidi="ar"/>
              </w:rPr>
              <w:t>与路线</w:t>
            </w:r>
            <w:r>
              <w:rPr>
                <w:rFonts w:ascii="仿宋_GB2312" w:eastAsia="仿宋_GB2312" w:cs="仿宋_GB2312"/>
                <w:sz w:val="28"/>
                <w:szCs w:val="28"/>
                <w:lang w:bidi="ar"/>
              </w:rPr>
              <w:t>，实现“无缝衔接”，减少产线停机时间。</w:t>
            </w:r>
          </w:p>
          <w:p w14:paraId="3DC5A216">
            <w:pPr>
              <w:pStyle w:val="5"/>
              <w:numPr>
                <w:ilvl w:val="0"/>
                <w:numId w:val="3"/>
              </w:numPr>
              <w:snapToGrid w:val="0"/>
              <w:spacing w:before="0" w:after="0" w:line="400" w:lineRule="exact"/>
              <w:ind w:firstLineChars="0"/>
              <w:rPr>
                <w:rFonts w:ascii="仿宋" w:hAnsi="仿宋" w:eastAsia="仿宋" w:cs="仿宋"/>
                <w:sz w:val="28"/>
                <w:szCs w:val="28"/>
              </w:rPr>
            </w:pPr>
            <w:r>
              <w:rPr>
                <w:rFonts w:hint="eastAsia" w:ascii="仿宋" w:hAnsi="仿宋" w:eastAsia="仿宋" w:cs="仿宋"/>
                <w:sz w:val="28"/>
                <w:szCs w:val="28"/>
              </w:rPr>
              <w:t>NG处理方案</w:t>
            </w:r>
            <w:r>
              <w:rPr>
                <w:rFonts w:ascii="仿宋" w:hAnsi="仿宋" w:eastAsia="仿宋" w:cs="仿宋"/>
                <w:sz w:val="28"/>
                <w:szCs w:val="28"/>
              </w:rPr>
              <w:t>​</w:t>
            </w:r>
          </w:p>
          <w:p w14:paraId="41096E3B">
            <w:pPr>
              <w:pStyle w:val="20"/>
              <w:spacing w:line="400" w:lineRule="exact"/>
              <w:ind w:firstLine="560"/>
              <w:rPr>
                <w:rFonts w:ascii="仿宋_GB2312" w:eastAsia="仿宋_GB2312" w:cs="仿宋_GB2312"/>
                <w:sz w:val="28"/>
                <w:szCs w:val="28"/>
                <w:lang w:bidi="ar"/>
              </w:rPr>
            </w:pPr>
            <w:r>
              <w:rPr>
                <w:rFonts w:hint="eastAsia" w:ascii="仿宋_GB2312" w:eastAsia="仿宋_GB2312" w:cs="仿宋_GB2312"/>
                <w:sz w:val="28"/>
                <w:szCs w:val="28"/>
                <w:lang w:bidi="ar"/>
              </w:rPr>
              <w:t>当产线发生NG时，提供可实现问题产品下线及上线操作方案。</w:t>
            </w:r>
          </w:p>
          <w:p w14:paraId="4BC82700">
            <w:pPr>
              <w:pStyle w:val="5"/>
              <w:numPr>
                <w:ilvl w:val="0"/>
                <w:numId w:val="3"/>
              </w:numPr>
              <w:snapToGrid w:val="0"/>
              <w:spacing w:before="0" w:after="0" w:line="400" w:lineRule="exact"/>
              <w:ind w:firstLineChars="0"/>
              <w:rPr>
                <w:rFonts w:ascii="仿宋" w:hAnsi="仿宋" w:eastAsia="仿宋" w:cs="仿宋"/>
                <w:sz w:val="28"/>
                <w:szCs w:val="28"/>
              </w:rPr>
            </w:pPr>
            <w:r>
              <w:rPr>
                <w:rFonts w:hint="eastAsia" w:ascii="仿宋" w:hAnsi="仿宋" w:eastAsia="仿宋" w:cs="仿宋"/>
                <w:sz w:val="28"/>
                <w:szCs w:val="28"/>
              </w:rPr>
              <w:t>扩展性</w:t>
            </w:r>
          </w:p>
          <w:p w14:paraId="380481BF">
            <w:pPr>
              <w:pStyle w:val="5"/>
              <w:snapToGrid w:val="0"/>
              <w:spacing w:before="0" w:after="0" w:line="400" w:lineRule="exact"/>
              <w:ind w:firstLine="560"/>
              <w:rPr>
                <w:rFonts w:ascii="仿宋_GB2312" w:hAnsi="Calibri" w:eastAsia="仿宋_GB2312" w:cs="仿宋_GB2312"/>
                <w:sz w:val="28"/>
                <w:szCs w:val="28"/>
                <w:lang w:bidi="ar"/>
              </w:rPr>
            </w:pPr>
            <w:r>
              <w:rPr>
                <w:rFonts w:hint="eastAsia" w:ascii="仿宋_GB2312" w:hAnsi="Calibri" w:eastAsia="仿宋_GB2312" w:cs="仿宋_GB2312"/>
                <w:sz w:val="28"/>
                <w:szCs w:val="28"/>
                <w:lang w:bidi="ar"/>
              </w:rPr>
              <w:t>产线控制模块应当具备扩展性，方便新设备加入产线。</w:t>
            </w:r>
          </w:p>
          <w:p w14:paraId="25032680">
            <w:pPr>
              <w:pStyle w:val="5"/>
              <w:numPr>
                <w:ilvl w:val="0"/>
                <w:numId w:val="3"/>
              </w:numPr>
              <w:snapToGrid w:val="0"/>
              <w:spacing w:before="0" w:after="0" w:line="400" w:lineRule="exact"/>
              <w:ind w:firstLineChars="0"/>
              <w:rPr>
                <w:rFonts w:ascii="仿宋" w:hAnsi="仿宋" w:eastAsia="仿宋" w:cs="仿宋"/>
                <w:sz w:val="28"/>
                <w:szCs w:val="28"/>
              </w:rPr>
            </w:pPr>
            <w:r>
              <w:rPr>
                <w:rFonts w:hint="eastAsia" w:ascii="仿宋" w:hAnsi="仿宋" w:eastAsia="仿宋" w:cs="仿宋"/>
                <w:sz w:val="28"/>
                <w:szCs w:val="28"/>
              </w:rPr>
              <w:t>控制范围</w:t>
            </w:r>
          </w:p>
          <w:p w14:paraId="4BB2592D">
            <w:pPr>
              <w:pStyle w:val="5"/>
              <w:snapToGrid w:val="0"/>
              <w:spacing w:before="0" w:after="0" w:line="400" w:lineRule="exact"/>
              <w:ind w:firstLine="560"/>
              <w:rPr>
                <w:rFonts w:ascii="仿宋_GB2312" w:hAnsi="仿宋_GB2312" w:eastAsia="仿宋_GB2312" w:cs="仿宋_GB2312"/>
                <w:color w:val="000000"/>
                <w:kern w:val="0"/>
                <w:sz w:val="28"/>
                <w:szCs w:val="28"/>
                <w:lang w:bidi="ar"/>
              </w:rPr>
            </w:pPr>
            <w:r>
              <w:rPr>
                <w:rFonts w:hint="eastAsia" w:ascii="仿宋_GB2312" w:hAnsi="Calibri" w:eastAsia="仿宋_GB2312" w:cs="仿宋_GB2312"/>
                <w:sz w:val="28"/>
                <w:szCs w:val="28"/>
                <w:lang w:bidi="ar"/>
              </w:rPr>
              <w:t>目前产线处于规划阶段，SMT+THT设备清单（附件1）与实际落地产线配置可能存在差异。</w:t>
            </w:r>
          </w:p>
        </w:tc>
      </w:tr>
      <w:tr w14:paraId="1F7F2FB8">
        <w:tblPrEx>
          <w:tblCellMar>
            <w:top w:w="0" w:type="dxa"/>
            <w:left w:w="108" w:type="dxa"/>
            <w:bottom w:w="0" w:type="dxa"/>
            <w:right w:w="108" w:type="dxa"/>
          </w:tblCellMar>
        </w:tblPrEx>
        <w:trPr>
          <w:trHeight w:val="1850" w:hRule="atLeast"/>
        </w:trPr>
        <w:tc>
          <w:tcPr>
            <w:tcW w:w="874" w:type="dxa"/>
            <w:tcBorders>
              <w:top w:val="single" w:color="000000" w:sz="4" w:space="0"/>
              <w:left w:val="single" w:color="000000" w:sz="4" w:space="0"/>
              <w:bottom w:val="single" w:color="000000" w:sz="4" w:space="0"/>
              <w:right w:val="single" w:color="000000" w:sz="4" w:space="0"/>
            </w:tcBorders>
            <w:vAlign w:val="center"/>
          </w:tcPr>
          <w:p w14:paraId="74347CB6">
            <w:pPr>
              <w:widowControl/>
              <w:adjustRightInd w:val="0"/>
              <w:snapToGrid w:val="0"/>
              <w:spacing w:line="400" w:lineRule="exact"/>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设备数据采集</w:t>
            </w:r>
          </w:p>
        </w:tc>
        <w:tc>
          <w:tcPr>
            <w:tcW w:w="1278" w:type="dxa"/>
            <w:tcBorders>
              <w:top w:val="single" w:color="000000" w:sz="4" w:space="0"/>
              <w:left w:val="single" w:color="000000" w:sz="4" w:space="0"/>
              <w:bottom w:val="single" w:color="000000" w:sz="4" w:space="0"/>
              <w:right w:val="single" w:color="000000" w:sz="4" w:space="0"/>
            </w:tcBorders>
            <w:vAlign w:val="center"/>
          </w:tcPr>
          <w:p w14:paraId="748B5A8A">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sz w:val="28"/>
                <w:szCs w:val="28"/>
              </w:rPr>
              <w:t>设备数据采集</w:t>
            </w:r>
          </w:p>
        </w:tc>
        <w:tc>
          <w:tcPr>
            <w:tcW w:w="6240" w:type="dxa"/>
            <w:tcBorders>
              <w:top w:val="single" w:color="000000" w:sz="4" w:space="0"/>
              <w:left w:val="single" w:color="000000" w:sz="4" w:space="0"/>
              <w:bottom w:val="single" w:color="000000" w:sz="4" w:space="0"/>
              <w:right w:val="single" w:color="000000" w:sz="4" w:space="0"/>
            </w:tcBorders>
            <w:vAlign w:val="center"/>
          </w:tcPr>
          <w:p w14:paraId="2E279A63">
            <w:pPr>
              <w:pStyle w:val="5"/>
              <w:numPr>
                <w:ilvl w:val="0"/>
                <w:numId w:val="4"/>
              </w:numPr>
              <w:snapToGrid w:val="0"/>
              <w:spacing w:before="0" w:after="0" w:line="400" w:lineRule="exact"/>
              <w:ind w:firstLineChars="0"/>
              <w:rPr>
                <w:rFonts w:ascii="仿宋" w:hAnsi="仿宋" w:eastAsia="仿宋" w:cs="仿宋"/>
                <w:sz w:val="28"/>
                <w:szCs w:val="28"/>
              </w:rPr>
            </w:pPr>
            <w:r>
              <w:rPr>
                <w:rFonts w:ascii="仿宋" w:hAnsi="仿宋" w:eastAsia="仿宋" w:cs="仿宋"/>
                <w:sz w:val="28"/>
                <w:szCs w:val="28"/>
              </w:rPr>
              <w:t>核心目标​</w:t>
            </w:r>
          </w:p>
          <w:p w14:paraId="7921419C">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兼容多协议、</w:t>
            </w:r>
            <w:r>
              <w:rPr>
                <w:rFonts w:hint="eastAsia" w:ascii="仿宋_GB2312" w:eastAsia="仿宋_GB2312" w:cs="仿宋_GB2312"/>
                <w:sz w:val="28"/>
                <w:szCs w:val="28"/>
                <w:lang w:bidi="ar"/>
              </w:rPr>
              <w:t>对设备数据进行采集；</w:t>
            </w:r>
            <w:r>
              <w:rPr>
                <w:rFonts w:ascii="仿宋_GB2312" w:eastAsia="仿宋_GB2312" w:cs="仿宋_GB2312"/>
                <w:sz w:val="28"/>
                <w:szCs w:val="28"/>
                <w:lang w:bidi="ar"/>
              </w:rPr>
              <w:t>采集数据与PCB条码的绑定关联</w:t>
            </w:r>
            <w:r>
              <w:rPr>
                <w:rFonts w:hint="eastAsia" w:ascii="仿宋_GB2312" w:eastAsia="仿宋_GB2312" w:cs="仿宋_GB2312"/>
                <w:sz w:val="28"/>
                <w:szCs w:val="28"/>
                <w:lang w:bidi="ar"/>
              </w:rPr>
              <w:t>；</w:t>
            </w:r>
            <w:r>
              <w:rPr>
                <w:rFonts w:ascii="仿宋_GB2312" w:eastAsia="仿宋_GB2312" w:cs="仿宋_GB2312"/>
                <w:sz w:val="28"/>
                <w:szCs w:val="28"/>
                <w:lang w:bidi="ar"/>
              </w:rPr>
              <w:t>将采集并整合后的生产数据，按预设规范格式输出至其他子模块，为跨模块协同与数据应用提供统一、可靠的数据基础</w:t>
            </w:r>
            <w:r>
              <w:rPr>
                <w:rFonts w:hint="eastAsia" w:ascii="仿宋_GB2312" w:eastAsia="仿宋_GB2312" w:cs="仿宋_GB2312"/>
                <w:sz w:val="28"/>
                <w:szCs w:val="28"/>
                <w:lang w:bidi="ar"/>
              </w:rPr>
              <w:t>；具有扩展性，方便新设备引入</w:t>
            </w:r>
            <w:r>
              <w:rPr>
                <w:rFonts w:ascii="仿宋_GB2312" w:eastAsia="仿宋_GB2312" w:cs="仿宋_GB2312"/>
                <w:sz w:val="28"/>
                <w:szCs w:val="28"/>
                <w:lang w:bidi="ar"/>
              </w:rPr>
              <w:t>。​</w:t>
            </w:r>
          </w:p>
          <w:p w14:paraId="6D4A0751">
            <w:pPr>
              <w:pStyle w:val="5"/>
              <w:numPr>
                <w:ilvl w:val="0"/>
                <w:numId w:val="4"/>
              </w:numPr>
              <w:snapToGrid w:val="0"/>
              <w:spacing w:before="0" w:after="0" w:line="400" w:lineRule="exact"/>
              <w:ind w:firstLineChars="0"/>
              <w:rPr>
                <w:rFonts w:ascii="仿宋" w:hAnsi="仿宋" w:eastAsia="仿宋" w:cs="仿宋"/>
                <w:sz w:val="28"/>
                <w:szCs w:val="28"/>
              </w:rPr>
            </w:pPr>
            <w:r>
              <w:rPr>
                <w:rFonts w:ascii="仿宋" w:hAnsi="仿宋" w:eastAsia="仿宋" w:cs="仿宋"/>
                <w:sz w:val="28"/>
                <w:szCs w:val="28"/>
              </w:rPr>
              <w:t>协议兼容与采集</w:t>
            </w:r>
            <w:r>
              <w:rPr>
                <w:rFonts w:hint="eastAsia" w:ascii="仿宋" w:hAnsi="仿宋" w:eastAsia="仿宋" w:cs="仿宋"/>
                <w:sz w:val="28"/>
                <w:szCs w:val="28"/>
              </w:rPr>
              <w:t>设备</w:t>
            </w:r>
            <w:r>
              <w:rPr>
                <w:rFonts w:ascii="仿宋" w:hAnsi="仿宋" w:eastAsia="仿宋" w:cs="仿宋"/>
                <w:sz w:val="28"/>
                <w:szCs w:val="28"/>
              </w:rPr>
              <w:t>范围​</w:t>
            </w:r>
          </w:p>
          <w:p w14:paraId="402CE3DD">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协议支持：支持ModbusRTU/TCP、OPC</w:t>
            </w:r>
            <w:r>
              <w:rPr>
                <w:rFonts w:hint="eastAsia" w:ascii="仿宋_GB2312" w:eastAsia="仿宋_GB2312" w:cs="仿宋_GB2312"/>
                <w:sz w:val="28"/>
                <w:szCs w:val="28"/>
                <w:lang w:bidi="ar"/>
              </w:rPr>
              <w:t xml:space="preserve"> </w:t>
            </w:r>
            <w:r>
              <w:rPr>
                <w:rFonts w:ascii="仿宋_GB2312" w:eastAsia="仿宋_GB2312" w:cs="仿宋_GB2312"/>
                <w:sz w:val="28"/>
                <w:szCs w:val="28"/>
                <w:lang w:bidi="ar"/>
              </w:rPr>
              <w:t>UA</w:t>
            </w:r>
            <w:r>
              <w:rPr>
                <w:rFonts w:hint="eastAsia" w:ascii="仿宋_GB2312" w:eastAsia="仿宋_GB2312" w:cs="仿宋_GB2312"/>
                <w:sz w:val="28"/>
                <w:szCs w:val="28"/>
                <w:lang w:bidi="ar"/>
              </w:rPr>
              <w:t>/DA</w:t>
            </w:r>
            <w:r>
              <w:rPr>
                <w:rFonts w:ascii="仿宋_GB2312" w:eastAsia="仿宋_GB2312" w:cs="仿宋_GB2312"/>
                <w:sz w:val="28"/>
                <w:szCs w:val="28"/>
                <w:lang w:bidi="ar"/>
              </w:rPr>
              <w:t>、MQTT、</w:t>
            </w:r>
            <w:r>
              <w:rPr>
                <w:rFonts w:hint="eastAsia" w:ascii="仿宋_GB2312" w:eastAsia="仿宋_GB2312" w:cs="仿宋_GB2312"/>
                <w:sz w:val="28"/>
                <w:szCs w:val="28"/>
                <w:lang w:bidi="ar"/>
              </w:rPr>
              <w:t>RS485、HERMES</w:t>
            </w:r>
            <w:r>
              <w:rPr>
                <w:rFonts w:ascii="仿宋_GB2312" w:eastAsia="仿宋_GB2312" w:cs="仿宋_GB2312"/>
                <w:sz w:val="28"/>
                <w:szCs w:val="28"/>
                <w:lang w:bidi="ar"/>
              </w:rPr>
              <w:t>等工业协议，覆盖产线各类设备（</w:t>
            </w:r>
            <w:r>
              <w:rPr>
                <w:rFonts w:hint="eastAsia" w:ascii="仿宋_GB2312" w:eastAsia="仿宋_GB2312" w:cs="仿宋_GB2312"/>
                <w:sz w:val="28"/>
                <w:szCs w:val="28"/>
                <w:lang w:bidi="ar"/>
              </w:rPr>
              <w:t>详见附件2</w:t>
            </w:r>
            <w:r>
              <w:rPr>
                <w:rFonts w:ascii="仿宋_GB2312" w:eastAsia="仿宋_GB2312" w:cs="仿宋_GB2312"/>
                <w:sz w:val="28"/>
                <w:szCs w:val="28"/>
                <w:lang w:bidi="ar"/>
              </w:rPr>
              <w:t>），确保不同品牌、型号设备的数据可接入。</w:t>
            </w:r>
          </w:p>
          <w:p w14:paraId="2FCC3630">
            <w:pPr>
              <w:pStyle w:val="5"/>
              <w:numPr>
                <w:ilvl w:val="0"/>
                <w:numId w:val="4"/>
              </w:numPr>
              <w:snapToGrid w:val="0"/>
              <w:spacing w:before="0" w:after="0" w:line="400" w:lineRule="exact"/>
              <w:ind w:firstLineChars="0"/>
              <w:rPr>
                <w:rFonts w:ascii="仿宋" w:hAnsi="仿宋" w:eastAsia="仿宋" w:cs="仿宋"/>
                <w:sz w:val="28"/>
                <w:szCs w:val="28"/>
              </w:rPr>
            </w:pPr>
            <w:r>
              <w:rPr>
                <w:rFonts w:ascii="仿宋" w:hAnsi="仿宋" w:eastAsia="仿宋" w:cs="仿宋"/>
                <w:sz w:val="28"/>
                <w:szCs w:val="28"/>
              </w:rPr>
              <w:t>采集</w:t>
            </w:r>
            <w:r>
              <w:rPr>
                <w:rFonts w:hint="eastAsia" w:ascii="仿宋" w:hAnsi="仿宋" w:eastAsia="仿宋" w:cs="仿宋"/>
                <w:sz w:val="28"/>
                <w:szCs w:val="28"/>
              </w:rPr>
              <w:t>设备</w:t>
            </w:r>
            <w:r>
              <w:rPr>
                <w:rFonts w:ascii="仿宋" w:hAnsi="仿宋" w:eastAsia="仿宋" w:cs="仿宋"/>
                <w:sz w:val="28"/>
                <w:szCs w:val="28"/>
              </w:rPr>
              <w:t>数据</w:t>
            </w:r>
            <w:r>
              <w:rPr>
                <w:rFonts w:hint="eastAsia" w:ascii="仿宋" w:hAnsi="仿宋" w:eastAsia="仿宋" w:cs="仿宋"/>
                <w:sz w:val="28"/>
                <w:szCs w:val="28"/>
              </w:rPr>
              <w:t>范围</w:t>
            </w:r>
            <w:r>
              <w:rPr>
                <w:rFonts w:ascii="仿宋" w:hAnsi="仿宋" w:eastAsia="仿宋" w:cs="仿宋"/>
                <w:sz w:val="28"/>
                <w:szCs w:val="28"/>
              </w:rPr>
              <w:t>​</w:t>
            </w:r>
          </w:p>
          <w:p w14:paraId="0D8EA54A">
            <w:pPr>
              <w:pStyle w:val="20"/>
              <w:spacing w:line="400" w:lineRule="exact"/>
              <w:ind w:firstLine="560"/>
              <w:rPr>
                <w:rFonts w:ascii="仿宋_GB2312" w:eastAsia="仿宋_GB2312" w:cs="仿宋_GB2312"/>
                <w:sz w:val="28"/>
                <w:szCs w:val="28"/>
                <w:lang w:bidi="ar"/>
              </w:rPr>
            </w:pPr>
            <w:r>
              <w:rPr>
                <w:rFonts w:hint="eastAsia" w:ascii="仿宋_GB2312" w:eastAsia="仿宋_GB2312" w:cs="仿宋_GB2312"/>
                <w:sz w:val="28"/>
                <w:szCs w:val="28"/>
                <w:lang w:bidi="ar"/>
              </w:rPr>
              <w:t>数据的采集的内容详见附件2</w:t>
            </w:r>
            <w:r>
              <w:rPr>
                <w:rFonts w:ascii="仿宋_GB2312" w:eastAsia="仿宋_GB2312" w:cs="仿宋_GB2312"/>
                <w:sz w:val="28"/>
                <w:szCs w:val="28"/>
                <w:lang w:bidi="ar"/>
              </w:rPr>
              <w:t>。</w:t>
            </w:r>
          </w:p>
          <w:p w14:paraId="735882DD">
            <w:pPr>
              <w:pStyle w:val="5"/>
              <w:numPr>
                <w:ilvl w:val="0"/>
                <w:numId w:val="4"/>
              </w:numPr>
              <w:snapToGrid w:val="0"/>
              <w:spacing w:before="0" w:after="0" w:line="400" w:lineRule="exact"/>
              <w:ind w:firstLineChars="0"/>
              <w:rPr>
                <w:rFonts w:ascii="仿宋" w:hAnsi="仿宋" w:eastAsia="仿宋" w:cs="仿宋"/>
                <w:sz w:val="28"/>
                <w:szCs w:val="28"/>
              </w:rPr>
            </w:pPr>
            <w:r>
              <w:rPr>
                <w:rFonts w:ascii="仿宋" w:hAnsi="仿宋" w:eastAsia="仿宋" w:cs="仿宋"/>
                <w:sz w:val="28"/>
                <w:szCs w:val="28"/>
              </w:rPr>
              <w:t>采集与监控能力</w:t>
            </w:r>
          </w:p>
          <w:p w14:paraId="057D9805">
            <w:pPr>
              <w:pStyle w:val="20"/>
              <w:spacing w:line="400" w:lineRule="exact"/>
              <w:ind w:firstLine="560"/>
              <w:rPr>
                <w:rFonts w:ascii="仿宋_GB2312" w:eastAsia="仿宋_GB2312" w:cs="仿宋_GB2312"/>
                <w:sz w:val="28"/>
                <w:szCs w:val="28"/>
                <w:lang w:bidi="ar"/>
              </w:rPr>
            </w:pPr>
            <w:r>
              <w:rPr>
                <w:rFonts w:hint="eastAsia" w:ascii="仿宋_GB2312" w:eastAsia="仿宋_GB2312" w:cs="仿宋_GB2312"/>
                <w:sz w:val="28"/>
                <w:szCs w:val="28"/>
                <w:lang w:bidi="ar"/>
              </w:rPr>
              <w:t>至少应满足以下条件：</w:t>
            </w:r>
          </w:p>
          <w:p w14:paraId="7430EB8E">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实时性：根据数据重要性分级设置采集频率，</w:t>
            </w:r>
            <w:r>
              <w:rPr>
                <w:rFonts w:hint="eastAsia" w:ascii="仿宋_GB2312" w:eastAsia="仿宋_GB2312" w:cs="仿宋_GB2312"/>
                <w:sz w:val="28"/>
                <w:szCs w:val="28"/>
                <w:lang w:bidi="ar"/>
              </w:rPr>
              <w:t>如分钟/秒/毫秒</w:t>
            </w:r>
            <w:r>
              <w:rPr>
                <w:rFonts w:ascii="仿宋_GB2312" w:eastAsia="仿宋_GB2312" w:cs="仿宋_GB2312"/>
                <w:sz w:val="28"/>
                <w:szCs w:val="28"/>
                <w:lang w:bidi="ar"/>
              </w:rPr>
              <w:t>。</w:t>
            </w:r>
          </w:p>
          <w:p w14:paraId="28CA1810">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数据处理：</w:t>
            </w:r>
            <w:r>
              <w:rPr>
                <w:rFonts w:hint="eastAsia" w:ascii="仿宋_GB2312" w:eastAsia="仿宋_GB2312" w:cs="仿宋_GB2312"/>
                <w:sz w:val="28"/>
                <w:szCs w:val="28"/>
                <w:lang w:bidi="ar"/>
              </w:rPr>
              <w:t>具备对</w:t>
            </w:r>
            <w:r>
              <w:rPr>
                <w:rFonts w:ascii="仿宋_GB2312" w:eastAsia="仿宋_GB2312" w:cs="仿宋_GB2312"/>
                <w:sz w:val="28"/>
                <w:szCs w:val="28"/>
                <w:lang w:bidi="ar"/>
              </w:rPr>
              <w:t>采集的原始数据进行清洗、过滤、转换，生成结构化数据</w:t>
            </w:r>
            <w:r>
              <w:rPr>
                <w:rFonts w:hint="eastAsia" w:ascii="仿宋_GB2312" w:eastAsia="仿宋_GB2312" w:cs="仿宋_GB2312"/>
                <w:sz w:val="28"/>
                <w:szCs w:val="28"/>
                <w:lang w:bidi="ar"/>
              </w:rPr>
              <w:t>等能力</w:t>
            </w:r>
            <w:r>
              <w:rPr>
                <w:rFonts w:ascii="仿宋_GB2312" w:eastAsia="仿宋_GB2312" w:cs="仿宋_GB2312"/>
                <w:sz w:val="28"/>
                <w:szCs w:val="28"/>
                <w:lang w:bidi="ar"/>
              </w:rPr>
              <w:t>。</w:t>
            </w:r>
          </w:p>
          <w:p w14:paraId="3088C83E">
            <w:pPr>
              <w:pStyle w:val="5"/>
              <w:numPr>
                <w:ilvl w:val="0"/>
                <w:numId w:val="4"/>
              </w:numPr>
              <w:snapToGrid w:val="0"/>
              <w:spacing w:before="0" w:after="0" w:line="400" w:lineRule="exact"/>
              <w:ind w:firstLineChars="0"/>
              <w:rPr>
                <w:rFonts w:ascii="仿宋_GB2312" w:eastAsia="仿宋_GB2312" w:cs="仿宋_GB2312"/>
                <w:sz w:val="28"/>
                <w:szCs w:val="28"/>
                <w:lang w:bidi="ar"/>
              </w:rPr>
            </w:pPr>
            <w:r>
              <w:rPr>
                <w:rFonts w:hint="eastAsia" w:ascii="仿宋" w:hAnsi="仿宋" w:eastAsia="仿宋" w:cs="仿宋"/>
                <w:sz w:val="28"/>
                <w:szCs w:val="28"/>
              </w:rPr>
              <w:t>系统集成能力</w:t>
            </w:r>
            <w:r>
              <w:rPr>
                <w:rFonts w:ascii="仿宋" w:hAnsi="仿宋" w:eastAsia="仿宋" w:cs="仿宋"/>
                <w:sz w:val="28"/>
                <w:szCs w:val="28"/>
              </w:rPr>
              <w:t>​</w:t>
            </w:r>
          </w:p>
          <w:p w14:paraId="6410F920">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通信模式：支持“定时推送+主动拉取”双模式：按</w:t>
            </w:r>
            <w:r>
              <w:rPr>
                <w:rFonts w:hint="eastAsia" w:ascii="仿宋_GB2312" w:eastAsia="仿宋_GB2312" w:cs="仿宋_GB2312"/>
                <w:sz w:val="28"/>
                <w:szCs w:val="28"/>
                <w:lang w:bidi="ar"/>
              </w:rPr>
              <w:t>业务</w:t>
            </w:r>
            <w:r>
              <w:rPr>
                <w:rFonts w:ascii="仿宋_GB2312" w:eastAsia="仿宋_GB2312" w:cs="仿宋_GB2312"/>
                <w:sz w:val="28"/>
                <w:szCs w:val="28"/>
                <w:lang w:bidi="ar"/>
              </w:rPr>
              <w:t>要求的时间间隔批量推送结构化数据；同时提供API接口，供</w:t>
            </w:r>
            <w:r>
              <w:rPr>
                <w:rFonts w:hint="eastAsia" w:ascii="仿宋_GB2312" w:eastAsia="仿宋_GB2312" w:cs="仿宋_GB2312"/>
                <w:sz w:val="28"/>
                <w:szCs w:val="28"/>
                <w:lang w:bidi="ar"/>
              </w:rPr>
              <w:t>业务</w:t>
            </w:r>
            <w:r>
              <w:rPr>
                <w:rFonts w:ascii="仿宋_GB2312" w:eastAsia="仿宋_GB2312" w:cs="仿宋_GB2312"/>
                <w:sz w:val="28"/>
                <w:szCs w:val="28"/>
                <w:lang w:bidi="ar"/>
              </w:rPr>
              <w:t>系统实时调取特定数据。​</w:t>
            </w:r>
          </w:p>
          <w:p w14:paraId="3EC3AB7C">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容错机制：</w:t>
            </w:r>
            <w:r>
              <w:rPr>
                <w:rFonts w:hint="eastAsia" w:ascii="仿宋_GB2312" w:eastAsia="仿宋_GB2312" w:cs="仿宋_GB2312"/>
                <w:sz w:val="28"/>
                <w:szCs w:val="28"/>
                <w:lang w:bidi="ar"/>
              </w:rPr>
              <w:t>如产线与服务器</w:t>
            </w:r>
            <w:r>
              <w:rPr>
                <w:rFonts w:ascii="仿宋_GB2312" w:eastAsia="仿宋_GB2312" w:cs="仿宋_GB2312"/>
                <w:sz w:val="28"/>
                <w:szCs w:val="28"/>
                <w:lang w:bidi="ar"/>
              </w:rPr>
              <w:t>通信中断，</w:t>
            </w:r>
            <w:r>
              <w:rPr>
                <w:rFonts w:hint="eastAsia" w:ascii="仿宋_GB2312" w:eastAsia="仿宋_GB2312" w:cs="仿宋_GB2312"/>
                <w:sz w:val="28"/>
                <w:szCs w:val="28"/>
                <w:lang w:bidi="ar"/>
              </w:rPr>
              <w:t>线边终端设备（或服务器）需</w:t>
            </w:r>
            <w:r>
              <w:rPr>
                <w:rFonts w:ascii="仿宋_GB2312" w:eastAsia="仿宋_GB2312" w:cs="仿宋_GB2312"/>
                <w:sz w:val="28"/>
                <w:szCs w:val="28"/>
                <w:lang w:bidi="ar"/>
              </w:rPr>
              <w:t>自动缓存数据（</w:t>
            </w:r>
            <w:r>
              <w:rPr>
                <w:rFonts w:hint="eastAsia" w:ascii="仿宋_GB2312" w:eastAsia="仿宋_GB2312" w:cs="仿宋_GB2312"/>
                <w:sz w:val="28"/>
                <w:szCs w:val="28"/>
                <w:lang w:bidi="ar"/>
              </w:rPr>
              <w:t>至少满足8</w:t>
            </w:r>
            <w:r>
              <w:rPr>
                <w:rFonts w:ascii="仿宋_GB2312" w:eastAsia="仿宋_GB2312" w:cs="仿宋_GB2312"/>
                <w:sz w:val="28"/>
                <w:szCs w:val="28"/>
                <w:lang w:bidi="ar"/>
              </w:rPr>
              <w:t>小时</w:t>
            </w:r>
            <w:r>
              <w:rPr>
                <w:rFonts w:hint="eastAsia" w:ascii="仿宋_GB2312" w:eastAsia="仿宋_GB2312" w:cs="仿宋_GB2312"/>
                <w:sz w:val="28"/>
                <w:szCs w:val="28"/>
                <w:lang w:bidi="ar"/>
              </w:rPr>
              <w:t>数据存储</w:t>
            </w:r>
            <w:r>
              <w:rPr>
                <w:rFonts w:ascii="仿宋_GB2312" w:eastAsia="仿宋_GB2312" w:cs="仿宋_GB2312"/>
                <w:sz w:val="28"/>
                <w:szCs w:val="28"/>
                <w:lang w:bidi="ar"/>
              </w:rPr>
              <w:t>）</w:t>
            </w:r>
            <w:r>
              <w:rPr>
                <w:rFonts w:hint="eastAsia" w:ascii="仿宋_GB2312" w:eastAsia="仿宋_GB2312" w:cs="仿宋_GB2312"/>
                <w:sz w:val="28"/>
                <w:szCs w:val="28"/>
                <w:lang w:bidi="ar"/>
              </w:rPr>
              <w:t>，通信恢复后，自动完成数据上传。</w:t>
            </w:r>
          </w:p>
          <w:p w14:paraId="3FB560CB">
            <w:pPr>
              <w:pStyle w:val="5"/>
              <w:numPr>
                <w:ilvl w:val="0"/>
                <w:numId w:val="4"/>
              </w:numPr>
              <w:snapToGrid w:val="0"/>
              <w:spacing w:before="0" w:after="0" w:line="400" w:lineRule="exact"/>
              <w:ind w:firstLineChars="0"/>
              <w:rPr>
                <w:rFonts w:ascii="仿宋" w:hAnsi="仿宋" w:eastAsia="仿宋" w:cs="仿宋"/>
                <w:sz w:val="28"/>
                <w:szCs w:val="28"/>
              </w:rPr>
            </w:pPr>
            <w:r>
              <w:rPr>
                <w:rFonts w:ascii="仿宋" w:hAnsi="仿宋" w:eastAsia="仿宋" w:cs="仿宋"/>
                <w:sz w:val="28"/>
                <w:szCs w:val="28"/>
              </w:rPr>
              <w:t>与条码关联的协同需求​</w:t>
            </w:r>
          </w:p>
          <w:p w14:paraId="0F433B84">
            <w:pPr>
              <w:pStyle w:val="20"/>
              <w:spacing w:line="400" w:lineRule="exact"/>
              <w:ind w:firstLine="560"/>
              <w:rPr>
                <w:rFonts w:ascii="仿宋_GB2312" w:eastAsia="仿宋_GB2312" w:cs="仿宋_GB2312"/>
                <w:sz w:val="28"/>
                <w:szCs w:val="28"/>
                <w:lang w:bidi="ar"/>
              </w:rPr>
            </w:pPr>
            <w:r>
              <w:rPr>
                <w:rFonts w:ascii="仿宋_GB2312" w:eastAsia="仿宋_GB2312" w:cs="仿宋_GB2312"/>
                <w:sz w:val="28"/>
                <w:szCs w:val="28"/>
                <w:lang w:bidi="ar"/>
              </w:rPr>
              <w:t>采集的过程数据需与PCB板条码（双面刻码，尺寸5*5mm）精准关联</w:t>
            </w:r>
            <w:r>
              <w:rPr>
                <w:rFonts w:hint="eastAsia" w:ascii="仿宋_GB2312" w:eastAsia="仿宋_GB2312" w:cs="仿宋_GB2312"/>
                <w:sz w:val="28"/>
                <w:szCs w:val="28"/>
                <w:lang w:bidi="ar"/>
              </w:rPr>
              <w:t>。</w:t>
            </w:r>
          </w:p>
          <w:p w14:paraId="52490F64">
            <w:pPr>
              <w:pStyle w:val="5"/>
              <w:numPr>
                <w:ilvl w:val="0"/>
                <w:numId w:val="4"/>
              </w:numPr>
              <w:snapToGrid w:val="0"/>
              <w:spacing w:before="0" w:after="0" w:line="400" w:lineRule="exact"/>
              <w:ind w:firstLineChars="0"/>
              <w:rPr>
                <w:rFonts w:ascii="仿宋" w:hAnsi="仿宋" w:eastAsia="仿宋" w:cs="仿宋"/>
                <w:sz w:val="28"/>
                <w:szCs w:val="28"/>
              </w:rPr>
            </w:pPr>
            <w:r>
              <w:rPr>
                <w:rFonts w:ascii="仿宋" w:hAnsi="仿宋" w:eastAsia="仿宋" w:cs="仿宋"/>
                <w:sz w:val="28"/>
                <w:szCs w:val="28"/>
              </w:rPr>
              <w:t>对</w:t>
            </w:r>
            <w:r>
              <w:rPr>
                <w:rFonts w:hint="eastAsia" w:ascii="仿宋" w:hAnsi="仿宋" w:eastAsia="仿宋" w:cs="仿宋"/>
                <w:sz w:val="28"/>
                <w:szCs w:val="28"/>
              </w:rPr>
              <w:t>数据</w:t>
            </w:r>
            <w:r>
              <w:rPr>
                <w:rFonts w:ascii="仿宋" w:hAnsi="仿宋" w:eastAsia="仿宋" w:cs="仿宋"/>
                <w:sz w:val="28"/>
                <w:szCs w:val="28"/>
              </w:rPr>
              <w:t>存储的需求​</w:t>
            </w:r>
          </w:p>
          <w:p w14:paraId="47400725">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eastAsia="仿宋_GB2312" w:cs="仿宋_GB2312"/>
                <w:sz w:val="28"/>
                <w:szCs w:val="28"/>
                <w:lang w:bidi="ar"/>
              </w:rPr>
              <w:t>投标方需提供满足甲方数据存储需求的服务器、存储、网络、终端设备等硬件的详细参数及参考价格。所选硬件均需为市场主流设备，不接受定制化硬件。</w:t>
            </w:r>
          </w:p>
        </w:tc>
      </w:tr>
      <w:tr w14:paraId="715110B7">
        <w:tblPrEx>
          <w:tblCellMar>
            <w:top w:w="0" w:type="dxa"/>
            <w:left w:w="108" w:type="dxa"/>
            <w:bottom w:w="0" w:type="dxa"/>
            <w:right w:w="108" w:type="dxa"/>
          </w:tblCellMar>
        </w:tblPrEx>
        <w:trPr>
          <w:trHeight w:val="4215" w:hRule="atLeast"/>
        </w:trPr>
        <w:tc>
          <w:tcPr>
            <w:tcW w:w="874" w:type="dxa"/>
            <w:vMerge w:val="restart"/>
            <w:tcBorders>
              <w:top w:val="single" w:color="000000" w:sz="4" w:space="0"/>
              <w:left w:val="single" w:color="000000" w:sz="4" w:space="0"/>
              <w:bottom w:val="single" w:color="000000" w:sz="4" w:space="0"/>
              <w:right w:val="single" w:color="000000" w:sz="4" w:space="0"/>
            </w:tcBorders>
            <w:vAlign w:val="center"/>
          </w:tcPr>
          <w:p w14:paraId="4467677E">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工装工具管理</w:t>
            </w:r>
          </w:p>
        </w:tc>
        <w:tc>
          <w:tcPr>
            <w:tcW w:w="1278" w:type="dxa"/>
            <w:tcBorders>
              <w:top w:val="single" w:color="000000" w:sz="4" w:space="0"/>
              <w:left w:val="single" w:color="000000" w:sz="4" w:space="0"/>
              <w:bottom w:val="single" w:color="000000" w:sz="4" w:space="0"/>
              <w:right w:val="single" w:color="000000" w:sz="4" w:space="0"/>
            </w:tcBorders>
            <w:vAlign w:val="center"/>
          </w:tcPr>
          <w:p w14:paraId="2796C0B8">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台账管理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434BD14F">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定义和维护工装工具基础属性，如：编号、名称、种类、品牌、规格、型号、使用频次、维护周期及预警提醒等；</w:t>
            </w:r>
          </w:p>
          <w:p w14:paraId="0152BCD1">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对装配、调试、试验过程中使用的智能焊台、振动夹具、智能电批、调试电缆等各类工装工具进行台账管理，包括工装工具的库存状态（使用中、待领用、报废等）等；</w:t>
            </w:r>
          </w:p>
          <w:p w14:paraId="790B1ACA">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自动根据工装工具的使用次数、时间等情况更新台账，方便设备管理人员、生产管理人员标记、维护和查询等。</w:t>
            </w:r>
          </w:p>
        </w:tc>
      </w:tr>
      <w:tr w14:paraId="32DA83BC">
        <w:tblPrEx>
          <w:tblCellMar>
            <w:top w:w="0" w:type="dxa"/>
            <w:left w:w="108" w:type="dxa"/>
            <w:bottom w:w="0" w:type="dxa"/>
            <w:right w:w="108" w:type="dxa"/>
          </w:tblCellMar>
        </w:tblPrEx>
        <w:trPr>
          <w:trHeight w:val="147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45F18549">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5E0DFE9">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出入库管理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084A6DAC">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区分领用与借用场景管理出入库；消耗式工具领用后下账；固定资产类工具借用仅变更状态，设置使用周期并提醒归还等。</w:t>
            </w:r>
          </w:p>
        </w:tc>
      </w:tr>
      <w:tr w14:paraId="61EFA9C8">
        <w:tblPrEx>
          <w:tblCellMar>
            <w:top w:w="0" w:type="dxa"/>
            <w:left w:w="108" w:type="dxa"/>
            <w:bottom w:w="0" w:type="dxa"/>
            <w:right w:w="108" w:type="dxa"/>
          </w:tblCellMar>
        </w:tblPrEx>
        <w:trPr>
          <w:trHeight w:val="132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282E9BF">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779E54A">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工装工具采购</w:t>
            </w:r>
          </w:p>
        </w:tc>
        <w:tc>
          <w:tcPr>
            <w:tcW w:w="6240" w:type="dxa"/>
            <w:tcBorders>
              <w:top w:val="single" w:color="000000" w:sz="4" w:space="0"/>
              <w:left w:val="single" w:color="000000" w:sz="4" w:space="0"/>
              <w:bottom w:val="single" w:color="000000" w:sz="4" w:space="0"/>
              <w:right w:val="single" w:color="000000" w:sz="4" w:space="0"/>
            </w:tcBorders>
            <w:vAlign w:val="center"/>
          </w:tcPr>
          <w:p w14:paraId="1362A0E8">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库存不足或需新工具时，在系统中完成采购审批，推送采购单至ERP；区分外购件与自制件管理采购与入库等。</w:t>
            </w:r>
          </w:p>
        </w:tc>
      </w:tr>
      <w:tr w14:paraId="273BC542">
        <w:tblPrEx>
          <w:tblCellMar>
            <w:top w:w="0" w:type="dxa"/>
            <w:left w:w="108" w:type="dxa"/>
            <w:bottom w:w="0" w:type="dxa"/>
            <w:right w:w="108" w:type="dxa"/>
          </w:tblCellMar>
        </w:tblPrEx>
        <w:trPr>
          <w:trHeight w:val="104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5764332F">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4B990730">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工装工具维修</w:t>
            </w:r>
          </w:p>
        </w:tc>
        <w:tc>
          <w:tcPr>
            <w:tcW w:w="6240" w:type="dxa"/>
            <w:tcBorders>
              <w:top w:val="single" w:color="000000" w:sz="4" w:space="0"/>
              <w:left w:val="single" w:color="000000" w:sz="4" w:space="0"/>
              <w:bottom w:val="single" w:color="000000" w:sz="4" w:space="0"/>
              <w:right w:val="single" w:color="000000" w:sz="4" w:space="0"/>
            </w:tcBorders>
            <w:vAlign w:val="center"/>
          </w:tcPr>
          <w:p w14:paraId="2B93F334">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对可维修工具维护损耗物料后生成维修工单，维修完成经质检后入库，成本同步至ERP等。</w:t>
            </w:r>
          </w:p>
        </w:tc>
      </w:tr>
      <w:tr w14:paraId="6FEA6254">
        <w:tblPrEx>
          <w:tblCellMar>
            <w:top w:w="0" w:type="dxa"/>
            <w:left w:w="108" w:type="dxa"/>
            <w:bottom w:w="0" w:type="dxa"/>
            <w:right w:w="108" w:type="dxa"/>
          </w:tblCellMar>
        </w:tblPrEx>
        <w:trPr>
          <w:trHeight w:val="9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4267A2FE">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0E56498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工装工具报损</w:t>
            </w:r>
          </w:p>
        </w:tc>
        <w:tc>
          <w:tcPr>
            <w:tcW w:w="6240" w:type="dxa"/>
            <w:tcBorders>
              <w:top w:val="single" w:color="000000" w:sz="4" w:space="0"/>
              <w:left w:val="single" w:color="000000" w:sz="4" w:space="0"/>
              <w:bottom w:val="single" w:color="000000" w:sz="4" w:space="0"/>
              <w:right w:val="single" w:color="000000" w:sz="4" w:space="0"/>
            </w:tcBorders>
            <w:vAlign w:val="center"/>
          </w:tcPr>
          <w:p w14:paraId="70F22CA5">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由指定人员提出报损申请，经审批后执行报工处理；待报损工具设置专门库位，不得使用等。</w:t>
            </w:r>
          </w:p>
        </w:tc>
      </w:tr>
      <w:tr w14:paraId="257B9815">
        <w:tblPrEx>
          <w:tblCellMar>
            <w:top w:w="0" w:type="dxa"/>
            <w:left w:w="108" w:type="dxa"/>
            <w:bottom w:w="0" w:type="dxa"/>
            <w:right w:w="108" w:type="dxa"/>
          </w:tblCellMar>
        </w:tblPrEx>
        <w:trPr>
          <w:trHeight w:val="144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0BB5EE6F">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4A4AF3D7">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现场</w:t>
            </w:r>
          </w:p>
          <w:p w14:paraId="1B31538F">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792314A8">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构建“工艺预设-工单关联-执行校验”机制，确保资源与任务匹配；资源故障或冲突时，规范替换申请与审批流程，记录相关信息等。</w:t>
            </w:r>
          </w:p>
        </w:tc>
      </w:tr>
      <w:tr w14:paraId="7BBD5808">
        <w:tblPrEx>
          <w:tblCellMar>
            <w:top w:w="0" w:type="dxa"/>
            <w:left w:w="108" w:type="dxa"/>
            <w:bottom w:w="0" w:type="dxa"/>
            <w:right w:w="108" w:type="dxa"/>
          </w:tblCellMar>
        </w:tblPrEx>
        <w:trPr>
          <w:trHeight w:val="141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3B3BAFCB">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3D82AC42">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周期/专项检定</w:t>
            </w:r>
          </w:p>
        </w:tc>
        <w:tc>
          <w:tcPr>
            <w:tcW w:w="6240" w:type="dxa"/>
            <w:tcBorders>
              <w:top w:val="single" w:color="000000" w:sz="4" w:space="0"/>
              <w:left w:val="single" w:color="000000" w:sz="4" w:space="0"/>
              <w:bottom w:val="single" w:color="000000" w:sz="4" w:space="0"/>
              <w:right w:val="single" w:color="000000" w:sz="4" w:space="0"/>
            </w:tcBorders>
            <w:vAlign w:val="center"/>
          </w:tcPr>
          <w:p w14:paraId="043FBDA2">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按工具类型设定差异化检定规则与周期，自动生成计划并提醒；逾期未检工具标记为“禁用”，上传检定记录更新状态等。</w:t>
            </w:r>
          </w:p>
        </w:tc>
      </w:tr>
      <w:tr w14:paraId="3D099A74">
        <w:tblPrEx>
          <w:tblCellMar>
            <w:top w:w="0" w:type="dxa"/>
            <w:left w:w="108" w:type="dxa"/>
            <w:bottom w:w="0" w:type="dxa"/>
            <w:right w:w="108" w:type="dxa"/>
          </w:tblCellMar>
        </w:tblPrEx>
        <w:trPr>
          <w:trHeight w:val="2600" w:hRule="atLeast"/>
        </w:trPr>
        <w:tc>
          <w:tcPr>
            <w:tcW w:w="874" w:type="dxa"/>
            <w:vMerge w:val="restart"/>
            <w:tcBorders>
              <w:top w:val="single" w:color="000000" w:sz="4" w:space="0"/>
              <w:left w:val="single" w:color="000000" w:sz="4" w:space="0"/>
              <w:bottom w:val="single" w:color="000000" w:sz="4" w:space="0"/>
              <w:right w:val="single" w:color="000000" w:sz="4" w:space="0"/>
            </w:tcBorders>
            <w:vAlign w:val="center"/>
          </w:tcPr>
          <w:p w14:paraId="4F66ED36">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仪器设备管理</w:t>
            </w:r>
          </w:p>
        </w:tc>
        <w:tc>
          <w:tcPr>
            <w:tcW w:w="1278" w:type="dxa"/>
            <w:tcBorders>
              <w:top w:val="single" w:color="000000" w:sz="4" w:space="0"/>
              <w:left w:val="single" w:color="000000" w:sz="4" w:space="0"/>
              <w:bottom w:val="single" w:color="000000" w:sz="4" w:space="0"/>
              <w:right w:val="single" w:color="000000" w:sz="4" w:space="0"/>
            </w:tcBorders>
            <w:vAlign w:val="center"/>
          </w:tcPr>
          <w:p w14:paraId="3934CD20">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仪器设备台账</w:t>
            </w:r>
          </w:p>
        </w:tc>
        <w:tc>
          <w:tcPr>
            <w:tcW w:w="6240" w:type="dxa"/>
            <w:tcBorders>
              <w:top w:val="single" w:color="000000" w:sz="4" w:space="0"/>
              <w:left w:val="single" w:color="000000" w:sz="4" w:space="0"/>
              <w:bottom w:val="single" w:color="000000" w:sz="4" w:space="0"/>
              <w:right w:val="single" w:color="000000" w:sz="4" w:space="0"/>
            </w:tcBorders>
            <w:vAlign w:val="center"/>
          </w:tcPr>
          <w:p w14:paraId="166B9FF7">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设立仪器设备台账，涵盖名称、描述、编号、类别、制造商、型号、序列号、有效期、可用性等基本信息；设备档案还包含设备注册、类型、故障码、列表等信息，并整合设备监测点、图纸、程序等产品文档及运维经验、策略、维修履历、资产档案等信息等。</w:t>
            </w:r>
          </w:p>
        </w:tc>
      </w:tr>
      <w:tr w14:paraId="0BC8039F">
        <w:tblPrEx>
          <w:tblCellMar>
            <w:top w:w="0" w:type="dxa"/>
            <w:left w:w="108" w:type="dxa"/>
            <w:bottom w:w="0" w:type="dxa"/>
            <w:right w:w="108" w:type="dxa"/>
          </w:tblCellMar>
        </w:tblPrEx>
        <w:trPr>
          <w:trHeight w:val="1865" w:hRule="atLeast"/>
        </w:trPr>
        <w:tc>
          <w:tcPr>
            <w:tcW w:w="874" w:type="dxa"/>
            <w:vMerge w:val="continue"/>
            <w:tcBorders>
              <w:left w:val="single" w:color="000000" w:sz="4" w:space="0"/>
              <w:right w:val="single" w:color="000000" w:sz="4" w:space="0"/>
            </w:tcBorders>
            <w:vAlign w:val="center"/>
          </w:tcPr>
          <w:p w14:paraId="7F39D51C">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30797F3D">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BOM</w:t>
            </w:r>
          </w:p>
          <w:p w14:paraId="413EFED9">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2253BC33">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按设备组成结构分解为最小可维护单元，依据设备BOM层级对各单元编码并建立对照关系，可基于设备档案配置设备BOM；设备BOM支持复制新增，可挂接图纸、说明书等静态资料等。</w:t>
            </w:r>
          </w:p>
        </w:tc>
      </w:tr>
      <w:tr w14:paraId="3986453F">
        <w:tblPrEx>
          <w:tblCellMar>
            <w:top w:w="0" w:type="dxa"/>
            <w:left w:w="108" w:type="dxa"/>
            <w:bottom w:w="0" w:type="dxa"/>
            <w:right w:w="108" w:type="dxa"/>
          </w:tblCellMar>
        </w:tblPrEx>
        <w:trPr>
          <w:trHeight w:val="104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17D5C7DE">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4F3B3B2B">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仪器设备维修</w:t>
            </w:r>
          </w:p>
        </w:tc>
        <w:tc>
          <w:tcPr>
            <w:tcW w:w="6240" w:type="dxa"/>
            <w:tcBorders>
              <w:top w:val="single" w:color="000000" w:sz="4" w:space="0"/>
              <w:left w:val="single" w:color="000000" w:sz="4" w:space="0"/>
              <w:bottom w:val="single" w:color="000000" w:sz="4" w:space="0"/>
              <w:right w:val="single" w:color="000000" w:sz="4" w:space="0"/>
            </w:tcBorders>
            <w:vAlign w:val="center"/>
          </w:tcPr>
          <w:p w14:paraId="34A02B86">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定义设备失效模式，监测异常时触发报警并生成维修工单；故障维护完成后分析原因并制定措施等。</w:t>
            </w:r>
          </w:p>
        </w:tc>
      </w:tr>
      <w:tr w14:paraId="2E4D148F">
        <w:tblPrEx>
          <w:tblCellMar>
            <w:top w:w="0" w:type="dxa"/>
            <w:left w:w="108" w:type="dxa"/>
            <w:bottom w:w="0" w:type="dxa"/>
            <w:right w:w="108" w:type="dxa"/>
          </w:tblCellMar>
        </w:tblPrEx>
        <w:trPr>
          <w:trHeight w:val="141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688598F3">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7775F75">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设备</w:t>
            </w:r>
          </w:p>
          <w:p w14:paraId="304D995F">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保养</w:t>
            </w:r>
          </w:p>
        </w:tc>
        <w:tc>
          <w:tcPr>
            <w:tcW w:w="6240" w:type="dxa"/>
            <w:tcBorders>
              <w:top w:val="single" w:color="000000" w:sz="4" w:space="0"/>
              <w:left w:val="single" w:color="000000" w:sz="4" w:space="0"/>
              <w:bottom w:val="single" w:color="000000" w:sz="4" w:space="0"/>
              <w:right w:val="single" w:color="000000" w:sz="4" w:space="0"/>
            </w:tcBorders>
            <w:vAlign w:val="center"/>
          </w:tcPr>
          <w:p w14:paraId="31648DAD">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配置计划性维护策略，自动生成保养计划与工单；通过保养日历查询计划执行情况；维护人员执行保养并记录操作等。</w:t>
            </w:r>
          </w:p>
        </w:tc>
      </w:tr>
      <w:tr w14:paraId="601B9A4F">
        <w:tblPrEx>
          <w:tblCellMar>
            <w:top w:w="0" w:type="dxa"/>
            <w:left w:w="108" w:type="dxa"/>
            <w:bottom w:w="0" w:type="dxa"/>
            <w:right w:w="108" w:type="dxa"/>
          </w:tblCellMar>
        </w:tblPrEx>
        <w:trPr>
          <w:trHeight w:val="103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B06E81F">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078F390">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周期/专项检定</w:t>
            </w:r>
          </w:p>
        </w:tc>
        <w:tc>
          <w:tcPr>
            <w:tcW w:w="6240" w:type="dxa"/>
            <w:tcBorders>
              <w:top w:val="single" w:color="000000" w:sz="4" w:space="0"/>
              <w:left w:val="single" w:color="000000" w:sz="4" w:space="0"/>
              <w:bottom w:val="single" w:color="000000" w:sz="4" w:space="0"/>
              <w:right w:val="single" w:color="000000" w:sz="4" w:space="0"/>
            </w:tcBorders>
            <w:vAlign w:val="center"/>
          </w:tcPr>
          <w:p w14:paraId="7D9DB78E">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设定设备检定周期，临近时提醒校准；检定未完成前禁止借用，提示现场使用人员归还等。</w:t>
            </w:r>
          </w:p>
        </w:tc>
      </w:tr>
      <w:tr w14:paraId="238189AF">
        <w:tblPrEx>
          <w:tblCellMar>
            <w:top w:w="0" w:type="dxa"/>
            <w:left w:w="108" w:type="dxa"/>
            <w:bottom w:w="0" w:type="dxa"/>
            <w:right w:w="108" w:type="dxa"/>
          </w:tblCellMar>
        </w:tblPrEx>
        <w:trPr>
          <w:trHeight w:val="148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1438027C">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15DAC01">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设备</w:t>
            </w:r>
          </w:p>
          <w:p w14:paraId="4787673E">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点检</w:t>
            </w:r>
          </w:p>
        </w:tc>
        <w:tc>
          <w:tcPr>
            <w:tcW w:w="6240" w:type="dxa"/>
            <w:tcBorders>
              <w:top w:val="single" w:color="000000" w:sz="4" w:space="0"/>
              <w:left w:val="single" w:color="000000" w:sz="4" w:space="0"/>
              <w:bottom w:val="single" w:color="000000" w:sz="4" w:space="0"/>
              <w:right w:val="single" w:color="000000" w:sz="4" w:space="0"/>
            </w:tcBorders>
            <w:vAlign w:val="center"/>
          </w:tcPr>
          <w:p w14:paraId="4FF8774D">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制定日/周/月/季度点检计划与标准；系统自动提示点检，操作人员电子化执行；发现异常时自动创建维修工单，超期未点检进行预警等。</w:t>
            </w:r>
          </w:p>
        </w:tc>
      </w:tr>
      <w:tr w14:paraId="3A826B6F">
        <w:tblPrEx>
          <w:tblCellMar>
            <w:top w:w="0" w:type="dxa"/>
            <w:left w:w="108" w:type="dxa"/>
            <w:bottom w:w="0" w:type="dxa"/>
            <w:right w:w="108" w:type="dxa"/>
          </w:tblCellMar>
        </w:tblPrEx>
        <w:trPr>
          <w:trHeight w:val="1128"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49803208">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9C8ED89">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备件</w:t>
            </w:r>
          </w:p>
          <w:p w14:paraId="1D7EBB84">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w:t>
            </w:r>
          </w:p>
        </w:tc>
        <w:tc>
          <w:tcPr>
            <w:tcW w:w="6240" w:type="dxa"/>
            <w:tcBorders>
              <w:top w:val="single" w:color="000000" w:sz="4" w:space="0"/>
              <w:left w:val="single" w:color="000000" w:sz="4" w:space="0"/>
              <w:bottom w:val="single" w:color="000000" w:sz="4" w:space="0"/>
              <w:right w:val="single" w:color="000000" w:sz="4" w:space="0"/>
            </w:tcBorders>
            <w:vAlign w:val="center"/>
          </w:tcPr>
          <w:p w14:paraId="1ECC94F8">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管理备件分类、信息、库房与库位；实时记录备件库存台账等。</w:t>
            </w:r>
          </w:p>
        </w:tc>
      </w:tr>
      <w:tr w14:paraId="467B4B78">
        <w:tblPrEx>
          <w:tblCellMar>
            <w:top w:w="0" w:type="dxa"/>
            <w:left w:w="108" w:type="dxa"/>
            <w:bottom w:w="0" w:type="dxa"/>
            <w:right w:w="108" w:type="dxa"/>
          </w:tblCellMar>
        </w:tblPrEx>
        <w:trPr>
          <w:trHeight w:val="1128"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03FF6FF3">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381C11A9">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知识库</w:t>
            </w:r>
          </w:p>
        </w:tc>
        <w:tc>
          <w:tcPr>
            <w:tcW w:w="6240" w:type="dxa"/>
            <w:tcBorders>
              <w:top w:val="single" w:color="000000" w:sz="4" w:space="0"/>
              <w:left w:val="single" w:color="000000" w:sz="4" w:space="0"/>
              <w:bottom w:val="single" w:color="000000" w:sz="4" w:space="0"/>
              <w:right w:val="single" w:color="000000" w:sz="4" w:space="0"/>
            </w:tcBorders>
            <w:vAlign w:val="center"/>
          </w:tcPr>
          <w:p w14:paraId="0E2ACC1D">
            <w:pPr>
              <w:widowControl/>
              <w:adjustRightInd w:val="0"/>
              <w:snapToGrid w:val="0"/>
              <w:spacing w:line="400" w:lineRule="exact"/>
              <w:jc w:val="left"/>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维护知识分类树形结构，支持知识文档新增、编辑与附件上传，为运维提供支撑等。</w:t>
            </w:r>
          </w:p>
        </w:tc>
      </w:tr>
      <w:tr w14:paraId="2E19B948">
        <w:tblPrEx>
          <w:tblCellMar>
            <w:top w:w="0" w:type="dxa"/>
            <w:left w:w="108" w:type="dxa"/>
            <w:bottom w:w="0" w:type="dxa"/>
            <w:right w:w="108" w:type="dxa"/>
          </w:tblCellMar>
        </w:tblPrEx>
        <w:trPr>
          <w:trHeight w:val="115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338362A">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35BED423">
            <w:pPr>
              <w:widowControl/>
              <w:adjustRightInd w:val="0"/>
              <w:snapToGrid w:val="0"/>
              <w:spacing w:line="400" w:lineRule="exact"/>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报表</w:t>
            </w:r>
          </w:p>
          <w:p w14:paraId="0E2E03E5">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统计</w:t>
            </w:r>
          </w:p>
        </w:tc>
        <w:tc>
          <w:tcPr>
            <w:tcW w:w="6240" w:type="dxa"/>
            <w:tcBorders>
              <w:top w:val="single" w:color="000000" w:sz="4" w:space="0"/>
              <w:left w:val="single" w:color="000000" w:sz="4" w:space="0"/>
              <w:bottom w:val="single" w:color="000000" w:sz="4" w:space="0"/>
              <w:right w:val="single" w:color="000000" w:sz="4" w:space="0"/>
            </w:tcBorders>
            <w:vAlign w:val="center"/>
          </w:tcPr>
          <w:p w14:paraId="01C43B49">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提供设备报警、工单、维修、保养、备件使用等多类数据分析功能，生成统计报表等。</w:t>
            </w:r>
          </w:p>
        </w:tc>
      </w:tr>
      <w:tr w14:paraId="0CF6F436">
        <w:tblPrEx>
          <w:tblCellMar>
            <w:top w:w="0" w:type="dxa"/>
            <w:left w:w="108" w:type="dxa"/>
            <w:bottom w:w="0" w:type="dxa"/>
            <w:right w:w="108" w:type="dxa"/>
          </w:tblCellMar>
        </w:tblPrEx>
        <w:trPr>
          <w:trHeight w:val="1800" w:hRule="atLeast"/>
        </w:trPr>
        <w:tc>
          <w:tcPr>
            <w:tcW w:w="874" w:type="dxa"/>
            <w:vMerge w:val="restart"/>
            <w:tcBorders>
              <w:top w:val="single" w:color="000000" w:sz="4" w:space="0"/>
              <w:left w:val="single" w:color="000000" w:sz="4" w:space="0"/>
              <w:bottom w:val="single" w:color="000000" w:sz="4" w:space="0"/>
              <w:right w:val="single" w:color="000000" w:sz="4" w:space="0"/>
            </w:tcBorders>
            <w:vAlign w:val="center"/>
          </w:tcPr>
          <w:p w14:paraId="40D4290E">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看板管理</w:t>
            </w:r>
          </w:p>
        </w:tc>
        <w:tc>
          <w:tcPr>
            <w:tcW w:w="1278" w:type="dxa"/>
            <w:tcBorders>
              <w:top w:val="single" w:color="000000" w:sz="4" w:space="0"/>
              <w:left w:val="single" w:color="000000" w:sz="4" w:space="0"/>
              <w:bottom w:val="single" w:color="000000" w:sz="4" w:space="0"/>
              <w:right w:val="single" w:color="000000" w:sz="4" w:space="0"/>
            </w:tcBorders>
            <w:vAlign w:val="center"/>
          </w:tcPr>
          <w:p w14:paraId="11BFAB90">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分层可视化监控</w:t>
            </w:r>
          </w:p>
        </w:tc>
        <w:tc>
          <w:tcPr>
            <w:tcW w:w="6240" w:type="dxa"/>
            <w:tcBorders>
              <w:top w:val="single" w:color="000000" w:sz="4" w:space="0"/>
              <w:left w:val="single" w:color="000000" w:sz="4" w:space="0"/>
              <w:bottom w:val="single" w:color="000000" w:sz="4" w:space="0"/>
              <w:right w:val="single" w:color="000000" w:sz="4" w:space="0"/>
            </w:tcBorders>
            <w:vAlign w:val="center"/>
          </w:tcPr>
          <w:p w14:paraId="1A56986D">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覆盖生产准备、工单进度、设备状态等关键信息；按“工位-产线-车间”分层设计看板，分别展示对应层级的任务、进度、瓶颈工序及KPI指标；设置软安灯按钮，支持异常快速上报等。</w:t>
            </w:r>
          </w:p>
        </w:tc>
      </w:tr>
      <w:tr w14:paraId="4A4839DA">
        <w:tblPrEx>
          <w:tblCellMar>
            <w:top w:w="0" w:type="dxa"/>
            <w:left w:w="108" w:type="dxa"/>
            <w:bottom w:w="0" w:type="dxa"/>
            <w:right w:w="108" w:type="dxa"/>
          </w:tblCellMar>
        </w:tblPrEx>
        <w:trPr>
          <w:trHeight w:val="2110"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24093A5F">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85F5A17">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异常联动与协同</w:t>
            </w:r>
          </w:p>
        </w:tc>
        <w:tc>
          <w:tcPr>
            <w:tcW w:w="6240" w:type="dxa"/>
            <w:tcBorders>
              <w:top w:val="single" w:color="000000" w:sz="4" w:space="0"/>
              <w:left w:val="single" w:color="000000" w:sz="4" w:space="0"/>
              <w:bottom w:val="single" w:color="000000" w:sz="4" w:space="0"/>
              <w:right w:val="single" w:color="000000" w:sz="4" w:space="0"/>
            </w:tcBorders>
            <w:vAlign w:val="center"/>
          </w:tcPr>
          <w:p w14:paraId="6BB14155">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异常处理关键节点自动同步至看板，驱动状态更新；实时展示异常类型、位置、处理进度，通过颜色标识状态；超期未处理自动推送至管理层，触发流程升级；支持点击查看完整处理记录，实现全链条闭环等。</w:t>
            </w:r>
          </w:p>
        </w:tc>
      </w:tr>
      <w:tr w14:paraId="0EE2976C">
        <w:tblPrEx>
          <w:tblCellMar>
            <w:top w:w="0" w:type="dxa"/>
            <w:left w:w="108" w:type="dxa"/>
            <w:bottom w:w="0" w:type="dxa"/>
            <w:right w:w="108" w:type="dxa"/>
          </w:tblCellMar>
        </w:tblPrEx>
        <w:trPr>
          <w:trHeight w:val="1627"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6DFF8708">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7F5B56FC">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质量管控与数据集成</w:t>
            </w:r>
          </w:p>
        </w:tc>
        <w:tc>
          <w:tcPr>
            <w:tcW w:w="6240" w:type="dxa"/>
            <w:tcBorders>
              <w:top w:val="single" w:color="000000" w:sz="4" w:space="0"/>
              <w:left w:val="single" w:color="000000" w:sz="4" w:space="0"/>
              <w:bottom w:val="single" w:color="000000" w:sz="4" w:space="0"/>
              <w:right w:val="single" w:color="000000" w:sz="4" w:space="0"/>
            </w:tcBorders>
            <w:vAlign w:val="center"/>
          </w:tcPr>
          <w:p w14:paraId="79B1C3E3">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实时展示首件检验、过程检验结果及不合格品处理进度；关联物料批次、生产批次等追溯信息，支持快速下钻查询具体批次全链条数据等。</w:t>
            </w:r>
          </w:p>
        </w:tc>
      </w:tr>
      <w:tr w14:paraId="39ACC3F8">
        <w:tblPrEx>
          <w:tblCellMar>
            <w:top w:w="0" w:type="dxa"/>
            <w:left w:w="108" w:type="dxa"/>
            <w:bottom w:w="0" w:type="dxa"/>
            <w:right w:w="108" w:type="dxa"/>
          </w:tblCellMar>
        </w:tblPrEx>
        <w:trPr>
          <w:trHeight w:val="1835"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7418BDF9">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E52F6AE">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多模块集成与权限配置</w:t>
            </w:r>
          </w:p>
        </w:tc>
        <w:tc>
          <w:tcPr>
            <w:tcW w:w="6240" w:type="dxa"/>
            <w:tcBorders>
              <w:top w:val="single" w:color="000000" w:sz="4" w:space="0"/>
              <w:left w:val="single" w:color="000000" w:sz="4" w:space="0"/>
              <w:bottom w:val="single" w:color="000000" w:sz="4" w:space="0"/>
              <w:right w:val="single" w:color="000000" w:sz="4" w:space="0"/>
            </w:tcBorders>
            <w:vAlign w:val="center"/>
          </w:tcPr>
          <w:p w14:paraId="2A58DA0B">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对接生产执行、物料管理等模块，自动抽取并同步数据；按角色划分看板查看与操作权限，敏感信息脱敏展示；允许自定义看板布局、指标维度及刷新频率等。</w:t>
            </w:r>
          </w:p>
        </w:tc>
      </w:tr>
      <w:tr w14:paraId="1631C3BA">
        <w:tblPrEx>
          <w:tblCellMar>
            <w:top w:w="0" w:type="dxa"/>
            <w:left w:w="108" w:type="dxa"/>
            <w:bottom w:w="0" w:type="dxa"/>
            <w:right w:w="108" w:type="dxa"/>
          </w:tblCellMar>
        </w:tblPrEx>
        <w:trPr>
          <w:trHeight w:val="1748" w:hRule="atLeast"/>
        </w:trPr>
        <w:tc>
          <w:tcPr>
            <w:tcW w:w="874" w:type="dxa"/>
            <w:vMerge w:val="continue"/>
            <w:tcBorders>
              <w:top w:val="single" w:color="000000" w:sz="4" w:space="0"/>
              <w:left w:val="single" w:color="000000" w:sz="4" w:space="0"/>
              <w:bottom w:val="single" w:color="000000" w:sz="4" w:space="0"/>
              <w:right w:val="single" w:color="000000" w:sz="4" w:space="0"/>
            </w:tcBorders>
            <w:vAlign w:val="center"/>
          </w:tcPr>
          <w:p w14:paraId="5A2BC55D">
            <w:pPr>
              <w:widowControl/>
              <w:adjustRightInd w:val="0"/>
              <w:snapToGrid w:val="0"/>
              <w:spacing w:line="400" w:lineRule="exact"/>
              <w:jc w:val="center"/>
              <w:rPr>
                <w:rFonts w:ascii="仿宋_GB2312" w:hAnsi="仿宋_GB2312" w:eastAsia="仿宋_GB2312" w:cs="仿宋_GB2312"/>
                <w:color w:val="000000"/>
                <w:sz w:val="28"/>
                <w:szCs w:val="28"/>
              </w:rPr>
            </w:pPr>
          </w:p>
        </w:tc>
        <w:tc>
          <w:tcPr>
            <w:tcW w:w="1278" w:type="dxa"/>
            <w:tcBorders>
              <w:top w:val="single" w:color="000000" w:sz="4" w:space="0"/>
              <w:left w:val="single" w:color="000000" w:sz="4" w:space="0"/>
              <w:bottom w:val="single" w:color="000000" w:sz="4" w:space="0"/>
              <w:right w:val="single" w:color="000000" w:sz="4" w:space="0"/>
            </w:tcBorders>
            <w:vAlign w:val="center"/>
          </w:tcPr>
          <w:p w14:paraId="23365DFC">
            <w:pPr>
              <w:widowControl/>
              <w:adjustRightInd w:val="0"/>
              <w:snapToGrid w:val="0"/>
              <w:spacing w:line="400" w:lineRule="exact"/>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精益生产与持续改进</w:t>
            </w:r>
          </w:p>
        </w:tc>
        <w:tc>
          <w:tcPr>
            <w:tcW w:w="6240" w:type="dxa"/>
            <w:tcBorders>
              <w:top w:val="single" w:color="000000" w:sz="4" w:space="0"/>
              <w:left w:val="single" w:color="000000" w:sz="4" w:space="0"/>
              <w:bottom w:val="single" w:color="000000" w:sz="4" w:space="0"/>
              <w:right w:val="single" w:color="000000" w:sz="4" w:space="0"/>
            </w:tcBorders>
            <w:vAlign w:val="center"/>
          </w:tcPr>
          <w:p w14:paraId="1DD6235A">
            <w:pPr>
              <w:widowControl/>
              <w:adjustRightInd w:val="0"/>
              <w:snapToGrid w:val="0"/>
              <w:spacing w:line="400" w:lineRule="exact"/>
              <w:jc w:val="left"/>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通过看板数据，为车间班组会、公司月度分析会等提供数据依据；支持滚动播放内部通知，提升信息传递效率等。</w:t>
            </w:r>
          </w:p>
        </w:tc>
      </w:tr>
      <w:tr w14:paraId="30B7A307">
        <w:tblPrEx>
          <w:tblCellMar>
            <w:top w:w="0" w:type="dxa"/>
            <w:left w:w="108" w:type="dxa"/>
            <w:bottom w:w="0" w:type="dxa"/>
            <w:right w:w="108" w:type="dxa"/>
          </w:tblCellMar>
        </w:tblPrEx>
        <w:trPr>
          <w:trHeight w:val="2685" w:hRule="atLeast"/>
        </w:trPr>
        <w:tc>
          <w:tcPr>
            <w:tcW w:w="874" w:type="dxa"/>
            <w:tcBorders>
              <w:top w:val="single" w:color="000000" w:sz="4" w:space="0"/>
              <w:left w:val="single" w:color="000000" w:sz="4" w:space="0"/>
              <w:bottom w:val="single" w:color="000000" w:sz="4" w:space="0"/>
              <w:right w:val="single" w:color="000000" w:sz="4" w:space="0"/>
            </w:tcBorders>
            <w:vAlign w:val="center"/>
          </w:tcPr>
          <w:p w14:paraId="31E10116">
            <w:pPr>
              <w:widowControl/>
              <w:adjustRightInd w:val="0"/>
              <w:snapToGrid w:val="0"/>
              <w:spacing w:line="400" w:lineRule="exact"/>
              <w:jc w:val="center"/>
              <w:rPr>
                <w:rFonts w:ascii="仿宋_GB2312" w:hAnsi="仿宋_GB2312" w:eastAsia="仿宋_GB2312" w:cs="仿宋_GB2312"/>
                <w:color w:val="000000"/>
                <w:sz w:val="28"/>
                <w:szCs w:val="28"/>
              </w:rPr>
            </w:pPr>
            <w:r>
              <w:rPr>
                <w:rFonts w:hint="eastAsia" w:ascii="仿宋_GB2312" w:eastAsia="仿宋_GB2312" w:cs="仿宋_GB2312"/>
                <w:sz w:val="28"/>
                <w:szCs w:val="28"/>
                <w:lang w:bidi="ar"/>
              </w:rPr>
              <w:t>系统集成</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5422">
            <w:pPr>
              <w:widowControl/>
              <w:adjustRightInd w:val="0"/>
              <w:snapToGrid w:val="0"/>
              <w:spacing w:line="560" w:lineRule="exact"/>
              <w:jc w:val="center"/>
              <w:textAlignment w:val="center"/>
              <w:rPr>
                <w:rFonts w:ascii="仿宋_GB2312" w:eastAsia="仿宋_GB2312" w:cs="仿宋_GB2312"/>
                <w:sz w:val="28"/>
                <w:szCs w:val="28"/>
                <w:lang w:bidi="ar"/>
              </w:rPr>
            </w:pPr>
            <w:r>
              <w:rPr>
                <w:rFonts w:hint="eastAsia" w:ascii="仿宋_GB2312" w:eastAsia="仿宋_GB2312" w:cs="仿宋_GB2312"/>
                <w:sz w:val="28"/>
                <w:szCs w:val="28"/>
                <w:lang w:bidi="ar"/>
              </w:rPr>
              <w:t>系统</w:t>
            </w:r>
          </w:p>
          <w:p w14:paraId="329020A2">
            <w:pPr>
              <w:widowControl/>
              <w:adjustRightInd w:val="0"/>
              <w:snapToGrid w:val="0"/>
              <w:spacing w:line="560" w:lineRule="exact"/>
              <w:jc w:val="center"/>
              <w:textAlignment w:val="center"/>
              <w:rPr>
                <w:rFonts w:ascii="仿宋_GB2312" w:eastAsia="仿宋_GB2312" w:cs="仿宋_GB2312"/>
                <w:sz w:val="28"/>
                <w:szCs w:val="28"/>
                <w:lang w:bidi="ar"/>
              </w:rPr>
            </w:pPr>
            <w:r>
              <w:rPr>
                <w:rFonts w:hint="eastAsia" w:ascii="仿宋_GB2312" w:eastAsia="仿宋_GB2312" w:cs="仿宋_GB2312"/>
                <w:sz w:val="28"/>
                <w:szCs w:val="28"/>
                <w:lang w:bidi="ar"/>
              </w:rPr>
              <w:t>集成</w:t>
            </w:r>
          </w:p>
        </w:tc>
        <w:tc>
          <w:tcPr>
            <w:tcW w:w="6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3698">
            <w:pPr>
              <w:widowControl/>
              <w:adjustRightInd w:val="0"/>
              <w:snapToGrid w:val="0"/>
              <w:spacing w:line="400" w:lineRule="exact"/>
              <w:jc w:val="left"/>
              <w:textAlignment w:val="center"/>
              <w:rPr>
                <w:rFonts w:ascii="仿宋_GB2312" w:eastAsia="仿宋_GB2312" w:cs="仿宋_GB2312"/>
                <w:sz w:val="28"/>
                <w:szCs w:val="28"/>
                <w:lang w:bidi="ar"/>
              </w:rPr>
            </w:pPr>
            <w:r>
              <w:rPr>
                <w:rFonts w:hint="eastAsia" w:ascii="仿宋_GB2312" w:hAnsi="仿宋_GB2312" w:eastAsia="仿宋_GB2312" w:cs="仿宋_GB2312"/>
                <w:color w:val="000000"/>
                <w:kern w:val="0"/>
                <w:sz w:val="28"/>
                <w:szCs w:val="28"/>
                <w:lang w:bidi="ar"/>
              </w:rPr>
              <w:t>1、软件集成：通过接口等方式实现MES系统与ERP、WMS、QMS、TC、数字化工艺、软件生命周期管理软件等软件系统集成，实现业务场景全流程线上执行、跟踪与数据共享，支持业务财务一体化；</w:t>
            </w:r>
            <w:r>
              <w:rPr>
                <w:rFonts w:hint="eastAsia" w:ascii="仿宋_GB2312" w:hAnsi="仿宋_GB2312" w:eastAsia="仿宋_GB2312" w:cs="仿宋_GB2312"/>
                <w:color w:val="000000"/>
                <w:kern w:val="0"/>
                <w:sz w:val="28"/>
                <w:szCs w:val="28"/>
                <w:lang w:bidi="ar"/>
              </w:rPr>
              <w:br w:type="textWrapping"/>
            </w:r>
            <w:r>
              <w:rPr>
                <w:rFonts w:hint="eastAsia" w:ascii="仿宋_GB2312" w:hAnsi="仿宋_GB2312" w:eastAsia="仿宋_GB2312" w:cs="仿宋_GB2312"/>
                <w:color w:val="000000"/>
                <w:kern w:val="0"/>
                <w:sz w:val="28"/>
                <w:szCs w:val="28"/>
                <w:lang w:bidi="ar"/>
              </w:rPr>
              <w:t>2、硬件集成：通过MES系统对扫码枪、</w:t>
            </w:r>
            <w:r>
              <w:rPr>
                <w:rFonts w:hint="eastAsia" w:ascii="仿宋_GB2312" w:hAnsi="仿宋_GB2312" w:eastAsia="仿宋_GB2312" w:cs="仿宋_GB2312"/>
                <w:color w:val="000000"/>
                <w:kern w:val="0"/>
                <w:sz w:val="28"/>
                <w:szCs w:val="28"/>
                <w:lang w:val="en-US" w:eastAsia="zh-CN" w:bidi="ar"/>
              </w:rPr>
              <w:t>有线</w:t>
            </w:r>
            <w:r>
              <w:rPr>
                <w:rFonts w:hint="eastAsia" w:ascii="仿宋_GB2312" w:hAnsi="仿宋_GB2312" w:eastAsia="仿宋_GB2312" w:cs="仿宋_GB2312"/>
                <w:color w:val="000000"/>
                <w:kern w:val="0"/>
                <w:sz w:val="28"/>
                <w:szCs w:val="28"/>
                <w:lang w:bidi="ar"/>
              </w:rPr>
              <w:t>PDA、履历系统、AGV机器人、亮灯货架等集成。</w:t>
            </w:r>
          </w:p>
        </w:tc>
      </w:tr>
    </w:tbl>
    <w:p w14:paraId="5C6F5A0C">
      <w:pPr>
        <w:pStyle w:val="19"/>
        <w:numPr>
          <w:ilvl w:val="0"/>
          <w:numId w:val="2"/>
        </w:numPr>
        <w:adjustRightInd w:val="0"/>
        <w:snapToGrid w:val="0"/>
        <w:spacing w:line="560" w:lineRule="exact"/>
        <w:contextualSpacing w:val="0"/>
        <w:outlineLvl w:val="0"/>
        <w:rPr>
          <w:rFonts w:ascii="仿宋_GB2312" w:eastAsia="仿宋_GB2312" w:cs="仿宋_GB2312"/>
          <w:b/>
          <w:bCs/>
          <w:sz w:val="32"/>
          <w:szCs w:val="32"/>
          <w:lang w:bidi="ar"/>
        </w:rPr>
      </w:pPr>
      <w:r>
        <w:rPr>
          <w:rFonts w:hint="eastAsia" w:ascii="仿宋_GB2312" w:eastAsia="仿宋_GB2312" w:cs="仿宋_GB2312"/>
          <w:b/>
          <w:bCs/>
          <w:sz w:val="32"/>
          <w:szCs w:val="32"/>
          <w:lang w:bidi="ar"/>
        </w:rPr>
        <w:t>技术要求及产品性能</w:t>
      </w:r>
    </w:p>
    <w:p w14:paraId="11C93783">
      <w:pPr>
        <w:pStyle w:val="19"/>
        <w:numPr>
          <w:ilvl w:val="1"/>
          <w:numId w:val="2"/>
        </w:numPr>
        <w:adjustRightInd w:val="0"/>
        <w:snapToGrid w:val="0"/>
        <w:spacing w:line="560" w:lineRule="exact"/>
        <w:contextualSpacing w:val="0"/>
        <w:outlineLvl w:val="1"/>
        <w:rPr>
          <w:rFonts w:ascii="仿宋_GB2312" w:eastAsia="仿宋_GB2312" w:cs="仿宋_GB2312"/>
          <w:b/>
          <w:bCs/>
          <w:sz w:val="32"/>
          <w:szCs w:val="32"/>
          <w:lang w:bidi="ar"/>
        </w:rPr>
      </w:pPr>
      <w:r>
        <w:rPr>
          <w:rFonts w:hint="eastAsia" w:ascii="仿宋_GB2312" w:eastAsia="仿宋_GB2312" w:cs="仿宋_GB2312"/>
          <w:b/>
          <w:bCs/>
          <w:sz w:val="32"/>
          <w:szCs w:val="32"/>
          <w:lang w:bidi="ar"/>
        </w:rPr>
        <w:t>基本性能指标</w:t>
      </w:r>
    </w:p>
    <w:p w14:paraId="700C4108">
      <w:pPr>
        <w:spacing w:line="560" w:lineRule="exact"/>
        <w:ind w:firstLine="640" w:firstLineChars="200"/>
        <w:rPr>
          <w:rFonts w:ascii="仿宋_GB2312" w:eastAsia="仿宋_GB2312"/>
          <w:sz w:val="32"/>
          <w:szCs w:val="32"/>
          <w:highlight w:val="none"/>
        </w:rPr>
      </w:pPr>
      <w:r>
        <w:rPr>
          <w:rFonts w:hint="eastAsia" w:ascii="仿宋_GB2312" w:eastAsia="仿宋_GB2312" w:cs="仿宋_GB2312"/>
          <w:sz w:val="32"/>
          <w:szCs w:val="32"/>
          <w:lang w:bidi="ar"/>
        </w:rPr>
        <w:t>系统</w:t>
      </w:r>
      <w:r>
        <w:rPr>
          <w:rFonts w:hint="eastAsia" w:ascii="仿宋_GB2312" w:eastAsia="仿宋_GB2312"/>
          <w:sz w:val="32"/>
          <w:szCs w:val="32"/>
          <w:highlight w:val="none"/>
        </w:rPr>
        <w:t>在符合运行环境需求的硬件配置情况下，基本性能指标主要包括：</w:t>
      </w:r>
    </w:p>
    <w:p w14:paraId="0CE1B67A">
      <w:pPr>
        <w:numPr>
          <w:ilvl w:val="0"/>
          <w:numId w:val="5"/>
        </w:numPr>
        <w:spacing w:line="560" w:lineRule="exact"/>
        <w:rPr>
          <w:rFonts w:ascii="仿宋_GB2312" w:eastAsia="仿宋_GB2312"/>
          <w:sz w:val="32"/>
          <w:szCs w:val="32"/>
          <w:highlight w:val="none"/>
        </w:rPr>
      </w:pPr>
      <w:r>
        <w:rPr>
          <w:rFonts w:hint="eastAsia" w:cs="仿宋"/>
          <w:b/>
          <w:sz w:val="32"/>
          <w:highlight w:val="none"/>
        </w:rPr>
        <w:t>▲</w:t>
      </w:r>
      <w:r>
        <w:rPr>
          <w:rFonts w:hint="eastAsia" w:ascii="仿宋_GB2312" w:eastAsia="仿宋_GB2312"/>
          <w:sz w:val="32"/>
          <w:szCs w:val="32"/>
          <w:highlight w:val="none"/>
        </w:rPr>
        <w:t>系统不限用户数，不限最大并发访问数量，在硬件配置支撑的情况下，最大并发用户吞吐量≥300个。</w:t>
      </w:r>
    </w:p>
    <w:p w14:paraId="0221F235">
      <w:pPr>
        <w:numPr>
          <w:ilvl w:val="0"/>
          <w:numId w:val="5"/>
        </w:numPr>
        <w:spacing w:line="560" w:lineRule="exact"/>
        <w:rPr>
          <w:rFonts w:ascii="仿宋_GB2312" w:eastAsia="仿宋_GB2312"/>
          <w:sz w:val="32"/>
          <w:szCs w:val="32"/>
          <w:highlight w:val="none"/>
        </w:rPr>
      </w:pPr>
      <w:r>
        <w:rPr>
          <w:rFonts w:hint="eastAsia" w:cs="仿宋"/>
          <w:b/>
          <w:sz w:val="32"/>
          <w:highlight w:val="none"/>
        </w:rPr>
        <w:t>▲</w:t>
      </w:r>
      <w:r>
        <w:rPr>
          <w:rFonts w:hint="eastAsia" w:ascii="仿宋_GB2312" w:eastAsia="仿宋_GB2312"/>
          <w:sz w:val="32"/>
          <w:szCs w:val="32"/>
          <w:highlight w:val="none"/>
        </w:rPr>
        <w:t>系统响应时间：对于简单操作（如页面跳转、数据查询等），响应时间不超过2秒；对于复杂业务操作，响应时间不超过5秒，特殊情况下超时应提供进度条提示。</w:t>
      </w:r>
    </w:p>
    <w:p w14:paraId="4B2BD693">
      <w:pPr>
        <w:numPr>
          <w:ilvl w:val="0"/>
          <w:numId w:val="5"/>
        </w:numPr>
        <w:spacing w:line="560" w:lineRule="exact"/>
        <w:rPr>
          <w:rFonts w:ascii="仿宋_GB2312" w:eastAsia="仿宋_GB2312"/>
          <w:sz w:val="32"/>
          <w:szCs w:val="32"/>
          <w:highlight w:val="none"/>
        </w:rPr>
      </w:pPr>
      <w:r>
        <w:rPr>
          <w:rFonts w:hint="eastAsia" w:cs="仿宋"/>
          <w:b/>
          <w:sz w:val="32"/>
          <w:highlight w:val="none"/>
        </w:rPr>
        <w:t>▲</w:t>
      </w:r>
      <w:r>
        <w:rPr>
          <w:rFonts w:hint="eastAsia" w:ascii="仿宋_GB2312" w:eastAsia="仿宋_GB2312"/>
          <w:sz w:val="32"/>
          <w:szCs w:val="32"/>
          <w:highlight w:val="none"/>
        </w:rPr>
        <w:t>资源请求响应时间：单个请求小于</w:t>
      </w:r>
      <w:r>
        <w:rPr>
          <w:rFonts w:ascii="仿宋_GB2312" w:eastAsia="仿宋_GB2312"/>
          <w:sz w:val="32"/>
          <w:szCs w:val="32"/>
          <w:highlight w:val="none"/>
        </w:rPr>
        <w:t>1</w:t>
      </w:r>
      <w:r>
        <w:rPr>
          <w:rFonts w:hint="eastAsia" w:ascii="仿宋_GB2312" w:eastAsia="仿宋_GB2312"/>
          <w:sz w:val="32"/>
          <w:szCs w:val="32"/>
          <w:highlight w:val="none"/>
        </w:rPr>
        <w:t>秒。</w:t>
      </w:r>
    </w:p>
    <w:p w14:paraId="763CA671">
      <w:pPr>
        <w:numPr>
          <w:ilvl w:val="0"/>
          <w:numId w:val="5"/>
        </w:numPr>
        <w:spacing w:line="560" w:lineRule="exact"/>
        <w:rPr>
          <w:rFonts w:ascii="仿宋_GB2312" w:eastAsia="仿宋_GB2312"/>
          <w:sz w:val="32"/>
          <w:szCs w:val="32"/>
          <w:highlight w:val="none"/>
        </w:rPr>
      </w:pPr>
      <w:r>
        <w:rPr>
          <w:rFonts w:hint="eastAsia" w:cs="仿宋"/>
          <w:b/>
          <w:sz w:val="32"/>
          <w:highlight w:val="none"/>
        </w:rPr>
        <w:t>▲</w:t>
      </w:r>
      <w:r>
        <w:rPr>
          <w:rFonts w:hint="eastAsia" w:ascii="仿宋_GB2312" w:eastAsia="仿宋_GB2312"/>
          <w:sz w:val="32"/>
          <w:szCs w:val="32"/>
          <w:highlight w:val="none"/>
        </w:rPr>
        <w:t>系统吞吐量：在300用户并发情况下，系统每秒钟能处理的业务请求数不低于50个。</w:t>
      </w:r>
    </w:p>
    <w:p w14:paraId="32245A97">
      <w:pPr>
        <w:numPr>
          <w:ilvl w:val="0"/>
          <w:numId w:val="5"/>
        </w:numPr>
        <w:spacing w:line="560" w:lineRule="exact"/>
        <w:rPr>
          <w:rFonts w:ascii="仿宋_GB2312" w:eastAsia="仿宋_GB2312"/>
          <w:sz w:val="32"/>
          <w:szCs w:val="32"/>
          <w:highlight w:val="none"/>
        </w:rPr>
      </w:pPr>
      <w:r>
        <w:rPr>
          <w:rFonts w:hint="eastAsia" w:cs="仿宋"/>
          <w:b/>
          <w:sz w:val="32"/>
          <w:highlight w:val="none"/>
        </w:rPr>
        <w:t>▲</w:t>
      </w:r>
      <w:r>
        <w:rPr>
          <w:rFonts w:hint="eastAsia" w:ascii="仿宋_GB2312" w:eastAsia="仿宋_GB2312"/>
          <w:sz w:val="32"/>
          <w:szCs w:val="32"/>
          <w:highlight w:val="none"/>
        </w:rPr>
        <w:t>数据处理能力：系统应能够实时处理百万级别的生产数据，同时保障系统流畅运行；归档数据压缩率应达到50%以上，以减少存储空间和传输负载；数据导入导出条数不做数量上限限制，支持分批导入导出。对于结构化数据，数据库每秒能处理的查询、插入、更新、删除等操作总数不低于500次；对于非结构化数据，每秒能处理的上传、下载等操作总数不低于10次。</w:t>
      </w:r>
    </w:p>
    <w:p w14:paraId="79FF0C6D">
      <w:pPr>
        <w:numPr>
          <w:ilvl w:val="0"/>
          <w:numId w:val="5"/>
        </w:numPr>
        <w:spacing w:line="560" w:lineRule="exact"/>
        <w:rPr>
          <w:rFonts w:ascii="仿宋_GB2312" w:eastAsia="仿宋_GB2312"/>
          <w:sz w:val="32"/>
          <w:szCs w:val="32"/>
          <w:highlight w:val="none"/>
        </w:rPr>
      </w:pPr>
      <w:r>
        <w:rPr>
          <w:rFonts w:hint="eastAsia" w:ascii="仿宋_GB2312" w:eastAsia="仿宋_GB2312" w:cs="仿宋_GB2312"/>
          <w:b/>
          <w:bCs/>
          <w:sz w:val="32"/>
          <w:szCs w:val="32"/>
          <w:highlight w:val="none"/>
          <w:lang w:bidi="ar"/>
        </w:rPr>
        <w:t>★</w:t>
      </w:r>
      <w:r>
        <w:rPr>
          <w:rFonts w:hint="eastAsia" w:ascii="仿宋_GB2312" w:eastAsia="仿宋_GB2312"/>
          <w:sz w:val="32"/>
          <w:szCs w:val="32"/>
          <w:highlight w:val="none"/>
        </w:rPr>
        <w:t>系统稳定性：在连续72小时满负荷运行（300人并发）情况下，系统无故障运行，性能指标（如响应时间、吞吐量等）波动不超过10%。</w:t>
      </w:r>
    </w:p>
    <w:p w14:paraId="4D4F4529">
      <w:pPr>
        <w:numPr>
          <w:ilvl w:val="0"/>
          <w:numId w:val="5"/>
        </w:numPr>
        <w:spacing w:line="560" w:lineRule="exact"/>
        <w:rPr>
          <w:rFonts w:ascii="仿宋_GB2312" w:eastAsia="仿宋_GB2312"/>
          <w:sz w:val="32"/>
          <w:szCs w:val="32"/>
        </w:rPr>
      </w:pPr>
      <w:r>
        <w:rPr>
          <w:rFonts w:hint="eastAsia" w:cs="仿宋"/>
          <w:b/>
          <w:sz w:val="32"/>
          <w:highlight w:val="none"/>
        </w:rPr>
        <w:t>▲</w:t>
      </w:r>
      <w:r>
        <w:rPr>
          <w:rFonts w:hint="eastAsia" w:ascii="仿宋_GB2312" w:eastAsia="仿宋_GB2312"/>
          <w:sz w:val="32"/>
          <w:szCs w:val="32"/>
          <w:highlight w:val="none"/>
        </w:rPr>
        <w:t>数据库</w:t>
      </w:r>
      <w:r>
        <w:rPr>
          <w:rFonts w:hint="eastAsia" w:ascii="仿宋_GB2312" w:eastAsia="仿宋_GB2312"/>
          <w:sz w:val="32"/>
          <w:szCs w:val="32"/>
        </w:rPr>
        <w:t>性能：数据库一般查询响应时间不超过2秒，数据库连接池的利用率保持在70%-80%之间，避免连接池溢出或资源浪费，提供慢查询日志。</w:t>
      </w:r>
    </w:p>
    <w:p w14:paraId="5DDFB0A1">
      <w:pPr>
        <w:pStyle w:val="19"/>
        <w:numPr>
          <w:ilvl w:val="1"/>
          <w:numId w:val="2"/>
        </w:numPr>
        <w:adjustRightInd w:val="0"/>
        <w:snapToGrid w:val="0"/>
        <w:spacing w:line="560" w:lineRule="exact"/>
        <w:contextualSpacing w:val="0"/>
        <w:outlineLvl w:val="1"/>
        <w:rPr>
          <w:rFonts w:ascii="仿宋_GB2312" w:eastAsia="仿宋_GB2312" w:cs="仿宋_GB2312"/>
          <w:b/>
          <w:bCs/>
          <w:sz w:val="32"/>
          <w:szCs w:val="32"/>
          <w:lang w:bidi="ar"/>
        </w:rPr>
      </w:pPr>
      <w:r>
        <w:rPr>
          <w:rFonts w:hint="eastAsia" w:ascii="仿宋_GB2312" w:eastAsia="仿宋_GB2312" w:cs="仿宋_GB2312"/>
          <w:b/>
          <w:bCs/>
          <w:sz w:val="32"/>
          <w:szCs w:val="32"/>
          <w:lang w:bidi="ar"/>
        </w:rPr>
        <w:t>技术要求</w:t>
      </w:r>
    </w:p>
    <w:p w14:paraId="1BBD82BC">
      <w:pPr>
        <w:pStyle w:val="19"/>
        <w:numPr>
          <w:ilvl w:val="2"/>
          <w:numId w:val="2"/>
        </w:numPr>
        <w:adjustRightInd w:val="0"/>
        <w:snapToGrid w:val="0"/>
        <w:spacing w:line="560" w:lineRule="exact"/>
        <w:contextualSpacing w:val="0"/>
        <w:outlineLvl w:val="2"/>
      </w:pPr>
      <w:r>
        <w:rPr>
          <w:rFonts w:hint="eastAsia" w:ascii="仿宋_GB2312" w:eastAsia="仿宋_GB2312" w:cs="仿宋_GB2312"/>
          <w:b/>
          <w:bCs/>
          <w:sz w:val="32"/>
          <w:szCs w:val="32"/>
          <w:lang w:bidi="ar"/>
        </w:rPr>
        <w:t>总体要求</w:t>
      </w:r>
    </w:p>
    <w:p w14:paraId="2A221B46">
      <w:pPr>
        <w:numPr>
          <w:ilvl w:val="0"/>
          <w:numId w:val="6"/>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系统应采用松耦合架构(</w:t>
      </w:r>
      <w:r>
        <w:rPr>
          <w:rFonts w:ascii="仿宋_GB2312" w:eastAsia="仿宋_GB2312" w:cs="仿宋_GB2312"/>
          <w:sz w:val="32"/>
          <w:szCs w:val="32"/>
          <w:lang w:bidi="ar"/>
        </w:rPr>
        <w:t>微服务</w:t>
      </w:r>
      <w:r>
        <w:rPr>
          <w:rFonts w:hint="eastAsia" w:ascii="仿宋_GB2312" w:eastAsia="仿宋_GB2312" w:cs="仿宋_GB2312"/>
          <w:sz w:val="32"/>
          <w:szCs w:val="32"/>
          <w:lang w:bidi="ar"/>
        </w:rPr>
        <w:t>或</w:t>
      </w:r>
      <w:r>
        <w:rPr>
          <w:rFonts w:ascii="仿宋_GB2312" w:eastAsia="仿宋_GB2312" w:cs="仿宋_GB2312"/>
          <w:sz w:val="32"/>
          <w:szCs w:val="32"/>
          <w:lang w:bidi="ar"/>
        </w:rPr>
        <w:t>SOA</w:t>
      </w:r>
      <w:r>
        <w:rPr>
          <w:rFonts w:hint="eastAsia" w:ascii="仿宋_GB2312" w:eastAsia="仿宋_GB2312" w:cs="仿宋_GB2312"/>
          <w:sz w:val="32"/>
          <w:szCs w:val="32"/>
          <w:lang w:bidi="ar"/>
        </w:rPr>
        <w:t>)，支持通过统一集成平台</w:t>
      </w:r>
      <w:r>
        <w:rPr>
          <w:rFonts w:ascii="仿宋_GB2312" w:eastAsia="仿宋_GB2312" w:cs="仿宋_GB2312"/>
          <w:sz w:val="32"/>
          <w:szCs w:val="32"/>
          <w:lang w:bidi="ar"/>
        </w:rPr>
        <w:t>方式进行集成，通过接口平台实现快速灵活的集成外部系统</w:t>
      </w:r>
      <w:r>
        <w:rPr>
          <w:rFonts w:hint="eastAsia" w:ascii="仿宋_GB2312" w:eastAsia="仿宋_GB2312" w:cs="仿宋_GB2312"/>
          <w:sz w:val="32"/>
          <w:szCs w:val="32"/>
          <w:lang w:bidi="ar"/>
        </w:rPr>
        <w:t>。系统间集成必须通过ESB（SAP PO）进行对接。</w:t>
      </w:r>
    </w:p>
    <w:p w14:paraId="4959C30B">
      <w:pPr>
        <w:numPr>
          <w:ilvl w:val="0"/>
          <w:numId w:val="6"/>
        </w:numPr>
        <w:spacing w:line="560" w:lineRule="exact"/>
        <w:rPr>
          <w:rFonts w:ascii="仿宋_GB2312" w:eastAsia="仿宋_GB2312"/>
          <w:sz w:val="32"/>
          <w:szCs w:val="32"/>
        </w:rPr>
      </w:pPr>
      <w:r>
        <w:rPr>
          <w:rFonts w:hint="eastAsia" w:ascii="仿宋_GB2312" w:eastAsia="仿宋_GB2312" w:cs="仿宋_GB2312"/>
          <w:b/>
          <w:bCs/>
          <w:sz w:val="32"/>
          <w:szCs w:val="32"/>
          <w:lang w:bidi="ar"/>
        </w:rPr>
        <w:t>★</w:t>
      </w:r>
      <w:r>
        <w:rPr>
          <w:rFonts w:hint="eastAsia" w:ascii="仿宋_GB2312" w:eastAsia="仿宋_GB2312"/>
          <w:sz w:val="32"/>
          <w:szCs w:val="32"/>
        </w:rPr>
        <w:t>服务器统一采用虚拟化部署模式，数据实行集中存储。</w:t>
      </w:r>
    </w:p>
    <w:p w14:paraId="4310B4EB">
      <w:pPr>
        <w:numPr>
          <w:ilvl w:val="0"/>
          <w:numId w:val="6"/>
        </w:numPr>
        <w:spacing w:line="560" w:lineRule="exact"/>
        <w:rPr>
          <w:rFonts w:ascii="仿宋_GB2312" w:eastAsia="仿宋_GB2312"/>
          <w:sz w:val="32"/>
          <w:szCs w:val="32"/>
        </w:rPr>
      </w:pPr>
      <w:r>
        <w:rPr>
          <w:rFonts w:hint="eastAsia" w:ascii="仿宋_GB2312" w:eastAsia="仿宋_GB2312" w:cs="仿宋_GB2312"/>
          <w:b/>
          <w:bCs/>
          <w:sz w:val="32"/>
          <w:szCs w:val="32"/>
          <w:lang w:bidi="ar"/>
        </w:rPr>
        <w:t>★</w:t>
      </w:r>
      <w:r>
        <w:rPr>
          <w:rFonts w:hint="eastAsia" w:ascii="仿宋_GB2312" w:eastAsia="仿宋_GB2312"/>
          <w:sz w:val="32"/>
          <w:szCs w:val="32"/>
        </w:rPr>
        <w:t>非互联网应用网络环境严格限制在非密内网（与互联网物理隔离的内部局域网），不单独部署专用网络。</w:t>
      </w:r>
    </w:p>
    <w:p w14:paraId="7FEC973B">
      <w:pPr>
        <w:numPr>
          <w:ilvl w:val="0"/>
          <w:numId w:val="6"/>
        </w:numPr>
        <w:spacing w:line="560" w:lineRule="exact"/>
        <w:rPr>
          <w:rFonts w:ascii="仿宋_GB2312" w:eastAsia="仿宋_GB2312" w:cs="仿宋_GB2312"/>
          <w:sz w:val="32"/>
          <w:szCs w:val="32"/>
          <w:lang w:bidi="ar"/>
        </w:rPr>
      </w:pPr>
      <w:r>
        <w:rPr>
          <w:rFonts w:ascii="仿宋_GB2312" w:eastAsia="仿宋_GB2312" w:cs="仿宋_GB2312"/>
          <w:sz w:val="32"/>
          <w:szCs w:val="32"/>
          <w:lang w:bidi="ar"/>
        </w:rPr>
        <w:t>需支持</w:t>
      </w:r>
      <w:r>
        <w:rPr>
          <w:rFonts w:hint="eastAsia" w:ascii="仿宋_GB2312" w:eastAsia="仿宋_GB2312" w:cs="仿宋_GB2312"/>
          <w:sz w:val="32"/>
          <w:szCs w:val="32"/>
          <w:lang w:bidi="ar"/>
        </w:rPr>
        <w:t>SQL Server</w:t>
      </w:r>
      <w:r>
        <w:rPr>
          <w:rFonts w:ascii="仿宋_GB2312" w:eastAsia="仿宋_GB2312" w:cs="仿宋_GB2312"/>
          <w:sz w:val="32"/>
          <w:szCs w:val="32"/>
          <w:lang w:bidi="ar"/>
        </w:rPr>
        <w:t>、Oracle、Mysql</w:t>
      </w:r>
      <w:r>
        <w:rPr>
          <w:rFonts w:hint="eastAsia" w:ascii="仿宋_GB2312" w:eastAsia="仿宋_GB2312" w:cs="仿宋_GB2312"/>
          <w:sz w:val="32"/>
          <w:szCs w:val="32"/>
          <w:lang w:bidi="ar"/>
        </w:rPr>
        <w:t>及国产主流数据库（如达梦、人大金仓等）</w:t>
      </w:r>
      <w:r>
        <w:rPr>
          <w:rFonts w:ascii="仿宋_GB2312" w:eastAsia="仿宋_GB2312" w:cs="仿宋_GB2312"/>
          <w:sz w:val="32"/>
          <w:szCs w:val="32"/>
          <w:lang w:bidi="ar"/>
        </w:rPr>
        <w:t>，需要满足项目的性能和安全性要求；需支持谷歌、</w:t>
      </w:r>
      <w:r>
        <w:rPr>
          <w:rFonts w:hint="eastAsia" w:ascii="仿宋_GB2312" w:eastAsia="仿宋_GB2312" w:cs="仿宋_GB2312"/>
          <w:sz w:val="32"/>
          <w:szCs w:val="32"/>
          <w:lang w:bidi="ar"/>
        </w:rPr>
        <w:t>IE</w:t>
      </w:r>
      <w:r>
        <w:rPr>
          <w:rFonts w:ascii="仿宋_GB2312" w:eastAsia="仿宋_GB2312" w:cs="仿宋_GB2312"/>
          <w:sz w:val="32"/>
          <w:szCs w:val="32"/>
          <w:lang w:bidi="ar"/>
        </w:rPr>
        <w:t>、</w:t>
      </w:r>
      <w:r>
        <w:rPr>
          <w:rFonts w:hint="eastAsia" w:ascii="仿宋_GB2312" w:eastAsia="仿宋_GB2312" w:cs="仿宋_GB2312"/>
          <w:sz w:val="32"/>
          <w:szCs w:val="32"/>
          <w:lang w:bidi="ar"/>
        </w:rPr>
        <w:t>Edge、</w:t>
      </w:r>
      <w:r>
        <w:rPr>
          <w:rFonts w:ascii="仿宋_GB2312" w:eastAsia="仿宋_GB2312" w:cs="仿宋_GB2312"/>
          <w:sz w:val="32"/>
          <w:szCs w:val="32"/>
          <w:lang w:bidi="ar"/>
        </w:rPr>
        <w:t>火狐等</w:t>
      </w:r>
      <w:r>
        <w:rPr>
          <w:rFonts w:hint="eastAsia" w:ascii="仿宋_GB2312" w:eastAsia="仿宋_GB2312" w:cs="仿宋_GB2312"/>
          <w:sz w:val="32"/>
          <w:szCs w:val="32"/>
          <w:lang w:bidi="ar"/>
        </w:rPr>
        <w:t>主流</w:t>
      </w:r>
      <w:r>
        <w:rPr>
          <w:rFonts w:ascii="仿宋_GB2312" w:eastAsia="仿宋_GB2312" w:cs="仿宋_GB2312"/>
          <w:sz w:val="32"/>
          <w:szCs w:val="32"/>
          <w:lang w:bidi="ar"/>
        </w:rPr>
        <w:t>浏览器，确保用户能够正常使用系统中的各项功能</w:t>
      </w:r>
      <w:r>
        <w:rPr>
          <w:rFonts w:hint="eastAsia" w:ascii="仿宋_GB2312" w:eastAsia="仿宋_GB2312" w:cs="仿宋_GB2312"/>
          <w:sz w:val="32"/>
          <w:szCs w:val="32"/>
          <w:lang w:bidi="ar"/>
        </w:rPr>
        <w:t>。</w:t>
      </w:r>
    </w:p>
    <w:p w14:paraId="45042214">
      <w:pPr>
        <w:numPr>
          <w:ilvl w:val="0"/>
          <w:numId w:val="6"/>
        </w:numPr>
        <w:spacing w:line="560" w:lineRule="exact"/>
        <w:rPr>
          <w:rFonts w:ascii="仿宋_GB2312" w:eastAsia="仿宋_GB2312"/>
          <w:sz w:val="32"/>
          <w:szCs w:val="32"/>
        </w:rPr>
      </w:pPr>
      <w:r>
        <w:rPr>
          <w:rFonts w:hint="eastAsia" w:ascii="仿宋_GB2312" w:eastAsia="仿宋_GB2312"/>
          <w:sz w:val="32"/>
          <w:szCs w:val="32"/>
        </w:rPr>
        <w:t>应支持国产化操作系统（如UOS、银河麒麟等）以及相应的安全产品。</w:t>
      </w:r>
    </w:p>
    <w:p w14:paraId="1203E22C">
      <w:pPr>
        <w:numPr>
          <w:ilvl w:val="0"/>
          <w:numId w:val="6"/>
        </w:numPr>
        <w:spacing w:line="560" w:lineRule="exact"/>
        <w:rPr>
          <w:rFonts w:ascii="仿宋_GB2312" w:eastAsia="仿宋_GB2312" w:cs="仿宋_GB2312"/>
          <w:sz w:val="32"/>
          <w:szCs w:val="32"/>
          <w:highlight w:val="none"/>
          <w:lang w:bidi="ar"/>
        </w:rPr>
      </w:pPr>
      <w:r>
        <w:rPr>
          <w:rFonts w:hint="eastAsia" w:ascii="仿宋_GB2312" w:eastAsia="仿宋_GB2312" w:cs="仿宋_GB2312"/>
          <w:b/>
          <w:bCs/>
          <w:sz w:val="32"/>
          <w:szCs w:val="32"/>
          <w:lang w:bidi="ar"/>
        </w:rPr>
        <w:t>★</w:t>
      </w:r>
      <w:r>
        <w:rPr>
          <w:rFonts w:hint="eastAsia" w:ascii="仿宋_GB2312" w:eastAsia="仿宋_GB2312" w:cs="仿宋_GB2312"/>
          <w:sz w:val="32"/>
          <w:szCs w:val="32"/>
          <w:lang w:bidi="ar"/>
        </w:rPr>
        <w:t>所交付的系统平台需要满足公司全员使用，不涉及</w:t>
      </w:r>
      <w:r>
        <w:rPr>
          <w:rFonts w:ascii="仿宋_GB2312" w:eastAsia="仿宋_GB2312" w:cs="仿宋_GB2312"/>
          <w:sz w:val="32"/>
          <w:szCs w:val="32"/>
          <w:lang w:bidi="ar"/>
        </w:rPr>
        <w:t>Lice</w:t>
      </w:r>
      <w:r>
        <w:rPr>
          <w:rFonts w:ascii="仿宋_GB2312" w:eastAsia="仿宋_GB2312" w:cs="仿宋_GB2312"/>
          <w:sz w:val="32"/>
          <w:szCs w:val="32"/>
          <w:highlight w:val="none"/>
          <w:lang w:bidi="ar"/>
        </w:rPr>
        <w:t>nce</w:t>
      </w:r>
      <w:r>
        <w:rPr>
          <w:rFonts w:hint="eastAsia" w:ascii="仿宋_GB2312" w:eastAsia="仿宋_GB2312" w:cs="仿宋_GB2312"/>
          <w:sz w:val="32"/>
          <w:szCs w:val="32"/>
          <w:highlight w:val="none"/>
          <w:lang w:bidi="ar"/>
        </w:rPr>
        <w:t>（许可）相关限制。</w:t>
      </w:r>
    </w:p>
    <w:p w14:paraId="343B2910">
      <w:pPr>
        <w:numPr>
          <w:ilvl w:val="0"/>
          <w:numId w:val="6"/>
        </w:numPr>
        <w:spacing w:line="560" w:lineRule="exact"/>
        <w:rPr>
          <w:rFonts w:ascii="仿宋_GB2312" w:eastAsia="仿宋_GB2312" w:cs="仿宋_GB2312"/>
          <w:sz w:val="32"/>
          <w:szCs w:val="32"/>
          <w:highlight w:val="none"/>
          <w:lang w:bidi="ar"/>
        </w:rPr>
      </w:pPr>
      <w:r>
        <w:rPr>
          <w:rFonts w:hint="eastAsia" w:cs="仿宋"/>
          <w:b/>
          <w:sz w:val="32"/>
          <w:highlight w:val="none"/>
        </w:rPr>
        <w:t>▲</w:t>
      </w:r>
      <w:r>
        <w:rPr>
          <w:rFonts w:hint="eastAsia" w:ascii="仿宋_GB2312" w:eastAsia="仿宋_GB2312" w:cs="仿宋_GB2312"/>
          <w:sz w:val="32"/>
          <w:szCs w:val="32"/>
          <w:highlight w:val="none"/>
          <w:lang w:bidi="ar"/>
        </w:rPr>
        <w:t>因履行本技术要求所开发产生的研究成果及其相关知识产权权利，归招标方所有；招标方有权对二次开发产生的相关代码进行专利、软件著作权等申请。</w:t>
      </w:r>
    </w:p>
    <w:p w14:paraId="1D71E001">
      <w:pPr>
        <w:pStyle w:val="19"/>
        <w:numPr>
          <w:ilvl w:val="2"/>
          <w:numId w:val="2"/>
        </w:numPr>
        <w:adjustRightInd w:val="0"/>
        <w:snapToGrid w:val="0"/>
        <w:spacing w:line="560" w:lineRule="exact"/>
        <w:contextualSpacing w:val="0"/>
        <w:outlineLvl w:val="2"/>
        <w:rPr>
          <w:rFonts w:ascii="Times New Roman" w:hAnsi="Times New Roman"/>
          <w:highlight w:val="none"/>
        </w:rPr>
      </w:pPr>
      <w:r>
        <w:rPr>
          <w:rFonts w:hint="eastAsia" w:ascii="仿宋_GB2312" w:eastAsia="仿宋_GB2312" w:cs="仿宋_GB2312"/>
          <w:b/>
          <w:bCs/>
          <w:sz w:val="32"/>
          <w:szCs w:val="32"/>
          <w:highlight w:val="none"/>
          <w:lang w:bidi="ar"/>
        </w:rPr>
        <w:t>标准化要求</w:t>
      </w:r>
    </w:p>
    <w:p w14:paraId="06077B99">
      <w:pPr>
        <w:numPr>
          <w:ilvl w:val="0"/>
          <w:numId w:val="7"/>
        </w:numPr>
        <w:spacing w:line="560" w:lineRule="exact"/>
        <w:rPr>
          <w:rFonts w:ascii="仿宋_GB2312" w:eastAsia="仿宋_GB2312" w:cs="仿宋_GB2312"/>
          <w:sz w:val="32"/>
          <w:szCs w:val="32"/>
          <w:highlight w:val="none"/>
          <w:lang w:bidi="ar"/>
        </w:rPr>
      </w:pPr>
      <w:r>
        <w:rPr>
          <w:rFonts w:hint="eastAsia" w:ascii="仿宋_GB2312" w:eastAsia="仿宋_GB2312" w:cs="仿宋_GB2312"/>
          <w:sz w:val="32"/>
          <w:szCs w:val="32"/>
          <w:highlight w:val="none"/>
          <w:lang w:bidi="ar"/>
        </w:rPr>
        <w:t>系统内部及与外部系统的通信应基于开放、标准的协议实现，优先采用 TCP/IP 协议族下的通用协议，如 HTTP/HTTPS、WebSocket、RESTful API、SOAP、MQTT 等。</w:t>
      </w:r>
    </w:p>
    <w:p w14:paraId="53CCD4F0">
      <w:pPr>
        <w:numPr>
          <w:ilvl w:val="0"/>
          <w:numId w:val="7"/>
        </w:numPr>
        <w:spacing w:line="560" w:lineRule="exact"/>
        <w:rPr>
          <w:rFonts w:ascii="仿宋_GB2312" w:eastAsia="仿宋_GB2312" w:cs="仿宋_GB2312"/>
          <w:sz w:val="32"/>
          <w:szCs w:val="32"/>
          <w:lang w:bidi="ar"/>
        </w:rPr>
      </w:pPr>
      <w:r>
        <w:rPr>
          <w:rFonts w:hint="eastAsia" w:cs="仿宋"/>
          <w:b/>
          <w:sz w:val="32"/>
          <w:highlight w:val="none"/>
        </w:rPr>
        <w:t>▲</w:t>
      </w:r>
      <w:r>
        <w:rPr>
          <w:rFonts w:hint="eastAsia" w:ascii="仿宋_GB2312" w:eastAsia="仿宋_GB2312" w:cs="仿宋_GB2312"/>
          <w:sz w:val="32"/>
          <w:szCs w:val="32"/>
          <w:highlight w:val="none"/>
          <w:lang w:bidi="ar"/>
        </w:rPr>
        <w:t>系</w:t>
      </w:r>
      <w:r>
        <w:rPr>
          <w:rFonts w:hint="eastAsia" w:ascii="仿宋_GB2312" w:eastAsia="仿宋_GB2312" w:cs="仿宋_GB2312"/>
          <w:sz w:val="32"/>
          <w:szCs w:val="32"/>
          <w:lang w:bidi="ar"/>
        </w:rPr>
        <w:t>统应提供统一的集成平台能力，采用主流标准集成协议，支持业务系统、安全系统等柔性集成，并预留标准接口便于后续集成工作。</w:t>
      </w:r>
    </w:p>
    <w:p w14:paraId="1D2D6A99">
      <w:pPr>
        <w:numPr>
          <w:ilvl w:val="0"/>
          <w:numId w:val="7"/>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数据交换标准：支持的标准化数据格式：系统应支持至少</w:t>
      </w:r>
      <w:r>
        <w:rPr>
          <w:rFonts w:ascii="仿宋_GB2312" w:eastAsia="仿宋_GB2312" w:cs="仿宋_GB2312"/>
          <w:sz w:val="32"/>
          <w:szCs w:val="32"/>
          <w:lang w:bidi="ar"/>
        </w:rPr>
        <w:t>2</w:t>
      </w:r>
      <w:r>
        <w:rPr>
          <w:rFonts w:hint="eastAsia" w:ascii="仿宋_GB2312" w:eastAsia="仿宋_GB2312" w:cs="仿宋_GB2312"/>
          <w:sz w:val="32"/>
          <w:szCs w:val="32"/>
          <w:lang w:bidi="ar"/>
        </w:rPr>
        <w:t>种标准化数据格式（如XML、JSON），并具备扩展能力以支持未来可能出现的行业标准。</w:t>
      </w:r>
    </w:p>
    <w:p w14:paraId="104309FC">
      <w:pPr>
        <w:numPr>
          <w:ilvl w:val="0"/>
          <w:numId w:val="7"/>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系统开发应遵循如GB/T 22239</w:t>
      </w:r>
      <w:r>
        <w:rPr>
          <w:rFonts w:ascii="仿宋_GB2312" w:eastAsia="仿宋_GB2312" w:cs="仿宋_GB2312"/>
          <w:sz w:val="32"/>
          <w:szCs w:val="32"/>
          <w:lang w:bidi="ar"/>
        </w:rPr>
        <w:t>-2019</w:t>
      </w:r>
      <w:r>
        <w:rPr>
          <w:rFonts w:hint="eastAsia" w:ascii="仿宋_GB2312" w:eastAsia="仿宋_GB2312" w:cs="仿宋_GB2312"/>
          <w:sz w:val="32"/>
          <w:szCs w:val="32"/>
          <w:lang w:bidi="ar"/>
        </w:rPr>
        <w:t>《信息安全技术标准》等国家标准，确保系统符合本地化的法规和行业要求。</w:t>
      </w:r>
    </w:p>
    <w:p w14:paraId="655FA545">
      <w:pPr>
        <w:numPr>
          <w:ilvl w:val="0"/>
          <w:numId w:val="7"/>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编码标准：系统开发应参照国内软件开发的相关规范，如GB/T 8566</w:t>
      </w:r>
      <w:r>
        <w:rPr>
          <w:rFonts w:ascii="仿宋_GB2312" w:eastAsia="仿宋_GB2312" w:cs="仿宋_GB2312"/>
          <w:sz w:val="32"/>
          <w:szCs w:val="32"/>
          <w:lang w:bidi="ar"/>
        </w:rPr>
        <w:t>-2022</w:t>
      </w:r>
      <w:r>
        <w:rPr>
          <w:rFonts w:hint="eastAsia" w:ascii="仿宋_GB2312" w:eastAsia="仿宋_GB2312" w:cs="仿宋_GB2312"/>
          <w:sz w:val="32"/>
          <w:szCs w:val="32"/>
          <w:lang w:bidi="ar"/>
        </w:rPr>
        <w:t>《软件开发规范》，并使用Java、C#等主流编程语言，确保开发过程的规范性。</w:t>
      </w:r>
    </w:p>
    <w:p w14:paraId="38BDCDB1">
      <w:pPr>
        <w:pStyle w:val="19"/>
        <w:numPr>
          <w:ilvl w:val="2"/>
          <w:numId w:val="2"/>
        </w:numPr>
        <w:adjustRightInd w:val="0"/>
        <w:snapToGrid w:val="0"/>
        <w:spacing w:line="560" w:lineRule="exact"/>
        <w:contextualSpacing w:val="0"/>
        <w:outlineLvl w:val="2"/>
        <w:rPr>
          <w:rFonts w:ascii="Times New Roman" w:hAnsi="Times New Roman"/>
        </w:rPr>
      </w:pPr>
      <w:r>
        <w:rPr>
          <w:rFonts w:hint="eastAsia" w:ascii="仿宋_GB2312" w:eastAsia="仿宋_GB2312" w:cs="仿宋_GB2312"/>
          <w:b/>
          <w:bCs/>
          <w:sz w:val="32"/>
          <w:szCs w:val="32"/>
          <w:lang w:bidi="ar"/>
        </w:rPr>
        <w:t>可靠性要求</w:t>
      </w:r>
    </w:p>
    <w:p w14:paraId="4B337136">
      <w:pPr>
        <w:pStyle w:val="19"/>
        <w:numPr>
          <w:ilvl w:val="0"/>
          <w:numId w:val="8"/>
        </w:numPr>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软件可靠性:系统应能够连续不断稳定可靠的工作，系统的软件经过充分测试，程序运行稳定可靠。系统具有进程管理功能，监视各个应用和任务的运行状态，有完善的自诊断功能。当进程运行不正常时（如严重超时不能退出、长时间挂起不能启动等），可以保证故障及时发现、定位、报警、切换、隔离、恢复。全年可用时间达到99.95%以上的系统可用性，允许每年总共不超过4.38小时的非计划停机时间，包括维护和突发事件处理时间。</w:t>
      </w:r>
    </w:p>
    <w:p w14:paraId="48BE0A68">
      <w:pPr>
        <w:numPr>
          <w:ilvl w:val="0"/>
          <w:numId w:val="8"/>
        </w:numPr>
        <w:spacing w:line="560" w:lineRule="exact"/>
        <w:ind w:left="0" w:firstLine="454"/>
        <w:rPr>
          <w:rFonts w:ascii="仿宋_GB2312" w:eastAsia="仿宋_GB2312"/>
          <w:sz w:val="32"/>
          <w:szCs w:val="32"/>
        </w:rPr>
      </w:pPr>
      <w:r>
        <w:rPr>
          <w:rFonts w:hint="eastAsia" w:ascii="仿宋_GB2312" w:eastAsia="仿宋_GB2312"/>
          <w:sz w:val="32"/>
          <w:szCs w:val="32"/>
        </w:rPr>
        <w:t>数据传输的可靠性:采用可靠协议确保数据传输的可靠性，对关键操作有可靠机制保证数据不丢失，如消息持久化存储、ACK确认机制等。</w:t>
      </w:r>
    </w:p>
    <w:p w14:paraId="6894E5F5">
      <w:pPr>
        <w:numPr>
          <w:ilvl w:val="0"/>
          <w:numId w:val="8"/>
        </w:numPr>
        <w:spacing w:line="560" w:lineRule="exact"/>
        <w:ind w:left="0" w:firstLine="454"/>
        <w:rPr>
          <w:rFonts w:ascii="仿宋_GB2312" w:eastAsia="仿宋_GB2312"/>
          <w:sz w:val="32"/>
          <w:szCs w:val="32"/>
        </w:rPr>
      </w:pPr>
      <w:r>
        <w:rPr>
          <w:rFonts w:hint="eastAsia" w:ascii="仿宋_GB2312" w:eastAsia="仿宋_GB2312"/>
          <w:sz w:val="32"/>
          <w:szCs w:val="32"/>
        </w:rPr>
        <w:t>软件版本升级或改进应在不影响业务的情况下进行，保证系统稳定、平滑过渡。</w:t>
      </w:r>
    </w:p>
    <w:p w14:paraId="0562D1EF">
      <w:pPr>
        <w:numPr>
          <w:ilvl w:val="0"/>
          <w:numId w:val="8"/>
        </w:numPr>
        <w:spacing w:line="560" w:lineRule="exact"/>
        <w:ind w:left="0" w:firstLine="454"/>
        <w:rPr>
          <w:rFonts w:ascii="仿宋_GB2312" w:eastAsia="仿宋_GB2312"/>
          <w:sz w:val="32"/>
          <w:szCs w:val="32"/>
        </w:rPr>
      </w:pPr>
      <w:r>
        <w:rPr>
          <w:rFonts w:hint="eastAsia" w:ascii="仿宋_GB2312" w:eastAsia="仿宋_GB2312"/>
          <w:sz w:val="32"/>
          <w:szCs w:val="32"/>
        </w:rPr>
        <w:t>对于系统异常能够有完善的报错机制和日志记录，能够让使用者迅速了解错误原因，系统应有容错能力，软件故障不应引起各类严重的系统重启。</w:t>
      </w:r>
    </w:p>
    <w:p w14:paraId="165A7FCE">
      <w:pPr>
        <w:numPr>
          <w:ilvl w:val="0"/>
          <w:numId w:val="8"/>
        </w:numPr>
        <w:spacing w:line="560" w:lineRule="exact"/>
        <w:ind w:left="0" w:firstLine="454"/>
        <w:rPr>
          <w:rFonts w:ascii="仿宋_GB2312" w:eastAsia="仿宋_GB2312" w:cs="仿宋_GB2312"/>
          <w:sz w:val="32"/>
          <w:szCs w:val="32"/>
          <w:highlight w:val="none"/>
          <w:lang w:bidi="ar"/>
        </w:rPr>
      </w:pPr>
      <w:r>
        <w:rPr>
          <w:rFonts w:hint="eastAsia" w:cs="仿宋"/>
          <w:b/>
          <w:sz w:val="32"/>
          <w:highlight w:val="none"/>
        </w:rPr>
        <w:t>★</w:t>
      </w:r>
      <w:r>
        <w:rPr>
          <w:rFonts w:hint="eastAsia" w:ascii="仿宋_GB2312" w:eastAsia="仿宋_GB2312" w:cs="仿宋_GB2312"/>
          <w:sz w:val="32"/>
          <w:szCs w:val="32"/>
          <w:highlight w:val="none"/>
          <w:lang w:bidi="ar"/>
        </w:rPr>
        <w:t>数据可靠性：建立有效的数据备份、恢复机制，确保信息资源数据万无一失；支持与国内主流的备份解决方案兼容的备份机制。</w:t>
      </w:r>
    </w:p>
    <w:p w14:paraId="731B28E8">
      <w:pPr>
        <w:numPr>
          <w:ilvl w:val="0"/>
          <w:numId w:val="8"/>
        </w:numPr>
        <w:spacing w:line="560" w:lineRule="exact"/>
        <w:ind w:left="0" w:firstLine="454"/>
        <w:rPr>
          <w:rFonts w:ascii="仿宋_GB2312" w:eastAsia="仿宋_GB2312" w:cs="仿宋_GB2312"/>
          <w:sz w:val="32"/>
          <w:szCs w:val="32"/>
          <w:lang w:bidi="ar"/>
        </w:rPr>
      </w:pPr>
      <w:r>
        <w:rPr>
          <w:rFonts w:hint="eastAsia" w:cs="仿宋"/>
          <w:b/>
          <w:sz w:val="32"/>
          <w:highlight w:val="none"/>
        </w:rPr>
        <w:t>▲</w:t>
      </w:r>
      <w:r>
        <w:rPr>
          <w:rFonts w:hint="eastAsia" w:ascii="仿宋_GB2312" w:eastAsia="仿宋_GB2312" w:cs="仿宋_GB2312"/>
          <w:sz w:val="32"/>
          <w:szCs w:val="32"/>
          <w:highlight w:val="none"/>
          <w:lang w:bidi="ar"/>
        </w:rPr>
        <w:t>具备监控告警能力，提供包括主机、操作系统级、应用级的监控服</w:t>
      </w:r>
      <w:r>
        <w:rPr>
          <w:rFonts w:hint="eastAsia" w:ascii="仿宋_GB2312" w:eastAsia="仿宋_GB2312" w:cs="仿宋_GB2312"/>
          <w:sz w:val="32"/>
          <w:szCs w:val="32"/>
          <w:lang w:bidi="ar"/>
        </w:rPr>
        <w:t>务，在服务器异常时能通过弹窗、邮件等方式发送提醒。</w:t>
      </w:r>
    </w:p>
    <w:p w14:paraId="6D322DB3">
      <w:pPr>
        <w:pStyle w:val="19"/>
        <w:numPr>
          <w:ilvl w:val="2"/>
          <w:numId w:val="2"/>
        </w:numPr>
        <w:adjustRightInd w:val="0"/>
        <w:snapToGrid w:val="0"/>
        <w:spacing w:line="560" w:lineRule="exact"/>
        <w:contextualSpacing w:val="0"/>
        <w:outlineLvl w:val="2"/>
        <w:rPr>
          <w:rFonts w:ascii="仿宋_GB2312" w:eastAsia="仿宋_GB2312" w:cs="仿宋_GB2312"/>
          <w:b/>
          <w:bCs/>
          <w:sz w:val="32"/>
          <w:szCs w:val="32"/>
          <w:lang w:bidi="ar"/>
        </w:rPr>
      </w:pPr>
      <w:r>
        <w:rPr>
          <w:rFonts w:hint="eastAsia" w:ascii="仿宋_GB2312" w:eastAsia="仿宋_GB2312" w:cs="仿宋_GB2312"/>
          <w:b/>
          <w:bCs/>
          <w:sz w:val="32"/>
          <w:szCs w:val="32"/>
          <w:lang w:bidi="ar"/>
        </w:rPr>
        <w:t>可维护性要求</w:t>
      </w:r>
    </w:p>
    <w:p w14:paraId="7660D91A">
      <w:pPr>
        <w:pStyle w:val="19"/>
        <w:numPr>
          <w:ilvl w:val="0"/>
          <w:numId w:val="9"/>
        </w:numPr>
        <w:rPr>
          <w:rFonts w:ascii="仿宋_GB2312" w:eastAsia="仿宋_GB2312" w:cs="仿宋_GB2312"/>
          <w:sz w:val="32"/>
          <w:szCs w:val="32"/>
          <w:lang w:bidi="ar"/>
        </w:rPr>
      </w:pPr>
      <w:r>
        <w:rPr>
          <w:rFonts w:hint="eastAsia" w:ascii="仿宋_GB2312" w:eastAsia="仿宋_GB2312" w:cs="仿宋_GB2312"/>
          <w:sz w:val="32"/>
          <w:szCs w:val="32"/>
          <w:lang w:bidi="ar"/>
        </w:rPr>
        <w:t>系统应采用模块化、松耦合架构设计，支持按功能单元独立部署、配置和升级；提供集中式管理控制台，实现参数配置、任务调度、日志查看、服务启停等功能的一站式操作。</w:t>
      </w:r>
    </w:p>
    <w:p w14:paraId="0B6086F3">
      <w:pPr>
        <w:pStyle w:val="19"/>
        <w:numPr>
          <w:ilvl w:val="0"/>
          <w:numId w:val="9"/>
        </w:numPr>
        <w:rPr>
          <w:rFonts w:ascii="仿宋_GB2312" w:eastAsia="仿宋_GB2312" w:cs="仿宋_GB2312"/>
          <w:sz w:val="32"/>
          <w:szCs w:val="32"/>
          <w:lang w:bidi="ar"/>
        </w:rPr>
      </w:pPr>
      <w:r>
        <w:rPr>
          <w:rFonts w:hint="eastAsia" w:ascii="仿宋_GB2312" w:eastAsia="仿宋_GB2312" w:cs="仿宋_GB2312"/>
          <w:sz w:val="32"/>
          <w:szCs w:val="32"/>
          <w:lang w:bidi="ar"/>
        </w:rPr>
        <w:t>▲</w:t>
      </w:r>
      <w:r>
        <w:rPr>
          <w:rFonts w:ascii="仿宋_GB2312" w:eastAsia="仿宋_GB2312" w:cs="仿宋_GB2312"/>
          <w:sz w:val="32"/>
          <w:szCs w:val="32"/>
          <w:lang w:bidi="ar"/>
        </w:rPr>
        <w:t>系统应提供图形化配置工具，支持通过界面完成常见维护任务</w:t>
      </w:r>
      <w:r>
        <w:rPr>
          <w:rFonts w:hint="eastAsia" w:ascii="仿宋_GB2312" w:eastAsia="仿宋_GB2312" w:cs="仿宋_GB2312"/>
          <w:sz w:val="32"/>
          <w:szCs w:val="32"/>
          <w:lang w:bidi="ar"/>
        </w:rPr>
        <w:t>，如报表设计、业务流程调整等。</w:t>
      </w:r>
    </w:p>
    <w:p w14:paraId="3BFCA543">
      <w:pPr>
        <w:pStyle w:val="19"/>
        <w:numPr>
          <w:ilvl w:val="0"/>
          <w:numId w:val="9"/>
        </w:numPr>
        <w:rPr>
          <w:rFonts w:ascii="仿宋_GB2312" w:eastAsia="仿宋_GB2312" w:cs="仿宋_GB2312"/>
          <w:sz w:val="32"/>
          <w:szCs w:val="32"/>
          <w:lang w:bidi="ar"/>
        </w:rPr>
      </w:pPr>
      <w:r>
        <w:rPr>
          <w:rFonts w:hint="eastAsia" w:ascii="仿宋_GB2312" w:eastAsia="仿宋_GB2312" w:cs="仿宋_GB2312"/>
          <w:sz w:val="32"/>
          <w:szCs w:val="32"/>
          <w:lang w:bidi="ar"/>
        </w:rPr>
        <w:t>对于系统的支撑软件和应用软件，提供以下可维护性手段：</w:t>
      </w:r>
    </w:p>
    <w:p w14:paraId="657CD340">
      <w:pPr>
        <w:numPr>
          <w:ilvl w:val="0"/>
          <w:numId w:val="10"/>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提供完善、准确、友好的维护手册。</w:t>
      </w:r>
    </w:p>
    <w:p w14:paraId="77DEBEF9">
      <w:pPr>
        <w:numPr>
          <w:ilvl w:val="0"/>
          <w:numId w:val="10"/>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提供完整、准确的运行记录（包括正常和异常以及故障记录）。</w:t>
      </w:r>
    </w:p>
    <w:p w14:paraId="37C5B214">
      <w:pPr>
        <w:numPr>
          <w:ilvl w:val="0"/>
          <w:numId w:val="10"/>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提供运行状态的监视、报警，关键服务异常报警。</w:t>
      </w:r>
    </w:p>
    <w:p w14:paraId="45A344E8">
      <w:pPr>
        <w:numPr>
          <w:ilvl w:val="0"/>
          <w:numId w:val="10"/>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系统能在线进行业务配置、报表模板等的维护。</w:t>
      </w:r>
    </w:p>
    <w:p w14:paraId="39AF19B6">
      <w:pPr>
        <w:pStyle w:val="19"/>
        <w:numPr>
          <w:ilvl w:val="0"/>
          <w:numId w:val="9"/>
        </w:numPr>
        <w:rPr>
          <w:rFonts w:ascii="仿宋_GB2312" w:eastAsia="仿宋_GB2312" w:cs="仿宋_GB2312"/>
          <w:sz w:val="32"/>
          <w:szCs w:val="32"/>
          <w:lang w:bidi="ar"/>
        </w:rPr>
      </w:pPr>
      <w:r>
        <w:rPr>
          <w:rFonts w:hint="eastAsia" w:ascii="仿宋_GB2312" w:eastAsia="仿宋_GB2312" w:cs="仿宋_GB2312"/>
          <w:sz w:val="32"/>
          <w:szCs w:val="32"/>
          <w:lang w:bidi="ar"/>
        </w:rPr>
        <w:t>系统可维护性应遵循ISO/IEC 25010要求及行业标准，软件结构应清晰合理，后端类、方法、变量、复杂逻辑、接口100%注释，前端方法、组件、变量90%注释。系统应记录详细的运行日志，包括用户操作、系统事件、错误发生的时间和上下文等信息。</w:t>
      </w:r>
    </w:p>
    <w:p w14:paraId="097623BB">
      <w:pPr>
        <w:spacing w:line="560" w:lineRule="exact"/>
        <w:ind w:firstLine="640" w:firstLineChars="200"/>
        <w:rPr>
          <w:rFonts w:ascii="仿宋_GB2312" w:eastAsia="仿宋_GB2312" w:cs="仿宋_GB2312"/>
          <w:sz w:val="32"/>
          <w:szCs w:val="32"/>
          <w:lang w:bidi="ar"/>
        </w:rPr>
      </w:pPr>
      <w:bookmarkStart w:id="0" w:name="_Toc308424946"/>
      <w:r>
        <w:rPr>
          <w:rFonts w:hint="eastAsia" w:ascii="仿宋_GB2312" w:eastAsia="仿宋_GB2312"/>
          <w:sz w:val="32"/>
          <w:szCs w:val="32"/>
        </w:rPr>
        <w:t>5.系统提供简便、易用的维护诊断功能，支持导出诊断包(含日志、配置、环境信息等)以供技术支持分析。</w:t>
      </w:r>
      <w:bookmarkEnd w:id="0"/>
    </w:p>
    <w:p w14:paraId="3860C42C">
      <w:pPr>
        <w:pStyle w:val="19"/>
        <w:numPr>
          <w:ilvl w:val="2"/>
          <w:numId w:val="2"/>
        </w:numPr>
        <w:adjustRightInd w:val="0"/>
        <w:snapToGrid w:val="0"/>
        <w:spacing w:line="560" w:lineRule="exact"/>
        <w:contextualSpacing w:val="0"/>
        <w:outlineLvl w:val="2"/>
        <w:rPr>
          <w:rFonts w:ascii="仿宋_GB2312" w:eastAsia="仿宋_GB2312" w:cs="仿宋_GB2312"/>
          <w:b/>
          <w:bCs/>
          <w:sz w:val="32"/>
          <w:szCs w:val="32"/>
          <w:lang w:bidi="ar"/>
        </w:rPr>
      </w:pPr>
      <w:r>
        <w:rPr>
          <w:rFonts w:hint="eastAsia" w:ascii="仿宋_GB2312" w:eastAsia="仿宋_GB2312" w:cs="仿宋_GB2312"/>
          <w:b/>
          <w:bCs/>
          <w:sz w:val="32"/>
          <w:szCs w:val="32"/>
          <w:lang w:bidi="ar"/>
        </w:rPr>
        <w:t>安全性要求</w:t>
      </w:r>
    </w:p>
    <w:p w14:paraId="2B2B9BC2">
      <w:pPr>
        <w:numPr>
          <w:ilvl w:val="0"/>
          <w:numId w:val="1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系统应充分考虑数据的保密性、访问可控性、数据完整性等安全可靠因素；考虑整体系统运行安全策略机制，可根据业务需要设置不同的安全措施，支持敏感数据使用符合国家标准的加密算法(如SM4或AES-256)加密存储等功能。</w:t>
      </w:r>
    </w:p>
    <w:p w14:paraId="1EA2FDFE">
      <w:pPr>
        <w:numPr>
          <w:ilvl w:val="0"/>
          <w:numId w:val="11"/>
        </w:numPr>
        <w:spacing w:line="560" w:lineRule="exact"/>
        <w:ind w:left="0" w:firstLine="454"/>
        <w:rPr>
          <w:rFonts w:ascii="仿宋_GB2312" w:eastAsia="仿宋_GB2312"/>
          <w:sz w:val="32"/>
          <w:szCs w:val="32"/>
        </w:rPr>
      </w:pPr>
      <w:r>
        <w:rPr>
          <w:rFonts w:hint="eastAsia" w:ascii="仿宋_GB2312" w:eastAsia="仿宋_GB2312"/>
          <w:sz w:val="32"/>
          <w:szCs w:val="32"/>
        </w:rPr>
        <w:t>系统授权机制需严谨，授权工具应简单直观；采用RBAC(基于角色的访问控制)模型，支持管理员－模块管理员的分级授权体系；实现角色授权、用户组授权、单独授权等多种灵活的授权方式；实现管理员对多个账户批量授权、被动接受管理员管理的功能。用户权限控制细度到数据库字段级。</w:t>
      </w:r>
    </w:p>
    <w:p w14:paraId="54252298">
      <w:pPr>
        <w:numPr>
          <w:ilvl w:val="0"/>
          <w:numId w:val="1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b/>
          <w:bCs/>
          <w:sz w:val="32"/>
          <w:szCs w:val="32"/>
          <w:lang w:bidi="ar"/>
        </w:rPr>
        <w:t>★</w:t>
      </w:r>
      <w:r>
        <w:rPr>
          <w:rFonts w:hint="eastAsia" w:ascii="仿宋_GB2312" w:eastAsia="仿宋_GB2312"/>
          <w:sz w:val="32"/>
          <w:szCs w:val="32"/>
        </w:rPr>
        <w:t>系统应具有日志审计功能，可记录系统用户登录时间、IP地址、功能模块、权限变动、数据库字段级操作等字段和关键操作。</w:t>
      </w:r>
    </w:p>
    <w:p w14:paraId="1C322EE0">
      <w:pPr>
        <w:numPr>
          <w:ilvl w:val="0"/>
          <w:numId w:val="1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敏感数据应使用符合中国信息安全标准（如SM4加密算法）的加密方式，确保传输和存储过程中的数据安全，数据脱敏处理需符合《中华人民共和国网络安全法》的要求。</w:t>
      </w:r>
    </w:p>
    <w:p w14:paraId="1D64BEA8">
      <w:pPr>
        <w:numPr>
          <w:ilvl w:val="0"/>
          <w:numId w:val="1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提供全面的容灾、备份、恢复机制方案，从服务器、系统、数据存储各层面全面考虑；任何紧急情况下能快速的恢复系统正常运行，并都能够保证数据的完整性和安全性。</w:t>
      </w:r>
    </w:p>
    <w:p w14:paraId="1EAE16F3">
      <w:pPr>
        <w:pStyle w:val="19"/>
        <w:numPr>
          <w:ilvl w:val="2"/>
          <w:numId w:val="2"/>
        </w:numPr>
        <w:adjustRightInd w:val="0"/>
        <w:snapToGrid w:val="0"/>
        <w:spacing w:line="560" w:lineRule="exact"/>
        <w:contextualSpacing w:val="0"/>
        <w:outlineLvl w:val="2"/>
        <w:rPr>
          <w:rFonts w:ascii="Times New Roman" w:hAnsi="Times New Roman"/>
        </w:rPr>
      </w:pPr>
      <w:r>
        <w:rPr>
          <w:rFonts w:hint="eastAsia" w:ascii="仿宋_GB2312" w:eastAsia="仿宋_GB2312" w:cs="仿宋_GB2312"/>
          <w:b/>
          <w:bCs/>
          <w:sz w:val="32"/>
          <w:szCs w:val="32"/>
          <w:lang w:bidi="ar"/>
        </w:rPr>
        <w:t>扩展性要求</w:t>
      </w:r>
    </w:p>
    <w:p w14:paraId="1C512D62">
      <w:pPr>
        <w:numPr>
          <w:ilvl w:val="0"/>
          <w:numId w:val="12"/>
        </w:numPr>
        <w:spacing w:line="560" w:lineRule="exact"/>
        <w:ind w:left="0" w:firstLine="454"/>
        <w:rPr>
          <w:rFonts w:ascii="仿宋_GB2312" w:eastAsia="仿宋_GB2312"/>
          <w:sz w:val="32"/>
          <w:szCs w:val="32"/>
        </w:rPr>
      </w:pPr>
      <w:r>
        <w:rPr>
          <w:rFonts w:hint="eastAsia" w:ascii="仿宋_GB2312" w:eastAsia="仿宋_GB2312"/>
          <w:sz w:val="32"/>
          <w:szCs w:val="32"/>
        </w:rPr>
        <w:t>提供硬件资源扩容的平滑过渡方案，当系统业务量增长需要扩容时，能够通过增加服务器、存储设备等硬件资源实现系统性能的提升。</w:t>
      </w:r>
    </w:p>
    <w:p w14:paraId="26B30025">
      <w:pPr>
        <w:numPr>
          <w:ilvl w:val="0"/>
          <w:numId w:val="12"/>
        </w:numPr>
        <w:spacing w:line="560" w:lineRule="exact"/>
        <w:ind w:left="0" w:firstLine="454"/>
        <w:rPr>
          <w:rFonts w:ascii="仿宋_GB2312" w:eastAsia="仿宋_GB2312" w:cs="仿宋_GB2312"/>
          <w:sz w:val="32"/>
          <w:szCs w:val="32"/>
          <w:lang w:bidi="ar"/>
        </w:rPr>
      </w:pPr>
      <w:r>
        <w:rPr>
          <w:rFonts w:hint="eastAsia" w:ascii="仿宋_GB2312" w:eastAsia="仿宋_GB2312"/>
          <w:sz w:val="32"/>
          <w:szCs w:val="32"/>
        </w:rPr>
        <w:t>系统设计需有较好的可扩展性，需满足招标方今后业务增长的需求，新增用户、新增子公司、数据库扩容、硬件扩容均需在原有的系统平台基础上进行补充，而不需要重新设计，</w:t>
      </w:r>
      <w:r>
        <w:rPr>
          <w:rFonts w:hint="eastAsia" w:ascii="仿宋_GB2312" w:eastAsia="仿宋_GB2312" w:cs="仿宋_GB2312"/>
          <w:sz w:val="32"/>
          <w:szCs w:val="32"/>
          <w:lang w:bidi="ar"/>
        </w:rPr>
        <w:t>确保能够与未来信息化规划系统进行集成并适应新的业务需求。系统应提供系统管理员必要的应用权限，如权限分配、表单字段定制、报表定制、流程组态的定制等，方便对今后业务需求更改时能自行配置。</w:t>
      </w:r>
    </w:p>
    <w:p w14:paraId="3099CE9C">
      <w:pPr>
        <w:numPr>
          <w:ilvl w:val="0"/>
          <w:numId w:val="12"/>
        </w:numPr>
        <w:spacing w:line="560" w:lineRule="exact"/>
        <w:ind w:left="0" w:firstLine="454"/>
        <w:rPr>
          <w:rFonts w:ascii="仿宋_GB2312" w:eastAsia="仿宋_GB2312"/>
          <w:sz w:val="32"/>
          <w:szCs w:val="32"/>
        </w:rPr>
      </w:pPr>
      <w:r>
        <w:rPr>
          <w:rFonts w:hint="eastAsia" w:ascii="仿宋_GB2312" w:eastAsia="仿宋_GB2312"/>
          <w:sz w:val="32"/>
          <w:szCs w:val="32"/>
        </w:rPr>
        <w:t>具备和周边系统灵活的集成关系和数据交互方式，提供标准化的主流开发扩展接口工具，以及具备对数据接口进行监控以确保其正常工作和异常处理手段等。</w:t>
      </w:r>
    </w:p>
    <w:p w14:paraId="1046F0B8">
      <w:pPr>
        <w:numPr>
          <w:ilvl w:val="0"/>
          <w:numId w:val="12"/>
        </w:numPr>
        <w:spacing w:line="560" w:lineRule="exact"/>
        <w:ind w:left="0" w:firstLine="454"/>
        <w:rPr>
          <w:rFonts w:ascii="仿宋_GB2312" w:eastAsia="仿宋_GB2312"/>
          <w:sz w:val="32"/>
          <w:szCs w:val="32"/>
        </w:rPr>
      </w:pPr>
      <w:r>
        <w:rPr>
          <w:rFonts w:hint="eastAsia" w:ascii="仿宋_GB2312" w:eastAsia="仿宋_GB2312"/>
          <w:sz w:val="32"/>
          <w:szCs w:val="32"/>
        </w:rPr>
        <w:t>系统应提供统一的接口平台，需支持接口可配置，方便招标方后续功能修改、扩展等；支持与其他系统的数据交换和共享，数据交换方式要能支持中间件、数据库及离线文件等三个层次的实时和定时交互，离线文件交换应支持通用数据标准格式，其中必须支持Excel格式的文件交互格式。</w:t>
      </w:r>
    </w:p>
    <w:p w14:paraId="0830BAD7">
      <w:pPr>
        <w:pStyle w:val="19"/>
        <w:numPr>
          <w:ilvl w:val="2"/>
          <w:numId w:val="2"/>
        </w:numPr>
        <w:adjustRightInd w:val="0"/>
        <w:snapToGrid w:val="0"/>
        <w:spacing w:line="560" w:lineRule="exact"/>
        <w:contextualSpacing w:val="0"/>
        <w:outlineLvl w:val="2"/>
        <w:rPr>
          <w:rFonts w:ascii="Times New Roman" w:hAnsi="Times New Roman"/>
        </w:rPr>
      </w:pPr>
      <w:r>
        <w:rPr>
          <w:rFonts w:hint="eastAsia" w:ascii="仿宋_GB2312" w:eastAsia="仿宋_GB2312" w:cs="仿宋_GB2312"/>
          <w:b/>
          <w:bCs/>
          <w:sz w:val="32"/>
          <w:szCs w:val="32"/>
          <w:lang w:bidi="ar"/>
        </w:rPr>
        <w:t>易用性要求</w:t>
      </w:r>
    </w:p>
    <w:p w14:paraId="63B1F850">
      <w:pPr>
        <w:numPr>
          <w:ilvl w:val="0"/>
          <w:numId w:val="13"/>
        </w:numPr>
        <w:spacing w:line="560" w:lineRule="exact"/>
        <w:ind w:left="0" w:firstLine="454"/>
        <w:rPr>
          <w:rFonts w:ascii="仿宋_GB2312" w:eastAsia="仿宋_GB2312"/>
          <w:sz w:val="32"/>
          <w:szCs w:val="32"/>
        </w:rPr>
      </w:pPr>
      <w:r>
        <w:rPr>
          <w:rFonts w:hint="eastAsia" w:ascii="仿宋_GB2312" w:eastAsia="仿宋_GB2312"/>
          <w:sz w:val="32"/>
          <w:szCs w:val="32"/>
        </w:rPr>
        <w:t>系统平台用语规范、操作简单、使用方便，具有人性化操作界面，符合操作习惯，</w:t>
      </w:r>
      <w:r>
        <w:rPr>
          <w:rFonts w:hint="eastAsia" w:ascii="仿宋_GB2312" w:eastAsia="仿宋_GB2312" w:cs="仿宋_GB2312"/>
          <w:sz w:val="32"/>
          <w:szCs w:val="32"/>
          <w:lang w:bidi="ar"/>
        </w:rPr>
        <w:t>人机界面友好</w:t>
      </w:r>
      <w:r>
        <w:rPr>
          <w:rFonts w:hint="eastAsia" w:ascii="仿宋_GB2312" w:eastAsia="仿宋_GB2312"/>
          <w:sz w:val="32"/>
          <w:szCs w:val="32"/>
        </w:rPr>
        <w:t>。</w:t>
      </w:r>
    </w:p>
    <w:p w14:paraId="3350CC66">
      <w:pPr>
        <w:numPr>
          <w:ilvl w:val="0"/>
          <w:numId w:val="13"/>
        </w:numPr>
        <w:spacing w:line="560" w:lineRule="exact"/>
        <w:ind w:left="0" w:firstLine="454"/>
        <w:rPr>
          <w:rFonts w:ascii="仿宋_GB2312" w:eastAsia="仿宋_GB2312"/>
          <w:sz w:val="32"/>
          <w:szCs w:val="32"/>
        </w:rPr>
      </w:pPr>
      <w:r>
        <w:rPr>
          <w:rFonts w:hint="eastAsia" w:ascii="仿宋_GB2312" w:eastAsia="仿宋_GB2312"/>
          <w:sz w:val="32"/>
          <w:szCs w:val="32"/>
        </w:rPr>
        <w:t>操作反馈及时明确，用户的每一次操作都能得到清晰的反馈，如操作成功提示、错误信息提示等，提示信息需简洁明了、易于理解。</w:t>
      </w:r>
    </w:p>
    <w:p w14:paraId="5FFD12CC">
      <w:pPr>
        <w:numPr>
          <w:ilvl w:val="0"/>
          <w:numId w:val="13"/>
        </w:numPr>
        <w:spacing w:line="560" w:lineRule="exact"/>
        <w:ind w:left="0" w:firstLine="454"/>
        <w:rPr>
          <w:rFonts w:ascii="仿宋_GB2312" w:eastAsia="仿宋_GB2312"/>
          <w:sz w:val="32"/>
          <w:szCs w:val="32"/>
        </w:rPr>
      </w:pPr>
      <w:r>
        <w:rPr>
          <w:rFonts w:hint="eastAsia" w:ascii="仿宋_GB2312" w:eastAsia="仿宋_GB2312"/>
          <w:sz w:val="32"/>
          <w:szCs w:val="32"/>
        </w:rPr>
        <w:t>提供离线“帮助”按钮功能和用户手册。</w:t>
      </w:r>
    </w:p>
    <w:p w14:paraId="7F010224">
      <w:pPr>
        <w:pStyle w:val="19"/>
        <w:numPr>
          <w:ilvl w:val="2"/>
          <w:numId w:val="2"/>
        </w:numPr>
        <w:adjustRightInd w:val="0"/>
        <w:snapToGrid w:val="0"/>
        <w:spacing w:line="560" w:lineRule="exact"/>
        <w:contextualSpacing w:val="0"/>
        <w:outlineLvl w:val="2"/>
        <w:rPr>
          <w:rFonts w:ascii="Times New Roman" w:hAnsi="Times New Roman"/>
        </w:rPr>
      </w:pPr>
      <w:r>
        <w:rPr>
          <w:rFonts w:hint="eastAsia" w:ascii="仿宋_GB2312" w:eastAsia="仿宋_GB2312" w:cs="仿宋_GB2312"/>
          <w:b/>
          <w:bCs/>
          <w:sz w:val="32"/>
          <w:szCs w:val="32"/>
          <w:lang w:bidi="ar"/>
        </w:rPr>
        <w:t>可集成性要求</w:t>
      </w:r>
    </w:p>
    <w:p w14:paraId="0AFFFC10">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统一标准化接口设计，系统内所有功能实体间的数据交换以及对其他模块的数据引用都通过标准接口完成，使多个组件对接时在开放性、稳定性、扩展性与集成性上有着很好的适配空间；支持与业务系统</w:t>
      </w:r>
      <w:r>
        <w:rPr>
          <w:rFonts w:hint="eastAsia" w:ascii="仿宋_GB2312" w:eastAsia="仿宋_GB2312" w:cs="仿宋_GB2312"/>
          <w:sz w:val="32"/>
          <w:szCs w:val="32"/>
          <w:lang w:eastAsia="zh" w:bidi="ar"/>
        </w:rPr>
        <w:t>ERP、</w:t>
      </w:r>
      <w:r>
        <w:rPr>
          <w:rFonts w:hint="eastAsia" w:ascii="仿宋_GB2312" w:eastAsia="仿宋_GB2312" w:cs="仿宋_GB2312"/>
          <w:sz w:val="32"/>
          <w:szCs w:val="32"/>
          <w:lang w:bidi="ar"/>
        </w:rPr>
        <w:t>WMS</w:t>
      </w:r>
      <w:r>
        <w:rPr>
          <w:rFonts w:hint="eastAsia" w:ascii="仿宋_GB2312" w:eastAsia="仿宋_GB2312" w:cs="仿宋_GB2312"/>
          <w:sz w:val="32"/>
          <w:szCs w:val="32"/>
          <w:lang w:eastAsia="zh" w:bidi="ar"/>
        </w:rPr>
        <w:t>、</w:t>
      </w:r>
      <w:r>
        <w:rPr>
          <w:rFonts w:hint="eastAsia" w:ascii="仿宋_GB2312" w:eastAsia="仿宋_GB2312" w:cs="仿宋_GB2312"/>
          <w:sz w:val="32"/>
          <w:szCs w:val="32"/>
          <w:lang w:bidi="ar"/>
        </w:rPr>
        <w:t>TC、QMS、数字化工艺、软件生命周期管理、履历系统、亮灯货架、AGV机器人等系统进行全面集成对接，</w:t>
      </w:r>
      <w:r>
        <w:rPr>
          <w:rFonts w:hint="eastAsia" w:ascii="仿宋_GB2312" w:eastAsia="仿宋_GB2312"/>
          <w:sz w:val="32"/>
          <w:szCs w:val="32"/>
        </w:rPr>
        <w:t>数据接口按照招标方实际需求为准，投标方应提供标准的数据接口方案以及进行数据接口的协同开发</w:t>
      </w:r>
      <w:r>
        <w:rPr>
          <w:rFonts w:hint="eastAsia" w:ascii="仿宋_GB2312" w:eastAsia="仿宋_GB2312" w:cs="仿宋_GB2312"/>
          <w:sz w:val="32"/>
          <w:szCs w:val="32"/>
          <w:lang w:bidi="ar"/>
        </w:rPr>
        <w:t>；开放全部数据表，并提供具备标准接口访问、数据推送、数据订阅等多种数据交换方式。</w:t>
      </w:r>
    </w:p>
    <w:p w14:paraId="575CEEAE">
      <w:pPr>
        <w:numPr>
          <w:ilvl w:val="0"/>
          <w:numId w:val="14"/>
        </w:numPr>
        <w:spacing w:line="560" w:lineRule="exact"/>
        <w:rPr>
          <w:rFonts w:ascii="仿宋_GB2312" w:eastAsia="仿宋_GB2312"/>
          <w:sz w:val="32"/>
          <w:szCs w:val="32"/>
        </w:rPr>
      </w:pPr>
      <w:r>
        <w:rPr>
          <w:rFonts w:hint="eastAsia" w:cs="仿宋"/>
          <w:b/>
          <w:sz w:val="32"/>
          <w:highlight w:val="none"/>
        </w:rPr>
        <w:t>▲</w:t>
      </w:r>
      <w:r>
        <w:rPr>
          <w:rFonts w:hint="eastAsia" w:ascii="仿宋_GB2312" w:eastAsia="仿宋_GB2312" w:cs="仿宋_GB2312"/>
          <w:sz w:val="32"/>
          <w:szCs w:val="32"/>
          <w:highlight w:val="none"/>
          <w:lang w:bidi="ar"/>
        </w:rPr>
        <w:t>系统间必须通过ESB（SAP PO）进行对接。支持REST接口（HTTP+JSON）和WebService接口（SOAP+XML）两种标准接口类型，</w:t>
      </w:r>
      <w:r>
        <w:rPr>
          <w:rFonts w:hint="eastAsia" w:ascii="仿宋_GB2312" w:eastAsia="仿宋_GB2312" w:cs="仿宋_GB2312"/>
          <w:sz w:val="32"/>
          <w:szCs w:val="32"/>
          <w:lang w:bidi="ar"/>
        </w:rPr>
        <w:t>接口需具备良好的兼容性和可扩展性；接口调用需进行权限认证，确保数据在传输过程中的安全性；</w:t>
      </w:r>
      <w:r>
        <w:rPr>
          <w:rFonts w:hint="eastAsia" w:ascii="仿宋_GB2312" w:eastAsia="仿宋_GB2312"/>
          <w:sz w:val="32"/>
          <w:szCs w:val="32"/>
        </w:rPr>
        <w:t>系统间集成一个接口应同时实现对同一类数据的增删查改操作。</w:t>
      </w:r>
    </w:p>
    <w:p w14:paraId="51F040F4">
      <w:pPr>
        <w:numPr>
          <w:ilvl w:val="0"/>
          <w:numId w:val="15"/>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业务流程覆盖：系统接口覆盖从生产订单获取、计划执行、物料周转、包装入库等全流程业务。</w:t>
      </w:r>
    </w:p>
    <w:p w14:paraId="587ABB83">
      <w:pPr>
        <w:numPr>
          <w:ilvl w:val="0"/>
          <w:numId w:val="15"/>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语言要求：系统开发语言为为JAVA、C#等主流开发语言，并适应国内常见的开发工具（如Eclipse、IDEA、V</w:t>
      </w:r>
      <w:r>
        <w:rPr>
          <w:rFonts w:ascii="仿宋_GB2312" w:eastAsia="仿宋_GB2312" w:cs="仿宋_GB2312"/>
          <w:sz w:val="32"/>
          <w:szCs w:val="32"/>
          <w:lang w:bidi="ar"/>
        </w:rPr>
        <w:t>S</w:t>
      </w:r>
      <w:r>
        <w:rPr>
          <w:rFonts w:hint="eastAsia" w:ascii="仿宋_GB2312" w:eastAsia="仿宋_GB2312" w:cs="仿宋_GB2312"/>
          <w:sz w:val="32"/>
          <w:szCs w:val="32"/>
          <w:lang w:bidi="ar"/>
        </w:rPr>
        <w:t>.NET等），确保开发者快速上手。</w:t>
      </w:r>
    </w:p>
    <w:p w14:paraId="206BB9AC">
      <w:pPr>
        <w:numPr>
          <w:ilvl w:val="0"/>
          <w:numId w:val="15"/>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开发效率：基于现有框架能快速开发定制接口，响应性能应符合实际用户使用需求。</w:t>
      </w:r>
    </w:p>
    <w:p w14:paraId="33582908">
      <w:pPr>
        <w:numPr>
          <w:ilvl w:val="0"/>
          <w:numId w:val="15"/>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文档覆盖率：所有API和开发接口的文档覆盖率应达到100%，并提供示例代码和使用指南，文档更新频率应与系统更新同步进行。</w:t>
      </w:r>
    </w:p>
    <w:p w14:paraId="505F469D">
      <w:pPr>
        <w:pStyle w:val="19"/>
        <w:numPr>
          <w:ilvl w:val="2"/>
          <w:numId w:val="2"/>
        </w:numPr>
        <w:adjustRightInd w:val="0"/>
        <w:snapToGrid w:val="0"/>
        <w:spacing w:line="560" w:lineRule="exact"/>
        <w:contextualSpacing w:val="0"/>
        <w:outlineLvl w:val="2"/>
        <w:rPr>
          <w:rFonts w:ascii="仿宋_GB2312" w:eastAsia="仿宋_GB2312" w:cs="仿宋_GB2312"/>
          <w:b/>
          <w:bCs/>
          <w:sz w:val="32"/>
          <w:szCs w:val="32"/>
          <w:lang w:bidi="ar"/>
        </w:rPr>
      </w:pPr>
      <w:r>
        <w:rPr>
          <w:rFonts w:hint="eastAsia" w:ascii="仿宋_GB2312" w:eastAsia="仿宋_GB2312" w:cs="仿宋_GB2312"/>
          <w:b/>
          <w:bCs/>
          <w:sz w:val="32"/>
          <w:szCs w:val="32"/>
          <w:lang w:bidi="ar"/>
        </w:rPr>
        <w:t>可开发性要求</w:t>
      </w:r>
    </w:p>
    <w:p w14:paraId="3A06125D">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系统应提供相关代码及其他文档、资料，支持项目结束后用户能自主或自由选择第三方进行二次开发，包括但不限于功能开发、接口开发、数据开发等。</w:t>
      </w:r>
    </w:p>
    <w:p w14:paraId="27D37EF6">
      <w:pPr>
        <w:numPr>
          <w:ilvl w:val="0"/>
          <w:numId w:val="16"/>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开发环境与代码管理</w:t>
      </w:r>
    </w:p>
    <w:p w14:paraId="7269CCD8">
      <w:pPr>
        <w:numPr>
          <w:ilvl w:val="0"/>
          <w:numId w:val="17"/>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开发环境要求</w:t>
      </w:r>
    </w:p>
    <w:p w14:paraId="41B4ED2B">
      <w:pPr>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硬件环境：需与生产环境架构保持一致。</w:t>
      </w:r>
    </w:p>
    <w:p w14:paraId="6F75BA19">
      <w:pPr>
        <w:spacing w:line="560" w:lineRule="exact"/>
        <w:ind w:firstLine="643" w:firstLineChars="200"/>
        <w:rPr>
          <w:rFonts w:ascii="仿宋_GB2312" w:eastAsia="仿宋_GB2312"/>
          <w:sz w:val="32"/>
          <w:szCs w:val="32"/>
          <w:highlight w:val="none"/>
        </w:rPr>
      </w:pPr>
      <w:r>
        <w:rPr>
          <w:rFonts w:hint="eastAsia" w:ascii="仿宋" w:hAnsi="仿宋" w:eastAsia="仿宋" w:cs="仿宋"/>
          <w:b/>
          <w:bCs/>
          <w:sz w:val="32"/>
          <w:highlight w:val="none"/>
        </w:rPr>
        <w:t>★</w:t>
      </w:r>
      <w:r>
        <w:rPr>
          <w:rFonts w:hint="eastAsia" w:ascii="仿宋_GB2312" w:eastAsia="仿宋_GB2312"/>
          <w:sz w:val="32"/>
          <w:szCs w:val="32"/>
          <w:highlight w:val="none"/>
        </w:rPr>
        <w:t>软件环境：提供完整可编译的代码运行环境，包含所有依赖组件（如 SDK、驱动程序、第三方库等），需与生产环境版本兼容，且预配置自动化编译工具（如 Maven、Gradle）及单元测试框架。</w:t>
      </w:r>
    </w:p>
    <w:p w14:paraId="04D1D42A">
      <w:pPr>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环境隔离：开发环境与测试、生产环境严格隔离，具备独立的数据库实例、中间件等防止开发操作影响其他环境稳定性。</w:t>
      </w:r>
    </w:p>
    <w:p w14:paraId="30F424D1">
      <w:pPr>
        <w:numPr>
          <w:ilvl w:val="0"/>
          <w:numId w:val="17"/>
        </w:numPr>
        <w:spacing w:line="560" w:lineRule="exact"/>
        <w:rPr>
          <w:rFonts w:ascii="仿宋_GB2312" w:eastAsia="仿宋_GB2312" w:cs="仿宋_GB2312"/>
          <w:sz w:val="32"/>
          <w:szCs w:val="32"/>
          <w:highlight w:val="none"/>
          <w:lang w:bidi="ar"/>
        </w:rPr>
      </w:pPr>
      <w:r>
        <w:rPr>
          <w:rFonts w:hint="eastAsia" w:ascii="仿宋_GB2312" w:eastAsia="仿宋_GB2312" w:cs="仿宋_GB2312"/>
          <w:sz w:val="32"/>
          <w:szCs w:val="32"/>
          <w:highlight w:val="none"/>
          <w:lang w:bidi="ar"/>
        </w:rPr>
        <w:t>代码管理要求</w:t>
      </w:r>
    </w:p>
    <w:p w14:paraId="26F2B72F">
      <w:pPr>
        <w:spacing w:line="560" w:lineRule="exact"/>
        <w:ind w:firstLine="643" w:firstLineChars="200"/>
        <w:rPr>
          <w:rFonts w:ascii="仿宋_GB2312" w:eastAsia="仿宋_GB2312"/>
          <w:sz w:val="32"/>
          <w:szCs w:val="32"/>
        </w:rPr>
      </w:pPr>
      <w:r>
        <w:rPr>
          <w:rFonts w:hint="eastAsia" w:cs="仿宋"/>
          <w:b/>
          <w:sz w:val="32"/>
          <w:highlight w:val="none"/>
        </w:rPr>
        <w:t>▲</w:t>
      </w:r>
      <w:r>
        <w:rPr>
          <w:rFonts w:hint="eastAsia" w:ascii="仿宋_GB2312" w:eastAsia="仿宋_GB2312"/>
          <w:sz w:val="32"/>
          <w:szCs w:val="32"/>
          <w:highlight w:val="none"/>
        </w:rPr>
        <w:t>交</w:t>
      </w:r>
      <w:r>
        <w:rPr>
          <w:rFonts w:hint="eastAsia" w:ascii="仿宋_GB2312" w:eastAsia="仿宋_GB2312"/>
          <w:sz w:val="32"/>
          <w:szCs w:val="32"/>
        </w:rPr>
        <w:t>付完整的本项目定制开发的所有源代码，包括但不限于二次开发手册、open API/Swagger接口文档、相关二开手段的场景示例说明、用户界面代码、数据结构定义、数据库表结构、数据库脚本、配置文件、数据字段含义、数据关系等以及与外部系统交互的接口代码。</w:t>
      </w:r>
    </w:p>
    <w:p w14:paraId="029B7DA0">
      <w:pPr>
        <w:numPr>
          <w:ilvl w:val="0"/>
          <w:numId w:val="16"/>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系统进行更新后需及时提供更新后的代码。</w:t>
      </w:r>
    </w:p>
    <w:p w14:paraId="68F7DC04">
      <w:pPr>
        <w:numPr>
          <w:ilvl w:val="0"/>
          <w:numId w:val="16"/>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提供的源码须遵循一定的代码规范，有完整、详细、准确的注释；提供完整的相关文档，包括但不限于系统架构文档、数据库设计文档、接口文档、功能模块说明文档等。</w:t>
      </w:r>
    </w:p>
    <w:p w14:paraId="4331A8A1">
      <w:pPr>
        <w:numPr>
          <w:ilvl w:val="0"/>
          <w:numId w:val="16"/>
        </w:numPr>
        <w:spacing w:line="560" w:lineRule="exact"/>
        <w:rPr>
          <w:rFonts w:ascii="仿宋_GB2312" w:eastAsia="仿宋_GB2312"/>
          <w:sz w:val="32"/>
          <w:szCs w:val="32"/>
        </w:rPr>
      </w:pPr>
      <w:r>
        <w:rPr>
          <w:rFonts w:hint="eastAsia" w:ascii="仿宋_GB2312" w:eastAsia="仿宋_GB2312"/>
          <w:sz w:val="32"/>
          <w:szCs w:val="32"/>
        </w:rPr>
        <w:t>应保证平台及组件的开源/商业许可协议。</w:t>
      </w:r>
    </w:p>
    <w:p w14:paraId="5D0A6801">
      <w:pPr>
        <w:pStyle w:val="19"/>
        <w:numPr>
          <w:ilvl w:val="0"/>
          <w:numId w:val="16"/>
        </w:numPr>
        <w:rPr>
          <w:rFonts w:ascii="Times New Roman" w:hAnsi="Times New Roman"/>
        </w:rPr>
      </w:pPr>
      <w:r>
        <w:rPr>
          <w:rFonts w:hint="eastAsia" w:cs="仿宋"/>
          <w:b/>
          <w:sz w:val="32"/>
          <w:highlight w:val="none"/>
        </w:rPr>
        <w:t>▲</w:t>
      </w:r>
      <w:r>
        <w:rPr>
          <w:rFonts w:hint="eastAsia" w:ascii="仿宋_GB2312" w:eastAsia="仿宋_GB2312"/>
          <w:sz w:val="32"/>
          <w:szCs w:val="32"/>
          <w:highlight w:val="none"/>
        </w:rPr>
        <w:t>因</w:t>
      </w:r>
      <w:r>
        <w:rPr>
          <w:rFonts w:hint="eastAsia" w:ascii="仿宋_GB2312" w:eastAsia="仿宋_GB2312"/>
          <w:sz w:val="32"/>
          <w:szCs w:val="32"/>
        </w:rPr>
        <w:t>履行本技术要求所开发产生的研究成果及其相关知识产权权利，归招标方所有；招标方有权对二次开发产生的相关代码进行专利、软件著作权等申请。</w:t>
      </w:r>
    </w:p>
    <w:p w14:paraId="0B8E0DFB">
      <w:pPr>
        <w:pStyle w:val="19"/>
        <w:numPr>
          <w:ilvl w:val="2"/>
          <w:numId w:val="2"/>
        </w:numPr>
        <w:adjustRightInd w:val="0"/>
        <w:snapToGrid w:val="0"/>
        <w:spacing w:line="560" w:lineRule="exact"/>
        <w:contextualSpacing w:val="0"/>
        <w:rPr>
          <w:rFonts w:ascii="仿宋_GB2312" w:eastAsia="仿宋_GB2312" w:cs="仿宋_GB2312"/>
          <w:b/>
          <w:bCs/>
          <w:sz w:val="32"/>
          <w:szCs w:val="32"/>
          <w:highlight w:val="none"/>
          <w:lang w:bidi="ar"/>
        </w:rPr>
      </w:pPr>
      <w:r>
        <w:rPr>
          <w:rFonts w:ascii="仿宋_GB2312" w:eastAsia="仿宋_GB2312" w:cs="仿宋_GB2312"/>
          <w:b/>
          <w:bCs/>
          <w:sz w:val="32"/>
          <w:szCs w:val="32"/>
          <w:highlight w:val="none"/>
          <w:lang w:bidi="ar"/>
        </w:rPr>
        <w:t>数据建模</w:t>
      </w:r>
    </w:p>
    <w:p w14:paraId="23FC9558">
      <w:pPr>
        <w:spacing w:line="560" w:lineRule="exact"/>
        <w:ind w:firstLine="640" w:firstLineChars="200"/>
        <w:rPr>
          <w:rFonts w:ascii="Times New Roman" w:hAnsi="Times New Roman"/>
          <w:highlight w:val="none"/>
        </w:rPr>
      </w:pPr>
      <w:r>
        <w:rPr>
          <w:rFonts w:ascii="仿宋_GB2312" w:eastAsia="仿宋_GB2312" w:cs="仿宋_GB2312"/>
          <w:sz w:val="32"/>
          <w:szCs w:val="32"/>
          <w:highlight w:val="none"/>
          <w:lang w:bidi="ar"/>
        </w:rPr>
        <w:t>系统应支持全面的主数据、核心业务数据可视化建模，建模须具备灵活的扩展能力，支持图形化工具完成元数据建模；可根据数据模型自动生成数据访问层接口。</w:t>
      </w:r>
    </w:p>
    <w:p w14:paraId="068DABEE">
      <w:pPr>
        <w:pStyle w:val="19"/>
        <w:numPr>
          <w:ilvl w:val="2"/>
          <w:numId w:val="2"/>
        </w:numPr>
        <w:adjustRightInd w:val="0"/>
        <w:snapToGrid w:val="0"/>
        <w:spacing w:line="560" w:lineRule="exact"/>
        <w:contextualSpacing w:val="0"/>
        <w:outlineLvl w:val="2"/>
        <w:rPr>
          <w:rFonts w:ascii="仿宋_GB2312" w:eastAsia="仿宋_GB2312" w:cs="仿宋_GB2312"/>
          <w:b/>
          <w:bCs/>
          <w:sz w:val="32"/>
          <w:szCs w:val="32"/>
          <w:lang w:bidi="ar"/>
        </w:rPr>
      </w:pPr>
      <w:r>
        <w:rPr>
          <w:rFonts w:hint="eastAsia" w:ascii="仿宋_GB2312" w:eastAsia="仿宋_GB2312" w:cs="仿宋_GB2312"/>
          <w:b/>
          <w:bCs/>
          <w:sz w:val="32"/>
          <w:szCs w:val="32"/>
          <w:lang w:bidi="ar"/>
        </w:rPr>
        <w:t>部署方式要求</w:t>
      </w:r>
    </w:p>
    <w:p w14:paraId="1A455B88">
      <w:pPr>
        <w:numPr>
          <w:ilvl w:val="0"/>
          <w:numId w:val="18"/>
        </w:numPr>
        <w:spacing w:line="560" w:lineRule="exact"/>
        <w:rPr>
          <w:rFonts w:ascii="仿宋_GB2312" w:eastAsia="仿宋_GB2312"/>
          <w:sz w:val="32"/>
          <w:szCs w:val="32"/>
        </w:rPr>
      </w:pPr>
      <w:r>
        <w:rPr>
          <w:rFonts w:hint="eastAsia" w:ascii="仿宋_GB2312" w:eastAsia="仿宋_GB2312"/>
          <w:sz w:val="32"/>
          <w:szCs w:val="32"/>
        </w:rPr>
        <w:t>为满足系统在使用中持续稳定、便于运维等要求，需采用先进、合理的部署架构，如集中式部署、分布式部署、混合部署等，满足且不限于以下几点要求：</w:t>
      </w:r>
    </w:p>
    <w:p w14:paraId="7A77219A">
      <w:pPr>
        <w:numPr>
          <w:ilvl w:val="0"/>
          <w:numId w:val="19"/>
        </w:numPr>
        <w:spacing w:line="560" w:lineRule="exact"/>
        <w:rPr>
          <w:rFonts w:ascii="仿宋_GB2312" w:eastAsia="仿宋_GB2312"/>
          <w:sz w:val="32"/>
          <w:szCs w:val="32"/>
        </w:rPr>
      </w:pPr>
      <w:r>
        <w:rPr>
          <w:rFonts w:hint="eastAsia" w:ascii="仿宋_GB2312" w:eastAsia="仿宋_GB2312"/>
          <w:sz w:val="32"/>
          <w:szCs w:val="32"/>
        </w:rPr>
        <w:t>鲁棒性</w:t>
      </w:r>
    </w:p>
    <w:p w14:paraId="1B6BCEA8">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系统在各种操作环境下都能保持稳定运行并且能处理异常情况，包括在高峰时段、数据量大、网络波动、硬件故障等复杂环境。</w:t>
      </w:r>
    </w:p>
    <w:p w14:paraId="017CFB41">
      <w:pPr>
        <w:numPr>
          <w:ilvl w:val="0"/>
          <w:numId w:val="19"/>
        </w:numPr>
        <w:spacing w:line="560" w:lineRule="exact"/>
        <w:rPr>
          <w:rFonts w:ascii="仿宋_GB2312" w:eastAsia="仿宋_GB2312"/>
          <w:sz w:val="32"/>
          <w:szCs w:val="32"/>
        </w:rPr>
      </w:pPr>
      <w:r>
        <w:rPr>
          <w:rFonts w:hint="eastAsia" w:ascii="仿宋_GB2312" w:eastAsia="仿宋_GB2312"/>
          <w:sz w:val="32"/>
          <w:szCs w:val="32"/>
        </w:rPr>
        <w:t xml:space="preserve">运维便利性 </w:t>
      </w:r>
    </w:p>
    <w:p w14:paraId="60F9EFB4">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部署架构满足硬件、软件运维的高效、便利的要求。</w:t>
      </w:r>
    </w:p>
    <w:p w14:paraId="00FF219B">
      <w:pPr>
        <w:numPr>
          <w:ilvl w:val="0"/>
          <w:numId w:val="19"/>
        </w:numPr>
        <w:spacing w:line="560" w:lineRule="exact"/>
        <w:rPr>
          <w:rFonts w:ascii="仿宋_GB2312" w:eastAsia="仿宋_GB2312"/>
          <w:sz w:val="32"/>
          <w:szCs w:val="32"/>
        </w:rPr>
      </w:pPr>
      <w:r>
        <w:rPr>
          <w:rFonts w:hint="eastAsia" w:ascii="仿宋_GB2312" w:eastAsia="仿宋_GB2312"/>
          <w:sz w:val="32"/>
          <w:szCs w:val="32"/>
        </w:rPr>
        <w:t>计算资源耗用的高效性、合理性</w:t>
      </w:r>
    </w:p>
    <w:p w14:paraId="406AE8A8">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系统应采用包括优化算法、动态分配计算资源等方式确保计算资源耗用的高效性、合理性，支持服务按负载自动扩缩容。</w:t>
      </w:r>
    </w:p>
    <w:p w14:paraId="17ACAA99">
      <w:pPr>
        <w:numPr>
          <w:ilvl w:val="0"/>
          <w:numId w:val="19"/>
        </w:numPr>
        <w:spacing w:line="560" w:lineRule="exact"/>
        <w:rPr>
          <w:rFonts w:ascii="仿宋_GB2312" w:eastAsia="仿宋_GB2312"/>
          <w:sz w:val="32"/>
          <w:szCs w:val="32"/>
        </w:rPr>
      </w:pPr>
      <w:r>
        <w:rPr>
          <w:rFonts w:hint="eastAsia" w:ascii="仿宋_GB2312" w:eastAsia="仿宋_GB2312"/>
          <w:sz w:val="32"/>
          <w:szCs w:val="32"/>
        </w:rPr>
        <w:t>多实例部署</w:t>
      </w:r>
    </w:p>
    <w:p w14:paraId="3FE914BE">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平台系统基础组件、服务（数据库、消息队列、微服务等）支持多实例部署，避免单点故障导致整个系统瘫痪，实现系统的高可用性，确保平台和应用系统的稳定性。</w:t>
      </w:r>
    </w:p>
    <w:p w14:paraId="457B36A1">
      <w:pPr>
        <w:numPr>
          <w:ilvl w:val="0"/>
          <w:numId w:val="19"/>
        </w:numPr>
        <w:spacing w:line="560" w:lineRule="exact"/>
        <w:rPr>
          <w:rFonts w:ascii="仿宋_GB2312" w:eastAsia="仿宋_GB2312"/>
          <w:sz w:val="32"/>
          <w:szCs w:val="32"/>
        </w:rPr>
      </w:pPr>
      <w:r>
        <w:rPr>
          <w:rFonts w:hint="eastAsia" w:ascii="仿宋_GB2312" w:eastAsia="仿宋_GB2312"/>
          <w:sz w:val="32"/>
          <w:szCs w:val="32"/>
        </w:rPr>
        <w:t>业务的部署方案</w:t>
      </w:r>
    </w:p>
    <w:p w14:paraId="14A9E1EA">
      <w:pPr>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根据招标方业务类型特点及要求设计部署方案，保证系统可用并满足相关保密等要求。</w:t>
      </w:r>
    </w:p>
    <w:p w14:paraId="2A81EE16">
      <w:pPr>
        <w:numPr>
          <w:ilvl w:val="0"/>
          <w:numId w:val="18"/>
        </w:numPr>
        <w:spacing w:line="560" w:lineRule="exact"/>
        <w:rPr>
          <w:rFonts w:ascii="仿宋_GB2312" w:eastAsia="仿宋_GB2312"/>
          <w:sz w:val="32"/>
          <w:szCs w:val="32"/>
        </w:rPr>
      </w:pPr>
      <w:r>
        <w:rPr>
          <w:rFonts w:hint="eastAsia" w:ascii="仿宋_GB2312" w:eastAsia="仿宋_GB2312"/>
          <w:sz w:val="32"/>
          <w:szCs w:val="32"/>
        </w:rPr>
        <w:t>软件采用虚拟化部署，支持分布式方式部署，通过负载均衡进行会话同步，避免出现单点故障，实现系统高可用。</w:t>
      </w:r>
    </w:p>
    <w:p w14:paraId="126CAA55">
      <w:pPr>
        <w:numPr>
          <w:ilvl w:val="0"/>
          <w:numId w:val="18"/>
        </w:numPr>
        <w:spacing w:line="560" w:lineRule="exact"/>
        <w:rPr>
          <w:rFonts w:ascii="仿宋_GB2312" w:eastAsia="仿宋_GB2312"/>
          <w:sz w:val="32"/>
          <w:szCs w:val="32"/>
        </w:rPr>
      </w:pPr>
      <w:r>
        <w:rPr>
          <w:rFonts w:hint="eastAsia" w:ascii="仿宋_GB2312" w:eastAsia="仿宋_GB2312"/>
          <w:sz w:val="32"/>
          <w:szCs w:val="32"/>
        </w:rPr>
        <w:t>提供安装脚本，支持docker-compose容器化部署。</w:t>
      </w:r>
    </w:p>
    <w:p w14:paraId="6A5712A2">
      <w:pPr>
        <w:rPr>
          <w:rFonts w:ascii="仿宋_GB2312" w:eastAsia="仿宋_GB2312"/>
          <w:sz w:val="32"/>
          <w:szCs w:val="32"/>
        </w:rPr>
      </w:pPr>
      <w:r>
        <w:rPr>
          <w:rFonts w:hint="eastAsia" w:ascii="仿宋_GB2312" w:eastAsia="仿宋_GB2312"/>
          <w:sz w:val="32"/>
          <w:szCs w:val="32"/>
        </w:rPr>
        <w:t>支持国产化环境安装部署。</w:t>
      </w:r>
    </w:p>
    <w:p w14:paraId="4AF8E389">
      <w:pPr>
        <w:numPr>
          <w:ilvl w:val="0"/>
          <w:numId w:val="18"/>
        </w:numPr>
        <w:spacing w:line="560" w:lineRule="exact"/>
        <w:rPr>
          <w:szCs w:val="21"/>
        </w:rPr>
      </w:pPr>
      <w:r>
        <w:rPr>
          <w:rFonts w:hint="eastAsia" w:ascii="仿宋_GB2312" w:eastAsia="仿宋_GB2312"/>
          <w:sz w:val="32"/>
          <w:szCs w:val="32"/>
        </w:rPr>
        <w:t>支持主流国产化操作系统、数据库、中间件，以及相应的安全产品，并提供相应证明文件。支持跨工控网、涉密网业主方需求进行一次免费国产化迁移或跨网络迁移部署。</w:t>
      </w:r>
    </w:p>
    <w:p w14:paraId="17F20ADD">
      <w:pPr>
        <w:numPr>
          <w:ilvl w:val="0"/>
          <w:numId w:val="18"/>
        </w:numPr>
        <w:spacing w:line="560" w:lineRule="exact"/>
        <w:rPr>
          <w:rFonts w:ascii="仿宋_GB2312" w:eastAsia="仿宋_GB2312"/>
          <w:sz w:val="32"/>
          <w:szCs w:val="32"/>
        </w:rPr>
      </w:pPr>
      <w:r>
        <w:rPr>
          <w:rFonts w:hint="eastAsia" w:ascii="仿宋_GB2312" w:eastAsia="仿宋_GB2312"/>
          <w:sz w:val="32"/>
          <w:szCs w:val="32"/>
        </w:rPr>
        <w:t>系统运维后可在系统不停机情况下，在平台提供的界面里实现快速的服务化部署。</w:t>
      </w:r>
    </w:p>
    <w:p w14:paraId="6198D858">
      <w:pPr>
        <w:numPr>
          <w:ilvl w:val="0"/>
          <w:numId w:val="18"/>
        </w:numPr>
        <w:spacing w:line="560" w:lineRule="exact"/>
        <w:rPr>
          <w:rFonts w:ascii="仿宋_GB2312" w:eastAsia="仿宋_GB2312" w:cs="仿宋_GB2312"/>
          <w:sz w:val="32"/>
          <w:szCs w:val="32"/>
          <w:lang w:bidi="ar"/>
        </w:rPr>
      </w:pPr>
      <w:r>
        <w:rPr>
          <w:rFonts w:hint="eastAsia" w:ascii="仿宋_GB2312" w:eastAsia="仿宋_GB2312"/>
          <w:sz w:val="32"/>
          <w:szCs w:val="32"/>
        </w:rPr>
        <w:t>实现数据与业务应用的分流，支持惰性数据与活跃数据分离、生产数据利用（报表统计、生产看板等）与业务过程分离。</w:t>
      </w:r>
    </w:p>
    <w:p w14:paraId="6AE9C5C3">
      <w:pPr>
        <w:pStyle w:val="19"/>
        <w:numPr>
          <w:ilvl w:val="2"/>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身份鉴别</w:t>
      </w:r>
    </w:p>
    <w:p w14:paraId="6E3AFB9E">
      <w:pPr>
        <w:numPr>
          <w:ilvl w:val="0"/>
          <w:numId w:val="20"/>
        </w:numPr>
        <w:spacing w:line="560" w:lineRule="exact"/>
        <w:rPr>
          <w:rFonts w:ascii="仿宋_GB2312" w:eastAsia="仿宋_GB2312" w:cs="仿宋_GB2312"/>
          <w:sz w:val="32"/>
          <w:szCs w:val="32"/>
          <w:lang w:bidi="ar"/>
        </w:rPr>
      </w:pPr>
      <w:r>
        <w:rPr>
          <w:rFonts w:hint="eastAsia" w:ascii="仿宋_GB2312" w:eastAsia="仿宋_GB2312"/>
          <w:sz w:val="32"/>
          <w:szCs w:val="32"/>
        </w:rPr>
        <w:t>支持与第三方身份鉴别系统的集成，实现用户身份的统一管理和统一认证及数据访问身份鉴别。</w:t>
      </w:r>
    </w:p>
    <w:p w14:paraId="35620E6D">
      <w:pPr>
        <w:numPr>
          <w:ilvl w:val="0"/>
          <w:numId w:val="20"/>
        </w:numPr>
        <w:spacing w:line="560" w:lineRule="exact"/>
        <w:rPr>
          <w:rFonts w:ascii="仿宋_GB2312" w:eastAsia="仿宋_GB2312"/>
          <w:sz w:val="32"/>
          <w:szCs w:val="32"/>
        </w:rPr>
      </w:pPr>
      <w:r>
        <w:rPr>
          <w:rFonts w:hint="eastAsia" w:ascii="仿宋_GB2312" w:eastAsia="仿宋_GB2312"/>
          <w:sz w:val="32"/>
          <w:szCs w:val="32"/>
        </w:rPr>
        <w:t>自行管理用户具有用户信息同步能力；支持标准的Token</w:t>
      </w:r>
      <w:r>
        <w:rPr>
          <w:rFonts w:ascii="仿宋_GB2312" w:eastAsia="仿宋_GB2312"/>
          <w:sz w:val="32"/>
          <w:szCs w:val="32"/>
        </w:rPr>
        <w:t>(Security Token</w:t>
      </w:r>
      <w:r>
        <w:rPr>
          <w:rFonts w:hint="eastAsia" w:ascii="仿宋_GB2312" w:eastAsia="仿宋_GB2312"/>
          <w:sz w:val="32"/>
          <w:szCs w:val="32"/>
        </w:rPr>
        <w:t>,安全令牌)、CAS（Central Authentication Service，中央认证服务）、OAuth</w:t>
      </w:r>
      <w:r>
        <w:rPr>
          <w:rFonts w:hint="eastAsia" w:ascii="仿宋_GB2312" w:eastAsia="仿宋_GB2312"/>
          <w:sz w:val="32"/>
          <w:szCs w:val="32"/>
          <w:lang w:val="en-US" w:eastAsia="zh-CN"/>
        </w:rPr>
        <w:t xml:space="preserve"> </w:t>
      </w:r>
      <w:r>
        <w:rPr>
          <w:rFonts w:hint="eastAsia" w:ascii="仿宋_GB2312" w:eastAsia="仿宋_GB2312"/>
          <w:sz w:val="32"/>
          <w:szCs w:val="32"/>
        </w:rPr>
        <w:t>2.0（Open Authorization，开放授权2.0版）等协议。</w:t>
      </w:r>
    </w:p>
    <w:p w14:paraId="7D87780B">
      <w:pPr>
        <w:numPr>
          <w:ilvl w:val="0"/>
          <w:numId w:val="20"/>
        </w:numPr>
        <w:spacing w:line="560" w:lineRule="exact"/>
        <w:rPr>
          <w:rFonts w:ascii="仿宋_GB2312" w:eastAsia="仿宋_GB2312"/>
          <w:sz w:val="32"/>
          <w:szCs w:val="32"/>
        </w:rPr>
      </w:pPr>
      <w:r>
        <w:rPr>
          <w:rFonts w:hint="eastAsia" w:ascii="仿宋_GB2312" w:eastAsia="仿宋_GB2312"/>
          <w:sz w:val="32"/>
          <w:szCs w:val="32"/>
        </w:rPr>
        <w:t>支持基于用户和角色的权限控制，能够对用户和角色设置访问权限。</w:t>
      </w:r>
    </w:p>
    <w:p w14:paraId="13526ACB">
      <w:pPr>
        <w:pStyle w:val="19"/>
        <w:numPr>
          <w:ilvl w:val="2"/>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系统框架</w:t>
      </w:r>
    </w:p>
    <w:p w14:paraId="0991C1BC">
      <w:pPr>
        <w:numPr>
          <w:ilvl w:val="0"/>
          <w:numId w:val="21"/>
        </w:numPr>
        <w:spacing w:line="560" w:lineRule="exact"/>
        <w:rPr>
          <w:rFonts w:ascii="仿宋_GB2312" w:eastAsia="仿宋_GB2312"/>
          <w:sz w:val="32"/>
          <w:szCs w:val="32"/>
        </w:rPr>
      </w:pPr>
      <w:r>
        <w:rPr>
          <w:rFonts w:hint="eastAsia" w:ascii="仿宋_GB2312" w:eastAsia="仿宋_GB2312"/>
          <w:sz w:val="32"/>
          <w:szCs w:val="32"/>
        </w:rPr>
        <w:t>系统前、后端采用主流的技术框架，前端和后端必须分离为两个独立的系统，客户端支持主流的</w:t>
      </w:r>
      <w:r>
        <w:rPr>
          <w:rFonts w:ascii="仿宋_GB2312" w:eastAsia="仿宋_GB2312"/>
          <w:sz w:val="32"/>
          <w:szCs w:val="32"/>
        </w:rPr>
        <w:t>PC</w:t>
      </w:r>
      <w:r>
        <w:rPr>
          <w:rFonts w:hint="eastAsia" w:ascii="仿宋_GB2312" w:eastAsia="仿宋_GB2312"/>
          <w:sz w:val="32"/>
          <w:szCs w:val="32"/>
        </w:rPr>
        <w:t>终端；客户端应基于B/S架构，无需安装额外插件。</w:t>
      </w:r>
    </w:p>
    <w:p w14:paraId="100CF67B">
      <w:pPr>
        <w:numPr>
          <w:ilvl w:val="0"/>
          <w:numId w:val="21"/>
        </w:numPr>
        <w:spacing w:line="560" w:lineRule="exact"/>
        <w:rPr>
          <w:rFonts w:ascii="仿宋_GB2312" w:eastAsia="仿宋_GB2312"/>
          <w:sz w:val="32"/>
          <w:szCs w:val="32"/>
        </w:rPr>
      </w:pPr>
      <w:r>
        <w:rPr>
          <w:rFonts w:hint="eastAsia" w:ascii="仿宋_GB2312" w:eastAsia="仿宋_GB2312"/>
          <w:sz w:val="32"/>
          <w:szCs w:val="32"/>
        </w:rPr>
        <w:t>采用微服务架构，将各功能模块设计为基于统一底层平台的标准业务组件，支持独立部署与松耦合运行。采用组件化结构，确保各个组件能够独立运行，并通过标准化的接口无缝对接，具备服务注册发现功能。每个功能组件在功能上保持独立，这些组件可以灵活配置与组合，业务和开发人员可根据应用场景，增加或减少系统应用，方便系统的平滑升级与扩展。</w:t>
      </w:r>
    </w:p>
    <w:p w14:paraId="4ECC830E">
      <w:pPr>
        <w:pStyle w:val="19"/>
        <w:numPr>
          <w:ilvl w:val="2"/>
          <w:numId w:val="2"/>
        </w:numPr>
        <w:adjustRightInd w:val="0"/>
        <w:snapToGrid w:val="0"/>
        <w:spacing w:line="560" w:lineRule="exact"/>
        <w:contextualSpacing w:val="0"/>
        <w:outlineLvl w:val="2"/>
        <w:rPr>
          <w:rFonts w:ascii="Times New Roman" w:hAnsi="Times New Roman"/>
        </w:rPr>
      </w:pPr>
      <w:r>
        <w:rPr>
          <w:rFonts w:hint="eastAsia" w:ascii="仿宋_GB2312" w:eastAsia="仿宋_GB2312" w:cs="仿宋_GB2312"/>
          <w:b/>
          <w:bCs/>
          <w:sz w:val="32"/>
          <w:szCs w:val="32"/>
          <w:lang w:bidi="ar"/>
        </w:rPr>
        <w:t>授权要求</w:t>
      </w:r>
    </w:p>
    <w:p w14:paraId="41B2147E">
      <w:pPr>
        <w:numPr>
          <w:ilvl w:val="0"/>
          <w:numId w:val="22"/>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招标方可依据自身实际生产制造场地数量、业务规模复杂性以及数据隔离需求，自行决定在各场所独立部署该系统的套数。</w:t>
      </w:r>
    </w:p>
    <w:p w14:paraId="355DEB4B">
      <w:pPr>
        <w:numPr>
          <w:ilvl w:val="0"/>
          <w:numId w:val="22"/>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支持无用户数量、终端节点数量限制的永久许可模式，不对功能模块与用户数进行约束，满足招标方多岗位的并发操作需求，避免用户规模增长导致的访问受限。开发环境同样满足此种无限制模式。</w:t>
      </w:r>
    </w:p>
    <w:p w14:paraId="00202C4B">
      <w:pPr>
        <w:numPr>
          <w:ilvl w:val="0"/>
          <w:numId w:val="22"/>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招标方新增生产相关硬件设备（包含不限于扫码枪、</w:t>
      </w:r>
      <w:r>
        <w:rPr>
          <w:rFonts w:hint="eastAsia" w:ascii="仿宋_GB2312" w:eastAsia="仿宋_GB2312" w:cs="仿宋_GB2312"/>
          <w:sz w:val="32"/>
          <w:szCs w:val="32"/>
          <w:lang w:val="en-US" w:eastAsia="zh-CN" w:bidi="ar"/>
        </w:rPr>
        <w:t>有线</w:t>
      </w:r>
      <w:r>
        <w:rPr>
          <w:rFonts w:hint="eastAsia" w:ascii="仿宋_GB2312" w:eastAsia="仿宋_GB2312" w:cs="仿宋_GB2312"/>
          <w:sz w:val="32"/>
          <w:szCs w:val="32"/>
          <w:lang w:bidi="ar"/>
        </w:rPr>
        <w:t>PDA、条码扫描器、AGV机器人、履历系统、亮灯货架、SMT设备、试验设备等）接入MES系统时，不受接入数量限制。</w:t>
      </w:r>
    </w:p>
    <w:p w14:paraId="169DB398">
      <w:pPr>
        <w:numPr>
          <w:ilvl w:val="0"/>
          <w:numId w:val="22"/>
        </w:numPr>
        <w:spacing w:line="560" w:lineRule="exact"/>
        <w:rPr>
          <w:rFonts w:ascii="仿宋_GB2312" w:eastAsia="仿宋_GB2312"/>
          <w:sz w:val="32"/>
          <w:szCs w:val="32"/>
          <w:highlight w:val="none"/>
        </w:rPr>
      </w:pPr>
      <w:r>
        <w:rPr>
          <w:rFonts w:hint="eastAsia" w:ascii="仿宋" w:hAnsi="仿宋" w:eastAsia="仿宋" w:cs="仿宋"/>
          <w:b/>
          <w:bCs/>
          <w:sz w:val="32"/>
          <w:highlight w:val="none"/>
        </w:rPr>
        <w:t>▲</w:t>
      </w:r>
      <w:r>
        <w:rPr>
          <w:rFonts w:hint="eastAsia" w:ascii="仿宋_GB2312" w:eastAsia="仿宋_GB2312"/>
          <w:sz w:val="32"/>
          <w:szCs w:val="32"/>
          <w:highlight w:val="none"/>
        </w:rPr>
        <w:t>系统应不限制License数量，不限制License使用期限，不限制License的部署套数。</w:t>
      </w:r>
    </w:p>
    <w:p w14:paraId="4F67650E">
      <w:pPr>
        <w:numPr>
          <w:ilvl w:val="0"/>
          <w:numId w:val="22"/>
        </w:numPr>
        <w:spacing w:line="560" w:lineRule="exact"/>
        <w:rPr>
          <w:rFonts w:ascii="仿宋_GB2312" w:eastAsia="仿宋_GB2312"/>
          <w:sz w:val="32"/>
          <w:szCs w:val="32"/>
          <w:highlight w:val="none"/>
        </w:rPr>
      </w:pPr>
      <w:r>
        <w:rPr>
          <w:rFonts w:hint="eastAsia" w:ascii="仿宋_GB2312" w:eastAsia="仿宋_GB2312" w:cs="仿宋_GB2312"/>
          <w:b/>
          <w:bCs/>
          <w:sz w:val="32"/>
          <w:szCs w:val="32"/>
          <w:highlight w:val="none"/>
          <w:lang w:bidi="ar"/>
        </w:rPr>
        <w:t>★</w:t>
      </w:r>
      <w:r>
        <w:rPr>
          <w:rFonts w:hint="eastAsia" w:ascii="仿宋_GB2312" w:eastAsia="仿宋_GB2312"/>
          <w:sz w:val="32"/>
          <w:szCs w:val="32"/>
          <w:highlight w:val="none"/>
        </w:rPr>
        <w:t>开发环境涉及的软件License需单独配置，确保开发过程中无授权限制。</w:t>
      </w:r>
    </w:p>
    <w:p w14:paraId="67F1BF7E">
      <w:pPr>
        <w:pStyle w:val="19"/>
        <w:numPr>
          <w:ilvl w:val="2"/>
          <w:numId w:val="2"/>
        </w:numPr>
        <w:adjustRightInd w:val="0"/>
        <w:snapToGrid w:val="0"/>
        <w:spacing w:line="560" w:lineRule="exact"/>
        <w:contextualSpacing w:val="0"/>
        <w:rPr>
          <w:rFonts w:ascii="仿宋_GB2312" w:eastAsia="仿宋_GB2312" w:cs="仿宋_GB2312"/>
          <w:b/>
          <w:bCs/>
          <w:sz w:val="32"/>
          <w:szCs w:val="32"/>
          <w:highlight w:val="none"/>
          <w:lang w:bidi="ar"/>
        </w:rPr>
      </w:pPr>
      <w:r>
        <w:rPr>
          <w:rFonts w:hint="eastAsia" w:ascii="仿宋_GB2312" w:eastAsia="仿宋_GB2312" w:cs="仿宋_GB2312"/>
          <w:b/>
          <w:bCs/>
          <w:sz w:val="32"/>
          <w:szCs w:val="32"/>
          <w:highlight w:val="none"/>
          <w:lang w:bidi="ar"/>
        </w:rPr>
        <w:t>人机界面要求</w:t>
      </w:r>
    </w:p>
    <w:p w14:paraId="59353E25">
      <w:pPr>
        <w:numPr>
          <w:ilvl w:val="0"/>
          <w:numId w:val="23"/>
        </w:numPr>
        <w:spacing w:line="560" w:lineRule="exact"/>
        <w:rPr>
          <w:rFonts w:ascii="仿宋_GB2312" w:eastAsia="仿宋_GB2312"/>
          <w:sz w:val="32"/>
          <w:szCs w:val="32"/>
          <w:highlight w:val="none"/>
        </w:rPr>
      </w:pPr>
      <w:r>
        <w:rPr>
          <w:rFonts w:hint="eastAsia" w:ascii="仿宋_GB2312" w:eastAsia="仿宋_GB2312"/>
          <w:sz w:val="32"/>
          <w:szCs w:val="32"/>
          <w:highlight w:val="none"/>
        </w:rPr>
        <w:t>界面布局合理，人机界面友好，方便使用人员操作。</w:t>
      </w:r>
    </w:p>
    <w:p w14:paraId="0AA28448">
      <w:pPr>
        <w:numPr>
          <w:ilvl w:val="0"/>
          <w:numId w:val="23"/>
        </w:numPr>
        <w:spacing w:line="560" w:lineRule="exact"/>
        <w:rPr>
          <w:rFonts w:ascii="仿宋_GB2312" w:eastAsia="仿宋_GB2312"/>
          <w:sz w:val="32"/>
          <w:szCs w:val="32"/>
          <w:highlight w:val="none"/>
        </w:rPr>
      </w:pPr>
      <w:r>
        <w:rPr>
          <w:rFonts w:hint="eastAsia" w:ascii="仿宋_GB2312" w:eastAsia="仿宋_GB2312"/>
          <w:sz w:val="32"/>
          <w:szCs w:val="32"/>
          <w:highlight w:val="none"/>
        </w:rPr>
        <w:t>对编辑输入具有数据类型、值范围等合法性检查功能。</w:t>
      </w:r>
    </w:p>
    <w:p w14:paraId="68D23289">
      <w:pPr>
        <w:pStyle w:val="19"/>
        <w:numPr>
          <w:ilvl w:val="1"/>
          <w:numId w:val="2"/>
        </w:numPr>
        <w:adjustRightInd w:val="0"/>
        <w:snapToGrid w:val="0"/>
        <w:spacing w:line="560" w:lineRule="exact"/>
        <w:contextualSpacing w:val="0"/>
        <w:rPr>
          <w:rFonts w:ascii="仿宋_GB2312" w:eastAsia="仿宋_GB2312" w:cs="仿宋_GB2312"/>
          <w:b/>
          <w:bCs/>
          <w:sz w:val="32"/>
          <w:szCs w:val="32"/>
          <w:highlight w:val="none"/>
          <w:lang w:bidi="ar"/>
        </w:rPr>
      </w:pPr>
      <w:r>
        <w:rPr>
          <w:rFonts w:hint="eastAsia" w:ascii="仿宋_GB2312" w:eastAsia="仿宋_GB2312" w:cs="仿宋_GB2312"/>
          <w:b/>
          <w:bCs/>
          <w:sz w:val="32"/>
          <w:szCs w:val="32"/>
          <w:highlight w:val="none"/>
          <w:lang w:bidi="ar"/>
        </w:rPr>
        <w:t>系统集成要求</w:t>
      </w:r>
    </w:p>
    <w:p w14:paraId="327920B3">
      <w:pPr>
        <w:numPr>
          <w:ilvl w:val="0"/>
          <w:numId w:val="24"/>
        </w:numPr>
        <w:spacing w:line="560" w:lineRule="exact"/>
        <w:rPr>
          <w:rFonts w:ascii="仿宋_GB2312" w:eastAsia="仿宋_GB2312" w:cs="仿宋_GB2312"/>
          <w:sz w:val="32"/>
          <w:szCs w:val="32"/>
          <w:highlight w:val="none"/>
          <w:lang w:bidi="ar"/>
        </w:rPr>
      </w:pPr>
      <w:r>
        <w:rPr>
          <w:rFonts w:hint="eastAsia" w:ascii="仿宋_GB2312" w:eastAsia="仿宋_GB2312" w:cs="仿宋_GB2312"/>
          <w:b/>
          <w:bCs/>
          <w:sz w:val="32"/>
          <w:szCs w:val="32"/>
          <w:highlight w:val="none"/>
          <w:lang w:bidi="ar"/>
        </w:rPr>
        <w:t>★</w:t>
      </w:r>
      <w:r>
        <w:rPr>
          <w:rFonts w:hint="eastAsia" w:ascii="仿宋_GB2312" w:eastAsia="仿宋_GB2312" w:cs="仿宋_GB2312"/>
          <w:sz w:val="32"/>
          <w:szCs w:val="32"/>
          <w:highlight w:val="none"/>
          <w:lang w:bidi="ar"/>
        </w:rPr>
        <w:t>信息系统间的集成：与招标方建设的系统进行集成打通,实现业务流程、数据的集成打通，包括但不限于ERP、WMS、OA、MDM、QMS、TC、数字化工艺、软件生命周期管理软件等。</w:t>
      </w:r>
    </w:p>
    <w:p w14:paraId="4326ABD1">
      <w:pPr>
        <w:numPr>
          <w:ilvl w:val="0"/>
          <w:numId w:val="24"/>
        </w:numPr>
        <w:spacing w:line="560" w:lineRule="exact"/>
        <w:rPr>
          <w:rFonts w:ascii="仿宋_GB2312" w:eastAsia="仿宋_GB2312" w:cs="仿宋_GB2312"/>
          <w:sz w:val="32"/>
          <w:szCs w:val="32"/>
          <w:lang w:bidi="ar"/>
        </w:rPr>
      </w:pPr>
      <w:r>
        <w:rPr>
          <w:rFonts w:hint="eastAsia" w:ascii="仿宋" w:hAnsi="仿宋" w:eastAsia="仿宋" w:cs="仿宋"/>
          <w:b/>
          <w:bCs/>
          <w:sz w:val="32"/>
          <w:highlight w:val="none"/>
        </w:rPr>
        <w:t>▲</w:t>
      </w:r>
      <w:r>
        <w:rPr>
          <w:rFonts w:hint="eastAsia" w:ascii="仿宋_GB2312" w:eastAsia="仿宋_GB2312" w:cs="仿宋_GB2312"/>
          <w:sz w:val="32"/>
          <w:szCs w:val="32"/>
          <w:highlight w:val="none"/>
          <w:lang w:bidi="ar"/>
        </w:rPr>
        <w:t>数据集成：所有物料、供应商、客户等主数据必须与招标方要求保持</w:t>
      </w:r>
      <w:r>
        <w:rPr>
          <w:rFonts w:hint="eastAsia" w:ascii="仿宋_GB2312" w:eastAsia="仿宋_GB2312" w:cs="仿宋_GB2312"/>
          <w:sz w:val="32"/>
          <w:szCs w:val="32"/>
          <w:lang w:bidi="ar"/>
        </w:rPr>
        <w:t>一致，不得自建异构编码。</w:t>
      </w:r>
    </w:p>
    <w:p w14:paraId="7D1A51DB">
      <w:pPr>
        <w:pStyle w:val="19"/>
        <w:numPr>
          <w:ilvl w:val="1"/>
          <w:numId w:val="2"/>
        </w:numPr>
        <w:adjustRightInd w:val="0"/>
        <w:snapToGrid w:val="0"/>
        <w:spacing w:line="560" w:lineRule="exact"/>
        <w:contextualSpacing w:val="0"/>
        <w:outlineLvl w:val="1"/>
        <w:rPr>
          <w:rFonts w:ascii="仿宋_GB2312" w:eastAsia="仿宋_GB2312" w:cs="仿宋_GB2312"/>
          <w:b/>
          <w:bCs/>
          <w:sz w:val="32"/>
          <w:szCs w:val="32"/>
          <w:lang w:bidi="ar"/>
        </w:rPr>
      </w:pPr>
      <w:r>
        <w:rPr>
          <w:rFonts w:hint="eastAsia" w:ascii="仿宋_GB2312" w:eastAsia="仿宋_GB2312" w:cs="仿宋_GB2312"/>
          <w:b/>
          <w:bCs/>
          <w:sz w:val="32"/>
          <w:szCs w:val="32"/>
          <w:lang w:bidi="ar"/>
        </w:rPr>
        <w:t>建设周期</w:t>
      </w:r>
    </w:p>
    <w:p w14:paraId="321F49C0">
      <w:pPr>
        <w:pStyle w:val="20"/>
        <w:spacing w:line="560" w:lineRule="exact"/>
        <w:ind w:firstLine="640"/>
        <w:rPr>
          <w:rFonts w:ascii="仿宋_GB2312" w:eastAsia="仿宋_GB2312" w:cs="仿宋_GB2312"/>
          <w:sz w:val="32"/>
          <w:szCs w:val="32"/>
          <w:lang w:bidi="ar"/>
        </w:rPr>
      </w:pPr>
      <w:r>
        <w:rPr>
          <w:rFonts w:hint="eastAsia" w:ascii="仿宋_GB2312" w:eastAsia="仿宋_GB2312" w:cs="仿宋_GB2312"/>
          <w:sz w:val="32"/>
          <w:szCs w:val="32"/>
          <w:lang w:bidi="ar"/>
        </w:rPr>
        <w:t>具体实施计划以实际为准，需满足的里程碑节点为2026/1/</w:t>
      </w:r>
      <w:r>
        <w:rPr>
          <w:rFonts w:hint="eastAsia" w:ascii="仿宋_GB2312" w:eastAsia="仿宋_GB2312" w:cs="仿宋_GB2312"/>
          <w:sz w:val="32"/>
          <w:szCs w:val="32"/>
          <w:lang w:eastAsia="zh" w:bidi="ar"/>
        </w:rPr>
        <w:t>3</w:t>
      </w:r>
      <w:r>
        <w:rPr>
          <w:rFonts w:hint="eastAsia" w:ascii="仿宋_GB2312" w:eastAsia="仿宋_GB2312" w:cs="仿宋_GB2312"/>
          <w:sz w:val="32"/>
          <w:szCs w:val="32"/>
          <w:lang w:bidi="ar"/>
        </w:rPr>
        <w:t>1前完成蓝图设计，2026/</w:t>
      </w:r>
      <w:r>
        <w:rPr>
          <w:rFonts w:hint="eastAsia" w:ascii="仿宋_GB2312" w:eastAsia="仿宋_GB2312" w:cs="仿宋_GB2312"/>
          <w:sz w:val="32"/>
          <w:szCs w:val="32"/>
          <w:lang w:val="en-US" w:eastAsia="zh-CN" w:bidi="ar"/>
        </w:rPr>
        <w:t>8</w:t>
      </w:r>
      <w:r>
        <w:rPr>
          <w:rFonts w:hint="eastAsia" w:ascii="仿宋_GB2312" w:eastAsia="仿宋_GB2312" w:cs="仿宋_GB2312"/>
          <w:sz w:val="32"/>
          <w:szCs w:val="32"/>
          <w:lang w:bidi="ar"/>
        </w:rPr>
        <w:t>/31前达到系统上线运行状态，2026/</w:t>
      </w:r>
      <w:r>
        <w:rPr>
          <w:rFonts w:hint="eastAsia" w:ascii="仿宋_GB2312" w:eastAsia="仿宋_GB2312" w:cs="仿宋_GB2312"/>
          <w:sz w:val="32"/>
          <w:szCs w:val="32"/>
          <w:lang w:eastAsia="zh" w:bidi="ar"/>
        </w:rPr>
        <w:t>1</w:t>
      </w:r>
      <w:r>
        <w:rPr>
          <w:rFonts w:hint="eastAsia" w:ascii="仿宋_GB2312" w:eastAsia="仿宋_GB2312" w:cs="仿宋_GB2312"/>
          <w:sz w:val="32"/>
          <w:szCs w:val="32"/>
          <w:lang w:bidi="ar"/>
        </w:rPr>
        <w:t>0/</w:t>
      </w:r>
      <w:r>
        <w:rPr>
          <w:rFonts w:hint="eastAsia" w:ascii="仿宋_GB2312" w:eastAsia="仿宋_GB2312" w:cs="仿宋_GB2312"/>
          <w:sz w:val="32"/>
          <w:szCs w:val="32"/>
          <w:lang w:eastAsia="zh" w:bidi="ar"/>
        </w:rPr>
        <w:t>3</w:t>
      </w:r>
      <w:r>
        <w:rPr>
          <w:rFonts w:hint="eastAsia" w:ascii="仿宋_GB2312" w:eastAsia="仿宋_GB2312" w:cs="仿宋_GB2312"/>
          <w:sz w:val="32"/>
          <w:szCs w:val="32"/>
          <w:lang w:bidi="ar"/>
        </w:rPr>
        <w:t>1前完成项目验收。</w:t>
      </w:r>
    </w:p>
    <w:p w14:paraId="0672D8A4">
      <w:pPr>
        <w:pStyle w:val="19"/>
        <w:numPr>
          <w:ilvl w:val="0"/>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安全保密要求</w:t>
      </w:r>
    </w:p>
    <w:p w14:paraId="6A2A7DC9">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总体要求</w:t>
      </w:r>
    </w:p>
    <w:p w14:paraId="48C186D8">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应用系统应当严格按照国家网络安全等级保护三级标准相关要求，编制建设方案</w:t>
      </w:r>
      <w:r>
        <w:rPr>
          <w:rFonts w:ascii="仿宋_GB2312" w:eastAsia="仿宋_GB2312" w:cs="仿宋_GB2312"/>
          <w:sz w:val="32"/>
          <w:szCs w:val="32"/>
          <w:lang w:bidi="ar"/>
        </w:rPr>
        <w:t>并实现相应安全防护功能</w:t>
      </w:r>
      <w:r>
        <w:rPr>
          <w:rFonts w:hint="eastAsia" w:ascii="仿宋_GB2312" w:eastAsia="仿宋_GB2312" w:cs="仿宋_GB2312"/>
          <w:sz w:val="32"/>
          <w:szCs w:val="32"/>
          <w:lang w:bidi="ar"/>
        </w:rPr>
        <w:t>。</w:t>
      </w:r>
    </w:p>
    <w:p w14:paraId="2882E42E">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安全产品适配</w:t>
      </w:r>
    </w:p>
    <w:p w14:paraId="6C14082A">
      <w:pPr>
        <w:pStyle w:val="13"/>
        <w:spacing w:after="0" w:line="560" w:lineRule="exact"/>
        <w:ind w:left="0" w:firstLine="640" w:firstLineChars="200"/>
        <w:rPr>
          <w:rFonts w:ascii="仿宋_GB2312" w:eastAsia="仿宋_GB2312" w:cs="仿宋_GB2312"/>
          <w:kern w:val="2"/>
          <w:sz w:val="32"/>
          <w:szCs w:val="32"/>
          <w:lang w:val="en-US" w:eastAsia="zh-CN" w:bidi="ar"/>
        </w:rPr>
      </w:pPr>
      <w:r>
        <w:rPr>
          <w:rFonts w:hint="eastAsia" w:ascii="仿宋_GB2312" w:eastAsia="仿宋_GB2312" w:cs="仿宋_GB2312"/>
          <w:kern w:val="2"/>
          <w:sz w:val="32"/>
          <w:szCs w:val="32"/>
          <w:lang w:val="en-US" w:eastAsia="zh-CN" w:bidi="ar"/>
        </w:rPr>
        <w:t>应支持国产化部署，与招标方现有安全产品适配，不会影响到系统的功能和性能，并支持安装招标方现有的所有安全产品。服务器端操作系统是Windows系列的，应支持安装招标方现有的所有安全产品；服务器端操作系统是Linux系列的，应至少支持安装招标方现有的防病毒软件；服务器端操作系统是其他操作系统的，应当配合招标方开展安全产品适配工作。</w:t>
      </w:r>
    </w:p>
    <w:p w14:paraId="375C1A38">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★权限设置</w:t>
      </w:r>
    </w:p>
    <w:p w14:paraId="19684AB9">
      <w:pPr>
        <w:numPr>
          <w:ilvl w:val="0"/>
          <w:numId w:val="25"/>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管理员应按</w:t>
      </w:r>
      <w:r>
        <w:rPr>
          <w:rFonts w:ascii="仿宋_GB2312" w:eastAsia="仿宋_GB2312" w:cs="仿宋_GB2312"/>
          <w:sz w:val="32"/>
          <w:szCs w:val="32"/>
          <w:lang w:bidi="ar"/>
        </w:rPr>
        <w:t>照安全保密管理规定要求分别设置</w:t>
      </w:r>
      <w:r>
        <w:rPr>
          <w:rFonts w:hint="eastAsia" w:ascii="仿宋_GB2312" w:eastAsia="仿宋_GB2312" w:cs="仿宋_GB2312"/>
          <w:sz w:val="32"/>
          <w:szCs w:val="32"/>
          <w:lang w:bidi="ar"/>
        </w:rPr>
        <w:t>“三员”（系统管理员、安全保密管理员、安全审计员）</w:t>
      </w:r>
      <w:r>
        <w:rPr>
          <w:rFonts w:ascii="仿宋_GB2312" w:eastAsia="仿宋_GB2312" w:cs="仿宋_GB2312"/>
          <w:sz w:val="32"/>
          <w:szCs w:val="32"/>
          <w:lang w:bidi="ar"/>
        </w:rPr>
        <w:t>的权限</w:t>
      </w:r>
      <w:r>
        <w:rPr>
          <w:rFonts w:hint="eastAsia" w:ascii="仿宋_GB2312" w:eastAsia="仿宋_GB2312" w:cs="仿宋_GB2312"/>
          <w:sz w:val="32"/>
          <w:szCs w:val="32"/>
          <w:lang w:bidi="ar"/>
        </w:rPr>
        <w:t>，相互独立、相互制约。</w:t>
      </w:r>
    </w:p>
    <w:p w14:paraId="2FB87C7D">
      <w:pPr>
        <w:numPr>
          <w:ilvl w:val="0"/>
          <w:numId w:val="25"/>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三员权限与业务用户权限相互独立，三员不得具有业务操作等用户权限。</w:t>
      </w:r>
    </w:p>
    <w:p w14:paraId="10A4B16A">
      <w:pPr>
        <w:numPr>
          <w:ilvl w:val="0"/>
          <w:numId w:val="25"/>
        </w:numPr>
        <w:spacing w:line="560" w:lineRule="exact"/>
        <w:ind w:left="0" w:firstLine="454"/>
        <w:rPr>
          <w:rFonts w:ascii="仿宋_GB2312" w:eastAsia="仿宋_GB2312"/>
          <w:sz w:val="32"/>
          <w:szCs w:val="32"/>
        </w:rPr>
      </w:pPr>
      <w:r>
        <w:rPr>
          <w:rFonts w:hint="eastAsia" w:ascii="仿宋_GB2312" w:eastAsia="仿宋_GB2312"/>
          <w:sz w:val="32"/>
          <w:szCs w:val="32"/>
        </w:rPr>
        <w:t>业务用户应支持细粒度的权限设置，如访问权限管控需达到页面级、按钮级及数据级的精细粒度，数据权限支持行级（如部门数据隔离）、字段级（如敏感字段隐藏）控制，不同角色的用户只能访问其权限范围内的数据。</w:t>
      </w:r>
    </w:p>
    <w:p w14:paraId="45B07493">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密码安全</w:t>
      </w:r>
    </w:p>
    <w:p w14:paraId="7E26F638">
      <w:pPr>
        <w:numPr>
          <w:ilvl w:val="0"/>
          <w:numId w:val="26"/>
        </w:numPr>
        <w:spacing w:line="560" w:lineRule="exact"/>
        <w:ind w:left="0" w:firstLine="454"/>
        <w:rPr>
          <w:rFonts w:ascii="仿宋_GB2312" w:eastAsia="仿宋_GB2312" w:cs="仿宋_GB2312"/>
          <w:sz w:val="32"/>
          <w:szCs w:val="32"/>
          <w:lang w:bidi="ar"/>
        </w:rPr>
      </w:pPr>
      <w:r>
        <w:rPr>
          <w:rFonts w:hint="eastAsia" w:ascii="仿宋_GB2312" w:eastAsia="仿宋_GB2312" w:cs="仿宋_GB2312"/>
          <w:b/>
          <w:bCs/>
          <w:sz w:val="32"/>
          <w:szCs w:val="32"/>
          <w:lang w:bidi="ar"/>
        </w:rPr>
        <w:t>▲</w:t>
      </w:r>
      <w:r>
        <w:rPr>
          <w:rFonts w:hint="eastAsia" w:ascii="仿宋_GB2312" w:eastAsia="仿宋_GB2312" w:cs="仿宋_GB2312"/>
          <w:sz w:val="32"/>
          <w:szCs w:val="32"/>
          <w:lang w:bidi="ar"/>
        </w:rPr>
        <w:t>系统支持通过账号+密码+验证码的方式进行访问。</w:t>
      </w:r>
    </w:p>
    <w:p w14:paraId="298F2CF6">
      <w:pPr>
        <w:numPr>
          <w:ilvl w:val="0"/>
          <w:numId w:val="26"/>
        </w:numPr>
        <w:spacing w:line="560" w:lineRule="exact"/>
        <w:ind w:left="0" w:firstLine="454"/>
        <w:rPr>
          <w:rFonts w:ascii="仿宋_GB2312" w:eastAsia="仿宋_GB2312" w:cs="仿宋_GB2312"/>
          <w:sz w:val="32"/>
          <w:szCs w:val="32"/>
          <w:lang w:bidi="ar"/>
        </w:rPr>
      </w:pPr>
      <w:r>
        <w:rPr>
          <w:rFonts w:hint="eastAsia" w:ascii="仿宋_GB2312" w:eastAsia="仿宋_GB2312" w:cs="仿宋_GB2312"/>
          <w:b/>
          <w:bCs/>
          <w:sz w:val="32"/>
          <w:szCs w:val="32"/>
          <w:lang w:bidi="ar"/>
        </w:rPr>
        <w:t>▲</w:t>
      </w:r>
      <w:r>
        <w:rPr>
          <w:rFonts w:hint="eastAsia" w:ascii="仿宋_GB2312" w:eastAsia="仿宋_GB2312" w:cs="仿宋_GB2312"/>
          <w:sz w:val="32"/>
          <w:szCs w:val="32"/>
          <w:lang w:bidi="ar"/>
        </w:rPr>
        <w:t>用户身份标识符只能由系统管理员统一生成，不能被其他管理员创建、修改、删除，并确保在系统中的唯一。</w:t>
      </w:r>
    </w:p>
    <w:p w14:paraId="6F986177">
      <w:pPr>
        <w:numPr>
          <w:ilvl w:val="0"/>
          <w:numId w:val="26"/>
        </w:numPr>
        <w:spacing w:line="560" w:lineRule="exact"/>
        <w:ind w:left="0" w:firstLine="454"/>
        <w:rPr>
          <w:rFonts w:ascii="仿宋_GB2312" w:eastAsia="仿宋_GB2312" w:cs="仿宋_GB2312"/>
          <w:sz w:val="32"/>
          <w:szCs w:val="32"/>
          <w:lang w:bidi="ar"/>
        </w:rPr>
      </w:pPr>
      <w:r>
        <w:rPr>
          <w:rFonts w:hint="eastAsia" w:ascii="仿宋_GB2312" w:eastAsia="仿宋_GB2312" w:cs="仿宋_GB2312"/>
          <w:b/>
          <w:bCs/>
          <w:sz w:val="32"/>
          <w:szCs w:val="32"/>
          <w:lang w:bidi="ar"/>
        </w:rPr>
        <w:t>▲</w:t>
      </w:r>
      <w:r>
        <w:rPr>
          <w:rFonts w:hint="eastAsia" w:ascii="仿宋_GB2312" w:eastAsia="仿宋_GB2312" w:cs="仿宋_GB2312"/>
          <w:sz w:val="32"/>
          <w:szCs w:val="32"/>
          <w:lang w:bidi="ar"/>
        </w:rPr>
        <w:t>应</w:t>
      </w:r>
      <w:r>
        <w:rPr>
          <w:rFonts w:ascii="仿宋_GB2312" w:eastAsia="仿宋_GB2312" w:cs="仿宋_GB2312"/>
          <w:sz w:val="32"/>
          <w:szCs w:val="32"/>
          <w:lang w:bidi="ar"/>
        </w:rPr>
        <w:t>具有</w:t>
      </w:r>
      <w:r>
        <w:rPr>
          <w:rFonts w:hint="eastAsia" w:ascii="仿宋_GB2312" w:eastAsia="仿宋_GB2312" w:cs="仿宋_GB2312"/>
          <w:sz w:val="32"/>
          <w:szCs w:val="32"/>
          <w:lang w:bidi="ar"/>
        </w:rPr>
        <w:t>用户口令长度、复杂度、更改周期、重鉴别及鉴别失败锁定</w:t>
      </w:r>
      <w:r>
        <w:rPr>
          <w:rFonts w:ascii="仿宋_GB2312" w:eastAsia="仿宋_GB2312" w:cs="仿宋_GB2312"/>
          <w:sz w:val="32"/>
          <w:szCs w:val="32"/>
          <w:lang w:bidi="ar"/>
        </w:rPr>
        <w:t>的</w:t>
      </w:r>
      <w:r>
        <w:rPr>
          <w:rFonts w:hint="eastAsia" w:ascii="仿宋_GB2312" w:eastAsia="仿宋_GB2312" w:cs="仿宋_GB2312"/>
          <w:sz w:val="32"/>
          <w:szCs w:val="32"/>
          <w:lang w:bidi="ar"/>
        </w:rPr>
        <w:t>策略</w:t>
      </w:r>
      <w:r>
        <w:rPr>
          <w:rFonts w:ascii="仿宋_GB2312" w:eastAsia="仿宋_GB2312" w:cs="仿宋_GB2312"/>
          <w:sz w:val="32"/>
          <w:szCs w:val="32"/>
          <w:lang w:bidi="ar"/>
        </w:rPr>
        <w:t>，并支持对用户</w:t>
      </w:r>
      <w:r>
        <w:rPr>
          <w:rFonts w:hint="eastAsia" w:ascii="仿宋_GB2312" w:eastAsia="仿宋_GB2312" w:cs="仿宋_GB2312"/>
          <w:sz w:val="32"/>
          <w:szCs w:val="32"/>
          <w:lang w:bidi="ar"/>
        </w:rPr>
        <w:t>进行强制设置。</w:t>
      </w:r>
    </w:p>
    <w:p w14:paraId="6C4FF5FF">
      <w:pPr>
        <w:numPr>
          <w:ilvl w:val="0"/>
          <w:numId w:val="26"/>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系统应支持空闲超时登录设置。</w:t>
      </w:r>
    </w:p>
    <w:p w14:paraId="2B37D92E">
      <w:pPr>
        <w:numPr>
          <w:ilvl w:val="0"/>
          <w:numId w:val="26"/>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应支持用户特征绑定等功能，防止因用户名和口令泄露被非授权登录。</w:t>
      </w:r>
    </w:p>
    <w:p w14:paraId="309531C9">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访问控制</w:t>
      </w:r>
    </w:p>
    <w:p w14:paraId="2734EB06">
      <w:pPr>
        <w:numPr>
          <w:ilvl w:val="0"/>
          <w:numId w:val="27"/>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应支持细粒度的访问控制策略设置，主体控制到单个用户，客体控制到信息类别。</w:t>
      </w:r>
    </w:p>
    <w:p w14:paraId="79FC1C25">
      <w:pPr>
        <w:numPr>
          <w:ilvl w:val="0"/>
          <w:numId w:val="27"/>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应支持依据业务类型、功能模块等对主体和客体进行分类，对主体访问客体进行最小授权。</w:t>
      </w:r>
    </w:p>
    <w:p w14:paraId="66C45868">
      <w:pPr>
        <w:numPr>
          <w:ilvl w:val="0"/>
          <w:numId w:val="27"/>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数据交换应符合等级保护相关</w:t>
      </w:r>
      <w:r>
        <w:rPr>
          <w:rFonts w:ascii="仿宋_GB2312" w:eastAsia="仿宋_GB2312" w:cs="仿宋_GB2312"/>
          <w:sz w:val="32"/>
          <w:szCs w:val="32"/>
          <w:lang w:bidi="ar"/>
        </w:rPr>
        <w:t>规定的</w:t>
      </w:r>
      <w:r>
        <w:rPr>
          <w:rFonts w:hint="eastAsia" w:ascii="仿宋_GB2312" w:eastAsia="仿宋_GB2312" w:cs="仿宋_GB2312"/>
          <w:sz w:val="32"/>
          <w:szCs w:val="32"/>
          <w:lang w:bidi="ar"/>
        </w:rPr>
        <w:t>权限设置及访问控制要求，禁止存在不可控的数据交换渠道。</w:t>
      </w:r>
    </w:p>
    <w:p w14:paraId="3762552D">
      <w:pPr>
        <w:numPr>
          <w:ilvl w:val="0"/>
          <w:numId w:val="27"/>
        </w:numPr>
        <w:spacing w:line="560" w:lineRule="exact"/>
        <w:ind w:left="0" w:firstLine="454"/>
        <w:rPr>
          <w:rFonts w:ascii="仿宋_GB2312" w:eastAsia="仿宋_GB2312"/>
          <w:sz w:val="32"/>
          <w:szCs w:val="32"/>
        </w:rPr>
      </w:pPr>
      <w:r>
        <w:rPr>
          <w:rFonts w:hint="eastAsia" w:ascii="仿宋_GB2312" w:eastAsia="仿宋_GB2312"/>
          <w:sz w:val="32"/>
          <w:szCs w:val="32"/>
        </w:rPr>
        <w:t>系统具备数据泄露风险防控体系，通过数据访问控制、操作审计、异常行为监测等手段，防范数据泄露风险。</w:t>
      </w:r>
    </w:p>
    <w:p w14:paraId="56D81230">
      <w:pPr>
        <w:numPr>
          <w:ilvl w:val="0"/>
          <w:numId w:val="27"/>
        </w:numPr>
        <w:spacing w:line="560" w:lineRule="exact"/>
        <w:ind w:left="0" w:firstLine="454"/>
        <w:rPr>
          <w:rFonts w:ascii="仿宋_GB2312" w:eastAsia="仿宋_GB2312"/>
          <w:sz w:val="32"/>
          <w:szCs w:val="32"/>
        </w:rPr>
      </w:pPr>
      <w:r>
        <w:rPr>
          <w:rFonts w:hint="eastAsia" w:ascii="仿宋_GB2312" w:eastAsia="仿宋_GB2312"/>
          <w:sz w:val="32"/>
          <w:szCs w:val="32"/>
        </w:rPr>
        <w:t>系统具备完善的数据访问控制措施，包括数据脱敏机制，对敏感数据（如身份证号、银行卡号、手机号等）在展示、传输和存储过程中进行脱敏处理，如部分字符用 * 代替。</w:t>
      </w:r>
    </w:p>
    <w:p w14:paraId="4B314A9B">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安全审计</w:t>
      </w:r>
    </w:p>
    <w:p w14:paraId="6073A8DB">
      <w:pPr>
        <w:numPr>
          <w:ilvl w:val="0"/>
          <w:numId w:val="28"/>
        </w:numPr>
        <w:spacing w:line="560" w:lineRule="exact"/>
        <w:ind w:left="0" w:firstLine="454"/>
        <w:rPr>
          <w:rFonts w:ascii="仿宋_GB2312" w:eastAsia="仿宋_GB2312" w:cs="仿宋_GB2312"/>
          <w:sz w:val="32"/>
          <w:szCs w:val="32"/>
          <w:lang w:bidi="ar"/>
        </w:rPr>
      </w:pPr>
      <w:r>
        <w:rPr>
          <w:rFonts w:hint="eastAsia" w:ascii="仿宋_GB2312" w:eastAsia="仿宋_GB2312" w:cs="仿宋_GB2312"/>
          <w:b/>
          <w:bCs/>
          <w:sz w:val="32"/>
          <w:szCs w:val="32"/>
          <w:lang w:bidi="ar"/>
        </w:rPr>
        <w:t>★</w:t>
      </w:r>
      <w:r>
        <w:rPr>
          <w:rFonts w:hint="eastAsia" w:ascii="仿宋_GB2312" w:eastAsia="仿宋_GB2312" w:cs="仿宋_GB2312"/>
          <w:sz w:val="32"/>
          <w:szCs w:val="32"/>
          <w:lang w:bidi="ar"/>
        </w:rPr>
        <w:t>应具备完善的日志审计功能，能够较为便捷地审计事件发生的时间、地点、类型、主体、客体和结果（成功或失败）等。</w:t>
      </w:r>
    </w:p>
    <w:p w14:paraId="00E09786">
      <w:pPr>
        <w:numPr>
          <w:ilvl w:val="0"/>
          <w:numId w:val="28"/>
        </w:numPr>
        <w:spacing w:line="560" w:lineRule="exact"/>
        <w:ind w:left="0" w:firstLine="454"/>
        <w:rPr>
          <w:rFonts w:ascii="仿宋_GB2312" w:eastAsia="仿宋_GB2312" w:cs="仿宋_GB2312"/>
          <w:sz w:val="32"/>
          <w:szCs w:val="32"/>
          <w:highlight w:val="none"/>
          <w:lang w:bidi="ar"/>
        </w:rPr>
      </w:pPr>
      <w:r>
        <w:rPr>
          <w:rFonts w:hint="eastAsia" w:cs="仿宋"/>
          <w:b/>
          <w:sz w:val="32"/>
          <w:highlight w:val="none"/>
        </w:rPr>
        <w:t>▲</w:t>
      </w:r>
      <w:r>
        <w:rPr>
          <w:rFonts w:hint="eastAsia" w:ascii="仿宋_GB2312" w:eastAsia="仿宋_GB2312" w:cs="仿宋_GB2312"/>
          <w:sz w:val="32"/>
          <w:szCs w:val="32"/>
          <w:highlight w:val="none"/>
          <w:lang w:bidi="ar"/>
        </w:rPr>
        <w:t>审计功能必须强制开启且不可关闭，审计日志至少应包含用户增加、修改、删除，用户权限变更，“三员”的操作行为，用户操作行为，其它与系统安全有关的事件或专门定义的可审计事件。</w:t>
      </w:r>
    </w:p>
    <w:p w14:paraId="59DCFE3C">
      <w:pPr>
        <w:numPr>
          <w:ilvl w:val="0"/>
          <w:numId w:val="28"/>
        </w:numPr>
        <w:spacing w:line="560" w:lineRule="exact"/>
        <w:ind w:left="0" w:firstLine="454"/>
        <w:rPr>
          <w:rFonts w:ascii="仿宋_GB2312" w:eastAsia="仿宋_GB2312" w:cs="仿宋_GB2312"/>
          <w:sz w:val="32"/>
          <w:szCs w:val="32"/>
          <w:highlight w:val="none"/>
          <w:lang w:bidi="ar"/>
        </w:rPr>
      </w:pPr>
      <w:r>
        <w:rPr>
          <w:rFonts w:hint="eastAsia" w:ascii="仿宋_GB2312" w:eastAsia="仿宋_GB2312" w:cs="仿宋_GB2312"/>
          <w:b/>
          <w:bCs/>
          <w:sz w:val="32"/>
          <w:szCs w:val="32"/>
          <w:highlight w:val="none"/>
          <w:lang w:bidi="ar"/>
        </w:rPr>
        <w:t>★</w:t>
      </w:r>
      <w:r>
        <w:rPr>
          <w:rFonts w:hint="eastAsia" w:ascii="仿宋_GB2312" w:eastAsia="仿宋_GB2312" w:cs="仿宋_GB2312"/>
          <w:sz w:val="32"/>
          <w:szCs w:val="32"/>
          <w:highlight w:val="none"/>
          <w:lang w:bidi="ar"/>
        </w:rPr>
        <w:t>审计日志应支持自定义分类、分级查看，对违规事件、异常事件等应能进行醒目标识及显示。</w:t>
      </w:r>
    </w:p>
    <w:p w14:paraId="5770BAE2">
      <w:pPr>
        <w:numPr>
          <w:ilvl w:val="0"/>
          <w:numId w:val="28"/>
        </w:numPr>
        <w:spacing w:line="560" w:lineRule="exact"/>
        <w:ind w:left="0" w:firstLine="454"/>
        <w:rPr>
          <w:rFonts w:ascii="仿宋_GB2312" w:eastAsia="仿宋_GB2312" w:cs="仿宋_GB2312"/>
          <w:sz w:val="32"/>
          <w:szCs w:val="32"/>
          <w:highlight w:val="none"/>
          <w:lang w:bidi="ar"/>
        </w:rPr>
      </w:pPr>
      <w:r>
        <w:rPr>
          <w:rFonts w:hint="eastAsia" w:cs="仿宋"/>
          <w:b/>
          <w:sz w:val="32"/>
          <w:highlight w:val="none"/>
        </w:rPr>
        <w:t>▲</w:t>
      </w:r>
      <w:r>
        <w:rPr>
          <w:rFonts w:hint="eastAsia" w:ascii="仿宋_GB2312" w:eastAsia="仿宋_GB2312" w:cs="仿宋_GB2312"/>
          <w:sz w:val="32"/>
          <w:szCs w:val="32"/>
          <w:highlight w:val="none"/>
          <w:lang w:bidi="ar"/>
        </w:rPr>
        <w:t>审计日志不能被篡改、删除，至少应能保存6个月，并支持导出成Word、Excel、PDF等多种格式。</w:t>
      </w:r>
    </w:p>
    <w:p w14:paraId="3E893F7D">
      <w:pPr>
        <w:numPr>
          <w:ilvl w:val="0"/>
          <w:numId w:val="28"/>
        </w:numPr>
        <w:spacing w:line="560" w:lineRule="exact"/>
        <w:ind w:left="0" w:firstLine="454"/>
        <w:rPr>
          <w:rFonts w:ascii="仿宋_GB2312" w:eastAsia="仿宋_GB2312" w:cs="仿宋_GB2312"/>
          <w:sz w:val="32"/>
          <w:szCs w:val="32"/>
          <w:highlight w:val="none"/>
          <w:lang w:bidi="ar"/>
        </w:rPr>
      </w:pPr>
      <w:r>
        <w:rPr>
          <w:rFonts w:hint="eastAsia" w:ascii="仿宋_GB2312" w:eastAsia="仿宋_GB2312" w:cs="仿宋_GB2312"/>
          <w:sz w:val="32"/>
          <w:szCs w:val="32"/>
          <w:highlight w:val="none"/>
          <w:lang w:bidi="ar"/>
        </w:rPr>
        <w:t>应支持审计日志存储空间阈值设置，当存储空间将满时及时告警。</w:t>
      </w:r>
    </w:p>
    <w:p w14:paraId="76B2E9C6">
      <w:pPr>
        <w:pStyle w:val="19"/>
        <w:numPr>
          <w:ilvl w:val="1"/>
          <w:numId w:val="2"/>
        </w:numPr>
        <w:adjustRightInd w:val="0"/>
        <w:snapToGrid w:val="0"/>
        <w:spacing w:line="560" w:lineRule="exact"/>
        <w:contextualSpacing w:val="0"/>
        <w:rPr>
          <w:rFonts w:ascii="仿宋_GB2312" w:eastAsia="仿宋_GB2312" w:cs="仿宋_GB2312"/>
          <w:b/>
          <w:bCs/>
          <w:sz w:val="32"/>
          <w:szCs w:val="32"/>
          <w:highlight w:val="none"/>
          <w:lang w:bidi="ar"/>
        </w:rPr>
      </w:pPr>
      <w:r>
        <w:rPr>
          <w:rFonts w:hint="eastAsia" w:ascii="仿宋_GB2312" w:eastAsia="仿宋_GB2312" w:cs="仿宋_GB2312"/>
          <w:b/>
          <w:bCs/>
          <w:sz w:val="32"/>
          <w:szCs w:val="32"/>
          <w:highlight w:val="none"/>
          <w:lang w:bidi="ar"/>
        </w:rPr>
        <w:t>时间管理</w:t>
      </w:r>
    </w:p>
    <w:p w14:paraId="5BB242BD">
      <w:pPr>
        <w:pStyle w:val="19"/>
        <w:spacing w:line="560" w:lineRule="exact"/>
        <w:ind w:left="0" w:firstLine="640" w:firstLineChars="200"/>
        <w:rPr>
          <w:rFonts w:ascii="仿宋_GB2312" w:eastAsia="仿宋_GB2312" w:cs="仿宋_GB2312"/>
          <w:sz w:val="32"/>
          <w:szCs w:val="32"/>
          <w:highlight w:val="none"/>
          <w:lang w:bidi="ar"/>
        </w:rPr>
      </w:pPr>
      <w:r>
        <w:rPr>
          <w:rFonts w:hint="eastAsia" w:ascii="仿宋_GB2312" w:eastAsia="仿宋_GB2312" w:cs="仿宋_GB2312"/>
          <w:sz w:val="32"/>
          <w:szCs w:val="32"/>
          <w:highlight w:val="none"/>
          <w:lang w:bidi="ar"/>
        </w:rPr>
        <w:t>具备时钟源同步功能，支持按照统一时间源自动修正系统时间。</w:t>
      </w:r>
    </w:p>
    <w:p w14:paraId="561539BC">
      <w:pPr>
        <w:pStyle w:val="19"/>
        <w:numPr>
          <w:ilvl w:val="1"/>
          <w:numId w:val="2"/>
        </w:numPr>
        <w:adjustRightInd w:val="0"/>
        <w:snapToGrid w:val="0"/>
        <w:spacing w:line="560" w:lineRule="exact"/>
        <w:contextualSpacing w:val="0"/>
        <w:rPr>
          <w:rFonts w:ascii="仿宋_GB2312" w:eastAsia="仿宋_GB2312" w:cs="仿宋_GB2312"/>
          <w:b/>
          <w:bCs/>
          <w:sz w:val="32"/>
          <w:szCs w:val="32"/>
          <w:highlight w:val="none"/>
          <w:lang w:bidi="ar"/>
        </w:rPr>
      </w:pPr>
      <w:r>
        <w:rPr>
          <w:rFonts w:hint="eastAsia" w:ascii="仿宋_GB2312" w:eastAsia="仿宋_GB2312" w:cs="仿宋_GB2312"/>
          <w:b/>
          <w:bCs/>
          <w:sz w:val="32"/>
          <w:szCs w:val="32"/>
          <w:highlight w:val="none"/>
          <w:lang w:bidi="ar"/>
        </w:rPr>
        <w:t>信息存储及备份</w:t>
      </w:r>
    </w:p>
    <w:p w14:paraId="2CC1FC9F">
      <w:pPr>
        <w:numPr>
          <w:ilvl w:val="0"/>
          <w:numId w:val="29"/>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系统日志不能被篡改或非授权删除，至少能够保存36个月，并可以导出成Word、Excel、PDF等多种格式。</w:t>
      </w:r>
    </w:p>
    <w:p w14:paraId="17D250C7">
      <w:pPr>
        <w:numPr>
          <w:ilvl w:val="0"/>
          <w:numId w:val="29"/>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▲应至少支持对重要数据、配置文件等进行加密存储，且不影响系统性能。</w:t>
      </w:r>
    </w:p>
    <w:p w14:paraId="2E3AB28C">
      <w:pPr>
        <w:numPr>
          <w:ilvl w:val="0"/>
          <w:numId w:val="29"/>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应支持对重要数据、配置文件等进行完整性校验功能，当被破坏或被篡改时及时报警并生成详细审计日志。</w:t>
      </w:r>
    </w:p>
    <w:p w14:paraId="25CD621A">
      <w:pPr>
        <w:numPr>
          <w:ilvl w:val="0"/>
          <w:numId w:val="29"/>
        </w:numPr>
        <w:spacing w:line="560" w:lineRule="exact"/>
        <w:ind w:left="0" w:firstLine="454"/>
        <w:rPr>
          <w:rFonts w:ascii="仿宋_GB2312" w:eastAsia="仿宋_GB2312"/>
          <w:sz w:val="32"/>
          <w:szCs w:val="32"/>
        </w:rPr>
      </w:pPr>
      <w:r>
        <w:rPr>
          <w:rFonts w:hint="eastAsia" w:ascii="仿宋_GB2312" w:eastAsia="仿宋_GB2312"/>
          <w:sz w:val="32"/>
          <w:szCs w:val="32"/>
        </w:rPr>
        <w:t>▲具备备份（支持增量备份、全量备份等策略）与恢复能力，确保在数据丢失或损坏时，能在规定时间内（根据数据重要程度，关键数据恢复时间不超过4小时，一般数据恢复时间不超过24小时）完成数据恢复，且恢复数据的完整性和准确性达到100%。</w:t>
      </w:r>
    </w:p>
    <w:p w14:paraId="7F7E84F8">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自身安全</w:t>
      </w:r>
    </w:p>
    <w:p w14:paraId="33703940">
      <w:pPr>
        <w:numPr>
          <w:ilvl w:val="0"/>
          <w:numId w:val="30"/>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★系统不得有明显的隐患和漏洞，不得设置后门及恶意代码。</w:t>
      </w:r>
    </w:p>
    <w:p w14:paraId="43A5D28E">
      <w:pPr>
        <w:numPr>
          <w:ilvl w:val="0"/>
          <w:numId w:val="30"/>
        </w:numPr>
        <w:spacing w:line="560" w:lineRule="exact"/>
        <w:ind w:left="0" w:firstLine="454"/>
        <w:rPr>
          <w:rFonts w:ascii="仿宋_GB2312" w:eastAsia="仿宋_GB2312" w:cs="仿宋_GB2312"/>
          <w:sz w:val="32"/>
          <w:szCs w:val="32"/>
          <w:lang w:bidi="ar"/>
        </w:rPr>
      </w:pPr>
      <w:r>
        <w:rPr>
          <w:rFonts w:hint="eastAsia" w:ascii="仿宋_GB2312" w:eastAsia="仿宋_GB2312"/>
          <w:sz w:val="32"/>
          <w:szCs w:val="32"/>
        </w:rPr>
        <w:t>▲</w:t>
      </w:r>
      <w:r>
        <w:rPr>
          <w:rFonts w:hint="eastAsia" w:ascii="仿宋_GB2312" w:eastAsia="仿宋_GB2312" w:cs="仿宋_GB2312"/>
          <w:sz w:val="32"/>
          <w:szCs w:val="32"/>
          <w:lang w:bidi="ar"/>
        </w:rPr>
        <w:t>系统厂商或投标方应定期对系统安全漏洞进行修补、更新。</w:t>
      </w:r>
    </w:p>
    <w:p w14:paraId="2BD724F5">
      <w:pPr>
        <w:numPr>
          <w:ilvl w:val="0"/>
          <w:numId w:val="30"/>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因系统自身产生的BUG,投标方应终身免费维护。</w:t>
      </w:r>
    </w:p>
    <w:p w14:paraId="55C853B9">
      <w:pPr>
        <w:pStyle w:val="19"/>
        <w:numPr>
          <w:ilvl w:val="0"/>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▲产品及相关资料的交付</w:t>
      </w:r>
    </w:p>
    <w:p w14:paraId="411A7B19">
      <w:pPr>
        <w:pStyle w:val="19"/>
        <w:spacing w:line="560" w:lineRule="exact"/>
        <w:ind w:left="0"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投标方保证提供的产品与本协议所约定相符（可以高于合同预定的版本），按照合同条款发货到用户现场，交货清单包含但不限于：</w:t>
      </w:r>
    </w:p>
    <w:p w14:paraId="199142DA">
      <w:pPr>
        <w:pStyle w:val="19"/>
        <w:numPr>
          <w:ilvl w:val="0"/>
          <w:numId w:val="31"/>
        </w:numPr>
        <w:spacing w:line="560" w:lineRule="exact"/>
        <w:ind w:left="1060" w:hanging="420"/>
        <w:rPr>
          <w:rFonts w:ascii="仿宋_GB2312" w:eastAsia="仿宋_GB2312" w:cs="仿宋_GB2312"/>
          <w:sz w:val="32"/>
          <w:szCs w:val="32"/>
          <w:lang w:bidi="ar"/>
        </w:rPr>
      </w:pPr>
      <w:r>
        <w:rPr>
          <w:rFonts w:hint="eastAsia" w:ascii="仿宋_GB2312" w:eastAsia="仿宋_GB2312" w:cs="仿宋_GB2312"/>
          <w:sz w:val="32"/>
          <w:szCs w:val="32"/>
          <w:lang w:bidi="ar"/>
        </w:rPr>
        <w:t>按照本协议约定的所有软、硬件产品。</w:t>
      </w:r>
    </w:p>
    <w:p w14:paraId="1850462B">
      <w:pPr>
        <w:pStyle w:val="19"/>
        <w:numPr>
          <w:ilvl w:val="0"/>
          <w:numId w:val="31"/>
        </w:numPr>
        <w:spacing w:line="560" w:lineRule="exact"/>
        <w:ind w:left="1060" w:hanging="420"/>
        <w:rPr>
          <w:rFonts w:ascii="仿宋_GB2312" w:eastAsia="仿宋_GB2312" w:cs="仿宋_GB2312"/>
          <w:sz w:val="32"/>
          <w:szCs w:val="32"/>
          <w:lang w:bidi="ar"/>
        </w:rPr>
      </w:pPr>
      <w:r>
        <w:rPr>
          <w:rFonts w:hint="eastAsia" w:ascii="仿宋_GB2312" w:eastAsia="仿宋_GB2312" w:cs="仿宋_GB2312"/>
          <w:sz w:val="32"/>
          <w:szCs w:val="32"/>
          <w:lang w:bidi="ar"/>
        </w:rPr>
        <w:t>提供系统安装部署手册，详细说明系统的安装环境要求、安装步骤、配置方法等。</w:t>
      </w:r>
    </w:p>
    <w:p w14:paraId="33D90527">
      <w:pPr>
        <w:pStyle w:val="19"/>
        <w:numPr>
          <w:ilvl w:val="0"/>
          <w:numId w:val="31"/>
        </w:numPr>
        <w:spacing w:line="560" w:lineRule="exact"/>
        <w:ind w:left="1060" w:hanging="420"/>
        <w:rPr>
          <w:rFonts w:ascii="仿宋_GB2312" w:eastAsia="仿宋_GB2312" w:cs="仿宋_GB2312"/>
          <w:sz w:val="32"/>
          <w:szCs w:val="32"/>
          <w:lang w:bidi="ar"/>
        </w:rPr>
      </w:pPr>
      <w:r>
        <w:rPr>
          <w:rFonts w:hint="eastAsia" w:ascii="仿宋_GB2312" w:eastAsia="仿宋_GB2312" w:cs="仿宋_GB2312"/>
          <w:sz w:val="32"/>
          <w:szCs w:val="32"/>
          <w:lang w:bidi="ar"/>
        </w:rPr>
        <w:t>提供用户操作手册，涵盖系统各功能模块的操作流程、使用方法、注意事项等，方便用户学习和使用系统。</w:t>
      </w:r>
    </w:p>
    <w:p w14:paraId="175E53C4">
      <w:pPr>
        <w:pStyle w:val="19"/>
        <w:numPr>
          <w:ilvl w:val="0"/>
          <w:numId w:val="31"/>
        </w:numPr>
        <w:spacing w:line="560" w:lineRule="exact"/>
        <w:ind w:left="1060" w:hanging="420"/>
        <w:rPr>
          <w:rFonts w:ascii="仿宋_GB2312" w:eastAsia="仿宋_GB2312" w:cs="仿宋_GB2312"/>
          <w:sz w:val="32"/>
          <w:szCs w:val="32"/>
          <w:lang w:bidi="ar"/>
        </w:rPr>
      </w:pPr>
      <w:r>
        <w:rPr>
          <w:rFonts w:hint="eastAsia" w:ascii="仿宋_GB2312" w:eastAsia="仿宋_GB2312" w:cs="仿宋_GB2312"/>
          <w:sz w:val="32"/>
          <w:szCs w:val="32"/>
          <w:lang w:bidi="ar"/>
        </w:rPr>
        <w:t>提供系统维护手册，包括系统架构、维护方法、常见故障处理等内容，便于运维人员进行系统维护。</w:t>
      </w:r>
    </w:p>
    <w:p w14:paraId="3B23E358">
      <w:pPr>
        <w:pStyle w:val="19"/>
        <w:numPr>
          <w:ilvl w:val="0"/>
          <w:numId w:val="31"/>
        </w:numPr>
        <w:spacing w:line="560" w:lineRule="exact"/>
        <w:ind w:left="1060" w:hanging="420"/>
        <w:rPr>
          <w:rFonts w:ascii="仿宋_GB2312" w:eastAsia="仿宋_GB2312" w:cs="仿宋_GB2312"/>
          <w:sz w:val="32"/>
          <w:szCs w:val="32"/>
          <w:lang w:bidi="ar"/>
        </w:rPr>
      </w:pPr>
      <w:r>
        <w:rPr>
          <w:rFonts w:hint="eastAsia" w:ascii="仿宋_GB2312" w:eastAsia="仿宋_GB2312" w:cs="仿宋_GB2312"/>
          <w:sz w:val="32"/>
          <w:szCs w:val="32"/>
          <w:lang w:bidi="ar"/>
        </w:rPr>
        <w:t>软件安装程序一套（光盘）。</w:t>
      </w:r>
    </w:p>
    <w:p w14:paraId="7A9D3F91">
      <w:pPr>
        <w:pStyle w:val="19"/>
        <w:numPr>
          <w:ilvl w:val="0"/>
          <w:numId w:val="31"/>
        </w:numPr>
        <w:spacing w:line="560" w:lineRule="exact"/>
        <w:ind w:left="1060" w:hanging="420"/>
        <w:rPr>
          <w:rFonts w:ascii="仿宋_GB2312" w:eastAsia="仿宋_GB2312" w:cs="仿宋_GB2312"/>
          <w:sz w:val="32"/>
          <w:szCs w:val="32"/>
          <w:lang w:bidi="ar"/>
        </w:rPr>
      </w:pPr>
      <w:r>
        <w:rPr>
          <w:rFonts w:hint="eastAsia" w:ascii="仿宋_GB2312" w:eastAsia="仿宋_GB2312" w:cs="仿宋_GB2312"/>
          <w:sz w:val="32"/>
          <w:szCs w:val="32"/>
          <w:lang w:bidi="ar"/>
        </w:rPr>
        <w:t>license授权文件（纸质、电子版或其他加密狗物件）。</w:t>
      </w:r>
    </w:p>
    <w:p w14:paraId="13BF13A1">
      <w:pPr>
        <w:pStyle w:val="19"/>
        <w:numPr>
          <w:ilvl w:val="0"/>
          <w:numId w:val="31"/>
        </w:numPr>
        <w:spacing w:line="560" w:lineRule="exact"/>
        <w:ind w:left="1060" w:hanging="420"/>
        <w:rPr>
          <w:rFonts w:ascii="仿宋_GB2312" w:eastAsia="仿宋_GB2312" w:cs="仿宋_GB2312"/>
          <w:sz w:val="32"/>
          <w:szCs w:val="32"/>
          <w:lang w:bidi="ar"/>
        </w:rPr>
      </w:pPr>
      <w:r>
        <w:rPr>
          <w:rFonts w:hint="eastAsia" w:ascii="仿宋_GB2312" w:eastAsia="仿宋_GB2312" w:cs="仿宋_GB2312"/>
          <w:sz w:val="32"/>
          <w:szCs w:val="32"/>
          <w:lang w:bidi="ar"/>
        </w:rPr>
        <w:t>软件安装手册一套。</w:t>
      </w:r>
    </w:p>
    <w:p w14:paraId="2501C7C0">
      <w:pPr>
        <w:widowControl/>
        <w:ind w:firstLine="640" w:firstLineChars="200"/>
        <w:jc w:val="left"/>
        <w:rPr>
          <w:rFonts w:ascii="仿宋_GB2312" w:eastAsia="仿宋_GB2312" w:cs="仿宋_GB2312"/>
          <w:sz w:val="32"/>
          <w:szCs w:val="32"/>
          <w:lang w:bidi="ar"/>
        </w:rPr>
      </w:pPr>
      <w:r>
        <w:rPr>
          <w:rFonts w:hint="eastAsia" w:ascii="仿宋_GB2312" w:eastAsia="仿宋_GB2312" w:cs="仿宋_GB2312"/>
          <w:sz w:val="32"/>
          <w:szCs w:val="32"/>
          <w:lang w:bidi="ar"/>
        </w:rPr>
        <w:t>全套项目文档一套，在项目实施阶段根据项目要求提交包括不限于需求调研（需求调研计划、需求调研报告、需求规格说明书）、蓝图设计、详细设计、总体测试计划、测试报告（包括但不限于功能测试报告、性能测试报告、接口联调报告）、二开源代码包、二次开发说明书一套、数据字典、</w:t>
      </w:r>
      <w:r>
        <w:rPr>
          <w:rFonts w:hint="eastAsia" w:ascii="仿宋_GB2312" w:eastAsia="仿宋_GB2312" w:cs="仿宋_GB2312"/>
          <w:sz w:val="32"/>
          <w:szCs w:val="32"/>
          <w:highlight w:val="none"/>
          <w:lang w:bidi="ar"/>
        </w:rPr>
        <w:t>数据库设计文档、</w:t>
      </w:r>
      <w:r>
        <w:rPr>
          <w:rFonts w:hint="eastAsia" w:ascii="仿宋_GB2312" w:eastAsia="仿宋_GB2312" w:cs="仿宋_GB2312"/>
          <w:sz w:val="32"/>
          <w:szCs w:val="32"/>
          <w:lang w:bidi="ar"/>
        </w:rPr>
        <w:t>用户手册、管理员手册及问题整改报告、培训记录、试运行报告、验收报告等文档及资料。</w:t>
      </w:r>
    </w:p>
    <w:p w14:paraId="6755BDFE">
      <w:pPr>
        <w:pStyle w:val="19"/>
        <w:spacing w:line="560" w:lineRule="exact"/>
        <w:ind w:left="0"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主要交付物清单如下：</w:t>
      </w:r>
    </w:p>
    <w:tbl>
      <w:tblPr>
        <w:tblStyle w:val="14"/>
        <w:tblpPr w:leftFromText="180" w:rightFromText="180" w:vertAnchor="text" w:horzAnchor="page" w:tblpX="1507" w:tblpY="474"/>
        <w:tblOverlap w:val="never"/>
        <w:tblW w:w="892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36"/>
        <w:gridCol w:w="2898"/>
        <w:gridCol w:w="4189"/>
      </w:tblGrid>
      <w:tr w14:paraId="29F75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3" w:hRule="atLeast"/>
          <w:tblHeader/>
        </w:trPr>
        <w:tc>
          <w:tcPr>
            <w:tcW w:w="1836" w:type="dxa"/>
            <w:shd w:val="clear" w:color="auto" w:fill="auto"/>
            <w:noWrap/>
            <w:vAlign w:val="center"/>
          </w:tcPr>
          <w:p w14:paraId="6001CBAB">
            <w:pPr>
              <w:widowControl/>
              <w:adjustRightInd w:val="0"/>
              <w:snapToGrid w:val="0"/>
              <w:spacing w:line="560" w:lineRule="exact"/>
              <w:jc w:val="center"/>
              <w:textAlignment w:val="center"/>
              <w:rPr>
                <w:rFonts w:ascii="仿宋_GB2312" w:hAnsi="仿宋_GB2312" w:eastAsia="仿宋_GB2312" w:cs="仿宋_GB2312"/>
                <w:b/>
                <w:bCs/>
                <w:sz w:val="24"/>
              </w:rPr>
            </w:pPr>
            <w:r>
              <w:rPr>
                <w:rFonts w:hint="eastAsia" w:ascii="仿宋_GB2312" w:hAnsi="仿宋_GB2312" w:eastAsia="仿宋_GB2312" w:cs="仿宋_GB2312"/>
                <w:b/>
                <w:bCs/>
                <w:sz w:val="24"/>
              </w:rPr>
              <w:t>项目阶段</w:t>
            </w:r>
          </w:p>
        </w:tc>
        <w:tc>
          <w:tcPr>
            <w:tcW w:w="2898" w:type="dxa"/>
            <w:shd w:val="clear" w:color="auto" w:fill="auto"/>
            <w:noWrap/>
            <w:vAlign w:val="center"/>
          </w:tcPr>
          <w:p w14:paraId="44966589">
            <w:pPr>
              <w:widowControl/>
              <w:adjustRightInd w:val="0"/>
              <w:snapToGrid w:val="0"/>
              <w:spacing w:line="560" w:lineRule="exact"/>
              <w:jc w:val="center"/>
              <w:textAlignment w:val="center"/>
              <w:rPr>
                <w:rFonts w:ascii="仿宋_GB2312" w:hAnsi="仿宋_GB2312" w:eastAsia="仿宋_GB2312" w:cs="仿宋_GB2312"/>
                <w:b/>
                <w:bCs/>
                <w:sz w:val="24"/>
              </w:rPr>
            </w:pPr>
            <w:r>
              <w:rPr>
                <w:rFonts w:hint="eastAsia" w:ascii="仿宋_GB2312" w:hAnsi="仿宋_GB2312" w:eastAsia="仿宋_GB2312" w:cs="仿宋_GB2312"/>
                <w:b/>
                <w:bCs/>
                <w:sz w:val="24"/>
              </w:rPr>
              <w:t>交付物</w:t>
            </w:r>
          </w:p>
        </w:tc>
        <w:tc>
          <w:tcPr>
            <w:tcW w:w="4189" w:type="dxa"/>
            <w:shd w:val="clear" w:color="auto" w:fill="auto"/>
            <w:noWrap/>
            <w:vAlign w:val="center"/>
          </w:tcPr>
          <w:p w14:paraId="18A6B65A">
            <w:pPr>
              <w:widowControl/>
              <w:adjustRightInd w:val="0"/>
              <w:snapToGrid w:val="0"/>
              <w:spacing w:line="560" w:lineRule="exact"/>
              <w:jc w:val="center"/>
              <w:textAlignment w:val="center"/>
              <w:rPr>
                <w:rFonts w:ascii="仿宋_GB2312" w:hAnsi="仿宋_GB2312" w:eastAsia="仿宋_GB2312" w:cs="仿宋_GB2312"/>
                <w:b/>
                <w:bCs/>
                <w:sz w:val="24"/>
              </w:rPr>
            </w:pPr>
            <w:r>
              <w:rPr>
                <w:rFonts w:hint="eastAsia" w:ascii="仿宋_GB2312" w:hAnsi="仿宋_GB2312" w:eastAsia="仿宋_GB2312" w:cs="仿宋_GB2312"/>
                <w:b/>
                <w:bCs/>
                <w:sz w:val="24"/>
              </w:rPr>
              <w:t>交付物说明</w:t>
            </w:r>
          </w:p>
        </w:tc>
      </w:tr>
      <w:tr w14:paraId="49667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836" w:type="dxa"/>
            <w:shd w:val="clear" w:color="auto" w:fill="auto"/>
            <w:vAlign w:val="center"/>
          </w:tcPr>
          <w:p w14:paraId="7B159699">
            <w:pPr>
              <w:widowControl/>
              <w:adjustRightInd w:val="0"/>
              <w:snapToGrid w:val="0"/>
              <w:spacing w:line="560" w:lineRule="exact"/>
              <w:jc w:val="center"/>
              <w:rPr>
                <w:rFonts w:ascii="仿宋_GB2312" w:eastAsia="仿宋_GB2312" w:cs="仿宋_GB2312"/>
                <w:sz w:val="24"/>
                <w:lang w:bidi="ar"/>
              </w:rPr>
            </w:pPr>
            <w:r>
              <w:rPr>
                <w:rFonts w:hint="eastAsia" w:ascii="仿宋_GB2312" w:eastAsia="仿宋_GB2312" w:cs="仿宋_GB2312"/>
                <w:sz w:val="24"/>
                <w:lang w:bidi="ar"/>
              </w:rPr>
              <w:t>项目启动</w:t>
            </w:r>
          </w:p>
        </w:tc>
        <w:tc>
          <w:tcPr>
            <w:tcW w:w="2898" w:type="dxa"/>
            <w:shd w:val="clear" w:color="auto" w:fill="auto"/>
            <w:noWrap/>
            <w:vAlign w:val="center"/>
          </w:tcPr>
          <w:p w14:paraId="41AAFAD0">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《项目计划》</w:t>
            </w:r>
          </w:p>
          <w:p w14:paraId="193057AF">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《项目章程》</w:t>
            </w:r>
          </w:p>
        </w:tc>
        <w:tc>
          <w:tcPr>
            <w:tcW w:w="4189" w:type="dxa"/>
            <w:shd w:val="clear" w:color="auto" w:fill="auto"/>
            <w:vAlign w:val="center"/>
          </w:tcPr>
          <w:p w14:paraId="6860C97B">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对项目目标、组织、计划、内容等进行说明</w:t>
            </w:r>
          </w:p>
        </w:tc>
      </w:tr>
      <w:tr w14:paraId="53523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836" w:type="dxa"/>
            <w:vMerge w:val="restart"/>
            <w:shd w:val="clear" w:color="auto" w:fill="auto"/>
            <w:vAlign w:val="center"/>
          </w:tcPr>
          <w:p w14:paraId="6E2638E4">
            <w:pPr>
              <w:widowControl/>
              <w:adjustRightInd w:val="0"/>
              <w:snapToGrid w:val="0"/>
              <w:spacing w:line="560" w:lineRule="exact"/>
              <w:jc w:val="center"/>
              <w:rPr>
                <w:rFonts w:ascii="仿宋_GB2312" w:eastAsia="仿宋_GB2312" w:cs="仿宋_GB2312"/>
                <w:sz w:val="24"/>
                <w:lang w:bidi="ar"/>
              </w:rPr>
            </w:pPr>
            <w:r>
              <w:rPr>
                <w:rFonts w:hint="eastAsia" w:ascii="仿宋_GB2312" w:eastAsia="仿宋_GB2312" w:cs="仿宋_GB2312"/>
                <w:sz w:val="24"/>
                <w:lang w:bidi="ar"/>
              </w:rPr>
              <w:t>需求调研</w:t>
            </w:r>
          </w:p>
        </w:tc>
        <w:tc>
          <w:tcPr>
            <w:tcW w:w="2898" w:type="dxa"/>
            <w:shd w:val="clear" w:color="auto" w:fill="auto"/>
            <w:noWrap/>
            <w:vAlign w:val="center"/>
          </w:tcPr>
          <w:p w14:paraId="4520A693">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《需求调研计划》</w:t>
            </w:r>
          </w:p>
        </w:tc>
        <w:tc>
          <w:tcPr>
            <w:tcW w:w="4189" w:type="dxa"/>
            <w:shd w:val="clear" w:color="auto" w:fill="auto"/>
            <w:vAlign w:val="center"/>
          </w:tcPr>
          <w:p w14:paraId="3481D70A">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具体调研计划</w:t>
            </w:r>
          </w:p>
        </w:tc>
      </w:tr>
      <w:tr w14:paraId="3637C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836" w:type="dxa"/>
            <w:vMerge w:val="continue"/>
            <w:shd w:val="clear" w:color="auto" w:fill="auto"/>
            <w:vAlign w:val="center"/>
          </w:tcPr>
          <w:p w14:paraId="28C588C1">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6B442A96">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《需求调研报告》</w:t>
            </w:r>
          </w:p>
        </w:tc>
        <w:tc>
          <w:tcPr>
            <w:tcW w:w="4189" w:type="dxa"/>
            <w:shd w:val="clear" w:color="auto" w:fill="auto"/>
            <w:vAlign w:val="center"/>
          </w:tcPr>
          <w:p w14:paraId="763BF197">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形成详细需求分析报告</w:t>
            </w:r>
          </w:p>
        </w:tc>
      </w:tr>
      <w:tr w14:paraId="76B6A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836" w:type="dxa"/>
            <w:vMerge w:val="continue"/>
            <w:shd w:val="clear" w:color="auto" w:fill="auto"/>
            <w:vAlign w:val="center"/>
          </w:tcPr>
          <w:p w14:paraId="4B097E20">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3D0F6AFD">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《需求规格说明书》</w:t>
            </w:r>
          </w:p>
        </w:tc>
        <w:tc>
          <w:tcPr>
            <w:tcW w:w="4189" w:type="dxa"/>
            <w:shd w:val="clear" w:color="auto" w:fill="auto"/>
            <w:vAlign w:val="center"/>
          </w:tcPr>
          <w:p w14:paraId="715F7BCB">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形成需求规格文件</w:t>
            </w:r>
          </w:p>
        </w:tc>
      </w:tr>
      <w:tr w14:paraId="323D0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restart"/>
            <w:shd w:val="clear" w:color="auto" w:fill="auto"/>
            <w:vAlign w:val="center"/>
          </w:tcPr>
          <w:p w14:paraId="1325AA99">
            <w:pPr>
              <w:widowControl/>
              <w:adjustRightInd w:val="0"/>
              <w:snapToGrid w:val="0"/>
              <w:spacing w:line="560" w:lineRule="exact"/>
              <w:jc w:val="center"/>
              <w:rPr>
                <w:rFonts w:ascii="仿宋_GB2312" w:eastAsia="仿宋_GB2312" w:cs="仿宋_GB2312"/>
                <w:sz w:val="24"/>
                <w:lang w:bidi="ar"/>
              </w:rPr>
            </w:pPr>
            <w:r>
              <w:rPr>
                <w:rFonts w:hint="eastAsia" w:ascii="仿宋_GB2312" w:eastAsia="仿宋_GB2312" w:cs="仿宋_GB2312"/>
                <w:sz w:val="24"/>
                <w:lang w:bidi="ar"/>
              </w:rPr>
              <w:t>蓝图设计</w:t>
            </w:r>
          </w:p>
        </w:tc>
        <w:tc>
          <w:tcPr>
            <w:tcW w:w="2898" w:type="dxa"/>
            <w:shd w:val="clear" w:color="auto" w:fill="auto"/>
            <w:noWrap/>
            <w:vAlign w:val="center"/>
          </w:tcPr>
          <w:p w14:paraId="5E3CF9B4">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《蓝图设计方案》</w:t>
            </w:r>
          </w:p>
        </w:tc>
        <w:tc>
          <w:tcPr>
            <w:tcW w:w="4189" w:type="dxa"/>
            <w:shd w:val="clear" w:color="auto" w:fill="auto"/>
            <w:vAlign w:val="center"/>
          </w:tcPr>
          <w:p w14:paraId="00965E4E">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业务蓝图设计方案</w:t>
            </w:r>
            <w:r>
              <w:rPr>
                <w:rFonts w:hint="eastAsia" w:ascii="仿宋_GB2312" w:eastAsia="仿宋_GB2312" w:cs="仿宋_GB2312"/>
                <w:sz w:val="24"/>
                <w:lang w:bidi="ar"/>
              </w:rPr>
              <w:t>、详细流程优化建议等</w:t>
            </w:r>
          </w:p>
        </w:tc>
      </w:tr>
      <w:tr w14:paraId="25B46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shd w:val="clear" w:color="auto" w:fill="auto"/>
            <w:vAlign w:val="center"/>
          </w:tcPr>
          <w:p w14:paraId="675D484A">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74885984">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《蓝图评审报告》</w:t>
            </w:r>
          </w:p>
        </w:tc>
        <w:tc>
          <w:tcPr>
            <w:tcW w:w="4189" w:type="dxa"/>
            <w:shd w:val="clear" w:color="auto" w:fill="auto"/>
            <w:vAlign w:val="center"/>
          </w:tcPr>
          <w:p w14:paraId="10BC8E39">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评审报告</w:t>
            </w:r>
          </w:p>
        </w:tc>
      </w:tr>
      <w:tr w14:paraId="486C1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shd w:val="clear" w:color="auto" w:fill="auto"/>
            <w:vAlign w:val="center"/>
          </w:tcPr>
          <w:p w14:paraId="601D97D8">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57C48D6F">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《评审问题跟踪列表》</w:t>
            </w:r>
          </w:p>
        </w:tc>
        <w:tc>
          <w:tcPr>
            <w:tcW w:w="4189" w:type="dxa"/>
            <w:shd w:val="clear" w:color="auto" w:fill="auto"/>
            <w:vAlign w:val="center"/>
          </w:tcPr>
          <w:p w14:paraId="3D734854">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评审报告问题处理，完成问题闭环</w:t>
            </w:r>
          </w:p>
        </w:tc>
      </w:tr>
      <w:tr w14:paraId="6E76A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restart"/>
            <w:shd w:val="clear" w:color="auto" w:fill="auto"/>
            <w:vAlign w:val="center"/>
          </w:tcPr>
          <w:p w14:paraId="7F53DF68">
            <w:pPr>
              <w:rPr>
                <w:rFonts w:ascii="仿宋_GB2312" w:eastAsia="仿宋_GB2312" w:cs="仿宋_GB2312"/>
                <w:sz w:val="24"/>
                <w:lang w:bidi="ar"/>
              </w:rPr>
            </w:pPr>
            <w:r>
              <w:rPr>
                <w:rFonts w:ascii="仿宋_GB2312" w:eastAsia="仿宋_GB2312" w:cs="仿宋_GB2312"/>
                <w:sz w:val="24"/>
                <w:lang w:bidi="ar"/>
              </w:rPr>
              <w:t>详细设计</w:t>
            </w:r>
          </w:p>
        </w:tc>
        <w:tc>
          <w:tcPr>
            <w:tcW w:w="2898" w:type="dxa"/>
            <w:shd w:val="clear" w:color="auto" w:fill="auto"/>
            <w:noWrap/>
            <w:vAlign w:val="center"/>
          </w:tcPr>
          <w:p w14:paraId="156F9FBF">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《系统详细设计方案》</w:t>
            </w:r>
          </w:p>
        </w:tc>
        <w:tc>
          <w:tcPr>
            <w:tcW w:w="4189" w:type="dxa"/>
            <w:shd w:val="clear" w:color="auto" w:fill="auto"/>
            <w:vAlign w:val="center"/>
          </w:tcPr>
          <w:p w14:paraId="608A73A6">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系统详细设计方案，包括数据模型、接口设计、数据字典、流程设计等</w:t>
            </w:r>
          </w:p>
        </w:tc>
      </w:tr>
      <w:tr w14:paraId="2101A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shd w:val="clear" w:color="auto" w:fill="auto"/>
            <w:vAlign w:val="center"/>
          </w:tcPr>
          <w:p w14:paraId="0E247C65">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03E46B67">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《功能开发列表》</w:t>
            </w:r>
          </w:p>
        </w:tc>
        <w:tc>
          <w:tcPr>
            <w:tcW w:w="4189" w:type="dxa"/>
            <w:shd w:val="clear" w:color="auto" w:fill="auto"/>
            <w:vAlign w:val="center"/>
          </w:tcPr>
          <w:p w14:paraId="47AB8BCC">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系统功能模块清单</w:t>
            </w:r>
          </w:p>
        </w:tc>
      </w:tr>
      <w:tr w14:paraId="2F721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shd w:val="clear" w:color="auto" w:fill="auto"/>
            <w:vAlign w:val="center"/>
          </w:tcPr>
          <w:p w14:paraId="330A2CCC">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528E1796">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《系统软硬件配置方案》</w:t>
            </w:r>
          </w:p>
        </w:tc>
        <w:tc>
          <w:tcPr>
            <w:tcW w:w="4189" w:type="dxa"/>
            <w:shd w:val="clear" w:color="auto" w:fill="auto"/>
            <w:vAlign w:val="center"/>
          </w:tcPr>
          <w:p w14:paraId="383F9018">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服务器、客户端、其他设备软硬件环境配置方案</w:t>
            </w:r>
          </w:p>
        </w:tc>
      </w:tr>
      <w:tr w14:paraId="383AF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shd w:val="clear" w:color="auto" w:fill="auto"/>
            <w:vAlign w:val="center"/>
          </w:tcPr>
          <w:p w14:paraId="0D4A99C0">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35E23584">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《系统详细设计评审报告》</w:t>
            </w:r>
          </w:p>
        </w:tc>
        <w:tc>
          <w:tcPr>
            <w:tcW w:w="4189" w:type="dxa"/>
            <w:shd w:val="clear" w:color="auto" w:fill="auto"/>
            <w:vAlign w:val="center"/>
          </w:tcPr>
          <w:p w14:paraId="11D2B2BA">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评审报告</w:t>
            </w:r>
          </w:p>
        </w:tc>
      </w:tr>
      <w:tr w14:paraId="1FC54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rPr>
        <w:tc>
          <w:tcPr>
            <w:tcW w:w="1836" w:type="dxa"/>
            <w:vMerge w:val="continue"/>
            <w:shd w:val="clear" w:color="auto" w:fill="auto"/>
            <w:vAlign w:val="center"/>
          </w:tcPr>
          <w:p w14:paraId="256EA8A1">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02068A7C">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《评审问题跟踪列表》</w:t>
            </w:r>
          </w:p>
        </w:tc>
        <w:tc>
          <w:tcPr>
            <w:tcW w:w="4189" w:type="dxa"/>
            <w:shd w:val="clear" w:color="auto" w:fill="auto"/>
            <w:vAlign w:val="center"/>
          </w:tcPr>
          <w:p w14:paraId="394C7281">
            <w:pPr>
              <w:widowControl/>
              <w:adjustRightInd w:val="0"/>
              <w:snapToGrid w:val="0"/>
              <w:spacing w:line="560" w:lineRule="exact"/>
              <w:rPr>
                <w:rFonts w:ascii="仿宋_GB2312" w:eastAsia="仿宋_GB2312" w:cs="仿宋_GB2312"/>
                <w:sz w:val="24"/>
                <w:lang w:bidi="ar"/>
              </w:rPr>
            </w:pPr>
            <w:r>
              <w:rPr>
                <w:rFonts w:ascii="仿宋_GB2312" w:eastAsia="仿宋_GB2312" w:cs="仿宋_GB2312"/>
                <w:sz w:val="24"/>
                <w:lang w:bidi="ar"/>
              </w:rPr>
              <w:t>评审报告问题处理，完成问题闭环</w:t>
            </w:r>
          </w:p>
        </w:tc>
      </w:tr>
      <w:tr w14:paraId="1D530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rPr>
        <w:tc>
          <w:tcPr>
            <w:tcW w:w="1836" w:type="dxa"/>
            <w:shd w:val="clear" w:color="auto" w:fill="auto"/>
            <w:vAlign w:val="center"/>
          </w:tcPr>
          <w:p w14:paraId="6B7BFB7B">
            <w:pPr>
              <w:widowControl/>
              <w:adjustRightInd w:val="0"/>
              <w:snapToGrid w:val="0"/>
              <w:spacing w:line="560" w:lineRule="exact"/>
              <w:jc w:val="center"/>
              <w:rPr>
                <w:rFonts w:ascii="仿宋_GB2312" w:eastAsia="仿宋_GB2312" w:cs="仿宋_GB2312"/>
                <w:sz w:val="24"/>
                <w:lang w:bidi="ar"/>
              </w:rPr>
            </w:pPr>
            <w:r>
              <w:rPr>
                <w:rFonts w:hint="eastAsia" w:ascii="仿宋_GB2312" w:eastAsia="仿宋_GB2312" w:cs="仿宋_GB2312"/>
                <w:sz w:val="24"/>
                <w:lang w:bidi="ar"/>
              </w:rPr>
              <w:t>系统开发</w:t>
            </w:r>
          </w:p>
          <w:p w14:paraId="2FF75D16">
            <w:pPr>
              <w:widowControl/>
              <w:adjustRightInd w:val="0"/>
              <w:snapToGrid w:val="0"/>
              <w:spacing w:line="560" w:lineRule="exact"/>
              <w:jc w:val="center"/>
              <w:rPr>
                <w:rFonts w:ascii="仿宋_GB2312" w:eastAsia="仿宋_GB2312" w:cs="仿宋_GB2312"/>
                <w:sz w:val="24"/>
                <w:lang w:bidi="ar"/>
              </w:rPr>
            </w:pPr>
            <w:r>
              <w:rPr>
                <w:rFonts w:hint="eastAsia" w:ascii="仿宋_GB2312" w:eastAsia="仿宋_GB2312" w:cs="仿宋_GB2312"/>
                <w:sz w:val="24"/>
                <w:lang w:bidi="ar"/>
              </w:rPr>
              <w:t>及实现</w:t>
            </w:r>
          </w:p>
        </w:tc>
        <w:tc>
          <w:tcPr>
            <w:tcW w:w="2898" w:type="dxa"/>
            <w:shd w:val="clear" w:color="auto" w:fill="auto"/>
            <w:noWrap/>
            <w:vAlign w:val="center"/>
          </w:tcPr>
          <w:p w14:paraId="57957AEC">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《接口文档》</w:t>
            </w:r>
          </w:p>
        </w:tc>
        <w:tc>
          <w:tcPr>
            <w:tcW w:w="4189" w:type="dxa"/>
            <w:shd w:val="clear" w:color="auto" w:fill="auto"/>
            <w:vAlign w:val="center"/>
          </w:tcPr>
          <w:p w14:paraId="62ECACB8">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与各相关系统集成接口的描述/定义</w:t>
            </w:r>
          </w:p>
        </w:tc>
      </w:tr>
      <w:tr w14:paraId="5F581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restart"/>
            <w:shd w:val="clear" w:color="auto" w:fill="auto"/>
            <w:vAlign w:val="center"/>
          </w:tcPr>
          <w:p w14:paraId="311D861C">
            <w:pPr>
              <w:widowControl/>
              <w:adjustRightInd w:val="0"/>
              <w:snapToGrid w:val="0"/>
              <w:spacing w:line="560" w:lineRule="exact"/>
              <w:jc w:val="center"/>
              <w:rPr>
                <w:rFonts w:ascii="仿宋_GB2312" w:eastAsia="仿宋_GB2312" w:cs="仿宋_GB2312"/>
                <w:sz w:val="24"/>
                <w:lang w:bidi="ar"/>
              </w:rPr>
            </w:pPr>
            <w:r>
              <w:rPr>
                <w:rFonts w:hint="eastAsia" w:ascii="仿宋_GB2312" w:eastAsia="仿宋_GB2312" w:cs="仿宋_GB2312"/>
                <w:sz w:val="24"/>
                <w:lang w:bidi="ar"/>
              </w:rPr>
              <w:t>系统测试</w:t>
            </w:r>
          </w:p>
        </w:tc>
        <w:tc>
          <w:tcPr>
            <w:tcW w:w="2898" w:type="dxa"/>
            <w:shd w:val="clear" w:color="auto" w:fill="auto"/>
            <w:noWrap/>
            <w:vAlign w:val="center"/>
          </w:tcPr>
          <w:p w14:paraId="46C01C1C">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《测试计划》</w:t>
            </w:r>
          </w:p>
        </w:tc>
        <w:tc>
          <w:tcPr>
            <w:tcW w:w="4189" w:type="dxa"/>
            <w:shd w:val="clear" w:color="auto" w:fill="auto"/>
            <w:vAlign w:val="center"/>
          </w:tcPr>
          <w:p w14:paraId="6E80C1D8">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针对整个测试阶段的计划安排</w:t>
            </w:r>
          </w:p>
        </w:tc>
      </w:tr>
      <w:tr w14:paraId="54BA3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shd w:val="clear" w:color="auto" w:fill="auto"/>
            <w:vAlign w:val="center"/>
          </w:tcPr>
          <w:p w14:paraId="28A72300">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2BB7C2B5">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《测试用例》</w:t>
            </w:r>
          </w:p>
        </w:tc>
        <w:tc>
          <w:tcPr>
            <w:tcW w:w="4189" w:type="dxa"/>
            <w:shd w:val="clear" w:color="auto" w:fill="auto"/>
            <w:vAlign w:val="center"/>
          </w:tcPr>
          <w:p w14:paraId="7E91F517">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根据业务蓝图场景及客户实际应用，编写测试用例</w:t>
            </w:r>
          </w:p>
        </w:tc>
      </w:tr>
      <w:tr w14:paraId="1D668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6" w:hRule="atLeast"/>
        </w:trPr>
        <w:tc>
          <w:tcPr>
            <w:tcW w:w="1836" w:type="dxa"/>
            <w:vMerge w:val="continue"/>
            <w:shd w:val="clear" w:color="auto" w:fill="auto"/>
            <w:vAlign w:val="center"/>
          </w:tcPr>
          <w:p w14:paraId="5012794C">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6D9A16B7">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《功能测试报告》</w:t>
            </w:r>
          </w:p>
          <w:p w14:paraId="5EE7AA79">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《性能测试报告》</w:t>
            </w:r>
          </w:p>
          <w:p w14:paraId="46E39FFF">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《接口联调报告》</w:t>
            </w:r>
          </w:p>
        </w:tc>
        <w:tc>
          <w:tcPr>
            <w:tcW w:w="4189" w:type="dxa"/>
            <w:shd w:val="clear" w:color="auto" w:fill="auto"/>
            <w:vAlign w:val="center"/>
          </w:tcPr>
          <w:p w14:paraId="51E71F17">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结合测试结果，形成测试分析报告，完成测试问题闭环</w:t>
            </w:r>
          </w:p>
        </w:tc>
      </w:tr>
      <w:tr w14:paraId="03D0B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restart"/>
            <w:shd w:val="clear" w:color="auto" w:fill="auto"/>
            <w:vAlign w:val="center"/>
          </w:tcPr>
          <w:p w14:paraId="44892387">
            <w:pPr>
              <w:widowControl/>
              <w:adjustRightInd w:val="0"/>
              <w:snapToGrid w:val="0"/>
              <w:spacing w:line="560" w:lineRule="exact"/>
              <w:ind w:firstLine="240" w:firstLineChars="100"/>
              <w:rPr>
                <w:rFonts w:ascii="仿宋_GB2312" w:eastAsia="仿宋_GB2312" w:cs="仿宋_GB2312"/>
                <w:sz w:val="24"/>
                <w:lang w:bidi="ar"/>
              </w:rPr>
            </w:pPr>
            <w:r>
              <w:rPr>
                <w:rFonts w:hint="eastAsia" w:ascii="仿宋_GB2312" w:eastAsia="仿宋_GB2312" w:cs="仿宋_GB2312"/>
                <w:sz w:val="24"/>
                <w:lang w:bidi="ar"/>
              </w:rPr>
              <w:t>上线准备</w:t>
            </w:r>
          </w:p>
        </w:tc>
        <w:tc>
          <w:tcPr>
            <w:tcW w:w="2898" w:type="dxa"/>
            <w:shd w:val="clear" w:color="auto" w:fill="auto"/>
            <w:noWrap/>
            <w:vAlign w:val="center"/>
          </w:tcPr>
          <w:p w14:paraId="7BFF073D">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《培训方案》《培训课件》</w:t>
            </w:r>
          </w:p>
        </w:tc>
        <w:tc>
          <w:tcPr>
            <w:tcW w:w="4189" w:type="dxa"/>
            <w:shd w:val="clear" w:color="auto" w:fill="auto"/>
            <w:vAlign w:val="center"/>
          </w:tcPr>
          <w:p w14:paraId="009B2389">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针对项目组成员的培训方案设计</w:t>
            </w:r>
          </w:p>
        </w:tc>
      </w:tr>
      <w:tr w14:paraId="5AD4F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shd w:val="clear" w:color="auto" w:fill="auto"/>
            <w:vAlign w:val="center"/>
          </w:tcPr>
          <w:p w14:paraId="2CE6F46D">
            <w:pPr>
              <w:widowControl/>
              <w:adjustRightInd w:val="0"/>
              <w:snapToGrid w:val="0"/>
              <w:spacing w:line="560" w:lineRule="exact"/>
              <w:jc w:val="center"/>
              <w:rPr>
                <w:rFonts w:ascii="仿宋_GB2312" w:eastAsia="仿宋_GB2312" w:cs="仿宋_GB2312"/>
                <w:sz w:val="24"/>
                <w:lang w:bidi="ar"/>
              </w:rPr>
            </w:pPr>
          </w:p>
        </w:tc>
        <w:tc>
          <w:tcPr>
            <w:tcW w:w="2898" w:type="dxa"/>
            <w:shd w:val="clear" w:color="auto" w:fill="auto"/>
            <w:noWrap/>
            <w:vAlign w:val="center"/>
          </w:tcPr>
          <w:p w14:paraId="76475512">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《系统配置文档》</w:t>
            </w:r>
          </w:p>
        </w:tc>
        <w:tc>
          <w:tcPr>
            <w:tcW w:w="4189" w:type="dxa"/>
            <w:shd w:val="clear" w:color="auto" w:fill="auto"/>
            <w:vAlign w:val="center"/>
          </w:tcPr>
          <w:p w14:paraId="3B27F85D">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指导后续系统上线时的系统配置文档</w:t>
            </w:r>
          </w:p>
        </w:tc>
      </w:tr>
      <w:tr w14:paraId="37F2E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shd w:val="clear" w:color="auto" w:fill="auto"/>
            <w:vAlign w:val="center"/>
          </w:tcPr>
          <w:p w14:paraId="6650EBD9">
            <w:pPr>
              <w:widowControl/>
              <w:adjustRightInd w:val="0"/>
              <w:snapToGrid w:val="0"/>
              <w:spacing w:line="560" w:lineRule="exact"/>
              <w:jc w:val="center"/>
              <w:rPr>
                <w:rFonts w:ascii="仿宋_GB2312" w:eastAsia="仿宋_GB2312" w:cs="仿宋_GB2312"/>
                <w:sz w:val="24"/>
                <w:lang w:bidi="ar"/>
              </w:rPr>
            </w:pPr>
          </w:p>
        </w:tc>
        <w:tc>
          <w:tcPr>
            <w:tcW w:w="2898" w:type="dxa"/>
            <w:shd w:val="clear" w:color="000000" w:fill="auto"/>
            <w:noWrap/>
            <w:vAlign w:val="center"/>
          </w:tcPr>
          <w:p w14:paraId="475894DD">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《用户权限清单》</w:t>
            </w:r>
          </w:p>
        </w:tc>
        <w:tc>
          <w:tcPr>
            <w:tcW w:w="4189" w:type="dxa"/>
            <w:shd w:val="clear" w:color="auto" w:fill="auto"/>
            <w:vAlign w:val="center"/>
          </w:tcPr>
          <w:p w14:paraId="5E8194EB">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根据用户权限清单指导系统角色和用户权限划分和设置</w:t>
            </w:r>
          </w:p>
        </w:tc>
      </w:tr>
      <w:tr w14:paraId="7A1CB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shd w:val="clear" w:color="auto" w:fill="auto"/>
            <w:vAlign w:val="center"/>
          </w:tcPr>
          <w:p w14:paraId="5919B406">
            <w:pPr>
              <w:widowControl/>
              <w:adjustRightInd w:val="0"/>
              <w:snapToGrid w:val="0"/>
              <w:spacing w:line="560" w:lineRule="exact"/>
              <w:jc w:val="center"/>
              <w:rPr>
                <w:rFonts w:ascii="仿宋_GB2312" w:eastAsia="仿宋_GB2312" w:cs="仿宋_GB2312"/>
                <w:sz w:val="24"/>
                <w:lang w:bidi="ar"/>
              </w:rPr>
            </w:pPr>
          </w:p>
        </w:tc>
        <w:tc>
          <w:tcPr>
            <w:tcW w:w="2898" w:type="dxa"/>
            <w:shd w:val="clear" w:color="000000" w:fill="auto"/>
            <w:noWrap/>
            <w:vAlign w:val="center"/>
          </w:tcPr>
          <w:p w14:paraId="0F5C1C7F">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《基数数据清单》</w:t>
            </w:r>
          </w:p>
        </w:tc>
        <w:tc>
          <w:tcPr>
            <w:tcW w:w="4189" w:type="dxa"/>
            <w:shd w:val="clear" w:color="auto" w:fill="auto"/>
            <w:vAlign w:val="center"/>
          </w:tcPr>
          <w:p w14:paraId="383F4BE0">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根据基础数据收集模板收集基础数据形成后续系统输入清单</w:t>
            </w:r>
          </w:p>
        </w:tc>
      </w:tr>
      <w:tr w14:paraId="10BFB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shd w:val="clear" w:color="auto" w:fill="auto"/>
            <w:vAlign w:val="center"/>
          </w:tcPr>
          <w:p w14:paraId="2113F4E7">
            <w:pPr>
              <w:widowControl/>
              <w:adjustRightInd w:val="0"/>
              <w:snapToGrid w:val="0"/>
              <w:spacing w:line="560" w:lineRule="exact"/>
              <w:jc w:val="center"/>
              <w:rPr>
                <w:rFonts w:ascii="仿宋_GB2312" w:eastAsia="仿宋_GB2312" w:cs="仿宋_GB2312"/>
                <w:sz w:val="24"/>
                <w:lang w:bidi="ar"/>
              </w:rPr>
            </w:pPr>
          </w:p>
        </w:tc>
        <w:tc>
          <w:tcPr>
            <w:tcW w:w="2898" w:type="dxa"/>
            <w:shd w:val="clear" w:color="000000" w:fill="auto"/>
            <w:noWrap/>
            <w:vAlign w:val="center"/>
          </w:tcPr>
          <w:p w14:paraId="28B0F0D6">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《用户操作手册》</w:t>
            </w:r>
          </w:p>
        </w:tc>
        <w:tc>
          <w:tcPr>
            <w:tcW w:w="4189" w:type="dxa"/>
            <w:shd w:val="clear" w:color="auto" w:fill="auto"/>
            <w:vAlign w:val="center"/>
          </w:tcPr>
          <w:p w14:paraId="5CF46207">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编写最终操作用户的培训手册和操作手册</w:t>
            </w:r>
          </w:p>
        </w:tc>
      </w:tr>
      <w:tr w14:paraId="538BB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restart"/>
            <w:shd w:val="clear" w:color="auto" w:fill="auto"/>
            <w:vAlign w:val="center"/>
          </w:tcPr>
          <w:p w14:paraId="4C44BC7C">
            <w:pPr>
              <w:widowControl/>
              <w:adjustRightInd w:val="0"/>
              <w:snapToGrid w:val="0"/>
              <w:spacing w:line="560" w:lineRule="exact"/>
              <w:jc w:val="center"/>
              <w:rPr>
                <w:rFonts w:ascii="仿宋_GB2312" w:eastAsia="仿宋_GB2312" w:cs="仿宋_GB2312"/>
                <w:sz w:val="24"/>
                <w:lang w:bidi="ar"/>
              </w:rPr>
            </w:pPr>
            <w:r>
              <w:rPr>
                <w:rFonts w:hint="eastAsia" w:ascii="仿宋_GB2312" w:eastAsia="仿宋_GB2312" w:cs="仿宋_GB2312"/>
                <w:sz w:val="24"/>
                <w:lang w:bidi="ar"/>
              </w:rPr>
              <w:t>系统上线</w:t>
            </w:r>
          </w:p>
        </w:tc>
        <w:tc>
          <w:tcPr>
            <w:tcW w:w="2898" w:type="dxa"/>
            <w:shd w:val="clear" w:color="000000" w:fill="auto"/>
            <w:noWrap/>
            <w:vAlign w:val="center"/>
          </w:tcPr>
          <w:p w14:paraId="18348816">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《上线方案》</w:t>
            </w:r>
          </w:p>
        </w:tc>
        <w:tc>
          <w:tcPr>
            <w:tcW w:w="4189" w:type="dxa"/>
            <w:shd w:val="clear" w:color="auto" w:fill="auto"/>
            <w:vAlign w:val="center"/>
          </w:tcPr>
          <w:p w14:paraId="7C789C2F">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明确上线内容、组织、时间、顺序、负责人、参与人等内容</w:t>
            </w:r>
          </w:p>
        </w:tc>
      </w:tr>
      <w:tr w14:paraId="718AE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shd w:val="clear" w:color="auto" w:fill="auto"/>
            <w:vAlign w:val="center"/>
          </w:tcPr>
          <w:p w14:paraId="58F2EDF6">
            <w:pPr>
              <w:widowControl/>
              <w:adjustRightInd w:val="0"/>
              <w:snapToGrid w:val="0"/>
              <w:spacing w:line="560" w:lineRule="exact"/>
              <w:jc w:val="center"/>
              <w:rPr>
                <w:rFonts w:ascii="仿宋_GB2312" w:eastAsia="仿宋_GB2312" w:cs="仿宋_GB2312"/>
                <w:sz w:val="24"/>
                <w:lang w:bidi="ar"/>
              </w:rPr>
            </w:pPr>
          </w:p>
        </w:tc>
        <w:tc>
          <w:tcPr>
            <w:tcW w:w="2898" w:type="dxa"/>
            <w:shd w:val="clear" w:color="000000" w:fill="auto"/>
            <w:noWrap/>
            <w:vAlign w:val="center"/>
          </w:tcPr>
          <w:p w14:paraId="7E697611">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《初始化模板清单》</w:t>
            </w:r>
          </w:p>
        </w:tc>
        <w:tc>
          <w:tcPr>
            <w:tcW w:w="4189" w:type="dxa"/>
            <w:shd w:val="clear" w:color="auto" w:fill="auto"/>
            <w:vAlign w:val="center"/>
          </w:tcPr>
          <w:p w14:paraId="13F11E44">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根据上线方案准备初始化动态数据模板，按模板进行初始化数据整理</w:t>
            </w:r>
          </w:p>
        </w:tc>
      </w:tr>
      <w:tr w14:paraId="72215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836" w:type="dxa"/>
            <w:vMerge w:val="continue"/>
            <w:shd w:val="clear" w:color="auto" w:fill="auto"/>
            <w:vAlign w:val="center"/>
          </w:tcPr>
          <w:p w14:paraId="7C3A794A">
            <w:pPr>
              <w:widowControl/>
              <w:adjustRightInd w:val="0"/>
              <w:snapToGrid w:val="0"/>
              <w:spacing w:line="560" w:lineRule="exact"/>
              <w:jc w:val="center"/>
              <w:rPr>
                <w:rFonts w:ascii="仿宋_GB2312" w:eastAsia="仿宋_GB2312" w:cs="仿宋_GB2312"/>
                <w:sz w:val="24"/>
                <w:lang w:bidi="ar"/>
              </w:rPr>
            </w:pPr>
          </w:p>
        </w:tc>
        <w:tc>
          <w:tcPr>
            <w:tcW w:w="2898" w:type="dxa"/>
            <w:shd w:val="clear" w:color="000000" w:fill="auto"/>
            <w:noWrap/>
            <w:vAlign w:val="center"/>
          </w:tcPr>
          <w:p w14:paraId="3BE0EC1F">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《问题跟踪记录表》</w:t>
            </w:r>
          </w:p>
        </w:tc>
        <w:tc>
          <w:tcPr>
            <w:tcW w:w="4189" w:type="dxa"/>
            <w:shd w:val="clear" w:color="auto" w:fill="auto"/>
            <w:vAlign w:val="center"/>
          </w:tcPr>
          <w:p w14:paraId="5B492BD2">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上线过程中出现的各类问题记录、跟进情况、解决情况、责任人等记录跟踪</w:t>
            </w:r>
          </w:p>
        </w:tc>
      </w:tr>
      <w:tr w14:paraId="65C7B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836" w:type="dxa"/>
            <w:vMerge w:val="continue"/>
            <w:vAlign w:val="center"/>
          </w:tcPr>
          <w:p w14:paraId="238067A5">
            <w:pPr>
              <w:widowControl/>
              <w:adjustRightInd w:val="0"/>
              <w:snapToGrid w:val="0"/>
              <w:spacing w:line="560" w:lineRule="exact"/>
              <w:jc w:val="center"/>
              <w:rPr>
                <w:rFonts w:ascii="仿宋_GB2312" w:eastAsia="仿宋_GB2312" w:cs="仿宋_GB2312"/>
                <w:sz w:val="24"/>
                <w:lang w:bidi="ar"/>
              </w:rPr>
            </w:pPr>
          </w:p>
        </w:tc>
        <w:tc>
          <w:tcPr>
            <w:tcW w:w="2898" w:type="dxa"/>
            <w:shd w:val="clear" w:color="000000" w:fill="auto"/>
            <w:vAlign w:val="center"/>
          </w:tcPr>
          <w:p w14:paraId="5A63490D">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《系统上线完成确认单》</w:t>
            </w:r>
          </w:p>
        </w:tc>
        <w:tc>
          <w:tcPr>
            <w:tcW w:w="4189" w:type="dxa"/>
            <w:shd w:val="clear" w:color="auto" w:fill="auto"/>
            <w:noWrap/>
            <w:vAlign w:val="center"/>
          </w:tcPr>
          <w:p w14:paraId="448B85B9">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达到上线条件后，双方签署上线确认单，对上线成果进行确认</w:t>
            </w:r>
          </w:p>
        </w:tc>
      </w:tr>
      <w:tr w14:paraId="000CF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836" w:type="dxa"/>
            <w:vMerge w:val="restart"/>
            <w:vAlign w:val="center"/>
          </w:tcPr>
          <w:p w14:paraId="1773E342">
            <w:pPr>
              <w:widowControl/>
              <w:adjustRightInd w:val="0"/>
              <w:snapToGrid w:val="0"/>
              <w:spacing w:line="560" w:lineRule="exact"/>
              <w:jc w:val="center"/>
              <w:rPr>
                <w:rFonts w:ascii="仿宋_GB2312" w:eastAsia="仿宋_GB2312" w:cs="仿宋_GB2312"/>
                <w:sz w:val="24"/>
                <w:lang w:bidi="ar"/>
              </w:rPr>
            </w:pPr>
            <w:r>
              <w:rPr>
                <w:rFonts w:hint="eastAsia" w:ascii="仿宋_GB2312" w:eastAsia="仿宋_GB2312" w:cs="仿宋_GB2312"/>
                <w:sz w:val="24"/>
                <w:lang w:bidi="ar"/>
              </w:rPr>
              <w:t>系统验收</w:t>
            </w:r>
          </w:p>
        </w:tc>
        <w:tc>
          <w:tcPr>
            <w:tcW w:w="2898" w:type="dxa"/>
            <w:shd w:val="clear" w:color="000000" w:fill="auto"/>
            <w:vAlign w:val="center"/>
          </w:tcPr>
          <w:p w14:paraId="6ACF7AF4">
            <w:pPr>
              <w:spacing w:line="560" w:lineRule="exact"/>
              <w:rPr>
                <w:rFonts w:ascii="仿宋_GB2312" w:eastAsia="仿宋_GB2312" w:cs="仿宋_GB2312"/>
                <w:sz w:val="24"/>
                <w:lang w:bidi="ar"/>
              </w:rPr>
            </w:pPr>
            <w:r>
              <w:rPr>
                <w:rFonts w:hint="eastAsia" w:ascii="仿宋_GB2312" w:eastAsia="仿宋_GB2312" w:cs="仿宋_GB2312"/>
                <w:sz w:val="24"/>
                <w:lang w:bidi="ar"/>
              </w:rPr>
              <w:t>《系统运维手册》</w:t>
            </w:r>
          </w:p>
        </w:tc>
        <w:tc>
          <w:tcPr>
            <w:tcW w:w="4189" w:type="dxa"/>
            <w:shd w:val="clear" w:color="auto" w:fill="auto"/>
            <w:noWrap/>
            <w:vAlign w:val="center"/>
          </w:tcPr>
          <w:p w14:paraId="2B32858A">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日常运维任务流程、故障排查与修复方法、性能优化策略、应急处置预案等</w:t>
            </w:r>
          </w:p>
        </w:tc>
      </w:tr>
      <w:tr w14:paraId="37A32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836" w:type="dxa"/>
            <w:vMerge w:val="continue"/>
            <w:vAlign w:val="center"/>
          </w:tcPr>
          <w:p w14:paraId="5DA7897C">
            <w:pPr>
              <w:widowControl/>
              <w:adjustRightInd w:val="0"/>
              <w:snapToGrid w:val="0"/>
              <w:spacing w:line="560" w:lineRule="exact"/>
              <w:jc w:val="center"/>
              <w:rPr>
                <w:rFonts w:ascii="仿宋_GB2312" w:eastAsia="仿宋_GB2312" w:cs="仿宋_GB2312"/>
                <w:sz w:val="24"/>
                <w:lang w:bidi="ar"/>
              </w:rPr>
            </w:pPr>
          </w:p>
        </w:tc>
        <w:tc>
          <w:tcPr>
            <w:tcW w:w="2898" w:type="dxa"/>
            <w:shd w:val="clear" w:color="000000" w:fill="auto"/>
            <w:vAlign w:val="center"/>
          </w:tcPr>
          <w:p w14:paraId="51AC8AF1">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《项目验收报告》</w:t>
            </w:r>
          </w:p>
        </w:tc>
        <w:tc>
          <w:tcPr>
            <w:tcW w:w="4189" w:type="dxa"/>
            <w:shd w:val="clear" w:color="auto" w:fill="auto"/>
            <w:noWrap/>
            <w:vAlign w:val="center"/>
          </w:tcPr>
          <w:p w14:paraId="0B40313D">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双方达到项目验收条件后，组织验收大会，汇报项目成果</w:t>
            </w:r>
          </w:p>
        </w:tc>
      </w:tr>
      <w:tr w14:paraId="59971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836" w:type="dxa"/>
            <w:vMerge w:val="continue"/>
            <w:vAlign w:val="center"/>
          </w:tcPr>
          <w:p w14:paraId="02949055">
            <w:pPr>
              <w:widowControl/>
              <w:adjustRightInd w:val="0"/>
              <w:snapToGrid w:val="0"/>
              <w:spacing w:line="560" w:lineRule="exact"/>
              <w:jc w:val="center"/>
              <w:rPr>
                <w:rFonts w:ascii="仿宋_GB2312" w:eastAsia="仿宋_GB2312" w:cs="仿宋_GB2312"/>
                <w:sz w:val="24"/>
                <w:lang w:bidi="ar"/>
              </w:rPr>
            </w:pPr>
          </w:p>
        </w:tc>
        <w:tc>
          <w:tcPr>
            <w:tcW w:w="2898" w:type="dxa"/>
            <w:shd w:val="clear" w:color="000000" w:fill="auto"/>
            <w:vAlign w:val="center"/>
          </w:tcPr>
          <w:p w14:paraId="03FADF39">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《交接文档清单》</w:t>
            </w:r>
          </w:p>
        </w:tc>
        <w:tc>
          <w:tcPr>
            <w:tcW w:w="4189" w:type="dxa"/>
            <w:shd w:val="clear" w:color="auto" w:fill="auto"/>
            <w:noWrap/>
            <w:vAlign w:val="center"/>
          </w:tcPr>
          <w:p w14:paraId="68C99F7B">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对项目中所有文档进行整理打包，形成综合文档</w:t>
            </w:r>
          </w:p>
        </w:tc>
      </w:tr>
      <w:tr w14:paraId="0D414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836" w:type="dxa"/>
            <w:vAlign w:val="center"/>
          </w:tcPr>
          <w:p w14:paraId="253A4394">
            <w:pPr>
              <w:widowControl/>
              <w:adjustRightInd w:val="0"/>
              <w:snapToGrid w:val="0"/>
              <w:spacing w:line="560" w:lineRule="exact"/>
              <w:jc w:val="center"/>
              <w:rPr>
                <w:rFonts w:ascii="仿宋_GB2312" w:eastAsia="仿宋_GB2312" w:cs="仿宋_GB2312"/>
                <w:sz w:val="24"/>
                <w:lang w:bidi="ar"/>
              </w:rPr>
            </w:pPr>
            <w:r>
              <w:rPr>
                <w:rFonts w:hint="eastAsia" w:ascii="仿宋_GB2312" w:eastAsia="仿宋_GB2312" w:cs="仿宋_GB2312"/>
                <w:sz w:val="24"/>
                <w:lang w:bidi="ar"/>
              </w:rPr>
              <w:t>其他</w:t>
            </w:r>
          </w:p>
        </w:tc>
        <w:tc>
          <w:tcPr>
            <w:tcW w:w="2898" w:type="dxa"/>
            <w:shd w:val="clear" w:color="000000" w:fill="auto"/>
            <w:vAlign w:val="center"/>
          </w:tcPr>
          <w:p w14:paraId="2665CC3A">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系统代码</w:t>
            </w:r>
          </w:p>
        </w:tc>
        <w:tc>
          <w:tcPr>
            <w:tcW w:w="4189" w:type="dxa"/>
            <w:shd w:val="clear" w:color="auto" w:fill="auto"/>
            <w:noWrap/>
            <w:vAlign w:val="center"/>
          </w:tcPr>
          <w:p w14:paraId="5761DE0E">
            <w:pPr>
              <w:widowControl/>
              <w:adjustRightInd w:val="0"/>
              <w:snapToGrid w:val="0"/>
              <w:spacing w:line="560" w:lineRule="exact"/>
              <w:rPr>
                <w:rFonts w:ascii="仿宋_GB2312" w:eastAsia="仿宋_GB2312" w:cs="仿宋_GB2312"/>
                <w:sz w:val="24"/>
                <w:lang w:bidi="ar"/>
              </w:rPr>
            </w:pPr>
            <w:r>
              <w:rPr>
                <w:rFonts w:hint="eastAsia" w:ascii="仿宋_GB2312" w:eastAsia="仿宋_GB2312" w:cs="仿宋_GB2312"/>
                <w:sz w:val="24"/>
                <w:lang w:bidi="ar"/>
              </w:rPr>
              <w:t>见前述系统代码要求</w:t>
            </w:r>
          </w:p>
        </w:tc>
      </w:tr>
    </w:tbl>
    <w:p w14:paraId="496CEF81">
      <w:pPr>
        <w:pStyle w:val="19"/>
        <w:numPr>
          <w:ilvl w:val="0"/>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实施服务要求</w:t>
      </w:r>
    </w:p>
    <w:p w14:paraId="1721633D">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投标方需要安排核心人员驻场实施，需提供软件平台的技术方案、实施方案、项目培训方案、售后服务方案和保障措施、项目团队组成、风险识别与管控等方案。</w:t>
      </w:r>
    </w:p>
    <w:p w14:paraId="77467344">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bookmarkStart w:id="1" w:name="_Toc188366852"/>
      <w:bookmarkStart w:id="2" w:name="_Toc27931"/>
      <w:r>
        <w:rPr>
          <w:rFonts w:hint="eastAsia" w:ascii="仿宋_GB2312" w:eastAsia="仿宋_GB2312" w:cs="仿宋_GB2312"/>
          <w:b/>
          <w:bCs/>
          <w:sz w:val="32"/>
          <w:szCs w:val="32"/>
          <w:lang w:bidi="ar"/>
        </w:rPr>
        <w:t>实施组织要求</w:t>
      </w:r>
      <w:bookmarkEnd w:id="1"/>
      <w:bookmarkEnd w:id="2"/>
    </w:p>
    <w:p w14:paraId="69A77FAA">
      <w:pPr>
        <w:numPr>
          <w:ilvl w:val="0"/>
          <w:numId w:val="32"/>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提供分工科学合理、紧密合作的项目实施组织结构；明确实施组织内各方、各级人员的工作职责。</w:t>
      </w:r>
    </w:p>
    <w:p w14:paraId="2B7B2B03">
      <w:pPr>
        <w:numPr>
          <w:ilvl w:val="0"/>
          <w:numId w:val="32"/>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明确项目实施过程中的管理与协调机制。</w:t>
      </w:r>
    </w:p>
    <w:p w14:paraId="0B589C68">
      <w:pPr>
        <w:numPr>
          <w:ilvl w:val="0"/>
          <w:numId w:val="32"/>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需单独配置专职符合要求的项目经理。</w:t>
      </w:r>
    </w:p>
    <w:p w14:paraId="1BAA2086">
      <w:pPr>
        <w:numPr>
          <w:ilvl w:val="0"/>
          <w:numId w:val="32"/>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val="en-US" w:eastAsia="zh-CN" w:bidi="ar"/>
        </w:rPr>
        <w:t>招标方</w:t>
      </w:r>
      <w:r>
        <w:rPr>
          <w:rFonts w:hint="eastAsia" w:ascii="仿宋_GB2312" w:eastAsia="仿宋_GB2312" w:cs="仿宋_GB2312"/>
          <w:sz w:val="32"/>
          <w:szCs w:val="32"/>
          <w:lang w:bidi="ar"/>
        </w:rPr>
        <w:t>有权对</w:t>
      </w:r>
      <w:r>
        <w:rPr>
          <w:rFonts w:hint="eastAsia" w:ascii="仿宋_GB2312" w:eastAsia="仿宋_GB2312" w:cs="仿宋_GB2312"/>
          <w:sz w:val="32"/>
          <w:szCs w:val="32"/>
          <w:lang w:val="en-US" w:eastAsia="zh-CN" w:bidi="ar"/>
        </w:rPr>
        <w:t>中</w:t>
      </w:r>
      <w:r>
        <w:rPr>
          <w:rFonts w:hint="eastAsia" w:ascii="仿宋_GB2312" w:eastAsia="仿宋_GB2312" w:cs="仿宋_GB2312"/>
          <w:sz w:val="32"/>
          <w:szCs w:val="32"/>
          <w:lang w:bidi="ar"/>
        </w:rPr>
        <w:t>标方项目组人员进行测评，并可提出更换人员的要求，</w:t>
      </w:r>
      <w:r>
        <w:rPr>
          <w:rFonts w:hint="eastAsia" w:ascii="仿宋_GB2312" w:eastAsia="仿宋_GB2312" w:cs="仿宋_GB2312"/>
          <w:sz w:val="32"/>
          <w:szCs w:val="32"/>
          <w:lang w:val="en-US" w:eastAsia="zh-CN" w:bidi="ar"/>
        </w:rPr>
        <w:t>中</w:t>
      </w:r>
      <w:r>
        <w:rPr>
          <w:rFonts w:hint="eastAsia" w:ascii="仿宋_GB2312" w:eastAsia="仿宋_GB2312" w:cs="仿宋_GB2312"/>
          <w:sz w:val="32"/>
          <w:szCs w:val="32"/>
          <w:lang w:bidi="ar"/>
        </w:rPr>
        <w:t>标方应按照</w:t>
      </w:r>
      <w:r>
        <w:rPr>
          <w:rFonts w:hint="eastAsia" w:ascii="仿宋_GB2312" w:eastAsia="仿宋_GB2312" w:cs="仿宋_GB2312"/>
          <w:sz w:val="32"/>
          <w:szCs w:val="32"/>
          <w:lang w:val="en-US" w:eastAsia="zh-CN" w:bidi="ar"/>
        </w:rPr>
        <w:t>招标方</w:t>
      </w:r>
      <w:r>
        <w:rPr>
          <w:rFonts w:hint="eastAsia" w:ascii="仿宋_GB2312" w:eastAsia="仿宋_GB2312" w:cs="仿宋_GB2312"/>
          <w:sz w:val="32"/>
          <w:szCs w:val="32"/>
          <w:lang w:bidi="ar"/>
        </w:rPr>
        <w:t>要求，更换合适的人员。</w:t>
      </w:r>
    </w:p>
    <w:p w14:paraId="7ED9BD35">
      <w:pPr>
        <w:numPr>
          <w:ilvl w:val="0"/>
          <w:numId w:val="32"/>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val="en-US" w:eastAsia="zh-CN" w:bidi="ar"/>
        </w:rPr>
        <w:t>中</w:t>
      </w:r>
      <w:r>
        <w:rPr>
          <w:rFonts w:hint="eastAsia" w:ascii="仿宋_GB2312" w:eastAsia="仿宋_GB2312" w:cs="仿宋_GB2312"/>
          <w:sz w:val="32"/>
          <w:szCs w:val="32"/>
          <w:lang w:bidi="ar"/>
        </w:rPr>
        <w:t>标方若需更换实施团队成员，需提前2周提出书面申请，经</w:t>
      </w:r>
      <w:r>
        <w:rPr>
          <w:rFonts w:hint="eastAsia" w:ascii="仿宋_GB2312" w:eastAsia="仿宋_GB2312" w:cs="仿宋_GB2312"/>
          <w:sz w:val="32"/>
          <w:szCs w:val="32"/>
          <w:lang w:val="en-US" w:eastAsia="zh-CN" w:bidi="ar"/>
        </w:rPr>
        <w:t>招标方</w:t>
      </w:r>
      <w:r>
        <w:rPr>
          <w:rFonts w:hint="eastAsia" w:ascii="仿宋_GB2312" w:eastAsia="仿宋_GB2312" w:cs="仿宋_GB2312"/>
          <w:sz w:val="32"/>
          <w:szCs w:val="32"/>
          <w:lang w:bidi="ar"/>
        </w:rPr>
        <w:t>同意后方可执行。</w:t>
      </w:r>
    </w:p>
    <w:p w14:paraId="5BB8A15A">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bookmarkStart w:id="3" w:name="_Toc26187"/>
      <w:bookmarkStart w:id="4" w:name="_Toc188366853"/>
      <w:r>
        <w:rPr>
          <w:rFonts w:hint="eastAsia" w:ascii="仿宋_GB2312" w:eastAsia="仿宋_GB2312" w:cs="仿宋_GB2312"/>
          <w:b/>
          <w:bCs/>
          <w:sz w:val="32"/>
          <w:szCs w:val="32"/>
          <w:lang w:bidi="ar"/>
        </w:rPr>
        <w:t>实施质量要求</w:t>
      </w:r>
      <w:bookmarkEnd w:id="3"/>
      <w:bookmarkEnd w:id="4"/>
    </w:p>
    <w:p w14:paraId="18D350AA">
      <w:pPr>
        <w:numPr>
          <w:ilvl w:val="0"/>
          <w:numId w:val="33"/>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实施过程必须符合中国国家标准、行业主管部门颁布的相关标准及相关法律法规要求。</w:t>
      </w:r>
    </w:p>
    <w:p w14:paraId="474750F2">
      <w:pPr>
        <w:numPr>
          <w:ilvl w:val="0"/>
          <w:numId w:val="33"/>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投标方应建立严格的质量保证体系，制定项目开发质量控制方案和实施措施，并督促落实各环节质量控制内容和目标；保证总体规划设计、开发与实施、测试与上线、系统运行与验收各个阶段工作满足招标方对质量的要求。</w:t>
      </w:r>
    </w:p>
    <w:p w14:paraId="66133F5A">
      <w:pPr>
        <w:numPr>
          <w:ilvl w:val="0"/>
          <w:numId w:val="33"/>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在项目实施全过程中，招标方有对项目进度和质量进行监督控制的职责和权力，投标方应确保人力、物力的足量投入，定期向招标方提交最新的进展情况和风险分析报告。</w:t>
      </w:r>
    </w:p>
    <w:p w14:paraId="5C134DF1">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bookmarkStart w:id="5" w:name="_Toc28578"/>
      <w:bookmarkStart w:id="6" w:name="_Toc188366854"/>
      <w:r>
        <w:rPr>
          <w:rFonts w:hint="eastAsia" w:ascii="仿宋_GB2312" w:eastAsia="仿宋_GB2312" w:cs="仿宋_GB2312"/>
          <w:b/>
          <w:bCs/>
          <w:sz w:val="32"/>
          <w:szCs w:val="32"/>
          <w:lang w:bidi="ar"/>
        </w:rPr>
        <w:t>实施进度要求</w:t>
      </w:r>
      <w:bookmarkEnd w:id="5"/>
      <w:bookmarkEnd w:id="6"/>
    </w:p>
    <w:p w14:paraId="0748F37F">
      <w:pPr>
        <w:pStyle w:val="19"/>
        <w:numPr>
          <w:ilvl w:val="2"/>
          <w:numId w:val="2"/>
        </w:numPr>
        <w:adjustRightInd w:val="0"/>
        <w:snapToGrid w:val="0"/>
        <w:spacing w:line="560" w:lineRule="exact"/>
        <w:ind w:left="0" w:firstLine="0"/>
        <w:contextualSpacing w:val="0"/>
        <w:rPr>
          <w:rFonts w:ascii="仿宋_GB2312" w:eastAsia="仿宋_GB2312" w:cs="仿宋_GB2312"/>
          <w:sz w:val="32"/>
          <w:szCs w:val="32"/>
          <w:lang w:bidi="ar"/>
        </w:rPr>
      </w:pPr>
      <w:r>
        <w:rPr>
          <w:rFonts w:hint="eastAsia" w:ascii="仿宋_GB2312" w:eastAsia="仿宋_GB2312" w:cs="仿宋_GB2312"/>
          <w:sz w:val="32"/>
          <w:szCs w:val="32"/>
          <w:lang w:bidi="ar"/>
        </w:rPr>
        <w:t>针对项目启动、业务调研、方案制定、配置开发、测试、推广等项目实施阶段制定严密实施计划并注明人员分配。</w:t>
      </w:r>
    </w:p>
    <w:p w14:paraId="63D5B8CE">
      <w:pPr>
        <w:pStyle w:val="19"/>
        <w:numPr>
          <w:ilvl w:val="2"/>
          <w:numId w:val="2"/>
        </w:numPr>
        <w:adjustRightInd w:val="0"/>
        <w:snapToGrid w:val="0"/>
        <w:spacing w:line="560" w:lineRule="exact"/>
        <w:ind w:left="0" w:firstLine="0"/>
        <w:contextualSpacing w:val="0"/>
        <w:rPr>
          <w:rFonts w:ascii="仿宋_GB2312" w:eastAsia="仿宋_GB2312" w:cs="仿宋_GB2312"/>
          <w:sz w:val="32"/>
          <w:szCs w:val="32"/>
          <w:lang w:bidi="ar"/>
        </w:rPr>
      </w:pPr>
      <w:r>
        <w:rPr>
          <w:rFonts w:hint="eastAsia" w:ascii="仿宋_GB2312" w:eastAsia="仿宋_GB2312" w:cs="仿宋_GB2312"/>
          <w:sz w:val="32"/>
          <w:szCs w:val="32"/>
          <w:lang w:bidi="ar"/>
        </w:rPr>
        <w:t>本项目的进度管理应遵循以下原则：</w:t>
      </w:r>
    </w:p>
    <w:p w14:paraId="69BAA995">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项目进度管理的依据是项目合同所约定的工期目标。在确保项目质量和安全的原则下，控制项目进度。</w:t>
      </w:r>
    </w:p>
    <w:p w14:paraId="47CDD56B">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投标方的项目进度管理应该至少包含以下内容：</w:t>
      </w:r>
    </w:p>
    <w:p w14:paraId="06186091">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投标方在了解项目特点的前提下，根据工期目标，提交总体进度计划，以及定期提交阶段性工作计划。</w:t>
      </w:r>
    </w:p>
    <w:p w14:paraId="3092D607">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制定详细的项目建设进度计划，按照合同的进度计划制定具体的实施计划，定期跟踪检查，对可能发生的工期延误提出相应对策。</w:t>
      </w:r>
    </w:p>
    <w:p w14:paraId="7B9093DA">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定期召开并参加项目例会、协调会议等，向招标方通报项目进展情况，提交进度报告，及时解决相关问题。</w:t>
      </w:r>
    </w:p>
    <w:p w14:paraId="08B64F77">
      <w:pPr>
        <w:pStyle w:val="19"/>
        <w:numPr>
          <w:ilvl w:val="2"/>
          <w:numId w:val="2"/>
        </w:numPr>
        <w:adjustRightInd w:val="0"/>
        <w:snapToGrid w:val="0"/>
        <w:spacing w:line="560" w:lineRule="exact"/>
        <w:ind w:left="0" w:firstLine="0"/>
        <w:contextualSpacing w:val="0"/>
        <w:rPr>
          <w:rFonts w:ascii="仿宋_GB2312" w:eastAsia="仿宋_GB2312" w:cs="仿宋_GB2312"/>
          <w:sz w:val="32"/>
          <w:szCs w:val="32"/>
          <w:lang w:bidi="ar"/>
        </w:rPr>
      </w:pPr>
      <w:r>
        <w:rPr>
          <w:rFonts w:hint="eastAsia" w:ascii="仿宋_GB2312" w:eastAsia="仿宋_GB2312" w:cs="仿宋_GB2312"/>
          <w:sz w:val="32"/>
          <w:szCs w:val="32"/>
          <w:lang w:bidi="ar"/>
        </w:rPr>
        <w:t>列明每个阶段对应的交付物。</w:t>
      </w:r>
    </w:p>
    <w:p w14:paraId="39FF1347">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bookmarkStart w:id="7" w:name="_Toc31195"/>
      <w:bookmarkStart w:id="8" w:name="_Toc188366856"/>
      <w:r>
        <w:rPr>
          <w:rFonts w:hint="eastAsia" w:ascii="仿宋_GB2312" w:eastAsia="仿宋_GB2312" w:cs="仿宋_GB2312"/>
          <w:b/>
          <w:bCs/>
          <w:sz w:val="32"/>
          <w:szCs w:val="32"/>
          <w:lang w:bidi="ar"/>
        </w:rPr>
        <w:t>实施保障</w:t>
      </w:r>
      <w:bookmarkEnd w:id="7"/>
      <w:bookmarkEnd w:id="8"/>
    </w:p>
    <w:p w14:paraId="0D0D6A52">
      <w:pPr>
        <w:numPr>
          <w:ilvl w:val="0"/>
          <w:numId w:val="34"/>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要求系统产品由原厂实施，项目不能进行转包。</w:t>
      </w:r>
    </w:p>
    <w:p w14:paraId="05F3C8E8">
      <w:pPr>
        <w:numPr>
          <w:ilvl w:val="0"/>
          <w:numId w:val="34"/>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从合同签订到验收合格的实施过程中，投标方应与招标方进行充分的需求交流和技术沟通，而不应仅限于本技术条件的条款，以实现软件在使用过程中能有效运行。</w:t>
      </w:r>
    </w:p>
    <w:p w14:paraId="6BC4662D">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风险及变更管理</w:t>
      </w:r>
    </w:p>
    <w:p w14:paraId="4B628028">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投标方应根据自身实施方法论建立完善的风险识别及管理机制以控制项目风险，确保项目成功。</w:t>
      </w:r>
    </w:p>
    <w:p w14:paraId="0EC8883A">
      <w:pPr>
        <w:pStyle w:val="19"/>
        <w:numPr>
          <w:ilvl w:val="2"/>
          <w:numId w:val="2"/>
        </w:numPr>
        <w:adjustRightInd w:val="0"/>
        <w:snapToGrid w:val="0"/>
        <w:spacing w:line="560" w:lineRule="exact"/>
        <w:contextualSpacing w:val="0"/>
        <w:rPr>
          <w:rFonts w:ascii="仿宋_GB2312" w:eastAsia="仿宋_GB2312" w:cs="仿宋_GB2312"/>
          <w:b/>
          <w:bCs/>
          <w:sz w:val="32"/>
          <w:szCs w:val="32"/>
          <w:lang w:bidi="ar"/>
        </w:rPr>
      </w:pPr>
      <w:bookmarkStart w:id="9" w:name="_Toc288658626"/>
      <w:bookmarkStart w:id="10" w:name="_Toc288123746"/>
      <w:bookmarkStart w:id="11" w:name="_Toc382318033"/>
      <w:r>
        <w:rPr>
          <w:rFonts w:hint="eastAsia" w:ascii="仿宋_GB2312" w:eastAsia="仿宋_GB2312" w:cs="仿宋_GB2312"/>
          <w:b/>
          <w:bCs/>
          <w:sz w:val="32"/>
          <w:szCs w:val="32"/>
          <w:lang w:bidi="ar"/>
        </w:rPr>
        <w:t>风险管理流程</w:t>
      </w:r>
      <w:bookmarkEnd w:id="9"/>
      <w:bookmarkEnd w:id="10"/>
      <w:bookmarkEnd w:id="11"/>
    </w:p>
    <w:p w14:paraId="53733332">
      <w:pPr>
        <w:numPr>
          <w:ilvl w:val="0"/>
          <w:numId w:val="35"/>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风险管理由实施方项目经理负责，并全过程跟踪管理。</w:t>
      </w:r>
    </w:p>
    <w:p w14:paraId="0DE97F74">
      <w:pPr>
        <w:numPr>
          <w:ilvl w:val="0"/>
          <w:numId w:val="35"/>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风险管理应在项目过程中全过程展开，在项目启动、需求分析及方案设计、系统开发、系统测试、用户培训、系统上线、系统验收、系统运维各阶段均需进行风险评估。</w:t>
      </w:r>
    </w:p>
    <w:p w14:paraId="1884BB7A">
      <w:pPr>
        <w:numPr>
          <w:ilvl w:val="0"/>
          <w:numId w:val="35"/>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应采用有效的问题管理体系进行问题的提出、确认、解决、关闭等全过程跟踪管理。</w:t>
      </w:r>
    </w:p>
    <w:p w14:paraId="565A5326">
      <w:pPr>
        <w:numPr>
          <w:ilvl w:val="0"/>
          <w:numId w:val="35"/>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问题处理完成后，应重新评估，变更风险级别。</w:t>
      </w:r>
    </w:p>
    <w:p w14:paraId="6569EAF2">
      <w:pPr>
        <w:pStyle w:val="19"/>
        <w:numPr>
          <w:ilvl w:val="2"/>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变更管理</w:t>
      </w:r>
    </w:p>
    <w:p w14:paraId="7F8AA535">
      <w:pPr>
        <w:numPr>
          <w:ilvl w:val="0"/>
          <w:numId w:val="36"/>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变更管理目标</w:t>
      </w:r>
    </w:p>
    <w:p w14:paraId="6929F0DB">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确保变更可控：对项目范围、需求、技术方案、资源或计划的调整进行系统化管理，避免无序变更导致项目失控。</w:t>
      </w:r>
    </w:p>
    <w:p w14:paraId="03953858">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降低风险：评估变更对项目进度、成本、质量的影响，制定应对措施。</w:t>
      </w:r>
    </w:p>
    <w:p w14:paraId="245925F9">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透明沟通</w:t>
      </w:r>
      <w:r>
        <w:rPr>
          <w:rFonts w:ascii="仿宋_GB2312" w:eastAsia="仿宋_GB2312" w:cs="仿宋_GB2312"/>
          <w:sz w:val="32"/>
          <w:szCs w:val="32"/>
          <w:lang w:bidi="ar"/>
        </w:rPr>
        <w:t>：明确变更流程中各方的角色与责任，保障信息同步。</w:t>
      </w:r>
    </w:p>
    <w:p w14:paraId="54C50176">
      <w:pPr>
        <w:numPr>
          <w:ilvl w:val="0"/>
          <w:numId w:val="36"/>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变更管理原则</w:t>
      </w:r>
    </w:p>
    <w:p w14:paraId="196E6D97">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最小影响原则</w:t>
      </w:r>
      <w:r>
        <w:rPr>
          <w:rFonts w:ascii="仿宋_GB2312" w:eastAsia="仿宋_GB2312" w:cs="仿宋_GB2312"/>
          <w:sz w:val="32"/>
          <w:szCs w:val="32"/>
          <w:lang w:bidi="ar"/>
        </w:rPr>
        <w:t>：优先通过优化现有方案解决问题，减少变更需求。</w:t>
      </w:r>
    </w:p>
    <w:p w14:paraId="742407AE">
      <w:pPr>
        <w:spacing w:line="560" w:lineRule="exact"/>
        <w:ind w:firstLine="640" w:firstLineChars="200"/>
        <w:rPr>
          <w:rFonts w:ascii="仿宋_GB2312" w:eastAsia="仿宋_GB2312" w:cs="仿宋_GB2312"/>
          <w:sz w:val="32"/>
          <w:szCs w:val="32"/>
          <w:lang w:bidi="ar"/>
        </w:rPr>
      </w:pPr>
      <w:r>
        <w:rPr>
          <w:rFonts w:ascii="仿宋_GB2312" w:eastAsia="仿宋_GB2312" w:cs="仿宋_GB2312"/>
          <w:sz w:val="32"/>
          <w:szCs w:val="32"/>
          <w:lang w:bidi="ar"/>
        </w:rPr>
        <w:t>全员参与：所有相关方（</w:t>
      </w:r>
      <w:r>
        <w:rPr>
          <w:rFonts w:hint="eastAsia" w:ascii="仿宋_GB2312" w:eastAsia="仿宋_GB2312" w:cs="仿宋_GB2312"/>
          <w:sz w:val="32"/>
          <w:szCs w:val="32"/>
          <w:lang w:bidi="ar"/>
        </w:rPr>
        <w:t>招标方、投标方、实施团队</w:t>
      </w:r>
      <w:r>
        <w:rPr>
          <w:rFonts w:ascii="仿宋_GB2312" w:eastAsia="仿宋_GB2312" w:cs="仿宋_GB2312"/>
          <w:sz w:val="32"/>
          <w:szCs w:val="32"/>
          <w:lang w:bidi="ar"/>
        </w:rPr>
        <w:t>等）需参与变更评估。</w:t>
      </w:r>
    </w:p>
    <w:p w14:paraId="401BAC17">
      <w:pPr>
        <w:spacing w:line="560" w:lineRule="exact"/>
        <w:ind w:firstLine="640" w:firstLineChars="200"/>
        <w:rPr>
          <w:rFonts w:ascii="仿宋_GB2312" w:eastAsia="仿宋_GB2312" w:cs="仿宋_GB2312"/>
          <w:sz w:val="32"/>
          <w:szCs w:val="32"/>
          <w:lang w:bidi="ar"/>
        </w:rPr>
      </w:pPr>
      <w:r>
        <w:rPr>
          <w:rFonts w:ascii="仿宋_GB2312" w:eastAsia="仿宋_GB2312" w:cs="仿宋_GB2312"/>
          <w:sz w:val="32"/>
          <w:szCs w:val="32"/>
          <w:lang w:bidi="ar"/>
        </w:rPr>
        <w:t>书面化流程：所有变更必须以书面形式提交、审批和存档。</w:t>
      </w:r>
    </w:p>
    <w:p w14:paraId="55534B36">
      <w:pPr>
        <w:spacing w:line="560" w:lineRule="exact"/>
        <w:ind w:firstLine="640" w:firstLineChars="200"/>
        <w:rPr>
          <w:rFonts w:ascii="仿宋_GB2312" w:eastAsia="仿宋_GB2312" w:cs="仿宋_GB2312"/>
          <w:sz w:val="32"/>
          <w:szCs w:val="32"/>
          <w:lang w:bidi="ar"/>
        </w:rPr>
      </w:pPr>
      <w:r>
        <w:rPr>
          <w:rFonts w:ascii="仿宋_GB2312" w:eastAsia="仿宋_GB2312" w:cs="仿宋_GB2312"/>
          <w:sz w:val="32"/>
          <w:szCs w:val="32"/>
          <w:lang w:bidi="ar"/>
        </w:rPr>
        <w:t>及时响应：在约定时间内完成变更评估与反馈。</w:t>
      </w:r>
    </w:p>
    <w:p w14:paraId="4DD4CFBB">
      <w:pPr>
        <w:numPr>
          <w:ilvl w:val="0"/>
          <w:numId w:val="36"/>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变更管理组织架构</w:t>
      </w:r>
    </w:p>
    <w:p w14:paraId="7955DD77">
      <w:pPr>
        <w:spacing w:line="560" w:lineRule="exact"/>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2"/>
        <w:gridCol w:w="5890"/>
      </w:tblGrid>
      <w:tr w14:paraId="5B0A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6" w:type="dxa"/>
          </w:tcPr>
          <w:p w14:paraId="2C6D5207">
            <w:pPr>
              <w:spacing w:line="560" w:lineRule="exact"/>
              <w:jc w:val="center"/>
              <w:rPr>
                <w:rFonts w:ascii="仿宋_GB2312" w:eastAsia="仿宋_GB2312" w:cs="仿宋_GB2312"/>
                <w:b/>
                <w:bCs/>
                <w:sz w:val="24"/>
                <w:lang w:bidi="ar"/>
              </w:rPr>
            </w:pPr>
            <w:r>
              <w:rPr>
                <w:rFonts w:hint="eastAsia" w:ascii="仿宋_GB2312" w:eastAsia="仿宋_GB2312" w:cs="仿宋_GB2312"/>
                <w:b/>
                <w:bCs/>
                <w:sz w:val="24"/>
                <w:lang w:bidi="ar"/>
              </w:rPr>
              <w:t>角色</w:t>
            </w:r>
          </w:p>
        </w:tc>
        <w:tc>
          <w:tcPr>
            <w:tcW w:w="5969" w:type="dxa"/>
          </w:tcPr>
          <w:p w14:paraId="66BEE675">
            <w:pPr>
              <w:spacing w:line="560" w:lineRule="exact"/>
              <w:jc w:val="center"/>
              <w:rPr>
                <w:rFonts w:ascii="仿宋_GB2312" w:eastAsia="仿宋_GB2312" w:cs="仿宋_GB2312"/>
                <w:b/>
                <w:bCs/>
                <w:sz w:val="24"/>
                <w:lang w:bidi="ar"/>
              </w:rPr>
            </w:pPr>
            <w:r>
              <w:rPr>
                <w:rFonts w:hint="eastAsia" w:ascii="仿宋_GB2312" w:eastAsia="仿宋_GB2312" w:cs="仿宋_GB2312"/>
                <w:b/>
                <w:bCs/>
                <w:sz w:val="24"/>
                <w:lang w:bidi="ar"/>
              </w:rPr>
              <w:t>职责</w:t>
            </w:r>
          </w:p>
        </w:tc>
      </w:tr>
      <w:tr w14:paraId="2646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6" w:type="dxa"/>
            <w:vAlign w:val="center"/>
          </w:tcPr>
          <w:p w14:paraId="34C8AF17">
            <w:pPr>
              <w:spacing w:line="560" w:lineRule="exact"/>
              <w:jc w:val="center"/>
              <w:rPr>
                <w:rFonts w:ascii="仿宋_GB2312" w:eastAsia="仿宋_GB2312" w:cs="仿宋_GB2312"/>
                <w:sz w:val="24"/>
                <w:lang w:bidi="ar"/>
              </w:rPr>
            </w:pPr>
            <w:r>
              <w:rPr>
                <w:rFonts w:hint="eastAsia" w:ascii="仿宋_GB2312" w:eastAsia="仿宋_GB2312" w:cs="仿宋_GB2312"/>
                <w:sz w:val="24"/>
                <w:lang w:bidi="ar"/>
              </w:rPr>
              <w:t>变更控制委员会（CCB）</w:t>
            </w:r>
          </w:p>
        </w:tc>
        <w:tc>
          <w:tcPr>
            <w:tcW w:w="5969" w:type="dxa"/>
          </w:tcPr>
          <w:p w14:paraId="30F7D185">
            <w:pPr>
              <w:spacing w:line="560" w:lineRule="exact"/>
              <w:rPr>
                <w:rFonts w:ascii="仿宋_GB2312" w:eastAsia="仿宋_GB2312" w:cs="仿宋_GB2312"/>
                <w:sz w:val="24"/>
                <w:lang w:bidi="ar"/>
              </w:rPr>
            </w:pPr>
            <w:r>
              <w:rPr>
                <w:rFonts w:hint="eastAsia" w:ascii="仿宋_GB2312" w:eastAsia="仿宋_GB2312" w:cs="仿宋_GB2312"/>
                <w:sz w:val="24"/>
                <w:lang w:bidi="ar"/>
              </w:rPr>
              <w:t>由双方高层、业务部门主管、项目经理、技术专家组成，全面审议变更的必要性、可行性、对项目进度、成本、质量等方面的影响，做出批准、否决或要求修改后重新提交的决策</w:t>
            </w:r>
          </w:p>
        </w:tc>
      </w:tr>
      <w:tr w14:paraId="398F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6" w:type="dxa"/>
            <w:vAlign w:val="center"/>
          </w:tcPr>
          <w:p w14:paraId="0FC0C4FA">
            <w:pPr>
              <w:spacing w:line="560" w:lineRule="exact"/>
              <w:jc w:val="center"/>
              <w:rPr>
                <w:rFonts w:ascii="仿宋_GB2312" w:eastAsia="仿宋_GB2312" w:cs="仿宋_GB2312"/>
                <w:sz w:val="24"/>
                <w:lang w:bidi="ar"/>
              </w:rPr>
            </w:pPr>
            <w:r>
              <w:rPr>
                <w:rFonts w:hint="eastAsia" w:ascii="仿宋_GB2312" w:eastAsia="仿宋_GB2312" w:cs="仿宋_GB2312"/>
                <w:sz w:val="24"/>
                <w:lang w:bidi="ar"/>
              </w:rPr>
              <w:t>项目经理</w:t>
            </w:r>
          </w:p>
        </w:tc>
        <w:tc>
          <w:tcPr>
            <w:tcW w:w="5969" w:type="dxa"/>
          </w:tcPr>
          <w:p w14:paraId="19BCBE78">
            <w:pPr>
              <w:spacing w:line="560" w:lineRule="exact"/>
              <w:rPr>
                <w:rFonts w:ascii="仿宋_GB2312" w:eastAsia="仿宋_GB2312" w:cs="仿宋_GB2312"/>
                <w:sz w:val="24"/>
                <w:lang w:bidi="ar"/>
              </w:rPr>
            </w:pPr>
            <w:r>
              <w:rPr>
                <w:rFonts w:hint="eastAsia" w:ascii="仿宋_GB2312" w:eastAsia="仿宋_GB2312" w:cs="仿宋_GB2312"/>
                <w:sz w:val="24"/>
                <w:lang w:bidi="ar"/>
              </w:rPr>
              <w:t>接收、记录和初步评估变更请求，确认申请信息完整性；向 CCB 汇报，执行 CCB 决策，组织团队实施变更，监控实施过程并反馈进度与问题</w:t>
            </w:r>
          </w:p>
        </w:tc>
      </w:tr>
      <w:tr w14:paraId="70AA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6" w:type="dxa"/>
            <w:vAlign w:val="center"/>
          </w:tcPr>
          <w:p w14:paraId="343FD726">
            <w:pPr>
              <w:spacing w:line="560" w:lineRule="exact"/>
              <w:jc w:val="center"/>
              <w:rPr>
                <w:rFonts w:ascii="仿宋_GB2312" w:eastAsia="仿宋_GB2312" w:cs="仿宋_GB2312"/>
                <w:sz w:val="24"/>
                <w:lang w:bidi="ar"/>
              </w:rPr>
            </w:pPr>
            <w:r>
              <w:rPr>
                <w:rFonts w:hint="eastAsia" w:ascii="仿宋_GB2312" w:eastAsia="仿宋_GB2312" w:cs="仿宋_GB2312"/>
                <w:sz w:val="24"/>
                <w:lang w:bidi="ar"/>
              </w:rPr>
              <w:t>变更管理员</w:t>
            </w:r>
          </w:p>
        </w:tc>
        <w:tc>
          <w:tcPr>
            <w:tcW w:w="5969" w:type="dxa"/>
          </w:tcPr>
          <w:p w14:paraId="1F2C51E3">
            <w:pPr>
              <w:spacing w:line="560" w:lineRule="exact"/>
              <w:rPr>
                <w:rFonts w:ascii="仿宋_GB2312" w:eastAsia="仿宋_GB2312" w:cs="仿宋_GB2312"/>
                <w:sz w:val="24"/>
                <w:lang w:bidi="ar"/>
              </w:rPr>
            </w:pPr>
            <w:r>
              <w:rPr>
                <w:rFonts w:hint="eastAsia" w:ascii="仿宋_GB2312" w:eastAsia="仿宋_GB2312" w:cs="仿宋_GB2312"/>
                <w:sz w:val="24"/>
                <w:lang w:bidi="ar"/>
              </w:rPr>
              <w:t>维护变更日志、跟踪流程进度、提醒审批节点（可由PMO或助理担任）</w:t>
            </w:r>
          </w:p>
        </w:tc>
      </w:tr>
      <w:tr w14:paraId="6235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6" w:type="dxa"/>
            <w:vAlign w:val="center"/>
          </w:tcPr>
          <w:p w14:paraId="5E86BE19">
            <w:pPr>
              <w:spacing w:line="560" w:lineRule="exact"/>
              <w:jc w:val="center"/>
              <w:rPr>
                <w:rFonts w:ascii="仿宋_GB2312" w:eastAsia="仿宋_GB2312" w:cs="仿宋_GB2312"/>
                <w:sz w:val="24"/>
                <w:lang w:bidi="ar"/>
              </w:rPr>
            </w:pPr>
            <w:r>
              <w:rPr>
                <w:rFonts w:hint="eastAsia" w:ascii="仿宋_GB2312" w:eastAsia="仿宋_GB2312" w:cs="仿宋_GB2312"/>
                <w:sz w:val="24"/>
                <w:lang w:bidi="ar"/>
              </w:rPr>
              <w:t>相关方代表</w:t>
            </w:r>
          </w:p>
        </w:tc>
        <w:tc>
          <w:tcPr>
            <w:tcW w:w="5969" w:type="dxa"/>
          </w:tcPr>
          <w:p w14:paraId="5FCCEB9E">
            <w:pPr>
              <w:spacing w:line="560" w:lineRule="exact"/>
              <w:rPr>
                <w:rFonts w:ascii="仿宋_GB2312" w:eastAsia="仿宋_GB2312" w:cs="仿宋_GB2312"/>
                <w:sz w:val="24"/>
                <w:lang w:bidi="ar"/>
              </w:rPr>
            </w:pPr>
            <w:r>
              <w:rPr>
                <w:rFonts w:hint="eastAsia" w:ascii="仿宋_GB2312" w:eastAsia="仿宋_GB2312" w:cs="仿宋_GB2312"/>
                <w:sz w:val="24"/>
                <w:lang w:bidi="ar"/>
              </w:rPr>
              <w:t>依据实际提出合理变更想法；根据专业领域，为变更请求提供技术、业务等方面分析，协助判断影响程度</w:t>
            </w:r>
          </w:p>
        </w:tc>
      </w:tr>
    </w:tbl>
    <w:p w14:paraId="5E112327">
      <w:pPr>
        <w:numPr>
          <w:ilvl w:val="0"/>
          <w:numId w:val="36"/>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变更管理流程</w:t>
      </w:r>
    </w:p>
    <w:p w14:paraId="2795CC45">
      <w:pPr>
        <w:numPr>
          <w:ilvl w:val="0"/>
          <w:numId w:val="37"/>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变更申请提出</w:t>
      </w:r>
    </w:p>
    <w:p w14:paraId="2D446D08">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任何项目相关人员发现需要对项目范围、进度、成本、质量等方面进行调整时，需填写统一格式的《项目变更申请表》，详细说明变更的内容、原因、期望生效时间以及初步预估的影响范围。</w:t>
      </w:r>
    </w:p>
    <w:p w14:paraId="698DB235">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申请表提交给项目经理，确保变更请求进入正式管理流程。</w:t>
      </w:r>
    </w:p>
    <w:p w14:paraId="30A99618">
      <w:pPr>
        <w:numPr>
          <w:ilvl w:val="0"/>
          <w:numId w:val="37"/>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变更请求受理与初步评估</w:t>
      </w:r>
    </w:p>
    <w:p w14:paraId="57B9F7ED">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项目经理初步分析变更对项目各关键指标（进度、成本、质量、范围、风险等）的影响方向及大致程度，形成初步评估报告，作为后续 CCB 审议的参考资料之一。</w:t>
      </w:r>
    </w:p>
    <w:p w14:paraId="35E8DC15">
      <w:pPr>
        <w:numPr>
          <w:ilvl w:val="0"/>
          <w:numId w:val="37"/>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变更请求评审</w:t>
      </w:r>
    </w:p>
    <w:p w14:paraId="037D2DC3">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CCB组织各成员从自身专业角度出发，充分讨论变更的必要性、合理性、可行性以及对项目整体的综合影响。通过投票或达成共识的方式决定是否批准变更。若变更被否决，需明确记录否决原因并反馈给申请人；若要求修改后重新提交，则指明修改方向。</w:t>
      </w:r>
    </w:p>
    <w:p w14:paraId="3B13F0CE">
      <w:pPr>
        <w:numPr>
          <w:ilvl w:val="0"/>
          <w:numId w:val="37"/>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变更实施与监控</w:t>
      </w:r>
    </w:p>
    <w:p w14:paraId="28545461">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项目团队按照变更实施计划有序开展工作，在实施过程中，责任人定期（如每日或每周）向项目经理汇报实施进度，及时反馈遇到的问题。</w:t>
      </w:r>
    </w:p>
    <w:p w14:paraId="45CA7130">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项目经理全程监控变更实施情况，对比计划进度与实际进度，及时协调资源解决问题，确保变更按计划顺利完成。</w:t>
      </w:r>
    </w:p>
    <w:p w14:paraId="09AA3DA6">
      <w:pPr>
        <w:numPr>
          <w:ilvl w:val="0"/>
          <w:numId w:val="37"/>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变更实施验收</w:t>
      </w:r>
    </w:p>
    <w:p w14:paraId="3C27E31F">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变更实施完成后，由项目经理组织相关验收人员（包括提出变更的人员、受变更影响的业务部门代表等）依据预先设定的验收标准对变更实施结果进行验收。</w:t>
      </w:r>
    </w:p>
    <w:p w14:paraId="1BF3F4A1">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验收通过后，正式关闭变更流程；若验收不通过，分析原因，制定整改措施并重新实施，直至验收合格。</w:t>
      </w:r>
    </w:p>
    <w:p w14:paraId="679DAE27">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项目变更控制申请单：</w:t>
      </w:r>
    </w:p>
    <w:tbl>
      <w:tblPr>
        <w:tblStyle w:val="14"/>
        <w:tblpPr w:leftFromText="180" w:rightFromText="180" w:vertAnchor="text" w:horzAnchor="page" w:tblpX="1178" w:tblpY="609"/>
        <w:tblOverlap w:val="never"/>
        <w:tblW w:w="9810" w:type="dxa"/>
        <w:tblInd w:w="0" w:type="dxa"/>
        <w:tblLayout w:type="fixed"/>
        <w:tblCellMar>
          <w:top w:w="0" w:type="dxa"/>
          <w:left w:w="108" w:type="dxa"/>
          <w:bottom w:w="0" w:type="dxa"/>
          <w:right w:w="108" w:type="dxa"/>
        </w:tblCellMar>
      </w:tblPr>
      <w:tblGrid>
        <w:gridCol w:w="1800"/>
        <w:gridCol w:w="3330"/>
        <w:gridCol w:w="675"/>
        <w:gridCol w:w="1395"/>
        <w:gridCol w:w="2610"/>
      </w:tblGrid>
      <w:tr w14:paraId="419FE88A">
        <w:trPr>
          <w:cantSplit/>
        </w:trPr>
        <w:tc>
          <w:tcPr>
            <w:tcW w:w="1800" w:type="dxa"/>
            <w:tcBorders>
              <w:top w:val="single" w:color="auto" w:sz="6" w:space="0"/>
              <w:left w:val="single" w:color="auto" w:sz="6" w:space="0"/>
              <w:bottom w:val="single" w:color="auto" w:sz="6" w:space="0"/>
              <w:right w:val="single" w:color="auto" w:sz="6" w:space="0"/>
            </w:tcBorders>
          </w:tcPr>
          <w:p w14:paraId="11A34F24">
            <w:pPr>
              <w:spacing w:line="560" w:lineRule="exact"/>
              <w:rPr>
                <w:rFonts w:ascii="微软雅黑" w:hAnsi="微软雅黑" w:eastAsia="微软雅黑"/>
                <w:szCs w:val="21"/>
              </w:rPr>
            </w:pPr>
            <w:r>
              <w:rPr>
                <w:rFonts w:hint="eastAsia" w:ascii="微软雅黑" w:hAnsi="微软雅黑" w:eastAsia="微软雅黑"/>
                <w:szCs w:val="21"/>
              </w:rPr>
              <w:t>项目名称：</w:t>
            </w:r>
          </w:p>
        </w:tc>
        <w:tc>
          <w:tcPr>
            <w:tcW w:w="3330" w:type="dxa"/>
            <w:tcBorders>
              <w:top w:val="single" w:color="auto" w:sz="6" w:space="0"/>
              <w:left w:val="single" w:color="auto" w:sz="6" w:space="0"/>
              <w:bottom w:val="single" w:color="auto" w:sz="6" w:space="0"/>
              <w:right w:val="single" w:color="auto" w:sz="6" w:space="0"/>
            </w:tcBorders>
          </w:tcPr>
          <w:p w14:paraId="44D7AEC4">
            <w:pPr>
              <w:spacing w:line="560" w:lineRule="exact"/>
              <w:rPr>
                <w:rFonts w:ascii="微软雅黑" w:hAnsi="微软雅黑" w:eastAsia="微软雅黑"/>
                <w:szCs w:val="21"/>
              </w:rPr>
            </w:pPr>
          </w:p>
        </w:tc>
        <w:tc>
          <w:tcPr>
            <w:tcW w:w="2070" w:type="dxa"/>
            <w:gridSpan w:val="2"/>
            <w:tcBorders>
              <w:top w:val="single" w:color="auto" w:sz="6" w:space="0"/>
              <w:left w:val="single" w:color="auto" w:sz="6" w:space="0"/>
              <w:bottom w:val="single" w:color="auto" w:sz="6" w:space="0"/>
              <w:right w:val="single" w:color="auto" w:sz="6" w:space="0"/>
            </w:tcBorders>
          </w:tcPr>
          <w:p w14:paraId="065D5BBE">
            <w:pPr>
              <w:spacing w:line="560" w:lineRule="exact"/>
              <w:rPr>
                <w:rFonts w:ascii="微软雅黑" w:hAnsi="微软雅黑" w:eastAsia="微软雅黑"/>
                <w:szCs w:val="21"/>
              </w:rPr>
            </w:pPr>
            <w:r>
              <w:rPr>
                <w:rFonts w:hint="eastAsia" w:ascii="微软雅黑" w:hAnsi="微软雅黑" w:eastAsia="微软雅黑"/>
                <w:szCs w:val="21"/>
              </w:rPr>
              <w:t>起草日期：</w:t>
            </w:r>
          </w:p>
        </w:tc>
        <w:tc>
          <w:tcPr>
            <w:tcW w:w="2610" w:type="dxa"/>
            <w:tcBorders>
              <w:top w:val="single" w:color="auto" w:sz="6" w:space="0"/>
              <w:left w:val="single" w:color="auto" w:sz="6" w:space="0"/>
              <w:bottom w:val="single" w:color="auto" w:sz="6" w:space="0"/>
              <w:right w:val="single" w:color="auto" w:sz="6" w:space="0"/>
            </w:tcBorders>
          </w:tcPr>
          <w:p w14:paraId="03D4DB92">
            <w:pPr>
              <w:spacing w:line="560" w:lineRule="exact"/>
              <w:rPr>
                <w:rFonts w:ascii="微软雅黑" w:hAnsi="微软雅黑" w:eastAsia="微软雅黑"/>
                <w:szCs w:val="21"/>
              </w:rPr>
            </w:pPr>
          </w:p>
        </w:tc>
      </w:tr>
      <w:tr w14:paraId="75C5F23A">
        <w:tblPrEx>
          <w:tblCellMar>
            <w:top w:w="0" w:type="dxa"/>
            <w:left w:w="108" w:type="dxa"/>
            <w:bottom w:w="0" w:type="dxa"/>
            <w:right w:w="108" w:type="dxa"/>
          </w:tblCellMar>
        </w:tblPrEx>
        <w:trPr>
          <w:cantSplit/>
        </w:trPr>
        <w:tc>
          <w:tcPr>
            <w:tcW w:w="1800" w:type="dxa"/>
            <w:tcBorders>
              <w:top w:val="single" w:color="auto" w:sz="6" w:space="0"/>
              <w:left w:val="single" w:color="auto" w:sz="6" w:space="0"/>
              <w:bottom w:val="single" w:color="auto" w:sz="6" w:space="0"/>
              <w:right w:val="single" w:color="auto" w:sz="6" w:space="0"/>
            </w:tcBorders>
          </w:tcPr>
          <w:p w14:paraId="27437BA7">
            <w:pPr>
              <w:spacing w:line="560" w:lineRule="exact"/>
              <w:rPr>
                <w:rFonts w:ascii="微软雅黑" w:hAnsi="微软雅黑" w:eastAsia="微软雅黑"/>
                <w:szCs w:val="21"/>
              </w:rPr>
            </w:pPr>
            <w:r>
              <w:rPr>
                <w:rFonts w:hint="eastAsia" w:ascii="微软雅黑" w:hAnsi="微软雅黑" w:eastAsia="微软雅黑"/>
                <w:szCs w:val="21"/>
              </w:rPr>
              <w:t>项目编号：</w:t>
            </w:r>
          </w:p>
        </w:tc>
        <w:tc>
          <w:tcPr>
            <w:tcW w:w="3330" w:type="dxa"/>
            <w:tcBorders>
              <w:top w:val="single" w:color="auto" w:sz="6" w:space="0"/>
              <w:left w:val="single" w:color="auto" w:sz="6" w:space="0"/>
              <w:bottom w:val="single" w:color="auto" w:sz="6" w:space="0"/>
              <w:right w:val="single" w:color="auto" w:sz="6" w:space="0"/>
            </w:tcBorders>
          </w:tcPr>
          <w:p w14:paraId="3C7C50AC">
            <w:pPr>
              <w:spacing w:line="560" w:lineRule="exact"/>
              <w:rPr>
                <w:rFonts w:ascii="微软雅黑" w:hAnsi="微软雅黑" w:eastAsia="微软雅黑"/>
                <w:szCs w:val="21"/>
              </w:rPr>
            </w:pPr>
          </w:p>
        </w:tc>
        <w:tc>
          <w:tcPr>
            <w:tcW w:w="2070" w:type="dxa"/>
            <w:gridSpan w:val="2"/>
            <w:tcBorders>
              <w:top w:val="single" w:color="auto" w:sz="6" w:space="0"/>
              <w:left w:val="single" w:color="auto" w:sz="6" w:space="0"/>
              <w:bottom w:val="single" w:color="auto" w:sz="6" w:space="0"/>
              <w:right w:val="single" w:color="auto" w:sz="6" w:space="0"/>
            </w:tcBorders>
          </w:tcPr>
          <w:p w14:paraId="41E63E9A">
            <w:pPr>
              <w:spacing w:line="560" w:lineRule="exact"/>
              <w:rPr>
                <w:rFonts w:ascii="微软雅黑" w:hAnsi="微软雅黑" w:eastAsia="微软雅黑"/>
                <w:szCs w:val="21"/>
              </w:rPr>
            </w:pPr>
            <w:r>
              <w:rPr>
                <w:rFonts w:hint="eastAsia" w:ascii="微软雅黑" w:hAnsi="微软雅黑" w:eastAsia="微软雅黑"/>
                <w:szCs w:val="21"/>
              </w:rPr>
              <w:t>变更单号：</w:t>
            </w:r>
          </w:p>
        </w:tc>
        <w:tc>
          <w:tcPr>
            <w:tcW w:w="2610" w:type="dxa"/>
            <w:tcBorders>
              <w:top w:val="single" w:color="auto" w:sz="6" w:space="0"/>
              <w:left w:val="single" w:color="auto" w:sz="6" w:space="0"/>
              <w:bottom w:val="single" w:color="auto" w:sz="6" w:space="0"/>
              <w:right w:val="single" w:color="auto" w:sz="6" w:space="0"/>
            </w:tcBorders>
          </w:tcPr>
          <w:p w14:paraId="3E0C843A">
            <w:pPr>
              <w:spacing w:line="560" w:lineRule="exact"/>
              <w:rPr>
                <w:rFonts w:ascii="微软雅黑" w:hAnsi="微软雅黑" w:eastAsia="微软雅黑"/>
                <w:szCs w:val="21"/>
              </w:rPr>
            </w:pPr>
          </w:p>
        </w:tc>
      </w:tr>
      <w:tr w14:paraId="6FB201C5">
        <w:tblPrEx>
          <w:tblCellMar>
            <w:top w:w="0" w:type="dxa"/>
            <w:left w:w="108" w:type="dxa"/>
            <w:bottom w:w="0" w:type="dxa"/>
            <w:right w:w="108" w:type="dxa"/>
          </w:tblCellMar>
        </w:tblPrEx>
        <w:trPr>
          <w:cantSplit/>
          <w:trHeight w:val="282" w:hRule="atLeast"/>
        </w:trPr>
        <w:tc>
          <w:tcPr>
            <w:tcW w:w="1800" w:type="dxa"/>
            <w:tcBorders>
              <w:top w:val="single" w:color="auto" w:sz="6" w:space="0"/>
              <w:left w:val="single" w:color="auto" w:sz="6" w:space="0"/>
              <w:bottom w:val="single" w:color="auto" w:sz="6" w:space="0"/>
              <w:right w:val="single" w:color="auto" w:sz="6" w:space="0"/>
            </w:tcBorders>
          </w:tcPr>
          <w:p w14:paraId="03F69C1A">
            <w:pPr>
              <w:spacing w:line="560" w:lineRule="exact"/>
              <w:rPr>
                <w:rFonts w:ascii="微软雅黑" w:hAnsi="微软雅黑" w:eastAsia="微软雅黑"/>
                <w:szCs w:val="21"/>
              </w:rPr>
            </w:pPr>
            <w:r>
              <w:rPr>
                <w:rFonts w:hint="eastAsia" w:ascii="微软雅黑" w:hAnsi="微软雅黑" w:eastAsia="微软雅黑"/>
                <w:szCs w:val="21"/>
              </w:rPr>
              <w:t>起草人</w:t>
            </w:r>
            <w:r>
              <w:rPr>
                <w:rFonts w:ascii="微软雅黑" w:hAnsi="微软雅黑" w:eastAsia="微软雅黑"/>
                <w:szCs w:val="21"/>
              </w:rPr>
              <w:t>/角色：</w:t>
            </w:r>
          </w:p>
        </w:tc>
        <w:tc>
          <w:tcPr>
            <w:tcW w:w="8010" w:type="dxa"/>
            <w:gridSpan w:val="4"/>
            <w:tcBorders>
              <w:top w:val="single" w:color="auto" w:sz="6" w:space="0"/>
              <w:left w:val="single" w:color="auto" w:sz="6" w:space="0"/>
              <w:bottom w:val="single" w:color="auto" w:sz="6" w:space="0"/>
              <w:right w:val="single" w:color="auto" w:sz="6" w:space="0"/>
            </w:tcBorders>
          </w:tcPr>
          <w:p w14:paraId="725D6798">
            <w:pPr>
              <w:spacing w:line="560" w:lineRule="exact"/>
              <w:rPr>
                <w:rFonts w:ascii="微软雅黑" w:hAnsi="微软雅黑" w:eastAsia="微软雅黑"/>
                <w:szCs w:val="21"/>
              </w:rPr>
            </w:pPr>
          </w:p>
        </w:tc>
      </w:tr>
      <w:tr w14:paraId="2FD0CBCC">
        <w:tblPrEx>
          <w:tblCellMar>
            <w:top w:w="0" w:type="dxa"/>
            <w:left w:w="108" w:type="dxa"/>
            <w:bottom w:w="0" w:type="dxa"/>
            <w:right w:w="108" w:type="dxa"/>
          </w:tblCellMar>
        </w:tblPrEx>
        <w:trPr>
          <w:cantSplit/>
          <w:trHeight w:val="620" w:hRule="atLeast"/>
        </w:trPr>
        <w:tc>
          <w:tcPr>
            <w:tcW w:w="1800" w:type="dxa"/>
            <w:tcBorders>
              <w:top w:val="single" w:color="auto" w:sz="6" w:space="0"/>
              <w:left w:val="single" w:color="auto" w:sz="6" w:space="0"/>
              <w:bottom w:val="single" w:color="auto" w:sz="6" w:space="0"/>
              <w:right w:val="single" w:color="auto" w:sz="6" w:space="0"/>
            </w:tcBorders>
            <w:vAlign w:val="center"/>
          </w:tcPr>
          <w:p w14:paraId="496C5307">
            <w:pPr>
              <w:spacing w:line="560" w:lineRule="exact"/>
              <w:rPr>
                <w:rFonts w:ascii="微软雅黑" w:hAnsi="微软雅黑" w:eastAsia="微软雅黑"/>
                <w:szCs w:val="21"/>
              </w:rPr>
            </w:pPr>
            <w:r>
              <w:rPr>
                <w:rFonts w:hint="eastAsia" w:ascii="微软雅黑" w:hAnsi="微软雅黑" w:eastAsia="微软雅黑"/>
                <w:szCs w:val="21"/>
              </w:rPr>
              <w:t>变更类型</w:t>
            </w:r>
          </w:p>
        </w:tc>
        <w:tc>
          <w:tcPr>
            <w:tcW w:w="8010" w:type="dxa"/>
            <w:gridSpan w:val="4"/>
            <w:tcBorders>
              <w:top w:val="single" w:color="auto" w:sz="6" w:space="0"/>
              <w:left w:val="single" w:color="auto" w:sz="6" w:space="0"/>
              <w:bottom w:val="single" w:color="auto" w:sz="6" w:space="0"/>
              <w:right w:val="single" w:color="auto" w:sz="6" w:space="0"/>
            </w:tcBorders>
          </w:tcPr>
          <w:p w14:paraId="58C5CD5C">
            <w:pPr>
              <w:spacing w:line="560" w:lineRule="exact"/>
              <w:rPr>
                <w:rFonts w:ascii="微软雅黑" w:hAnsi="微软雅黑" w:eastAsia="微软雅黑"/>
                <w:szCs w:val="21"/>
              </w:rPr>
            </w:pPr>
          </w:p>
        </w:tc>
      </w:tr>
      <w:tr w14:paraId="0168B805">
        <w:tblPrEx>
          <w:tblCellMar>
            <w:top w:w="0" w:type="dxa"/>
            <w:left w:w="108" w:type="dxa"/>
            <w:bottom w:w="0" w:type="dxa"/>
            <w:right w:w="108" w:type="dxa"/>
          </w:tblCellMar>
        </w:tblPrEx>
        <w:trPr>
          <w:cantSplit/>
          <w:trHeight w:val="620" w:hRule="atLeast"/>
        </w:trPr>
        <w:tc>
          <w:tcPr>
            <w:tcW w:w="1800" w:type="dxa"/>
            <w:tcBorders>
              <w:top w:val="single" w:color="auto" w:sz="6" w:space="0"/>
              <w:left w:val="single" w:color="auto" w:sz="6" w:space="0"/>
              <w:bottom w:val="single" w:color="auto" w:sz="6" w:space="0"/>
              <w:right w:val="single" w:color="auto" w:sz="6" w:space="0"/>
            </w:tcBorders>
            <w:vAlign w:val="center"/>
          </w:tcPr>
          <w:p w14:paraId="41EF61E7">
            <w:pPr>
              <w:spacing w:line="560" w:lineRule="exact"/>
              <w:rPr>
                <w:rFonts w:ascii="微软雅黑" w:hAnsi="微软雅黑" w:eastAsia="微软雅黑"/>
                <w:szCs w:val="21"/>
              </w:rPr>
            </w:pPr>
            <w:r>
              <w:rPr>
                <w:rFonts w:hint="eastAsia" w:ascii="微软雅黑" w:hAnsi="微软雅黑" w:eastAsia="微软雅黑"/>
                <w:szCs w:val="21"/>
              </w:rPr>
              <w:t>关联模块</w:t>
            </w:r>
          </w:p>
        </w:tc>
        <w:tc>
          <w:tcPr>
            <w:tcW w:w="8010" w:type="dxa"/>
            <w:gridSpan w:val="4"/>
            <w:tcBorders>
              <w:top w:val="single" w:color="auto" w:sz="6" w:space="0"/>
              <w:left w:val="single" w:color="auto" w:sz="6" w:space="0"/>
              <w:bottom w:val="single" w:color="auto" w:sz="6" w:space="0"/>
              <w:right w:val="single" w:color="auto" w:sz="6" w:space="0"/>
            </w:tcBorders>
          </w:tcPr>
          <w:p w14:paraId="6D5D282A">
            <w:pPr>
              <w:spacing w:line="560" w:lineRule="exact"/>
              <w:rPr>
                <w:rFonts w:ascii="微软雅黑" w:hAnsi="微软雅黑" w:eastAsia="微软雅黑"/>
                <w:szCs w:val="21"/>
              </w:rPr>
            </w:pPr>
          </w:p>
        </w:tc>
      </w:tr>
      <w:tr w14:paraId="3AC90AD0">
        <w:tblPrEx>
          <w:tblCellMar>
            <w:top w:w="0" w:type="dxa"/>
            <w:left w:w="108" w:type="dxa"/>
            <w:bottom w:w="0" w:type="dxa"/>
            <w:right w:w="108" w:type="dxa"/>
          </w:tblCellMar>
        </w:tblPrEx>
        <w:trPr>
          <w:cantSplit/>
          <w:trHeight w:val="1081" w:hRule="atLeast"/>
        </w:trPr>
        <w:tc>
          <w:tcPr>
            <w:tcW w:w="1800" w:type="dxa"/>
            <w:tcBorders>
              <w:top w:val="single" w:color="auto" w:sz="6" w:space="0"/>
              <w:left w:val="single" w:color="auto" w:sz="6" w:space="0"/>
              <w:bottom w:val="single" w:color="auto" w:sz="6" w:space="0"/>
              <w:right w:val="single" w:color="auto" w:sz="6" w:space="0"/>
            </w:tcBorders>
            <w:vAlign w:val="center"/>
          </w:tcPr>
          <w:p w14:paraId="25B45A66">
            <w:pPr>
              <w:spacing w:line="560" w:lineRule="exact"/>
              <w:rPr>
                <w:rFonts w:ascii="微软雅黑" w:hAnsi="微软雅黑" w:eastAsia="微软雅黑"/>
                <w:szCs w:val="21"/>
              </w:rPr>
            </w:pPr>
            <w:r>
              <w:rPr>
                <w:rFonts w:hint="eastAsia" w:ascii="微软雅黑" w:hAnsi="微软雅黑" w:eastAsia="微软雅黑"/>
                <w:szCs w:val="21"/>
              </w:rPr>
              <w:t>变更详细描述</w:t>
            </w:r>
          </w:p>
        </w:tc>
        <w:tc>
          <w:tcPr>
            <w:tcW w:w="8010" w:type="dxa"/>
            <w:gridSpan w:val="4"/>
            <w:tcBorders>
              <w:top w:val="single" w:color="auto" w:sz="6" w:space="0"/>
              <w:left w:val="single" w:color="auto" w:sz="6" w:space="0"/>
              <w:bottom w:val="single" w:color="auto" w:sz="6" w:space="0"/>
              <w:right w:val="single" w:color="auto" w:sz="6" w:space="0"/>
            </w:tcBorders>
          </w:tcPr>
          <w:p w14:paraId="0711B9A7">
            <w:pPr>
              <w:spacing w:line="560" w:lineRule="exact"/>
              <w:rPr>
                <w:rFonts w:ascii="微软雅黑" w:hAnsi="微软雅黑" w:eastAsia="微软雅黑"/>
                <w:szCs w:val="21"/>
              </w:rPr>
            </w:pPr>
          </w:p>
        </w:tc>
      </w:tr>
      <w:tr w14:paraId="332C17BB">
        <w:tblPrEx>
          <w:tblCellMar>
            <w:top w:w="0" w:type="dxa"/>
            <w:left w:w="108" w:type="dxa"/>
            <w:bottom w:w="0" w:type="dxa"/>
            <w:right w:w="108" w:type="dxa"/>
          </w:tblCellMar>
        </w:tblPrEx>
        <w:trPr>
          <w:cantSplit/>
          <w:trHeight w:val="282" w:hRule="atLeast"/>
        </w:trPr>
        <w:tc>
          <w:tcPr>
            <w:tcW w:w="1800" w:type="dxa"/>
            <w:tcBorders>
              <w:top w:val="single" w:color="auto" w:sz="6" w:space="0"/>
              <w:left w:val="single" w:color="auto" w:sz="6" w:space="0"/>
              <w:bottom w:val="single" w:color="auto" w:sz="6" w:space="0"/>
              <w:right w:val="single" w:color="auto" w:sz="6" w:space="0"/>
            </w:tcBorders>
          </w:tcPr>
          <w:p w14:paraId="39F2B616">
            <w:pPr>
              <w:spacing w:line="560" w:lineRule="exact"/>
              <w:rPr>
                <w:rFonts w:ascii="微软雅黑" w:hAnsi="微软雅黑" w:eastAsia="微软雅黑"/>
                <w:szCs w:val="21"/>
              </w:rPr>
            </w:pPr>
            <w:r>
              <w:rPr>
                <w:rFonts w:hint="eastAsia" w:ascii="微软雅黑" w:hAnsi="微软雅黑" w:eastAsia="微软雅黑"/>
                <w:szCs w:val="21"/>
              </w:rPr>
              <w:t>变更原因</w:t>
            </w:r>
          </w:p>
        </w:tc>
        <w:tc>
          <w:tcPr>
            <w:tcW w:w="8010" w:type="dxa"/>
            <w:gridSpan w:val="4"/>
            <w:tcBorders>
              <w:top w:val="single" w:color="auto" w:sz="6" w:space="0"/>
              <w:left w:val="single" w:color="auto" w:sz="6" w:space="0"/>
              <w:bottom w:val="single" w:color="auto" w:sz="6" w:space="0"/>
              <w:right w:val="single" w:color="auto" w:sz="6" w:space="0"/>
            </w:tcBorders>
          </w:tcPr>
          <w:p w14:paraId="1020632A">
            <w:pPr>
              <w:spacing w:line="560" w:lineRule="exact"/>
              <w:rPr>
                <w:rFonts w:ascii="微软雅黑" w:hAnsi="微软雅黑" w:eastAsia="微软雅黑"/>
                <w:szCs w:val="21"/>
              </w:rPr>
            </w:pPr>
          </w:p>
        </w:tc>
      </w:tr>
      <w:tr w14:paraId="2D2779F0">
        <w:tblPrEx>
          <w:tblCellMar>
            <w:top w:w="0" w:type="dxa"/>
            <w:left w:w="108" w:type="dxa"/>
            <w:bottom w:w="0" w:type="dxa"/>
            <w:right w:w="108" w:type="dxa"/>
          </w:tblCellMar>
        </w:tblPrEx>
        <w:trPr>
          <w:cantSplit/>
          <w:trHeight w:val="282" w:hRule="atLeast"/>
        </w:trPr>
        <w:tc>
          <w:tcPr>
            <w:tcW w:w="1800" w:type="dxa"/>
            <w:tcBorders>
              <w:top w:val="single" w:color="auto" w:sz="6" w:space="0"/>
              <w:left w:val="single" w:color="auto" w:sz="6" w:space="0"/>
              <w:bottom w:val="single" w:color="auto" w:sz="6" w:space="0"/>
              <w:right w:val="single" w:color="auto" w:sz="6" w:space="0"/>
            </w:tcBorders>
          </w:tcPr>
          <w:p w14:paraId="51FC8264">
            <w:pPr>
              <w:spacing w:line="560" w:lineRule="exact"/>
              <w:rPr>
                <w:rFonts w:ascii="微软雅黑" w:hAnsi="微软雅黑" w:eastAsia="微软雅黑"/>
                <w:szCs w:val="21"/>
              </w:rPr>
            </w:pPr>
            <w:r>
              <w:rPr>
                <w:rFonts w:hint="eastAsia" w:ascii="微软雅黑" w:hAnsi="微软雅黑" w:eastAsia="微软雅黑"/>
                <w:szCs w:val="21"/>
              </w:rPr>
              <w:t>预期目标</w:t>
            </w:r>
          </w:p>
        </w:tc>
        <w:tc>
          <w:tcPr>
            <w:tcW w:w="8010" w:type="dxa"/>
            <w:gridSpan w:val="4"/>
            <w:tcBorders>
              <w:top w:val="single" w:color="auto" w:sz="6" w:space="0"/>
              <w:left w:val="single" w:color="auto" w:sz="6" w:space="0"/>
              <w:bottom w:val="single" w:color="auto" w:sz="6" w:space="0"/>
              <w:right w:val="single" w:color="auto" w:sz="6" w:space="0"/>
            </w:tcBorders>
          </w:tcPr>
          <w:p w14:paraId="02626557">
            <w:pPr>
              <w:spacing w:line="560" w:lineRule="exact"/>
              <w:rPr>
                <w:rFonts w:ascii="微软雅黑" w:hAnsi="微软雅黑" w:eastAsia="微软雅黑"/>
                <w:szCs w:val="21"/>
              </w:rPr>
            </w:pPr>
          </w:p>
        </w:tc>
      </w:tr>
      <w:tr w14:paraId="5D35ECFE">
        <w:tblPrEx>
          <w:tblCellMar>
            <w:top w:w="0" w:type="dxa"/>
            <w:left w:w="108" w:type="dxa"/>
            <w:bottom w:w="0" w:type="dxa"/>
            <w:right w:w="108" w:type="dxa"/>
          </w:tblCellMar>
        </w:tblPrEx>
        <w:trPr>
          <w:cantSplit/>
          <w:trHeight w:val="282" w:hRule="atLeast"/>
        </w:trPr>
        <w:tc>
          <w:tcPr>
            <w:tcW w:w="1800" w:type="dxa"/>
            <w:tcBorders>
              <w:top w:val="single" w:color="auto" w:sz="6" w:space="0"/>
              <w:left w:val="single" w:color="auto" w:sz="6" w:space="0"/>
              <w:bottom w:val="single" w:color="auto" w:sz="6" w:space="0"/>
              <w:right w:val="single" w:color="auto" w:sz="6" w:space="0"/>
            </w:tcBorders>
          </w:tcPr>
          <w:p w14:paraId="3F0138D6">
            <w:pPr>
              <w:spacing w:line="560" w:lineRule="exact"/>
              <w:rPr>
                <w:rFonts w:ascii="微软雅黑" w:hAnsi="微软雅黑" w:eastAsia="微软雅黑"/>
                <w:szCs w:val="21"/>
              </w:rPr>
            </w:pPr>
            <w:r>
              <w:rPr>
                <w:rFonts w:hint="eastAsia" w:ascii="微软雅黑" w:hAnsi="微软雅黑" w:eastAsia="微软雅黑"/>
                <w:szCs w:val="21"/>
              </w:rPr>
              <w:t>建议解决方案</w:t>
            </w:r>
          </w:p>
        </w:tc>
        <w:tc>
          <w:tcPr>
            <w:tcW w:w="8010" w:type="dxa"/>
            <w:gridSpan w:val="4"/>
            <w:tcBorders>
              <w:top w:val="single" w:color="auto" w:sz="6" w:space="0"/>
              <w:left w:val="single" w:color="auto" w:sz="6" w:space="0"/>
              <w:bottom w:val="single" w:color="auto" w:sz="6" w:space="0"/>
              <w:right w:val="single" w:color="auto" w:sz="6" w:space="0"/>
            </w:tcBorders>
          </w:tcPr>
          <w:p w14:paraId="48C2AAAE">
            <w:pPr>
              <w:spacing w:line="560" w:lineRule="exact"/>
              <w:rPr>
                <w:rFonts w:ascii="微软雅黑" w:hAnsi="微软雅黑" w:eastAsia="微软雅黑"/>
                <w:szCs w:val="21"/>
              </w:rPr>
            </w:pPr>
            <w:r>
              <w:rPr>
                <w:rFonts w:hint="eastAsia" w:ascii="微软雅黑" w:hAnsi="微软雅黑" w:eastAsia="微软雅黑"/>
                <w:i/>
                <w:iCs/>
                <w:szCs w:val="21"/>
              </w:rPr>
              <w:t>提出方建议的实施方案</w:t>
            </w:r>
          </w:p>
        </w:tc>
      </w:tr>
      <w:tr w14:paraId="1E0CC158">
        <w:tblPrEx>
          <w:tblCellMar>
            <w:top w:w="0" w:type="dxa"/>
            <w:left w:w="108" w:type="dxa"/>
            <w:bottom w:w="0" w:type="dxa"/>
            <w:right w:w="108" w:type="dxa"/>
          </w:tblCellMar>
        </w:tblPrEx>
        <w:trPr>
          <w:cantSplit/>
          <w:trHeight w:val="282" w:hRule="atLeast"/>
        </w:trPr>
        <w:tc>
          <w:tcPr>
            <w:tcW w:w="1800" w:type="dxa"/>
            <w:tcBorders>
              <w:top w:val="single" w:color="auto" w:sz="6" w:space="0"/>
              <w:left w:val="single" w:color="auto" w:sz="6" w:space="0"/>
              <w:bottom w:val="single" w:color="auto" w:sz="6" w:space="0"/>
              <w:right w:val="single" w:color="auto" w:sz="6" w:space="0"/>
            </w:tcBorders>
          </w:tcPr>
          <w:p w14:paraId="5DBFA003">
            <w:pPr>
              <w:spacing w:line="560" w:lineRule="exact"/>
              <w:rPr>
                <w:rFonts w:ascii="微软雅黑" w:hAnsi="微软雅黑" w:eastAsia="微软雅黑"/>
                <w:szCs w:val="21"/>
              </w:rPr>
            </w:pPr>
            <w:r>
              <w:rPr>
                <w:rFonts w:hint="eastAsia" w:ascii="微软雅黑" w:hAnsi="微软雅黑" w:eastAsia="微软雅黑"/>
                <w:szCs w:val="21"/>
              </w:rPr>
              <w:t>评估意见</w:t>
            </w:r>
          </w:p>
        </w:tc>
        <w:tc>
          <w:tcPr>
            <w:tcW w:w="4005" w:type="dxa"/>
            <w:gridSpan w:val="2"/>
            <w:tcBorders>
              <w:top w:val="single" w:color="auto" w:sz="6" w:space="0"/>
              <w:left w:val="single" w:color="auto" w:sz="6" w:space="0"/>
              <w:bottom w:val="single" w:color="auto" w:sz="6" w:space="0"/>
              <w:right w:val="single" w:color="auto" w:sz="6" w:space="0"/>
            </w:tcBorders>
          </w:tcPr>
          <w:p w14:paraId="6DF0EF5F">
            <w:pPr>
              <w:spacing w:line="560" w:lineRule="exact"/>
              <w:jc w:val="center"/>
              <w:rPr>
                <w:rFonts w:ascii="微软雅黑" w:hAnsi="微软雅黑" w:eastAsia="微软雅黑"/>
                <w:szCs w:val="21"/>
              </w:rPr>
            </w:pPr>
            <w:r>
              <w:rPr>
                <w:rFonts w:hint="eastAsia" w:ascii="微软雅黑" w:hAnsi="微软雅黑" w:eastAsia="微软雅黑"/>
                <w:szCs w:val="21"/>
              </w:rPr>
              <w:t>投标方项目经理评估</w:t>
            </w:r>
          </w:p>
        </w:tc>
        <w:tc>
          <w:tcPr>
            <w:tcW w:w="4005" w:type="dxa"/>
            <w:gridSpan w:val="2"/>
            <w:tcBorders>
              <w:top w:val="single" w:color="auto" w:sz="6" w:space="0"/>
              <w:left w:val="single" w:color="auto" w:sz="6" w:space="0"/>
              <w:bottom w:val="single" w:color="auto" w:sz="6" w:space="0"/>
              <w:right w:val="single" w:color="auto" w:sz="6" w:space="0"/>
            </w:tcBorders>
          </w:tcPr>
          <w:p w14:paraId="5AA55BF2">
            <w:pPr>
              <w:spacing w:line="560" w:lineRule="exact"/>
              <w:jc w:val="center"/>
              <w:rPr>
                <w:rFonts w:ascii="微软雅黑" w:hAnsi="微软雅黑" w:eastAsia="微软雅黑"/>
                <w:szCs w:val="21"/>
              </w:rPr>
            </w:pPr>
            <w:r>
              <w:rPr>
                <w:rFonts w:hint="eastAsia" w:ascii="微软雅黑" w:hAnsi="微软雅黑" w:eastAsia="微软雅黑"/>
                <w:szCs w:val="21"/>
              </w:rPr>
              <w:t>招标方项目经理评估</w:t>
            </w:r>
          </w:p>
        </w:tc>
      </w:tr>
      <w:tr w14:paraId="42FC1500">
        <w:tblPrEx>
          <w:tblCellMar>
            <w:top w:w="0" w:type="dxa"/>
            <w:left w:w="108" w:type="dxa"/>
            <w:bottom w:w="0" w:type="dxa"/>
            <w:right w:w="108" w:type="dxa"/>
          </w:tblCellMar>
        </w:tblPrEx>
        <w:trPr>
          <w:cantSplit/>
          <w:trHeight w:val="2237" w:hRule="atLeast"/>
        </w:trPr>
        <w:tc>
          <w:tcPr>
            <w:tcW w:w="1800" w:type="dxa"/>
            <w:tcBorders>
              <w:top w:val="single" w:color="auto" w:sz="6" w:space="0"/>
              <w:left w:val="single" w:color="auto" w:sz="6" w:space="0"/>
              <w:bottom w:val="single" w:color="auto" w:sz="6" w:space="0"/>
              <w:right w:val="single" w:color="auto" w:sz="6" w:space="0"/>
            </w:tcBorders>
            <w:vAlign w:val="center"/>
          </w:tcPr>
          <w:p w14:paraId="5E9D03B4">
            <w:pPr>
              <w:spacing w:line="560" w:lineRule="exact"/>
              <w:rPr>
                <w:rFonts w:ascii="微软雅黑" w:hAnsi="微软雅黑" w:eastAsia="微软雅黑"/>
                <w:szCs w:val="21"/>
              </w:rPr>
            </w:pPr>
            <w:r>
              <w:rPr>
                <w:rFonts w:hint="eastAsia" w:ascii="微软雅黑" w:hAnsi="微软雅黑" w:eastAsia="微软雅黑"/>
                <w:szCs w:val="21"/>
              </w:rPr>
              <w:t>范围、进度、成本、</w:t>
            </w:r>
          </w:p>
          <w:p w14:paraId="5E126F99">
            <w:pPr>
              <w:spacing w:line="560" w:lineRule="exact"/>
              <w:rPr>
                <w:rFonts w:ascii="微软雅黑" w:hAnsi="微软雅黑" w:eastAsia="微软雅黑"/>
                <w:szCs w:val="21"/>
              </w:rPr>
            </w:pPr>
            <w:r>
              <w:rPr>
                <w:rFonts w:hint="eastAsia" w:ascii="微软雅黑" w:hAnsi="微软雅黑" w:eastAsia="微软雅黑"/>
                <w:szCs w:val="21"/>
              </w:rPr>
              <w:t>技术等方面影响</w:t>
            </w:r>
          </w:p>
        </w:tc>
        <w:tc>
          <w:tcPr>
            <w:tcW w:w="4005" w:type="dxa"/>
            <w:gridSpan w:val="2"/>
            <w:tcBorders>
              <w:top w:val="single" w:color="auto" w:sz="6" w:space="0"/>
              <w:left w:val="single" w:color="auto" w:sz="6" w:space="0"/>
              <w:bottom w:val="single" w:color="auto" w:sz="6" w:space="0"/>
              <w:right w:val="single" w:color="auto" w:sz="6" w:space="0"/>
            </w:tcBorders>
          </w:tcPr>
          <w:p w14:paraId="7B4BA0E8">
            <w:pPr>
              <w:spacing w:line="560" w:lineRule="exact"/>
              <w:rPr>
                <w:rFonts w:ascii="微软雅黑" w:hAnsi="微软雅黑" w:eastAsia="微软雅黑"/>
                <w:szCs w:val="21"/>
              </w:rPr>
            </w:pPr>
          </w:p>
        </w:tc>
        <w:tc>
          <w:tcPr>
            <w:tcW w:w="4005" w:type="dxa"/>
            <w:gridSpan w:val="2"/>
            <w:tcBorders>
              <w:top w:val="single" w:color="auto" w:sz="6" w:space="0"/>
              <w:left w:val="single" w:color="auto" w:sz="6" w:space="0"/>
              <w:bottom w:val="single" w:color="auto" w:sz="6" w:space="0"/>
              <w:right w:val="single" w:color="auto" w:sz="6" w:space="0"/>
            </w:tcBorders>
          </w:tcPr>
          <w:p w14:paraId="37006FA8">
            <w:pPr>
              <w:spacing w:line="560" w:lineRule="exact"/>
              <w:rPr>
                <w:rFonts w:ascii="微软雅黑" w:hAnsi="微软雅黑" w:eastAsia="微软雅黑"/>
                <w:szCs w:val="21"/>
              </w:rPr>
            </w:pPr>
          </w:p>
        </w:tc>
      </w:tr>
      <w:tr w14:paraId="78CB01A1">
        <w:tblPrEx>
          <w:tblCellMar>
            <w:top w:w="0" w:type="dxa"/>
            <w:left w:w="108" w:type="dxa"/>
            <w:bottom w:w="0" w:type="dxa"/>
            <w:right w:w="108" w:type="dxa"/>
          </w:tblCellMar>
        </w:tblPrEx>
        <w:trPr>
          <w:cantSplit/>
          <w:trHeight w:val="1781" w:hRule="atLeast"/>
        </w:trPr>
        <w:tc>
          <w:tcPr>
            <w:tcW w:w="1800" w:type="dxa"/>
            <w:tcBorders>
              <w:top w:val="single" w:color="auto" w:sz="6" w:space="0"/>
              <w:left w:val="single" w:color="auto" w:sz="6" w:space="0"/>
              <w:bottom w:val="single" w:color="auto" w:sz="6" w:space="0"/>
              <w:right w:val="single" w:color="auto" w:sz="6" w:space="0"/>
            </w:tcBorders>
            <w:vAlign w:val="center"/>
          </w:tcPr>
          <w:p w14:paraId="41B1E449">
            <w:pPr>
              <w:spacing w:line="560" w:lineRule="exact"/>
              <w:rPr>
                <w:rFonts w:ascii="微软雅黑" w:hAnsi="微软雅黑" w:eastAsia="微软雅黑"/>
                <w:szCs w:val="21"/>
              </w:rPr>
            </w:pPr>
            <w:r>
              <w:rPr>
                <w:rFonts w:hint="eastAsia" w:ascii="微软雅黑" w:hAnsi="微软雅黑" w:eastAsia="微软雅黑"/>
                <w:szCs w:val="21"/>
              </w:rPr>
              <w:t>主管领导</w:t>
            </w:r>
          </w:p>
        </w:tc>
        <w:tc>
          <w:tcPr>
            <w:tcW w:w="4005" w:type="dxa"/>
            <w:gridSpan w:val="2"/>
            <w:tcBorders>
              <w:top w:val="single" w:color="auto" w:sz="6" w:space="0"/>
              <w:left w:val="single" w:color="auto" w:sz="6" w:space="0"/>
              <w:bottom w:val="single" w:color="auto" w:sz="6" w:space="0"/>
              <w:right w:val="single" w:color="auto" w:sz="6" w:space="0"/>
            </w:tcBorders>
          </w:tcPr>
          <w:p w14:paraId="378F9DA6">
            <w:pPr>
              <w:spacing w:line="560" w:lineRule="exact"/>
              <w:rPr>
                <w:rFonts w:ascii="微软雅黑" w:hAnsi="微软雅黑" w:eastAsia="微软雅黑"/>
                <w:szCs w:val="21"/>
              </w:rPr>
            </w:pPr>
          </w:p>
        </w:tc>
        <w:tc>
          <w:tcPr>
            <w:tcW w:w="4005" w:type="dxa"/>
            <w:gridSpan w:val="2"/>
            <w:tcBorders>
              <w:top w:val="single" w:color="auto" w:sz="6" w:space="0"/>
              <w:left w:val="single" w:color="auto" w:sz="6" w:space="0"/>
              <w:bottom w:val="single" w:color="auto" w:sz="6" w:space="0"/>
              <w:right w:val="single" w:color="auto" w:sz="6" w:space="0"/>
            </w:tcBorders>
          </w:tcPr>
          <w:p w14:paraId="076994AF">
            <w:pPr>
              <w:spacing w:line="560" w:lineRule="exact"/>
              <w:rPr>
                <w:rFonts w:ascii="微软雅黑" w:hAnsi="微软雅黑" w:eastAsia="微软雅黑"/>
                <w:szCs w:val="21"/>
              </w:rPr>
            </w:pPr>
          </w:p>
        </w:tc>
      </w:tr>
    </w:tbl>
    <w:p w14:paraId="0B7BFD08">
      <w:pPr>
        <w:spacing w:line="560" w:lineRule="exact"/>
        <w:ind w:left="454"/>
      </w:pPr>
    </w:p>
    <w:p w14:paraId="4F4CE568">
      <w:pPr>
        <w:pStyle w:val="19"/>
        <w:numPr>
          <w:ilvl w:val="0"/>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▲培训要求</w:t>
      </w:r>
    </w:p>
    <w:p w14:paraId="227818AE">
      <w:pPr>
        <w:numPr>
          <w:ilvl w:val="0"/>
          <w:numId w:val="38"/>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投标方需要制定详细的培训方案，并制作全套的培训资料，该资料要求包含但不仅限于:最终客户培训、业务培训、系统应用培训、系统管理员培训、系统架构原理培训、数据库管理培训、业务管理员培训、软件安装配置培训等，并提供全套培训文件（纸质资料和电子资料）。</w:t>
      </w:r>
    </w:p>
    <w:p w14:paraId="0FBC6556">
      <w:pPr>
        <w:numPr>
          <w:ilvl w:val="0"/>
          <w:numId w:val="38"/>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现场培训：针对不同层次人员分别进行培训。</w:t>
      </w:r>
    </w:p>
    <w:p w14:paraId="1CC74066">
      <w:pPr>
        <w:numPr>
          <w:ilvl w:val="0"/>
          <w:numId w:val="38"/>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用户培训：受培训人员在培训后能熟练进行业务操作，并能达到可以继续为其他人作培训的能力。</w:t>
      </w:r>
    </w:p>
    <w:p w14:paraId="722D4D76">
      <w:pPr>
        <w:numPr>
          <w:ilvl w:val="0"/>
          <w:numId w:val="38"/>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技术培训：最终招标方的技术人员应能独立完成系统运行、二次开发、报表开发、接口开发、运维等相关的技术工作。</w:t>
      </w:r>
    </w:p>
    <w:p w14:paraId="7981837F">
      <w:pPr>
        <w:numPr>
          <w:ilvl w:val="0"/>
          <w:numId w:val="38"/>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培训时长：至少80小时。</w:t>
      </w:r>
    </w:p>
    <w:p w14:paraId="18C01059">
      <w:pPr>
        <w:numPr>
          <w:ilvl w:val="0"/>
          <w:numId w:val="38"/>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招标方日后对该软件有二次培训需求，投标方将为招标方无条件提供二次培训。培训后应由招标方对培训效果进行签字确认。</w:t>
      </w:r>
    </w:p>
    <w:p w14:paraId="0254E619">
      <w:pPr>
        <w:pStyle w:val="19"/>
        <w:numPr>
          <w:ilvl w:val="0"/>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安装与调试</w:t>
      </w:r>
    </w:p>
    <w:p w14:paraId="59185B5B">
      <w:pPr>
        <w:numPr>
          <w:ilvl w:val="0"/>
          <w:numId w:val="39"/>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投标方提供软件的现场安装和调试服务，并承担相应的全部费用。</w:t>
      </w:r>
    </w:p>
    <w:p w14:paraId="6EF30F17">
      <w:pPr>
        <w:numPr>
          <w:ilvl w:val="0"/>
          <w:numId w:val="39"/>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投标方应在货物到达项目现场一周前，向招标方提供详细供货清单。当货物到达招标方指定的安装现场后，招标方与投标方应依据供货清单共同对货物进行到货验收，并对品质进行逐项检查。如招标方发现所提供的品质和技术规范不符合要求，招标方有权向投标方提出索赔。</w:t>
      </w:r>
    </w:p>
    <w:p w14:paraId="2E1202A0">
      <w:pPr>
        <w:numPr>
          <w:ilvl w:val="0"/>
          <w:numId w:val="39"/>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对安装有特殊要求时，投标方应在货物安装之前10天以书面形式向招标方提出安装要求，并对招标方提供技术咨询。</w:t>
      </w:r>
    </w:p>
    <w:p w14:paraId="45A9FBA1">
      <w:pPr>
        <w:numPr>
          <w:ilvl w:val="0"/>
          <w:numId w:val="39"/>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甲、乙双方指定代表按合同和本协议规定的内容进行验收并签署《软件/硬件安装调试报告》。</w:t>
      </w:r>
    </w:p>
    <w:p w14:paraId="546288AA">
      <w:pPr>
        <w:pStyle w:val="19"/>
        <w:numPr>
          <w:ilvl w:val="0"/>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验收</w:t>
      </w:r>
    </w:p>
    <w:p w14:paraId="432E3BD4">
      <w:pPr>
        <w:spacing w:line="56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验收按照以下程序和要求进行：</w:t>
      </w:r>
    </w:p>
    <w:p w14:paraId="13D74562">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产品到货安装验收</w:t>
      </w:r>
    </w:p>
    <w:p w14:paraId="4751DBAB">
      <w:pPr>
        <w:pStyle w:val="21"/>
        <w:spacing w:line="560" w:lineRule="exact"/>
        <w:ind w:firstLine="640"/>
        <w:rPr>
          <w:rFonts w:ascii="仿宋_GB2312" w:eastAsia="仿宋_GB2312" w:cs="仿宋_GB2312"/>
          <w:sz w:val="32"/>
          <w:szCs w:val="32"/>
          <w:lang w:bidi="ar"/>
        </w:rPr>
      </w:pPr>
      <w:r>
        <w:rPr>
          <w:rFonts w:hint="eastAsia" w:ascii="仿宋_GB2312" w:eastAsia="仿宋_GB2312" w:cs="仿宋_GB2312"/>
          <w:sz w:val="32"/>
          <w:szCs w:val="32"/>
          <w:lang w:bidi="ar"/>
        </w:rPr>
        <w:t>双方同时在现场情况下，登录验收。确认软硬件版本型号、功能模块、授权数量等符合合同与技术协议的规定，双方共同签署《项目到货验收报告》。</w:t>
      </w:r>
    </w:p>
    <w:p w14:paraId="1455A5E1">
      <w:pPr>
        <w:pStyle w:val="19"/>
        <w:numPr>
          <w:ilvl w:val="1"/>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项目整体验收</w:t>
      </w:r>
    </w:p>
    <w:p w14:paraId="40327F76">
      <w:pPr>
        <w:pStyle w:val="21"/>
        <w:spacing w:line="560" w:lineRule="exact"/>
        <w:ind w:firstLine="640"/>
        <w:rPr>
          <w:rFonts w:ascii="仿宋_GB2312" w:eastAsia="仿宋_GB2312" w:cs="仿宋_GB2312"/>
          <w:sz w:val="32"/>
          <w:szCs w:val="32"/>
          <w:lang w:bidi="ar"/>
        </w:rPr>
      </w:pPr>
      <w:r>
        <w:rPr>
          <w:rFonts w:hint="eastAsia" w:ascii="仿宋_GB2312" w:eastAsia="仿宋_GB2312" w:cs="仿宋_GB2312"/>
          <w:sz w:val="32"/>
          <w:szCs w:val="32"/>
          <w:lang w:bidi="ar"/>
        </w:rPr>
        <w:t>项目验收由投标方提出申请，双方共同</w:t>
      </w:r>
      <w:r>
        <w:rPr>
          <w:rFonts w:ascii="仿宋_GB2312" w:eastAsia="仿宋_GB2312" w:cs="仿宋_GB2312"/>
          <w:sz w:val="32"/>
          <w:szCs w:val="32"/>
          <w:lang w:bidi="ar"/>
        </w:rPr>
        <w:t>确认</w:t>
      </w:r>
      <w:r>
        <w:rPr>
          <w:rFonts w:hint="eastAsia" w:ascii="仿宋_GB2312" w:eastAsia="仿宋_GB2312" w:cs="仿宋_GB2312"/>
          <w:sz w:val="32"/>
          <w:szCs w:val="32"/>
          <w:lang w:bidi="ar"/>
        </w:rPr>
        <w:t>，达到以下要求，并双方共同签署《项目验收报告》后，视为项目整体验收合格。</w:t>
      </w:r>
    </w:p>
    <w:p w14:paraId="02C2F758">
      <w:pPr>
        <w:numPr>
          <w:ilvl w:val="0"/>
          <w:numId w:val="40"/>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所有产品、材料均到货并验收完毕。</w:t>
      </w:r>
    </w:p>
    <w:p w14:paraId="5EC78295">
      <w:pPr>
        <w:numPr>
          <w:ilvl w:val="0"/>
          <w:numId w:val="40"/>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所有产品均正确安装、配置、实现相应功能、达到预期效果；每个功能模块需通过业务流程测试用例且覆盖率≥95%。</w:t>
      </w:r>
    </w:p>
    <w:p w14:paraId="31F4FD78">
      <w:pPr>
        <w:numPr>
          <w:ilvl w:val="0"/>
          <w:numId w:val="40"/>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产品正式许可授权安装配置完成。</w:t>
      </w:r>
    </w:p>
    <w:p w14:paraId="4CC0EFB7">
      <w:pPr>
        <w:numPr>
          <w:ilvl w:val="0"/>
          <w:numId w:val="40"/>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所有产品与工厂其余产品兼容，无冲突，软件产品运行稳定，并协同使用。</w:t>
      </w:r>
    </w:p>
    <w:p w14:paraId="62F92F2B">
      <w:pPr>
        <w:numPr>
          <w:ilvl w:val="0"/>
          <w:numId w:val="40"/>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所有技术文档、说明书、安装文档、配置文件等均已交付。</w:t>
      </w:r>
    </w:p>
    <w:p w14:paraId="20402736">
      <w:pPr>
        <w:numPr>
          <w:ilvl w:val="0"/>
          <w:numId w:val="40"/>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管理人员和相关用户熟练掌握所有产品运行机制、技术原理、相关知识及产品的安装、配置、调试、维护和使用。</w:t>
      </w:r>
    </w:p>
    <w:p w14:paraId="66E6D104">
      <w:pPr>
        <w:numPr>
          <w:ilvl w:val="0"/>
          <w:numId w:val="40"/>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完全实现SOW及蓝图方案中的内容、需求及功能。</w:t>
      </w:r>
    </w:p>
    <w:p w14:paraId="747A6F86">
      <w:pPr>
        <w:numPr>
          <w:ilvl w:val="0"/>
          <w:numId w:val="40"/>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平台整体运行稳定，配置生效，功能实现，达到预期目标，并得到业务单位书面签字确认。</w:t>
      </w:r>
    </w:p>
    <w:p w14:paraId="523579DE">
      <w:pPr>
        <w:pStyle w:val="19"/>
        <w:numPr>
          <w:ilvl w:val="0"/>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支持与服务</w:t>
      </w:r>
    </w:p>
    <w:p w14:paraId="27D8AD13">
      <w:pPr>
        <w:numPr>
          <w:ilvl w:val="0"/>
          <w:numId w:val="4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投标方提供的产品必须符合招标方的技术规范要求。</w:t>
      </w:r>
    </w:p>
    <w:p w14:paraId="5CEEF35D">
      <w:pPr>
        <w:numPr>
          <w:ilvl w:val="0"/>
          <w:numId w:val="4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投标方保证所供产品没有设计上或其他方面的缺陷，或者没有因投标方的行为疏忽而产生的缺陷，这些缺陷是所提供产品在最终目的地现行条件下正常使用可能产生的。</w:t>
      </w:r>
    </w:p>
    <w:p w14:paraId="7A01D33B">
      <w:pPr>
        <w:numPr>
          <w:ilvl w:val="0"/>
          <w:numId w:val="4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b/>
          <w:bCs/>
          <w:sz w:val="32"/>
          <w:szCs w:val="32"/>
          <w:lang w:bidi="ar"/>
        </w:rPr>
        <w:t>★</w:t>
      </w:r>
      <w:r>
        <w:rPr>
          <w:rFonts w:hint="eastAsia" w:ascii="仿宋_GB2312" w:eastAsia="仿宋_GB2312" w:cs="仿宋_GB2312"/>
          <w:sz w:val="32"/>
          <w:szCs w:val="32"/>
          <w:lang w:bidi="ar"/>
        </w:rPr>
        <w:t>投标方承诺项目验收后，提供至少</w:t>
      </w:r>
      <w:r>
        <w:rPr>
          <w:rFonts w:ascii="仿宋_GB2312" w:eastAsia="仿宋_GB2312" w:cs="仿宋_GB2312"/>
          <w:sz w:val="32"/>
          <w:szCs w:val="32"/>
          <w:highlight w:val="none"/>
          <w:lang w:bidi="ar"/>
        </w:rPr>
        <w:t>2</w:t>
      </w:r>
      <w:r>
        <w:rPr>
          <w:rFonts w:hint="eastAsia" w:ascii="仿宋_GB2312" w:eastAsia="仿宋_GB2312" w:cs="仿宋_GB2312"/>
          <w:sz w:val="32"/>
          <w:szCs w:val="32"/>
          <w:lang w:bidi="ar"/>
        </w:rPr>
        <w:t>年（时间从双方签署《项目验收报告》起计算）的质保服务和原厂免费技术支持服务。</w:t>
      </w:r>
    </w:p>
    <w:p w14:paraId="53683FEB">
      <w:pPr>
        <w:numPr>
          <w:ilvl w:val="0"/>
          <w:numId w:val="4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免费服务期内提供的服务</w:t>
      </w:r>
    </w:p>
    <w:p w14:paraId="04397EA5">
      <w:pPr>
        <w:numPr>
          <w:ilvl w:val="0"/>
          <w:numId w:val="42"/>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投标方为招标方提供7*24小时技术响应，针对招标方提出的技术问题，0.5小时内通过电话、邮件、远程协助以及现场服务等方式进行解答。</w:t>
      </w:r>
    </w:p>
    <w:p w14:paraId="44E6DB93">
      <w:pPr>
        <w:numPr>
          <w:ilvl w:val="0"/>
          <w:numId w:val="42"/>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对于一般性故障（不影响系统整体运行），投标方将在接到故障通知2小时内给予答复，指导招标方技术人员排除故障，使系统运行和使用恢复正常。</w:t>
      </w:r>
    </w:p>
    <w:p w14:paraId="589C6207">
      <w:pPr>
        <w:numPr>
          <w:ilvl w:val="0"/>
          <w:numId w:val="42"/>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对于严重故障（影响系统整体）或远程指导无法解决的故障，投标方将在接到故障通知后，指派技术人员在3小时内到达现场，为招标方解决问题，使系统运行和使用恢复正常，并提供详细故障分析和排除报告。</w:t>
      </w:r>
    </w:p>
    <w:p w14:paraId="079D0B15">
      <w:pPr>
        <w:numPr>
          <w:ilvl w:val="0"/>
          <w:numId w:val="42"/>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若因非招标方自身原因造成系统不能正常运行时，投标方将负责系统的修改和维护，由此发生的一切费用由投标方承担。</w:t>
      </w:r>
    </w:p>
    <w:p w14:paraId="3AF0BF21">
      <w:pPr>
        <w:numPr>
          <w:ilvl w:val="0"/>
          <w:numId w:val="42"/>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投标方如果对系统进行纠错版本的升级，应提前通知招标方。</w:t>
      </w:r>
    </w:p>
    <w:p w14:paraId="745730D3">
      <w:pPr>
        <w:numPr>
          <w:ilvl w:val="0"/>
          <w:numId w:val="42"/>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投标方将根据招标方的需要免费提供产品升级维护服务和正常的补丁维护服务。</w:t>
      </w:r>
    </w:p>
    <w:p w14:paraId="6A973ACE">
      <w:pPr>
        <w:numPr>
          <w:ilvl w:val="0"/>
          <w:numId w:val="42"/>
        </w:numPr>
        <w:spacing w:line="560" w:lineRule="exact"/>
        <w:rPr>
          <w:rFonts w:ascii="仿宋_GB2312" w:eastAsia="仿宋_GB2312" w:cs="仿宋_GB2312"/>
          <w:sz w:val="32"/>
          <w:szCs w:val="32"/>
          <w:lang w:bidi="ar"/>
        </w:rPr>
      </w:pPr>
      <w:r>
        <w:rPr>
          <w:rFonts w:hint="eastAsia" w:ascii="仿宋_GB2312" w:eastAsia="仿宋_GB2312" w:cs="仿宋_GB2312"/>
          <w:sz w:val="32"/>
          <w:szCs w:val="32"/>
          <w:lang w:bidi="ar"/>
        </w:rPr>
        <w:t>在上述服务内容之外的，投标方可进行补充。</w:t>
      </w:r>
    </w:p>
    <w:p w14:paraId="179C18E4">
      <w:pPr>
        <w:numPr>
          <w:ilvl w:val="0"/>
          <w:numId w:val="4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如果投标方接到故障信息后在合同规定时间内没有以合理的速度弥补缺陷，招标方可自行采取必要的补救措施，但其风险和费用将由投标方承担，招标方根据合同规定能够对投标方行使的其他权力不受影响。</w:t>
      </w:r>
    </w:p>
    <w:p w14:paraId="1C8A0AEA">
      <w:pPr>
        <w:numPr>
          <w:ilvl w:val="0"/>
          <w:numId w:val="4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在正式许可授权安装完成前，投标方将根据招标方需求无条件的提供临时许可授权。</w:t>
      </w:r>
    </w:p>
    <w:p w14:paraId="53784999">
      <w:pPr>
        <w:numPr>
          <w:ilvl w:val="0"/>
          <w:numId w:val="41"/>
        </w:numPr>
        <w:spacing w:line="560" w:lineRule="exact"/>
        <w:ind w:left="0" w:firstLine="454"/>
        <w:rPr>
          <w:rFonts w:ascii="仿宋_GB2312" w:eastAsia="仿宋_GB2312" w:cs="仿宋_GB2312"/>
          <w:sz w:val="32"/>
          <w:szCs w:val="32"/>
          <w:lang w:bidi="ar"/>
        </w:rPr>
      </w:pPr>
      <w:r>
        <w:rPr>
          <w:rFonts w:hint="eastAsia" w:ascii="仿宋_GB2312" w:eastAsia="仿宋_GB2312" w:cs="仿宋_GB2312"/>
          <w:sz w:val="32"/>
          <w:szCs w:val="32"/>
          <w:lang w:bidi="ar"/>
        </w:rPr>
        <w:t>在质保期到期后，投标方仍能提供问题答疑、一般性技术支持等常规服务；投标方需说明并承诺质保期期满后的服务费率，能以优惠的价格提供服务。</w:t>
      </w:r>
    </w:p>
    <w:p w14:paraId="37693D06">
      <w:pPr>
        <w:pStyle w:val="19"/>
        <w:numPr>
          <w:ilvl w:val="0"/>
          <w:numId w:val="2"/>
        </w:numPr>
        <w:adjustRightInd w:val="0"/>
        <w:snapToGrid w:val="0"/>
        <w:spacing w:line="560" w:lineRule="exact"/>
        <w:contextualSpacing w:val="0"/>
        <w:rPr>
          <w:rFonts w:ascii="仿宋_GB2312" w:eastAsia="仿宋_GB2312" w:cs="仿宋_GB2312"/>
          <w:b/>
          <w:bCs/>
          <w:sz w:val="32"/>
          <w:szCs w:val="32"/>
          <w:highlight w:val="none"/>
          <w:lang w:bidi="ar"/>
        </w:rPr>
      </w:pPr>
      <w:r>
        <w:rPr>
          <w:rFonts w:ascii="仿宋_GB2312" w:eastAsia="仿宋_GB2312" w:cs="仿宋_GB2312"/>
          <w:b/>
          <w:bCs/>
          <w:sz w:val="32"/>
          <w:szCs w:val="32"/>
          <w:highlight w:val="none"/>
          <w:lang w:bidi="ar"/>
        </w:rPr>
        <w:t>保密协定</w:t>
      </w:r>
    </w:p>
    <w:p w14:paraId="33AEA8B9">
      <w:pPr>
        <w:numPr>
          <w:ilvl w:val="0"/>
          <w:numId w:val="0"/>
        </w:numPr>
        <w:spacing w:line="560" w:lineRule="exact"/>
        <w:ind w:left="0" w:firstLine="640" w:firstLineChars="200"/>
        <w:rPr>
          <w:rFonts w:hint="eastAsia" w:ascii="仿宋_GB2312" w:eastAsia="仿宋_GB2312" w:cs="仿宋_GB2312"/>
          <w:sz w:val="32"/>
          <w:szCs w:val="32"/>
          <w:lang w:bidi="ar"/>
        </w:rPr>
      </w:pPr>
      <w:r>
        <w:rPr>
          <w:rFonts w:ascii="仿宋_GB2312" w:hAnsi="Calibri" w:eastAsia="仿宋_GB2312" w:cs="仿宋_GB2312"/>
          <w:kern w:val="2"/>
          <w:sz w:val="32"/>
          <w:szCs w:val="32"/>
          <w:lang w:bidi="ar"/>
        </w:rPr>
        <w:t>投标方从应标阶段开始，应严格遵守《中华人民共和国保守国家秘密法》及《民法典》相关规定，对合同条款、技术协议内容、项目金额价格、招标方产品需求分析、定制成果及其他文档等承担永久保密义务。保密信息涵盖项目全流程涉密要素，包括但不限于：项目背景、需求分析及方案设计、技术参数与预算数据、实施过程中接触的网络架构、技术路线、系统数据及业务流程等敏感信息，以及所有载体的敏感信息（如文字记录、音像制品等）。未经招标方书面许可，投标方不得向第三方披露保密信息，且须在合作终止时立即归还或销毁全部保密资料，不得保留复制件。合作终止后投标方仍须持续履行保密义务，如因泄密造成损失，招标方将依法追究投标方经济及刑事责任。</w:t>
      </w:r>
    </w:p>
    <w:p w14:paraId="45C06143">
      <w:pPr>
        <w:pStyle w:val="19"/>
        <w:numPr>
          <w:ilvl w:val="0"/>
          <w:numId w:val="2"/>
        </w:numPr>
        <w:adjustRightInd w:val="0"/>
        <w:snapToGrid w:val="0"/>
        <w:spacing w:line="560" w:lineRule="exact"/>
        <w:contextualSpacing w:val="0"/>
        <w:rPr>
          <w:rFonts w:ascii="仿宋_GB2312" w:eastAsia="仿宋_GB2312" w:cs="仿宋_GB2312"/>
          <w:b/>
          <w:bCs/>
          <w:sz w:val="32"/>
          <w:szCs w:val="32"/>
          <w:lang w:bidi="ar"/>
        </w:rPr>
      </w:pPr>
      <w:r>
        <w:rPr>
          <w:rFonts w:hint="eastAsia" w:ascii="仿宋_GB2312" w:eastAsia="仿宋_GB2312" w:cs="仿宋_GB2312"/>
          <w:b/>
          <w:bCs/>
          <w:sz w:val="32"/>
          <w:szCs w:val="32"/>
          <w:lang w:bidi="ar"/>
        </w:rPr>
        <w:t>其他</w:t>
      </w:r>
    </w:p>
    <w:p w14:paraId="0CCABCFA">
      <w:pPr>
        <w:pStyle w:val="19"/>
        <w:numPr>
          <w:ilvl w:val="1"/>
          <w:numId w:val="2"/>
        </w:numPr>
        <w:adjustRightInd w:val="0"/>
        <w:snapToGrid w:val="0"/>
        <w:spacing w:line="560" w:lineRule="exact"/>
        <w:contextualSpacing w:val="0"/>
        <w:outlineLvl w:val="0"/>
        <w:rPr>
          <w:rFonts w:ascii="仿宋_GB2312" w:eastAsia="仿宋_GB2312" w:cs="仿宋_GB2312"/>
          <w:b/>
          <w:bCs/>
          <w:sz w:val="32"/>
          <w:szCs w:val="32"/>
          <w:lang w:bidi="ar"/>
        </w:rPr>
      </w:pPr>
      <w:r>
        <w:rPr>
          <w:rFonts w:hint="eastAsia" w:ascii="仿宋_GB2312" w:eastAsia="仿宋_GB2312" w:cs="仿宋_GB2312"/>
          <w:b/>
          <w:bCs/>
          <w:sz w:val="32"/>
          <w:szCs w:val="32"/>
          <w:lang w:bidi="ar"/>
        </w:rPr>
        <w:t>产品使用许可</w:t>
      </w:r>
    </w:p>
    <w:p w14:paraId="168DD851">
      <w:pPr>
        <w:pStyle w:val="21"/>
        <w:spacing w:line="560" w:lineRule="exact"/>
        <w:ind w:firstLine="640"/>
        <w:rPr>
          <w:rFonts w:ascii="宋体" w:hAnsi="宋体"/>
          <w:kern w:val="0"/>
          <w:szCs w:val="24"/>
        </w:rPr>
      </w:pPr>
      <w:r>
        <w:rPr>
          <w:rFonts w:hint="eastAsia" w:ascii="仿宋_GB2312" w:eastAsia="仿宋_GB2312" w:cs="仿宋_GB2312"/>
          <w:sz w:val="32"/>
          <w:szCs w:val="32"/>
          <w:lang w:bidi="ar"/>
        </w:rPr>
        <w:t>投标方承诺招标方购买的产品为合法版本，如果出现招标方使用本协议所购产品而引起的一切知识产权纠纷由投标方承担全部责任。</w:t>
      </w:r>
    </w:p>
    <w:p w14:paraId="48B3AF9F">
      <w:pPr>
        <w:pStyle w:val="19"/>
        <w:numPr>
          <w:ilvl w:val="1"/>
          <w:numId w:val="2"/>
        </w:numPr>
        <w:adjustRightInd w:val="0"/>
        <w:snapToGrid w:val="0"/>
        <w:spacing w:line="560" w:lineRule="exact"/>
        <w:contextualSpacing w:val="0"/>
        <w:outlineLvl w:val="0"/>
        <w:rPr>
          <w:rFonts w:ascii="仿宋_GB2312" w:eastAsia="仿宋_GB2312" w:cs="仿宋_GB2312"/>
          <w:b/>
          <w:bCs/>
          <w:sz w:val="32"/>
          <w:szCs w:val="32"/>
          <w:lang w:bidi="ar"/>
        </w:rPr>
      </w:pPr>
      <w:r>
        <w:rPr>
          <w:rFonts w:hint="eastAsia" w:ascii="仿宋_GB2312" w:eastAsia="仿宋_GB2312" w:cs="仿宋_GB2312"/>
          <w:b/>
          <w:bCs/>
          <w:sz w:val="32"/>
          <w:szCs w:val="32"/>
          <w:lang w:bidi="ar"/>
        </w:rPr>
        <w:t>说明</w:t>
      </w:r>
    </w:p>
    <w:p w14:paraId="3793265D">
      <w:pPr>
        <w:pStyle w:val="21"/>
        <w:spacing w:line="560" w:lineRule="exact"/>
        <w:ind w:firstLine="640"/>
        <w:rPr>
          <w:rFonts w:ascii="仿宋_GB2312" w:eastAsia="仿宋_GB2312" w:cs="仿宋_GB2312"/>
          <w:sz w:val="32"/>
          <w:szCs w:val="32"/>
          <w:lang w:bidi="ar"/>
        </w:rPr>
      </w:pPr>
      <w:r>
        <w:rPr>
          <w:rFonts w:hint="eastAsia" w:ascii="仿宋_GB2312" w:eastAsia="仿宋_GB2312" w:cs="仿宋_GB2312"/>
          <w:sz w:val="32"/>
          <w:szCs w:val="32"/>
          <w:lang w:bidi="ar"/>
        </w:rPr>
        <w:t>本技术要求随商务合同生效，与合同具有同等效力。</w:t>
      </w:r>
    </w:p>
    <w:p w14:paraId="18C77CD1"/>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6C0D1">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1B3926">
                          <w:pPr>
                            <w:pStyle w:val="9"/>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1B3926">
                    <w:pPr>
                      <w:pStyle w:val="9"/>
                    </w:pPr>
                    <w:r>
                      <w:fldChar w:fldCharType="begin"/>
                    </w:r>
                    <w:r>
                      <w:instrText xml:space="preserve"> PAGE  \* MERGEFORMAT </w:instrText>
                    </w:r>
                    <w:r>
                      <w:fldChar w:fldCharType="separate"/>
                    </w:r>
                    <w:r>
                      <w:t>47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2A00F"/>
    <w:multiLevelType w:val="multilevel"/>
    <w:tmpl w:val="8972A00F"/>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1">
    <w:nsid w:val="8EAEDF4C"/>
    <w:multiLevelType w:val="singleLevel"/>
    <w:tmpl w:val="8EAEDF4C"/>
    <w:lvl w:ilvl="0" w:tentative="0">
      <w:start w:val="1"/>
      <w:numFmt w:val="decimal"/>
      <w:suff w:val="nothing"/>
      <w:lvlText w:val="(%1)"/>
      <w:lvlJc w:val="left"/>
      <w:pPr>
        <w:ind w:left="454" w:hanging="454"/>
      </w:pPr>
      <w:rPr>
        <w:rFonts w:hint="default"/>
      </w:rPr>
    </w:lvl>
  </w:abstractNum>
  <w:abstractNum w:abstractNumId="2">
    <w:nsid w:val="94761F1E"/>
    <w:multiLevelType w:val="singleLevel"/>
    <w:tmpl w:val="94761F1E"/>
    <w:lvl w:ilvl="0" w:tentative="0">
      <w:start w:val="1"/>
      <w:numFmt w:val="decimal"/>
      <w:lvlText w:val="%1."/>
      <w:lvlJc w:val="left"/>
      <w:pPr>
        <w:ind w:left="425" w:hanging="425"/>
      </w:pPr>
      <w:rPr>
        <w:rFonts w:hint="default"/>
      </w:rPr>
    </w:lvl>
  </w:abstractNum>
  <w:abstractNum w:abstractNumId="3">
    <w:nsid w:val="9ABF8E25"/>
    <w:multiLevelType w:val="singleLevel"/>
    <w:tmpl w:val="9ABF8E25"/>
    <w:lvl w:ilvl="0" w:tentative="0">
      <w:start w:val="1"/>
      <w:numFmt w:val="decimal"/>
      <w:lvlText w:val="%1."/>
      <w:lvlJc w:val="left"/>
      <w:pPr>
        <w:ind w:left="425" w:hanging="425"/>
      </w:pPr>
      <w:rPr>
        <w:rFonts w:hint="default"/>
      </w:rPr>
    </w:lvl>
  </w:abstractNum>
  <w:abstractNum w:abstractNumId="4">
    <w:nsid w:val="9D8AFFC0"/>
    <w:multiLevelType w:val="singleLevel"/>
    <w:tmpl w:val="9D8AFFC0"/>
    <w:lvl w:ilvl="0" w:tentative="0">
      <w:start w:val="1"/>
      <w:numFmt w:val="decimal"/>
      <w:lvlText w:val="%1."/>
      <w:lvlJc w:val="left"/>
      <w:pPr>
        <w:ind w:left="425" w:hanging="425"/>
      </w:pPr>
      <w:rPr>
        <w:rFonts w:hint="default"/>
      </w:rPr>
    </w:lvl>
  </w:abstractNum>
  <w:abstractNum w:abstractNumId="5">
    <w:nsid w:val="A6D07402"/>
    <w:multiLevelType w:val="multilevel"/>
    <w:tmpl w:val="A6D07402"/>
    <w:lvl w:ilvl="0" w:tentative="0">
      <w:start w:val="1"/>
      <w:numFmt w:val="chineseCounting"/>
      <w:suff w:val="nothing"/>
      <w:lvlText w:val="%1、"/>
      <w:lvlJc w:val="left"/>
      <w:pPr>
        <w:tabs>
          <w:tab w:val="left" w:pos="0"/>
        </w:tabs>
        <w:ind w:left="0" w:firstLine="0"/>
      </w:pPr>
      <w:rPr>
        <w:rFonts w:hint="eastAsia" w:ascii="黑体" w:hAnsi="黑体" w:eastAsia="黑体"/>
      </w:rPr>
    </w:lvl>
    <w:lvl w:ilvl="1" w:tentative="0">
      <w:start w:val="1"/>
      <w:numFmt w:val="chineseCounting"/>
      <w:pStyle w:val="3"/>
      <w:suff w:val="nothing"/>
      <w:lvlText w:val="（%2）"/>
      <w:lvlJc w:val="left"/>
      <w:pPr>
        <w:tabs>
          <w:tab w:val="left" w:pos="0"/>
        </w:tabs>
        <w:ind w:left="0" w:firstLine="0"/>
      </w:pPr>
      <w:rPr>
        <w:rFonts w:hint="eastAsia" w:ascii="黑体" w:hAnsi="黑体" w:eastAsia="黑体"/>
      </w:rPr>
    </w:lvl>
    <w:lvl w:ilvl="2" w:tentative="0">
      <w:start w:val="1"/>
      <w:numFmt w:val="decimal"/>
      <w:suff w:val="nothing"/>
      <w:lvlText w:val="%3．"/>
      <w:lvlJc w:val="left"/>
      <w:pPr>
        <w:tabs>
          <w:tab w:val="left" w:pos="0"/>
        </w:tabs>
        <w:ind w:left="0" w:firstLine="0"/>
      </w:pPr>
      <w:rPr>
        <w:rFonts w:hint="eastAsia" w:ascii="黑体" w:hAnsi="黑体" w:eastAsia="黑体"/>
      </w:rPr>
    </w:lvl>
    <w:lvl w:ilvl="3" w:tentative="0">
      <w:start w:val="1"/>
      <w:numFmt w:val="decimal"/>
      <w:suff w:val="nothing"/>
      <w:lvlText w:val="（%4）"/>
      <w:lvlJc w:val="left"/>
      <w:pPr>
        <w:tabs>
          <w:tab w:val="left" w:pos="0"/>
        </w:tabs>
        <w:ind w:left="0" w:firstLine="0"/>
      </w:pPr>
      <w:rPr>
        <w:rFonts w:hint="eastAsia" w:ascii="黑体" w:hAnsi="黑体" w:eastAsia="黑体"/>
      </w:rPr>
    </w:lvl>
    <w:lvl w:ilvl="4" w:tentative="0">
      <w:start w:val="1"/>
      <w:numFmt w:val="decimalEnclosedCircleChinese"/>
      <w:suff w:val="space"/>
      <w:lvlText w:val="%5"/>
      <w:lvlJc w:val="left"/>
      <w:pPr>
        <w:ind w:left="0" w:firstLine="0"/>
      </w:pPr>
      <w:rPr>
        <w:rFonts w:hint="eastAsia" w:ascii="黑体" w:hAnsi="黑体" w:eastAsia="黑体"/>
      </w:rPr>
    </w:lvl>
    <w:lvl w:ilvl="5" w:tentative="0">
      <w:start w:val="1"/>
      <w:numFmt w:val="decimal"/>
      <w:suff w:val="nothing"/>
      <w:lvlText w:val="%6）"/>
      <w:lvlJc w:val="left"/>
      <w:pPr>
        <w:ind w:left="0" w:firstLine="0"/>
      </w:pPr>
      <w:rPr>
        <w:rFonts w:hint="eastAsia"/>
      </w:rPr>
    </w:lvl>
    <w:lvl w:ilvl="6" w:tentative="0">
      <w:start w:val="1"/>
      <w:numFmt w:val="lowerLetter"/>
      <w:suff w:val="nothing"/>
      <w:lvlText w:val="%7．"/>
      <w:lvlJc w:val="left"/>
      <w:pPr>
        <w:ind w:left="0" w:firstLine="0"/>
      </w:pPr>
      <w:rPr>
        <w:rFonts w:hint="eastAsia"/>
      </w:rPr>
    </w:lvl>
    <w:lvl w:ilvl="7" w:tentative="0">
      <w:start w:val="1"/>
      <w:numFmt w:val="lowerLetter"/>
      <w:suff w:val="nothing"/>
      <w:lvlText w:val="%8）"/>
      <w:lvlJc w:val="left"/>
      <w:pPr>
        <w:ind w:left="0" w:firstLine="0"/>
      </w:pPr>
      <w:rPr>
        <w:rFonts w:hint="eastAsia"/>
      </w:rPr>
    </w:lvl>
    <w:lvl w:ilvl="8" w:tentative="0">
      <w:start w:val="1"/>
      <w:numFmt w:val="lowerRoman"/>
      <w:suff w:val="nothing"/>
      <w:lvlText w:val="%9 "/>
      <w:lvlJc w:val="left"/>
      <w:pPr>
        <w:ind w:left="0" w:firstLine="0"/>
      </w:pPr>
      <w:rPr>
        <w:rFonts w:hint="eastAsia"/>
      </w:rPr>
    </w:lvl>
  </w:abstractNum>
  <w:abstractNum w:abstractNumId="6">
    <w:nsid w:val="ADADD939"/>
    <w:multiLevelType w:val="singleLevel"/>
    <w:tmpl w:val="ADADD939"/>
    <w:lvl w:ilvl="0" w:tentative="0">
      <w:start w:val="1"/>
      <w:numFmt w:val="decimal"/>
      <w:lvlText w:val="%1."/>
      <w:lvlJc w:val="left"/>
      <w:pPr>
        <w:ind w:left="425" w:hanging="425"/>
      </w:pPr>
      <w:rPr>
        <w:rFonts w:hint="default"/>
      </w:rPr>
    </w:lvl>
  </w:abstractNum>
  <w:abstractNum w:abstractNumId="7">
    <w:nsid w:val="AFA52D32"/>
    <w:multiLevelType w:val="singleLevel"/>
    <w:tmpl w:val="AFA52D32"/>
    <w:lvl w:ilvl="0" w:tentative="0">
      <w:start w:val="1"/>
      <w:numFmt w:val="decimal"/>
      <w:lvlText w:val="%1."/>
      <w:lvlJc w:val="left"/>
      <w:pPr>
        <w:ind w:left="425" w:hanging="425"/>
      </w:pPr>
      <w:rPr>
        <w:rFonts w:hint="default"/>
      </w:rPr>
    </w:lvl>
  </w:abstractNum>
  <w:abstractNum w:abstractNumId="8">
    <w:nsid w:val="C71866DC"/>
    <w:multiLevelType w:val="multilevel"/>
    <w:tmpl w:val="C71866DC"/>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9">
    <w:nsid w:val="C85217B5"/>
    <w:multiLevelType w:val="singleLevel"/>
    <w:tmpl w:val="C85217B5"/>
    <w:lvl w:ilvl="0" w:tentative="0">
      <w:start w:val="1"/>
      <w:numFmt w:val="decimal"/>
      <w:lvlText w:val="%1."/>
      <w:lvlJc w:val="left"/>
      <w:pPr>
        <w:ind w:left="425" w:hanging="425"/>
      </w:pPr>
      <w:rPr>
        <w:rFonts w:hint="default"/>
      </w:rPr>
    </w:lvl>
  </w:abstractNum>
  <w:abstractNum w:abstractNumId="10">
    <w:nsid w:val="CB4196F4"/>
    <w:multiLevelType w:val="singleLevel"/>
    <w:tmpl w:val="CB4196F4"/>
    <w:lvl w:ilvl="0" w:tentative="0">
      <w:start w:val="1"/>
      <w:numFmt w:val="decimal"/>
      <w:lvlText w:val="%1."/>
      <w:lvlJc w:val="left"/>
      <w:pPr>
        <w:ind w:left="425" w:hanging="425"/>
      </w:pPr>
      <w:rPr>
        <w:rFonts w:hint="default"/>
      </w:rPr>
    </w:lvl>
  </w:abstractNum>
  <w:abstractNum w:abstractNumId="11">
    <w:nsid w:val="D548E0B0"/>
    <w:multiLevelType w:val="singleLevel"/>
    <w:tmpl w:val="D548E0B0"/>
    <w:lvl w:ilvl="0" w:tentative="0">
      <w:start w:val="1"/>
      <w:numFmt w:val="decimal"/>
      <w:lvlText w:val="%1."/>
      <w:lvlJc w:val="left"/>
      <w:pPr>
        <w:ind w:left="425" w:hanging="425"/>
      </w:pPr>
      <w:rPr>
        <w:rFonts w:hint="default"/>
      </w:rPr>
    </w:lvl>
  </w:abstractNum>
  <w:abstractNum w:abstractNumId="12">
    <w:nsid w:val="D5646349"/>
    <w:multiLevelType w:val="singleLevel"/>
    <w:tmpl w:val="D5646349"/>
    <w:lvl w:ilvl="0" w:tentative="0">
      <w:start w:val="1"/>
      <w:numFmt w:val="decimal"/>
      <w:lvlText w:val="%1."/>
      <w:lvlJc w:val="left"/>
      <w:pPr>
        <w:ind w:left="425" w:hanging="425"/>
      </w:pPr>
      <w:rPr>
        <w:rFonts w:hint="default"/>
      </w:rPr>
    </w:lvl>
  </w:abstractNum>
  <w:abstractNum w:abstractNumId="13">
    <w:nsid w:val="D8066750"/>
    <w:multiLevelType w:val="multilevel"/>
    <w:tmpl w:val="D8066750"/>
    <w:lvl w:ilvl="0" w:tentative="0">
      <w:start w:val="1"/>
      <w:numFmt w:val="decimal"/>
      <w:lvlText w:val="%1"/>
      <w:lvlJc w:val="left"/>
      <w:pPr>
        <w:ind w:left="425" w:hanging="425"/>
      </w:pPr>
      <w:rPr>
        <w:rFonts w:hint="default"/>
        <w:b/>
        <w:bCs/>
        <w:sz w:val="32"/>
        <w:szCs w:val="32"/>
      </w:rPr>
    </w:lvl>
    <w:lvl w:ilvl="1" w:tentative="0">
      <w:start w:val="1"/>
      <w:numFmt w:val="decimal"/>
      <w:lvlText w:val="%1.%2"/>
      <w:lvlJc w:val="left"/>
      <w:pPr>
        <w:ind w:left="567" w:hanging="567"/>
      </w:pPr>
      <w:rPr>
        <w:rFonts w:hint="default" w:ascii="仿宋" w:hAnsi="仿宋" w:eastAsia="仿宋"/>
        <w:b/>
        <w:bCs/>
        <w:color w:val="auto"/>
        <w:sz w:val="32"/>
        <w:szCs w:val="32"/>
      </w:rPr>
    </w:lvl>
    <w:lvl w:ilvl="2" w:tentative="0">
      <w:start w:val="1"/>
      <w:numFmt w:val="decimal"/>
      <w:lvlText w:val="%1.%2.%3"/>
      <w:lvlJc w:val="left"/>
      <w:pPr>
        <w:ind w:left="709" w:hanging="709"/>
      </w:pPr>
      <w:rPr>
        <w:rFonts w:hint="default" w:ascii="仿宋" w:hAnsi="仿宋" w:eastAsia="仿宋"/>
        <w:b/>
        <w:bCs/>
        <w:sz w:val="32"/>
        <w:szCs w:val="32"/>
      </w:rPr>
    </w:lvl>
    <w:lvl w:ilvl="3" w:tentative="0">
      <w:start w:val="1"/>
      <w:numFmt w:val="decimal"/>
      <w:lvlText w:val="%1.%2.%3.%4"/>
      <w:lvlJc w:val="left"/>
      <w:pPr>
        <w:ind w:left="851" w:hanging="851"/>
      </w:pPr>
      <w:rPr>
        <w:rFonts w:hint="default" w:ascii="仿宋" w:hAnsi="仿宋" w:eastAsia="仿宋" w:cs="仿宋"/>
        <w:b/>
        <w:bCs/>
        <w:sz w:val="32"/>
        <w:szCs w:val="32"/>
      </w:rPr>
    </w:lvl>
    <w:lvl w:ilvl="4" w:tentative="0">
      <w:start w:val="1"/>
      <w:numFmt w:val="decimal"/>
      <w:lvlText w:val="%1.%2.%3.%4.%5"/>
      <w:lvlJc w:val="left"/>
      <w:pPr>
        <w:ind w:left="992" w:hanging="992"/>
      </w:pPr>
      <w:rPr>
        <w:rFonts w:hint="default"/>
        <w:b/>
        <w:bCs/>
        <w:sz w:val="32"/>
        <w:szCs w:val="32"/>
      </w:rPr>
    </w:lvl>
    <w:lvl w:ilvl="5" w:tentative="0">
      <w:start w:val="1"/>
      <w:numFmt w:val="decimal"/>
      <w:lvlText w:val="%2.%3.%4.%5.%6.1"/>
      <w:lvlJc w:val="left"/>
      <w:pPr>
        <w:ind w:left="1134" w:hanging="1134"/>
      </w:pPr>
      <w:rPr>
        <w:rFonts w:hint="eastAsia"/>
      </w:rPr>
    </w:lvl>
    <w:lvl w:ilvl="6" w:tentative="0">
      <w:start w:val="1"/>
      <w:numFmt w:val="decimal"/>
      <w:lvlText w:val="%2.%3.%4.%5.%6.%7.1"/>
      <w:lvlJc w:val="left"/>
      <w:pPr>
        <w:ind w:left="1276" w:hanging="1276"/>
      </w:pPr>
      <w:rPr>
        <w:rFonts w:hint="eastAsia"/>
      </w:rPr>
    </w:lvl>
    <w:lvl w:ilvl="7" w:tentative="0">
      <w:start w:val="1"/>
      <w:numFmt w:val="decimal"/>
      <w:lvlText w:val="%2.%3.%4.%5.%6.%7.%8.1"/>
      <w:lvlJc w:val="left"/>
      <w:pPr>
        <w:ind w:left="1418" w:hanging="1418"/>
      </w:pPr>
      <w:rPr>
        <w:rFonts w:hint="eastAsia"/>
      </w:rPr>
    </w:lvl>
    <w:lvl w:ilvl="8" w:tentative="0">
      <w:start w:val="1"/>
      <w:numFmt w:val="decimal"/>
      <w:lvlText w:val="%2.%3.%4.%5.%6.%7.%8.%9.1"/>
      <w:lvlJc w:val="left"/>
      <w:pPr>
        <w:ind w:left="1559" w:hanging="1559"/>
      </w:pPr>
      <w:rPr>
        <w:rFonts w:hint="eastAsia"/>
      </w:rPr>
    </w:lvl>
  </w:abstractNum>
  <w:abstractNum w:abstractNumId="14">
    <w:nsid w:val="D9C4878D"/>
    <w:multiLevelType w:val="singleLevel"/>
    <w:tmpl w:val="D9C4878D"/>
    <w:lvl w:ilvl="0" w:tentative="0">
      <w:start w:val="1"/>
      <w:numFmt w:val="decimal"/>
      <w:lvlText w:val="%1."/>
      <w:lvlJc w:val="left"/>
      <w:pPr>
        <w:ind w:left="425" w:hanging="425"/>
      </w:pPr>
      <w:rPr>
        <w:rFonts w:hint="default"/>
      </w:rPr>
    </w:lvl>
  </w:abstractNum>
  <w:abstractNum w:abstractNumId="15">
    <w:nsid w:val="DE400AAC"/>
    <w:multiLevelType w:val="singleLevel"/>
    <w:tmpl w:val="DE400AAC"/>
    <w:lvl w:ilvl="0" w:tentative="0">
      <w:start w:val="1"/>
      <w:numFmt w:val="decimal"/>
      <w:lvlText w:val="%1."/>
      <w:lvlJc w:val="left"/>
      <w:pPr>
        <w:ind w:left="425" w:hanging="425"/>
      </w:pPr>
      <w:rPr>
        <w:rFonts w:hint="default"/>
      </w:rPr>
    </w:lvl>
  </w:abstractNum>
  <w:abstractNum w:abstractNumId="16">
    <w:nsid w:val="FA06434A"/>
    <w:multiLevelType w:val="multilevel"/>
    <w:tmpl w:val="FA06434A"/>
    <w:lvl w:ilvl="0" w:tentative="0">
      <w:start w:val="1"/>
      <w:numFmt w:val="decimal"/>
      <w:lvlText w:val="%1."/>
      <w:lvlJc w:val="left"/>
      <w:pPr>
        <w:ind w:left="0" w:firstLine="454"/>
      </w:pPr>
      <w:rPr>
        <w:rFonts w:hint="default"/>
        <w:b w:val="0"/>
        <w:bCs w:val="0"/>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17">
    <w:nsid w:val="FE5001C7"/>
    <w:multiLevelType w:val="singleLevel"/>
    <w:tmpl w:val="FE5001C7"/>
    <w:lvl w:ilvl="0" w:tentative="0">
      <w:start w:val="1"/>
      <w:numFmt w:val="decimal"/>
      <w:lvlText w:val="%1."/>
      <w:lvlJc w:val="left"/>
      <w:pPr>
        <w:ind w:left="425" w:hanging="425"/>
      </w:pPr>
      <w:rPr>
        <w:rFonts w:hint="default"/>
      </w:rPr>
    </w:lvl>
  </w:abstractNum>
  <w:abstractNum w:abstractNumId="18">
    <w:nsid w:val="05472E66"/>
    <w:multiLevelType w:val="multilevel"/>
    <w:tmpl w:val="05472E66"/>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19">
    <w:nsid w:val="08E71C1C"/>
    <w:multiLevelType w:val="singleLevel"/>
    <w:tmpl w:val="08E71C1C"/>
    <w:lvl w:ilvl="0" w:tentative="0">
      <w:start w:val="1"/>
      <w:numFmt w:val="decimal"/>
      <w:lvlText w:val="%1."/>
      <w:lvlJc w:val="left"/>
      <w:pPr>
        <w:ind w:left="425" w:hanging="425"/>
      </w:pPr>
      <w:rPr>
        <w:rFonts w:hint="default"/>
      </w:rPr>
    </w:lvl>
  </w:abstractNum>
  <w:abstractNum w:abstractNumId="20">
    <w:nsid w:val="111C1A4B"/>
    <w:multiLevelType w:val="multilevel"/>
    <w:tmpl w:val="111C1A4B"/>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21">
    <w:nsid w:val="1A23393D"/>
    <w:multiLevelType w:val="singleLevel"/>
    <w:tmpl w:val="1A23393D"/>
    <w:lvl w:ilvl="0" w:tentative="0">
      <w:start w:val="1"/>
      <w:numFmt w:val="decimal"/>
      <w:lvlText w:val="%1."/>
      <w:lvlJc w:val="left"/>
      <w:pPr>
        <w:ind w:left="425" w:hanging="425"/>
      </w:pPr>
      <w:rPr>
        <w:rFonts w:hint="default"/>
      </w:rPr>
    </w:lvl>
  </w:abstractNum>
  <w:abstractNum w:abstractNumId="22">
    <w:nsid w:val="1EE804F1"/>
    <w:multiLevelType w:val="singleLevel"/>
    <w:tmpl w:val="1EE804F1"/>
    <w:lvl w:ilvl="0" w:tentative="0">
      <w:start w:val="1"/>
      <w:numFmt w:val="decimal"/>
      <w:suff w:val="nothing"/>
      <w:lvlText w:val="(%1)"/>
      <w:lvlJc w:val="left"/>
      <w:pPr>
        <w:ind w:left="454" w:hanging="454"/>
      </w:pPr>
      <w:rPr>
        <w:rFonts w:hint="default"/>
      </w:rPr>
    </w:lvl>
  </w:abstractNum>
  <w:abstractNum w:abstractNumId="23">
    <w:nsid w:val="1FBB00EF"/>
    <w:multiLevelType w:val="multilevel"/>
    <w:tmpl w:val="1FBB00EF"/>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ascii="Times New Roman" w:hAnsi="Times New Roman" w:cs="Times New Roman"/>
      </w:rPr>
    </w:lvl>
    <w:lvl w:ilvl="2" w:tentative="0">
      <w:start w:val="1"/>
      <w:numFmt w:val="lowerRoman"/>
      <w:lvlText w:val="%3."/>
      <w:lvlJc w:val="left"/>
      <w:pPr>
        <w:tabs>
          <w:tab w:val="left" w:pos="1260"/>
        </w:tabs>
        <w:ind w:left="1714" w:hanging="420"/>
      </w:pPr>
      <w:rPr>
        <w:rFonts w:hint="default" w:ascii="Times New Roman" w:hAnsi="Times New Roman" w:cs="Times New Roman"/>
      </w:rPr>
    </w:lvl>
    <w:lvl w:ilvl="3" w:tentative="0">
      <w:start w:val="1"/>
      <w:numFmt w:val="decimal"/>
      <w:lvlText w:val="%4."/>
      <w:lvlJc w:val="left"/>
      <w:pPr>
        <w:tabs>
          <w:tab w:val="left" w:pos="1680"/>
        </w:tabs>
        <w:ind w:left="2134" w:hanging="420"/>
      </w:pPr>
      <w:rPr>
        <w:rFonts w:hint="default" w:ascii="Times New Roman" w:hAnsi="Times New Roman" w:cs="Times New Roman"/>
      </w:rPr>
    </w:lvl>
    <w:lvl w:ilvl="4" w:tentative="0">
      <w:start w:val="1"/>
      <w:numFmt w:val="lowerLetter"/>
      <w:lvlText w:val="%5)"/>
      <w:lvlJc w:val="left"/>
      <w:pPr>
        <w:tabs>
          <w:tab w:val="left" w:pos="2100"/>
        </w:tabs>
        <w:ind w:left="2554" w:hanging="420"/>
      </w:pPr>
      <w:rPr>
        <w:rFonts w:hint="default" w:ascii="Times New Roman" w:hAnsi="Times New Roman" w:cs="Times New Roman"/>
      </w:rPr>
    </w:lvl>
    <w:lvl w:ilvl="5" w:tentative="0">
      <w:start w:val="1"/>
      <w:numFmt w:val="lowerRoman"/>
      <w:lvlText w:val="%6."/>
      <w:lvlJc w:val="left"/>
      <w:pPr>
        <w:tabs>
          <w:tab w:val="left" w:pos="2520"/>
        </w:tabs>
        <w:ind w:left="2974" w:hanging="420"/>
      </w:pPr>
      <w:rPr>
        <w:rFonts w:hint="default" w:ascii="Times New Roman" w:hAnsi="Times New Roman" w:cs="Times New Roman"/>
      </w:rPr>
    </w:lvl>
    <w:lvl w:ilvl="6" w:tentative="0">
      <w:start w:val="1"/>
      <w:numFmt w:val="decimal"/>
      <w:lvlText w:val="%7."/>
      <w:lvlJc w:val="left"/>
      <w:pPr>
        <w:tabs>
          <w:tab w:val="left" w:pos="2940"/>
        </w:tabs>
        <w:ind w:left="3394" w:hanging="420"/>
      </w:pPr>
      <w:rPr>
        <w:rFonts w:hint="default" w:ascii="Times New Roman" w:hAnsi="Times New Roman" w:cs="Times New Roman"/>
      </w:rPr>
    </w:lvl>
    <w:lvl w:ilvl="7" w:tentative="0">
      <w:start w:val="1"/>
      <w:numFmt w:val="lowerLetter"/>
      <w:lvlText w:val="%8)"/>
      <w:lvlJc w:val="left"/>
      <w:pPr>
        <w:tabs>
          <w:tab w:val="left" w:pos="3360"/>
        </w:tabs>
        <w:ind w:left="3814" w:hanging="420"/>
      </w:pPr>
      <w:rPr>
        <w:rFonts w:hint="default" w:ascii="Times New Roman" w:hAnsi="Times New Roman" w:cs="Times New Roman"/>
      </w:rPr>
    </w:lvl>
    <w:lvl w:ilvl="8" w:tentative="0">
      <w:start w:val="1"/>
      <w:numFmt w:val="lowerRoman"/>
      <w:lvlText w:val="%9."/>
      <w:lvlJc w:val="left"/>
      <w:pPr>
        <w:tabs>
          <w:tab w:val="left" w:pos="3780"/>
        </w:tabs>
        <w:ind w:left="4234" w:hanging="420"/>
      </w:pPr>
      <w:rPr>
        <w:rFonts w:hint="default" w:ascii="Times New Roman" w:hAnsi="Times New Roman" w:cs="Times New Roman"/>
      </w:rPr>
    </w:lvl>
  </w:abstractNum>
  <w:abstractNum w:abstractNumId="24">
    <w:nsid w:val="25AE32C5"/>
    <w:multiLevelType w:val="multilevel"/>
    <w:tmpl w:val="25AE32C5"/>
    <w:lvl w:ilvl="0" w:tentative="0">
      <w:start w:val="1"/>
      <w:numFmt w:val="lowerLetter"/>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25">
    <w:nsid w:val="3B3A70DF"/>
    <w:multiLevelType w:val="multilevel"/>
    <w:tmpl w:val="3B3A70DF"/>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ascii="Times New Roman" w:hAnsi="Times New Roman" w:cs="Times New Roman"/>
      </w:rPr>
    </w:lvl>
    <w:lvl w:ilvl="2" w:tentative="0">
      <w:start w:val="1"/>
      <w:numFmt w:val="lowerRoman"/>
      <w:lvlText w:val="%3."/>
      <w:lvlJc w:val="left"/>
      <w:pPr>
        <w:tabs>
          <w:tab w:val="left" w:pos="1260"/>
        </w:tabs>
        <w:ind w:left="1714" w:hanging="420"/>
      </w:pPr>
      <w:rPr>
        <w:rFonts w:hint="default" w:ascii="Times New Roman" w:hAnsi="Times New Roman" w:cs="Times New Roman"/>
      </w:rPr>
    </w:lvl>
    <w:lvl w:ilvl="3" w:tentative="0">
      <w:start w:val="1"/>
      <w:numFmt w:val="decimal"/>
      <w:lvlText w:val="%4."/>
      <w:lvlJc w:val="left"/>
      <w:pPr>
        <w:tabs>
          <w:tab w:val="left" w:pos="1680"/>
        </w:tabs>
        <w:ind w:left="2134" w:hanging="420"/>
      </w:pPr>
      <w:rPr>
        <w:rFonts w:hint="default" w:ascii="Times New Roman" w:hAnsi="Times New Roman" w:cs="Times New Roman"/>
      </w:rPr>
    </w:lvl>
    <w:lvl w:ilvl="4" w:tentative="0">
      <w:start w:val="1"/>
      <w:numFmt w:val="lowerLetter"/>
      <w:lvlText w:val="%5)"/>
      <w:lvlJc w:val="left"/>
      <w:pPr>
        <w:tabs>
          <w:tab w:val="left" w:pos="2100"/>
        </w:tabs>
        <w:ind w:left="2554" w:hanging="420"/>
      </w:pPr>
      <w:rPr>
        <w:rFonts w:hint="default" w:ascii="Times New Roman" w:hAnsi="Times New Roman" w:cs="Times New Roman"/>
      </w:rPr>
    </w:lvl>
    <w:lvl w:ilvl="5" w:tentative="0">
      <w:start w:val="1"/>
      <w:numFmt w:val="lowerRoman"/>
      <w:lvlText w:val="%6."/>
      <w:lvlJc w:val="left"/>
      <w:pPr>
        <w:tabs>
          <w:tab w:val="left" w:pos="2520"/>
        </w:tabs>
        <w:ind w:left="2974" w:hanging="420"/>
      </w:pPr>
      <w:rPr>
        <w:rFonts w:hint="default" w:ascii="Times New Roman" w:hAnsi="Times New Roman" w:cs="Times New Roman"/>
      </w:rPr>
    </w:lvl>
    <w:lvl w:ilvl="6" w:tentative="0">
      <w:start w:val="1"/>
      <w:numFmt w:val="decimal"/>
      <w:lvlText w:val="%7."/>
      <w:lvlJc w:val="left"/>
      <w:pPr>
        <w:tabs>
          <w:tab w:val="left" w:pos="2940"/>
        </w:tabs>
        <w:ind w:left="3394" w:hanging="420"/>
      </w:pPr>
      <w:rPr>
        <w:rFonts w:hint="default" w:ascii="Times New Roman" w:hAnsi="Times New Roman" w:cs="Times New Roman"/>
      </w:rPr>
    </w:lvl>
    <w:lvl w:ilvl="7" w:tentative="0">
      <w:start w:val="1"/>
      <w:numFmt w:val="lowerLetter"/>
      <w:lvlText w:val="%8)"/>
      <w:lvlJc w:val="left"/>
      <w:pPr>
        <w:tabs>
          <w:tab w:val="left" w:pos="3360"/>
        </w:tabs>
        <w:ind w:left="3814" w:hanging="420"/>
      </w:pPr>
      <w:rPr>
        <w:rFonts w:hint="default" w:ascii="Times New Roman" w:hAnsi="Times New Roman" w:cs="Times New Roman"/>
      </w:rPr>
    </w:lvl>
    <w:lvl w:ilvl="8" w:tentative="0">
      <w:start w:val="1"/>
      <w:numFmt w:val="lowerRoman"/>
      <w:lvlText w:val="%9."/>
      <w:lvlJc w:val="left"/>
      <w:pPr>
        <w:tabs>
          <w:tab w:val="left" w:pos="3780"/>
        </w:tabs>
        <w:ind w:left="4234" w:hanging="420"/>
      </w:pPr>
      <w:rPr>
        <w:rFonts w:hint="default" w:ascii="Times New Roman" w:hAnsi="Times New Roman" w:cs="Times New Roman"/>
      </w:rPr>
    </w:lvl>
  </w:abstractNum>
  <w:abstractNum w:abstractNumId="26">
    <w:nsid w:val="43418C4C"/>
    <w:multiLevelType w:val="singleLevel"/>
    <w:tmpl w:val="43418C4C"/>
    <w:lvl w:ilvl="0" w:tentative="0">
      <w:start w:val="1"/>
      <w:numFmt w:val="decimal"/>
      <w:lvlText w:val="%1."/>
      <w:lvlJc w:val="left"/>
      <w:pPr>
        <w:ind w:left="425" w:hanging="425"/>
      </w:pPr>
      <w:rPr>
        <w:rFonts w:hint="default"/>
      </w:rPr>
    </w:lvl>
  </w:abstractNum>
  <w:abstractNum w:abstractNumId="27">
    <w:nsid w:val="44FB19F2"/>
    <w:multiLevelType w:val="multilevel"/>
    <w:tmpl w:val="44FB19F2"/>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28">
    <w:nsid w:val="498C21C8"/>
    <w:multiLevelType w:val="singleLevel"/>
    <w:tmpl w:val="498C21C8"/>
    <w:lvl w:ilvl="0" w:tentative="0">
      <w:start w:val="1"/>
      <w:numFmt w:val="decimal"/>
      <w:lvlText w:val="%1."/>
      <w:lvlJc w:val="left"/>
      <w:pPr>
        <w:ind w:left="425" w:hanging="425"/>
      </w:pPr>
      <w:rPr>
        <w:rFonts w:hint="default"/>
      </w:rPr>
    </w:lvl>
  </w:abstractNum>
  <w:abstractNum w:abstractNumId="29">
    <w:nsid w:val="49E11FDA"/>
    <w:multiLevelType w:val="singleLevel"/>
    <w:tmpl w:val="49E11FDA"/>
    <w:lvl w:ilvl="0" w:tentative="0">
      <w:start w:val="1"/>
      <w:numFmt w:val="bullet"/>
      <w:lvlText w:val=""/>
      <w:lvlJc w:val="left"/>
      <w:pPr>
        <w:ind w:left="420" w:hanging="420"/>
      </w:pPr>
      <w:rPr>
        <w:rFonts w:hint="default" w:ascii="Wingdings" w:hAnsi="Wingdings"/>
      </w:rPr>
    </w:lvl>
  </w:abstractNum>
  <w:abstractNum w:abstractNumId="30">
    <w:nsid w:val="537C15B9"/>
    <w:multiLevelType w:val="multilevel"/>
    <w:tmpl w:val="537C15B9"/>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ascii="Times New Roman" w:hAnsi="Times New Roman" w:cs="Times New Roman"/>
      </w:rPr>
    </w:lvl>
    <w:lvl w:ilvl="2" w:tentative="0">
      <w:start w:val="1"/>
      <w:numFmt w:val="lowerRoman"/>
      <w:lvlText w:val="%3."/>
      <w:lvlJc w:val="left"/>
      <w:pPr>
        <w:tabs>
          <w:tab w:val="left" w:pos="1260"/>
        </w:tabs>
        <w:ind w:left="1714" w:hanging="420"/>
      </w:pPr>
      <w:rPr>
        <w:rFonts w:hint="default" w:ascii="Times New Roman" w:hAnsi="Times New Roman" w:cs="Times New Roman"/>
      </w:rPr>
    </w:lvl>
    <w:lvl w:ilvl="3" w:tentative="0">
      <w:start w:val="1"/>
      <w:numFmt w:val="decimal"/>
      <w:lvlText w:val="%4."/>
      <w:lvlJc w:val="left"/>
      <w:pPr>
        <w:tabs>
          <w:tab w:val="left" w:pos="1680"/>
        </w:tabs>
        <w:ind w:left="2134" w:hanging="420"/>
      </w:pPr>
      <w:rPr>
        <w:rFonts w:hint="default" w:ascii="Times New Roman" w:hAnsi="Times New Roman" w:cs="Times New Roman"/>
      </w:rPr>
    </w:lvl>
    <w:lvl w:ilvl="4" w:tentative="0">
      <w:start w:val="1"/>
      <w:numFmt w:val="lowerLetter"/>
      <w:lvlText w:val="%5)"/>
      <w:lvlJc w:val="left"/>
      <w:pPr>
        <w:tabs>
          <w:tab w:val="left" w:pos="2100"/>
        </w:tabs>
        <w:ind w:left="2554" w:hanging="420"/>
      </w:pPr>
      <w:rPr>
        <w:rFonts w:hint="default" w:ascii="Times New Roman" w:hAnsi="Times New Roman" w:cs="Times New Roman"/>
      </w:rPr>
    </w:lvl>
    <w:lvl w:ilvl="5" w:tentative="0">
      <w:start w:val="1"/>
      <w:numFmt w:val="lowerRoman"/>
      <w:lvlText w:val="%6."/>
      <w:lvlJc w:val="left"/>
      <w:pPr>
        <w:tabs>
          <w:tab w:val="left" w:pos="2520"/>
        </w:tabs>
        <w:ind w:left="2974" w:hanging="420"/>
      </w:pPr>
      <w:rPr>
        <w:rFonts w:hint="default" w:ascii="Times New Roman" w:hAnsi="Times New Roman" w:cs="Times New Roman"/>
      </w:rPr>
    </w:lvl>
    <w:lvl w:ilvl="6" w:tentative="0">
      <w:start w:val="1"/>
      <w:numFmt w:val="decimal"/>
      <w:lvlText w:val="%7."/>
      <w:lvlJc w:val="left"/>
      <w:pPr>
        <w:tabs>
          <w:tab w:val="left" w:pos="2940"/>
        </w:tabs>
        <w:ind w:left="3394" w:hanging="420"/>
      </w:pPr>
      <w:rPr>
        <w:rFonts w:hint="default" w:ascii="Times New Roman" w:hAnsi="Times New Roman" w:cs="Times New Roman"/>
      </w:rPr>
    </w:lvl>
    <w:lvl w:ilvl="7" w:tentative="0">
      <w:start w:val="1"/>
      <w:numFmt w:val="lowerLetter"/>
      <w:lvlText w:val="%8)"/>
      <w:lvlJc w:val="left"/>
      <w:pPr>
        <w:tabs>
          <w:tab w:val="left" w:pos="3360"/>
        </w:tabs>
        <w:ind w:left="3814" w:hanging="420"/>
      </w:pPr>
      <w:rPr>
        <w:rFonts w:hint="default" w:ascii="Times New Roman" w:hAnsi="Times New Roman" w:cs="Times New Roman"/>
      </w:rPr>
    </w:lvl>
    <w:lvl w:ilvl="8" w:tentative="0">
      <w:start w:val="1"/>
      <w:numFmt w:val="lowerRoman"/>
      <w:lvlText w:val="%9."/>
      <w:lvlJc w:val="left"/>
      <w:pPr>
        <w:tabs>
          <w:tab w:val="left" w:pos="3780"/>
        </w:tabs>
        <w:ind w:left="4234" w:hanging="420"/>
      </w:pPr>
      <w:rPr>
        <w:rFonts w:hint="default" w:ascii="Times New Roman" w:hAnsi="Times New Roman" w:cs="Times New Roman"/>
      </w:rPr>
    </w:lvl>
  </w:abstractNum>
  <w:abstractNum w:abstractNumId="31">
    <w:nsid w:val="56522C78"/>
    <w:multiLevelType w:val="singleLevel"/>
    <w:tmpl w:val="56522C78"/>
    <w:lvl w:ilvl="0" w:tentative="0">
      <w:start w:val="1"/>
      <w:numFmt w:val="decimal"/>
      <w:lvlText w:val="%1."/>
      <w:lvlJc w:val="left"/>
      <w:pPr>
        <w:ind w:left="425" w:hanging="425"/>
      </w:pPr>
      <w:rPr>
        <w:rFonts w:hint="default"/>
      </w:rPr>
    </w:lvl>
  </w:abstractNum>
  <w:abstractNum w:abstractNumId="32">
    <w:nsid w:val="5BCD1778"/>
    <w:multiLevelType w:val="singleLevel"/>
    <w:tmpl w:val="5BCD1778"/>
    <w:lvl w:ilvl="0" w:tentative="0">
      <w:start w:val="1"/>
      <w:numFmt w:val="decimal"/>
      <w:lvlText w:val="%1."/>
      <w:lvlJc w:val="left"/>
      <w:pPr>
        <w:ind w:left="425" w:hanging="425"/>
      </w:pPr>
      <w:rPr>
        <w:rFonts w:hint="default"/>
      </w:rPr>
    </w:lvl>
  </w:abstractNum>
  <w:abstractNum w:abstractNumId="33">
    <w:nsid w:val="5E5B8806"/>
    <w:multiLevelType w:val="singleLevel"/>
    <w:tmpl w:val="5E5B8806"/>
    <w:lvl w:ilvl="0" w:tentative="0">
      <w:start w:val="1"/>
      <w:numFmt w:val="decimal"/>
      <w:lvlText w:val="(%1)"/>
      <w:lvlJc w:val="left"/>
      <w:pPr>
        <w:ind w:left="0" w:firstLine="454"/>
      </w:pPr>
      <w:rPr>
        <w:rFonts w:hint="default"/>
      </w:rPr>
    </w:lvl>
  </w:abstractNum>
  <w:abstractNum w:abstractNumId="34">
    <w:nsid w:val="691636DF"/>
    <w:multiLevelType w:val="multilevel"/>
    <w:tmpl w:val="691636DF"/>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35">
    <w:nsid w:val="6991C7AC"/>
    <w:multiLevelType w:val="singleLevel"/>
    <w:tmpl w:val="6991C7AC"/>
    <w:lvl w:ilvl="0" w:tentative="0">
      <w:start w:val="1"/>
      <w:numFmt w:val="decimal"/>
      <w:lvlText w:val="%1."/>
      <w:lvlJc w:val="left"/>
      <w:pPr>
        <w:ind w:left="425" w:hanging="425"/>
      </w:pPr>
      <w:rPr>
        <w:rFonts w:hint="default"/>
      </w:rPr>
    </w:lvl>
  </w:abstractNum>
  <w:abstractNum w:abstractNumId="36">
    <w:nsid w:val="70F5A8FD"/>
    <w:multiLevelType w:val="singleLevel"/>
    <w:tmpl w:val="70F5A8FD"/>
    <w:lvl w:ilvl="0" w:tentative="0">
      <w:start w:val="1"/>
      <w:numFmt w:val="decimal"/>
      <w:lvlText w:val="%1."/>
      <w:lvlJc w:val="left"/>
      <w:pPr>
        <w:ind w:left="425" w:hanging="425"/>
      </w:pPr>
      <w:rPr>
        <w:rFonts w:hint="default"/>
      </w:rPr>
    </w:lvl>
  </w:abstractNum>
  <w:abstractNum w:abstractNumId="37">
    <w:nsid w:val="73DC031A"/>
    <w:multiLevelType w:val="multilevel"/>
    <w:tmpl w:val="73DC031A"/>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ascii="Times New Roman" w:hAnsi="Times New Roman" w:cs="Times New Roman"/>
      </w:rPr>
    </w:lvl>
    <w:lvl w:ilvl="2" w:tentative="0">
      <w:start w:val="1"/>
      <w:numFmt w:val="lowerRoman"/>
      <w:lvlText w:val="%3."/>
      <w:lvlJc w:val="left"/>
      <w:pPr>
        <w:tabs>
          <w:tab w:val="left" w:pos="1260"/>
        </w:tabs>
        <w:ind w:left="1714" w:hanging="420"/>
      </w:pPr>
      <w:rPr>
        <w:rFonts w:hint="default" w:ascii="Times New Roman" w:hAnsi="Times New Roman" w:cs="Times New Roman"/>
      </w:rPr>
    </w:lvl>
    <w:lvl w:ilvl="3" w:tentative="0">
      <w:start w:val="1"/>
      <w:numFmt w:val="decimal"/>
      <w:lvlText w:val="%4."/>
      <w:lvlJc w:val="left"/>
      <w:pPr>
        <w:tabs>
          <w:tab w:val="left" w:pos="1680"/>
        </w:tabs>
        <w:ind w:left="2134" w:hanging="420"/>
      </w:pPr>
      <w:rPr>
        <w:rFonts w:hint="default" w:ascii="Times New Roman" w:hAnsi="Times New Roman" w:cs="Times New Roman"/>
      </w:rPr>
    </w:lvl>
    <w:lvl w:ilvl="4" w:tentative="0">
      <w:start w:val="1"/>
      <w:numFmt w:val="lowerLetter"/>
      <w:lvlText w:val="%5)"/>
      <w:lvlJc w:val="left"/>
      <w:pPr>
        <w:tabs>
          <w:tab w:val="left" w:pos="2100"/>
        </w:tabs>
        <w:ind w:left="2554" w:hanging="420"/>
      </w:pPr>
      <w:rPr>
        <w:rFonts w:hint="default" w:ascii="Times New Roman" w:hAnsi="Times New Roman" w:cs="Times New Roman"/>
      </w:rPr>
    </w:lvl>
    <w:lvl w:ilvl="5" w:tentative="0">
      <w:start w:val="1"/>
      <w:numFmt w:val="lowerRoman"/>
      <w:lvlText w:val="%6."/>
      <w:lvlJc w:val="left"/>
      <w:pPr>
        <w:tabs>
          <w:tab w:val="left" w:pos="2520"/>
        </w:tabs>
        <w:ind w:left="2974" w:hanging="420"/>
      </w:pPr>
      <w:rPr>
        <w:rFonts w:hint="default" w:ascii="Times New Roman" w:hAnsi="Times New Roman" w:cs="Times New Roman"/>
      </w:rPr>
    </w:lvl>
    <w:lvl w:ilvl="6" w:tentative="0">
      <w:start w:val="1"/>
      <w:numFmt w:val="decimal"/>
      <w:lvlText w:val="%7."/>
      <w:lvlJc w:val="left"/>
      <w:pPr>
        <w:tabs>
          <w:tab w:val="left" w:pos="2940"/>
        </w:tabs>
        <w:ind w:left="3394" w:hanging="420"/>
      </w:pPr>
      <w:rPr>
        <w:rFonts w:hint="default" w:ascii="Times New Roman" w:hAnsi="Times New Roman" w:cs="Times New Roman"/>
      </w:rPr>
    </w:lvl>
    <w:lvl w:ilvl="7" w:tentative="0">
      <w:start w:val="1"/>
      <w:numFmt w:val="lowerLetter"/>
      <w:lvlText w:val="%8)"/>
      <w:lvlJc w:val="left"/>
      <w:pPr>
        <w:tabs>
          <w:tab w:val="left" w:pos="3360"/>
        </w:tabs>
        <w:ind w:left="3814" w:hanging="420"/>
      </w:pPr>
      <w:rPr>
        <w:rFonts w:hint="default" w:ascii="Times New Roman" w:hAnsi="Times New Roman" w:cs="Times New Roman"/>
      </w:rPr>
    </w:lvl>
    <w:lvl w:ilvl="8" w:tentative="0">
      <w:start w:val="1"/>
      <w:numFmt w:val="lowerRoman"/>
      <w:lvlText w:val="%9."/>
      <w:lvlJc w:val="left"/>
      <w:pPr>
        <w:tabs>
          <w:tab w:val="left" w:pos="3780"/>
        </w:tabs>
        <w:ind w:left="4234" w:hanging="420"/>
      </w:pPr>
      <w:rPr>
        <w:rFonts w:hint="default" w:ascii="Times New Roman" w:hAnsi="Times New Roman" w:cs="Times New Roman"/>
      </w:rPr>
    </w:lvl>
  </w:abstractNum>
  <w:abstractNum w:abstractNumId="38">
    <w:nsid w:val="743B4AA9"/>
    <w:multiLevelType w:val="multilevel"/>
    <w:tmpl w:val="743B4AA9"/>
    <w:lvl w:ilvl="0" w:tentative="0">
      <w:start w:val="1"/>
      <w:numFmt w:val="decimal"/>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39">
    <w:nsid w:val="76026A94"/>
    <w:multiLevelType w:val="multilevel"/>
    <w:tmpl w:val="76026A94"/>
    <w:lvl w:ilvl="0" w:tentative="0">
      <w:start w:val="1"/>
      <w:numFmt w:val="decimal"/>
      <w:lvlText w:val="%1."/>
      <w:lvlJc w:val="left"/>
      <w:pPr>
        <w:ind w:left="0" w:firstLine="454"/>
      </w:pPr>
      <w:rPr>
        <w:rFonts w:hint="default" w:ascii="仿宋" w:hAnsi="仿宋" w:eastAsia="仿宋" w:cs="仿宋"/>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40">
    <w:nsid w:val="76AF9B0C"/>
    <w:multiLevelType w:val="singleLevel"/>
    <w:tmpl w:val="76AF9B0C"/>
    <w:lvl w:ilvl="0" w:tentative="0">
      <w:start w:val="1"/>
      <w:numFmt w:val="decimal"/>
      <w:lvlText w:val="%1."/>
      <w:lvlJc w:val="left"/>
      <w:pPr>
        <w:ind w:left="425" w:hanging="425"/>
      </w:pPr>
      <w:rPr>
        <w:rFonts w:hint="default"/>
      </w:rPr>
    </w:lvl>
  </w:abstractNum>
  <w:abstractNum w:abstractNumId="41">
    <w:nsid w:val="79045033"/>
    <w:multiLevelType w:val="multilevel"/>
    <w:tmpl w:val="79045033"/>
    <w:lvl w:ilvl="0" w:tentative="0">
      <w:start w:val="1"/>
      <w:numFmt w:val="lowerLetter"/>
      <w:lvlText w:val="%1."/>
      <w:lvlJc w:val="left"/>
      <w:pPr>
        <w:ind w:left="0" w:firstLine="454"/>
      </w:pPr>
      <w:rPr>
        <w:rFonts w:hint="default"/>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num w:numId="1">
    <w:abstractNumId w:val="5"/>
  </w:num>
  <w:num w:numId="2">
    <w:abstractNumId w:val="13"/>
  </w:num>
  <w:num w:numId="3">
    <w:abstractNumId w:val="1"/>
  </w:num>
  <w:num w:numId="4">
    <w:abstractNumId w:val="22"/>
  </w:num>
  <w:num w:numId="5">
    <w:abstractNumId w:val="25"/>
  </w:num>
  <w:num w:numId="6">
    <w:abstractNumId w:val="0"/>
  </w:num>
  <w:num w:numId="7">
    <w:abstractNumId w:val="38"/>
  </w:num>
  <w:num w:numId="8">
    <w:abstractNumId w:val="11"/>
  </w:num>
  <w:num w:numId="9">
    <w:abstractNumId w:val="18"/>
  </w:num>
  <w:num w:numId="10">
    <w:abstractNumId w:val="41"/>
  </w:num>
  <w:num w:numId="11">
    <w:abstractNumId w:val="19"/>
  </w:num>
  <w:num w:numId="12">
    <w:abstractNumId w:val="14"/>
  </w:num>
  <w:num w:numId="13">
    <w:abstractNumId w:val="40"/>
  </w:num>
  <w:num w:numId="14">
    <w:abstractNumId w:val="8"/>
  </w:num>
  <w:num w:numId="15">
    <w:abstractNumId w:val="17"/>
  </w:num>
  <w:num w:numId="16">
    <w:abstractNumId w:val="20"/>
  </w:num>
  <w:num w:numId="17">
    <w:abstractNumId w:val="24"/>
  </w:num>
  <w:num w:numId="18">
    <w:abstractNumId w:val="39"/>
  </w:num>
  <w:num w:numId="19">
    <w:abstractNumId w:val="30"/>
  </w:num>
  <w:num w:numId="20">
    <w:abstractNumId w:val="37"/>
  </w:num>
  <w:num w:numId="21">
    <w:abstractNumId w:val="23"/>
  </w:num>
  <w:num w:numId="22">
    <w:abstractNumId w:val="34"/>
  </w:num>
  <w:num w:numId="23">
    <w:abstractNumId w:val="27"/>
  </w:num>
  <w:num w:numId="24">
    <w:abstractNumId w:val="16"/>
  </w:num>
  <w:num w:numId="25">
    <w:abstractNumId w:val="12"/>
  </w:num>
  <w:num w:numId="26">
    <w:abstractNumId w:val="3"/>
  </w:num>
  <w:num w:numId="27">
    <w:abstractNumId w:val="4"/>
  </w:num>
  <w:num w:numId="28">
    <w:abstractNumId w:val="28"/>
  </w:num>
  <w:num w:numId="29">
    <w:abstractNumId w:val="10"/>
  </w:num>
  <w:num w:numId="30">
    <w:abstractNumId w:val="32"/>
  </w:num>
  <w:num w:numId="31">
    <w:abstractNumId w:val="21"/>
  </w:num>
  <w:num w:numId="32">
    <w:abstractNumId w:val="15"/>
  </w:num>
  <w:num w:numId="33">
    <w:abstractNumId w:val="36"/>
  </w:num>
  <w:num w:numId="34">
    <w:abstractNumId w:val="7"/>
  </w:num>
  <w:num w:numId="35">
    <w:abstractNumId w:val="35"/>
  </w:num>
  <w:num w:numId="36">
    <w:abstractNumId w:val="2"/>
  </w:num>
  <w:num w:numId="37">
    <w:abstractNumId w:val="29"/>
  </w:num>
  <w:num w:numId="38">
    <w:abstractNumId w:val="26"/>
  </w:num>
  <w:num w:numId="39">
    <w:abstractNumId w:val="9"/>
  </w:num>
  <w:num w:numId="40">
    <w:abstractNumId w:val="6"/>
  </w:num>
  <w:num w:numId="41">
    <w:abstractNumId w:val="31"/>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EAC"/>
    <w:rsid w:val="00025089"/>
    <w:rsid w:val="00037770"/>
    <w:rsid w:val="0005576E"/>
    <w:rsid w:val="0009401F"/>
    <w:rsid w:val="000B2CDE"/>
    <w:rsid w:val="000F61B3"/>
    <w:rsid w:val="001A4A01"/>
    <w:rsid w:val="001F508A"/>
    <w:rsid w:val="002073CC"/>
    <w:rsid w:val="002B13DD"/>
    <w:rsid w:val="002F713B"/>
    <w:rsid w:val="00313001"/>
    <w:rsid w:val="00353D75"/>
    <w:rsid w:val="003B3F45"/>
    <w:rsid w:val="00402EAC"/>
    <w:rsid w:val="00405EE0"/>
    <w:rsid w:val="00444D8E"/>
    <w:rsid w:val="004639C9"/>
    <w:rsid w:val="00516F6A"/>
    <w:rsid w:val="0053362B"/>
    <w:rsid w:val="00541246"/>
    <w:rsid w:val="00597C86"/>
    <w:rsid w:val="00597EDA"/>
    <w:rsid w:val="00616551"/>
    <w:rsid w:val="0063181E"/>
    <w:rsid w:val="00637715"/>
    <w:rsid w:val="00662B1A"/>
    <w:rsid w:val="006C5DC5"/>
    <w:rsid w:val="006F4CE7"/>
    <w:rsid w:val="007102B9"/>
    <w:rsid w:val="007459B7"/>
    <w:rsid w:val="007825FE"/>
    <w:rsid w:val="007969F8"/>
    <w:rsid w:val="007A13D9"/>
    <w:rsid w:val="007D4707"/>
    <w:rsid w:val="007E136B"/>
    <w:rsid w:val="0080429D"/>
    <w:rsid w:val="00841608"/>
    <w:rsid w:val="00870D86"/>
    <w:rsid w:val="009332A8"/>
    <w:rsid w:val="00942545"/>
    <w:rsid w:val="00996F4A"/>
    <w:rsid w:val="009B784A"/>
    <w:rsid w:val="00A26823"/>
    <w:rsid w:val="00A277D2"/>
    <w:rsid w:val="00A971CB"/>
    <w:rsid w:val="00B22136"/>
    <w:rsid w:val="00B75311"/>
    <w:rsid w:val="00B77488"/>
    <w:rsid w:val="00B910F9"/>
    <w:rsid w:val="00BA01F9"/>
    <w:rsid w:val="00BA3AF3"/>
    <w:rsid w:val="00BE73A9"/>
    <w:rsid w:val="00C121B5"/>
    <w:rsid w:val="00C129DF"/>
    <w:rsid w:val="00C35617"/>
    <w:rsid w:val="00C35690"/>
    <w:rsid w:val="00C43AA4"/>
    <w:rsid w:val="00C71FCF"/>
    <w:rsid w:val="00C87804"/>
    <w:rsid w:val="00CA1D21"/>
    <w:rsid w:val="00CB30A3"/>
    <w:rsid w:val="00D653D9"/>
    <w:rsid w:val="00DC0075"/>
    <w:rsid w:val="00DC630E"/>
    <w:rsid w:val="00DC7429"/>
    <w:rsid w:val="00DF14BB"/>
    <w:rsid w:val="00DF3F74"/>
    <w:rsid w:val="00E17B3E"/>
    <w:rsid w:val="00E32D08"/>
    <w:rsid w:val="00E440BE"/>
    <w:rsid w:val="00E5330E"/>
    <w:rsid w:val="00E57A8F"/>
    <w:rsid w:val="00E6654B"/>
    <w:rsid w:val="00E67E4E"/>
    <w:rsid w:val="00E73320"/>
    <w:rsid w:val="00F565D9"/>
    <w:rsid w:val="00F85C5A"/>
    <w:rsid w:val="00FA60C9"/>
    <w:rsid w:val="00FF163B"/>
    <w:rsid w:val="01115835"/>
    <w:rsid w:val="012C62B1"/>
    <w:rsid w:val="013D1A7F"/>
    <w:rsid w:val="0150212A"/>
    <w:rsid w:val="01595543"/>
    <w:rsid w:val="01657C13"/>
    <w:rsid w:val="01802665"/>
    <w:rsid w:val="01850DBA"/>
    <w:rsid w:val="01B7445F"/>
    <w:rsid w:val="01E37433"/>
    <w:rsid w:val="01F55B9E"/>
    <w:rsid w:val="01F82CD5"/>
    <w:rsid w:val="02047997"/>
    <w:rsid w:val="022D22A4"/>
    <w:rsid w:val="02482433"/>
    <w:rsid w:val="0273635F"/>
    <w:rsid w:val="02782B81"/>
    <w:rsid w:val="027D71DE"/>
    <w:rsid w:val="027F321C"/>
    <w:rsid w:val="0281260A"/>
    <w:rsid w:val="029E6872"/>
    <w:rsid w:val="02C24513"/>
    <w:rsid w:val="02C66E67"/>
    <w:rsid w:val="02D73025"/>
    <w:rsid w:val="02EA4264"/>
    <w:rsid w:val="03071B18"/>
    <w:rsid w:val="03370F9A"/>
    <w:rsid w:val="03463A74"/>
    <w:rsid w:val="034A3564"/>
    <w:rsid w:val="03972392"/>
    <w:rsid w:val="03A952CE"/>
    <w:rsid w:val="03CA1FAF"/>
    <w:rsid w:val="03CB2626"/>
    <w:rsid w:val="03E5778C"/>
    <w:rsid w:val="03EF2612"/>
    <w:rsid w:val="03F13AD7"/>
    <w:rsid w:val="03F8493A"/>
    <w:rsid w:val="03FA6D38"/>
    <w:rsid w:val="0409380D"/>
    <w:rsid w:val="040C25C7"/>
    <w:rsid w:val="04227647"/>
    <w:rsid w:val="04370BD1"/>
    <w:rsid w:val="04925D15"/>
    <w:rsid w:val="04DF1A8A"/>
    <w:rsid w:val="055113C4"/>
    <w:rsid w:val="05720B51"/>
    <w:rsid w:val="058C6BDD"/>
    <w:rsid w:val="05981E58"/>
    <w:rsid w:val="059A7C15"/>
    <w:rsid w:val="05A14F91"/>
    <w:rsid w:val="05AD5D09"/>
    <w:rsid w:val="05B003FE"/>
    <w:rsid w:val="05BB62D8"/>
    <w:rsid w:val="05C70E9C"/>
    <w:rsid w:val="060A5283"/>
    <w:rsid w:val="072A7934"/>
    <w:rsid w:val="075F5104"/>
    <w:rsid w:val="076A2F4C"/>
    <w:rsid w:val="0781507A"/>
    <w:rsid w:val="07827366"/>
    <w:rsid w:val="07AA22DB"/>
    <w:rsid w:val="07B54D24"/>
    <w:rsid w:val="082E1A03"/>
    <w:rsid w:val="083D12C9"/>
    <w:rsid w:val="0840099C"/>
    <w:rsid w:val="084B6A41"/>
    <w:rsid w:val="085E7580"/>
    <w:rsid w:val="086C608F"/>
    <w:rsid w:val="08726D5F"/>
    <w:rsid w:val="088E5CA1"/>
    <w:rsid w:val="08DC5ECD"/>
    <w:rsid w:val="08DE5C08"/>
    <w:rsid w:val="09002A96"/>
    <w:rsid w:val="09022DB6"/>
    <w:rsid w:val="096249C6"/>
    <w:rsid w:val="097C6943"/>
    <w:rsid w:val="09862E1C"/>
    <w:rsid w:val="09E35B78"/>
    <w:rsid w:val="09F8320D"/>
    <w:rsid w:val="0A51342A"/>
    <w:rsid w:val="0A6325AF"/>
    <w:rsid w:val="0A6C5FC9"/>
    <w:rsid w:val="0A7009F6"/>
    <w:rsid w:val="0A8F2E35"/>
    <w:rsid w:val="0AA7129C"/>
    <w:rsid w:val="0AC2594F"/>
    <w:rsid w:val="0B022976"/>
    <w:rsid w:val="0B0567D9"/>
    <w:rsid w:val="0B3D575C"/>
    <w:rsid w:val="0B615F3C"/>
    <w:rsid w:val="0B9F01C5"/>
    <w:rsid w:val="0BD75BB1"/>
    <w:rsid w:val="0BEA391B"/>
    <w:rsid w:val="0BFA53FB"/>
    <w:rsid w:val="0C234952"/>
    <w:rsid w:val="0C3A4977"/>
    <w:rsid w:val="0C5C34B9"/>
    <w:rsid w:val="0C943752"/>
    <w:rsid w:val="0C9B6BDE"/>
    <w:rsid w:val="0CA703C6"/>
    <w:rsid w:val="0CC93D5C"/>
    <w:rsid w:val="0CD73A0B"/>
    <w:rsid w:val="0D430189"/>
    <w:rsid w:val="0D7C07BE"/>
    <w:rsid w:val="0DE736A7"/>
    <w:rsid w:val="0DEB14A0"/>
    <w:rsid w:val="0DF21753"/>
    <w:rsid w:val="0E023283"/>
    <w:rsid w:val="0E2E1D8D"/>
    <w:rsid w:val="0E3341D2"/>
    <w:rsid w:val="0E3C7F4D"/>
    <w:rsid w:val="0E6D3758"/>
    <w:rsid w:val="0EE26D46"/>
    <w:rsid w:val="0EF526F9"/>
    <w:rsid w:val="0EFB164B"/>
    <w:rsid w:val="0EFF479A"/>
    <w:rsid w:val="0F22538D"/>
    <w:rsid w:val="0F6F4A45"/>
    <w:rsid w:val="0F7B5503"/>
    <w:rsid w:val="0FEB0144"/>
    <w:rsid w:val="0FF8252D"/>
    <w:rsid w:val="100827DD"/>
    <w:rsid w:val="102869DB"/>
    <w:rsid w:val="10433815"/>
    <w:rsid w:val="108152C4"/>
    <w:rsid w:val="10AB1D30"/>
    <w:rsid w:val="10E72119"/>
    <w:rsid w:val="1107234B"/>
    <w:rsid w:val="112D3170"/>
    <w:rsid w:val="1134315E"/>
    <w:rsid w:val="116B24F2"/>
    <w:rsid w:val="11920286"/>
    <w:rsid w:val="11E43BBB"/>
    <w:rsid w:val="11F052D6"/>
    <w:rsid w:val="11F254F3"/>
    <w:rsid w:val="120314AE"/>
    <w:rsid w:val="121A0C53"/>
    <w:rsid w:val="12211934"/>
    <w:rsid w:val="12503FC7"/>
    <w:rsid w:val="12582E7C"/>
    <w:rsid w:val="1288550F"/>
    <w:rsid w:val="12993BC0"/>
    <w:rsid w:val="12A3059B"/>
    <w:rsid w:val="13007A64"/>
    <w:rsid w:val="131479FD"/>
    <w:rsid w:val="132231EF"/>
    <w:rsid w:val="1335310F"/>
    <w:rsid w:val="133B2B2D"/>
    <w:rsid w:val="134B54AD"/>
    <w:rsid w:val="13712AB6"/>
    <w:rsid w:val="138B3A71"/>
    <w:rsid w:val="13B6759B"/>
    <w:rsid w:val="13C24A51"/>
    <w:rsid w:val="13C62582"/>
    <w:rsid w:val="13DF3855"/>
    <w:rsid w:val="13E620B2"/>
    <w:rsid w:val="13EB21F9"/>
    <w:rsid w:val="13F543F2"/>
    <w:rsid w:val="144518D4"/>
    <w:rsid w:val="14502D34"/>
    <w:rsid w:val="14577A4F"/>
    <w:rsid w:val="149E6AFD"/>
    <w:rsid w:val="14A64372"/>
    <w:rsid w:val="14C97DF5"/>
    <w:rsid w:val="14D2789E"/>
    <w:rsid w:val="15431C66"/>
    <w:rsid w:val="15512530"/>
    <w:rsid w:val="15625398"/>
    <w:rsid w:val="156A1844"/>
    <w:rsid w:val="15804BC3"/>
    <w:rsid w:val="158168EB"/>
    <w:rsid w:val="158C3568"/>
    <w:rsid w:val="15961662"/>
    <w:rsid w:val="15A379A5"/>
    <w:rsid w:val="15E433A4"/>
    <w:rsid w:val="16021A7C"/>
    <w:rsid w:val="1615355E"/>
    <w:rsid w:val="16353C00"/>
    <w:rsid w:val="165E095B"/>
    <w:rsid w:val="166E0EC0"/>
    <w:rsid w:val="16856423"/>
    <w:rsid w:val="16881F81"/>
    <w:rsid w:val="16AE7AB5"/>
    <w:rsid w:val="16DB2BD7"/>
    <w:rsid w:val="16F70EB5"/>
    <w:rsid w:val="16F74D42"/>
    <w:rsid w:val="17005FBC"/>
    <w:rsid w:val="170C7D3C"/>
    <w:rsid w:val="170F61FF"/>
    <w:rsid w:val="17150DEE"/>
    <w:rsid w:val="17191471"/>
    <w:rsid w:val="17233C4D"/>
    <w:rsid w:val="17333D9C"/>
    <w:rsid w:val="17604AD5"/>
    <w:rsid w:val="1767603B"/>
    <w:rsid w:val="17A70706"/>
    <w:rsid w:val="17DE7B83"/>
    <w:rsid w:val="180967FE"/>
    <w:rsid w:val="18251836"/>
    <w:rsid w:val="1858727D"/>
    <w:rsid w:val="185B2EF2"/>
    <w:rsid w:val="18716A6C"/>
    <w:rsid w:val="189F5926"/>
    <w:rsid w:val="18AF5EEB"/>
    <w:rsid w:val="18C2797C"/>
    <w:rsid w:val="18D05E62"/>
    <w:rsid w:val="18E658C6"/>
    <w:rsid w:val="1901426D"/>
    <w:rsid w:val="190653E0"/>
    <w:rsid w:val="19067AD5"/>
    <w:rsid w:val="19322678"/>
    <w:rsid w:val="194F0FEB"/>
    <w:rsid w:val="19516FA3"/>
    <w:rsid w:val="19C257AA"/>
    <w:rsid w:val="19E73463"/>
    <w:rsid w:val="1A534654"/>
    <w:rsid w:val="1A7C7038"/>
    <w:rsid w:val="1AB0056B"/>
    <w:rsid w:val="1AB53561"/>
    <w:rsid w:val="1AB75853"/>
    <w:rsid w:val="1AE65FC3"/>
    <w:rsid w:val="1B140288"/>
    <w:rsid w:val="1B47619E"/>
    <w:rsid w:val="1B4817B1"/>
    <w:rsid w:val="1B4A7075"/>
    <w:rsid w:val="1B5763C6"/>
    <w:rsid w:val="1B7156DA"/>
    <w:rsid w:val="1B721452"/>
    <w:rsid w:val="1B8A054A"/>
    <w:rsid w:val="1BFB1448"/>
    <w:rsid w:val="1C337F4A"/>
    <w:rsid w:val="1C5841A4"/>
    <w:rsid w:val="1C6836B2"/>
    <w:rsid w:val="1C6A614B"/>
    <w:rsid w:val="1C7C4570"/>
    <w:rsid w:val="1C810F0D"/>
    <w:rsid w:val="1C8A4B7A"/>
    <w:rsid w:val="1CC739A9"/>
    <w:rsid w:val="1CE912A0"/>
    <w:rsid w:val="1D0453B6"/>
    <w:rsid w:val="1D0E6F59"/>
    <w:rsid w:val="1D2B7B0B"/>
    <w:rsid w:val="1DA17DCD"/>
    <w:rsid w:val="1DB47B00"/>
    <w:rsid w:val="1DB7047D"/>
    <w:rsid w:val="1DF60118"/>
    <w:rsid w:val="1E015E63"/>
    <w:rsid w:val="1E2B30F8"/>
    <w:rsid w:val="1E303A24"/>
    <w:rsid w:val="1E4A0451"/>
    <w:rsid w:val="1E605592"/>
    <w:rsid w:val="1E7E729C"/>
    <w:rsid w:val="1EA029B3"/>
    <w:rsid w:val="1F0C571A"/>
    <w:rsid w:val="1F172BF7"/>
    <w:rsid w:val="1F1D203A"/>
    <w:rsid w:val="1F2B3DF2"/>
    <w:rsid w:val="1FCF29CF"/>
    <w:rsid w:val="1FD46AEE"/>
    <w:rsid w:val="1FDB5818"/>
    <w:rsid w:val="1FE12702"/>
    <w:rsid w:val="20097E44"/>
    <w:rsid w:val="206375BB"/>
    <w:rsid w:val="20795DD4"/>
    <w:rsid w:val="210D63FD"/>
    <w:rsid w:val="21115269"/>
    <w:rsid w:val="213E48C5"/>
    <w:rsid w:val="214B077B"/>
    <w:rsid w:val="21621621"/>
    <w:rsid w:val="217B2357"/>
    <w:rsid w:val="21F901D7"/>
    <w:rsid w:val="21F90E62"/>
    <w:rsid w:val="221B63A0"/>
    <w:rsid w:val="22484CBB"/>
    <w:rsid w:val="22742671"/>
    <w:rsid w:val="227B5090"/>
    <w:rsid w:val="22AF0896"/>
    <w:rsid w:val="22B94B83"/>
    <w:rsid w:val="22C73A5B"/>
    <w:rsid w:val="22F06943"/>
    <w:rsid w:val="23263BB6"/>
    <w:rsid w:val="235F043D"/>
    <w:rsid w:val="239B55A8"/>
    <w:rsid w:val="23DA1943"/>
    <w:rsid w:val="23E44FBD"/>
    <w:rsid w:val="23EB0CFA"/>
    <w:rsid w:val="2437306E"/>
    <w:rsid w:val="24710D4D"/>
    <w:rsid w:val="24761EDC"/>
    <w:rsid w:val="248F73F5"/>
    <w:rsid w:val="24A93807"/>
    <w:rsid w:val="24C820E3"/>
    <w:rsid w:val="24CE594B"/>
    <w:rsid w:val="24EF7670"/>
    <w:rsid w:val="25040B8D"/>
    <w:rsid w:val="25331C52"/>
    <w:rsid w:val="255E0351"/>
    <w:rsid w:val="257B0F03"/>
    <w:rsid w:val="25C728F9"/>
    <w:rsid w:val="2600001F"/>
    <w:rsid w:val="261F6773"/>
    <w:rsid w:val="26357304"/>
    <w:rsid w:val="267267AA"/>
    <w:rsid w:val="26997CA8"/>
    <w:rsid w:val="27036940"/>
    <w:rsid w:val="270C6B41"/>
    <w:rsid w:val="27111B1F"/>
    <w:rsid w:val="27404DD3"/>
    <w:rsid w:val="274912B9"/>
    <w:rsid w:val="27565784"/>
    <w:rsid w:val="275B299B"/>
    <w:rsid w:val="279D3039"/>
    <w:rsid w:val="27F05BD9"/>
    <w:rsid w:val="27F364F3"/>
    <w:rsid w:val="283C0DFF"/>
    <w:rsid w:val="28743B07"/>
    <w:rsid w:val="29316B30"/>
    <w:rsid w:val="29451A7D"/>
    <w:rsid w:val="29914639"/>
    <w:rsid w:val="2A091F98"/>
    <w:rsid w:val="2A1A0CEB"/>
    <w:rsid w:val="2A3E3C16"/>
    <w:rsid w:val="2A565CC8"/>
    <w:rsid w:val="2A6660A5"/>
    <w:rsid w:val="2AD4376A"/>
    <w:rsid w:val="2AFB4E86"/>
    <w:rsid w:val="2B195597"/>
    <w:rsid w:val="2B3B078B"/>
    <w:rsid w:val="2B632B65"/>
    <w:rsid w:val="2B764647"/>
    <w:rsid w:val="2B7866E2"/>
    <w:rsid w:val="2BA074D5"/>
    <w:rsid w:val="2BBA4113"/>
    <w:rsid w:val="2BC37160"/>
    <w:rsid w:val="2BC64511"/>
    <w:rsid w:val="2BEA0B91"/>
    <w:rsid w:val="2C063EC4"/>
    <w:rsid w:val="2C1A2261"/>
    <w:rsid w:val="2C2B4EAC"/>
    <w:rsid w:val="2C4058A5"/>
    <w:rsid w:val="2C5A7AC4"/>
    <w:rsid w:val="2C9E0713"/>
    <w:rsid w:val="2CC31B5A"/>
    <w:rsid w:val="2CDB1A73"/>
    <w:rsid w:val="2D191183"/>
    <w:rsid w:val="2D2F1CD3"/>
    <w:rsid w:val="2D71156A"/>
    <w:rsid w:val="2D937732"/>
    <w:rsid w:val="2D9A1066"/>
    <w:rsid w:val="2DD07775"/>
    <w:rsid w:val="2DF023C9"/>
    <w:rsid w:val="2E3D31FA"/>
    <w:rsid w:val="2E4822E7"/>
    <w:rsid w:val="2E8E1CA7"/>
    <w:rsid w:val="2E9279E9"/>
    <w:rsid w:val="2E9C2616"/>
    <w:rsid w:val="2EAA1CA2"/>
    <w:rsid w:val="2EE10B1D"/>
    <w:rsid w:val="2EE47B19"/>
    <w:rsid w:val="2EF30B0C"/>
    <w:rsid w:val="2F0A1EF5"/>
    <w:rsid w:val="2F2820FC"/>
    <w:rsid w:val="2F4B1946"/>
    <w:rsid w:val="2F8F217B"/>
    <w:rsid w:val="2F920605"/>
    <w:rsid w:val="2FC122B8"/>
    <w:rsid w:val="2FF10740"/>
    <w:rsid w:val="30073ABF"/>
    <w:rsid w:val="300F190E"/>
    <w:rsid w:val="305F38FB"/>
    <w:rsid w:val="30601421"/>
    <w:rsid w:val="3075311F"/>
    <w:rsid w:val="309C5123"/>
    <w:rsid w:val="30B62064"/>
    <w:rsid w:val="30B77219"/>
    <w:rsid w:val="30F63BCF"/>
    <w:rsid w:val="31104BF6"/>
    <w:rsid w:val="31553566"/>
    <w:rsid w:val="31813D45"/>
    <w:rsid w:val="318924F2"/>
    <w:rsid w:val="31A0241D"/>
    <w:rsid w:val="31AB2B70"/>
    <w:rsid w:val="31C83745"/>
    <w:rsid w:val="322749DB"/>
    <w:rsid w:val="3252231D"/>
    <w:rsid w:val="32BD6C45"/>
    <w:rsid w:val="32C51A10"/>
    <w:rsid w:val="32E75E2A"/>
    <w:rsid w:val="32EB3B6C"/>
    <w:rsid w:val="33611283"/>
    <w:rsid w:val="338D2217"/>
    <w:rsid w:val="3397053D"/>
    <w:rsid w:val="33A67A93"/>
    <w:rsid w:val="33CA32F9"/>
    <w:rsid w:val="33CF0D98"/>
    <w:rsid w:val="33FC3171"/>
    <w:rsid w:val="34136008"/>
    <w:rsid w:val="3414192E"/>
    <w:rsid w:val="344A01BD"/>
    <w:rsid w:val="345179FF"/>
    <w:rsid w:val="34AD225F"/>
    <w:rsid w:val="34AE72C0"/>
    <w:rsid w:val="34E56399"/>
    <w:rsid w:val="350C5C16"/>
    <w:rsid w:val="35377ED2"/>
    <w:rsid w:val="353D21C3"/>
    <w:rsid w:val="35521C81"/>
    <w:rsid w:val="355B2DDB"/>
    <w:rsid w:val="35610116"/>
    <w:rsid w:val="35D84AE1"/>
    <w:rsid w:val="35D96EFA"/>
    <w:rsid w:val="363668A4"/>
    <w:rsid w:val="36462408"/>
    <w:rsid w:val="36EC614B"/>
    <w:rsid w:val="37461371"/>
    <w:rsid w:val="374A3E66"/>
    <w:rsid w:val="376161AB"/>
    <w:rsid w:val="379066B1"/>
    <w:rsid w:val="37B87D95"/>
    <w:rsid w:val="37E666B0"/>
    <w:rsid w:val="38174ABC"/>
    <w:rsid w:val="382471D8"/>
    <w:rsid w:val="383E2C0C"/>
    <w:rsid w:val="385E584B"/>
    <w:rsid w:val="387D5266"/>
    <w:rsid w:val="39007C46"/>
    <w:rsid w:val="390B2630"/>
    <w:rsid w:val="39151FE5"/>
    <w:rsid w:val="39A84628"/>
    <w:rsid w:val="39BF18AF"/>
    <w:rsid w:val="3A0A0D7C"/>
    <w:rsid w:val="3A217E73"/>
    <w:rsid w:val="3A5307BE"/>
    <w:rsid w:val="3A6648A1"/>
    <w:rsid w:val="3ACC7F2F"/>
    <w:rsid w:val="3ACF1C8D"/>
    <w:rsid w:val="3AE8096E"/>
    <w:rsid w:val="3AEE60FB"/>
    <w:rsid w:val="3B394283"/>
    <w:rsid w:val="3B624050"/>
    <w:rsid w:val="3B8C4E0B"/>
    <w:rsid w:val="3BA66F91"/>
    <w:rsid w:val="3BBA78F3"/>
    <w:rsid w:val="3BD806E4"/>
    <w:rsid w:val="3C357FBB"/>
    <w:rsid w:val="3C486E90"/>
    <w:rsid w:val="3C817BE5"/>
    <w:rsid w:val="3C9E57AB"/>
    <w:rsid w:val="3CE32812"/>
    <w:rsid w:val="3CEB6517"/>
    <w:rsid w:val="3D485319"/>
    <w:rsid w:val="3D7C253A"/>
    <w:rsid w:val="3D8D6428"/>
    <w:rsid w:val="3DAA1B3A"/>
    <w:rsid w:val="3DAC214A"/>
    <w:rsid w:val="3DBD7EB3"/>
    <w:rsid w:val="3DCB25D0"/>
    <w:rsid w:val="3DFC6CE3"/>
    <w:rsid w:val="3E110C9C"/>
    <w:rsid w:val="3E1F291C"/>
    <w:rsid w:val="3E7A2248"/>
    <w:rsid w:val="3EC426BE"/>
    <w:rsid w:val="3EFB6EE5"/>
    <w:rsid w:val="3F0062A9"/>
    <w:rsid w:val="3F0D4532"/>
    <w:rsid w:val="3F1B7587"/>
    <w:rsid w:val="3F2335C3"/>
    <w:rsid w:val="3F4D4697"/>
    <w:rsid w:val="3F514D57"/>
    <w:rsid w:val="3F7942AE"/>
    <w:rsid w:val="3F8A1A96"/>
    <w:rsid w:val="3F8E7D59"/>
    <w:rsid w:val="40467B57"/>
    <w:rsid w:val="40745AB2"/>
    <w:rsid w:val="40780A8F"/>
    <w:rsid w:val="40786313"/>
    <w:rsid w:val="409B2096"/>
    <w:rsid w:val="40C768AC"/>
    <w:rsid w:val="40C770F8"/>
    <w:rsid w:val="40EA5463"/>
    <w:rsid w:val="41317E7F"/>
    <w:rsid w:val="414C66FB"/>
    <w:rsid w:val="415B3C6B"/>
    <w:rsid w:val="4162220A"/>
    <w:rsid w:val="416A429A"/>
    <w:rsid w:val="417E7857"/>
    <w:rsid w:val="419E624E"/>
    <w:rsid w:val="41B4781F"/>
    <w:rsid w:val="41D43A1D"/>
    <w:rsid w:val="41DD1CB3"/>
    <w:rsid w:val="4217147A"/>
    <w:rsid w:val="421A58D4"/>
    <w:rsid w:val="42355661"/>
    <w:rsid w:val="424B0183"/>
    <w:rsid w:val="42A22DB6"/>
    <w:rsid w:val="42CC32C1"/>
    <w:rsid w:val="42FE7E3F"/>
    <w:rsid w:val="43461858"/>
    <w:rsid w:val="43476B9D"/>
    <w:rsid w:val="43884395"/>
    <w:rsid w:val="43E77A38"/>
    <w:rsid w:val="440651A1"/>
    <w:rsid w:val="44206B75"/>
    <w:rsid w:val="442E1B0B"/>
    <w:rsid w:val="44305883"/>
    <w:rsid w:val="443833A3"/>
    <w:rsid w:val="445F68F7"/>
    <w:rsid w:val="4476700E"/>
    <w:rsid w:val="448F2BC4"/>
    <w:rsid w:val="449F0313"/>
    <w:rsid w:val="44B10046"/>
    <w:rsid w:val="4530540F"/>
    <w:rsid w:val="45414254"/>
    <w:rsid w:val="4577128F"/>
    <w:rsid w:val="458A0FC3"/>
    <w:rsid w:val="45EB289C"/>
    <w:rsid w:val="46010683"/>
    <w:rsid w:val="46031E72"/>
    <w:rsid w:val="460A3EB2"/>
    <w:rsid w:val="462449D1"/>
    <w:rsid w:val="46472A10"/>
    <w:rsid w:val="467B573A"/>
    <w:rsid w:val="46A77952"/>
    <w:rsid w:val="46CE4EDF"/>
    <w:rsid w:val="46D00C57"/>
    <w:rsid w:val="46DA7D28"/>
    <w:rsid w:val="46FD0D98"/>
    <w:rsid w:val="47126EAF"/>
    <w:rsid w:val="47257CF0"/>
    <w:rsid w:val="472C61FD"/>
    <w:rsid w:val="4743272D"/>
    <w:rsid w:val="474F34DF"/>
    <w:rsid w:val="47EE393C"/>
    <w:rsid w:val="47F26A5B"/>
    <w:rsid w:val="48050DD4"/>
    <w:rsid w:val="48311BC9"/>
    <w:rsid w:val="48335942"/>
    <w:rsid w:val="485A671C"/>
    <w:rsid w:val="488717E9"/>
    <w:rsid w:val="48877A3B"/>
    <w:rsid w:val="48917223"/>
    <w:rsid w:val="48A26D97"/>
    <w:rsid w:val="48DD5BA9"/>
    <w:rsid w:val="49042511"/>
    <w:rsid w:val="49555444"/>
    <w:rsid w:val="49570633"/>
    <w:rsid w:val="496F5018"/>
    <w:rsid w:val="49711858"/>
    <w:rsid w:val="499E3D87"/>
    <w:rsid w:val="49D72217"/>
    <w:rsid w:val="4A050C18"/>
    <w:rsid w:val="4A2B558B"/>
    <w:rsid w:val="4A320980"/>
    <w:rsid w:val="4A616397"/>
    <w:rsid w:val="4A653DAC"/>
    <w:rsid w:val="4A742241"/>
    <w:rsid w:val="4A792204"/>
    <w:rsid w:val="4A9948F1"/>
    <w:rsid w:val="4AC25292"/>
    <w:rsid w:val="4AD420E6"/>
    <w:rsid w:val="4ADB406F"/>
    <w:rsid w:val="4AF07B1A"/>
    <w:rsid w:val="4B38501D"/>
    <w:rsid w:val="4B5D4A84"/>
    <w:rsid w:val="4B873C24"/>
    <w:rsid w:val="4BBA0128"/>
    <w:rsid w:val="4BC36373"/>
    <w:rsid w:val="4BE8086A"/>
    <w:rsid w:val="4BEB64CF"/>
    <w:rsid w:val="4C0F2222"/>
    <w:rsid w:val="4C234171"/>
    <w:rsid w:val="4C5440D8"/>
    <w:rsid w:val="4C6C1422"/>
    <w:rsid w:val="4C8E5EAB"/>
    <w:rsid w:val="4C901940"/>
    <w:rsid w:val="4C956D80"/>
    <w:rsid w:val="4CBE2769"/>
    <w:rsid w:val="4CCF375F"/>
    <w:rsid w:val="4CF35058"/>
    <w:rsid w:val="4D1A2C2C"/>
    <w:rsid w:val="4D704F42"/>
    <w:rsid w:val="4D7E09D9"/>
    <w:rsid w:val="4D7F2105"/>
    <w:rsid w:val="4D9F3510"/>
    <w:rsid w:val="4DC95151"/>
    <w:rsid w:val="4DD6783C"/>
    <w:rsid w:val="4DDC25D7"/>
    <w:rsid w:val="4DEB45C9"/>
    <w:rsid w:val="4DFF40C7"/>
    <w:rsid w:val="4E061402"/>
    <w:rsid w:val="4E0C0BD4"/>
    <w:rsid w:val="4E2E3FCE"/>
    <w:rsid w:val="4E5664C1"/>
    <w:rsid w:val="4E606D65"/>
    <w:rsid w:val="4EF456FF"/>
    <w:rsid w:val="4EFE032C"/>
    <w:rsid w:val="4F1B3781"/>
    <w:rsid w:val="4F2222AD"/>
    <w:rsid w:val="4F2826E0"/>
    <w:rsid w:val="4F3501F1"/>
    <w:rsid w:val="4F455F5A"/>
    <w:rsid w:val="4F5D15A2"/>
    <w:rsid w:val="502A587C"/>
    <w:rsid w:val="50633C92"/>
    <w:rsid w:val="507D4F4A"/>
    <w:rsid w:val="50922DA8"/>
    <w:rsid w:val="509F0132"/>
    <w:rsid w:val="50A5279D"/>
    <w:rsid w:val="50AA42C7"/>
    <w:rsid w:val="515130BD"/>
    <w:rsid w:val="51B50DA6"/>
    <w:rsid w:val="51DC12F0"/>
    <w:rsid w:val="52834FEF"/>
    <w:rsid w:val="5285323E"/>
    <w:rsid w:val="52B15DE1"/>
    <w:rsid w:val="52D970E6"/>
    <w:rsid w:val="52DB4C0C"/>
    <w:rsid w:val="53190DF1"/>
    <w:rsid w:val="532A27DF"/>
    <w:rsid w:val="53D60467"/>
    <w:rsid w:val="542124FC"/>
    <w:rsid w:val="54281831"/>
    <w:rsid w:val="542D593B"/>
    <w:rsid w:val="545F1151"/>
    <w:rsid w:val="5494742C"/>
    <w:rsid w:val="54A43723"/>
    <w:rsid w:val="54E0475B"/>
    <w:rsid w:val="54E62062"/>
    <w:rsid w:val="55415643"/>
    <w:rsid w:val="554375DB"/>
    <w:rsid w:val="555C7146"/>
    <w:rsid w:val="559B2D78"/>
    <w:rsid w:val="55A35789"/>
    <w:rsid w:val="55AB7D3E"/>
    <w:rsid w:val="55E55DA1"/>
    <w:rsid w:val="55F33BA2"/>
    <w:rsid w:val="55F82E7F"/>
    <w:rsid w:val="56054571"/>
    <w:rsid w:val="56257A60"/>
    <w:rsid w:val="56BA0FDC"/>
    <w:rsid w:val="56DE0939"/>
    <w:rsid w:val="56FE6052"/>
    <w:rsid w:val="57122BC6"/>
    <w:rsid w:val="573B39A0"/>
    <w:rsid w:val="57607DD5"/>
    <w:rsid w:val="57743881"/>
    <w:rsid w:val="578A30A4"/>
    <w:rsid w:val="57B701F7"/>
    <w:rsid w:val="57BD6FD6"/>
    <w:rsid w:val="58027C9C"/>
    <w:rsid w:val="58190752"/>
    <w:rsid w:val="58472D43"/>
    <w:rsid w:val="58761668"/>
    <w:rsid w:val="58B80B09"/>
    <w:rsid w:val="58BD4DB3"/>
    <w:rsid w:val="58D04AE7"/>
    <w:rsid w:val="58D740C7"/>
    <w:rsid w:val="58DF0D4B"/>
    <w:rsid w:val="59012EF2"/>
    <w:rsid w:val="59100756"/>
    <w:rsid w:val="591973FE"/>
    <w:rsid w:val="595662F0"/>
    <w:rsid w:val="595B4CF8"/>
    <w:rsid w:val="599B5FD8"/>
    <w:rsid w:val="599F0C4D"/>
    <w:rsid w:val="59CD1026"/>
    <w:rsid w:val="5A354B99"/>
    <w:rsid w:val="5A3966BC"/>
    <w:rsid w:val="5AB83A53"/>
    <w:rsid w:val="5B25722E"/>
    <w:rsid w:val="5B296730"/>
    <w:rsid w:val="5BDC7F87"/>
    <w:rsid w:val="5BF758C2"/>
    <w:rsid w:val="5C447CC6"/>
    <w:rsid w:val="5C4D6DB2"/>
    <w:rsid w:val="5C500329"/>
    <w:rsid w:val="5C5477DD"/>
    <w:rsid w:val="5C645C72"/>
    <w:rsid w:val="5C6B5F1C"/>
    <w:rsid w:val="5CAE513F"/>
    <w:rsid w:val="5CD728E8"/>
    <w:rsid w:val="5D0774E5"/>
    <w:rsid w:val="5D55666E"/>
    <w:rsid w:val="5D8E3401"/>
    <w:rsid w:val="5DA64068"/>
    <w:rsid w:val="5DA87DE0"/>
    <w:rsid w:val="5DC703F6"/>
    <w:rsid w:val="5DDC7A8A"/>
    <w:rsid w:val="5DEE1AB2"/>
    <w:rsid w:val="5DF26882"/>
    <w:rsid w:val="5DF474C9"/>
    <w:rsid w:val="5E03770C"/>
    <w:rsid w:val="5E1216FE"/>
    <w:rsid w:val="5E60690D"/>
    <w:rsid w:val="5E9020F3"/>
    <w:rsid w:val="5ECB25EC"/>
    <w:rsid w:val="5EDF47AB"/>
    <w:rsid w:val="5EF73049"/>
    <w:rsid w:val="5F2F1A61"/>
    <w:rsid w:val="5F507DEA"/>
    <w:rsid w:val="5F966721"/>
    <w:rsid w:val="5F9C3975"/>
    <w:rsid w:val="5FAD24C0"/>
    <w:rsid w:val="5FE07D05"/>
    <w:rsid w:val="5FFC1013"/>
    <w:rsid w:val="60121E89"/>
    <w:rsid w:val="602D44C4"/>
    <w:rsid w:val="60786190"/>
    <w:rsid w:val="60896359"/>
    <w:rsid w:val="608C1C3B"/>
    <w:rsid w:val="608D2F12"/>
    <w:rsid w:val="608F5287"/>
    <w:rsid w:val="609C0867"/>
    <w:rsid w:val="60FF5A8F"/>
    <w:rsid w:val="61161E58"/>
    <w:rsid w:val="615114A6"/>
    <w:rsid w:val="61C60D8F"/>
    <w:rsid w:val="61E90AC4"/>
    <w:rsid w:val="61F01D56"/>
    <w:rsid w:val="61F061FA"/>
    <w:rsid w:val="61FC577E"/>
    <w:rsid w:val="623D32C7"/>
    <w:rsid w:val="624B51DE"/>
    <w:rsid w:val="62574596"/>
    <w:rsid w:val="62726C0F"/>
    <w:rsid w:val="628042DA"/>
    <w:rsid w:val="6287090C"/>
    <w:rsid w:val="62A96AD4"/>
    <w:rsid w:val="62E90315"/>
    <w:rsid w:val="63000B9B"/>
    <w:rsid w:val="631E15E9"/>
    <w:rsid w:val="631E2E29"/>
    <w:rsid w:val="63705DD4"/>
    <w:rsid w:val="639D1E6A"/>
    <w:rsid w:val="63A9366A"/>
    <w:rsid w:val="64104931"/>
    <w:rsid w:val="64202EC6"/>
    <w:rsid w:val="64250DA5"/>
    <w:rsid w:val="64323860"/>
    <w:rsid w:val="645A3D28"/>
    <w:rsid w:val="64A02E3F"/>
    <w:rsid w:val="64A22F24"/>
    <w:rsid w:val="64A314B9"/>
    <w:rsid w:val="64D511EA"/>
    <w:rsid w:val="64E17B0E"/>
    <w:rsid w:val="656E1FC2"/>
    <w:rsid w:val="658904F7"/>
    <w:rsid w:val="65960E66"/>
    <w:rsid w:val="659A0DAB"/>
    <w:rsid w:val="65C6174B"/>
    <w:rsid w:val="662234FC"/>
    <w:rsid w:val="665916DD"/>
    <w:rsid w:val="66652475"/>
    <w:rsid w:val="66882EA5"/>
    <w:rsid w:val="668C4743"/>
    <w:rsid w:val="66A7157D"/>
    <w:rsid w:val="66CE11E4"/>
    <w:rsid w:val="66FA79A2"/>
    <w:rsid w:val="6707201B"/>
    <w:rsid w:val="67AA4CC9"/>
    <w:rsid w:val="67B9020D"/>
    <w:rsid w:val="67C577E1"/>
    <w:rsid w:val="67D85766"/>
    <w:rsid w:val="6812757D"/>
    <w:rsid w:val="685E210F"/>
    <w:rsid w:val="685F0A5A"/>
    <w:rsid w:val="68915076"/>
    <w:rsid w:val="6897117D"/>
    <w:rsid w:val="68E85E7D"/>
    <w:rsid w:val="694F7CAA"/>
    <w:rsid w:val="696279DD"/>
    <w:rsid w:val="698F23BD"/>
    <w:rsid w:val="69BF2078"/>
    <w:rsid w:val="6A1D1E0A"/>
    <w:rsid w:val="6A7F011B"/>
    <w:rsid w:val="6ABC311D"/>
    <w:rsid w:val="6ACB587F"/>
    <w:rsid w:val="6B1C7184"/>
    <w:rsid w:val="6B8C0D41"/>
    <w:rsid w:val="6BAE2D39"/>
    <w:rsid w:val="6BAE6CB9"/>
    <w:rsid w:val="6BDE4CEC"/>
    <w:rsid w:val="6BDF7B02"/>
    <w:rsid w:val="6C3E096E"/>
    <w:rsid w:val="6C5E3E52"/>
    <w:rsid w:val="6C7C647B"/>
    <w:rsid w:val="6C871917"/>
    <w:rsid w:val="6C9A56E0"/>
    <w:rsid w:val="6CAA5B81"/>
    <w:rsid w:val="6D1458E1"/>
    <w:rsid w:val="6D196C93"/>
    <w:rsid w:val="6D216A4E"/>
    <w:rsid w:val="6D315D21"/>
    <w:rsid w:val="6D36185D"/>
    <w:rsid w:val="6D4A0EB4"/>
    <w:rsid w:val="6D4F2F26"/>
    <w:rsid w:val="6D955FF6"/>
    <w:rsid w:val="6D9E4D5C"/>
    <w:rsid w:val="6DD4077E"/>
    <w:rsid w:val="6DDA16B5"/>
    <w:rsid w:val="6DDD6E93"/>
    <w:rsid w:val="6DE31D43"/>
    <w:rsid w:val="6DE94229"/>
    <w:rsid w:val="6DEA1D4F"/>
    <w:rsid w:val="6E0B6ED5"/>
    <w:rsid w:val="6E147EFF"/>
    <w:rsid w:val="6E241705"/>
    <w:rsid w:val="6E7066F8"/>
    <w:rsid w:val="6E8201DA"/>
    <w:rsid w:val="6E867CCA"/>
    <w:rsid w:val="6E8B1784"/>
    <w:rsid w:val="6ECB6907"/>
    <w:rsid w:val="6ED50C51"/>
    <w:rsid w:val="6EDD3662"/>
    <w:rsid w:val="6F234F34"/>
    <w:rsid w:val="6F4638FD"/>
    <w:rsid w:val="6F5E17CD"/>
    <w:rsid w:val="6F735497"/>
    <w:rsid w:val="6F8256B0"/>
    <w:rsid w:val="6F9C5A6D"/>
    <w:rsid w:val="6FA03928"/>
    <w:rsid w:val="6FBB3478"/>
    <w:rsid w:val="6FF2313D"/>
    <w:rsid w:val="6FF9096F"/>
    <w:rsid w:val="701A212E"/>
    <w:rsid w:val="7027728A"/>
    <w:rsid w:val="70351E2F"/>
    <w:rsid w:val="70476FBF"/>
    <w:rsid w:val="704F7768"/>
    <w:rsid w:val="70CB579F"/>
    <w:rsid w:val="70EA43C9"/>
    <w:rsid w:val="71102FB7"/>
    <w:rsid w:val="712B4B58"/>
    <w:rsid w:val="71566000"/>
    <w:rsid w:val="716C1257"/>
    <w:rsid w:val="71761CBC"/>
    <w:rsid w:val="718801FD"/>
    <w:rsid w:val="71CA5B55"/>
    <w:rsid w:val="71CC4794"/>
    <w:rsid w:val="720D37E5"/>
    <w:rsid w:val="724264CE"/>
    <w:rsid w:val="7258372B"/>
    <w:rsid w:val="725C1781"/>
    <w:rsid w:val="72834520"/>
    <w:rsid w:val="729D1A86"/>
    <w:rsid w:val="72A97FDC"/>
    <w:rsid w:val="72B17A10"/>
    <w:rsid w:val="72DD2263"/>
    <w:rsid w:val="72F67BF9"/>
    <w:rsid w:val="72FD42D3"/>
    <w:rsid w:val="72FF382C"/>
    <w:rsid w:val="73071A3E"/>
    <w:rsid w:val="73566B01"/>
    <w:rsid w:val="73610D05"/>
    <w:rsid w:val="7361387E"/>
    <w:rsid w:val="736340F4"/>
    <w:rsid w:val="73680330"/>
    <w:rsid w:val="73816CB2"/>
    <w:rsid w:val="73C01974"/>
    <w:rsid w:val="73E61328"/>
    <w:rsid w:val="73EA0EDA"/>
    <w:rsid w:val="73EB27B1"/>
    <w:rsid w:val="73F64BA7"/>
    <w:rsid w:val="74002C3C"/>
    <w:rsid w:val="74251D33"/>
    <w:rsid w:val="747634DB"/>
    <w:rsid w:val="747E1443"/>
    <w:rsid w:val="74DA2095"/>
    <w:rsid w:val="74F45726"/>
    <w:rsid w:val="751E25F6"/>
    <w:rsid w:val="75551AD7"/>
    <w:rsid w:val="755A3C5E"/>
    <w:rsid w:val="75BE1B33"/>
    <w:rsid w:val="75BF293C"/>
    <w:rsid w:val="75C86E1A"/>
    <w:rsid w:val="75E32E9B"/>
    <w:rsid w:val="76195247"/>
    <w:rsid w:val="7624042B"/>
    <w:rsid w:val="7638693E"/>
    <w:rsid w:val="7641740C"/>
    <w:rsid w:val="76473964"/>
    <w:rsid w:val="76523C39"/>
    <w:rsid w:val="76602C6C"/>
    <w:rsid w:val="766C5EFC"/>
    <w:rsid w:val="76842349"/>
    <w:rsid w:val="768578A3"/>
    <w:rsid w:val="76B5119C"/>
    <w:rsid w:val="77004391"/>
    <w:rsid w:val="77044FF5"/>
    <w:rsid w:val="770976EA"/>
    <w:rsid w:val="7726029C"/>
    <w:rsid w:val="7771676D"/>
    <w:rsid w:val="777D6C79"/>
    <w:rsid w:val="77846D70"/>
    <w:rsid w:val="77860D3A"/>
    <w:rsid w:val="77C535B7"/>
    <w:rsid w:val="78207C9D"/>
    <w:rsid w:val="782A0DA6"/>
    <w:rsid w:val="782C4357"/>
    <w:rsid w:val="78683792"/>
    <w:rsid w:val="789235DC"/>
    <w:rsid w:val="78C27469"/>
    <w:rsid w:val="78FE7F71"/>
    <w:rsid w:val="79091C23"/>
    <w:rsid w:val="79343D0F"/>
    <w:rsid w:val="79440C2E"/>
    <w:rsid w:val="79986B03"/>
    <w:rsid w:val="799A564F"/>
    <w:rsid w:val="79A87D0C"/>
    <w:rsid w:val="79AC0305"/>
    <w:rsid w:val="79C773E8"/>
    <w:rsid w:val="79F503F9"/>
    <w:rsid w:val="7A090BBC"/>
    <w:rsid w:val="7A3031E0"/>
    <w:rsid w:val="7A3F14D3"/>
    <w:rsid w:val="7A4153ED"/>
    <w:rsid w:val="7A913AC8"/>
    <w:rsid w:val="7AFE508C"/>
    <w:rsid w:val="7B0501C8"/>
    <w:rsid w:val="7B097E4E"/>
    <w:rsid w:val="7B254426"/>
    <w:rsid w:val="7B3D7385"/>
    <w:rsid w:val="7B62487C"/>
    <w:rsid w:val="7B7658D8"/>
    <w:rsid w:val="7B821819"/>
    <w:rsid w:val="7B937ECA"/>
    <w:rsid w:val="7B962200"/>
    <w:rsid w:val="7B9D54F1"/>
    <w:rsid w:val="7BB22B06"/>
    <w:rsid w:val="7BC2430B"/>
    <w:rsid w:val="7BC379C1"/>
    <w:rsid w:val="7C3C13EF"/>
    <w:rsid w:val="7C5439DD"/>
    <w:rsid w:val="7C5D0CB2"/>
    <w:rsid w:val="7C6C62D9"/>
    <w:rsid w:val="7CC55E61"/>
    <w:rsid w:val="7CCF5FD1"/>
    <w:rsid w:val="7CFB7AD5"/>
    <w:rsid w:val="7D1C361A"/>
    <w:rsid w:val="7D437423"/>
    <w:rsid w:val="7D9A06F1"/>
    <w:rsid w:val="7DBE3A17"/>
    <w:rsid w:val="7E2F0860"/>
    <w:rsid w:val="7E4534BC"/>
    <w:rsid w:val="7E4823B4"/>
    <w:rsid w:val="7E553215"/>
    <w:rsid w:val="7E6D7BAF"/>
    <w:rsid w:val="7E8271AC"/>
    <w:rsid w:val="7E9A5D90"/>
    <w:rsid w:val="7EC468E4"/>
    <w:rsid w:val="7F2A644F"/>
    <w:rsid w:val="7F3D7F53"/>
    <w:rsid w:val="7F63433B"/>
    <w:rsid w:val="7F6E0A32"/>
    <w:rsid w:val="7F746D2D"/>
    <w:rsid w:val="7FB831F9"/>
    <w:rsid w:val="7FE01204"/>
    <w:rsid w:val="7FF611A8"/>
    <w:rsid w:val="7FFD591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9"/>
    <w:pPr>
      <w:numPr>
        <w:ilvl w:val="1"/>
        <w:numId w:val="1"/>
      </w:numPr>
      <w:adjustRightInd w:val="0"/>
      <w:snapToGrid w:val="0"/>
      <w:spacing w:before="100" w:beforeLines="100" w:after="50" w:afterLines="50" w:line="288" w:lineRule="auto"/>
      <w:outlineLvl w:val="1"/>
    </w:pPr>
    <w:rPr>
      <w:rFonts w:ascii="黑体" w:hAnsi="黑体" w:eastAsia="黑体" w:cstheme="minorBidi"/>
      <w:b/>
      <w:bCs/>
      <w:sz w:val="32"/>
      <w:szCs w:val="32"/>
    </w:rPr>
  </w:style>
  <w:style w:type="paragraph" w:styleId="4">
    <w:name w:val="heading 4"/>
    <w:basedOn w:val="1"/>
    <w:next w:val="5"/>
    <w:unhideWhenUsed/>
    <w:qFormat/>
    <w:uiPriority w:val="9"/>
    <w:pPr>
      <w:keepNext/>
      <w:keepLines/>
      <w:spacing w:before="100" w:after="100" w:line="400" w:lineRule="exact"/>
      <w:outlineLvl w:val="3"/>
    </w:pPr>
    <w:rPr>
      <w:rFonts w:ascii="Arial" w:hAnsi="Arial" w:eastAsia="仿宋"/>
      <w:b/>
      <w:sz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spacing w:before="100" w:after="100" w:line="300" w:lineRule="auto"/>
      <w:ind w:firstLine="1124" w:firstLineChars="200"/>
    </w:pPr>
    <w:rPr>
      <w:rFonts w:ascii="黑体" w:hAnsi="黑体"/>
    </w:rPr>
  </w:style>
  <w:style w:type="paragraph" w:styleId="6">
    <w:name w:val="annotation text"/>
    <w:basedOn w:val="1"/>
    <w:link w:val="23"/>
    <w:semiHidden/>
    <w:unhideWhenUsed/>
    <w:qFormat/>
    <w:uiPriority w:val="99"/>
    <w:pPr>
      <w:jc w:val="left"/>
    </w:pPr>
  </w:style>
  <w:style w:type="paragraph" w:styleId="7">
    <w:name w:val="Body Text Indent"/>
    <w:basedOn w:val="1"/>
    <w:semiHidden/>
    <w:unhideWhenUsed/>
    <w:qFormat/>
    <w:uiPriority w:val="99"/>
    <w:pPr>
      <w:widowControl/>
      <w:ind w:left="720"/>
      <w:jc w:val="left"/>
    </w:pPr>
    <w:rPr>
      <w:kern w:val="0"/>
      <w:sz w:val="24"/>
      <w:lang w:val="zh-CN" w:eastAsia="en-US"/>
    </w:rPr>
  </w:style>
  <w:style w:type="paragraph" w:styleId="8">
    <w:name w:val="Balloon Text"/>
    <w:basedOn w:val="1"/>
    <w:link w:val="25"/>
    <w:qFormat/>
    <w:uiPriority w:val="0"/>
    <w:rPr>
      <w:sz w:val="18"/>
      <w:szCs w:val="18"/>
    </w:rPr>
  </w:style>
  <w:style w:type="paragraph" w:styleId="9">
    <w:name w:val="footer"/>
    <w:basedOn w:val="1"/>
    <w:link w:val="28"/>
    <w:qFormat/>
    <w:uiPriority w:val="0"/>
    <w:pPr>
      <w:tabs>
        <w:tab w:val="center" w:pos="4153"/>
        <w:tab w:val="right" w:pos="8306"/>
      </w:tabs>
      <w:snapToGrid w:val="0"/>
      <w:jc w:val="left"/>
    </w:pPr>
    <w:rPr>
      <w:sz w:val="18"/>
      <w:szCs w:val="18"/>
    </w:rPr>
  </w:style>
  <w:style w:type="paragraph" w:styleId="10">
    <w:name w:val="header"/>
    <w:basedOn w:val="1"/>
    <w:link w:val="27"/>
    <w:qFormat/>
    <w:uiPriority w:val="0"/>
    <w:pPr>
      <w:tabs>
        <w:tab w:val="center" w:pos="4153"/>
        <w:tab w:val="right" w:pos="8306"/>
      </w:tabs>
      <w:snapToGrid w:val="0"/>
      <w:jc w:val="center"/>
    </w:pPr>
    <w:rPr>
      <w:sz w:val="18"/>
      <w:szCs w:val="18"/>
    </w:rPr>
  </w:style>
  <w:style w:type="paragraph" w:styleId="11">
    <w:name w:val="Body Text 2"/>
    <w:basedOn w:val="1"/>
    <w:qFormat/>
    <w:uiPriority w:val="0"/>
    <w:pPr>
      <w:spacing w:after="120" w:line="480" w:lineRule="auto"/>
    </w:pPr>
  </w:style>
  <w:style w:type="paragraph" w:styleId="12">
    <w:name w:val="annotation subject"/>
    <w:basedOn w:val="6"/>
    <w:next w:val="6"/>
    <w:link w:val="24"/>
    <w:qFormat/>
    <w:uiPriority w:val="0"/>
    <w:rPr>
      <w:b/>
      <w:bCs/>
    </w:rPr>
  </w:style>
  <w:style w:type="paragraph" w:styleId="13">
    <w:name w:val="Body Text First Indent 2"/>
    <w:basedOn w:val="7"/>
    <w:semiHidden/>
    <w:unhideWhenUsed/>
    <w:qFormat/>
    <w:uiPriority w:val="99"/>
    <w:pPr>
      <w:spacing w:after="120"/>
      <w:ind w:left="360" w:firstLine="21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annotation reference"/>
    <w:basedOn w:val="16"/>
    <w:qFormat/>
    <w:uiPriority w:val="0"/>
    <w:rPr>
      <w:sz w:val="21"/>
      <w:szCs w:val="21"/>
    </w:rPr>
  </w:style>
  <w:style w:type="paragraph" w:styleId="19">
    <w:name w:val="List Paragraph"/>
    <w:basedOn w:val="1"/>
    <w:qFormat/>
    <w:uiPriority w:val="34"/>
    <w:pPr>
      <w:ind w:left="720"/>
      <w:contextualSpacing/>
    </w:pPr>
  </w:style>
  <w:style w:type="paragraph" w:customStyle="1" w:styleId="20">
    <w:name w:val="文档正文"/>
    <w:basedOn w:val="1"/>
    <w:qFormat/>
    <w:uiPriority w:val="0"/>
    <w:pPr>
      <w:ind w:firstLine="200" w:firstLineChars="200"/>
    </w:pPr>
  </w:style>
  <w:style w:type="paragraph" w:customStyle="1" w:styleId="21">
    <w:name w:val="段5#"/>
    <w:qFormat/>
    <w:uiPriority w:val="0"/>
    <w:pPr>
      <w:widowControl w:val="0"/>
      <w:spacing w:line="360" w:lineRule="exact"/>
      <w:ind w:firstLine="200" w:firstLineChars="200"/>
      <w:jc w:val="both"/>
    </w:pPr>
    <w:rPr>
      <w:rFonts w:ascii="Calibri" w:hAnsi="Calibri" w:eastAsia="宋体" w:cs="Times New Roman"/>
      <w:kern w:val="2"/>
      <w:sz w:val="21"/>
      <w:szCs w:val="21"/>
      <w:lang w:val="en-US" w:eastAsia="zh-CN" w:bidi="ar-SA"/>
    </w:rPr>
  </w:style>
  <w:style w:type="paragraph" w:customStyle="1" w:styleId="22">
    <w:name w:val="_Style 13"/>
    <w:qFormat/>
    <w:uiPriority w:val="0"/>
    <w:pPr>
      <w:spacing w:before="120" w:after="120" w:line="288" w:lineRule="auto"/>
    </w:pPr>
    <w:rPr>
      <w:rFonts w:ascii="Arial" w:hAnsi="Arial" w:eastAsia="等线" w:cs="Arial"/>
      <w:sz w:val="22"/>
      <w:szCs w:val="22"/>
      <w:lang w:val="en-US" w:eastAsia="zh-CN" w:bidi="ar-SA"/>
    </w:rPr>
  </w:style>
  <w:style w:type="character" w:customStyle="1" w:styleId="23">
    <w:name w:val="批注文字 字符"/>
    <w:basedOn w:val="16"/>
    <w:link w:val="6"/>
    <w:semiHidden/>
    <w:qFormat/>
    <w:uiPriority w:val="99"/>
    <w:rPr>
      <w:rFonts w:ascii="Calibri" w:hAnsi="Calibri"/>
      <w:kern w:val="2"/>
      <w:sz w:val="21"/>
      <w:szCs w:val="24"/>
    </w:rPr>
  </w:style>
  <w:style w:type="character" w:customStyle="1" w:styleId="24">
    <w:name w:val="批注主题 字符"/>
    <w:basedOn w:val="23"/>
    <w:link w:val="12"/>
    <w:qFormat/>
    <w:uiPriority w:val="0"/>
    <w:rPr>
      <w:rFonts w:ascii="Calibri" w:hAnsi="Calibri"/>
      <w:b/>
      <w:bCs/>
      <w:kern w:val="2"/>
      <w:sz w:val="21"/>
      <w:szCs w:val="24"/>
    </w:rPr>
  </w:style>
  <w:style w:type="character" w:customStyle="1" w:styleId="25">
    <w:name w:val="批注框文本 字符"/>
    <w:basedOn w:val="16"/>
    <w:link w:val="8"/>
    <w:qFormat/>
    <w:uiPriority w:val="0"/>
    <w:rPr>
      <w:rFonts w:ascii="Calibri" w:hAnsi="Calibri"/>
      <w:kern w:val="2"/>
      <w:sz w:val="18"/>
      <w:szCs w:val="18"/>
    </w:rPr>
  </w:style>
  <w:style w:type="paragraph" w:customStyle="1" w:styleId="26">
    <w:name w:val="修订1"/>
    <w:hidden/>
    <w:unhideWhenUsed/>
    <w:qFormat/>
    <w:uiPriority w:val="99"/>
    <w:rPr>
      <w:rFonts w:ascii="Calibri" w:hAnsi="Calibri" w:eastAsia="宋体" w:cs="Times New Roman"/>
      <w:kern w:val="2"/>
      <w:sz w:val="21"/>
      <w:szCs w:val="24"/>
      <w:lang w:val="en-US" w:eastAsia="zh-CN" w:bidi="ar-SA"/>
    </w:rPr>
  </w:style>
  <w:style w:type="character" w:customStyle="1" w:styleId="27">
    <w:name w:val="页眉 字符"/>
    <w:basedOn w:val="16"/>
    <w:link w:val="10"/>
    <w:qFormat/>
    <w:uiPriority w:val="0"/>
    <w:rPr>
      <w:rFonts w:ascii="Calibri" w:hAnsi="Calibri"/>
      <w:kern w:val="2"/>
      <w:sz w:val="18"/>
      <w:szCs w:val="18"/>
    </w:rPr>
  </w:style>
  <w:style w:type="character" w:customStyle="1" w:styleId="28">
    <w:name w:val="页脚 字符"/>
    <w:basedOn w:val="16"/>
    <w:link w:val="9"/>
    <w:qFormat/>
    <w:uiPriority w:val="0"/>
    <w:rPr>
      <w:rFonts w:ascii="Calibri" w:hAnsi="Calibri"/>
      <w:kern w:val="2"/>
      <w:sz w:val="18"/>
      <w:szCs w:val="18"/>
    </w:rPr>
  </w:style>
  <w:style w:type="character" w:customStyle="1" w:styleId="29">
    <w:name w:val="text-only"/>
    <w:basedOn w:val="1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21115</Words>
  <Characters>21866</Characters>
  <Lines>170</Lines>
  <Paragraphs>47</Paragraphs>
  <TotalTime>8</TotalTime>
  <ScaleCrop>false</ScaleCrop>
  <LinksUpToDate>false</LinksUpToDate>
  <CharactersWithSpaces>21895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2025-08-04T10:49:00Z</dcterms:created>
  <dc:creator>q</dc:creator>
  <cp:lastModifiedBy>嘿嘿</cp:lastModifiedBy>
  <cp:lastPrinted>2025-09-12T02:45:00Z</cp:lastPrinted>
  <dcterms:modified xsi:type="dcterms:W3CDTF">2025-10-20T09:55:17Z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eyJoZGlkIjoiODc1Yzg4Nzk4ODk4MjUxYmM2ZTlkMTQxNDJhZGM5OTUiLCJ1c2VySWQiOiIzMDA3NTAzMTAifQ==</vt:lpwstr>
  </property>
  <property fmtid="{D5CDD505-2E9C-101B-9397-08002B2CF9AE}" pid="4" name="ICV">
    <vt:lpwstr>85FA5F51BE9C44E4868D342BE3EA4800_13</vt:lpwstr>
  </property>
</Properties>
</file>