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49D2D0">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r>
        <w:rPr>
          <w:rFonts w:ascii="方正小标宋简体" w:hAnsi="方正小标宋简体" w:eastAsia="方正小标宋简体" w:cs="方正小标宋简体"/>
          <w:b w:val="0"/>
          <w:bCs/>
          <w:sz w:val="44"/>
          <w:szCs w:val="44"/>
          <w:highlight w:val="none"/>
        </w:rPr>
        <w:t>202</w:t>
      </w:r>
      <w:r>
        <w:rPr>
          <w:rFonts w:hint="eastAsia" w:ascii="方正小标宋简体" w:hAnsi="方正小标宋简体" w:eastAsia="方正小标宋简体" w:cs="方正小标宋简体"/>
          <w:b w:val="0"/>
          <w:bCs/>
          <w:sz w:val="44"/>
          <w:szCs w:val="44"/>
          <w:highlight w:val="none"/>
          <w:lang w:val="en-US" w:eastAsia="zh-CN"/>
        </w:rPr>
        <w:t>4</w:t>
      </w:r>
      <w:r>
        <w:rPr>
          <w:rFonts w:ascii="方正小标宋简体" w:hAnsi="方正小标宋简体" w:eastAsia="方正小标宋简体" w:cs="方正小标宋简体"/>
          <w:b w:val="0"/>
          <w:bCs/>
          <w:sz w:val="44"/>
          <w:szCs w:val="44"/>
          <w:highlight w:val="none"/>
        </w:rPr>
        <w:t>年度经营业绩责任书</w:t>
      </w:r>
    </w:p>
    <w:p w14:paraId="2A98C1C3">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p>
    <w:p w14:paraId="5A37E9FF">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single"/>
          <w:lang w:val="en-US" w:eastAsia="zh-CN"/>
        </w:rPr>
      </w:pPr>
      <w:r>
        <w:rPr>
          <w:rFonts w:hint="default" w:ascii="仿宋_GB2312" w:hAnsi="仿宋_GB2312" w:eastAsia="仿宋_GB2312" w:cs="仿宋_GB2312"/>
          <w:b w:val="0"/>
          <w:bCs/>
          <w:sz w:val="32"/>
          <w:szCs w:val="32"/>
          <w:highlight w:val="none"/>
          <w:lang w:val="en-US" w:eastAsia="zh-CN"/>
        </w:rPr>
        <w:t>公司</w:t>
      </w:r>
      <w:r>
        <w:rPr>
          <w:rFonts w:hint="eastAsia" w:ascii="仿宋_GB2312" w:hAnsi="仿宋_GB2312" w:eastAsia="仿宋_GB2312" w:cs="仿宋_GB2312"/>
          <w:b w:val="0"/>
          <w:bCs/>
          <w:sz w:val="32"/>
          <w:szCs w:val="32"/>
          <w:highlight w:val="none"/>
          <w:lang w:val="en-US" w:eastAsia="zh-CN"/>
        </w:rPr>
        <w:t>部门</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u w:val="single"/>
          <w:lang w:val="en-US" w:eastAsia="zh-CN"/>
        </w:rPr>
        <w:t>九洲集团</w:t>
      </w:r>
      <w:r>
        <w:rPr>
          <w:rFonts w:hint="eastAsia" w:ascii="仿宋_GB2312" w:hAnsi="仿宋_GB2312" w:eastAsia="仿宋_GB2312" w:cs="仿宋_GB2312"/>
          <w:b w:val="0"/>
          <w:bCs/>
          <w:sz w:val="32"/>
          <w:szCs w:val="32"/>
          <w:highlight w:val="none"/>
          <w:u w:val="single"/>
          <w:lang w:val="en-US" w:eastAsia="zh-CN"/>
        </w:rPr>
        <w:t>工会办公室</w:t>
      </w:r>
    </w:p>
    <w:p w14:paraId="5B4AC8E5">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甲方（考核方、授权代表）：游鲁</w:t>
      </w:r>
    </w:p>
    <w:p w14:paraId="3916AD80">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w:t>
      </w:r>
    </w:p>
    <w:p w14:paraId="103B79C1">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任职单位及职务：九洲集团党委副书记、工会主席</w:t>
      </w:r>
    </w:p>
    <w:p w14:paraId="45094464">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rPr>
      </w:pPr>
    </w:p>
    <w:p w14:paraId="1349812C">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u w:val="single"/>
          <w:lang w:val="en-US" w:eastAsia="zh-CN"/>
        </w:rPr>
      </w:pPr>
      <w:r>
        <w:rPr>
          <w:rFonts w:hint="eastAsia" w:ascii="仿宋_GB2312" w:hAnsi="仿宋_GB2312" w:eastAsia="仿宋_GB2312" w:cs="仿宋_GB2312"/>
          <w:b w:val="0"/>
          <w:bCs/>
          <w:sz w:val="32"/>
          <w:szCs w:val="32"/>
          <w:highlight w:val="none"/>
          <w:lang w:val="en-US" w:eastAsia="zh-CN"/>
        </w:rPr>
        <w:t>乙方（</w:t>
      </w:r>
      <w:r>
        <w:rPr>
          <w:rFonts w:hint="eastAsia" w:ascii="仿宋_GB2312" w:hAnsi="仿宋_GB2312" w:eastAsia="仿宋_GB2312" w:cs="仿宋_GB2312"/>
          <w:b w:val="0"/>
          <w:bCs/>
          <w:sz w:val="32"/>
          <w:szCs w:val="32"/>
          <w:highlight w:val="none"/>
        </w:rPr>
        <w:t>被考核方</w:t>
      </w:r>
      <w:r>
        <w:rPr>
          <w:rFonts w:hint="eastAsia" w:ascii="仿宋_GB2312" w:hAnsi="仿宋_GB2312" w:eastAsia="仿宋_GB2312" w:cs="仿宋_GB2312"/>
          <w:b w:val="0"/>
          <w:bCs/>
          <w:sz w:val="32"/>
          <w:szCs w:val="32"/>
          <w:highlight w:val="none"/>
          <w:lang w:val="en-US" w:eastAsia="zh-CN"/>
        </w:rPr>
        <w:t>）</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lang w:val="en-US" w:eastAsia="zh-CN"/>
        </w:rPr>
        <w:t>杨璐</w:t>
      </w:r>
    </w:p>
    <w:p w14:paraId="6EE90981">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身份证号码：510703198404300426</w:t>
      </w:r>
    </w:p>
    <w:p w14:paraId="33755CD2">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p>
    <w:p w14:paraId="41B51D4E">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为充分调动公司经营者的积极性，鼓励为公司经营发展找增量、提效益，引导其全面完成年度和任期经营目标任务，结合《绵阳市市属国有企业负责人经营业绩考核办法》（绵府办发〔2021〕24号）及九洲集团薪酬绩效等相关管理制度,业绩指标一年一签。为此特制定本责任书。</w:t>
      </w:r>
    </w:p>
    <w:p w14:paraId="06384F0A">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一、</w:t>
      </w:r>
      <w:r>
        <w:rPr>
          <w:rFonts w:hint="eastAsia" w:ascii="黑体" w:hAnsi="黑体" w:eastAsia="黑体" w:cs="黑体"/>
          <w:b w:val="0"/>
          <w:bCs/>
          <w:sz w:val="32"/>
          <w:szCs w:val="32"/>
          <w:highlight w:val="none"/>
        </w:rPr>
        <w:t>考核周期</w:t>
      </w:r>
    </w:p>
    <w:p w14:paraId="26A366D2">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考核期限：</w:t>
      </w:r>
      <w:r>
        <w:rPr>
          <w:rFonts w:hint="eastAsia" w:ascii="仿宋_GB2312" w:hAnsi="仿宋_GB2312" w:eastAsia="仿宋_GB2312" w:cs="仿宋_GB2312"/>
          <w:b w:val="0"/>
          <w:bCs/>
          <w:sz w:val="32"/>
          <w:szCs w:val="32"/>
          <w:highlight w:val="none"/>
          <w:u w:val="single"/>
        </w:rPr>
        <w:t>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年1月1日至202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年12月31日</w:t>
      </w:r>
    </w:p>
    <w:p w14:paraId="74C9B309">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val="en-US" w:eastAsia="zh-CN"/>
        </w:rPr>
        <w:t>二、</w:t>
      </w:r>
      <w:r>
        <w:rPr>
          <w:rFonts w:hint="eastAsia" w:ascii="黑体" w:hAnsi="黑体" w:eastAsia="黑体" w:cs="黑体"/>
          <w:b w:val="0"/>
          <w:bCs/>
          <w:sz w:val="32"/>
          <w:szCs w:val="32"/>
          <w:highlight w:val="none"/>
          <w:lang w:eastAsia="zh-CN"/>
        </w:rPr>
        <w:t>考核指标</w:t>
      </w:r>
    </w:p>
    <w:p w14:paraId="20BC44CD">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经营业绩指标分为组织绩效指标、任务绩效指标、协同绩效指标和红线指标等四个维度</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由甲方根据企业发展战略、经营计划、历史数据、行业对标情况以及乙方岗位职责等确定，202</w:t>
      </w:r>
      <w:r>
        <w:rPr>
          <w:rFonts w:hint="eastAsia" w:ascii="仿宋_GB2312" w:hAnsi="仿宋_GB2312" w:eastAsia="仿宋_GB2312" w:cs="仿宋_GB2312"/>
          <w:b w:val="0"/>
          <w:bCs/>
          <w:sz w:val="32"/>
          <w:szCs w:val="32"/>
          <w:highlight w:val="none"/>
          <w:lang w:val="en-US" w:eastAsia="zh-CN"/>
        </w:rPr>
        <w:t>4</w:t>
      </w:r>
      <w:r>
        <w:rPr>
          <w:rFonts w:hint="eastAsia" w:ascii="仿宋_GB2312" w:hAnsi="仿宋_GB2312" w:eastAsia="仿宋_GB2312" w:cs="仿宋_GB2312"/>
          <w:b w:val="0"/>
          <w:bCs/>
          <w:sz w:val="32"/>
          <w:szCs w:val="32"/>
          <w:highlight w:val="none"/>
        </w:rPr>
        <w:t>年业绩目标如下：</w:t>
      </w:r>
    </w:p>
    <w:p w14:paraId="0E826648">
      <w:pPr>
        <w:keepNext w:val="0"/>
        <w:keepLines w:val="0"/>
        <w:pageBreakBefore w:val="0"/>
        <w:kinsoku/>
        <w:wordWrap/>
        <w:overflowPunct/>
        <w:topLinePunct w:val="0"/>
        <w:autoSpaceDE/>
        <w:autoSpaceDN/>
        <w:bidi w:val="0"/>
        <w:spacing w:line="560" w:lineRule="exact"/>
        <w:ind w:firstLine="643" w:firstLineChars="200"/>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（一）组织绩效</w:t>
      </w:r>
    </w:p>
    <w:p w14:paraId="604B6994">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b w:val="0"/>
          <w:bCs/>
          <w:sz w:val="32"/>
          <w:szCs w:val="32"/>
          <w:highlight w:val="none"/>
        </w:rPr>
      </w:pPr>
      <w:r>
        <w:rPr>
          <w:rFonts w:hint="eastAsia" w:ascii="仿宋_GB2312" w:eastAsia="仿宋_GB2312"/>
          <w:b w:val="0"/>
          <w:bCs/>
          <w:sz w:val="32"/>
          <w:szCs w:val="32"/>
          <w:highlight w:val="none"/>
        </w:rPr>
        <w:t>组织绩效指标主要包括所在公司营业收入、利润总额等指标，指标得分</w:t>
      </w:r>
      <w:r>
        <w:rPr>
          <w:rFonts w:hint="eastAsia" w:ascii="仿宋_GB2312" w:eastAsia="仿宋_GB2312"/>
          <w:b w:val="0"/>
          <w:bCs/>
          <w:sz w:val="32"/>
          <w:szCs w:val="32"/>
          <w:highlight w:val="none"/>
          <w:lang w:val="en-US" w:eastAsia="zh-CN"/>
        </w:rPr>
        <w:t>为部门年度组织绩效得分</w:t>
      </w:r>
      <w:r>
        <w:rPr>
          <w:rFonts w:hint="eastAsia" w:ascii="仿宋_GB2312" w:eastAsia="仿宋_GB2312"/>
          <w:b w:val="0"/>
          <w:bCs/>
          <w:sz w:val="32"/>
          <w:szCs w:val="32"/>
          <w:highlight w:val="none"/>
        </w:rPr>
        <w:t>。</w:t>
      </w:r>
    </w:p>
    <w:p w14:paraId="687B7450">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（二）任务绩效</w:t>
      </w:r>
    </w:p>
    <w:p w14:paraId="4AF12F2B">
      <w:pPr>
        <w:widowControl/>
        <w:spacing w:line="560" w:lineRule="exact"/>
        <w:ind w:firstLine="640" w:firstLineChars="200"/>
        <w:rPr>
          <w:rFonts w:hint="default" w:ascii="仿宋_GB2312" w:hAnsi="Times New Roman" w:eastAsia="仿宋_GB2312" w:cs="Times New Roman"/>
          <w:b w:val="0"/>
          <w:bCs/>
          <w:sz w:val="32"/>
          <w:szCs w:val="32"/>
          <w:highlight w:val="none"/>
          <w:lang w:val="en-US" w:eastAsia="zh-CN"/>
        </w:rPr>
      </w:pPr>
      <w:r>
        <w:rPr>
          <w:rFonts w:hint="eastAsia" w:ascii="仿宋_GB2312" w:eastAsia="仿宋_GB2312"/>
          <w:sz w:val="32"/>
          <w:szCs w:val="32"/>
          <w:highlight w:val="none"/>
          <w:lang w:val="en-US" w:eastAsia="zh-CN"/>
        </w:rPr>
        <w:t>任务绩效指标为部门年度重点工作计划。每项得分不超过120分。</w:t>
      </w:r>
    </w:p>
    <w:tbl>
      <w:tblPr>
        <w:tblStyle w:val="46"/>
        <w:tblW w:w="50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81"/>
        <w:gridCol w:w="1320"/>
        <w:gridCol w:w="5886"/>
        <w:gridCol w:w="1143"/>
      </w:tblGrid>
      <w:tr w14:paraId="5D3E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blHeader/>
        </w:trPr>
        <w:tc>
          <w:tcPr>
            <w:tcW w:w="325" w:type="pct"/>
            <w:noWrap w:val="0"/>
            <w:vAlign w:val="center"/>
          </w:tcPr>
          <w:p w14:paraId="4C385899">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序号</w:t>
            </w:r>
          </w:p>
        </w:tc>
        <w:tc>
          <w:tcPr>
            <w:tcW w:w="739" w:type="pct"/>
            <w:noWrap w:val="0"/>
            <w:vAlign w:val="center"/>
          </w:tcPr>
          <w:p w14:paraId="133FE03A">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指标名称</w:t>
            </w:r>
          </w:p>
        </w:tc>
        <w:tc>
          <w:tcPr>
            <w:tcW w:w="3295" w:type="pct"/>
            <w:noWrap w:val="0"/>
            <w:vAlign w:val="center"/>
          </w:tcPr>
          <w:p w14:paraId="08F844D7">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202</w:t>
            </w:r>
            <w:r>
              <w:rPr>
                <w:rFonts w:hint="eastAsia" w:ascii="仿宋_GB2312" w:hAnsi="仿宋_GB2312" w:eastAsia="仿宋_GB2312" w:cs="仿宋_GB2312"/>
                <w:b/>
                <w:bCs/>
                <w:spacing w:val="3"/>
                <w:sz w:val="24"/>
                <w:szCs w:val="24"/>
                <w:highlight w:val="none"/>
                <w:lang w:val="en-US" w:eastAsia="zh-CN"/>
              </w:rPr>
              <w:t>4</w:t>
            </w:r>
            <w:r>
              <w:rPr>
                <w:rFonts w:hint="eastAsia" w:ascii="仿宋_GB2312" w:hAnsi="仿宋_GB2312" w:eastAsia="仿宋_GB2312" w:cs="仿宋_GB2312"/>
                <w:b/>
                <w:bCs/>
                <w:spacing w:val="3"/>
                <w:sz w:val="24"/>
                <w:szCs w:val="24"/>
                <w:highlight w:val="none"/>
              </w:rPr>
              <w:t>年度目标</w:t>
            </w:r>
          </w:p>
        </w:tc>
        <w:tc>
          <w:tcPr>
            <w:tcW w:w="640" w:type="pct"/>
            <w:noWrap w:val="0"/>
            <w:vAlign w:val="center"/>
          </w:tcPr>
          <w:p w14:paraId="1F737A9E">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pacing w:val="-3"/>
                <w:sz w:val="24"/>
                <w:szCs w:val="24"/>
                <w:highlight w:val="none"/>
              </w:rPr>
              <w:t>权重</w:t>
            </w:r>
          </w:p>
        </w:tc>
      </w:tr>
      <w:tr w14:paraId="4836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2" w:hRule="atLeast"/>
        </w:trPr>
        <w:tc>
          <w:tcPr>
            <w:tcW w:w="325" w:type="pct"/>
            <w:noWrap w:val="0"/>
            <w:vAlign w:val="center"/>
          </w:tcPr>
          <w:p w14:paraId="341031AD">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1</w:t>
            </w:r>
          </w:p>
        </w:tc>
        <w:tc>
          <w:tcPr>
            <w:tcW w:w="739" w:type="pct"/>
            <w:shd w:val="clear" w:color="auto" w:fill="auto"/>
            <w:noWrap w:val="0"/>
            <w:vAlign w:val="center"/>
          </w:tcPr>
          <w:p w14:paraId="1D63855B">
            <w:pPr>
              <w:widowControl/>
              <w:jc w:val="center"/>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rPr>
              <w:t>女职工工作</w:t>
            </w:r>
          </w:p>
        </w:tc>
        <w:tc>
          <w:tcPr>
            <w:tcW w:w="3295" w:type="pct"/>
            <w:shd w:val="clear" w:color="auto" w:fill="auto"/>
            <w:noWrap w:val="0"/>
            <w:vAlign w:val="center"/>
          </w:tcPr>
          <w:p w14:paraId="303DA54D">
            <w:pPr>
              <w:widowControl/>
              <w:numPr>
                <w:numId w:val="0"/>
              </w:numPr>
              <w:jc w:val="both"/>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持续作为困难女职工关心关爱工作，对家庭经济困难的职工子女进行“金秋助学”教育帮扶；做好女职工岗位建功立业先进评选和女职工三八节庆祝活动；组织好2024年度女职工专项体检、两癌筛查等女职工特殊权益保护工作，帮助指导产业公司建设妈咪宝贝屋。</w:t>
            </w:r>
          </w:p>
        </w:tc>
        <w:tc>
          <w:tcPr>
            <w:tcW w:w="640" w:type="pct"/>
            <w:noWrap w:val="0"/>
            <w:vAlign w:val="center"/>
          </w:tcPr>
          <w:p w14:paraId="2B8E4081">
            <w:pPr>
              <w:keepNext w:val="0"/>
              <w:keepLines w:val="0"/>
              <w:widowControl/>
              <w:suppressLineNumbers w:val="0"/>
              <w:jc w:val="center"/>
              <w:textAlignment w:val="center"/>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20%</w:t>
            </w:r>
          </w:p>
        </w:tc>
      </w:tr>
      <w:tr w14:paraId="387B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trPr>
        <w:tc>
          <w:tcPr>
            <w:tcW w:w="325" w:type="pct"/>
            <w:noWrap w:val="0"/>
            <w:vAlign w:val="center"/>
          </w:tcPr>
          <w:p w14:paraId="5B75F8B8">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2</w:t>
            </w:r>
          </w:p>
        </w:tc>
        <w:tc>
          <w:tcPr>
            <w:tcW w:w="739" w:type="pct"/>
            <w:shd w:val="clear" w:color="auto" w:fill="auto"/>
            <w:noWrap w:val="0"/>
            <w:vAlign w:val="center"/>
          </w:tcPr>
          <w:p w14:paraId="52640475">
            <w:pPr>
              <w:widowControl/>
              <w:jc w:val="both"/>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rPr>
              <w:t>职工“心灵驿站”建设</w:t>
            </w:r>
          </w:p>
        </w:tc>
        <w:tc>
          <w:tcPr>
            <w:tcW w:w="3295" w:type="pct"/>
            <w:shd w:val="clear" w:color="auto" w:fill="auto"/>
            <w:noWrap w:val="0"/>
            <w:vAlign w:val="center"/>
          </w:tcPr>
          <w:p w14:paraId="3C6A1144">
            <w:pPr>
              <w:widowControl/>
              <w:jc w:val="both"/>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开展在绵各产业公司、部分异地产业公司送课服务，至少开展1次集团范围内的职工心理健康讲座</w:t>
            </w:r>
          </w:p>
        </w:tc>
        <w:tc>
          <w:tcPr>
            <w:tcW w:w="640" w:type="pct"/>
            <w:noWrap w:val="0"/>
            <w:vAlign w:val="center"/>
          </w:tcPr>
          <w:p w14:paraId="08C3FDE8">
            <w:pPr>
              <w:keepNext w:val="0"/>
              <w:keepLines w:val="0"/>
              <w:widowControl/>
              <w:suppressLineNumbers w:val="0"/>
              <w:jc w:val="center"/>
              <w:textAlignment w:val="center"/>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20%</w:t>
            </w:r>
          </w:p>
        </w:tc>
      </w:tr>
      <w:tr w14:paraId="20FCD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trPr>
        <w:tc>
          <w:tcPr>
            <w:tcW w:w="0" w:type="auto"/>
            <w:vAlign w:val="center"/>
          </w:tcPr>
          <w:p w14:paraId="23027494">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3</w:t>
            </w:r>
          </w:p>
        </w:tc>
        <w:tc>
          <w:tcPr>
            <w:tcW w:w="739" w:type="pct"/>
            <w:shd w:val="clear" w:color="auto" w:fill="auto"/>
            <w:vAlign w:val="center"/>
          </w:tcPr>
          <w:p w14:paraId="1E356566">
            <w:pPr>
              <w:widowControl/>
              <w:jc w:val="both"/>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rPr>
              <w:t>“玫瑰书香”女职工家庭文化建设年活动</w:t>
            </w:r>
          </w:p>
        </w:tc>
        <w:tc>
          <w:tcPr>
            <w:tcW w:w="3295" w:type="pct"/>
            <w:shd w:val="clear" w:color="auto" w:fill="auto"/>
            <w:vAlign w:val="center"/>
          </w:tcPr>
          <w:p w14:paraId="74419359">
            <w:pPr>
              <w:widowControl/>
              <w:jc w:val="both"/>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rPr>
              <w:t>组织好“玫瑰书香”女职工主题阅读作品征集活动，举办1次职工</w:t>
            </w:r>
            <w:bookmarkStart w:id="0" w:name="_GoBack"/>
            <w:bookmarkEnd w:id="0"/>
            <w:r>
              <w:rPr>
                <w:rFonts w:hint="eastAsia" w:ascii="仿宋_GB2312" w:hAnsi="仿宋_GB2312" w:eastAsia="仿宋_GB2312" w:cs="仿宋_GB2312"/>
                <w:kern w:val="0"/>
                <w:sz w:val="24"/>
                <w:szCs w:val="24"/>
                <w:lang w:val="en-US" w:eastAsia="zh-CN"/>
              </w:rPr>
              <w:t>亲子阅读主题活动</w:t>
            </w:r>
          </w:p>
        </w:tc>
        <w:tc>
          <w:tcPr>
            <w:tcW w:w="0" w:type="auto"/>
            <w:vAlign w:val="center"/>
          </w:tcPr>
          <w:p w14:paraId="511169EF">
            <w:pPr>
              <w:keepNext w:val="0"/>
              <w:keepLines w:val="0"/>
              <w:widowControl/>
              <w:suppressLineNumbers w:val="0"/>
              <w:jc w:val="center"/>
              <w:textAlignment w:val="center"/>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20%</w:t>
            </w:r>
          </w:p>
        </w:tc>
      </w:tr>
      <w:tr w14:paraId="7325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trPr>
        <w:tc>
          <w:tcPr>
            <w:tcW w:w="0" w:type="auto"/>
            <w:vAlign w:val="center"/>
          </w:tcPr>
          <w:p w14:paraId="6A7CBED0">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4</w:t>
            </w:r>
          </w:p>
        </w:tc>
        <w:tc>
          <w:tcPr>
            <w:tcW w:w="739" w:type="pct"/>
            <w:shd w:val="clear" w:color="auto" w:fill="auto"/>
            <w:vAlign w:val="center"/>
          </w:tcPr>
          <w:p w14:paraId="617956FC">
            <w:pPr>
              <w:widowControl/>
              <w:jc w:val="center"/>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宣教文体</w:t>
            </w:r>
          </w:p>
        </w:tc>
        <w:tc>
          <w:tcPr>
            <w:tcW w:w="3295" w:type="pct"/>
            <w:shd w:val="clear" w:color="auto" w:fill="auto"/>
            <w:vAlign w:val="center"/>
          </w:tcPr>
          <w:p w14:paraId="576BC811">
            <w:pPr>
              <w:widowControl/>
              <w:jc w:val="both"/>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通过“九洲集团职工之家”微信公众号广泛宣传党的二十大及工会十八大精神，及时关注报道总部和各产业公司一线工人队伍建设情况，营造良好的九洲企业文化氛围；持续开展群众性文体活动，如拔河比赛、职工运动会、传统节日游园、职工羽毛球、乒乓球、围棋等各类文体协会比赛等。根据上级工会要求，适时组织职工参加上级工会组织的文艺汇演、体育比赛等。</w:t>
            </w:r>
          </w:p>
        </w:tc>
        <w:tc>
          <w:tcPr>
            <w:tcW w:w="0" w:type="auto"/>
            <w:vAlign w:val="center"/>
          </w:tcPr>
          <w:p w14:paraId="4E41E424">
            <w:pPr>
              <w:keepNext w:val="0"/>
              <w:keepLines w:val="0"/>
              <w:widowControl/>
              <w:suppressLineNumbers w:val="0"/>
              <w:jc w:val="center"/>
              <w:textAlignment w:val="center"/>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20%</w:t>
            </w:r>
          </w:p>
        </w:tc>
      </w:tr>
      <w:tr w14:paraId="4C6B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trPr>
        <w:tc>
          <w:tcPr>
            <w:tcW w:w="0" w:type="auto"/>
            <w:vAlign w:val="center"/>
          </w:tcPr>
          <w:p w14:paraId="4EF14718">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5</w:t>
            </w:r>
          </w:p>
        </w:tc>
        <w:tc>
          <w:tcPr>
            <w:tcW w:w="739" w:type="pct"/>
            <w:shd w:val="clear" w:color="auto" w:fill="auto"/>
            <w:vAlign w:val="center"/>
          </w:tcPr>
          <w:p w14:paraId="410BE7B1">
            <w:pPr>
              <w:widowControl/>
              <w:jc w:val="center"/>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乡村振兴、托底性帮扶等工作</w:t>
            </w:r>
          </w:p>
        </w:tc>
        <w:tc>
          <w:tcPr>
            <w:tcW w:w="3295" w:type="pct"/>
            <w:shd w:val="clear" w:color="auto" w:fill="auto"/>
            <w:vAlign w:val="center"/>
          </w:tcPr>
          <w:p w14:paraId="03732D12">
            <w:pPr>
              <w:widowControl/>
              <w:jc w:val="both"/>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配合完成三台、壤塘等地驻村、帮扶购买工作；配合完成对盐源县托底性帮扶和消费帮扶相关工作</w:t>
            </w:r>
          </w:p>
        </w:tc>
        <w:tc>
          <w:tcPr>
            <w:tcW w:w="0" w:type="auto"/>
            <w:vAlign w:val="center"/>
          </w:tcPr>
          <w:p w14:paraId="2E2E0124">
            <w:pPr>
              <w:keepNext w:val="0"/>
              <w:keepLines w:val="0"/>
              <w:widowControl/>
              <w:suppressLineNumbers w:val="0"/>
              <w:jc w:val="center"/>
              <w:textAlignment w:val="center"/>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20%</w:t>
            </w:r>
          </w:p>
        </w:tc>
      </w:tr>
    </w:tbl>
    <w:p w14:paraId="4FAD0EAF">
      <w:pPr>
        <w:widowControl/>
        <w:spacing w:line="560" w:lineRule="exact"/>
        <w:ind w:firstLine="643" w:firstLineChars="200"/>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（三）协同绩效指标</w:t>
      </w:r>
    </w:p>
    <w:p w14:paraId="44F87580">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1．协同</w:t>
      </w:r>
      <w:r>
        <w:rPr>
          <w:rFonts w:hint="default" w:ascii="仿宋_GB2312" w:eastAsia="仿宋_GB2312"/>
          <w:b/>
          <w:bCs/>
          <w:sz w:val="32"/>
          <w:szCs w:val="32"/>
          <w:highlight w:val="none"/>
          <w:lang w:val="en-US" w:eastAsia="zh-CN"/>
        </w:rPr>
        <w:t>绩效考评</w:t>
      </w:r>
    </w:p>
    <w:p w14:paraId="7FA0BC4D">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由公司主要领导、分管领导、主要业务关联单位负责人等从业务上下游协作配合效果和工作具体成效等方面进行综合评价打分。具体评分规则如下：</w:t>
      </w:r>
    </w:p>
    <w:p w14:paraId="074B3582">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Ⅰ档(</w:t>
      </w:r>
      <w:r>
        <w:rPr>
          <w:rFonts w:hint="eastAsia" w:ascii="仿宋_GB2312" w:eastAsia="仿宋_GB2312"/>
          <w:sz w:val="32"/>
          <w:szCs w:val="32"/>
          <w:highlight w:val="none"/>
          <w:lang w:val="en-US" w:eastAsia="zh-CN"/>
        </w:rPr>
        <w:t>120</w:t>
      </w:r>
      <w:r>
        <w:rPr>
          <w:rFonts w:hint="default" w:ascii="仿宋_GB2312" w:eastAsia="仿宋_GB2312"/>
          <w:sz w:val="32"/>
          <w:szCs w:val="32"/>
          <w:highlight w:val="none"/>
          <w:lang w:val="en-US" w:eastAsia="zh-CN"/>
        </w:rPr>
        <w:t>分)：协作效果好，工作成效远超预期。</w:t>
      </w:r>
    </w:p>
    <w:p w14:paraId="60573919">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Ⅱ档(</w:t>
      </w:r>
      <w:r>
        <w:rPr>
          <w:rFonts w:hint="eastAsia" w:ascii="仿宋_GB2312" w:eastAsia="仿宋_GB2312"/>
          <w:sz w:val="32"/>
          <w:szCs w:val="32"/>
          <w:highlight w:val="none"/>
          <w:lang w:val="en-US" w:eastAsia="zh-CN"/>
        </w:rPr>
        <w:t>110</w:t>
      </w:r>
      <w:r>
        <w:rPr>
          <w:rFonts w:hint="default" w:ascii="仿宋_GB2312" w:eastAsia="仿宋_GB2312"/>
          <w:sz w:val="32"/>
          <w:szCs w:val="32"/>
          <w:highlight w:val="none"/>
          <w:lang w:val="en-US" w:eastAsia="zh-CN"/>
        </w:rPr>
        <w:t>分)：协作效果较好，工作成效符合预期。</w:t>
      </w:r>
    </w:p>
    <w:p w14:paraId="6B31EB67">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Ⅲ档(100分)：协作效果和工作成效基本符合预期。</w:t>
      </w:r>
    </w:p>
    <w:p w14:paraId="5C338BDC">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Ⅳ档(80分)：协作效果不佳，工作成效与预期有一定差距。</w:t>
      </w:r>
    </w:p>
    <w:p w14:paraId="618AFCEA">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Ⅴ档(60分)：协作效果较差，工作成效与预期有较大差距。</w:t>
      </w:r>
    </w:p>
    <w:p w14:paraId="1AEAE465">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2．协同</w:t>
      </w:r>
      <w:r>
        <w:rPr>
          <w:rFonts w:hint="default" w:ascii="仿宋_GB2312" w:eastAsia="仿宋_GB2312"/>
          <w:b/>
          <w:bCs/>
          <w:sz w:val="32"/>
          <w:szCs w:val="32"/>
          <w:highlight w:val="none"/>
          <w:lang w:val="en-US" w:eastAsia="zh-CN"/>
        </w:rPr>
        <w:t>绩效得分</w:t>
      </w:r>
    </w:p>
    <w:p w14:paraId="55957997">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w:t>
      </w:r>
      <w:r>
        <w:rPr>
          <w:rFonts w:hint="default" w:ascii="仿宋_GB2312" w:eastAsia="仿宋_GB2312"/>
          <w:sz w:val="32"/>
          <w:szCs w:val="32"/>
          <w:highlight w:val="none"/>
          <w:lang w:val="en-US" w:eastAsia="zh-CN"/>
        </w:rPr>
        <w:t>各单位第一负责人</w:t>
      </w:r>
    </w:p>
    <w:p w14:paraId="491396ED">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w:t>
      </w:r>
      <w:r>
        <w:rPr>
          <w:rFonts w:hint="eastAsia" w:ascii="仿宋_GB2312" w:eastAsia="仿宋_GB2312"/>
          <w:sz w:val="32"/>
          <w:szCs w:val="32"/>
          <w:highlight w:val="none"/>
          <w:lang w:val="en-US" w:eastAsia="zh-CN"/>
        </w:rPr>
        <w:t>协同</w:t>
      </w:r>
      <w:r>
        <w:rPr>
          <w:rFonts w:hint="default" w:ascii="仿宋_GB2312" w:eastAsia="仿宋_GB2312"/>
          <w:sz w:val="32"/>
          <w:szCs w:val="32"/>
          <w:highlight w:val="none"/>
          <w:lang w:val="en-US" w:eastAsia="zh-CN"/>
        </w:rPr>
        <w:t>绩效得分=集团公司主要领导评分×30%+分管领导评分×40%+业务关联单位第一负责人评分×30%</w:t>
      </w:r>
    </w:p>
    <w:p w14:paraId="351586EE">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w:t>
      </w:r>
      <w:r>
        <w:rPr>
          <w:rFonts w:hint="default" w:ascii="仿宋_GB2312" w:eastAsia="仿宋_GB2312"/>
          <w:sz w:val="32"/>
          <w:szCs w:val="32"/>
          <w:highlight w:val="none"/>
          <w:lang w:val="en-US" w:eastAsia="zh-CN"/>
        </w:rPr>
        <w:t>各单位其他纳入九洲集团公司职数管理的中层管理人员</w:t>
      </w:r>
    </w:p>
    <w:p w14:paraId="0CD02A21">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w:t>
      </w:r>
      <w:r>
        <w:rPr>
          <w:rFonts w:hint="eastAsia" w:ascii="仿宋_GB2312" w:eastAsia="仿宋_GB2312"/>
          <w:sz w:val="32"/>
          <w:szCs w:val="32"/>
          <w:highlight w:val="none"/>
          <w:lang w:val="en-US" w:eastAsia="zh-CN"/>
        </w:rPr>
        <w:t>协同</w:t>
      </w:r>
      <w:r>
        <w:rPr>
          <w:rFonts w:hint="default" w:ascii="仿宋_GB2312" w:eastAsia="仿宋_GB2312"/>
          <w:sz w:val="32"/>
          <w:szCs w:val="32"/>
          <w:highlight w:val="none"/>
          <w:lang w:val="en-US" w:eastAsia="zh-CN"/>
        </w:rPr>
        <w:t>绩效得分=分管领导评分×30%+单位第一负责人评分×40%+业务关联单位负责人评分×30%</w:t>
      </w:r>
    </w:p>
    <w:p w14:paraId="2085A4D5">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（四）红线指标</w:t>
      </w:r>
    </w:p>
    <w:p w14:paraId="1A44417F">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红线指标为不能突破的红线条款，主要包括党风廉政建设、安全、保密和践行企业文化等。采取扣分制，原则上红线指标总扣分不超过10分，因为党风廉政建设、安全、保密和践行企业文化等造成一票否决或重大责任事故的，全部或部分扣减年度绩效得分。</w:t>
      </w:r>
    </w:p>
    <w:p w14:paraId="11CBD376">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三、考核兑现</w:t>
      </w:r>
    </w:p>
    <w:p w14:paraId="7A1C4F8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eastAsia="zh-CN"/>
        </w:rPr>
      </w:pPr>
      <w:r>
        <w:rPr>
          <w:rFonts w:hint="eastAsia" w:ascii="仿宋_GB2312" w:hAnsi="宋体" w:eastAsia="仿宋_GB2312" w:cs="Times New Roman"/>
          <w:b/>
          <w:bCs w:val="0"/>
          <w:sz w:val="32"/>
          <w:szCs w:val="32"/>
          <w:highlight w:val="none"/>
          <w:lang w:eastAsia="zh-CN"/>
        </w:rPr>
        <w:t>考核得分=组织绩效得分×</w:t>
      </w:r>
      <w:r>
        <w:rPr>
          <w:rFonts w:hint="eastAsia" w:ascii="仿宋_GB2312" w:hAnsi="宋体" w:eastAsia="仿宋_GB2312" w:cs="Times New Roman"/>
          <w:b/>
          <w:bCs w:val="0"/>
          <w:sz w:val="32"/>
          <w:szCs w:val="32"/>
          <w:highlight w:val="none"/>
          <w:lang w:val="en-US" w:eastAsia="zh-CN"/>
        </w:rPr>
        <w:t>3</w:t>
      </w:r>
      <w:r>
        <w:rPr>
          <w:rFonts w:hint="eastAsia" w:ascii="仿宋_GB2312" w:hAnsi="宋体" w:eastAsia="仿宋_GB2312" w:cs="Times New Roman"/>
          <w:b/>
          <w:bCs w:val="0"/>
          <w:sz w:val="32"/>
          <w:szCs w:val="32"/>
          <w:highlight w:val="none"/>
          <w:lang w:eastAsia="zh-CN"/>
        </w:rPr>
        <w:t>0%+任务绩效得分×</w:t>
      </w:r>
      <w:r>
        <w:rPr>
          <w:rFonts w:hint="eastAsia" w:ascii="仿宋_GB2312" w:hAnsi="宋体" w:eastAsia="仿宋_GB2312" w:cs="Times New Roman"/>
          <w:b/>
          <w:bCs w:val="0"/>
          <w:sz w:val="32"/>
          <w:szCs w:val="32"/>
          <w:highlight w:val="none"/>
          <w:lang w:val="en-US" w:eastAsia="zh-CN"/>
        </w:rPr>
        <w:t>5</w:t>
      </w:r>
      <w:r>
        <w:rPr>
          <w:rFonts w:hint="eastAsia" w:ascii="仿宋_GB2312" w:hAnsi="宋体" w:eastAsia="仿宋_GB2312" w:cs="Times New Roman"/>
          <w:b/>
          <w:bCs w:val="0"/>
          <w:sz w:val="32"/>
          <w:szCs w:val="32"/>
          <w:highlight w:val="none"/>
          <w:lang w:eastAsia="zh-CN"/>
        </w:rPr>
        <w:t>0%+</w:t>
      </w:r>
      <w:r>
        <w:rPr>
          <w:rFonts w:hint="eastAsia" w:ascii="仿宋_GB2312" w:hAnsi="宋体" w:eastAsia="仿宋_GB2312" w:cs="Times New Roman"/>
          <w:b/>
          <w:bCs w:val="0"/>
          <w:sz w:val="32"/>
          <w:szCs w:val="32"/>
          <w:highlight w:val="none"/>
          <w:lang w:val="en-US" w:eastAsia="zh-CN"/>
        </w:rPr>
        <w:t>协同</w:t>
      </w:r>
      <w:r>
        <w:rPr>
          <w:rFonts w:hint="eastAsia" w:ascii="仿宋_GB2312" w:hAnsi="宋体" w:eastAsia="仿宋_GB2312" w:cs="Times New Roman"/>
          <w:b/>
          <w:bCs w:val="0"/>
          <w:sz w:val="32"/>
          <w:szCs w:val="32"/>
          <w:highlight w:val="none"/>
          <w:lang w:eastAsia="zh-CN"/>
        </w:rPr>
        <w:t>绩效得分×20%-红线指标扣分</w:t>
      </w:r>
    </w:p>
    <w:p w14:paraId="3540D0B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年薪=基本年薪+绩效年薪</w:t>
      </w:r>
    </w:p>
    <w:p w14:paraId="3F7258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基本年薪占年薪标准的</w:t>
      </w:r>
      <w:r>
        <w:rPr>
          <w:rFonts w:hint="eastAsia" w:ascii="仿宋_GB2312" w:hAnsi="宋体" w:eastAsia="仿宋_GB2312" w:cs="Times New Roman"/>
          <w:b w:val="0"/>
          <w:bCs/>
          <w:sz w:val="32"/>
          <w:szCs w:val="32"/>
          <w:highlight w:val="none"/>
          <w:lang w:val="en-US" w:eastAsia="zh-CN"/>
        </w:rPr>
        <w:t>4</w:t>
      </w:r>
      <w:r>
        <w:rPr>
          <w:rFonts w:hint="eastAsia" w:ascii="仿宋_GB2312" w:hAnsi="宋体" w:eastAsia="仿宋_GB2312" w:cs="Times New Roman"/>
          <w:b w:val="0"/>
          <w:bCs/>
          <w:sz w:val="32"/>
          <w:szCs w:val="32"/>
          <w:highlight w:val="none"/>
          <w:lang w:eastAsia="zh-CN"/>
        </w:rPr>
        <w:t>0%,绩效年薪占年薪标准的</w:t>
      </w:r>
      <w:r>
        <w:rPr>
          <w:rFonts w:hint="eastAsia" w:ascii="仿宋_GB2312" w:hAnsi="宋体" w:eastAsia="仿宋_GB2312" w:cs="Times New Roman"/>
          <w:b w:val="0"/>
          <w:bCs/>
          <w:sz w:val="32"/>
          <w:szCs w:val="32"/>
          <w:highlight w:val="none"/>
          <w:lang w:val="en-US" w:eastAsia="zh-CN"/>
        </w:rPr>
        <w:t>6</w:t>
      </w:r>
      <w:r>
        <w:rPr>
          <w:rFonts w:hint="eastAsia" w:ascii="仿宋_GB2312" w:hAnsi="宋体" w:eastAsia="仿宋_GB2312" w:cs="Times New Roman"/>
          <w:b w:val="0"/>
          <w:bCs/>
          <w:sz w:val="32"/>
          <w:szCs w:val="32"/>
          <w:highlight w:val="none"/>
          <w:lang w:eastAsia="zh-CN"/>
        </w:rPr>
        <w:t>0%。年薪兑现与乙方年度经营业绩考核得分挂钩，具体挂钩方式如下：</w:t>
      </w:r>
    </w:p>
    <w:p w14:paraId="6D1F9E0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绩效年薪=绩效年薪标准×考核得分/100。绩效年薪不超过绩效年薪标准的2倍。</w:t>
      </w:r>
    </w:p>
    <w:p w14:paraId="13599D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乙方年薪实行预发制，年终根据考核结果结算年薪，并结合已预发年薪兑现剩余部分。</w:t>
      </w:r>
    </w:p>
    <w:p w14:paraId="7E5C55A2">
      <w:pPr>
        <w:widowControl/>
        <w:spacing w:line="560" w:lineRule="exact"/>
        <w:ind w:firstLine="640" w:firstLineChars="200"/>
        <w:rPr>
          <w:rFonts w:hint="eastAsia" w:ascii="仿宋_GB2312" w:hAnsi="宋体" w:eastAsia="仿宋_GB2312" w:cs="Times New Roman"/>
          <w:b w:val="0"/>
          <w:bCs/>
          <w:sz w:val="32"/>
          <w:szCs w:val="32"/>
          <w:highlight w:val="none"/>
          <w:lang w:eastAsia="zh-CN"/>
        </w:rPr>
      </w:pPr>
      <w:r>
        <w:rPr>
          <w:rFonts w:hint="eastAsia" w:ascii="仿宋_GB2312" w:eastAsia="仿宋_GB2312"/>
          <w:sz w:val="32"/>
          <w:szCs w:val="32"/>
          <w:highlight w:val="none"/>
          <w:lang w:val="en-US" w:eastAsia="zh-CN"/>
        </w:rPr>
        <w:t>超额利润奖励按照专项考核管理办法进行。</w:t>
      </w:r>
    </w:p>
    <w:p w14:paraId="58B595B8">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四、</w:t>
      </w:r>
      <w:r>
        <w:rPr>
          <w:rFonts w:hint="eastAsia" w:ascii="黑体" w:hAnsi="黑体" w:eastAsia="黑体" w:cs="黑体"/>
          <w:b w:val="0"/>
          <w:bCs/>
          <w:sz w:val="32"/>
          <w:szCs w:val="32"/>
          <w:highlight w:val="none"/>
        </w:rPr>
        <w:t>其他</w:t>
      </w:r>
    </w:p>
    <w:p w14:paraId="0C993F65">
      <w:pPr>
        <w:keepNext w:val="0"/>
        <w:keepLines w:val="0"/>
        <w:pageBreakBefore w:val="0"/>
        <w:kinsoku/>
        <w:wordWrap/>
        <w:overflowPunct/>
        <w:topLinePunct w:val="0"/>
        <w:autoSpaceDE/>
        <w:autoSpaceDN/>
        <w:bidi w:val="0"/>
        <w:spacing w:line="560" w:lineRule="exact"/>
        <w:ind w:firstLine="640" w:firstLineChars="200"/>
        <w:rPr>
          <w:rFonts w:ascii="仿宋_GB2312" w:hAnsi="宋体" w:eastAsia="仿宋_GB2312"/>
          <w:b w:val="0"/>
          <w:bCs/>
          <w:sz w:val="32"/>
          <w:szCs w:val="32"/>
          <w:highlight w:val="none"/>
        </w:rPr>
      </w:pP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本协议其他未尽事宜由双方另行协商。</w:t>
      </w:r>
    </w:p>
    <w:p w14:paraId="5E5372BA">
      <w:pPr>
        <w:keepNext w:val="0"/>
        <w:keepLines w:val="0"/>
        <w:pageBreakBefore w:val="0"/>
        <w:kinsoku/>
        <w:wordWrap/>
        <w:overflowPunct/>
        <w:topLinePunct w:val="0"/>
        <w:autoSpaceDE/>
        <w:autoSpaceDN/>
        <w:bidi w:val="0"/>
        <w:spacing w:line="560" w:lineRule="exact"/>
        <w:ind w:firstLine="640" w:firstLineChars="200"/>
        <w:rPr>
          <w:rFonts w:ascii="仿宋_GB2312" w:eastAsia="仿宋_GB2312"/>
          <w:b w:val="0"/>
          <w:bCs/>
          <w:sz w:val="32"/>
          <w:szCs w:val="32"/>
          <w:highlight w:val="none"/>
        </w:rPr>
      </w:pPr>
      <w:r>
        <w:rPr>
          <w:rFonts w:hint="eastAsia" w:ascii="仿宋_GB2312" w:hAnsi="宋体" w:eastAsia="仿宋_GB2312"/>
          <w:b w:val="0"/>
          <w:bCs/>
          <w:sz w:val="32"/>
          <w:szCs w:val="32"/>
          <w:highlight w:val="none"/>
        </w:rPr>
        <w:t>2</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本协议一式三份，甲方、乙方、干部管理部门各执一份，自甲、乙双方签字（盖章）之日起生效。</w:t>
      </w:r>
    </w:p>
    <w:p w14:paraId="601E02A0">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14:paraId="0E313792">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rPr>
      </w:pPr>
    </w:p>
    <w:p w14:paraId="27CEDA19">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eastAsia="zh-CN"/>
        </w:rPr>
      </w:pPr>
    </w:p>
    <w:p w14:paraId="4D8D2862">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14:paraId="6B7E77B8">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14:paraId="63D4A72B">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甲方（</w:t>
      </w:r>
      <w:r>
        <w:rPr>
          <w:rFonts w:hint="eastAsia" w:ascii="黑体" w:hAnsi="黑体" w:eastAsia="黑体" w:cs="黑体"/>
          <w:b w:val="0"/>
          <w:bCs/>
          <w:sz w:val="32"/>
          <w:szCs w:val="32"/>
          <w:highlight w:val="none"/>
          <w:lang w:val="en-US" w:eastAsia="zh-CN"/>
        </w:rPr>
        <w:t>签字</w:t>
      </w:r>
      <w:r>
        <w:rPr>
          <w:rFonts w:hint="eastAsia" w:ascii="黑体" w:hAnsi="黑体" w:eastAsia="黑体" w:cs="黑体"/>
          <w:b w:val="0"/>
          <w:bCs/>
          <w:sz w:val="32"/>
          <w:szCs w:val="32"/>
          <w:highlight w:val="none"/>
        </w:rPr>
        <w:t>）：</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乙方（签字）：</w:t>
      </w:r>
    </w:p>
    <w:p w14:paraId="00EC5A5E">
      <w:pPr>
        <w:keepNext w:val="0"/>
        <w:keepLines w:val="0"/>
        <w:pageBreakBefore w:val="0"/>
        <w:kinsoku/>
        <w:wordWrap/>
        <w:overflowPunct/>
        <w:topLinePunct w:val="0"/>
        <w:autoSpaceDE/>
        <w:autoSpaceDN/>
        <w:bidi w:val="0"/>
        <w:adjustRightInd w:val="0"/>
        <w:snapToGrid w:val="0"/>
        <w:spacing w:line="560" w:lineRule="exact"/>
        <w:rPr>
          <w:rFonts w:ascii="黑体" w:hAnsi="黑体" w:eastAsia="黑体" w:cs="黑体"/>
          <w:b w:val="0"/>
          <w:bCs/>
          <w:sz w:val="32"/>
          <w:szCs w:val="32"/>
          <w:highlight w:val="none"/>
        </w:rPr>
      </w:pPr>
    </w:p>
    <w:p w14:paraId="3AEBE0BE">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ascii="黑体" w:hAnsi="黑体" w:eastAsia="黑体" w:cs="黑体"/>
          <w:b w:val="0"/>
          <w:bCs/>
          <w:sz w:val="32"/>
          <w:szCs w:val="32"/>
          <w:highlight w:val="none"/>
        </w:rPr>
      </w:pPr>
    </w:p>
    <w:p w14:paraId="0E0542E9">
      <w:pPr>
        <w:pStyle w:val="47"/>
        <w:shd w:val="clear" w:color="auto" w:fill="FFFFFF"/>
        <w:adjustRightInd w:val="0"/>
        <w:snapToGrid w:val="0"/>
        <w:spacing w:line="560" w:lineRule="exact"/>
        <w:textAlignment w:val="baseline"/>
        <w:rPr>
          <w:rFonts w:hint="default" w:ascii="仿宋_GB2312" w:hAnsi="宋体" w:eastAsia="仿宋_GB2312" w:cs="宋体"/>
          <w:color w:val="000000"/>
          <w:kern w:val="0"/>
          <w:sz w:val="32"/>
          <w:szCs w:val="32"/>
          <w:lang w:val="en-US" w:eastAsia="zh-CN"/>
        </w:rPr>
      </w:pPr>
      <w:r>
        <w:rPr>
          <w:rFonts w:hint="eastAsia" w:ascii="黑体" w:hAnsi="黑体" w:eastAsia="黑体" w:cs="黑体"/>
          <w:b w:val="0"/>
          <w:bCs/>
          <w:sz w:val="32"/>
          <w:szCs w:val="32"/>
          <w:highlight w:val="none"/>
        </w:rPr>
        <w:t>签订日期：</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年</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月</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lang w:eastAsia="zh-CN"/>
        </w:rPr>
        <w:t>日</w:t>
      </w:r>
    </w:p>
    <w:sectPr>
      <w:headerReference r:id="rId3" w:type="default"/>
      <w:footerReference r:id="rId4"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6AD092E-FE10-4460-86D8-3AD1A6177E9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53D30866-D3D0-4091-94DC-1F68B1F74844}"/>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EE28EE18-B781-4B1A-8593-6C5AEB40FE52}"/>
  </w:font>
  <w:font w:name="楷体_GB2312">
    <w:panose1 w:val="02010609030101010101"/>
    <w:charset w:val="86"/>
    <w:family w:val="modern"/>
    <w:pitch w:val="default"/>
    <w:sig w:usb0="00000001" w:usb1="080E0000" w:usb2="00000000" w:usb3="00000000" w:csb0="00040000" w:csb1="00000000"/>
    <w:embedRegular r:id="rId4" w:fontKey="{A9356536-DCDA-46CC-952C-1E725356AC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36AB">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1BE2C">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59264;mso-width-relative:page;mso-height-relative:page;" filled="f" stroked="f" coordsize="21600,21600" o:gfxdata="UEsDBAoAAAAAAIdO4kAAAAAAAAAAAAAAAAAEAAAAZHJzL1BLAwQUAAAACACHTuJAHU06wtUAAAAE&#10;AQAADwAAAGRycy9kb3ducmV2LnhtbE2PS0/DMBCE70j8B2uRuFE7bQVViNMDjxuPUooENydekgh7&#10;HcWbtPx7XC5wWWk0o5lvi/XBOzHhELtAGrKZAoFUB9tRo2H3en+xAhHZkDUuEGr4xgjr8vSkMLkN&#10;e3rBacuNSCUUc6OhZe5zKWPdojdxFnqk5H2GwRtOcmikHcw+lXsn50pdSm86Sgut6fGmxfprO3oN&#10;7j0OD5Xij+m2eeTNsxzf7rInrc/PMnUNgvHAf2E44id0KBNTFUayUTgN6RH+vUdvvlyCqDQsrhYg&#10;y0L+hy9/AFBLAwQUAAAACACHTuJAVcQ22jkCAABjBAAADgAAAGRycy9lMm9Eb2MueG1srVTBbhMx&#10;EL0j8Q+W73TThJY26qYKrYqQKlqpIM6O15u1ZHuM7XS3fAD8QU9cuPNd/Q6ed7MpKhx64OLMzozf&#10;+L2ZyclpZw27VSFqciXf35twppykSrt1yT99vHh1xFlMwlXCkFMlv1ORny5evjhp/VxNqSFTqcAA&#10;4uK89SVvUvLzooiyUVbEPfLKIVhTsCLhM6yLKogW6NYU08nksGgpVD6QVDHCez4E+RYxPAeQ6lpL&#10;dU5yY5VLA2pQRiRQio32kS/619a1kumqrqNKzJQcTFN/ogjsVT6LxYmYr4PwjZbbJ4jnPOEJJyu0&#10;Q9Ed1LlIgm2C/gvKahkoUp32JNliINIrAhb7kyfa3DTCq54LpI5+J3r8f7Dyw+11YLrCJMw4c8Ki&#10;4w/33x9+/Hr4+Y3BB4FaH+fIu/HITN1b6pA8+iOcmXdXB5t/wYghDnnvdvKqLjEJ55uj4+PXiEiE&#10;prPDo4ODjFI8XvYhpneKLMtGyQO614sqbi9jGlLHlFzL0YU2pu+gcawt+eHsYNJf2EUAbhxqZArD&#10;U7OVulW35bWi6g60Ag2TEb280Ch+KWK6FgGjgPdiWdIVjtoQitDW4qyh8PVf/pyPDiHKWYvRKnn8&#10;shFBcWbeO/QOkGk0wmisRsNt7BlhWvexhl72Ji6EZEazDmQ/Y4eWuQpCwknUKnkazbM0DDh2UKrl&#10;sk/a+KDXzXABk+dFunQ3XuYyg5TLTaJa9ypniQZdtsph9vo+bfckD/ef333W43/D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dTTrC1QAAAAQBAAAPAAAAAAAAAAEAIAAAACIAAABkcnMvZG93bnJl&#10;di54bWxQSwECFAAUAAAACACHTuJAVcQ22jkCAABjBAAADgAAAAAAAAABACAAAAAkAQAAZHJzL2Uy&#10;b0RvYy54bWxQSwUGAAAAAAYABgBZAQAAzwUAAAAA&#10;">
              <v:fill on="f" focussize="0,0"/>
              <v:stroke on="f" weight="0.5pt"/>
              <v:imagedata o:title=""/>
              <o:lock v:ext="edit" aspectratio="f"/>
              <v:textbox inset="0mm,0mm,0mm,0mm">
                <w:txbxContent>
                  <w:p w14:paraId="4871BE2C">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58E01">
    <w:pPr>
      <w:pStyle w:val="14"/>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lhOTk0YTgxZmUwZjA1MWQ0OTBhZTY4NjM4MGEyNTEifQ=="/>
  </w:docVars>
  <w:rsids>
    <w:rsidRoot w:val="00D26C17"/>
    <w:rsid w:val="00004294"/>
    <w:rsid w:val="00077BB8"/>
    <w:rsid w:val="003815EF"/>
    <w:rsid w:val="003D138F"/>
    <w:rsid w:val="00411E7D"/>
    <w:rsid w:val="00522E5A"/>
    <w:rsid w:val="00666A9B"/>
    <w:rsid w:val="007B2113"/>
    <w:rsid w:val="00933E5B"/>
    <w:rsid w:val="009731F3"/>
    <w:rsid w:val="00996404"/>
    <w:rsid w:val="00D1064C"/>
    <w:rsid w:val="00D26C17"/>
    <w:rsid w:val="00D51E8B"/>
    <w:rsid w:val="00D77774"/>
    <w:rsid w:val="00DE63A2"/>
    <w:rsid w:val="00EE3721"/>
    <w:rsid w:val="00F069A3"/>
    <w:rsid w:val="00FF7664"/>
    <w:rsid w:val="017B11E4"/>
    <w:rsid w:val="01AF5332"/>
    <w:rsid w:val="01C3381D"/>
    <w:rsid w:val="022369EF"/>
    <w:rsid w:val="02355837"/>
    <w:rsid w:val="02671768"/>
    <w:rsid w:val="027125E7"/>
    <w:rsid w:val="02A209F3"/>
    <w:rsid w:val="02D908B8"/>
    <w:rsid w:val="02F2197A"/>
    <w:rsid w:val="03675EC4"/>
    <w:rsid w:val="03827295"/>
    <w:rsid w:val="03AD4DDD"/>
    <w:rsid w:val="03B7227C"/>
    <w:rsid w:val="044955CA"/>
    <w:rsid w:val="048F2C7D"/>
    <w:rsid w:val="04EC7024"/>
    <w:rsid w:val="053242B0"/>
    <w:rsid w:val="05485881"/>
    <w:rsid w:val="05665D07"/>
    <w:rsid w:val="05A52CD4"/>
    <w:rsid w:val="06577AD4"/>
    <w:rsid w:val="068E3768"/>
    <w:rsid w:val="06E17D3B"/>
    <w:rsid w:val="079046C9"/>
    <w:rsid w:val="07983414"/>
    <w:rsid w:val="07D7219C"/>
    <w:rsid w:val="07EC0B14"/>
    <w:rsid w:val="08094D85"/>
    <w:rsid w:val="082A3964"/>
    <w:rsid w:val="0856515C"/>
    <w:rsid w:val="08D613F6"/>
    <w:rsid w:val="090A6581"/>
    <w:rsid w:val="09165225"/>
    <w:rsid w:val="09313F0E"/>
    <w:rsid w:val="098146E6"/>
    <w:rsid w:val="09E04AE2"/>
    <w:rsid w:val="0A4B1FCC"/>
    <w:rsid w:val="0A6D7B38"/>
    <w:rsid w:val="0A6F525B"/>
    <w:rsid w:val="0AA456F3"/>
    <w:rsid w:val="0AAE0382"/>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2854AC"/>
    <w:rsid w:val="0E67321C"/>
    <w:rsid w:val="0F3B0205"/>
    <w:rsid w:val="0F4F16B2"/>
    <w:rsid w:val="0F56503F"/>
    <w:rsid w:val="0FE12B5A"/>
    <w:rsid w:val="10086339"/>
    <w:rsid w:val="103435D2"/>
    <w:rsid w:val="108F6A5A"/>
    <w:rsid w:val="10AC13BA"/>
    <w:rsid w:val="116752E1"/>
    <w:rsid w:val="11771B12"/>
    <w:rsid w:val="11987B90"/>
    <w:rsid w:val="119F6E8B"/>
    <w:rsid w:val="11B47634"/>
    <w:rsid w:val="11E20E0C"/>
    <w:rsid w:val="125E66E4"/>
    <w:rsid w:val="12733E70"/>
    <w:rsid w:val="12891287"/>
    <w:rsid w:val="12BE3627"/>
    <w:rsid w:val="12CB391F"/>
    <w:rsid w:val="12CE0C99"/>
    <w:rsid w:val="13075EDB"/>
    <w:rsid w:val="13143749"/>
    <w:rsid w:val="13217712"/>
    <w:rsid w:val="13337B71"/>
    <w:rsid w:val="13685340"/>
    <w:rsid w:val="13786942"/>
    <w:rsid w:val="13913519"/>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31E78"/>
    <w:rsid w:val="194F441F"/>
    <w:rsid w:val="19AC41D9"/>
    <w:rsid w:val="19BA5983"/>
    <w:rsid w:val="19EA6AAF"/>
    <w:rsid w:val="1A22449B"/>
    <w:rsid w:val="1A321DA9"/>
    <w:rsid w:val="1A473E72"/>
    <w:rsid w:val="1A4E703E"/>
    <w:rsid w:val="1AD11A1D"/>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353CC"/>
    <w:rsid w:val="1EC975DB"/>
    <w:rsid w:val="1EE10644"/>
    <w:rsid w:val="1F4D7724"/>
    <w:rsid w:val="1F6D61B8"/>
    <w:rsid w:val="1FA75B26"/>
    <w:rsid w:val="20144886"/>
    <w:rsid w:val="20754970"/>
    <w:rsid w:val="208A4797"/>
    <w:rsid w:val="20F76FFF"/>
    <w:rsid w:val="21176FBB"/>
    <w:rsid w:val="21736403"/>
    <w:rsid w:val="218B39C0"/>
    <w:rsid w:val="21DE15EF"/>
    <w:rsid w:val="220F79FB"/>
    <w:rsid w:val="223631D9"/>
    <w:rsid w:val="22600256"/>
    <w:rsid w:val="23005595"/>
    <w:rsid w:val="23136EEB"/>
    <w:rsid w:val="233C3E4E"/>
    <w:rsid w:val="23E57486"/>
    <w:rsid w:val="24106586"/>
    <w:rsid w:val="241E3F33"/>
    <w:rsid w:val="2425014F"/>
    <w:rsid w:val="24CB23C4"/>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6B79F3"/>
    <w:rsid w:val="28821D21"/>
    <w:rsid w:val="29341AF5"/>
    <w:rsid w:val="293C78E0"/>
    <w:rsid w:val="29A30A29"/>
    <w:rsid w:val="29A92DEF"/>
    <w:rsid w:val="2A4B5348"/>
    <w:rsid w:val="2A924D25"/>
    <w:rsid w:val="2AB90504"/>
    <w:rsid w:val="2AC7692A"/>
    <w:rsid w:val="2B040F10"/>
    <w:rsid w:val="2B762C31"/>
    <w:rsid w:val="2B784A89"/>
    <w:rsid w:val="2BB553E6"/>
    <w:rsid w:val="2BD001FB"/>
    <w:rsid w:val="2BF23635"/>
    <w:rsid w:val="2C8965FC"/>
    <w:rsid w:val="2C9C1E8B"/>
    <w:rsid w:val="2CB91C59"/>
    <w:rsid w:val="2D067C4C"/>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520F7"/>
    <w:rsid w:val="309F1F4A"/>
    <w:rsid w:val="30CC6AB7"/>
    <w:rsid w:val="312D57A8"/>
    <w:rsid w:val="31CB6D6E"/>
    <w:rsid w:val="31D9592F"/>
    <w:rsid w:val="320504D2"/>
    <w:rsid w:val="329459AD"/>
    <w:rsid w:val="329E4165"/>
    <w:rsid w:val="32C00582"/>
    <w:rsid w:val="335C6818"/>
    <w:rsid w:val="33A533AC"/>
    <w:rsid w:val="33C26591"/>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52D97"/>
    <w:rsid w:val="37FA03AE"/>
    <w:rsid w:val="380A6843"/>
    <w:rsid w:val="38370F4F"/>
    <w:rsid w:val="387C536A"/>
    <w:rsid w:val="388C3574"/>
    <w:rsid w:val="38957D3E"/>
    <w:rsid w:val="38A62B0D"/>
    <w:rsid w:val="38B86F56"/>
    <w:rsid w:val="3922196A"/>
    <w:rsid w:val="394F6C6F"/>
    <w:rsid w:val="39763A64"/>
    <w:rsid w:val="3A63048C"/>
    <w:rsid w:val="3AC71D0D"/>
    <w:rsid w:val="3B8406BA"/>
    <w:rsid w:val="3B963A4D"/>
    <w:rsid w:val="3B9F48B6"/>
    <w:rsid w:val="3BB645EB"/>
    <w:rsid w:val="3C2D0D52"/>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40006363"/>
    <w:rsid w:val="409E3FCC"/>
    <w:rsid w:val="40D55514"/>
    <w:rsid w:val="40ED3BA3"/>
    <w:rsid w:val="412F51E3"/>
    <w:rsid w:val="41B17D2F"/>
    <w:rsid w:val="424E1A22"/>
    <w:rsid w:val="42611755"/>
    <w:rsid w:val="429531AD"/>
    <w:rsid w:val="42D8613A"/>
    <w:rsid w:val="42FA7159"/>
    <w:rsid w:val="438A4CDB"/>
    <w:rsid w:val="43AF3320"/>
    <w:rsid w:val="43F92FEC"/>
    <w:rsid w:val="441B1E39"/>
    <w:rsid w:val="44501A81"/>
    <w:rsid w:val="44600F13"/>
    <w:rsid w:val="446B68BB"/>
    <w:rsid w:val="447517CB"/>
    <w:rsid w:val="4484172B"/>
    <w:rsid w:val="44A41DCD"/>
    <w:rsid w:val="44FF34A7"/>
    <w:rsid w:val="45442C68"/>
    <w:rsid w:val="457A48DC"/>
    <w:rsid w:val="45DE1D77"/>
    <w:rsid w:val="45FB5626"/>
    <w:rsid w:val="460F7548"/>
    <w:rsid w:val="462A2F7C"/>
    <w:rsid w:val="4654337F"/>
    <w:rsid w:val="4694464B"/>
    <w:rsid w:val="47617B01"/>
    <w:rsid w:val="477A0BC3"/>
    <w:rsid w:val="47A04ACD"/>
    <w:rsid w:val="47D81FA9"/>
    <w:rsid w:val="486B440C"/>
    <w:rsid w:val="494E5D41"/>
    <w:rsid w:val="49583186"/>
    <w:rsid w:val="49A03796"/>
    <w:rsid w:val="49A53CC1"/>
    <w:rsid w:val="49BF7253"/>
    <w:rsid w:val="49C83E68"/>
    <w:rsid w:val="49EE71F2"/>
    <w:rsid w:val="49F3676E"/>
    <w:rsid w:val="4A3E237C"/>
    <w:rsid w:val="4A445E90"/>
    <w:rsid w:val="4AF85673"/>
    <w:rsid w:val="4B051552"/>
    <w:rsid w:val="4B6B71A0"/>
    <w:rsid w:val="4B982BB3"/>
    <w:rsid w:val="4BF7108D"/>
    <w:rsid w:val="4BFC429C"/>
    <w:rsid w:val="4C9B5863"/>
    <w:rsid w:val="4CC50B32"/>
    <w:rsid w:val="4CE0771A"/>
    <w:rsid w:val="4D096C71"/>
    <w:rsid w:val="4DA44BEC"/>
    <w:rsid w:val="4DAE1633"/>
    <w:rsid w:val="4DB82445"/>
    <w:rsid w:val="4DEB45C9"/>
    <w:rsid w:val="4E30647F"/>
    <w:rsid w:val="4E577EB0"/>
    <w:rsid w:val="4EFF13E5"/>
    <w:rsid w:val="4F8C0F92"/>
    <w:rsid w:val="4FBA7B2E"/>
    <w:rsid w:val="4FCD544B"/>
    <w:rsid w:val="4FF77255"/>
    <w:rsid w:val="50376EC1"/>
    <w:rsid w:val="50442E41"/>
    <w:rsid w:val="50EF1724"/>
    <w:rsid w:val="511104C5"/>
    <w:rsid w:val="51772403"/>
    <w:rsid w:val="5245097E"/>
    <w:rsid w:val="52575455"/>
    <w:rsid w:val="526F57C8"/>
    <w:rsid w:val="527B604B"/>
    <w:rsid w:val="528D537E"/>
    <w:rsid w:val="53603363"/>
    <w:rsid w:val="538E6122"/>
    <w:rsid w:val="543E18F6"/>
    <w:rsid w:val="54C811C0"/>
    <w:rsid w:val="54DE6C35"/>
    <w:rsid w:val="551E4A4E"/>
    <w:rsid w:val="55724DC3"/>
    <w:rsid w:val="55760C1C"/>
    <w:rsid w:val="55B335CC"/>
    <w:rsid w:val="55DB13C7"/>
    <w:rsid w:val="56245E5E"/>
    <w:rsid w:val="564662EE"/>
    <w:rsid w:val="565D20C7"/>
    <w:rsid w:val="57284198"/>
    <w:rsid w:val="57D22CC7"/>
    <w:rsid w:val="58003366"/>
    <w:rsid w:val="58C47EF0"/>
    <w:rsid w:val="58C90767"/>
    <w:rsid w:val="59032FB6"/>
    <w:rsid w:val="594D4389"/>
    <w:rsid w:val="597933D0"/>
    <w:rsid w:val="59AF0BA0"/>
    <w:rsid w:val="59BC506B"/>
    <w:rsid w:val="5A4F276C"/>
    <w:rsid w:val="5A61587F"/>
    <w:rsid w:val="5A7871E4"/>
    <w:rsid w:val="5AE76A55"/>
    <w:rsid w:val="5AF63C2C"/>
    <w:rsid w:val="5B1530F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437B1"/>
    <w:rsid w:val="60673F83"/>
    <w:rsid w:val="60A76AF7"/>
    <w:rsid w:val="60B10AFA"/>
    <w:rsid w:val="60FD670A"/>
    <w:rsid w:val="61265BEC"/>
    <w:rsid w:val="61483335"/>
    <w:rsid w:val="61CE3B8D"/>
    <w:rsid w:val="61D75138"/>
    <w:rsid w:val="624C78D4"/>
    <w:rsid w:val="62785DEC"/>
    <w:rsid w:val="62CD2097"/>
    <w:rsid w:val="62E3123D"/>
    <w:rsid w:val="64570A13"/>
    <w:rsid w:val="64810435"/>
    <w:rsid w:val="64FE29DC"/>
    <w:rsid w:val="65021D19"/>
    <w:rsid w:val="655D5954"/>
    <w:rsid w:val="65E55147"/>
    <w:rsid w:val="66372649"/>
    <w:rsid w:val="666D52C9"/>
    <w:rsid w:val="67222BCE"/>
    <w:rsid w:val="682B7F8C"/>
    <w:rsid w:val="68404A74"/>
    <w:rsid w:val="685A261F"/>
    <w:rsid w:val="68AF64C7"/>
    <w:rsid w:val="68B0082B"/>
    <w:rsid w:val="68C72CFE"/>
    <w:rsid w:val="68F840FA"/>
    <w:rsid w:val="696C2F61"/>
    <w:rsid w:val="6A2124C5"/>
    <w:rsid w:val="6AE54422"/>
    <w:rsid w:val="6BA92830"/>
    <w:rsid w:val="6BD154E6"/>
    <w:rsid w:val="6BED2021"/>
    <w:rsid w:val="6C0E5BFA"/>
    <w:rsid w:val="6CDA3D2E"/>
    <w:rsid w:val="6D257FA0"/>
    <w:rsid w:val="6D400F45"/>
    <w:rsid w:val="6DC42A14"/>
    <w:rsid w:val="6DCE3893"/>
    <w:rsid w:val="6DD55F01"/>
    <w:rsid w:val="6F245233"/>
    <w:rsid w:val="6F854425"/>
    <w:rsid w:val="6F8D6E36"/>
    <w:rsid w:val="6FA14932"/>
    <w:rsid w:val="6FC974CE"/>
    <w:rsid w:val="6FE401BA"/>
    <w:rsid w:val="6FF10FE9"/>
    <w:rsid w:val="701778DC"/>
    <w:rsid w:val="70661C93"/>
    <w:rsid w:val="70A87041"/>
    <w:rsid w:val="70AE3508"/>
    <w:rsid w:val="71353C29"/>
    <w:rsid w:val="716A7BA2"/>
    <w:rsid w:val="7189187F"/>
    <w:rsid w:val="71C172BE"/>
    <w:rsid w:val="71E075D7"/>
    <w:rsid w:val="71FA1A60"/>
    <w:rsid w:val="726B5B54"/>
    <w:rsid w:val="729F75AC"/>
    <w:rsid w:val="72DF7FC7"/>
    <w:rsid w:val="73133AF6"/>
    <w:rsid w:val="731F06ED"/>
    <w:rsid w:val="733C4DFB"/>
    <w:rsid w:val="73566279"/>
    <w:rsid w:val="73B66440"/>
    <w:rsid w:val="742A559B"/>
    <w:rsid w:val="746A1C1D"/>
    <w:rsid w:val="746C1710"/>
    <w:rsid w:val="74817FA7"/>
    <w:rsid w:val="74C829A2"/>
    <w:rsid w:val="75FB0F9D"/>
    <w:rsid w:val="76366479"/>
    <w:rsid w:val="76742AFE"/>
    <w:rsid w:val="76841AFC"/>
    <w:rsid w:val="76870A83"/>
    <w:rsid w:val="76A038F3"/>
    <w:rsid w:val="76B455F0"/>
    <w:rsid w:val="770B16B4"/>
    <w:rsid w:val="7715608F"/>
    <w:rsid w:val="786A065C"/>
    <w:rsid w:val="788A29CD"/>
    <w:rsid w:val="788E2CEB"/>
    <w:rsid w:val="78E35D19"/>
    <w:rsid w:val="790A599B"/>
    <w:rsid w:val="791800B8"/>
    <w:rsid w:val="79256331"/>
    <w:rsid w:val="792A55F5"/>
    <w:rsid w:val="793D367B"/>
    <w:rsid w:val="794C1B10"/>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F2480A"/>
    <w:rsid w:val="7E400DFB"/>
    <w:rsid w:val="7E437985"/>
    <w:rsid w:val="7E691D39"/>
    <w:rsid w:val="7E8F6E89"/>
    <w:rsid w:val="7EC62364"/>
    <w:rsid w:val="7EDE145C"/>
    <w:rsid w:val="7EEF1432"/>
    <w:rsid w:val="7F303C81"/>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4"/>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5"/>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11">
    <w:name w:val="Body Text"/>
    <w:basedOn w:val="1"/>
    <w:next w:val="1"/>
    <w:autoRedefine/>
    <w:semiHidden/>
    <w:unhideWhenUsed/>
    <w:qFormat/>
    <w:uiPriority w:val="99"/>
    <w:pPr>
      <w:spacing w:after="120"/>
    </w:pPr>
  </w:style>
  <w:style w:type="paragraph" w:styleId="12">
    <w:name w:val="Plain Text"/>
    <w:basedOn w:val="1"/>
    <w:autoRedefine/>
    <w:qFormat/>
    <w:uiPriority w:val="0"/>
    <w:rPr>
      <w:rFonts w:ascii="宋体" w:hAnsi="Courier New" w:cs="Courier New"/>
      <w:szCs w:val="21"/>
    </w:rPr>
  </w:style>
  <w:style w:type="paragraph" w:styleId="13">
    <w:name w:val="footer"/>
    <w:basedOn w:val="1"/>
    <w:link w:val="42"/>
    <w:autoRedefine/>
    <w:unhideWhenUsed/>
    <w:qFormat/>
    <w:uiPriority w:val="99"/>
    <w:pPr>
      <w:tabs>
        <w:tab w:val="center" w:pos="4153"/>
        <w:tab w:val="right" w:pos="8306"/>
      </w:tabs>
      <w:snapToGrid w:val="0"/>
      <w:jc w:val="left"/>
    </w:pPr>
    <w:rPr>
      <w:sz w:val="18"/>
      <w:szCs w:val="18"/>
    </w:rPr>
  </w:style>
  <w:style w:type="paragraph" w:styleId="14">
    <w:name w:val="header"/>
    <w:basedOn w:val="1"/>
    <w:link w:val="41"/>
    <w:unhideWhenUsed/>
    <w:qFormat/>
    <w:uiPriority w:val="99"/>
    <w:pPr>
      <w:tabs>
        <w:tab w:val="center" w:pos="4153"/>
        <w:tab w:val="right" w:pos="8306"/>
      </w:tabs>
      <w:snapToGrid w:val="0"/>
      <w:jc w:val="center"/>
    </w:pPr>
    <w:rPr>
      <w:sz w:val="18"/>
      <w:szCs w:val="18"/>
    </w:rPr>
  </w:style>
  <w:style w:type="paragraph" w:styleId="15">
    <w:name w:val="toc 1"/>
    <w:basedOn w:val="1"/>
    <w:next w:val="1"/>
    <w:semiHidden/>
    <w:qFormat/>
    <w:uiPriority w:val="0"/>
    <w:rPr>
      <w:rFonts w:ascii="Calibri" w:hAnsi="Calibri"/>
    </w:rPr>
  </w:style>
  <w:style w:type="paragraph" w:styleId="16">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Body Text 2"/>
    <w:basedOn w:val="1"/>
    <w:autoRedefine/>
    <w:qFormat/>
    <w:uiPriority w:val="0"/>
    <w:pPr>
      <w:widowControl w:val="0"/>
      <w:kinsoku/>
      <w:autoSpaceDE/>
      <w:autoSpaceDN/>
      <w:spacing w:line="600" w:lineRule="exact"/>
      <w:ind w:left="1280" w:hanging="1280" w:hangingChars="400"/>
      <w:textAlignment w:val="auto"/>
    </w:pPr>
  </w:style>
  <w:style w:type="paragraph" w:styleId="18">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2"/>
    <w:autoRedefine/>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1">
    <w:name w:val="Table Grid"/>
    <w:basedOn w:val="2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标题 1 字符"/>
    <w:basedOn w:val="22"/>
    <w:link w:val="2"/>
    <w:autoRedefine/>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2"/>
    <w:link w:val="3"/>
    <w:autoRedefine/>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2"/>
    <w:link w:val="4"/>
    <w:autoRedefine/>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2"/>
    <w:link w:val="5"/>
    <w:autoRedefine/>
    <w:semiHidden/>
    <w:qFormat/>
    <w:uiPriority w:val="9"/>
    <w:rPr>
      <w:rFonts w:cstheme="majorBidi"/>
      <w:color w:val="104862" w:themeColor="accent1" w:themeShade="BF"/>
      <w:sz w:val="28"/>
      <w:szCs w:val="28"/>
    </w:rPr>
  </w:style>
  <w:style w:type="character" w:customStyle="1" w:styleId="27">
    <w:name w:val="标题 5 字符"/>
    <w:basedOn w:val="22"/>
    <w:link w:val="6"/>
    <w:autoRedefine/>
    <w:semiHidden/>
    <w:qFormat/>
    <w:uiPriority w:val="9"/>
    <w:rPr>
      <w:rFonts w:cstheme="majorBidi"/>
      <w:color w:val="104862" w:themeColor="accent1" w:themeShade="BF"/>
      <w:sz w:val="24"/>
      <w:szCs w:val="24"/>
    </w:rPr>
  </w:style>
  <w:style w:type="character" w:customStyle="1" w:styleId="28">
    <w:name w:val="标题 6 字符"/>
    <w:basedOn w:val="22"/>
    <w:link w:val="7"/>
    <w:autoRedefine/>
    <w:semiHidden/>
    <w:qFormat/>
    <w:uiPriority w:val="9"/>
    <w:rPr>
      <w:rFonts w:cstheme="majorBidi"/>
      <w:b/>
      <w:bCs/>
      <w:color w:val="104862" w:themeColor="accent1" w:themeShade="BF"/>
    </w:rPr>
  </w:style>
  <w:style w:type="character" w:customStyle="1" w:styleId="29">
    <w:name w:val="标题 7 字符"/>
    <w:basedOn w:val="22"/>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2"/>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2"/>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2"/>
    <w:link w:val="19"/>
    <w:autoRedefine/>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2"/>
    <w:link w:val="16"/>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autoRedefine/>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2"/>
    <w:link w:val="34"/>
    <w:autoRedefine/>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autoRedefine/>
    <w:qFormat/>
    <w:uiPriority w:val="34"/>
    <w:pPr>
      <w:ind w:left="720"/>
      <w:contextualSpacing/>
    </w:pPr>
  </w:style>
  <w:style w:type="character" w:customStyle="1" w:styleId="37">
    <w:name w:val="Intense Emphasis"/>
    <w:basedOn w:val="22"/>
    <w:autoRedefine/>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22"/>
    <w:link w:val="38"/>
    <w:autoRedefine/>
    <w:qFormat/>
    <w:uiPriority w:val="30"/>
    <w:rPr>
      <w:i/>
      <w:iCs/>
      <w:color w:val="104862" w:themeColor="accent1" w:themeShade="BF"/>
    </w:rPr>
  </w:style>
  <w:style w:type="character" w:customStyle="1" w:styleId="40">
    <w:name w:val="Intense Reference"/>
    <w:basedOn w:val="22"/>
    <w:autoRedefine/>
    <w:qFormat/>
    <w:uiPriority w:val="32"/>
    <w:rPr>
      <w:b/>
      <w:bCs/>
      <w:smallCaps/>
      <w:color w:val="104862" w:themeColor="accent1" w:themeShade="BF"/>
      <w:spacing w:val="5"/>
    </w:rPr>
  </w:style>
  <w:style w:type="character" w:customStyle="1" w:styleId="41">
    <w:name w:val="页眉 字符"/>
    <w:basedOn w:val="22"/>
    <w:link w:val="14"/>
    <w:autoRedefine/>
    <w:qFormat/>
    <w:uiPriority w:val="99"/>
    <w:rPr>
      <w:sz w:val="18"/>
      <w:szCs w:val="18"/>
    </w:rPr>
  </w:style>
  <w:style w:type="character" w:customStyle="1" w:styleId="42">
    <w:name w:val="页脚 字符"/>
    <w:basedOn w:val="22"/>
    <w:link w:val="13"/>
    <w:qFormat/>
    <w:uiPriority w:val="99"/>
    <w:rPr>
      <w:sz w:val="18"/>
      <w:szCs w:val="18"/>
    </w:rPr>
  </w:style>
  <w:style w:type="paragraph" w:customStyle="1" w:styleId="43">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44">
    <w:name w:val="font11"/>
    <w:basedOn w:val="22"/>
    <w:autoRedefine/>
    <w:qFormat/>
    <w:uiPriority w:val="0"/>
    <w:rPr>
      <w:rFonts w:hint="eastAsia" w:ascii="仿宋_GB2312" w:eastAsia="仿宋_GB2312" w:cs="仿宋_GB2312"/>
      <w:color w:val="000000"/>
      <w:sz w:val="22"/>
      <w:szCs w:val="22"/>
      <w:u w:val="none"/>
    </w:rPr>
  </w:style>
  <w:style w:type="paragraph" w:customStyle="1" w:styleId="45">
    <w:name w:val="Table Text"/>
    <w:basedOn w:val="1"/>
    <w:autoRedefine/>
    <w:semiHidden/>
    <w:qFormat/>
    <w:uiPriority w:val="0"/>
    <w:rPr>
      <w:rFonts w:ascii="宋体" w:hAnsi="宋体" w:eastAsia="宋体" w:cs="宋体"/>
      <w:sz w:val="24"/>
      <w:szCs w:val="24"/>
      <w:lang w:val="en-US" w:eastAsia="en-US" w:bidi="ar-SA"/>
    </w:rPr>
  </w:style>
  <w:style w:type="table" w:customStyle="1" w:styleId="46">
    <w:name w:val="Table Normal"/>
    <w:autoRedefine/>
    <w:unhideWhenUsed/>
    <w:qFormat/>
    <w:uiPriority w:val="0"/>
    <w:tblPr>
      <w:tblCellMar>
        <w:top w:w="0" w:type="dxa"/>
        <w:left w:w="0" w:type="dxa"/>
        <w:bottom w:w="0" w:type="dxa"/>
        <w:right w:w="0" w:type="dxa"/>
      </w:tblCellMar>
    </w:tblPr>
  </w:style>
  <w:style w:type="paragraph" w:customStyle="1" w:styleId="47">
    <w:name w:val="普通(网站)1"/>
    <w:basedOn w:val="1"/>
    <w:autoRedefine/>
    <w:qFormat/>
    <w:uiPriority w:val="0"/>
    <w:pPr>
      <w:widowControl/>
      <w:spacing w:beforeAutospacing="1"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1611</Words>
  <Characters>1714</Characters>
  <Lines>25</Lines>
  <Paragraphs>7</Paragraphs>
  <TotalTime>0</TotalTime>
  <ScaleCrop>false</ScaleCrop>
  <LinksUpToDate>false</LinksUpToDate>
  <CharactersWithSpaces>1744</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2024-01-21T12:35:00Z</dcterms:created>
  <dc:creator>a15280976656@outlook.com</dc:creator>
  <cp:lastModifiedBy>粘豆包和绿豆糕</cp:lastModifiedBy>
  <cp:lastPrinted>2024-06-05T05:51:00Z</cp:lastPrinted>
  <dcterms:modified xsi:type="dcterms:W3CDTF">2024-08-30T02:56:02Z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43DA0384AF2B45E3A65F74F3244E382D_13</vt:lpwstr>
  </property>
</Properties>
</file>