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9D2D0">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14:paraId="2A98C1C3">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14:paraId="5A37E9FF">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default"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lang w:val="en-US" w:eastAsia="zh-CN"/>
        </w:rPr>
        <w:t>部门</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九洲集团工会办公室</w:t>
      </w:r>
    </w:p>
    <w:p w14:paraId="5B4AC8E5">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w:t>
      </w:r>
      <w:r>
        <w:rPr>
          <w:rFonts w:hint="eastAsia" w:ascii="仿宋_GB2312" w:hAnsi="仿宋_GB2312" w:eastAsia="仿宋_GB2312" w:cs="仿宋_GB2312"/>
          <w:b w:val="0"/>
          <w:bCs/>
          <w:sz w:val="32"/>
          <w:szCs w:val="32"/>
          <w:highlight w:val="none"/>
          <w:u w:val="none"/>
          <w:lang w:val="en-US" w:eastAsia="zh-CN"/>
        </w:rPr>
        <w:t>游鲁</w:t>
      </w:r>
    </w:p>
    <w:p w14:paraId="3916AD80">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14:paraId="103B79C1">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任职单位及职务：九洲集团党委副书记、工会主席</w:t>
      </w:r>
    </w:p>
    <w:p w14:paraId="45094464">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14:paraId="1349812C">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文波</w:t>
      </w:r>
    </w:p>
    <w:p w14:paraId="6EE90981">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身份证号码：510781198606263407</w:t>
      </w:r>
    </w:p>
    <w:p w14:paraId="33755CD2">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14:paraId="41B51D4E">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14:paraId="06384F0A">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14:paraId="26A366D2">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14:paraId="74C9B309">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14:paraId="20BC44CD">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14:paraId="0E826648">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14:paraId="604B6994">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组织绩效指标主要包括所在公司营业收入、利润总额等指标，指标得分</w:t>
      </w:r>
      <w:r>
        <w:rPr>
          <w:rFonts w:hint="eastAsia" w:ascii="仿宋_GB2312" w:eastAsia="仿宋_GB2312"/>
          <w:b w:val="0"/>
          <w:bCs/>
          <w:sz w:val="32"/>
          <w:szCs w:val="32"/>
          <w:highlight w:val="none"/>
          <w:lang w:val="en-US" w:eastAsia="zh-CN"/>
        </w:rPr>
        <w:t>为部门年度组织绩效得分</w:t>
      </w:r>
      <w:r>
        <w:rPr>
          <w:rFonts w:hint="eastAsia" w:ascii="仿宋_GB2312" w:eastAsia="仿宋_GB2312"/>
          <w:b w:val="0"/>
          <w:bCs/>
          <w:sz w:val="32"/>
          <w:szCs w:val="32"/>
          <w:highlight w:val="none"/>
        </w:rPr>
        <w:t>。</w:t>
      </w:r>
    </w:p>
    <w:p w14:paraId="687B7450">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14:paraId="4AF12F2B">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任务绩效指标为部门年度重点工作计划。每项得分不超过120分。</w:t>
      </w:r>
    </w:p>
    <w:tbl>
      <w:tblPr>
        <w:tblStyle w:val="46"/>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2"/>
        <w:gridCol w:w="1317"/>
        <w:gridCol w:w="5865"/>
        <w:gridCol w:w="1140"/>
      </w:tblGrid>
      <w:tr w14:paraId="5D3E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7" w:type="pct"/>
            <w:noWrap w:val="0"/>
            <w:vAlign w:val="center"/>
          </w:tcPr>
          <w:p w14:paraId="4C385899">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9" w:type="pct"/>
            <w:noWrap w:val="0"/>
            <w:vAlign w:val="center"/>
          </w:tcPr>
          <w:p w14:paraId="133FE03A">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2" w:type="pct"/>
            <w:noWrap w:val="0"/>
            <w:vAlign w:val="center"/>
          </w:tcPr>
          <w:p w14:paraId="08F844D7">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14:paraId="1F737A9E">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14:paraId="4DB6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trPr>
        <w:tc>
          <w:tcPr>
            <w:tcW w:w="327" w:type="pct"/>
            <w:noWrap w:val="0"/>
            <w:vAlign w:val="center"/>
          </w:tcPr>
          <w:p w14:paraId="2C75B6EF">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rPr>
            </w:pPr>
            <w:r>
              <w:rPr>
                <w:rFonts w:hint="eastAsia" w:ascii="仿宋_GB2312" w:hAnsi="仿宋_GB2312" w:eastAsia="仿宋_GB2312" w:cs="仿宋_GB2312"/>
                <w:b w:val="0"/>
                <w:bCs w:val="0"/>
                <w:spacing w:val="3"/>
                <w:sz w:val="24"/>
                <w:szCs w:val="24"/>
                <w:highlight w:val="none"/>
              </w:rPr>
              <w:t>1</w:t>
            </w:r>
          </w:p>
        </w:tc>
        <w:tc>
          <w:tcPr>
            <w:tcW w:w="739" w:type="pct"/>
            <w:noWrap w:val="0"/>
            <w:vAlign w:val="center"/>
          </w:tcPr>
          <w:p w14:paraId="451D42B9">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制度建设</w:t>
            </w:r>
          </w:p>
        </w:tc>
        <w:tc>
          <w:tcPr>
            <w:tcW w:w="3292" w:type="pct"/>
            <w:noWrap w:val="0"/>
            <w:vAlign w:val="center"/>
          </w:tcPr>
          <w:p w14:paraId="080FB15F">
            <w:pPr>
              <w:pStyle w:val="45"/>
              <w:keepNext w:val="0"/>
              <w:keepLines w:val="0"/>
              <w:pageBreakBefore w:val="0"/>
              <w:widowControl w:val="0"/>
              <w:kinsoku/>
              <w:wordWrap/>
              <w:overflowPunct/>
              <w:topLinePunct w:val="0"/>
              <w:autoSpaceDE/>
              <w:autoSpaceDN/>
              <w:bidi w:val="0"/>
              <w:adjustRightInd/>
              <w:snapToGrid/>
              <w:spacing w:line="320" w:lineRule="exact"/>
              <w:ind w:left="0"/>
              <w:jc w:val="both"/>
              <w:textAlignment w:val="auto"/>
              <w:rPr>
                <w:rFonts w:hint="eastAsia" w:ascii="仿宋_GB2312" w:hAnsi="仿宋_GB2312" w:eastAsia="仿宋_GB2312" w:cs="仿宋_GB2312"/>
                <w:b w:val="0"/>
                <w:bCs w:val="0"/>
                <w:spacing w:val="3"/>
                <w:sz w:val="24"/>
                <w:szCs w:val="24"/>
                <w:highlight w:val="none"/>
                <w:lang w:eastAsia="zh-CN"/>
              </w:rPr>
            </w:pPr>
            <w:r>
              <w:rPr>
                <w:rFonts w:hint="eastAsia" w:ascii="仿宋_GB2312" w:hAnsi="仿宋_GB2312" w:eastAsia="仿宋_GB2312" w:cs="仿宋_GB2312"/>
                <w:b w:val="0"/>
                <w:bCs w:val="0"/>
                <w:spacing w:val="3"/>
                <w:sz w:val="24"/>
                <w:szCs w:val="24"/>
                <w:highlight w:val="none"/>
                <w:lang w:eastAsia="zh-CN"/>
              </w:rPr>
              <w:t>制订《九洲集团微创新管理办法》，修订《困难职工“帮扶基金”管理办法》等制度。</w:t>
            </w:r>
          </w:p>
        </w:tc>
        <w:tc>
          <w:tcPr>
            <w:tcW w:w="640" w:type="pct"/>
            <w:noWrap w:val="0"/>
            <w:vAlign w:val="center"/>
          </w:tcPr>
          <w:p w14:paraId="257C99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b w:val="0"/>
                <w:bCs w:val="0"/>
                <w:spacing w:val="3"/>
                <w:kern w:val="2"/>
                <w:sz w:val="24"/>
                <w:szCs w:val="24"/>
                <w:highlight w:val="none"/>
                <w:lang w:val="en-US" w:eastAsia="zh-CN" w:bidi="ar-SA"/>
              </w:rPr>
            </w:pPr>
            <w:r>
              <w:rPr>
                <w:rFonts w:hint="eastAsia" w:ascii="仿宋_GB2312" w:hAnsi="仿宋_GB2312" w:eastAsia="仿宋_GB2312" w:cs="仿宋_GB2312"/>
                <w:b w:val="0"/>
                <w:bCs w:val="0"/>
                <w:spacing w:val="3"/>
                <w:kern w:val="2"/>
                <w:sz w:val="24"/>
                <w:szCs w:val="24"/>
                <w:highlight w:val="none"/>
                <w:lang w:val="en-US" w:eastAsia="zh-CN" w:bidi="ar-SA"/>
              </w:rPr>
              <w:t>20%</w:t>
            </w:r>
          </w:p>
        </w:tc>
      </w:tr>
      <w:tr w14:paraId="4836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trPr>
        <w:tc>
          <w:tcPr>
            <w:tcW w:w="327" w:type="pct"/>
            <w:noWrap w:val="0"/>
            <w:vAlign w:val="center"/>
          </w:tcPr>
          <w:p w14:paraId="341031AD">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rPr>
            </w:pPr>
            <w:r>
              <w:rPr>
                <w:rFonts w:hint="eastAsia" w:ascii="仿宋_GB2312" w:hAnsi="仿宋_GB2312" w:eastAsia="仿宋_GB2312" w:cs="仿宋_GB2312"/>
                <w:b w:val="0"/>
                <w:bCs w:val="0"/>
                <w:spacing w:val="3"/>
                <w:sz w:val="24"/>
                <w:szCs w:val="24"/>
                <w:highlight w:val="none"/>
              </w:rPr>
              <w:t>2</w:t>
            </w:r>
          </w:p>
        </w:tc>
        <w:tc>
          <w:tcPr>
            <w:tcW w:w="739" w:type="pct"/>
            <w:noWrap w:val="0"/>
            <w:vAlign w:val="center"/>
          </w:tcPr>
          <w:p w14:paraId="25AC9A91">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民主管理</w:t>
            </w:r>
          </w:p>
        </w:tc>
        <w:tc>
          <w:tcPr>
            <w:tcW w:w="3292" w:type="pct"/>
            <w:noWrap w:val="0"/>
            <w:vAlign w:val="center"/>
          </w:tcPr>
          <w:p w14:paraId="303DA54D">
            <w:pPr>
              <w:pStyle w:val="45"/>
              <w:keepNext w:val="0"/>
              <w:keepLines w:val="0"/>
              <w:pageBreakBefore w:val="0"/>
              <w:widowControl w:val="0"/>
              <w:kinsoku/>
              <w:wordWrap/>
              <w:overflowPunct/>
              <w:topLinePunct w:val="0"/>
              <w:autoSpaceDE/>
              <w:autoSpaceDN/>
              <w:bidi w:val="0"/>
              <w:adjustRightInd/>
              <w:snapToGrid/>
              <w:spacing w:line="320" w:lineRule="exact"/>
              <w:ind w:left="0"/>
              <w:jc w:val="both"/>
              <w:textAlignment w:val="auto"/>
              <w:rPr>
                <w:rFonts w:hint="eastAsia" w:ascii="仿宋_GB2312" w:hAnsi="仿宋_GB2312" w:eastAsia="仿宋_GB2312" w:cs="仿宋_GB2312"/>
                <w:b w:val="0"/>
                <w:bCs w:val="0"/>
                <w:spacing w:val="3"/>
                <w:sz w:val="24"/>
                <w:szCs w:val="24"/>
                <w:highlight w:val="none"/>
                <w:lang w:eastAsia="zh-CN"/>
              </w:rPr>
            </w:pPr>
            <w:r>
              <w:rPr>
                <w:rFonts w:hint="eastAsia" w:ascii="仿宋_GB2312" w:hAnsi="仿宋_GB2312" w:eastAsia="仿宋_GB2312" w:cs="仿宋_GB2312"/>
                <w:b w:val="0"/>
                <w:bCs w:val="0"/>
                <w:spacing w:val="3"/>
                <w:sz w:val="24"/>
                <w:szCs w:val="24"/>
                <w:highlight w:val="none"/>
                <w:lang w:eastAsia="zh-CN"/>
              </w:rPr>
              <w:t>试点推行多级职代会，指导九洲电器、九州科技、</w:t>
            </w:r>
            <w:r>
              <w:rPr>
                <w:rFonts w:hint="eastAsia" w:ascii="仿宋_GB2312" w:hAnsi="仿宋_GB2312" w:eastAsia="仿宋_GB2312" w:cs="仿宋_GB2312"/>
                <w:b w:val="0"/>
                <w:bCs w:val="0"/>
                <w:spacing w:val="3"/>
                <w:sz w:val="24"/>
                <w:szCs w:val="24"/>
                <w:highlight w:val="none"/>
                <w:lang w:eastAsia="zh-CN"/>
              </w:rPr>
              <w:t>九洲空管</w:t>
            </w:r>
            <w:r>
              <w:rPr>
                <w:rFonts w:hint="eastAsia" w:ascii="仿宋_GB2312" w:hAnsi="仿宋_GB2312" w:eastAsia="仿宋_GB2312" w:cs="仿宋_GB2312"/>
                <w:b w:val="0"/>
                <w:bCs w:val="0"/>
                <w:spacing w:val="3"/>
                <w:sz w:val="24"/>
                <w:szCs w:val="24"/>
                <w:highlight w:val="none"/>
                <w:lang w:eastAsia="zh-CN"/>
              </w:rPr>
              <w:t>成立工会委员会，根据实际情况适时调整相关单位分工会组织架构;适时召开职工代表大会；完成《集体合同》《女职工特殊权益保护专项集体合同》《工资集体协商协议》《安全生产专项合同》的检查及续签。</w:t>
            </w:r>
          </w:p>
        </w:tc>
        <w:tc>
          <w:tcPr>
            <w:tcW w:w="640" w:type="pct"/>
            <w:noWrap w:val="0"/>
            <w:vAlign w:val="center"/>
          </w:tcPr>
          <w:p w14:paraId="2B8E40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b w:val="0"/>
                <w:bCs w:val="0"/>
                <w:spacing w:val="3"/>
                <w:kern w:val="2"/>
                <w:sz w:val="24"/>
                <w:szCs w:val="24"/>
                <w:highlight w:val="none"/>
                <w:lang w:val="en-US" w:eastAsia="zh-CN" w:bidi="ar-SA"/>
              </w:rPr>
            </w:pPr>
            <w:r>
              <w:rPr>
                <w:rFonts w:hint="eastAsia" w:ascii="仿宋_GB2312" w:hAnsi="仿宋_GB2312" w:eastAsia="仿宋_GB2312" w:cs="仿宋_GB2312"/>
                <w:b w:val="0"/>
                <w:bCs w:val="0"/>
                <w:spacing w:val="3"/>
                <w:kern w:val="2"/>
                <w:sz w:val="24"/>
                <w:szCs w:val="24"/>
                <w:highlight w:val="none"/>
                <w:lang w:val="en-US" w:eastAsia="zh-CN" w:bidi="ar-SA"/>
              </w:rPr>
              <w:t>20%</w:t>
            </w:r>
          </w:p>
        </w:tc>
      </w:tr>
      <w:tr w14:paraId="387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7" w:type="pct"/>
            <w:noWrap w:val="0"/>
            <w:vAlign w:val="center"/>
          </w:tcPr>
          <w:p w14:paraId="5B75F8B8">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3</w:t>
            </w:r>
          </w:p>
        </w:tc>
        <w:tc>
          <w:tcPr>
            <w:tcW w:w="739" w:type="pct"/>
            <w:noWrap w:val="0"/>
            <w:vAlign w:val="center"/>
          </w:tcPr>
          <w:p w14:paraId="3C9FB9B0">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产业工人</w:t>
            </w:r>
          </w:p>
          <w:p w14:paraId="3EF0446E">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队伍建设</w:t>
            </w:r>
          </w:p>
        </w:tc>
        <w:tc>
          <w:tcPr>
            <w:tcW w:w="3292" w:type="pct"/>
            <w:noWrap w:val="0"/>
            <w:vAlign w:val="center"/>
          </w:tcPr>
          <w:p w14:paraId="3C6A1144">
            <w:pPr>
              <w:pStyle w:val="45"/>
              <w:keepNext w:val="0"/>
              <w:keepLines w:val="0"/>
              <w:pageBreakBefore w:val="0"/>
              <w:widowControl w:val="0"/>
              <w:kinsoku/>
              <w:wordWrap/>
              <w:overflowPunct/>
              <w:topLinePunct w:val="0"/>
              <w:autoSpaceDE/>
              <w:autoSpaceDN/>
              <w:bidi w:val="0"/>
              <w:adjustRightInd/>
              <w:snapToGrid/>
              <w:spacing w:line="320" w:lineRule="exact"/>
              <w:ind w:left="0"/>
              <w:jc w:val="both"/>
              <w:textAlignment w:val="auto"/>
              <w:rPr>
                <w:rFonts w:hint="eastAsia" w:ascii="仿宋_GB2312" w:hAnsi="仿宋_GB2312" w:eastAsia="仿宋_GB2312" w:cs="仿宋_GB2312"/>
                <w:b w:val="0"/>
                <w:bCs w:val="0"/>
                <w:spacing w:val="3"/>
                <w:sz w:val="24"/>
                <w:szCs w:val="24"/>
                <w:highlight w:val="none"/>
              </w:rPr>
            </w:pPr>
            <w:r>
              <w:rPr>
                <w:rFonts w:hint="eastAsia" w:ascii="仿宋_GB2312" w:hAnsi="仿宋_GB2312" w:eastAsia="仿宋_GB2312" w:cs="仿宋_GB2312"/>
                <w:b w:val="0"/>
                <w:bCs w:val="0"/>
                <w:spacing w:val="3"/>
                <w:sz w:val="24"/>
                <w:szCs w:val="24"/>
                <w:highlight w:val="none"/>
              </w:rPr>
              <w:t>组织开展微创新、劳动竞赛、职工技能大赛等群众性生产活动；做好劳模申报工作及劳模和工匠人才创新工作室申报、管理工作；做好工会系统先进评选表彰。</w:t>
            </w:r>
          </w:p>
        </w:tc>
        <w:tc>
          <w:tcPr>
            <w:tcW w:w="640" w:type="pct"/>
            <w:noWrap w:val="0"/>
            <w:vAlign w:val="center"/>
          </w:tcPr>
          <w:p w14:paraId="08C3FD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val="0"/>
                <w:bCs w:val="0"/>
                <w:spacing w:val="3"/>
                <w:kern w:val="2"/>
                <w:sz w:val="24"/>
                <w:szCs w:val="24"/>
                <w:highlight w:val="none"/>
                <w:lang w:val="en-US" w:eastAsia="zh-CN" w:bidi="ar-SA"/>
              </w:rPr>
            </w:pPr>
            <w:r>
              <w:rPr>
                <w:rFonts w:hint="eastAsia" w:ascii="仿宋_GB2312" w:hAnsi="仿宋_GB2312" w:eastAsia="仿宋_GB2312" w:cs="仿宋_GB2312"/>
                <w:b w:val="0"/>
                <w:bCs w:val="0"/>
                <w:spacing w:val="3"/>
                <w:kern w:val="2"/>
                <w:sz w:val="24"/>
                <w:szCs w:val="24"/>
                <w:highlight w:val="none"/>
                <w:lang w:val="en-US" w:eastAsia="zh-CN" w:bidi="ar-SA"/>
              </w:rPr>
              <w:t>20%</w:t>
            </w:r>
          </w:p>
        </w:tc>
      </w:tr>
      <w:tr w14:paraId="5B50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7" w:type="pct"/>
            <w:noWrap w:val="0"/>
            <w:vAlign w:val="center"/>
          </w:tcPr>
          <w:p w14:paraId="14E29E1D">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4</w:t>
            </w:r>
          </w:p>
        </w:tc>
        <w:tc>
          <w:tcPr>
            <w:tcW w:w="739" w:type="pct"/>
            <w:noWrap w:val="0"/>
            <w:vAlign w:val="center"/>
          </w:tcPr>
          <w:p w14:paraId="5FA46B85">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职工权益</w:t>
            </w:r>
          </w:p>
          <w:p w14:paraId="10CB2853">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default"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保障</w:t>
            </w:r>
          </w:p>
        </w:tc>
        <w:tc>
          <w:tcPr>
            <w:tcW w:w="3292" w:type="pct"/>
            <w:noWrap w:val="0"/>
            <w:vAlign w:val="center"/>
          </w:tcPr>
          <w:p w14:paraId="69C54259">
            <w:pPr>
              <w:pStyle w:val="45"/>
              <w:keepNext w:val="0"/>
              <w:keepLines w:val="0"/>
              <w:pageBreakBefore w:val="0"/>
              <w:widowControl w:val="0"/>
              <w:kinsoku/>
              <w:wordWrap/>
              <w:overflowPunct/>
              <w:topLinePunct w:val="0"/>
              <w:autoSpaceDE/>
              <w:autoSpaceDN/>
              <w:bidi w:val="0"/>
              <w:adjustRightInd/>
              <w:snapToGrid/>
              <w:spacing w:line="320" w:lineRule="exact"/>
              <w:ind w:left="0"/>
              <w:jc w:val="both"/>
              <w:textAlignment w:val="auto"/>
              <w:rPr>
                <w:rFonts w:hint="eastAsia" w:ascii="仿宋_GB2312" w:hAnsi="仿宋_GB2312" w:eastAsia="仿宋_GB2312" w:cs="仿宋_GB2312"/>
                <w:b w:val="0"/>
                <w:bCs w:val="0"/>
                <w:spacing w:val="3"/>
                <w:sz w:val="24"/>
                <w:szCs w:val="24"/>
                <w:highlight w:val="none"/>
              </w:rPr>
            </w:pPr>
            <w:r>
              <w:rPr>
                <w:rFonts w:hint="eastAsia" w:ascii="仿宋_GB2312" w:hAnsi="仿宋_GB2312" w:eastAsia="仿宋_GB2312" w:cs="仿宋_GB2312"/>
                <w:b w:val="0"/>
                <w:bCs w:val="0"/>
                <w:spacing w:val="3"/>
                <w:sz w:val="24"/>
                <w:szCs w:val="24"/>
                <w:highlight w:val="none"/>
              </w:rPr>
              <w:t>组织完成全体职工健康体检及女职工专项体检；完成元旦、春节、国庆、中秋等节日福利品和职工生日蛋糕卡的采购、发放工作；开展职工“心灵驿站”流动课堂活动；组织开展2期单身职工联谊活动；持续做好职工亲子活动等工作；组织杰出、优秀员工及内退职工、有毒有害岗位职工疗养。</w:t>
            </w:r>
          </w:p>
        </w:tc>
        <w:tc>
          <w:tcPr>
            <w:tcW w:w="640" w:type="pct"/>
            <w:noWrap w:val="0"/>
            <w:vAlign w:val="center"/>
          </w:tcPr>
          <w:p w14:paraId="4FAF37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b w:val="0"/>
                <w:bCs w:val="0"/>
                <w:spacing w:val="3"/>
                <w:kern w:val="2"/>
                <w:sz w:val="24"/>
                <w:szCs w:val="24"/>
                <w:highlight w:val="none"/>
                <w:lang w:val="en-US" w:eastAsia="zh-CN" w:bidi="ar-SA"/>
              </w:rPr>
            </w:pPr>
            <w:r>
              <w:rPr>
                <w:rFonts w:hint="eastAsia" w:ascii="仿宋_GB2312" w:hAnsi="仿宋_GB2312" w:eastAsia="仿宋_GB2312" w:cs="仿宋_GB2312"/>
                <w:b w:val="0"/>
                <w:bCs w:val="0"/>
                <w:spacing w:val="3"/>
                <w:kern w:val="2"/>
                <w:sz w:val="24"/>
                <w:szCs w:val="24"/>
                <w:highlight w:val="none"/>
                <w:lang w:val="en-US" w:eastAsia="zh-CN" w:bidi="ar-SA"/>
              </w:rPr>
              <w:t>20%</w:t>
            </w:r>
          </w:p>
        </w:tc>
      </w:tr>
      <w:tr w14:paraId="68F3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7" w:type="pct"/>
            <w:noWrap w:val="0"/>
            <w:vAlign w:val="center"/>
          </w:tcPr>
          <w:p w14:paraId="293E9259">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5</w:t>
            </w:r>
          </w:p>
        </w:tc>
        <w:tc>
          <w:tcPr>
            <w:tcW w:w="739" w:type="pct"/>
            <w:shd w:val="clear" w:color="auto" w:fill="auto"/>
            <w:noWrap w:val="0"/>
            <w:vAlign w:val="center"/>
          </w:tcPr>
          <w:p w14:paraId="2E1D3469">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lang w:val="en-US" w:eastAsia="zh-CN"/>
              </w:rPr>
              <w:t>乡村振兴、托底性帮扶相关工作</w:t>
            </w:r>
          </w:p>
        </w:tc>
        <w:tc>
          <w:tcPr>
            <w:tcW w:w="3292" w:type="pct"/>
            <w:shd w:val="clear" w:color="auto" w:fill="auto"/>
            <w:noWrap w:val="0"/>
            <w:vAlign w:val="center"/>
          </w:tcPr>
          <w:p w14:paraId="0535C704">
            <w:pPr>
              <w:pStyle w:val="45"/>
              <w:keepNext w:val="0"/>
              <w:keepLines w:val="0"/>
              <w:pageBreakBefore w:val="0"/>
              <w:widowControl w:val="0"/>
              <w:kinsoku/>
              <w:wordWrap/>
              <w:overflowPunct/>
              <w:topLinePunct w:val="0"/>
              <w:autoSpaceDE/>
              <w:autoSpaceDN/>
              <w:bidi w:val="0"/>
              <w:adjustRightInd/>
              <w:snapToGrid/>
              <w:spacing w:line="320" w:lineRule="exact"/>
              <w:ind w:left="0"/>
              <w:jc w:val="both"/>
              <w:textAlignment w:val="auto"/>
              <w:rPr>
                <w:rFonts w:hint="eastAsia" w:ascii="仿宋_GB2312" w:hAnsi="仿宋_GB2312" w:eastAsia="仿宋_GB2312" w:cs="仿宋_GB2312"/>
                <w:b w:val="0"/>
                <w:bCs w:val="0"/>
                <w:spacing w:val="3"/>
                <w:sz w:val="24"/>
                <w:szCs w:val="24"/>
                <w:highlight w:val="none"/>
                <w:lang w:val="en-US" w:eastAsia="zh-CN"/>
              </w:rPr>
            </w:pPr>
            <w:r>
              <w:rPr>
                <w:rFonts w:hint="eastAsia" w:ascii="仿宋_GB2312" w:hAnsi="仿宋_GB2312" w:eastAsia="仿宋_GB2312" w:cs="仿宋_GB2312"/>
                <w:b w:val="0"/>
                <w:bCs w:val="0"/>
                <w:spacing w:val="3"/>
                <w:sz w:val="24"/>
                <w:szCs w:val="24"/>
                <w:highlight w:val="none"/>
              </w:rPr>
              <w:t>根据上级要求，完成对三台、壤塘的</w:t>
            </w:r>
            <w:r>
              <w:rPr>
                <w:rFonts w:hint="eastAsia" w:ascii="仿宋_GB2312" w:hAnsi="仿宋_GB2312" w:eastAsia="仿宋_GB2312" w:cs="仿宋_GB2312"/>
                <w:b w:val="0"/>
                <w:bCs w:val="0"/>
                <w:spacing w:val="3"/>
                <w:sz w:val="24"/>
                <w:szCs w:val="24"/>
                <w:highlight w:val="none"/>
                <w:lang w:val="en-US" w:eastAsia="zh-CN"/>
              </w:rPr>
              <w:t>驻村人员派驻管理、消费帮扶</w:t>
            </w:r>
            <w:r>
              <w:rPr>
                <w:rFonts w:hint="eastAsia" w:ascii="仿宋_GB2312" w:hAnsi="仿宋_GB2312" w:eastAsia="仿宋_GB2312" w:cs="仿宋_GB2312"/>
                <w:b w:val="0"/>
                <w:bCs w:val="0"/>
                <w:spacing w:val="3"/>
                <w:sz w:val="24"/>
                <w:szCs w:val="24"/>
                <w:highlight w:val="none"/>
              </w:rPr>
              <w:t>等任务；完成盐源托底性帮扶</w:t>
            </w:r>
            <w:r>
              <w:rPr>
                <w:rFonts w:hint="eastAsia" w:ascii="仿宋_GB2312" w:hAnsi="仿宋_GB2312" w:eastAsia="仿宋_GB2312" w:cs="仿宋_GB2312"/>
                <w:b w:val="0"/>
                <w:bCs w:val="0"/>
                <w:spacing w:val="3"/>
                <w:sz w:val="24"/>
                <w:szCs w:val="24"/>
                <w:highlight w:val="none"/>
                <w:lang w:val="en-US" w:eastAsia="zh-CN"/>
              </w:rPr>
              <w:t>专班</w:t>
            </w:r>
            <w:r>
              <w:rPr>
                <w:rFonts w:hint="eastAsia" w:ascii="仿宋_GB2312" w:hAnsi="仿宋_GB2312" w:eastAsia="仿宋_GB2312" w:cs="仿宋_GB2312"/>
                <w:b w:val="0"/>
                <w:bCs w:val="0"/>
                <w:spacing w:val="3"/>
                <w:sz w:val="24"/>
                <w:szCs w:val="24"/>
                <w:highlight w:val="none"/>
              </w:rPr>
              <w:t>工作。</w:t>
            </w:r>
          </w:p>
        </w:tc>
        <w:tc>
          <w:tcPr>
            <w:tcW w:w="640" w:type="pct"/>
            <w:shd w:val="clear" w:color="auto" w:fill="auto"/>
            <w:noWrap w:val="0"/>
            <w:vAlign w:val="center"/>
          </w:tcPr>
          <w:p w14:paraId="35D3F926">
            <w:pPr>
              <w:pStyle w:val="45"/>
              <w:keepNext w:val="0"/>
              <w:keepLines w:val="0"/>
              <w:pageBreakBefore w:val="0"/>
              <w:widowControl w:val="0"/>
              <w:kinsoku/>
              <w:wordWrap/>
              <w:overflowPunct/>
              <w:topLinePunct w:val="0"/>
              <w:autoSpaceDE/>
              <w:autoSpaceDN/>
              <w:bidi w:val="0"/>
              <w:adjustRightInd/>
              <w:snapToGrid/>
              <w:spacing w:line="320" w:lineRule="exact"/>
              <w:ind w:left="0"/>
              <w:jc w:val="center"/>
              <w:textAlignment w:val="auto"/>
              <w:rPr>
                <w:rFonts w:hint="default" w:ascii="仿宋_GB2312" w:hAnsi="仿宋_GB2312" w:eastAsia="仿宋_GB2312" w:cs="仿宋_GB2312"/>
                <w:b w:val="0"/>
                <w:bCs w:val="0"/>
                <w:spacing w:val="3"/>
                <w:kern w:val="2"/>
                <w:sz w:val="24"/>
                <w:szCs w:val="24"/>
                <w:highlight w:val="none"/>
                <w:lang w:val="en-US" w:eastAsia="zh-CN" w:bidi="ar-SA"/>
              </w:rPr>
            </w:pPr>
            <w:r>
              <w:rPr>
                <w:rFonts w:hint="eastAsia" w:ascii="仿宋_GB2312" w:hAnsi="仿宋_GB2312" w:eastAsia="仿宋_GB2312" w:cs="仿宋_GB2312"/>
                <w:b w:val="0"/>
                <w:bCs w:val="0"/>
                <w:spacing w:val="3"/>
                <w:kern w:val="2"/>
                <w:sz w:val="24"/>
                <w:szCs w:val="24"/>
                <w:highlight w:val="none"/>
                <w:lang w:val="en-US" w:eastAsia="zh-CN" w:bidi="ar-SA"/>
              </w:rPr>
              <w:t>20%</w:t>
            </w:r>
          </w:p>
        </w:tc>
      </w:tr>
    </w:tbl>
    <w:p w14:paraId="4FAD0EAF">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14:paraId="44F87580">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14:paraId="7FA0BC4D">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14:paraId="074B3582">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w:t>
      </w:r>
      <w:r>
        <w:rPr>
          <w:rFonts w:hint="eastAsia" w:ascii="仿宋_GB2312" w:eastAsia="仿宋_GB2312"/>
          <w:sz w:val="32"/>
          <w:szCs w:val="32"/>
          <w:highlight w:val="none"/>
          <w:lang w:val="en-US" w:eastAsia="zh-CN"/>
        </w:rPr>
        <w:t>120</w:t>
      </w:r>
      <w:r>
        <w:rPr>
          <w:rFonts w:hint="default" w:ascii="仿宋_GB2312" w:eastAsia="仿宋_GB2312"/>
          <w:sz w:val="32"/>
          <w:szCs w:val="32"/>
          <w:highlight w:val="none"/>
          <w:lang w:val="en-US" w:eastAsia="zh-CN"/>
        </w:rPr>
        <w:t>分)：协作效果好，工作成效远超预期。</w:t>
      </w:r>
    </w:p>
    <w:p w14:paraId="60573919">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w:t>
      </w:r>
      <w:r>
        <w:rPr>
          <w:rFonts w:hint="eastAsia" w:ascii="仿宋_GB2312" w:eastAsia="仿宋_GB2312"/>
          <w:sz w:val="32"/>
          <w:szCs w:val="32"/>
          <w:highlight w:val="none"/>
          <w:lang w:val="en-US" w:eastAsia="zh-CN"/>
        </w:rPr>
        <w:t>110</w:t>
      </w:r>
      <w:r>
        <w:rPr>
          <w:rFonts w:hint="default" w:ascii="仿宋_GB2312" w:eastAsia="仿宋_GB2312"/>
          <w:sz w:val="32"/>
          <w:szCs w:val="32"/>
          <w:highlight w:val="none"/>
          <w:lang w:val="en-US" w:eastAsia="zh-CN"/>
        </w:rPr>
        <w:t>分)：协作效果较好，工作成效符合预期。</w:t>
      </w:r>
    </w:p>
    <w:p w14:paraId="6B31EB67">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14:paraId="5C338BDC">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14:paraId="618AFCEA">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14:paraId="1AEAE465">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14:paraId="55957997">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14:paraId="491396ED">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w:t>
      </w:r>
      <w:r>
        <w:rPr>
          <w:rFonts w:hint="eastAsia" w:ascii="仿宋_GB2312" w:eastAsia="仿宋_GB2312"/>
          <w:sz w:val="32"/>
          <w:szCs w:val="32"/>
          <w:highlight w:val="none"/>
          <w:lang w:val="en-US" w:eastAsia="zh-CN"/>
        </w:rPr>
        <w:t>协同</w:t>
      </w:r>
      <w:r>
        <w:rPr>
          <w:rFonts w:hint="default" w:ascii="仿宋_GB2312" w:eastAsia="仿宋_GB2312"/>
          <w:sz w:val="32"/>
          <w:szCs w:val="32"/>
          <w:highlight w:val="none"/>
          <w:lang w:val="en-US" w:eastAsia="zh-CN"/>
        </w:rPr>
        <w:t>绩效得分=集团公司主要领导评分×30%+分管领导评分×40%+业务关联单位第一负责人评分×30%</w:t>
      </w:r>
    </w:p>
    <w:p w14:paraId="351586EE">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14:paraId="0CD02A21">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w:t>
      </w:r>
      <w:r>
        <w:rPr>
          <w:rFonts w:hint="eastAsia" w:ascii="仿宋_GB2312" w:eastAsia="仿宋_GB2312"/>
          <w:sz w:val="32"/>
          <w:szCs w:val="32"/>
          <w:highlight w:val="none"/>
          <w:lang w:val="en-US" w:eastAsia="zh-CN"/>
        </w:rPr>
        <w:t>协同</w:t>
      </w:r>
      <w:r>
        <w:rPr>
          <w:rFonts w:hint="default" w:ascii="仿宋_GB2312" w:eastAsia="仿宋_GB2312"/>
          <w:sz w:val="32"/>
          <w:szCs w:val="32"/>
          <w:highlight w:val="none"/>
          <w:lang w:val="en-US" w:eastAsia="zh-CN"/>
        </w:rPr>
        <w:t>绩效得分=分管领导评分×30%+单位第一负责人评分×40%+业务关联单位负责人评分×30%</w:t>
      </w:r>
    </w:p>
    <w:p w14:paraId="2085A4D5">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14:paraId="1A44417F">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和践行企业文化等造成一票否决或重大责任事故的，全部或部分扣减年度绩效得分。</w:t>
      </w:r>
    </w:p>
    <w:p w14:paraId="11CBD376">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14:paraId="7A1C4F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14:paraId="3540D0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14:paraId="3F7258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14:paraId="6D1F9E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14:paraId="13599D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14:paraId="7E5C55A2">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14:paraId="58B595B8">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14:paraId="0C993F65">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14:paraId="5E5372BA">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14:paraId="601E02A0">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4D8D2862">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bookmarkStart w:id="0" w:name="_GoBack"/>
      <w:bookmarkEnd w:id="0"/>
    </w:p>
    <w:p w14:paraId="6B7E77B8">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14:paraId="63D4A72B">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w:t>
      </w:r>
      <w:r>
        <w:rPr>
          <w:rFonts w:hint="eastAsia" w:ascii="黑体" w:hAnsi="黑体" w:eastAsia="黑体" w:cs="黑体"/>
          <w:b w:val="0"/>
          <w:bCs/>
          <w:sz w:val="32"/>
          <w:szCs w:val="32"/>
          <w:highlight w:val="none"/>
          <w:lang w:val="en-US" w:eastAsia="zh-CN"/>
        </w:rPr>
        <w:t>签字</w:t>
      </w:r>
      <w:r>
        <w:rPr>
          <w:rFonts w:hint="eastAsia" w:ascii="黑体" w:hAnsi="黑体" w:eastAsia="黑体" w:cs="黑体"/>
          <w:b w:val="0"/>
          <w:bCs/>
          <w:sz w:val="32"/>
          <w:szCs w:val="32"/>
          <w:highlight w:val="none"/>
        </w:rPr>
        <w:t>）：</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14:paraId="00EC5A5E">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14:paraId="3AEBE0BE">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14:paraId="0E0542E9">
      <w:pPr>
        <w:pStyle w:val="47"/>
        <w:shd w:val="clear" w:color="auto" w:fill="FFFFFF"/>
        <w:adjustRightInd w:val="0"/>
        <w:snapToGrid w:val="0"/>
        <w:spacing w:line="560" w:lineRule="exact"/>
        <w:textAlignment w:val="baseline"/>
        <w:rPr>
          <w:rFonts w:hint="default" w:ascii="仿宋_GB2312" w:hAnsi="宋体" w:eastAsia="仿宋_GB2312" w:cs="宋体"/>
          <w:color w:val="000000"/>
          <w:kern w:val="0"/>
          <w:sz w:val="32"/>
          <w:szCs w:val="32"/>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382A0E-F86B-4C18-B8AD-0D3E09899B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3EF3371A-DE98-4E48-944A-5996AA6C3F76}"/>
  </w:font>
  <w:font w:name="方正小标宋简体">
    <w:panose1 w:val="03000509000000000000"/>
    <w:charset w:val="86"/>
    <w:family w:val="auto"/>
    <w:pitch w:val="default"/>
    <w:sig w:usb0="00000001" w:usb1="080E0000" w:usb2="00000000" w:usb3="00000000" w:csb0="00040000" w:csb1="00000000"/>
    <w:embedRegular r:id="rId3" w:fontKey="{5E1A5A18-275E-4F62-A8CE-8C6F0F4BBAC4}"/>
  </w:font>
  <w:font w:name="楷体_GB2312">
    <w:panose1 w:val="02010609030101010101"/>
    <w:charset w:val="86"/>
    <w:family w:val="modern"/>
    <w:pitch w:val="default"/>
    <w:sig w:usb0="00000001" w:usb1="080E0000" w:usb2="00000000" w:usb3="00000000" w:csb0="00040000" w:csb1="00000000"/>
    <w:embedRegular r:id="rId4" w:fontKey="{E7E6F3F0-72F4-4C35-A429-3FB6E5859B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36AB">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1BE2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14:paraId="4871BE2C">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58E01">
    <w:pPr>
      <w:pStyle w:val="14"/>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I3NTMwNmIyYWM1M2Q1ZTExNWRhZTZkNThlODQzNzA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32438E"/>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891287"/>
    <w:rsid w:val="12BE3627"/>
    <w:rsid w:val="12CB391F"/>
    <w:rsid w:val="12CE0C99"/>
    <w:rsid w:val="13075EDB"/>
    <w:rsid w:val="13143749"/>
    <w:rsid w:val="13217712"/>
    <w:rsid w:val="13337B71"/>
    <w:rsid w:val="13685340"/>
    <w:rsid w:val="13786942"/>
    <w:rsid w:val="13913519"/>
    <w:rsid w:val="13A97E33"/>
    <w:rsid w:val="13CE5AEB"/>
    <w:rsid w:val="13DD7DC5"/>
    <w:rsid w:val="13F55A29"/>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31E78"/>
    <w:rsid w:val="194F441F"/>
    <w:rsid w:val="19AC41D9"/>
    <w:rsid w:val="19BA5983"/>
    <w:rsid w:val="19EA6AAF"/>
    <w:rsid w:val="1A22449B"/>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1FA75B26"/>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C849EF"/>
    <w:rsid w:val="27DE07E0"/>
    <w:rsid w:val="27E126B6"/>
    <w:rsid w:val="27F21951"/>
    <w:rsid w:val="28243AD4"/>
    <w:rsid w:val="282D3E1D"/>
    <w:rsid w:val="283858CD"/>
    <w:rsid w:val="28821D21"/>
    <w:rsid w:val="29341AF5"/>
    <w:rsid w:val="293C78E0"/>
    <w:rsid w:val="298F436B"/>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A533AC"/>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52D97"/>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9F3EFD"/>
    <w:rsid w:val="40D55514"/>
    <w:rsid w:val="40ED3BA3"/>
    <w:rsid w:val="412F51E3"/>
    <w:rsid w:val="41B17D2F"/>
    <w:rsid w:val="424E1A22"/>
    <w:rsid w:val="42611755"/>
    <w:rsid w:val="429531AD"/>
    <w:rsid w:val="42D8613A"/>
    <w:rsid w:val="42FA7159"/>
    <w:rsid w:val="438A4CDB"/>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245E5E"/>
    <w:rsid w:val="564662EE"/>
    <w:rsid w:val="565D20C7"/>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66D52C9"/>
    <w:rsid w:val="67222BCE"/>
    <w:rsid w:val="682B7F8C"/>
    <w:rsid w:val="68404A74"/>
    <w:rsid w:val="685A261F"/>
    <w:rsid w:val="68AF64C7"/>
    <w:rsid w:val="68B0082B"/>
    <w:rsid w:val="68C72CFE"/>
    <w:rsid w:val="68F840FA"/>
    <w:rsid w:val="6A2124C5"/>
    <w:rsid w:val="6AE54422"/>
    <w:rsid w:val="6BA92830"/>
    <w:rsid w:val="6BD154E6"/>
    <w:rsid w:val="6BED2021"/>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2DF7FC7"/>
    <w:rsid w:val="73133AF6"/>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autoRedefine/>
    <w:semiHidden/>
    <w:qFormat/>
    <w:uiPriority w:val="9"/>
    <w:rPr>
      <w:rFonts w:cstheme="majorBidi"/>
      <w:color w:val="104862" w:themeColor="accent1" w:themeShade="BF"/>
      <w:sz w:val="28"/>
      <w:szCs w:val="28"/>
    </w:rPr>
  </w:style>
  <w:style w:type="character" w:customStyle="1" w:styleId="27">
    <w:name w:val="标题 5 字符"/>
    <w:basedOn w:val="22"/>
    <w:link w:val="6"/>
    <w:autoRedefine/>
    <w:semiHidden/>
    <w:qFormat/>
    <w:uiPriority w:val="9"/>
    <w:rPr>
      <w:rFonts w:cstheme="majorBidi"/>
      <w:color w:val="104862" w:themeColor="accent1" w:themeShade="BF"/>
      <w:sz w:val="24"/>
      <w:szCs w:val="24"/>
    </w:rPr>
  </w:style>
  <w:style w:type="character" w:customStyle="1" w:styleId="28">
    <w:name w:val="标题 6 字符"/>
    <w:basedOn w:val="22"/>
    <w:link w:val="7"/>
    <w:autoRedefine/>
    <w:semiHidden/>
    <w:qFormat/>
    <w:uiPriority w:val="9"/>
    <w:rPr>
      <w:rFonts w:cstheme="majorBidi"/>
      <w:b/>
      <w:bCs/>
      <w:color w:val="104862" w:themeColor="accent1" w:themeShade="BF"/>
    </w:rPr>
  </w:style>
  <w:style w:type="character" w:customStyle="1" w:styleId="29">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autoRedefine/>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autoRedefine/>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autoRedefine/>
    <w:qFormat/>
    <w:uiPriority w:val="34"/>
    <w:pPr>
      <w:ind w:left="720"/>
      <w:contextualSpacing/>
    </w:pPr>
  </w:style>
  <w:style w:type="character" w:customStyle="1" w:styleId="37">
    <w:name w:val="Intense Emphasis"/>
    <w:basedOn w:val="22"/>
    <w:autoRedefine/>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autoRedefine/>
    <w:qFormat/>
    <w:uiPriority w:val="30"/>
    <w:rPr>
      <w:i/>
      <w:iCs/>
      <w:color w:val="104862" w:themeColor="accent1" w:themeShade="BF"/>
    </w:rPr>
  </w:style>
  <w:style w:type="character" w:customStyle="1" w:styleId="40">
    <w:name w:val="Intense Reference"/>
    <w:basedOn w:val="22"/>
    <w:autoRedefine/>
    <w:qFormat/>
    <w:uiPriority w:val="32"/>
    <w:rPr>
      <w:b/>
      <w:bCs/>
      <w:smallCaps/>
      <w:color w:val="104862" w:themeColor="accent1" w:themeShade="BF"/>
      <w:spacing w:val="5"/>
    </w:rPr>
  </w:style>
  <w:style w:type="character" w:customStyle="1" w:styleId="41">
    <w:name w:val="页眉 字符"/>
    <w:basedOn w:val="22"/>
    <w:link w:val="14"/>
    <w:autoRedefine/>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autoRedefine/>
    <w:qFormat/>
    <w:uiPriority w:val="0"/>
    <w:rPr>
      <w:rFonts w:hint="eastAsia" w:ascii="仿宋_GB2312" w:eastAsia="仿宋_GB2312" w:cs="仿宋_GB2312"/>
      <w:color w:val="000000"/>
      <w:sz w:val="22"/>
      <w:szCs w:val="22"/>
      <w:u w:val="none"/>
    </w:rPr>
  </w:style>
  <w:style w:type="paragraph" w:customStyle="1" w:styleId="45">
    <w:name w:val="Table Text"/>
    <w:basedOn w:val="1"/>
    <w:autoRedefine/>
    <w:semiHidden/>
    <w:qFormat/>
    <w:uiPriority w:val="0"/>
    <w:rPr>
      <w:rFonts w:ascii="宋体" w:hAnsi="宋体" w:eastAsia="宋体" w:cs="宋体"/>
      <w:sz w:val="24"/>
      <w:szCs w:val="24"/>
      <w:lang w:val="en-US" w:eastAsia="en-US" w:bidi="ar-SA"/>
    </w:rPr>
  </w:style>
  <w:style w:type="table" w:customStyle="1" w:styleId="46">
    <w:name w:val="Table Normal"/>
    <w:autoRedefine/>
    <w:unhideWhenUsed/>
    <w:qFormat/>
    <w:uiPriority w:val="0"/>
    <w:tblPr>
      <w:tblCellMar>
        <w:top w:w="0" w:type="dxa"/>
        <w:left w:w="0" w:type="dxa"/>
        <w:bottom w:w="0" w:type="dxa"/>
        <w:right w:w="0" w:type="dxa"/>
      </w:tblCellMar>
    </w:tblPr>
  </w:style>
  <w:style w:type="paragraph" w:customStyle="1" w:styleId="47">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1604</Words>
  <Characters>1691</Characters>
  <Lines>25</Lines>
  <Paragraphs>7</Paragraphs>
  <TotalTime>6</TotalTime>
  <ScaleCrop>false</ScaleCrop>
  <LinksUpToDate>false</LinksUpToDate>
  <CharactersWithSpaces>1721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Administrator</cp:lastModifiedBy>
  <cp:lastPrinted>2024-06-05T05:51:00Z</cp:lastPrinted>
  <dcterms:modified xsi:type="dcterms:W3CDTF">2024-08-30T02:58:12Z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D67387888D844288B8DC7FB69A57AC77_13</vt:lpwstr>
  </property>
</Properties>
</file>