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autoSpaceDE/>
        <w:autoSpaceDN/>
        <w:adjustRightInd w:val="0"/>
        <w:snapToGrid w:val="0"/>
        <w:spacing w:before="0" w:beforeAutospacing="0" w:after="0" w:afterAutospacing="0" w:line="240" w:lineRule="auto"/>
        <w:ind w:left="0" w:right="0"/>
        <w:jc w:val="left"/>
        <w:outlineLvl w:val="9"/>
        <w:rPr>
          <w:rFonts w:hint="eastAsia" w:ascii="黑体" w:hAnsi="黑体" w:eastAsia="黑体" w:cs="黑体"/>
          <w:color w:val="000000"/>
          <w:kern w:val="2"/>
          <w:sz w:val="32"/>
          <w:szCs w:val="32"/>
          <w:lang w:val="en-US" w:eastAsia="zh-CN" w:bidi="ar-SA"/>
        </w:rPr>
      </w:pPr>
    </w:p>
    <w:p>
      <w:pPr>
        <w:keepNext w:val="0"/>
        <w:keepLines w:val="0"/>
        <w:widowControl w:val="0"/>
        <w:suppressLineNumbers w:val="0"/>
        <w:autoSpaceDE/>
        <w:autoSpaceDN/>
        <w:adjustRightInd w:val="0"/>
        <w:snapToGrid w:val="0"/>
        <w:spacing w:before="0" w:beforeAutospacing="0" w:after="0" w:afterAutospacing="0" w:line="240" w:lineRule="auto"/>
        <w:ind w:left="0" w:right="0"/>
        <w:jc w:val="center"/>
        <w:outlineLvl w:val="0"/>
        <w:rPr>
          <w:rFonts w:ascii="黑体" w:hAnsi="黑体" w:eastAsia="黑体" w:cs="黑体"/>
          <w:color w:val="000000"/>
          <w:kern w:val="2"/>
          <w:sz w:val="36"/>
          <w:szCs w:val="36"/>
          <w:lang w:val="en-US" w:bidi="ar-SA"/>
        </w:rPr>
      </w:pPr>
      <w:bookmarkStart w:id="0" w:name="_Toc6675"/>
      <w:r>
        <w:rPr>
          <w:rFonts w:ascii="黑体" w:hAnsi="黑体" w:eastAsia="黑体" w:cs="黑体"/>
          <w:color w:val="000000"/>
          <w:kern w:val="2"/>
          <w:sz w:val="36"/>
          <w:szCs w:val="36"/>
          <w:lang w:val="en-US" w:bidi="ar-SA"/>
        </w:rPr>
        <w:t>四川九洲投资控股集团有限公司</w:t>
      </w:r>
      <w:bookmarkEnd w:id="0"/>
    </w:p>
    <w:p>
      <w:pPr>
        <w:autoSpaceDE/>
        <w:autoSpaceDN/>
        <w:adjustRightInd w:val="0"/>
        <w:snapToGrid w:val="0"/>
        <w:spacing w:line="240" w:lineRule="auto"/>
        <w:jc w:val="center"/>
        <w:outlineLvl w:val="0"/>
        <w:rPr>
          <w:rFonts w:ascii="方正小标宋简体" w:hAnsi="方正小标宋简体" w:eastAsia="方正小标宋简体" w:cs="方正小标宋简体"/>
          <w:color w:val="auto"/>
          <w:kern w:val="2"/>
          <w:sz w:val="44"/>
          <w:szCs w:val="44"/>
          <w:lang w:val="en-US" w:bidi="ar"/>
        </w:rPr>
      </w:pPr>
      <w:bookmarkStart w:id="1" w:name="_Toc12838"/>
      <w:r>
        <w:rPr>
          <w:rFonts w:ascii="黑体" w:hAnsi="黑体" w:eastAsia="黑体" w:cs="黑体"/>
          <w:color w:val="000000"/>
          <w:kern w:val="2"/>
          <w:sz w:val="36"/>
          <w:szCs w:val="36"/>
          <w:lang w:val="en-US" w:bidi="ar-SA"/>
        </w:rPr>
        <w:t>资产</w:t>
      </w:r>
      <w:r>
        <w:rPr>
          <w:rFonts w:hint="default" w:ascii="黑体" w:hAnsi="黑体" w:eastAsia="黑体" w:cs="黑体"/>
          <w:color w:val="000000"/>
          <w:kern w:val="2"/>
          <w:sz w:val="36"/>
          <w:szCs w:val="36"/>
          <w:lang w:val="en-US" w:eastAsia="zh-CN" w:bidi="ar-SA"/>
        </w:rPr>
        <w:t>租赁管理</w:t>
      </w:r>
      <w:r>
        <w:rPr>
          <w:rFonts w:ascii="黑体" w:hAnsi="黑体" w:eastAsia="黑体" w:cs="黑体"/>
          <w:color w:val="000000"/>
          <w:kern w:val="2"/>
          <w:sz w:val="36"/>
          <w:szCs w:val="36"/>
          <w:lang w:val="en-US" w:bidi="ar-SA"/>
        </w:rPr>
        <w:t>办法</w:t>
      </w:r>
      <w:bookmarkEnd w:id="1"/>
    </w:p>
    <w:p>
      <w:pPr>
        <w:autoSpaceDE/>
        <w:autoSpaceDN/>
        <w:adjustRightInd w:val="0"/>
        <w:snapToGrid w:val="0"/>
        <w:spacing w:line="240" w:lineRule="auto"/>
        <w:jc w:val="center"/>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（试行）</w:t>
      </w: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keepNext w:val="0"/>
        <w:keepLines w:val="0"/>
        <w:widowControl w:val="0"/>
        <w:suppressLineNumbers w:val="0"/>
        <w:autoSpaceDE w:val="0"/>
        <w:autoSpaceDN w:val="0"/>
        <w:spacing w:before="0" w:beforeAutospacing="0" w:after="0" w:afterAutospacing="0"/>
        <w:ind w:left="0" w:right="0"/>
        <w:jc w:val="both"/>
        <w:rPr>
          <w:rFonts w:ascii="仿宋_GB2312" w:hAnsi="仿宋_GB2312" w:eastAsia="仿宋_GB2312" w:cs="仿宋_GB2312"/>
          <w:kern w:val="0"/>
          <w:sz w:val="22"/>
          <w:lang w:val="zh-CN" w:bidi="zh-CN"/>
        </w:rPr>
      </w:pPr>
      <w:r>
        <w:rPr>
          <w:rFonts w:hint="default" w:ascii="黑体" w:hAnsi="黑体" w:eastAsia="黑体" w:cs="黑体"/>
          <w:color w:val="000000"/>
          <w:kern w:val="0"/>
          <w:sz w:val="32"/>
          <w:szCs w:val="32"/>
          <w:lang w:val="zh-CN" w:bidi="zh-CN"/>
        </w:rPr>
        <w:t xml:space="preserve">                             </w:t>
      </w:r>
    </w:p>
    <w:p>
      <w:pPr>
        <w:spacing w:line="240" w:lineRule="auto"/>
        <w:jc w:val="right"/>
        <w:rPr>
          <w:rFonts w:hint="eastAsia" w:ascii="黑体" w:hAnsi="黑体" w:eastAsia="黑体" w:cs="黑体"/>
          <w:color w:val="000000"/>
          <w:sz w:val="32"/>
          <w:szCs w:val="32"/>
          <w:lang w:val="en-US" w:eastAsia="zh-CN" w:bidi="ar-SA"/>
        </w:rPr>
      </w:pPr>
      <w:r>
        <w:rPr>
          <w:rFonts w:hint="eastAsia" w:ascii="黑体" w:hAnsi="黑体" w:eastAsia="黑体" w:cs="黑体"/>
          <w:color w:val="000000"/>
          <w:sz w:val="32"/>
          <w:szCs w:val="32"/>
          <w:lang w:val="en-US" w:eastAsia="zh-CN" w:bidi="ar-SA"/>
        </w:rPr>
        <w:t>编号：JZJT-ZB-2024-000X</w:t>
      </w:r>
    </w:p>
    <w:p>
      <w:pPr>
        <w:widowControl w:val="0"/>
        <w:autoSpaceDE w:val="0"/>
        <w:autoSpaceDN w:val="0"/>
        <w:adjustRightInd w:val="0"/>
        <w:snapToGrid w:val="0"/>
        <w:spacing w:line="240" w:lineRule="auto"/>
        <w:ind w:firstLine="0" w:firstLineChars="0"/>
        <w:jc w:val="right"/>
        <w:rPr>
          <w:rFonts w:ascii="黑体" w:hAnsi="黑体" w:eastAsia="黑体" w:cs="黑体"/>
          <w:color w:val="000000"/>
          <w:sz w:val="32"/>
          <w:szCs w:val="32"/>
          <w:lang w:val="en-US" w:eastAsia="zh-CN" w:bidi="ar-SA"/>
        </w:rPr>
      </w:pPr>
      <w:r>
        <w:rPr>
          <w:rFonts w:hint="eastAsia" w:ascii="黑体" w:hAnsi="黑体" w:eastAsia="黑体" w:cs="黑体"/>
          <w:color w:val="000000"/>
          <w:sz w:val="32"/>
          <w:szCs w:val="32"/>
          <w:lang w:val="en-US" w:eastAsia="zh-CN" w:bidi="ar-SA"/>
        </w:rPr>
        <w:t>版本号：2024（0X）版</w:t>
      </w:r>
    </w:p>
    <w:p>
      <w:pPr>
        <w:widowControl w:val="0"/>
        <w:autoSpaceDE w:val="0"/>
        <w:autoSpaceDN w:val="0"/>
        <w:adjustRightInd w:val="0"/>
        <w:snapToGrid w:val="0"/>
        <w:spacing w:line="240" w:lineRule="auto"/>
        <w:ind w:firstLine="640" w:firstLineChars="200"/>
        <w:jc w:val="right"/>
        <w:rPr>
          <w:rFonts w:ascii="黑体" w:hAnsi="黑体" w:eastAsia="黑体" w:cs="黑体"/>
          <w:color w:val="000000"/>
          <w:sz w:val="28"/>
          <w:szCs w:val="28"/>
          <w:lang w:val="en-US" w:eastAsia="zh-CN" w:bidi="ar-SA"/>
        </w:rPr>
      </w:pPr>
      <w:r>
        <w:rPr>
          <w:rFonts w:hint="eastAsia" w:ascii="黑体" w:hAnsi="黑体" w:eastAsia="黑体" w:cs="黑体"/>
          <w:color w:val="000000"/>
          <w:sz w:val="32"/>
          <w:szCs w:val="32"/>
          <w:lang w:val="en-US" w:eastAsia="zh-CN" w:bidi="ar-SA"/>
        </w:rPr>
        <w:t>生效日期：2024年xx月xx日</w:t>
      </w: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adjustRightInd w:val="0"/>
        <w:snapToGrid w:val="0"/>
        <w:spacing w:line="560" w:lineRule="exact"/>
        <w:ind w:firstLine="640" w:firstLineChars="200"/>
        <w:jc w:val="center"/>
        <w:rPr>
          <w:rFonts w:ascii="Arial" w:hAnsi="Arial" w:cs="Arial"/>
          <w:color w:val="000000"/>
          <w:sz w:val="32"/>
          <w:szCs w:val="32"/>
        </w:rPr>
        <w:sectPr>
          <w:headerReference r:id="rId3" w:type="default"/>
          <w:footerReference r:id="rId4" w:type="default"/>
          <w:footerReference r:id="rId5" w:type="even"/>
          <w:pgSz w:w="11928" w:h="16860"/>
          <w:pgMar w:top="2098" w:right="1474" w:bottom="1984" w:left="1587" w:header="0" w:footer="1026" w:gutter="0"/>
          <w:pgNumType w:fmt="numberInDash"/>
          <w:cols w:space="0" w:num="1"/>
        </w:sectPr>
      </w:pPr>
    </w:p>
    <w:p>
      <w:pPr>
        <w:keepNext/>
        <w:keepLines/>
        <w:widowControl/>
        <w:suppressLineNumbers w:val="0"/>
        <w:autoSpaceDE w:val="0"/>
        <w:autoSpaceDN w:val="0"/>
        <w:spacing w:before="0" w:beforeAutospacing="0" w:after="0" w:afterAutospacing="0" w:line="560" w:lineRule="exact"/>
        <w:jc w:val="center"/>
        <w:outlineLvl w:val="0"/>
        <w:rPr>
          <w:rFonts w:hint="default" w:ascii="方正小标宋简体" w:hAnsi="方正小标宋简体" w:eastAsia="方正小标宋简体" w:cs="方正小标宋简体"/>
          <w:b w:val="0"/>
          <w:bCs w:val="0"/>
          <w:kern w:val="2"/>
          <w:sz w:val="32"/>
          <w:szCs w:val="32"/>
          <w:lang w:val="en-US" w:eastAsia="zh-CN" w:bidi="ar"/>
        </w:rPr>
      </w:pPr>
      <w:bookmarkStart w:id="2" w:name="_Toc7842"/>
      <w:r>
        <w:rPr>
          <w:rFonts w:hint="default" w:ascii="方正小标宋简体" w:hAnsi="方正小标宋简体" w:eastAsia="方正小标宋简体" w:cs="方正小标宋简体"/>
          <w:b w:val="0"/>
          <w:bCs w:val="0"/>
          <w:kern w:val="2"/>
          <w:sz w:val="32"/>
          <w:szCs w:val="32"/>
          <w:lang w:val="en-US" w:eastAsia="zh-CN" w:bidi="ar"/>
        </w:rPr>
        <w:t>制度</w:t>
      </w:r>
      <w:r>
        <w:rPr>
          <w:rFonts w:hint="eastAsia" w:ascii="方正小标宋简体" w:hAnsi="方正小标宋简体" w:eastAsia="方正小标宋简体" w:cs="方正小标宋简体"/>
          <w:b w:val="0"/>
          <w:bCs w:val="0"/>
          <w:kern w:val="2"/>
          <w:sz w:val="32"/>
          <w:szCs w:val="32"/>
          <w:lang w:val="en-US" w:eastAsia="zh-CN" w:bidi="ar-SA"/>
        </w:rPr>
        <w:t>履历表</w:t>
      </w:r>
      <w:bookmarkEnd w:id="2"/>
    </w:p>
    <w:p>
      <w:pPr>
        <w:keepNext w:val="0"/>
        <w:keepLines w:val="0"/>
        <w:widowControl w:val="0"/>
        <w:suppressLineNumbers w:val="0"/>
        <w:autoSpaceDE w:val="0"/>
        <w:autoSpaceDN w:val="0"/>
        <w:spacing w:before="0" w:beforeAutospacing="0" w:after="0" w:afterAutospacing="0"/>
        <w:ind w:left="0" w:right="0" w:firstLine="6960" w:firstLineChars="2900"/>
        <w:jc w:val="both"/>
        <w:rPr>
          <w:rFonts w:hint="default" w:ascii="Arial" w:hAnsi="Arial" w:eastAsia="仿宋_GB2312" w:cs="Arial"/>
          <w:kern w:val="2"/>
          <w:sz w:val="24"/>
          <w:szCs w:val="24"/>
          <w:lang w:val="zh-CN" w:bidi="zh-CN"/>
        </w:rPr>
      </w:pPr>
      <w:r>
        <w:rPr>
          <w:rFonts w:hint="default" w:ascii="Arial" w:hAnsi="Arial" w:eastAsia="仿宋_GB2312" w:cs="Arial"/>
          <w:kern w:val="2"/>
          <w:sz w:val="24"/>
          <w:szCs w:val="24"/>
          <w:lang w:val="en-US" w:eastAsia="zh-CN" w:bidi="ar"/>
        </w:rPr>
        <w:t xml:space="preserve"> </w:t>
      </w:r>
    </w:p>
    <w:tbl>
      <w:tblPr>
        <w:tblStyle w:val="12"/>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53"/>
        <w:gridCol w:w="2611"/>
        <w:gridCol w:w="878"/>
        <w:gridCol w:w="823"/>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制度名称</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zh-CN" w:bidi="zh-CN"/>
              </w:rPr>
              <w:t>资产租赁管理办法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关键词</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zh-CN" w:bidi="zh-CN"/>
              </w:rPr>
              <w:t>资产租赁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适用范围</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en-US" w:eastAsia="zh-CN" w:bidi="zh-CN"/>
              </w:rPr>
              <w:t>总部以及各下属</w:t>
            </w:r>
            <w:r>
              <w:rPr>
                <w:rFonts w:hint="eastAsia" w:ascii="Arial" w:hAnsi="Arial" w:eastAsia="仿宋_GB2312" w:cs="Times New Roman"/>
                <w:b w:val="0"/>
                <w:bCs w:val="0"/>
                <w:kern w:val="2"/>
                <w:sz w:val="21"/>
                <w:szCs w:val="21"/>
                <w:lang w:val="en-US" w:eastAsia="zh-CN" w:bidi="zh-CN"/>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主责部门</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zh-CN" w:bidi="zh-CN"/>
              </w:rPr>
              <w:t>资本运营部</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审批机构</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eastAsia" w:ascii="Arial" w:hAnsi="Arial" w:eastAsia="仿宋_GB2312" w:cs="Times New Roman"/>
                <w:b/>
                <w:bCs w:val="0"/>
                <w:kern w:val="2"/>
                <w:sz w:val="21"/>
                <w:szCs w:val="21"/>
                <w:lang w:val="en-US" w:eastAsia="zh-CN" w:bidi="zh-CN"/>
              </w:rPr>
            </w:pPr>
            <w:r>
              <w:rPr>
                <w:rFonts w:hint="eastAsia" w:ascii="Arial" w:hAnsi="Arial" w:eastAsia="仿宋_GB2312" w:cs="Times New Roman"/>
                <w:b w:val="0"/>
                <w:bCs/>
                <w:kern w:val="2"/>
                <w:sz w:val="21"/>
                <w:szCs w:val="21"/>
                <w:lang w:val="en-US" w:eastAsia="zh-CN" w:bidi="zh-CN"/>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制度类别</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zh-CN" w:bidi="zh-CN"/>
              </w:rPr>
              <w:t>重要制度</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业务域</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en-US" w:eastAsia="zh-CN" w:bidi="zh-CN"/>
              </w:rPr>
            </w:pPr>
            <w:r>
              <w:rPr>
                <w:rFonts w:hint="default" w:ascii="Arial" w:hAnsi="Arial" w:eastAsia="仿宋_GB2312" w:cs="Times New Roman"/>
                <w:b w:val="0"/>
                <w:bCs/>
                <w:kern w:val="2"/>
                <w:sz w:val="21"/>
                <w:szCs w:val="21"/>
                <w:lang w:val="en-US" w:eastAsia="zh-CN" w:bidi="zh-CN"/>
              </w:rPr>
              <w:t>资产</w:t>
            </w:r>
            <w:r>
              <w:rPr>
                <w:rFonts w:hint="eastAsia" w:ascii="Arial" w:hAnsi="Arial" w:eastAsia="仿宋_GB2312" w:cs="Times New Roman"/>
                <w:b w:val="0"/>
                <w:bCs/>
                <w:kern w:val="2"/>
                <w:sz w:val="21"/>
                <w:szCs w:val="21"/>
                <w:lang w:val="en-US" w:eastAsia="zh-CN" w:bidi="zh-CN"/>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7"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上位制度</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left"/>
              <w:rPr>
                <w:rFonts w:hint="default" w:ascii="Arial" w:hAnsi="Arial" w:eastAsia="仿宋_GB2312" w:cs="Times New Roman"/>
                <w:b/>
                <w:bCs w:val="0"/>
                <w:kern w:val="2"/>
                <w:sz w:val="21"/>
                <w:szCs w:val="21"/>
                <w:lang w:val="zh-CN" w:bidi="zh-CN"/>
              </w:rPr>
            </w:pPr>
            <w:r>
              <w:rPr>
                <w:rFonts w:hint="eastAsia" w:ascii="Arial" w:hAnsi="Arial" w:eastAsia="仿宋_GB2312" w:cs="Times New Roman"/>
                <w:b w:val="0"/>
                <w:bCs w:val="0"/>
                <w:kern w:val="2"/>
                <w:sz w:val="21"/>
                <w:szCs w:val="21"/>
                <w:lang w:val="en-US" w:eastAsia="zh-CN" w:bidi="zh-CN"/>
              </w:rPr>
              <w:t>无</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下位制度</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en-US" w:eastAsia="zh-CN" w:bidi="zh-CN"/>
              </w:rPr>
            </w:pPr>
            <w:r>
              <w:rPr>
                <w:rFonts w:hint="eastAsia" w:ascii="Arial" w:hAnsi="Arial" w:eastAsia="仿宋_GB2312" w:cs="Times New Roman"/>
                <w:b w:val="0"/>
                <w:bCs/>
                <w:kern w:val="2"/>
                <w:sz w:val="21"/>
                <w:szCs w:val="21"/>
                <w:lang w:val="en-US" w:eastAsia="zh-CN" w:bidi="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1"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关联制度</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zh-CN" w:bidi="zh-CN"/>
              </w:rPr>
              <w:t>重大事项公开管理办法、资产评估管理办法</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替代制度</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eastAsia" w:ascii="Arial" w:hAnsi="Arial" w:eastAsia="仿宋_GB2312" w:cs="Times New Roman"/>
                <w:b/>
                <w:bCs w:val="0"/>
                <w:kern w:val="2"/>
                <w:sz w:val="21"/>
                <w:szCs w:val="21"/>
                <w:lang w:val="en-US" w:eastAsia="zh-CN" w:bidi="zh-CN"/>
              </w:rPr>
            </w:pPr>
            <w:r>
              <w:rPr>
                <w:rFonts w:hint="eastAsia" w:ascii="Arial" w:hAnsi="Arial" w:eastAsia="仿宋_GB2312" w:cs="Times New Roman"/>
                <w:b w:val="0"/>
                <w:bCs/>
                <w:kern w:val="2"/>
                <w:sz w:val="21"/>
                <w:szCs w:val="21"/>
                <w:lang w:val="en-US" w:eastAsia="zh-CN" w:bidi="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restart"/>
            <w:tcBorders>
              <w:top w:val="nil"/>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会签部门</w:t>
            </w: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bCs w:val="0"/>
                <w:kern w:val="2"/>
                <w:sz w:val="21"/>
                <w:szCs w:val="21"/>
                <w:lang w:val="zh-CN" w:bidi="zh-CN"/>
              </w:rPr>
              <w:t>法务审计部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keepNext w:val="0"/>
              <w:keepLines w:val="0"/>
              <w:suppressLineNumbers w:val="0"/>
              <w:autoSpaceDE w:val="0"/>
              <w:autoSpaceDN w:val="0"/>
              <w:spacing w:before="0" w:beforeAutospacing="0" w:after="0" w:afterAutospacing="0"/>
              <w:ind w:left="0" w:right="0"/>
              <w:jc w:val="left"/>
              <w:rPr>
                <w:rFonts w:hint="default" w:ascii="Times New Roman" w:hAnsi="Times New Roman" w:eastAsia="仿宋_GB2312" w:cs="Times New Roman"/>
                <w:kern w:val="0"/>
                <w:sz w:val="20"/>
                <w:szCs w:val="20"/>
                <w:lang w:val="zh-CN" w:bidi="zh-CN"/>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bCs w:val="0"/>
                <w:kern w:val="2"/>
                <w:sz w:val="21"/>
                <w:szCs w:val="21"/>
                <w:lang w:val="zh-CN" w:bidi="zh-CN"/>
              </w:rPr>
              <w:t>战略发展部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keepNext w:val="0"/>
              <w:keepLines w:val="0"/>
              <w:suppressLineNumbers w:val="0"/>
              <w:autoSpaceDE w:val="0"/>
              <w:autoSpaceDN w:val="0"/>
              <w:spacing w:before="0" w:beforeAutospacing="0" w:after="0" w:afterAutospacing="0"/>
              <w:ind w:left="0" w:right="0"/>
              <w:jc w:val="left"/>
              <w:rPr>
                <w:rFonts w:hint="default" w:ascii="Times New Roman" w:hAnsi="Times New Roman" w:eastAsia="仿宋_GB2312" w:cs="Times New Roman"/>
                <w:kern w:val="0"/>
                <w:sz w:val="20"/>
                <w:szCs w:val="20"/>
                <w:lang w:val="zh-CN" w:bidi="zh-CN"/>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bCs w:val="0"/>
                <w:kern w:val="2"/>
                <w:sz w:val="21"/>
                <w:szCs w:val="21"/>
                <w:lang w:val="zh-CN" w:bidi="zh-CN"/>
              </w:rPr>
              <w:t>保密管理部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keepNext w:val="0"/>
              <w:keepLines w:val="0"/>
              <w:suppressLineNumbers w:val="0"/>
              <w:autoSpaceDE w:val="0"/>
              <w:autoSpaceDN w:val="0"/>
              <w:spacing w:before="0" w:beforeAutospacing="0" w:after="0" w:afterAutospacing="0"/>
              <w:ind w:left="0" w:right="0"/>
              <w:jc w:val="left"/>
              <w:rPr>
                <w:rFonts w:hint="default" w:ascii="Times New Roman" w:hAnsi="Times New Roman" w:eastAsia="仿宋_GB2312" w:cs="Times New Roman"/>
                <w:kern w:val="0"/>
                <w:sz w:val="20"/>
                <w:szCs w:val="20"/>
                <w:lang w:val="zh-CN" w:bidi="zh-CN"/>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en-US" w:eastAsia="zh-CN" w:bidi="zh-CN"/>
              </w:rPr>
            </w:pPr>
            <w:r>
              <w:rPr>
                <w:rFonts w:hint="eastAsia" w:ascii="Arial" w:hAnsi="Arial" w:eastAsia="仿宋_GB2312" w:cs="Times New Roman"/>
                <w:b/>
                <w:bCs w:val="0"/>
                <w:kern w:val="2"/>
                <w:sz w:val="21"/>
                <w:szCs w:val="21"/>
                <w:lang w:val="en-US" w:eastAsia="zh-CN" w:bidi="zh-CN"/>
              </w:rPr>
              <w:t>财务管理部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keepNext w:val="0"/>
              <w:keepLines w:val="0"/>
              <w:suppressLineNumbers w:val="0"/>
              <w:autoSpaceDE w:val="0"/>
              <w:autoSpaceDN w:val="0"/>
              <w:spacing w:before="0" w:beforeAutospacing="0" w:after="0" w:afterAutospacing="0"/>
              <w:ind w:left="0" w:right="0"/>
              <w:jc w:val="left"/>
              <w:rPr>
                <w:rFonts w:hint="default" w:ascii="Times New Roman" w:hAnsi="Times New Roman" w:eastAsia="仿宋_GB2312" w:cs="Times New Roman"/>
                <w:kern w:val="0"/>
                <w:sz w:val="20"/>
                <w:szCs w:val="20"/>
                <w:lang w:val="zh-CN" w:bidi="zh-CN"/>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bCs w:val="0"/>
                <w:kern w:val="2"/>
                <w:sz w:val="21"/>
                <w:szCs w:val="21"/>
                <w:lang w:val="zh-CN" w:bidi="zh-CN"/>
              </w:rPr>
              <w:t>园区服务中心</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1753" w:type="dxa"/>
            <w:tcBorders>
              <w:top w:val="nil"/>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历史记录</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line="360" w:lineRule="exact"/>
              <w:ind w:left="0" w:right="0"/>
              <w:jc w:val="both"/>
              <w:rPr>
                <w:rFonts w:hint="default" w:ascii="仿宋_GB2312" w:hAnsi="等线" w:eastAsia="仿宋_GB2312" w:cs="仿宋_GB2312"/>
                <w:b/>
                <w:bCs/>
                <w:kern w:val="2"/>
                <w:sz w:val="21"/>
                <w:szCs w:val="21"/>
                <w:lang w:val="en-US" w:eastAsia="zh-CN" w:bidi="ar"/>
              </w:rPr>
            </w:pPr>
            <w:r>
              <w:rPr>
                <w:rFonts w:hint="default" w:ascii="仿宋_GB2312" w:hAnsi="等线" w:eastAsia="仿宋_GB2312" w:cs="仿宋_GB2312"/>
                <w:b/>
                <w:bCs/>
                <w:kern w:val="2"/>
                <w:sz w:val="21"/>
                <w:szCs w:val="21"/>
                <w:lang w:val="en-US" w:eastAsia="zh-CN" w:bidi="ar"/>
              </w:rPr>
              <w:t>新增：</w:t>
            </w:r>
            <w:r>
              <w:rPr>
                <w:rFonts w:hint="default" w:ascii="仿宋_GB2312" w:hAnsi="等线" w:eastAsia="仿宋_GB2312" w:cs="仿宋_GB2312"/>
                <w:kern w:val="2"/>
                <w:sz w:val="21"/>
                <w:szCs w:val="21"/>
                <w:lang w:val="en-US" w:eastAsia="zh-CN" w:bidi="ar"/>
              </w:rPr>
              <w:t>年</w:t>
            </w:r>
            <w:r>
              <w:rPr>
                <w:rFonts w:hint="default" w:ascii="仿宋_GB2312" w:hAnsi="等线" w:eastAsia="仿宋_GB2312" w:cs="仿宋_GB2312"/>
                <w:b/>
                <w:bCs w:val="0"/>
                <w:kern w:val="2"/>
                <w:sz w:val="21"/>
                <w:szCs w:val="21"/>
                <w:lang w:val="en-US" w:eastAsia="zh-CN" w:bidi="ar"/>
              </w:rPr>
              <w:t xml:space="preserve">  </w:t>
            </w:r>
            <w:r>
              <w:rPr>
                <w:rFonts w:hint="default" w:ascii="仿宋_GB2312" w:hAnsi="等线" w:eastAsia="仿宋_GB2312" w:cs="仿宋_GB2312"/>
                <w:kern w:val="2"/>
                <w:sz w:val="21"/>
                <w:szCs w:val="21"/>
                <w:lang w:val="en-US" w:eastAsia="zh-CN" w:bidi="ar"/>
              </w:rPr>
              <w:t>月</w:t>
            </w:r>
            <w:r>
              <w:rPr>
                <w:rFonts w:hint="default" w:ascii="仿宋_GB2312" w:hAnsi="等线" w:eastAsia="仿宋_GB2312" w:cs="仿宋_GB2312"/>
                <w:b/>
                <w:bCs w:val="0"/>
                <w:kern w:val="2"/>
                <w:sz w:val="21"/>
                <w:szCs w:val="21"/>
                <w:lang w:val="en-US" w:eastAsia="zh-CN" w:bidi="ar"/>
              </w:rPr>
              <w:t xml:space="preserve">  </w:t>
            </w:r>
            <w:r>
              <w:rPr>
                <w:rFonts w:hint="default" w:ascii="仿宋_GB2312" w:hAnsi="等线" w:eastAsia="仿宋_GB2312" w:cs="仿宋_GB2312"/>
                <w:kern w:val="2"/>
                <w:sz w:val="21"/>
                <w:szCs w:val="21"/>
                <w:lang w:val="en-US" w:eastAsia="zh-CN" w:bidi="ar"/>
              </w:rPr>
              <w:t>日经审批通过，于</w:t>
            </w:r>
            <w:r>
              <w:rPr>
                <w:rFonts w:hint="default" w:ascii="仿宋_GB2312" w:hAnsi="等线" w:eastAsia="仿宋_GB2312" w:cs="仿宋_GB2312"/>
                <w:b/>
                <w:bCs w:val="0"/>
                <w:kern w:val="2"/>
                <w:sz w:val="21"/>
                <w:szCs w:val="21"/>
                <w:lang w:val="en-US" w:eastAsia="zh-CN" w:bidi="ar"/>
              </w:rPr>
              <w:t xml:space="preserve">    </w:t>
            </w:r>
            <w:r>
              <w:rPr>
                <w:rFonts w:hint="default" w:ascii="仿宋_GB2312" w:hAnsi="等线" w:eastAsia="仿宋_GB2312" w:cs="仿宋_GB2312"/>
                <w:kern w:val="2"/>
                <w:sz w:val="21"/>
                <w:szCs w:val="21"/>
                <w:lang w:val="en-US" w:eastAsia="zh-CN" w:bidi="ar"/>
              </w:rPr>
              <w:t>年</w:t>
            </w:r>
            <w:r>
              <w:rPr>
                <w:rFonts w:hint="default" w:ascii="仿宋_GB2312" w:hAnsi="等线" w:eastAsia="仿宋_GB2312" w:cs="仿宋_GB2312"/>
                <w:b/>
                <w:bCs w:val="0"/>
                <w:kern w:val="2"/>
                <w:sz w:val="21"/>
                <w:szCs w:val="21"/>
                <w:lang w:val="en-US" w:eastAsia="zh-CN" w:bidi="ar"/>
              </w:rPr>
              <w:t xml:space="preserve">  </w:t>
            </w:r>
            <w:r>
              <w:rPr>
                <w:rFonts w:hint="default" w:ascii="仿宋_GB2312" w:hAnsi="等线" w:eastAsia="仿宋_GB2312" w:cs="仿宋_GB2312"/>
                <w:kern w:val="2"/>
                <w:sz w:val="21"/>
                <w:szCs w:val="21"/>
                <w:lang w:val="en-US" w:eastAsia="zh-CN" w:bidi="ar"/>
              </w:rPr>
              <w:t>月</w:t>
            </w:r>
            <w:r>
              <w:rPr>
                <w:rFonts w:hint="default" w:ascii="仿宋_GB2312" w:hAnsi="等线" w:eastAsia="仿宋_GB2312" w:cs="仿宋_GB2312"/>
                <w:b/>
                <w:bCs w:val="0"/>
                <w:kern w:val="2"/>
                <w:sz w:val="21"/>
                <w:szCs w:val="21"/>
                <w:lang w:val="en-US" w:eastAsia="zh-CN" w:bidi="ar"/>
              </w:rPr>
              <w:t xml:space="preserve">  </w:t>
            </w:r>
            <w:r>
              <w:rPr>
                <w:rFonts w:hint="default" w:ascii="仿宋_GB2312" w:hAnsi="等线" w:eastAsia="仿宋_GB2312" w:cs="仿宋_GB2312"/>
                <w:kern w:val="2"/>
                <w:sz w:val="21"/>
                <w:szCs w:val="21"/>
                <w:lang w:val="en-US" w:eastAsia="zh-CN" w:bidi="ar"/>
              </w:rPr>
              <w:t>日起施行。</w:t>
            </w:r>
          </w:p>
          <w:p>
            <w:pPr>
              <w:keepNext w:val="0"/>
              <w:keepLines w:val="0"/>
              <w:widowControl w:val="0"/>
              <w:numPr>
                <w:ilvl w:val="0"/>
                <w:numId w:val="1"/>
              </w:numPr>
              <w:suppressLineNumbers w:val="0"/>
              <w:autoSpaceDE w:val="0"/>
              <w:autoSpaceDN w:val="0"/>
              <w:spacing w:before="0" w:beforeAutospacing="0" w:after="0" w:afterAutospacing="0" w:line="360" w:lineRule="exact"/>
              <w:ind w:left="-2518" w:right="0"/>
              <w:jc w:val="both"/>
              <w:rPr>
                <w:rFonts w:hint="default" w:ascii="仿宋_GB2312" w:hAnsi="等线" w:eastAsia="仿宋_GB2312" w:cs="Times New Roman"/>
                <w:kern w:val="2"/>
                <w:sz w:val="21"/>
                <w:szCs w:val="21"/>
                <w:lang w:val="zh-CN" w:bidi="zh-CN"/>
              </w:rPr>
            </w:pPr>
            <w:r>
              <w:rPr>
                <w:rFonts w:hint="default" w:ascii="仿宋_GB2312" w:hAnsi="等线" w:eastAsia="仿宋_GB2312" w:cs="仿宋_GB2312"/>
                <w:b/>
                <w:bCs/>
                <w:kern w:val="2"/>
                <w:sz w:val="21"/>
                <w:szCs w:val="21"/>
                <w:lang w:val="en-US" w:eastAsia="zh-CN" w:bidi="ar"/>
              </w:rPr>
              <w:t>修订：</w:t>
            </w:r>
          </w:p>
        </w:tc>
      </w:tr>
    </w:tbl>
    <w:p>
      <w:pPr>
        <w:keepNext w:val="0"/>
        <w:keepLines w:val="0"/>
        <w:widowControl/>
        <w:suppressLineNumbers w:val="0"/>
        <w:autoSpaceDE w:val="0"/>
        <w:autoSpaceDN w:val="0"/>
        <w:adjustRightInd w:val="0"/>
        <w:snapToGrid w:val="0"/>
        <w:spacing w:before="0" w:beforeAutospacing="0" w:after="0" w:afterAutospacing="0" w:line="320" w:lineRule="exact"/>
        <w:ind w:left="0" w:right="0"/>
        <w:jc w:val="both"/>
        <w:textAlignment w:val="baseline"/>
        <w:rPr>
          <w:rFonts w:hint="default" w:ascii="Arial" w:hAnsi="Arial" w:eastAsia="仿宋_GB2312" w:cs="Times New Roman"/>
          <w:kern w:val="2"/>
          <w:sz w:val="21"/>
          <w:szCs w:val="21"/>
          <w:vertAlign w:val="baseline"/>
          <w:lang w:val="zh-CN" w:bidi="zh-CN"/>
        </w:rPr>
      </w:pPr>
      <w:r>
        <w:rPr>
          <w:rFonts w:hint="default" w:ascii="仿宋_GB2312" w:hAnsi="Arial" w:eastAsia="仿宋_GB2312" w:cs="仿宋_GB2312"/>
          <w:kern w:val="2"/>
          <w:sz w:val="21"/>
          <w:szCs w:val="21"/>
          <w:vertAlign w:val="baseline"/>
          <w:lang w:val="en-US" w:eastAsia="zh-CN" w:bidi="ar"/>
        </w:rPr>
        <w:t>注：</w:t>
      </w:r>
      <w:r>
        <w:rPr>
          <w:rFonts w:hint="default" w:ascii="Arial" w:hAnsi="Arial" w:eastAsia="仿宋_GB2312" w:cs="Arial"/>
          <w:kern w:val="2"/>
          <w:sz w:val="21"/>
          <w:szCs w:val="21"/>
          <w:vertAlign w:val="baseline"/>
          <w:lang w:val="en-US" w:eastAsia="zh-CN" w:bidi="ar"/>
        </w:rPr>
        <w:t>1</w:t>
      </w:r>
      <w:r>
        <w:rPr>
          <w:rFonts w:hint="default" w:ascii="仿宋_GB2312" w:hAnsi="Arial" w:eastAsia="仿宋_GB2312" w:cs="仿宋_GB2312"/>
          <w:kern w:val="2"/>
          <w:sz w:val="21"/>
          <w:szCs w:val="21"/>
          <w:vertAlign w:val="baseline"/>
          <w:lang w:val="en-US" w:eastAsia="zh-CN" w:bidi="ar"/>
        </w:rPr>
        <w:t>．本表格适用于总部。下属</w:t>
      </w:r>
      <w:r>
        <w:rPr>
          <w:rFonts w:hint="eastAsia" w:ascii="仿宋_GB2312" w:hAnsi="Arial" w:eastAsia="仿宋_GB2312" w:cs="仿宋_GB2312"/>
          <w:kern w:val="2"/>
          <w:sz w:val="21"/>
          <w:szCs w:val="21"/>
          <w:vertAlign w:val="baseline"/>
          <w:lang w:val="en-US" w:eastAsia="zh-CN" w:bidi="ar"/>
        </w:rPr>
        <w:t>企业</w:t>
      </w:r>
      <w:r>
        <w:rPr>
          <w:rFonts w:hint="default" w:ascii="仿宋_GB2312" w:hAnsi="Arial" w:eastAsia="仿宋_GB2312" w:cs="仿宋_GB2312"/>
          <w:kern w:val="2"/>
          <w:sz w:val="21"/>
          <w:szCs w:val="21"/>
          <w:vertAlign w:val="baseline"/>
          <w:lang w:val="en-US" w:eastAsia="zh-CN" w:bidi="ar"/>
        </w:rPr>
        <w:t>使用该表格时，应在此基础上增加一行用来填写对应的总部主管业务部门。</w:t>
      </w:r>
    </w:p>
    <w:p>
      <w:pPr>
        <w:keepNext w:val="0"/>
        <w:keepLines w:val="0"/>
        <w:widowControl/>
        <w:suppressLineNumbers w:val="0"/>
        <w:autoSpaceDE w:val="0"/>
        <w:autoSpaceDN w:val="0"/>
        <w:adjustRightInd w:val="0"/>
        <w:snapToGrid w:val="0"/>
        <w:spacing w:before="0" w:beforeAutospacing="0" w:after="0" w:afterAutospacing="0" w:line="320" w:lineRule="exact"/>
        <w:ind w:left="0" w:right="0"/>
        <w:jc w:val="both"/>
        <w:textAlignment w:val="baseline"/>
        <w:rPr>
          <w:rFonts w:hint="default" w:ascii="Arial" w:hAnsi="Arial" w:eastAsia="仿宋_GB2312" w:cs="Times New Roman"/>
          <w:kern w:val="2"/>
          <w:sz w:val="21"/>
          <w:szCs w:val="21"/>
          <w:vertAlign w:val="baseline"/>
          <w:lang w:val="zh-CN" w:bidi="zh-CN"/>
        </w:rPr>
      </w:pPr>
      <w:r>
        <w:rPr>
          <w:rFonts w:hint="default" w:ascii="Arial" w:hAnsi="Arial" w:eastAsia="仿宋_GB2312" w:cs="Arial"/>
          <w:kern w:val="2"/>
          <w:sz w:val="21"/>
          <w:szCs w:val="21"/>
          <w:vertAlign w:val="baseline"/>
          <w:lang w:val="en-US" w:eastAsia="zh-CN" w:bidi="ar"/>
        </w:rPr>
        <w:t>2</w:t>
      </w:r>
      <w:r>
        <w:rPr>
          <w:rFonts w:hint="default" w:ascii="仿宋_GB2312" w:hAnsi="Arial" w:eastAsia="仿宋_GB2312" w:cs="仿宋_GB2312"/>
          <w:kern w:val="2"/>
          <w:sz w:val="21"/>
          <w:szCs w:val="21"/>
          <w:vertAlign w:val="baseline"/>
          <w:lang w:val="en-US" w:eastAsia="zh-CN" w:bidi="ar"/>
        </w:rPr>
        <w:t>．上位制度、下位制度：基于相对效力对制度进行的划分，如：某一制度</w:t>
      </w:r>
      <w:r>
        <w:rPr>
          <w:rFonts w:hint="default" w:ascii="Arial" w:hAnsi="Arial" w:eastAsia="仿宋_GB2312" w:cs="Times New Roman"/>
          <w:kern w:val="2"/>
          <w:sz w:val="21"/>
          <w:szCs w:val="21"/>
          <w:vertAlign w:val="baseline"/>
          <w:lang w:val="en-US" w:eastAsia="zh-CN" w:bidi="ar"/>
        </w:rPr>
        <w:t>B</w:t>
      </w:r>
      <w:r>
        <w:rPr>
          <w:rFonts w:hint="default" w:ascii="仿宋_GB2312" w:hAnsi="Arial" w:eastAsia="仿宋_GB2312" w:cs="仿宋_GB2312"/>
          <w:kern w:val="2"/>
          <w:sz w:val="21"/>
          <w:szCs w:val="21"/>
          <w:vertAlign w:val="baseline"/>
          <w:lang w:val="en-US" w:eastAsia="zh-CN" w:bidi="ar"/>
        </w:rPr>
        <w:t>是根据制度</w:t>
      </w:r>
      <w:r>
        <w:rPr>
          <w:rFonts w:hint="default" w:ascii="Arial" w:hAnsi="Arial" w:eastAsia="仿宋_GB2312" w:cs="Times New Roman"/>
          <w:kern w:val="2"/>
          <w:sz w:val="21"/>
          <w:szCs w:val="21"/>
          <w:vertAlign w:val="baseline"/>
          <w:lang w:val="en-US" w:eastAsia="zh-CN" w:bidi="ar"/>
        </w:rPr>
        <w:t>A</w:t>
      </w:r>
      <w:r>
        <w:rPr>
          <w:rFonts w:hint="default" w:ascii="仿宋_GB2312" w:hAnsi="Arial" w:eastAsia="仿宋_GB2312" w:cs="仿宋_GB2312"/>
          <w:kern w:val="2"/>
          <w:sz w:val="21"/>
          <w:szCs w:val="21"/>
          <w:vertAlign w:val="baseline"/>
          <w:lang w:val="en-US" w:eastAsia="zh-CN" w:bidi="ar"/>
        </w:rPr>
        <w:t>制定的，则</w:t>
      </w:r>
      <w:r>
        <w:rPr>
          <w:rFonts w:hint="default" w:ascii="Arial" w:hAnsi="Arial" w:eastAsia="仿宋_GB2312" w:cs="Times New Roman"/>
          <w:kern w:val="2"/>
          <w:sz w:val="21"/>
          <w:szCs w:val="21"/>
          <w:vertAlign w:val="baseline"/>
          <w:lang w:val="en-US" w:eastAsia="zh-CN" w:bidi="ar"/>
        </w:rPr>
        <w:t>A</w:t>
      </w:r>
      <w:r>
        <w:rPr>
          <w:rFonts w:hint="default" w:ascii="仿宋_GB2312" w:hAnsi="Arial" w:eastAsia="仿宋_GB2312" w:cs="仿宋_GB2312"/>
          <w:kern w:val="2"/>
          <w:sz w:val="21"/>
          <w:szCs w:val="21"/>
          <w:vertAlign w:val="baseline"/>
          <w:lang w:val="en-US" w:eastAsia="zh-CN" w:bidi="ar"/>
        </w:rPr>
        <w:t>称为</w:t>
      </w:r>
      <w:r>
        <w:rPr>
          <w:rFonts w:hint="default" w:ascii="Arial" w:hAnsi="Arial" w:eastAsia="仿宋_GB2312" w:cs="Times New Roman"/>
          <w:kern w:val="2"/>
          <w:sz w:val="21"/>
          <w:szCs w:val="21"/>
          <w:vertAlign w:val="baseline"/>
          <w:lang w:val="en-US" w:eastAsia="zh-CN" w:bidi="ar"/>
        </w:rPr>
        <w:t>B</w:t>
      </w:r>
      <w:r>
        <w:rPr>
          <w:rFonts w:hint="default" w:ascii="仿宋_GB2312" w:hAnsi="Arial" w:eastAsia="仿宋_GB2312" w:cs="仿宋_GB2312"/>
          <w:kern w:val="2"/>
          <w:sz w:val="21"/>
          <w:szCs w:val="21"/>
          <w:vertAlign w:val="baseline"/>
          <w:lang w:val="en-US" w:eastAsia="zh-CN" w:bidi="ar"/>
        </w:rPr>
        <w:t>的上位制度，</w:t>
      </w:r>
      <w:r>
        <w:rPr>
          <w:rFonts w:hint="default" w:ascii="Arial" w:hAnsi="Arial" w:eastAsia="仿宋_GB2312" w:cs="Times New Roman"/>
          <w:kern w:val="2"/>
          <w:sz w:val="21"/>
          <w:szCs w:val="21"/>
          <w:vertAlign w:val="baseline"/>
          <w:lang w:val="en-US" w:eastAsia="zh-CN" w:bidi="ar"/>
        </w:rPr>
        <w:t>B</w:t>
      </w:r>
      <w:r>
        <w:rPr>
          <w:rFonts w:hint="default" w:ascii="仿宋_GB2312" w:hAnsi="Arial" w:eastAsia="仿宋_GB2312" w:cs="仿宋_GB2312"/>
          <w:kern w:val="2"/>
          <w:sz w:val="21"/>
          <w:szCs w:val="21"/>
          <w:vertAlign w:val="baseline"/>
          <w:lang w:val="en-US" w:eastAsia="zh-CN" w:bidi="ar"/>
        </w:rPr>
        <w:t>称为</w:t>
      </w:r>
      <w:r>
        <w:rPr>
          <w:rFonts w:hint="default" w:ascii="Arial" w:hAnsi="Arial" w:eastAsia="仿宋_GB2312" w:cs="Times New Roman"/>
          <w:kern w:val="2"/>
          <w:sz w:val="21"/>
          <w:szCs w:val="21"/>
          <w:vertAlign w:val="baseline"/>
          <w:lang w:val="en-US" w:eastAsia="zh-CN" w:bidi="ar"/>
        </w:rPr>
        <w:t>A</w:t>
      </w:r>
      <w:r>
        <w:rPr>
          <w:rFonts w:hint="default" w:ascii="仿宋_GB2312" w:hAnsi="Arial" w:eastAsia="仿宋_GB2312" w:cs="仿宋_GB2312"/>
          <w:kern w:val="2"/>
          <w:sz w:val="21"/>
          <w:szCs w:val="21"/>
          <w:vertAlign w:val="baseline"/>
          <w:lang w:val="en-US" w:eastAsia="zh-CN" w:bidi="ar"/>
        </w:rPr>
        <w:t>的下位制度。</w:t>
      </w:r>
    </w:p>
    <w:p>
      <w:pPr>
        <w:keepNext w:val="0"/>
        <w:keepLines w:val="0"/>
        <w:widowControl/>
        <w:suppressLineNumbers w:val="0"/>
        <w:autoSpaceDE w:val="0"/>
        <w:autoSpaceDN w:val="0"/>
        <w:adjustRightInd w:val="0"/>
        <w:snapToGrid w:val="0"/>
        <w:spacing w:before="0" w:beforeAutospacing="0" w:after="0" w:afterAutospacing="0" w:line="320" w:lineRule="exact"/>
        <w:ind w:left="0" w:right="0"/>
        <w:jc w:val="both"/>
        <w:textAlignment w:val="baseline"/>
        <w:rPr>
          <w:rFonts w:hint="default" w:ascii="Arial" w:hAnsi="Arial" w:eastAsia="仿宋_GB2312" w:cs="Times New Roman"/>
          <w:kern w:val="2"/>
          <w:sz w:val="21"/>
          <w:szCs w:val="21"/>
          <w:vertAlign w:val="baseline"/>
          <w:lang w:val="zh-CN" w:bidi="zh-CN"/>
        </w:rPr>
      </w:pPr>
      <w:r>
        <w:rPr>
          <w:rFonts w:hint="default" w:ascii="Arial" w:hAnsi="Arial" w:eastAsia="仿宋_GB2312" w:cs="Arial"/>
          <w:kern w:val="2"/>
          <w:sz w:val="21"/>
          <w:szCs w:val="21"/>
          <w:vertAlign w:val="baseline"/>
          <w:lang w:val="en-US" w:eastAsia="zh-CN" w:bidi="ar"/>
        </w:rPr>
        <w:t>3</w:t>
      </w:r>
      <w:r>
        <w:rPr>
          <w:rFonts w:hint="default" w:ascii="仿宋_GB2312" w:hAnsi="Arial" w:eastAsia="仿宋_GB2312" w:cs="仿宋_GB2312"/>
          <w:kern w:val="2"/>
          <w:sz w:val="21"/>
          <w:szCs w:val="21"/>
          <w:vertAlign w:val="baseline"/>
          <w:lang w:val="en-US" w:eastAsia="zh-CN" w:bidi="ar"/>
        </w:rPr>
        <w:t>．关联制度：制度中某些章节须引用到别的制度条款，常见“详见《……规定》第×章”的形式。</w:t>
      </w:r>
    </w:p>
    <w:p>
      <w:pPr>
        <w:keepNext w:val="0"/>
        <w:keepLines w:val="0"/>
        <w:widowControl/>
        <w:suppressLineNumbers w:val="0"/>
        <w:autoSpaceDE w:val="0"/>
        <w:autoSpaceDN w:val="0"/>
        <w:adjustRightInd w:val="0"/>
        <w:snapToGrid w:val="0"/>
        <w:spacing w:before="0" w:beforeAutospacing="0" w:after="0" w:afterAutospacing="0" w:line="320" w:lineRule="exact"/>
        <w:ind w:left="0" w:right="0"/>
        <w:jc w:val="left"/>
        <w:textAlignment w:val="baseline"/>
        <w:rPr>
          <w:rFonts w:ascii="仿宋_GB2312" w:hAnsi="仿宋_GB2312" w:eastAsia="仿宋_GB2312" w:cs="仿宋_GB2312"/>
          <w:kern w:val="0"/>
          <w:sz w:val="22"/>
          <w:lang w:val="zh-CN" w:bidi="zh-CN"/>
        </w:rPr>
      </w:pPr>
      <w:r>
        <w:rPr>
          <w:rFonts w:hint="default" w:ascii="Arial" w:hAnsi="Arial" w:eastAsia="仿宋_GB2312" w:cs="Arial"/>
          <w:kern w:val="2"/>
          <w:sz w:val="21"/>
          <w:szCs w:val="21"/>
          <w:vertAlign w:val="baseline"/>
          <w:lang w:val="en-US" w:eastAsia="zh-CN" w:bidi="ar"/>
        </w:rPr>
        <w:t>4</w:t>
      </w:r>
      <w:r>
        <w:rPr>
          <w:rFonts w:hint="default" w:ascii="仿宋_GB2312" w:hAnsi="Arial" w:eastAsia="仿宋_GB2312" w:cs="仿宋_GB2312"/>
          <w:kern w:val="2"/>
          <w:sz w:val="21"/>
          <w:szCs w:val="21"/>
          <w:vertAlign w:val="baseline"/>
          <w:lang w:val="en-US" w:eastAsia="zh-CN" w:bidi="ar"/>
        </w:rPr>
        <w:t>．替代制度：新制度发布或修订时替代掉的原制度或制度的旧版本。</w:t>
      </w:r>
    </w:p>
    <w:p>
      <w:pPr>
        <w:keepNext w:val="0"/>
        <w:keepLines w:val="0"/>
        <w:widowControl/>
        <w:suppressLineNumbers w:val="0"/>
        <w:adjustRightInd w:val="0"/>
        <w:spacing w:line="320" w:lineRule="exact"/>
        <w:jc w:val="left"/>
        <w:rPr>
          <w:rFonts w:hint="default" w:ascii="Arial" w:hAnsi="Arial" w:eastAsia="仿宋_GB2312" w:cs="Times New Roman"/>
          <w:kern w:val="2"/>
          <w:sz w:val="21"/>
          <w:szCs w:val="21"/>
          <w:vertAlign w:val="baseline"/>
        </w:rPr>
        <w:sectPr>
          <w:footerReference r:id="rId6" w:type="default"/>
          <w:footerReference r:id="rId7" w:type="even"/>
          <w:pgSz w:w="11906" w:h="16838"/>
          <w:pgMar w:top="2098" w:right="1474" w:bottom="1984" w:left="1587" w:header="0" w:footer="1026" w:gutter="0"/>
          <w:pgNumType w:fmt="numberInDash"/>
          <w:cols w:space="0" w:num="1"/>
        </w:sectPr>
      </w:pPr>
    </w:p>
    <w:p>
      <w:pPr>
        <w:autoSpaceDE w:val="0"/>
        <w:autoSpaceDN w:val="0"/>
        <w:jc w:val="left"/>
        <w:rPr>
          <w:rFonts w:ascii="Arial" w:hAnsi="Arial" w:eastAsia="仿宋_GB2312" w:cs="Arial"/>
          <w:color w:val="000000"/>
          <w:kern w:val="0"/>
          <w:sz w:val="32"/>
          <w:szCs w:val="32"/>
          <w:lang w:val="zh-CN" w:bidi="zh-CN"/>
        </w:rPr>
      </w:pPr>
    </w:p>
    <w:p>
      <w:pPr>
        <w:autoSpaceDE w:val="0"/>
        <w:autoSpaceDN w:val="0"/>
        <w:adjustRightInd w:val="0"/>
        <w:snapToGrid w:val="0"/>
        <w:spacing w:line="560" w:lineRule="exact"/>
        <w:ind w:firstLine="640" w:firstLineChars="200"/>
        <w:jc w:val="center"/>
        <w:rPr>
          <w:rFonts w:ascii="Arial" w:hAnsi="Arial" w:eastAsia="仿宋_GB2312" w:cs="Arial"/>
          <w:color w:val="000000"/>
          <w:kern w:val="0"/>
          <w:sz w:val="32"/>
          <w:szCs w:val="32"/>
          <w:lang w:val="zh-CN" w:bidi="zh-CN"/>
        </w:rPr>
      </w:pPr>
    </w:p>
    <w:p>
      <w:pPr>
        <w:widowControl w:val="0"/>
        <w:autoSpaceDE w:val="0"/>
        <w:autoSpaceDN w:val="0"/>
        <w:adjustRightInd w:val="0"/>
        <w:snapToGrid w:val="0"/>
        <w:spacing w:line="560" w:lineRule="exact"/>
        <w:ind w:firstLine="640" w:firstLineChars="200"/>
        <w:jc w:val="center"/>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jc w:val="center"/>
        <w:rPr>
          <w:rFonts w:ascii="Arial" w:hAnsi="Arial" w:eastAsia="仿宋_GB2312" w:cs="Arial"/>
          <w:color w:val="000000"/>
          <w:sz w:val="32"/>
          <w:szCs w:val="32"/>
          <w:lang w:val="zh-CN" w:eastAsia="zh-CN" w:bidi="zh-CN"/>
        </w:rPr>
      </w:pPr>
    </w:p>
    <w:sdt>
      <w:sdtPr>
        <w:rPr>
          <w:rFonts w:ascii="宋体" w:hAnsi="宋体" w:eastAsia="宋体" w:cs="Times New Roman"/>
          <w:kern w:val="2"/>
          <w:sz w:val="21"/>
          <w:szCs w:val="22"/>
          <w:lang w:val="en-US" w:eastAsia="zh-CN" w:bidi="ar-SA"/>
        </w:rPr>
        <w:id w:val="147454893"/>
        <w15:color w:val="DBDBDB"/>
        <w:docPartObj>
          <w:docPartGallery w:val="Table of Contents"/>
          <w:docPartUnique/>
        </w:docPartObj>
      </w:sdtPr>
      <w:sdtEndPr>
        <w:rPr>
          <w:rFonts w:hint="eastAsia" w:ascii="黑体" w:hAnsi="黑体" w:eastAsia="黑体" w:cs="黑体"/>
          <w:bCs/>
          <w:color w:val="000000"/>
          <w:kern w:val="2"/>
          <w:sz w:val="21"/>
          <w:szCs w:val="31"/>
          <w:lang w:val="en-US" w:eastAsia="zh-CN" w:bidi="zh-CN"/>
        </w:rPr>
      </w:sdtEndPr>
      <w:sdtContent>
        <w:p>
          <w:pPr>
            <w:keepNext w:val="0"/>
            <w:keepLines w:val="0"/>
            <w:pageBreakBefore w:val="0"/>
            <w:kinsoku/>
            <w:wordWrap/>
            <w:overflowPunct/>
            <w:topLinePunct w:val="0"/>
            <w:bidi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录</w:t>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color w:val="000000"/>
              <w:sz w:val="32"/>
              <w:szCs w:val="32"/>
              <w:lang w:val="en-US" w:eastAsia="zh-CN" w:bidi="zh-CN"/>
            </w:rPr>
            <w:instrText xml:space="preserve">TOC \o "1-1" \h \u </w:instrText>
          </w:r>
          <w:r>
            <w:rPr>
              <w:rFonts w:hint="eastAsia" w:ascii="仿宋_GB2312" w:hAnsi="仿宋_GB2312" w:eastAsia="仿宋_GB2312" w:cs="仿宋_GB2312"/>
              <w:bCs/>
              <w:color w:val="000000"/>
              <w:sz w:val="32"/>
              <w:szCs w:val="32"/>
              <w:lang w:val="en-US" w:eastAsia="zh-CN" w:bidi="zh-CN"/>
            </w:rPr>
            <w:fldChar w:fldCharType="separate"/>
          </w: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_Toc2178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第一章 总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_Toc2178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_Toc5276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第二章 职责分工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_Toc5276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_Toc19473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第三章 招租计划与方案制定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_Toc19473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_Toc10135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第四章 资产租赁决策机构及决策权限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_Toc10135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_Toc4037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第五章 资产招租管理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_Toc4037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_Toc9643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第六章 资产租赁日常管理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_Toc9643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_Toc31896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第七章 退租管理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_Toc31896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_Toc25124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第八章 监督与检查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_Toc25124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_Toc5626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第九章 附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_Toc5626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val="0"/>
            <w:autoSpaceDN w:val="0"/>
            <w:bidi w:val="0"/>
            <w:adjustRightInd w:val="0"/>
            <w:snapToGrid w:val="0"/>
            <w:spacing w:line="560" w:lineRule="exact"/>
            <w:jc w:val="center"/>
            <w:textAlignment w:val="auto"/>
            <w:outlineLvl w:val="9"/>
            <w:rPr>
              <w:rFonts w:hint="eastAsia" w:ascii="黑体" w:hAnsi="黑体" w:eastAsia="黑体" w:cs="黑体"/>
              <w:bCs/>
              <w:color w:val="000000"/>
              <w:sz w:val="32"/>
              <w:szCs w:val="31"/>
              <w:lang w:val="en-US" w:eastAsia="zh-CN" w:bidi="zh-CN"/>
            </w:rPr>
            <w:sectPr>
              <w:footerReference r:id="rId8" w:type="default"/>
              <w:footerReference r:id="rId9" w:type="even"/>
              <w:pgSz w:w="11928" w:h="16860"/>
              <w:pgMar w:top="2098" w:right="1474" w:bottom="1984" w:left="1587" w:header="1814" w:footer="1026" w:gutter="0"/>
              <w:pgNumType w:fmt="decimal" w:start="1"/>
              <w:cols w:space="0" w:num="1"/>
              <w:docGrid w:linePitch="299" w:charSpace="0"/>
            </w:sectPr>
          </w:pPr>
          <w:r>
            <w:rPr>
              <w:rFonts w:hint="eastAsia" w:ascii="仿宋_GB2312" w:hAnsi="仿宋_GB2312" w:eastAsia="仿宋_GB2312" w:cs="仿宋_GB2312"/>
              <w:bCs/>
              <w:color w:val="000000"/>
              <w:sz w:val="32"/>
              <w:szCs w:val="32"/>
              <w:lang w:val="en-US" w:eastAsia="zh-CN" w:bidi="zh-CN"/>
            </w:rPr>
            <w:fldChar w:fldCharType="end"/>
          </w:r>
        </w:p>
      </w:sdtContent>
    </w:sdt>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color w:val="000000"/>
          <w:sz w:val="32"/>
          <w:szCs w:val="31"/>
          <w:lang w:val="en-US" w:eastAsia="zh-CN" w:bidi="zh-CN"/>
        </w:rPr>
      </w:pPr>
      <w:bookmarkStart w:id="3" w:name="_Toc2178"/>
      <w:r>
        <w:rPr>
          <w:rFonts w:hint="eastAsia" w:ascii="黑体" w:hAnsi="黑体" w:eastAsia="黑体" w:cs="黑体"/>
          <w:bCs/>
          <w:color w:val="000000"/>
          <w:sz w:val="32"/>
          <w:szCs w:val="31"/>
          <w:lang w:val="en-US" w:eastAsia="zh-CN" w:bidi="zh-CN"/>
        </w:rPr>
        <w:t>总  则</w:t>
      </w:r>
      <w:bookmarkEnd w:id="3"/>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3" w:firstLineChars="200"/>
        <w:jc w:val="both"/>
        <w:textAlignment w:val="auto"/>
        <w:rPr>
          <w:rFonts w:ascii="仿宋_GB2312" w:hAnsi="仿宋_GB2312" w:eastAsia="仿宋_GB2312" w:cs="仿宋_GB2312"/>
          <w:color w:val="000000"/>
          <w:sz w:val="32"/>
          <w:szCs w:val="32"/>
          <w:lang w:val="zh-CN" w:eastAsia="zh-CN" w:bidi="zh-CN"/>
        </w:rPr>
      </w:pPr>
      <w:r>
        <w:rPr>
          <w:rFonts w:hint="eastAsia" w:ascii="仿宋_GB2312" w:hAnsi="仿宋_GB2312" w:eastAsia="仿宋_GB2312" w:cs="仿宋_GB2312"/>
          <w:b/>
          <w:color w:val="000000"/>
          <w:sz w:val="32"/>
          <w:szCs w:val="32"/>
          <w:lang w:val="en-US" w:eastAsia="zh-CN" w:bidi="zh-CN"/>
        </w:rPr>
        <w:t xml:space="preserve"> </w:t>
      </w:r>
      <w:r>
        <w:rPr>
          <w:rFonts w:hint="eastAsia" w:ascii="仿宋_GB2312" w:hAnsi="仿宋_GB2312" w:eastAsia="仿宋_GB2312" w:cs="仿宋_GB2312"/>
          <w:color w:val="000000"/>
          <w:sz w:val="32"/>
          <w:szCs w:val="32"/>
          <w:lang w:val="zh-CN" w:eastAsia="zh-CN" w:bidi="zh-CN"/>
        </w:rPr>
        <w:t>为规范</w:t>
      </w:r>
      <w:r>
        <w:rPr>
          <w:rFonts w:hint="eastAsia" w:ascii="仿宋_GB2312" w:hAnsi="仿宋_GB2312" w:eastAsia="仿宋_GB2312" w:cs="仿宋_GB2312"/>
          <w:color w:val="000000"/>
          <w:sz w:val="32"/>
          <w:szCs w:val="32"/>
          <w:lang w:val="en-US" w:eastAsia="zh-CN" w:bidi="zh-CN"/>
        </w:rPr>
        <w:t>资产租赁</w:t>
      </w:r>
      <w:r>
        <w:rPr>
          <w:rFonts w:hint="eastAsia" w:ascii="仿宋_GB2312" w:hAnsi="仿宋_GB2312" w:eastAsia="仿宋_GB2312" w:cs="仿宋_GB2312"/>
          <w:color w:val="000000"/>
          <w:sz w:val="32"/>
          <w:szCs w:val="32"/>
          <w:lang w:val="zh-CN" w:eastAsia="zh-CN" w:bidi="zh-CN"/>
        </w:rPr>
        <w:t>行为，加强资产</w:t>
      </w:r>
      <w:r>
        <w:rPr>
          <w:rFonts w:hint="eastAsia" w:ascii="仿宋_GB2312" w:hAnsi="仿宋_GB2312" w:eastAsia="仿宋_GB2312" w:cs="仿宋_GB2312"/>
          <w:color w:val="000000"/>
          <w:sz w:val="32"/>
          <w:szCs w:val="32"/>
          <w:lang w:val="en-US" w:eastAsia="zh-CN" w:bidi="zh-CN"/>
        </w:rPr>
        <w:t>租赁</w:t>
      </w:r>
      <w:r>
        <w:rPr>
          <w:rFonts w:hint="eastAsia" w:ascii="仿宋_GB2312" w:hAnsi="仿宋_GB2312" w:eastAsia="仿宋_GB2312" w:cs="仿宋_GB2312"/>
          <w:color w:val="000000"/>
          <w:sz w:val="32"/>
          <w:szCs w:val="32"/>
          <w:lang w:val="zh-CN" w:eastAsia="zh-CN" w:bidi="zh-CN"/>
        </w:rPr>
        <w:t>管理工作，</w:t>
      </w:r>
      <w:r>
        <w:rPr>
          <w:rFonts w:hint="eastAsia" w:ascii="仿宋_GB2312" w:hAnsi="仿宋_GB2312" w:eastAsia="仿宋_GB2312" w:cs="仿宋_GB2312"/>
          <w:color w:val="000000"/>
          <w:sz w:val="32"/>
          <w:szCs w:val="32"/>
          <w:highlight w:val="none"/>
          <w:lang w:val="en-US" w:eastAsia="zh-CN" w:bidi="zh-CN"/>
        </w:rPr>
        <w:t>提高国有资产经营效益，防止国有资产流失，确保国有资产保值增值，</w:t>
      </w:r>
      <w:r>
        <w:rPr>
          <w:rFonts w:hint="eastAsia" w:ascii="仿宋_GB2312" w:hAnsi="仿宋_GB2312" w:eastAsia="仿宋_GB2312" w:cs="仿宋_GB2312"/>
          <w:color w:val="000000"/>
          <w:sz w:val="32"/>
          <w:szCs w:val="32"/>
          <w:lang w:val="zh-CN" w:eastAsia="zh-CN" w:bidi="zh-CN"/>
        </w:rPr>
        <w:t>根据《绵阳市企业国有资产流转监督管理办法》（</w:t>
      </w:r>
      <w:r>
        <w:rPr>
          <w:rFonts w:hint="default" w:ascii="仿宋_GB2312" w:hAnsi="仿宋_GB2312" w:eastAsia="仿宋_GB2312" w:cs="仿宋_GB2312"/>
          <w:color w:val="000000"/>
          <w:sz w:val="32"/>
          <w:szCs w:val="32"/>
          <w:lang w:val="en-US" w:eastAsia="zh-CN" w:bidi="zh-CN"/>
        </w:rPr>
        <w:t>绵</w:t>
      </w:r>
      <w:r>
        <w:rPr>
          <w:rFonts w:hint="eastAsia" w:ascii="仿宋_GB2312" w:hAnsi="仿宋_GB2312" w:eastAsia="仿宋_GB2312" w:cs="仿宋_GB2312"/>
          <w:color w:val="000000"/>
          <w:sz w:val="32"/>
          <w:szCs w:val="32"/>
          <w:lang w:val="en-US" w:eastAsia="zh-CN" w:bidi="zh-CN"/>
        </w:rPr>
        <w:t>国资委</w:t>
      </w:r>
      <w:r>
        <w:rPr>
          <w:rFonts w:hint="default" w:ascii="仿宋_GB2312" w:hAnsi="仿宋_GB2312" w:eastAsia="仿宋_GB2312" w:cs="仿宋_GB2312"/>
          <w:color w:val="000000"/>
          <w:sz w:val="32"/>
          <w:szCs w:val="32"/>
          <w:lang w:val="en-US" w:eastAsia="zh-CN" w:bidi="zh-CN"/>
        </w:rPr>
        <w:t>发</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2018</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29</w:t>
      </w:r>
      <w:r>
        <w:rPr>
          <w:rFonts w:hint="eastAsia" w:ascii="仿宋_GB2312" w:hAnsi="仿宋_GB2312" w:eastAsia="仿宋_GB2312" w:cs="仿宋_GB2312"/>
          <w:color w:val="000000"/>
          <w:sz w:val="32"/>
          <w:szCs w:val="32"/>
          <w:lang w:val="zh-CN" w:eastAsia="zh-CN" w:bidi="zh-CN"/>
        </w:rPr>
        <w:t>号）《</w:t>
      </w:r>
      <w:r>
        <w:rPr>
          <w:rFonts w:hint="eastAsia" w:ascii="仿宋_GB2312" w:hAnsi="仿宋_GB2312" w:eastAsia="仿宋_GB2312" w:cs="仿宋_GB2312"/>
          <w:color w:val="000000"/>
          <w:sz w:val="32"/>
          <w:szCs w:val="32"/>
          <w:lang w:val="en-US" w:eastAsia="zh-CN" w:bidi="zh-CN"/>
        </w:rPr>
        <w:t>绵阳市国资委关于规范市属国有企业资产租赁管理的指导意见</w:t>
      </w:r>
      <w:r>
        <w:rPr>
          <w:rFonts w:hint="eastAsia" w:ascii="仿宋_GB2312" w:hAnsi="仿宋_GB2312" w:eastAsia="仿宋_GB2312" w:cs="仿宋_GB2312"/>
          <w:color w:val="000000"/>
          <w:sz w:val="32"/>
          <w:szCs w:val="32"/>
          <w:lang w:val="zh-CN" w:eastAsia="zh-CN" w:bidi="zh-CN"/>
        </w:rPr>
        <w:t>》（</w:t>
      </w:r>
      <w:r>
        <w:rPr>
          <w:rFonts w:hint="default" w:ascii="仿宋_GB2312" w:hAnsi="仿宋_GB2312" w:eastAsia="仿宋_GB2312" w:cs="仿宋_GB2312"/>
          <w:color w:val="000000"/>
          <w:sz w:val="32"/>
          <w:szCs w:val="32"/>
          <w:lang w:val="en-US" w:eastAsia="zh-CN" w:bidi="zh-CN"/>
        </w:rPr>
        <w:t>绵</w:t>
      </w:r>
      <w:r>
        <w:rPr>
          <w:rFonts w:hint="eastAsia" w:ascii="仿宋_GB2312" w:hAnsi="仿宋_GB2312" w:eastAsia="仿宋_GB2312" w:cs="仿宋_GB2312"/>
          <w:color w:val="000000"/>
          <w:sz w:val="32"/>
          <w:szCs w:val="32"/>
          <w:lang w:val="en-US" w:eastAsia="zh-CN" w:bidi="zh-CN"/>
        </w:rPr>
        <w:t>国资委</w:t>
      </w:r>
      <w:r>
        <w:rPr>
          <w:rFonts w:hint="default" w:ascii="仿宋_GB2312" w:hAnsi="仿宋_GB2312" w:eastAsia="仿宋_GB2312" w:cs="仿宋_GB2312"/>
          <w:color w:val="000000"/>
          <w:sz w:val="32"/>
          <w:szCs w:val="32"/>
          <w:lang w:val="en-US" w:eastAsia="zh-CN" w:bidi="zh-CN"/>
        </w:rPr>
        <w:t>发</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2024</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3</w:t>
      </w:r>
      <w:r>
        <w:rPr>
          <w:rFonts w:hint="eastAsia" w:ascii="仿宋_GB2312" w:hAnsi="仿宋_GB2312" w:eastAsia="仿宋_GB2312" w:cs="仿宋_GB2312"/>
          <w:color w:val="000000"/>
          <w:sz w:val="32"/>
          <w:szCs w:val="32"/>
          <w:lang w:val="zh-CN" w:eastAsia="zh-CN" w:bidi="zh-CN"/>
        </w:rPr>
        <w:t>号）《</w:t>
      </w:r>
      <w:r>
        <w:rPr>
          <w:rFonts w:hint="default" w:ascii="仿宋_GB2312" w:hAnsi="仿宋_GB2312" w:eastAsia="仿宋_GB2312" w:cs="仿宋_GB2312"/>
          <w:color w:val="000000"/>
          <w:sz w:val="32"/>
          <w:szCs w:val="32"/>
          <w:lang w:val="en-US" w:eastAsia="zh-CN" w:bidi="zh-CN"/>
        </w:rPr>
        <w:t>绵阳市人民政府办公室关于进一步规范重点领域重要信息公开工作的通知</w:t>
      </w:r>
      <w:r>
        <w:rPr>
          <w:rFonts w:hint="eastAsia" w:ascii="仿宋_GB2312" w:hAnsi="仿宋_GB2312" w:eastAsia="仿宋_GB2312" w:cs="仿宋_GB2312"/>
          <w:color w:val="000000"/>
          <w:sz w:val="32"/>
          <w:szCs w:val="32"/>
          <w:lang w:val="zh-CN" w:eastAsia="zh-CN" w:bidi="zh-CN"/>
        </w:rPr>
        <w:t>》（</w:t>
      </w:r>
      <w:r>
        <w:rPr>
          <w:rFonts w:hint="default" w:ascii="仿宋_GB2312" w:hAnsi="仿宋_GB2312" w:eastAsia="仿宋_GB2312" w:cs="仿宋_GB2312"/>
          <w:color w:val="000000"/>
          <w:sz w:val="32"/>
          <w:szCs w:val="32"/>
          <w:lang w:val="en-US" w:eastAsia="zh-CN" w:bidi="zh-CN"/>
        </w:rPr>
        <w:t>绵府办发</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2023</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26</w:t>
      </w:r>
      <w:r>
        <w:rPr>
          <w:rFonts w:hint="eastAsia" w:ascii="仿宋_GB2312" w:hAnsi="仿宋_GB2312" w:eastAsia="仿宋_GB2312" w:cs="仿宋_GB2312"/>
          <w:color w:val="000000"/>
          <w:sz w:val="32"/>
          <w:szCs w:val="32"/>
          <w:lang w:val="zh-CN" w:eastAsia="zh-CN" w:bidi="zh-CN"/>
        </w:rPr>
        <w:t>号）</w:t>
      </w:r>
      <w:r>
        <w:rPr>
          <w:rFonts w:hint="eastAsia" w:ascii="仿宋_GB2312" w:hAnsi="仿宋_GB2312" w:eastAsia="仿宋_GB2312" w:cs="仿宋_GB2312"/>
          <w:color w:val="000000"/>
          <w:sz w:val="32"/>
          <w:szCs w:val="32"/>
          <w:lang w:val="en-US" w:eastAsia="zh-CN" w:bidi="zh-CN"/>
        </w:rPr>
        <w:t>等</w:t>
      </w:r>
      <w:r>
        <w:rPr>
          <w:rFonts w:hint="eastAsia" w:ascii="仿宋_GB2312" w:hAnsi="仿宋_GB2312" w:eastAsia="仿宋_GB2312" w:cs="仿宋_GB2312"/>
          <w:color w:val="000000"/>
          <w:sz w:val="32"/>
          <w:szCs w:val="32"/>
          <w:highlight w:val="none"/>
          <w:lang w:val="en-US" w:eastAsia="zh-CN" w:bidi="zh-CN"/>
        </w:rPr>
        <w:t>规定</w:t>
      </w:r>
      <w:r>
        <w:rPr>
          <w:rFonts w:hint="eastAsia" w:ascii="仿宋_GB2312" w:hAnsi="仿宋_GB2312" w:eastAsia="仿宋_GB2312" w:cs="仿宋_GB2312"/>
          <w:color w:val="000000"/>
          <w:sz w:val="32"/>
          <w:szCs w:val="32"/>
          <w:highlight w:val="none"/>
          <w:lang w:val="zh-CN" w:eastAsia="zh-CN" w:bidi="zh-CN"/>
        </w:rPr>
        <w:t>，结合</w:t>
      </w:r>
      <w:r>
        <w:rPr>
          <w:rFonts w:hint="eastAsia" w:ascii="仿宋_GB2312" w:hAnsi="仿宋_GB2312" w:eastAsia="仿宋_GB2312" w:cs="仿宋_GB2312"/>
          <w:color w:val="000000"/>
          <w:sz w:val="32"/>
          <w:szCs w:val="32"/>
          <w:highlight w:val="none"/>
          <w:lang w:val="en-US" w:eastAsia="zh-CN" w:bidi="zh-CN"/>
        </w:rPr>
        <w:t>公司</w:t>
      </w:r>
      <w:r>
        <w:rPr>
          <w:rFonts w:hint="eastAsia" w:ascii="仿宋_GB2312" w:hAnsi="仿宋_GB2312" w:eastAsia="仿宋_GB2312" w:cs="仿宋_GB2312"/>
          <w:color w:val="000000"/>
          <w:sz w:val="32"/>
          <w:szCs w:val="32"/>
          <w:highlight w:val="none"/>
          <w:lang w:val="zh-CN" w:eastAsia="zh-CN" w:bidi="zh-CN"/>
        </w:rPr>
        <w:t>实际，制定本办法</w:t>
      </w:r>
      <w:r>
        <w:rPr>
          <w:rFonts w:hint="eastAsia" w:ascii="仿宋_GB2312" w:hAnsi="仿宋_GB2312" w:eastAsia="仿宋_GB2312" w:cs="仿宋_GB2312"/>
          <w:color w:val="000000"/>
          <w:sz w:val="32"/>
          <w:szCs w:val="32"/>
          <w:lang w:val="zh-CN" w:eastAsia="zh-CN" w:bidi="zh-CN"/>
        </w:rPr>
        <w:t>。</w:t>
      </w:r>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0" w:firstLineChars="200"/>
        <w:jc w:val="both"/>
        <w:textAlignment w:val="auto"/>
        <w:rPr>
          <w:rFonts w:ascii="仿宋_GB2312" w:hAnsi="仿宋_GB2312" w:eastAsia="仿宋_GB2312" w:cs="仿宋_GB2312"/>
          <w:color w:val="000000"/>
          <w:sz w:val="32"/>
          <w:szCs w:val="32"/>
          <w:highlight w:val="none"/>
          <w:lang w:val="zh-CN" w:eastAsia="zh-CN" w:bidi="zh-CN"/>
        </w:rPr>
      </w:pPr>
      <w:r>
        <w:rPr>
          <w:rFonts w:hint="eastAsia" w:ascii="仿宋_GB2312" w:hAnsi="仿宋_GB2312" w:eastAsia="仿宋_GB2312" w:cs="仿宋_GB2312"/>
          <w:color w:val="000000"/>
          <w:sz w:val="32"/>
          <w:szCs w:val="32"/>
          <w:lang w:val="en-US" w:eastAsia="zh-CN" w:bidi="zh-CN"/>
        </w:rPr>
        <w:t xml:space="preserve"> 本办法适用于四川九洲投资控股集团有限公司(下称总部）及下属各级全资、控股及</w:t>
      </w:r>
      <w:r>
        <w:rPr>
          <w:rFonts w:hint="default" w:ascii="仿宋_GB2312" w:hAnsi="仿宋_GB2312" w:eastAsia="仿宋_GB2312" w:cs="仿宋_GB2312"/>
          <w:color w:val="000000"/>
          <w:sz w:val="32"/>
          <w:szCs w:val="32"/>
          <w:lang w:val="zh-CN" w:eastAsia="zh-CN" w:bidi="zh-CN"/>
        </w:rPr>
        <w:t>其他能够</w:t>
      </w:r>
      <w:r>
        <w:rPr>
          <w:rFonts w:hint="eastAsia" w:ascii="仿宋_GB2312" w:hAnsi="仿宋_GB2312" w:eastAsia="仿宋_GB2312" w:cs="仿宋_GB2312"/>
          <w:color w:val="000000"/>
          <w:sz w:val="32"/>
          <w:szCs w:val="32"/>
          <w:lang w:val="en-US" w:eastAsia="zh-CN" w:bidi="zh-CN"/>
        </w:rPr>
        <w:t>实际控制的企业(下称下属企业）。总部和下属企业统称为集团。</w:t>
      </w:r>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仿宋_GB2312" w:hAnsi="仿宋_GB2312" w:eastAsia="仿宋_GB2312" w:cs="仿宋_GB2312"/>
          <w:sz w:val="32"/>
          <w:szCs w:val="32"/>
          <w:lang w:val="en-US" w:eastAsia="zh-CN" w:bidi="zh-CN"/>
        </w:rPr>
      </w:pPr>
      <w:r>
        <w:rPr>
          <w:rFonts w:hint="eastAsia" w:ascii="仿宋_GB2312" w:hAnsi="仿宋_GB2312" w:eastAsia="仿宋_GB2312" w:cs="仿宋_GB2312"/>
          <w:color w:val="000000"/>
          <w:sz w:val="32"/>
          <w:szCs w:val="32"/>
          <w:highlight w:val="none"/>
          <w:lang w:val="en-US" w:eastAsia="zh-CN" w:bidi="zh-CN"/>
        </w:rPr>
        <w:t xml:space="preserve"> 本办法</w:t>
      </w:r>
      <w:r>
        <w:rPr>
          <w:rFonts w:ascii="仿宋_GB2312" w:hAnsi="宋体" w:eastAsia="仿宋_GB2312" w:cs="仿宋_GB2312"/>
          <w:color w:val="000000"/>
          <w:kern w:val="0"/>
          <w:sz w:val="32"/>
          <w:szCs w:val="32"/>
          <w:highlight w:val="none"/>
          <w:lang w:val="en-US" w:eastAsia="zh-CN" w:bidi="ar"/>
        </w:rPr>
        <w:t>所称资产租赁，是指</w:t>
      </w:r>
      <w:r>
        <w:rPr>
          <w:rFonts w:hint="eastAsia" w:ascii="仿宋_GB2312" w:hAnsi="宋体" w:eastAsia="仿宋_GB2312" w:cs="仿宋_GB2312"/>
          <w:color w:val="000000"/>
          <w:kern w:val="0"/>
          <w:sz w:val="32"/>
          <w:szCs w:val="32"/>
          <w:highlight w:val="none"/>
          <w:lang w:val="en-US" w:eastAsia="zh-CN" w:bidi="ar"/>
        </w:rPr>
        <w:t>集团</w:t>
      </w:r>
      <w:r>
        <w:rPr>
          <w:rFonts w:ascii="仿宋_GB2312" w:hAnsi="宋体" w:eastAsia="仿宋_GB2312" w:cs="仿宋_GB2312"/>
          <w:color w:val="000000"/>
          <w:kern w:val="0"/>
          <w:sz w:val="32"/>
          <w:szCs w:val="32"/>
          <w:lang w:val="en-US" w:eastAsia="zh-CN" w:bidi="ar"/>
        </w:rPr>
        <w:t>将</w:t>
      </w:r>
      <w:r>
        <w:rPr>
          <w:rFonts w:hint="eastAsia" w:ascii="仿宋_GB2312" w:hAnsi="宋体" w:eastAsia="仿宋_GB2312" w:cs="仿宋_GB2312"/>
          <w:color w:val="000000"/>
          <w:kern w:val="0"/>
          <w:sz w:val="32"/>
          <w:szCs w:val="32"/>
          <w:lang w:val="en-US" w:eastAsia="zh-CN" w:bidi="ar"/>
        </w:rPr>
        <w:t>土地使用权、房屋建筑物、广告位</w:t>
      </w:r>
      <w:r>
        <w:rPr>
          <w:rFonts w:hint="default" w:ascii="仿宋_GB2312" w:hAnsi="宋体" w:eastAsia="仿宋_GB2312" w:cs="仿宋_GB2312"/>
          <w:color w:val="000000"/>
          <w:kern w:val="0"/>
          <w:sz w:val="32"/>
          <w:szCs w:val="32"/>
          <w:lang w:eastAsia="zh-CN" w:bidi="ar"/>
        </w:rPr>
        <w:t>、机器设备、仪器仪表</w:t>
      </w:r>
      <w:r>
        <w:rPr>
          <w:rFonts w:hint="eastAsia" w:ascii="仿宋_GB2312" w:hAnsi="宋体" w:eastAsia="仿宋_GB2312" w:cs="仿宋_GB2312"/>
          <w:color w:val="000000"/>
          <w:kern w:val="0"/>
          <w:sz w:val="32"/>
          <w:szCs w:val="32"/>
          <w:lang w:val="en-US" w:eastAsia="zh-CN" w:bidi="ar"/>
        </w:rPr>
        <w:t>等全部或部分出租给自然人、法人</w:t>
      </w:r>
      <w:r>
        <w:rPr>
          <w:rFonts w:hint="eastAsia" w:ascii="仿宋_GB2312" w:hAnsi="宋体" w:eastAsia="仿宋_GB2312" w:cs="仿宋_GB2312"/>
          <w:color w:val="000000"/>
          <w:spacing w:val="-6"/>
          <w:kern w:val="0"/>
          <w:sz w:val="32"/>
          <w:szCs w:val="32"/>
          <w:lang w:val="en-US" w:eastAsia="zh-CN" w:bidi="ar"/>
        </w:rPr>
        <w:t>或其他组织（统称承租方）使用，并向承租方收取租金的行为。</w:t>
      </w:r>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仿宋_GB2312" w:hAnsi="仿宋_GB2312" w:eastAsia="仿宋_GB2312" w:cs="仿宋_GB2312"/>
          <w:strike w:val="0"/>
          <w:dstrike w:val="0"/>
          <w:sz w:val="32"/>
          <w:szCs w:val="32"/>
          <w:lang w:val="en-US" w:eastAsia="zh-CN" w:bidi="zh-CN"/>
        </w:rPr>
      </w:pPr>
      <w:r>
        <w:rPr>
          <w:rFonts w:hint="eastAsia" w:ascii="仿宋_GB2312" w:hAnsi="宋体" w:eastAsia="仿宋_GB2312" w:cs="仿宋_GB2312"/>
          <w:strike w:val="0"/>
          <w:dstrike w:val="0"/>
          <w:color w:val="000000"/>
          <w:kern w:val="0"/>
          <w:sz w:val="32"/>
          <w:szCs w:val="32"/>
          <w:lang w:val="en-US" w:eastAsia="zh-CN" w:bidi="ar"/>
        </w:rPr>
        <w:t xml:space="preserve"> 负责自身拥有、受托管理或实际掌握控制权资产租赁的日常经营管理的单位统称为出租方。总部资产租赁采用委托管理模式，指定内部单位作为资产租赁实施主体。下属企业可采用自主经营或委托管理的模式开展资产租赁业务。</w:t>
      </w:r>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仿宋_GB2312" w:hAnsi="仿宋_GB2312" w:eastAsia="仿宋_GB2312" w:cs="仿宋_GB2312"/>
          <w:strike w:val="0"/>
          <w:dstrike w:val="0"/>
          <w:sz w:val="32"/>
          <w:szCs w:val="32"/>
          <w:lang w:val="en-US" w:eastAsia="zh-CN" w:bidi="zh-CN"/>
        </w:rPr>
      </w:pPr>
      <w:r>
        <w:rPr>
          <w:rFonts w:hint="eastAsia" w:ascii="仿宋_GB2312" w:hAnsi="宋体" w:eastAsia="仿宋_GB2312" w:cs="仿宋_GB2312"/>
          <w:strike w:val="0"/>
          <w:dstrike w:val="0"/>
          <w:color w:val="000000"/>
          <w:kern w:val="0"/>
          <w:sz w:val="32"/>
          <w:szCs w:val="32"/>
          <w:lang w:val="en-US" w:eastAsia="zh-CN" w:bidi="ar"/>
        </w:rPr>
        <w:t xml:space="preserve"> 资产</w:t>
      </w:r>
      <w:r>
        <w:rPr>
          <w:rFonts w:hint="eastAsia" w:ascii="仿宋_GB2312" w:hAnsi="宋体" w:eastAsia="仿宋_GB2312" w:cs="仿宋_GB2312"/>
          <w:strike w:val="0"/>
          <w:dstrike w:val="0"/>
          <w:color w:val="000000"/>
          <w:kern w:val="0"/>
          <w:sz w:val="32"/>
          <w:szCs w:val="32"/>
          <w:highlight w:val="none"/>
          <w:lang w:val="en-US" w:eastAsia="zh-CN" w:bidi="ar"/>
        </w:rPr>
        <w:t>租赁管理分为招租管理、租赁</w:t>
      </w:r>
      <w:r>
        <w:rPr>
          <w:rFonts w:hint="default" w:ascii="仿宋_GB2312" w:hAnsi="宋体" w:eastAsia="仿宋_GB2312" w:cs="仿宋_GB2312"/>
          <w:strike w:val="0"/>
          <w:dstrike w:val="0"/>
          <w:color w:val="000000"/>
          <w:kern w:val="0"/>
          <w:sz w:val="32"/>
          <w:szCs w:val="32"/>
          <w:highlight w:val="none"/>
          <w:lang w:val="zh-CN" w:eastAsia="zh-CN" w:bidi="ar"/>
        </w:rPr>
        <w:t>日常</w:t>
      </w:r>
      <w:r>
        <w:rPr>
          <w:rFonts w:hint="eastAsia" w:ascii="仿宋_GB2312" w:hAnsi="宋体" w:eastAsia="仿宋_GB2312" w:cs="仿宋_GB2312"/>
          <w:strike w:val="0"/>
          <w:dstrike w:val="0"/>
          <w:color w:val="000000"/>
          <w:kern w:val="0"/>
          <w:sz w:val="32"/>
          <w:szCs w:val="32"/>
          <w:highlight w:val="none"/>
          <w:lang w:val="en-US" w:eastAsia="zh-CN" w:bidi="ar"/>
        </w:rPr>
        <w:t>管理和退租管理等。</w:t>
      </w:r>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仿宋_GB2312" w:hAnsi="仿宋_GB2312" w:eastAsia="仿宋_GB2312" w:cs="仿宋_GB2312"/>
          <w:strike w:val="0"/>
          <w:dstrike w:val="0"/>
          <w:sz w:val="32"/>
          <w:szCs w:val="32"/>
          <w:lang w:val="en-US" w:eastAsia="zh-CN" w:bidi="zh-CN"/>
        </w:rPr>
      </w:pPr>
      <w:r>
        <w:rPr>
          <w:rFonts w:hint="eastAsia" w:ascii="仿宋_GB2312" w:hAnsi="宋体" w:eastAsia="仿宋_GB2312" w:cs="仿宋_GB2312"/>
          <w:strike w:val="0"/>
          <w:dstrike w:val="0"/>
          <w:color w:val="000000"/>
          <w:kern w:val="0"/>
          <w:sz w:val="32"/>
          <w:szCs w:val="32"/>
          <w:highlight w:val="none"/>
          <w:lang w:val="en-US" w:eastAsia="zh-CN" w:bidi="ar"/>
        </w:rPr>
        <w:t xml:space="preserve"> 资产招租遵循依法合规、价值最大化原则，充分盘活集团闲置资产，提升资产经济效益。</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default" w:ascii="黑体" w:hAnsi="黑体" w:eastAsia="黑体" w:cs="黑体"/>
          <w:bCs/>
          <w:color w:val="000000"/>
          <w:sz w:val="32"/>
          <w:szCs w:val="31"/>
          <w:lang w:val="en-US" w:eastAsia="zh-CN" w:bidi="zh-CN"/>
        </w:rPr>
      </w:pPr>
      <w:bookmarkStart w:id="4" w:name="_Toc23053"/>
      <w:bookmarkStart w:id="5" w:name="_Toc5276"/>
      <w:bookmarkStart w:id="6" w:name="_Toc20476"/>
      <w:bookmarkStart w:id="7" w:name="_Toc702"/>
      <w:bookmarkStart w:id="8" w:name="_Toc15375"/>
      <w:bookmarkStart w:id="9" w:name="_Toc31145"/>
      <w:r>
        <w:rPr>
          <w:rFonts w:hint="eastAsia" w:ascii="黑体" w:hAnsi="黑体" w:eastAsia="黑体" w:cs="黑体"/>
          <w:bCs/>
          <w:color w:val="000000"/>
          <w:sz w:val="32"/>
          <w:szCs w:val="31"/>
          <w:lang w:val="en-US" w:eastAsia="zh-CN" w:bidi="zh-CN"/>
        </w:rPr>
        <w:t>职责分工</w:t>
      </w:r>
      <w:bookmarkEnd w:id="4"/>
      <w:bookmarkEnd w:id="5"/>
      <w:bookmarkEnd w:id="6"/>
      <w:bookmarkEnd w:id="7"/>
      <w:bookmarkEnd w:id="8"/>
      <w:bookmarkEnd w:id="9"/>
    </w:p>
    <w:p>
      <w:pPr>
        <w:keepNext w:val="0"/>
        <w:keepLines w:val="0"/>
        <w:pageBreakBefore w:val="0"/>
        <w:widowControl/>
        <w:numPr>
          <w:ilvl w:val="0"/>
          <w:numId w:val="3"/>
        </w:numPr>
        <w:tabs>
          <w:tab w:val="left" w:pos="2324"/>
        </w:tabs>
        <w:kinsoku/>
        <w:wordWrap/>
        <w:overflowPunct/>
        <w:topLinePunct w:val="0"/>
        <w:autoSpaceDE/>
        <w:autoSpaceDN/>
        <w:bidi w:val="0"/>
        <w:adjustRightInd w:val="0"/>
        <w:snapToGrid w:val="0"/>
        <w:spacing w:line="560" w:lineRule="exact"/>
        <w:ind w:leftChars="0" w:firstLine="620" w:firstLineChars="200"/>
        <w:jc w:val="both"/>
        <w:textAlignment w:val="auto"/>
        <w:rPr>
          <w:rFonts w:hint="eastAsia" w:ascii="仿宋_GB2312" w:hAnsi="仿宋_GB2312" w:eastAsia="仿宋_GB2312" w:cs="仿宋_GB2312"/>
          <w:color w:val="000000"/>
          <w:spacing w:val="0"/>
          <w:sz w:val="32"/>
          <w:szCs w:val="32"/>
          <w:lang w:val="en-US" w:eastAsia="zh-CN" w:bidi="zh-CN"/>
        </w:rPr>
      </w:pPr>
      <w:r>
        <w:rPr>
          <w:rFonts w:hint="eastAsia" w:ascii="仿宋_GB2312" w:hAnsi="仿宋_GB2312" w:eastAsia="仿宋_GB2312" w:cs="仿宋_GB2312"/>
          <w:spacing w:val="0"/>
          <w:sz w:val="31"/>
          <w:szCs w:val="31"/>
          <w:lang w:val="en-US" w:eastAsia="zh-CN" w:bidi="zh-CN"/>
        </w:rPr>
        <w:t xml:space="preserve"> </w:t>
      </w:r>
      <w:r>
        <w:rPr>
          <w:rFonts w:hint="default" w:ascii="仿宋_GB2312" w:hAnsi="仿宋_GB2312" w:eastAsia="仿宋_GB2312" w:cs="仿宋_GB2312"/>
          <w:spacing w:val="0"/>
          <w:sz w:val="31"/>
          <w:szCs w:val="31"/>
          <w:lang w:val="zh-CN" w:eastAsia="zh-CN" w:bidi="zh-CN"/>
        </w:rPr>
        <w:t>总部</w:t>
      </w:r>
      <w:r>
        <w:rPr>
          <w:rFonts w:hint="eastAsia" w:ascii="仿宋_GB2312" w:hAnsi="仿宋_GB2312" w:eastAsia="仿宋_GB2312" w:cs="仿宋_GB2312"/>
          <w:color w:val="000000"/>
          <w:spacing w:val="0"/>
          <w:sz w:val="32"/>
          <w:szCs w:val="32"/>
          <w:lang w:val="en-US" w:eastAsia="zh-CN" w:bidi="zh-CN"/>
        </w:rPr>
        <w:t>资本运营部为集团资产租赁的归口管理部门，</w:t>
      </w:r>
      <w:bookmarkStart w:id="10" w:name="OLE_LINK2"/>
      <w:r>
        <w:rPr>
          <w:rFonts w:hint="eastAsia" w:ascii="仿宋_GB2312" w:hAnsi="仿宋_GB2312" w:eastAsia="仿宋_GB2312" w:cs="仿宋_GB2312"/>
          <w:color w:val="000000"/>
          <w:spacing w:val="0"/>
          <w:sz w:val="32"/>
          <w:szCs w:val="32"/>
          <w:lang w:val="en-US" w:eastAsia="zh-CN" w:bidi="zh-CN"/>
        </w:rPr>
        <w:t>主要</w:t>
      </w:r>
      <w:bookmarkEnd w:id="10"/>
      <w:r>
        <w:rPr>
          <w:rFonts w:hint="eastAsia" w:ascii="仿宋_GB2312" w:hAnsi="仿宋_GB2312" w:eastAsia="仿宋_GB2312" w:cs="仿宋_GB2312"/>
          <w:color w:val="000000"/>
          <w:spacing w:val="0"/>
          <w:sz w:val="32"/>
          <w:szCs w:val="32"/>
          <w:lang w:val="en-US" w:eastAsia="zh-CN" w:bidi="zh-CN"/>
        </w:rPr>
        <w:t>职责包括：</w:t>
      </w:r>
    </w:p>
    <w:p>
      <w:pPr>
        <w:keepNext w:val="0"/>
        <w:keepLines w:val="0"/>
        <w:pageBreakBefore w:val="0"/>
        <w:widowControl/>
        <w:numPr>
          <w:ilvl w:val="0"/>
          <w:numId w:val="4"/>
        </w:numPr>
        <w:tabs>
          <w:tab w:val="left" w:pos="2324"/>
        </w:tabs>
        <w:kinsoku/>
        <w:wordWrap/>
        <w:overflowPunct/>
        <w:topLinePunct w:val="0"/>
        <w:autoSpaceDE/>
        <w:autoSpaceDN/>
        <w:bidi w:val="0"/>
        <w:adjustRightInd w:val="0"/>
        <w:snapToGrid w:val="0"/>
        <w:spacing w:line="560" w:lineRule="exact"/>
        <w:ind w:leftChars="0" w:firstLine="640" w:firstLineChars="200"/>
        <w:jc w:val="both"/>
        <w:textAlignment w:val="auto"/>
        <w:rPr>
          <w:rFonts w:hint="eastAsia" w:ascii="仿宋_GB2312" w:hAnsi="仿宋_GB2312" w:eastAsia="仿宋_GB2312" w:cs="仿宋_GB2312"/>
          <w:color w:val="000000"/>
          <w:spacing w:val="0"/>
          <w:sz w:val="32"/>
          <w:szCs w:val="32"/>
          <w:lang w:val="en-US" w:eastAsia="zh-CN" w:bidi="zh-CN"/>
        </w:rPr>
      </w:pPr>
      <w:r>
        <w:rPr>
          <w:rFonts w:hint="eastAsia" w:ascii="仿宋_GB2312" w:hAnsi="仿宋_GB2312" w:eastAsia="仿宋_GB2312" w:cs="仿宋_GB2312"/>
          <w:color w:val="000000"/>
          <w:spacing w:val="0"/>
          <w:sz w:val="32"/>
          <w:szCs w:val="32"/>
          <w:lang w:val="en-US" w:eastAsia="zh-CN" w:bidi="zh-CN"/>
        </w:rPr>
        <w:t>负责建立健全集团资产租赁管理制度。</w:t>
      </w:r>
    </w:p>
    <w:p>
      <w:pPr>
        <w:keepNext w:val="0"/>
        <w:keepLines w:val="0"/>
        <w:pageBreakBefore w:val="0"/>
        <w:widowControl/>
        <w:numPr>
          <w:ilvl w:val="-1"/>
          <w:numId w:val="0"/>
        </w:numPr>
        <w:tabs>
          <w:tab w:val="left" w:pos="2324"/>
        </w:tabs>
        <w:kinsoku/>
        <w:wordWrap/>
        <w:overflowPunct/>
        <w:topLinePunct w:val="0"/>
        <w:autoSpaceDE/>
        <w:autoSpaceDN/>
        <w:bidi w:val="0"/>
        <w:adjustRightInd w:val="0"/>
        <w:snapToGrid w:val="0"/>
        <w:spacing w:line="560" w:lineRule="exact"/>
        <w:ind w:leftChars="0" w:firstLine="640" w:firstLineChars="200"/>
        <w:jc w:val="both"/>
        <w:textAlignment w:val="auto"/>
        <w:rPr>
          <w:rFonts w:hint="eastAsia" w:ascii="仿宋_GB2312" w:hAnsi="仿宋_GB2312" w:eastAsia="仿宋_GB2312" w:cs="仿宋_GB2312"/>
          <w:color w:val="000000"/>
          <w:spacing w:val="0"/>
          <w:sz w:val="32"/>
          <w:szCs w:val="32"/>
          <w:highlight w:val="none"/>
          <w:lang w:val="zh-CN" w:eastAsia="zh-CN" w:bidi="zh-CN"/>
        </w:rPr>
      </w:pPr>
      <w:r>
        <w:rPr>
          <w:rFonts w:hint="eastAsia" w:ascii="仿宋_GB2312" w:hAnsi="仿宋_GB2312" w:eastAsia="仿宋_GB2312" w:cs="仿宋_GB2312"/>
          <w:color w:val="000000"/>
          <w:spacing w:val="0"/>
          <w:sz w:val="32"/>
          <w:szCs w:val="32"/>
          <w:lang w:val="en-US" w:eastAsia="zh-CN" w:bidi="zh-CN"/>
        </w:rPr>
        <w:t>（二）</w:t>
      </w:r>
      <w:r>
        <w:rPr>
          <w:rFonts w:hint="eastAsia" w:ascii="仿宋_GB2312" w:hAnsi="仿宋_GB2312" w:eastAsia="仿宋_GB2312" w:cs="仿宋_GB2312"/>
          <w:color w:val="000000"/>
          <w:spacing w:val="0"/>
          <w:sz w:val="32"/>
          <w:szCs w:val="32"/>
          <w:lang w:val="zh-CN" w:eastAsia="zh-CN" w:bidi="zh-CN"/>
        </w:rPr>
        <w:t>负责</w:t>
      </w:r>
      <w:r>
        <w:rPr>
          <w:rFonts w:hint="eastAsia" w:ascii="仿宋_GB2312" w:hAnsi="仿宋_GB2312" w:eastAsia="仿宋_GB2312" w:cs="仿宋_GB2312"/>
          <w:color w:val="000000"/>
          <w:spacing w:val="0"/>
          <w:sz w:val="32"/>
          <w:szCs w:val="32"/>
          <w:lang w:val="en-US" w:eastAsia="zh-CN" w:bidi="zh-CN"/>
        </w:rPr>
        <w:t>建立</w:t>
      </w:r>
      <w:r>
        <w:rPr>
          <w:rFonts w:hint="eastAsia" w:ascii="仿宋_GB2312" w:hAnsi="仿宋_GB2312" w:eastAsia="仿宋_GB2312" w:cs="仿宋_GB2312"/>
          <w:color w:val="000000"/>
          <w:spacing w:val="0"/>
          <w:sz w:val="32"/>
          <w:szCs w:val="32"/>
          <w:lang w:val="zh-CN" w:eastAsia="zh-CN" w:bidi="zh-CN"/>
        </w:rPr>
        <w:t>并完善</w:t>
      </w:r>
      <w:r>
        <w:rPr>
          <w:rFonts w:hint="eastAsia" w:ascii="仿宋_GB2312" w:hAnsi="仿宋_GB2312" w:eastAsia="仿宋_GB2312" w:cs="仿宋_GB2312"/>
          <w:color w:val="000000"/>
          <w:spacing w:val="0"/>
          <w:sz w:val="32"/>
          <w:szCs w:val="32"/>
          <w:lang w:val="en-US" w:eastAsia="zh-CN" w:bidi="zh-CN"/>
        </w:rPr>
        <w:t>集团</w:t>
      </w:r>
      <w:r>
        <w:rPr>
          <w:rFonts w:hint="eastAsia" w:ascii="仿宋_GB2312" w:hAnsi="仿宋_GB2312" w:eastAsia="仿宋_GB2312" w:cs="仿宋_GB2312"/>
          <w:color w:val="000000"/>
          <w:spacing w:val="0"/>
          <w:sz w:val="32"/>
          <w:szCs w:val="32"/>
          <w:lang w:val="zh-CN" w:eastAsia="zh-CN" w:bidi="zh-CN"/>
        </w:rPr>
        <w:t>资产租赁台账，对资产租赁信息进行审核</w:t>
      </w:r>
      <w:r>
        <w:rPr>
          <w:rFonts w:hint="eastAsia" w:ascii="仿宋_GB2312" w:hAnsi="仿宋_GB2312" w:eastAsia="仿宋_GB2312" w:cs="仿宋_GB2312"/>
          <w:color w:val="000000"/>
          <w:spacing w:val="0"/>
          <w:sz w:val="32"/>
          <w:szCs w:val="32"/>
          <w:highlight w:val="none"/>
          <w:lang w:val="zh-CN" w:eastAsia="zh-CN" w:bidi="zh-CN"/>
        </w:rPr>
        <w:t>。</w:t>
      </w:r>
    </w:p>
    <w:p>
      <w:pPr>
        <w:keepNext w:val="0"/>
        <w:keepLines w:val="0"/>
        <w:pageBreakBefore w:val="0"/>
        <w:widowControl w:val="0"/>
        <w:numPr>
          <w:ilvl w:val="0"/>
          <w:numId w:val="0"/>
        </w:numPr>
        <w:tabs>
          <w:tab w:val="left" w:pos="2324"/>
        </w:tabs>
        <w:kinsoku/>
        <w:wordWrap/>
        <w:overflowPunct/>
        <w:topLinePunct w:val="0"/>
        <w:autoSpaceDE w:val="0"/>
        <w:autoSpaceDN w:val="0"/>
        <w:bidi w:val="0"/>
        <w:adjustRightInd w:val="0"/>
        <w:snapToGrid w:val="0"/>
        <w:spacing w:line="560" w:lineRule="exact"/>
        <w:ind w:leftChars="0" w:firstLine="640" w:firstLineChars="200"/>
        <w:jc w:val="both"/>
        <w:textAlignment w:val="auto"/>
        <w:rPr>
          <w:rFonts w:hint="eastAsia" w:ascii="仿宋_GB2312" w:hAnsi="仿宋_GB2312" w:eastAsia="仿宋_GB2312" w:cs="仿宋_GB2312"/>
          <w:color w:val="000000"/>
          <w:spacing w:val="0"/>
          <w:sz w:val="32"/>
          <w:szCs w:val="32"/>
          <w:highlight w:val="none"/>
          <w:lang w:val="zh-CN" w:eastAsia="zh-CN" w:bidi="zh-CN"/>
        </w:rPr>
      </w:pPr>
      <w:r>
        <w:rPr>
          <w:rFonts w:hint="eastAsia" w:ascii="仿宋_GB2312" w:hAnsi="仿宋_GB2312" w:eastAsia="仿宋_GB2312" w:cs="仿宋_GB2312"/>
          <w:color w:val="000000"/>
          <w:spacing w:val="0"/>
          <w:sz w:val="32"/>
          <w:szCs w:val="32"/>
          <w:highlight w:val="none"/>
          <w:lang w:val="zh-CN" w:eastAsia="zh-CN" w:bidi="zh-CN"/>
        </w:rPr>
        <w:t>（</w:t>
      </w:r>
      <w:r>
        <w:rPr>
          <w:rFonts w:hint="eastAsia" w:ascii="仿宋_GB2312" w:hAnsi="仿宋_GB2312" w:eastAsia="仿宋_GB2312" w:cs="仿宋_GB2312"/>
          <w:color w:val="000000"/>
          <w:spacing w:val="0"/>
          <w:sz w:val="32"/>
          <w:szCs w:val="32"/>
          <w:highlight w:val="none"/>
          <w:lang w:val="en-US" w:eastAsia="zh-CN" w:bidi="zh-CN"/>
        </w:rPr>
        <w:t>三</w:t>
      </w:r>
      <w:r>
        <w:rPr>
          <w:rFonts w:hint="eastAsia" w:ascii="仿宋_GB2312" w:hAnsi="仿宋_GB2312" w:eastAsia="仿宋_GB2312" w:cs="仿宋_GB2312"/>
          <w:color w:val="000000"/>
          <w:spacing w:val="0"/>
          <w:sz w:val="32"/>
          <w:szCs w:val="32"/>
          <w:highlight w:val="none"/>
          <w:lang w:val="zh-CN" w:eastAsia="zh-CN" w:bidi="zh-CN"/>
        </w:rPr>
        <w:t>）</w:t>
      </w:r>
      <w:r>
        <w:rPr>
          <w:rFonts w:hint="eastAsia" w:ascii="仿宋_GB2312" w:hAnsi="仿宋_GB2312" w:eastAsia="仿宋_GB2312" w:cs="仿宋_GB2312"/>
          <w:color w:val="000000"/>
          <w:spacing w:val="0"/>
          <w:sz w:val="32"/>
          <w:szCs w:val="32"/>
          <w:lang w:val="en-US" w:eastAsia="zh-CN" w:bidi="zh-CN"/>
        </w:rPr>
        <w:t>负责对集团资产租赁行为开展监督检查及组织接受上级机关对资产租赁工作的检查。</w:t>
      </w:r>
    </w:p>
    <w:p>
      <w:pPr>
        <w:keepNext w:val="0"/>
        <w:keepLines w:val="0"/>
        <w:pageBreakBefore w:val="0"/>
        <w:widowControl/>
        <w:numPr>
          <w:ilvl w:val="0"/>
          <w:numId w:val="3"/>
        </w:numPr>
        <w:tabs>
          <w:tab w:val="left" w:pos="2324"/>
        </w:tabs>
        <w:kinsoku/>
        <w:wordWrap/>
        <w:overflowPunct/>
        <w:topLinePunct w:val="0"/>
        <w:autoSpaceDE/>
        <w:autoSpaceDN/>
        <w:bidi w:val="0"/>
        <w:adjustRightInd w:val="0"/>
        <w:snapToGrid w:val="0"/>
        <w:spacing w:line="560" w:lineRule="exact"/>
        <w:ind w:left="0" w:leftChars="0" w:firstLine="620" w:firstLineChars="200"/>
        <w:jc w:val="both"/>
        <w:textAlignment w:val="auto"/>
        <w:rPr>
          <w:rFonts w:hint="eastAsia" w:ascii="仿宋_GB2312" w:hAnsi="仿宋_GB2312" w:eastAsia="仿宋_GB2312" w:cs="仿宋_GB2312"/>
          <w:color w:val="000000"/>
          <w:sz w:val="32"/>
          <w:szCs w:val="32"/>
          <w:highlight w:val="none"/>
          <w:lang w:val="zh-CN" w:eastAsia="zh-CN" w:bidi="zh-CN"/>
        </w:rPr>
      </w:pPr>
      <w:r>
        <w:rPr>
          <w:rFonts w:hint="eastAsia" w:ascii="仿宋_GB2312" w:hAnsi="仿宋_GB2312" w:eastAsia="仿宋_GB2312" w:cs="仿宋_GB2312"/>
          <w:spacing w:val="0"/>
          <w:sz w:val="31"/>
          <w:szCs w:val="31"/>
          <w:highlight w:val="none"/>
          <w:lang w:val="en-US" w:eastAsia="zh-CN" w:bidi="zh-CN"/>
        </w:rPr>
        <w:t xml:space="preserve"> 出租方是资产租赁的实施主体，主要职责包括：</w:t>
      </w:r>
    </w:p>
    <w:p>
      <w:pPr>
        <w:keepNext w:val="0"/>
        <w:keepLines w:val="0"/>
        <w:pageBreakBefore w:val="0"/>
        <w:widowControl w:val="0"/>
        <w:numPr>
          <w:ilvl w:val="0"/>
          <w:numId w:val="0"/>
        </w:numPr>
        <w:tabs>
          <w:tab w:val="left" w:pos="2324"/>
        </w:tabs>
        <w:kinsoku/>
        <w:wordWrap/>
        <w:overflowPunct/>
        <w:topLinePunct w:val="0"/>
        <w:autoSpaceDE w:val="0"/>
        <w:autoSpaceDN w:val="0"/>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color w:val="000000"/>
          <w:spacing w:val="0"/>
          <w:sz w:val="32"/>
          <w:szCs w:val="32"/>
          <w:lang w:val="en-US" w:eastAsia="zh-CN" w:bidi="zh-CN"/>
        </w:rPr>
      </w:pPr>
      <w:r>
        <w:rPr>
          <w:rFonts w:hint="eastAsia" w:ascii="仿宋_GB2312" w:hAnsi="仿宋_GB2312" w:eastAsia="仿宋_GB2312" w:cs="仿宋_GB2312"/>
          <w:color w:val="000000"/>
          <w:sz w:val="32"/>
          <w:szCs w:val="32"/>
          <w:lang w:val="zh-CN" w:eastAsia="zh-CN" w:bidi="zh-CN"/>
        </w:rPr>
        <w:t>（</w:t>
      </w:r>
      <w:r>
        <w:rPr>
          <w:rFonts w:hint="eastAsia" w:ascii="仿宋_GB2312" w:hAnsi="仿宋_GB2312" w:eastAsia="仿宋_GB2312" w:cs="仿宋_GB2312"/>
          <w:color w:val="000000"/>
          <w:sz w:val="32"/>
          <w:szCs w:val="32"/>
          <w:lang w:val="en-US" w:eastAsia="zh-CN" w:bidi="zh-CN"/>
        </w:rPr>
        <w:t>一</w:t>
      </w:r>
      <w:r>
        <w:rPr>
          <w:rFonts w:hint="eastAsia" w:ascii="仿宋_GB2312" w:hAnsi="仿宋_GB2312" w:eastAsia="仿宋_GB2312" w:cs="仿宋_GB2312"/>
          <w:color w:val="000000"/>
          <w:sz w:val="32"/>
          <w:szCs w:val="32"/>
          <w:lang w:val="zh-CN" w:eastAsia="zh-CN" w:bidi="zh-CN"/>
        </w:rPr>
        <w:t>）</w:t>
      </w:r>
      <w:r>
        <w:rPr>
          <w:rFonts w:hint="eastAsia" w:ascii="仿宋_GB2312" w:hAnsi="仿宋_GB2312" w:eastAsia="仿宋_GB2312" w:cs="仿宋_GB2312"/>
          <w:color w:val="000000"/>
          <w:spacing w:val="0"/>
          <w:sz w:val="32"/>
          <w:szCs w:val="32"/>
          <w:lang w:val="en-US" w:eastAsia="zh-CN" w:bidi="zh-CN"/>
        </w:rPr>
        <w:t>负责租赁资产的租赁经营</w:t>
      </w:r>
      <w:r>
        <w:rPr>
          <w:rFonts w:hint="eastAsia" w:ascii="仿宋_GB2312" w:hAnsi="仿宋_GB2312" w:eastAsia="仿宋_GB2312" w:cs="仿宋_GB2312"/>
          <w:color w:val="000000"/>
          <w:sz w:val="32"/>
          <w:szCs w:val="32"/>
          <w:lang w:val="en-US" w:eastAsia="zh-CN" w:bidi="zh-CN"/>
        </w:rPr>
        <w:t>管理工作</w:t>
      </w:r>
      <w:r>
        <w:rPr>
          <w:rFonts w:hint="eastAsia" w:ascii="仿宋_GB2312" w:hAnsi="仿宋_GB2312" w:eastAsia="仿宋_GB2312" w:cs="仿宋_GB2312"/>
          <w:color w:val="000000"/>
          <w:spacing w:val="0"/>
          <w:sz w:val="32"/>
          <w:szCs w:val="32"/>
          <w:lang w:val="en-US" w:eastAsia="zh-CN" w:bidi="zh-CN"/>
        </w:rPr>
        <w:t>，包括招租方案制定、对外公开招租</w:t>
      </w:r>
      <w:r>
        <w:rPr>
          <w:rFonts w:hint="eastAsia" w:ascii="仿宋_GB2312" w:hAnsi="仿宋_GB2312" w:eastAsia="仿宋_GB2312" w:cs="仿宋_GB2312"/>
          <w:color w:val="000000"/>
          <w:sz w:val="32"/>
          <w:szCs w:val="32"/>
          <w:lang w:val="en-US" w:eastAsia="zh-CN" w:bidi="zh-CN"/>
        </w:rPr>
        <w:t>实施</w:t>
      </w:r>
      <w:r>
        <w:rPr>
          <w:rFonts w:hint="eastAsia" w:ascii="仿宋_GB2312" w:hAnsi="仿宋_GB2312" w:eastAsia="仿宋_GB2312" w:cs="仿宋_GB2312"/>
          <w:color w:val="000000"/>
          <w:spacing w:val="0"/>
          <w:sz w:val="32"/>
          <w:szCs w:val="32"/>
          <w:lang w:val="en-US" w:eastAsia="zh-CN" w:bidi="zh-CN"/>
        </w:rPr>
        <w:t>、</w:t>
      </w:r>
      <w:r>
        <w:rPr>
          <w:rFonts w:hint="eastAsia" w:ascii="仿宋_GB2312" w:hAnsi="仿宋_GB2312" w:eastAsia="仿宋_GB2312" w:cs="仿宋_GB2312"/>
          <w:color w:val="000000"/>
          <w:sz w:val="32"/>
          <w:szCs w:val="32"/>
          <w:lang w:val="en-US" w:eastAsia="zh-CN" w:bidi="zh-CN"/>
        </w:rPr>
        <w:t>租赁合同签订、租金收取等日常经营管理工作</w:t>
      </w:r>
      <w:r>
        <w:rPr>
          <w:rFonts w:hint="eastAsia" w:ascii="仿宋_GB2312" w:hAnsi="仿宋_GB2312" w:eastAsia="仿宋_GB2312" w:cs="仿宋_GB2312"/>
          <w:color w:val="000000"/>
          <w:spacing w:val="0"/>
          <w:sz w:val="32"/>
          <w:szCs w:val="32"/>
          <w:lang w:val="en-US" w:eastAsia="zh-CN" w:bidi="zh-CN"/>
        </w:rPr>
        <w:t>。</w:t>
      </w:r>
    </w:p>
    <w:p>
      <w:pPr>
        <w:keepNext w:val="0"/>
        <w:keepLines w:val="0"/>
        <w:pageBreakBefore w:val="0"/>
        <w:widowControl w:val="0"/>
        <w:numPr>
          <w:ilvl w:val="0"/>
          <w:numId w:val="0"/>
        </w:numPr>
        <w:tabs>
          <w:tab w:val="left" w:pos="2324"/>
        </w:tabs>
        <w:kinsoku/>
        <w:wordWrap/>
        <w:overflowPunct/>
        <w:topLinePunct w:val="0"/>
        <w:autoSpaceDE w:val="0"/>
        <w:autoSpaceDN w:val="0"/>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color w:val="000000"/>
          <w:spacing w:val="0"/>
          <w:sz w:val="32"/>
          <w:szCs w:val="32"/>
          <w:lang w:val="en-US" w:eastAsia="zh-CN" w:bidi="zh-CN"/>
        </w:rPr>
      </w:pPr>
      <w:r>
        <w:rPr>
          <w:rFonts w:hint="eastAsia" w:ascii="仿宋_GB2312" w:hAnsi="仿宋_GB2312" w:eastAsia="仿宋_GB2312" w:cs="仿宋_GB2312"/>
          <w:color w:val="000000"/>
          <w:spacing w:val="0"/>
          <w:sz w:val="32"/>
          <w:szCs w:val="32"/>
          <w:lang w:val="en-US" w:eastAsia="zh-CN" w:bidi="zh-CN"/>
        </w:rPr>
        <w:t>（二）做好租赁资产的日常检查、管理和维护工作，确保资产安全。</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（三）对受托管理的资产，负责与资产产权所属单位签订委托管理协议，明确相关权责。</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zh-CN" w:eastAsia="zh-CN" w:bidi="zh-CN"/>
        </w:rPr>
      </w:pPr>
      <w:r>
        <w:rPr>
          <w:rFonts w:hint="eastAsia" w:ascii="仿宋_GB2312" w:hAnsi="仿宋_GB2312" w:eastAsia="仿宋_GB2312" w:cs="仿宋_GB2312"/>
          <w:color w:val="000000"/>
          <w:sz w:val="32"/>
          <w:szCs w:val="32"/>
          <w:lang w:val="en-US" w:eastAsia="zh-CN" w:bidi="zh-CN"/>
        </w:rPr>
        <w:t>（四）配合上级机关或</w:t>
      </w:r>
      <w:r>
        <w:rPr>
          <w:rFonts w:hint="eastAsia" w:ascii="仿宋_GB2312" w:hAnsi="仿宋_GB2312" w:eastAsia="仿宋_GB2312" w:cs="仿宋_GB2312"/>
          <w:color w:val="000000"/>
          <w:sz w:val="32"/>
          <w:szCs w:val="32"/>
          <w:lang w:val="zh-CN" w:eastAsia="zh-CN" w:bidi="zh-CN"/>
        </w:rPr>
        <w:t>总部组织</w:t>
      </w:r>
      <w:r>
        <w:rPr>
          <w:rFonts w:hint="eastAsia" w:ascii="仿宋_GB2312" w:hAnsi="仿宋_GB2312" w:eastAsia="仿宋_GB2312" w:cs="仿宋_GB2312"/>
          <w:color w:val="000000"/>
          <w:sz w:val="32"/>
          <w:szCs w:val="32"/>
          <w:lang w:val="en-US" w:eastAsia="zh-CN" w:bidi="zh-CN"/>
        </w:rPr>
        <w:t>进行的资产租赁检查工作，确保租赁活动的合规性。</w:t>
      </w:r>
    </w:p>
    <w:p>
      <w:pPr>
        <w:widowControl w:val="0"/>
        <w:numPr>
          <w:ilvl w:val="0"/>
          <w:numId w:val="0"/>
        </w:numPr>
        <w:autoSpaceDE w:val="0"/>
        <w:autoSpaceDN w:val="0"/>
        <w:adjustRightInd/>
        <w:snapToGrid/>
        <w:spacing w:after="0" w:afterAutospacing="0" w:line="560" w:lineRule="exact"/>
        <w:ind w:firstLine="640" w:firstLineChars="200"/>
        <w:jc w:val="both"/>
        <w:rPr>
          <w:rFonts w:hint="eastAsia"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color w:val="000000"/>
          <w:sz w:val="32"/>
          <w:szCs w:val="32"/>
          <w:lang w:val="zh-CN" w:eastAsia="zh-CN" w:bidi="zh-CN"/>
        </w:rPr>
        <w:t>（</w:t>
      </w:r>
      <w:r>
        <w:rPr>
          <w:rFonts w:hint="eastAsia" w:ascii="仿宋_GB2312" w:hAnsi="仿宋_GB2312" w:eastAsia="仿宋_GB2312" w:cs="仿宋_GB2312"/>
          <w:color w:val="000000"/>
          <w:sz w:val="32"/>
          <w:szCs w:val="32"/>
          <w:lang w:val="en-US" w:eastAsia="zh-CN" w:bidi="zh-CN"/>
        </w:rPr>
        <w:t>五</w:t>
      </w:r>
      <w:r>
        <w:rPr>
          <w:rFonts w:hint="eastAsia" w:ascii="仿宋_GB2312" w:hAnsi="仿宋_GB2312" w:eastAsia="仿宋_GB2312" w:cs="仿宋_GB2312"/>
          <w:color w:val="000000"/>
          <w:sz w:val="32"/>
          <w:szCs w:val="32"/>
          <w:lang w:val="zh-CN" w:eastAsia="zh-CN" w:bidi="zh-CN"/>
        </w:rPr>
        <w:t>）</w:t>
      </w:r>
      <w:r>
        <w:rPr>
          <w:rFonts w:hint="eastAsia" w:ascii="仿宋_GB2312" w:hAnsi="仿宋_GB2312" w:eastAsia="仿宋_GB2312" w:cs="仿宋_GB2312"/>
          <w:color w:val="000000"/>
          <w:sz w:val="32"/>
          <w:szCs w:val="32"/>
          <w:lang w:val="en-US" w:eastAsia="zh-CN" w:bidi="zh-CN"/>
        </w:rPr>
        <w:t>履行法律法规规定的其他相关工作</w:t>
      </w:r>
      <w:r>
        <w:rPr>
          <w:rFonts w:hint="eastAsia" w:ascii="仿宋_GB2312" w:hAnsi="仿宋_GB2312" w:eastAsia="仿宋_GB2312" w:cs="仿宋_GB2312"/>
          <w:color w:val="000000"/>
          <w:sz w:val="32"/>
          <w:szCs w:val="32"/>
          <w:lang w:val="zh-CN" w:eastAsia="zh-CN" w:bidi="zh-CN"/>
        </w:rPr>
        <w:t>。</w:t>
      </w:r>
      <w:bookmarkStart w:id="11" w:name="_Toc25672"/>
      <w:bookmarkStart w:id="12" w:name="_Toc16256"/>
    </w:p>
    <w:bookmarkEnd w:id="11"/>
    <w:bookmarkEnd w:id="12"/>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sz w:val="32"/>
          <w:szCs w:val="32"/>
          <w:lang w:val="en-US" w:eastAsia="zh-CN" w:bidi="zh-CN"/>
        </w:rPr>
      </w:pPr>
      <w:bookmarkStart w:id="13" w:name="_Toc10768"/>
      <w:bookmarkStart w:id="14" w:name="_Toc19473"/>
      <w:r>
        <w:rPr>
          <w:rFonts w:hint="eastAsia" w:ascii="黑体" w:hAnsi="黑体" w:eastAsia="黑体" w:cs="黑体"/>
          <w:b w:val="0"/>
          <w:bCs/>
          <w:color w:val="000000"/>
          <w:sz w:val="32"/>
          <w:szCs w:val="31"/>
          <w:lang w:val="en-US" w:eastAsia="zh-CN" w:bidi="zh-CN"/>
        </w:rPr>
        <w:t>招租</w:t>
      </w:r>
      <w:bookmarkEnd w:id="13"/>
      <w:r>
        <w:rPr>
          <w:rFonts w:hint="eastAsia" w:ascii="黑体" w:hAnsi="黑体" w:eastAsia="黑体" w:cs="黑体"/>
          <w:b w:val="0"/>
          <w:bCs/>
          <w:color w:val="000000"/>
          <w:sz w:val="32"/>
          <w:szCs w:val="31"/>
          <w:lang w:val="en-US" w:eastAsia="zh-CN" w:bidi="zh-CN"/>
        </w:rPr>
        <w:t>计划与方案制定</w:t>
      </w:r>
      <w:bookmarkEnd w:id="14"/>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sz w:val="32"/>
          <w:szCs w:val="32"/>
          <w:lang w:val="en-US" w:eastAsia="zh-CN" w:bidi="zh-CN"/>
        </w:rPr>
        <w:t>出租方应在每年年底前制定下一年的资产招租方案，方案应明确开展租赁业务的资产范围，各项资产租赁期限、承租资质要求、租金底价及其确定依据、租金递增率（原则上应与市场行情相符）、招租方式、租金收付方式以及承租方遴选方式等内容，履行内部决策程序后报集团归口管理部门备案。年度招租方案制定后，出现新增租赁资产的，应当补充制定相应的招租方案，报集团归口管理部门备案。</w:t>
      </w:r>
      <w:r>
        <w:rPr>
          <w:rFonts w:hint="eastAsia" w:ascii="仿宋_GB2312" w:hAnsi="仿宋_GB2312" w:eastAsia="仿宋_GB2312" w:cs="仿宋_GB2312"/>
          <w:sz w:val="32"/>
          <w:szCs w:val="32"/>
        </w:rPr>
        <w:t>招租方案</w:t>
      </w:r>
      <w:r>
        <w:rPr>
          <w:rFonts w:hint="default" w:ascii="仿宋_GB2312" w:hAnsi="仿宋_GB2312" w:eastAsia="仿宋_GB2312" w:cs="仿宋_GB2312"/>
          <w:sz w:val="32"/>
          <w:szCs w:val="32"/>
        </w:rPr>
        <w:t>需</w:t>
      </w:r>
      <w:r>
        <w:rPr>
          <w:rFonts w:hint="eastAsia" w:ascii="仿宋_GB2312" w:hAnsi="仿宋_GB2312" w:eastAsia="仿宋_GB2312" w:cs="仿宋_GB2312"/>
          <w:sz w:val="32"/>
          <w:szCs w:val="32"/>
        </w:rPr>
        <w:t>调整</w:t>
      </w:r>
      <w:r>
        <w:rPr>
          <w:rFonts w:hint="default" w:ascii="仿宋_GB2312" w:hAnsi="仿宋_GB2312" w:eastAsia="仿宋_GB2312" w:cs="仿宋_GB2312"/>
          <w:sz w:val="32"/>
          <w:szCs w:val="32"/>
        </w:rPr>
        <w:t>的</w:t>
      </w:r>
      <w:r>
        <w:rPr>
          <w:rFonts w:hint="eastAsia" w:ascii="仿宋_GB2312" w:hAnsi="仿宋_GB2312" w:eastAsia="仿宋_GB2312" w:cs="仿宋_GB2312"/>
          <w:sz w:val="32"/>
          <w:szCs w:val="32"/>
        </w:rPr>
        <w:t>报原决策机构审批后实施。</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eastAsia"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b w:val="0"/>
          <w:bCs w:val="0"/>
          <w:color w:val="000000"/>
          <w:sz w:val="32"/>
          <w:szCs w:val="32"/>
          <w:lang w:val="en-US" w:eastAsia="zh-CN" w:bidi="zh-CN"/>
        </w:rPr>
        <w:t>招租方案应满足以下管理要求：</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bidi="zh-CN"/>
        </w:rPr>
      </w:pPr>
      <w:r>
        <w:rPr>
          <w:rFonts w:hint="eastAsia" w:ascii="仿宋_GB2312" w:hAnsi="仿宋_GB2312" w:eastAsia="仿宋_GB2312" w:cs="仿宋_GB2312"/>
          <w:sz w:val="32"/>
          <w:szCs w:val="32"/>
          <w:lang w:val="en-US" w:eastAsia="zh-CN" w:bidi="zh-CN"/>
        </w:rPr>
        <w:t>（一）不得针对承租对象设置资格条件，确需设置的不得有明确指向性或违反公平竞争原则，并按决策程序逐级审议决策。</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（二）</w:t>
      </w:r>
      <w:r>
        <w:rPr>
          <w:rFonts w:hint="eastAsia" w:ascii="仿宋_GB2312" w:hAnsi="仿宋_GB2312" w:eastAsia="仿宋_GB2312" w:cs="仿宋_GB2312"/>
          <w:sz w:val="32"/>
          <w:szCs w:val="32"/>
          <w:lang w:val="en-US" w:eastAsia="zh-CN" w:bidi="zh-CN"/>
        </w:rPr>
        <w:t>租金底价应综合考虑市场价格、市场供需及资产实际情况、产业培育和功能布局安排等因素确定，并根据需要委托专业机构评估。</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（三）</w:t>
      </w:r>
      <w:r>
        <w:rPr>
          <w:rFonts w:hint="eastAsia" w:ascii="仿宋_GB2312" w:hAnsi="仿宋_GB2312" w:eastAsia="仿宋_GB2312" w:cs="仿宋_GB2312"/>
          <w:color w:val="000000"/>
          <w:sz w:val="32"/>
          <w:szCs w:val="32"/>
          <w:lang w:val="en-US" w:eastAsia="zh-CN" w:bidi="zh-CN"/>
        </w:rPr>
        <w:t>资产租赁期限不宜过长，原则上不超过</w:t>
      </w:r>
      <w:r>
        <w:rPr>
          <w:rFonts w:hint="default" w:ascii="Arial" w:hAnsi="Arial" w:eastAsia="仿宋_GB2312" w:cs="Arial"/>
          <w:color w:val="000000"/>
          <w:kern w:val="2"/>
          <w:sz w:val="32"/>
          <w:szCs w:val="32"/>
          <w:lang w:val="en-US" w:eastAsia="zh-CN" w:bidi="ar"/>
        </w:rPr>
        <w:t>5</w:t>
      </w:r>
      <w:r>
        <w:rPr>
          <w:rFonts w:hint="eastAsia" w:ascii="仿宋_GB2312" w:hAnsi="仿宋_GB2312" w:eastAsia="仿宋_GB2312" w:cs="仿宋_GB2312"/>
          <w:color w:val="000000"/>
          <w:sz w:val="32"/>
          <w:szCs w:val="32"/>
          <w:lang w:val="en-US" w:eastAsia="zh-CN" w:bidi="zh-CN"/>
        </w:rPr>
        <w:t>年；用于商超、酒店、办学、办公、高档餐饮方面的大宗房产等特殊情形，承租方需要投入大额资金装修改造的等特殊情况可以适当延长，原则上不应超过</w:t>
      </w:r>
      <w:r>
        <w:rPr>
          <w:rFonts w:hint="default" w:ascii="Arial" w:hAnsi="Arial" w:eastAsia="仿宋_GB2312" w:cs="Arial"/>
          <w:color w:val="000000"/>
          <w:kern w:val="2"/>
          <w:sz w:val="32"/>
          <w:szCs w:val="32"/>
          <w:lang w:val="en-US" w:eastAsia="zh-CN" w:bidi="ar"/>
        </w:rPr>
        <w:t>10</w:t>
      </w:r>
      <w:r>
        <w:rPr>
          <w:rFonts w:hint="eastAsia" w:ascii="仿宋_GB2312" w:hAnsi="仿宋_GB2312" w:eastAsia="仿宋_GB2312" w:cs="仿宋_GB2312"/>
          <w:color w:val="000000"/>
          <w:sz w:val="32"/>
          <w:szCs w:val="32"/>
          <w:lang w:val="en-US" w:eastAsia="zh-CN" w:bidi="zh-CN"/>
        </w:rPr>
        <w:t>年，到期后重新公开竞争招租。</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（四）原则上应明确不得擅自转租，特殊情况确需转租的，应当履行决策审批程序，并在租赁合同中约定。合同未约定的，严禁以联合承租等名义变相实施转租。</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color w:val="000000"/>
          <w:sz w:val="32"/>
          <w:szCs w:val="31"/>
          <w:lang w:val="en-US" w:eastAsia="zh-CN" w:bidi="zh-CN"/>
        </w:rPr>
      </w:pPr>
      <w:bookmarkStart w:id="15" w:name="_Toc10135"/>
      <w:r>
        <w:rPr>
          <w:rFonts w:hint="eastAsia" w:ascii="黑体" w:hAnsi="黑体" w:eastAsia="黑体" w:cs="黑体"/>
          <w:bCs/>
          <w:color w:val="000000"/>
          <w:sz w:val="32"/>
          <w:szCs w:val="31"/>
          <w:lang w:val="en-US" w:eastAsia="zh-CN" w:bidi="zh-CN"/>
        </w:rPr>
        <w:t>资产租赁决策机构及决策权限</w:t>
      </w:r>
      <w:bookmarkEnd w:id="15"/>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b w:val="0"/>
          <w:bCs w:val="0"/>
          <w:color w:val="000000"/>
          <w:sz w:val="32"/>
          <w:szCs w:val="32"/>
          <w:lang w:val="en-US" w:eastAsia="zh-CN" w:bidi="zh-CN"/>
        </w:rPr>
        <w:t>总部作为出租方的重大资产租赁事项，应按照“三重一大”相关管理规定提交集团党委会前置研究后，提交集团董事会决策</w:t>
      </w:r>
      <w:r>
        <w:rPr>
          <w:rFonts w:hint="eastAsia" w:ascii="仿宋_GB2312" w:hAnsi="仿宋_GB2312" w:eastAsia="仿宋_GB2312" w:cs="仿宋_GB2312"/>
          <w:color w:val="000000"/>
          <w:sz w:val="32"/>
          <w:szCs w:val="32"/>
          <w:lang w:val="en-US" w:eastAsia="zh-CN" w:bidi="zh-CN"/>
        </w:rPr>
        <w:t>。</w:t>
      </w:r>
      <w:r>
        <w:rPr>
          <w:rFonts w:hint="eastAsia" w:ascii="仿宋_GB2312" w:hAnsi="仿宋_GB2312" w:eastAsia="仿宋_GB2312" w:cs="仿宋_GB2312"/>
          <w:bCs/>
          <w:kern w:val="0"/>
          <w:sz w:val="32"/>
          <w:szCs w:val="32"/>
          <w:lang w:val="en-US" w:eastAsia="zh-CN" w:bidi="zh-CN"/>
        </w:rPr>
        <w:t>下属企业作为出租方的重大资产租赁事宜，应由下属企业的“三重一大”集体决策机构进行决策。</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 xml:space="preserve"> 符合下列条件之一的，应作为出租方重大资产租赁事项进行管理：</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（一）单宗招租房屋资产的租赁建筑面积在</w:t>
      </w:r>
      <w:r>
        <w:rPr>
          <w:rFonts w:hint="default" w:ascii="Arial" w:hAnsi="Arial" w:eastAsia="仿宋_GB2312" w:cs="Arial"/>
          <w:bCs w:val="0"/>
          <w:color w:val="000000"/>
          <w:kern w:val="2"/>
          <w:sz w:val="32"/>
          <w:szCs w:val="32"/>
          <w:lang w:val="en-US" w:eastAsia="zh-CN" w:bidi="ar"/>
        </w:rPr>
        <w:t>1000</w:t>
      </w:r>
      <w:r>
        <w:rPr>
          <w:rFonts w:hint="eastAsia" w:ascii="仿宋_GB2312" w:hAnsi="仿宋_GB2312" w:eastAsia="仿宋_GB2312" w:cs="仿宋_GB2312"/>
          <w:bCs/>
          <w:kern w:val="0"/>
          <w:sz w:val="32"/>
          <w:szCs w:val="32"/>
          <w:lang w:val="en-US" w:eastAsia="zh-CN" w:bidi="zh-CN"/>
        </w:rPr>
        <w:t>平方米以上的。</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（二）单宗招租资产的平均年租金底价在</w:t>
      </w:r>
      <w:r>
        <w:rPr>
          <w:rFonts w:hint="default" w:ascii="Arial" w:hAnsi="Arial" w:eastAsia="仿宋_GB2312" w:cs="Arial"/>
          <w:bCs w:val="0"/>
          <w:color w:val="000000"/>
          <w:kern w:val="2"/>
          <w:sz w:val="32"/>
          <w:szCs w:val="32"/>
          <w:lang w:val="en-US" w:eastAsia="zh-CN" w:bidi="ar"/>
        </w:rPr>
        <w:t>100</w:t>
      </w:r>
      <w:r>
        <w:rPr>
          <w:rFonts w:hint="eastAsia" w:ascii="仿宋_GB2312" w:hAnsi="仿宋_GB2312" w:eastAsia="仿宋_GB2312" w:cs="仿宋_GB2312"/>
          <w:bCs/>
          <w:kern w:val="0"/>
          <w:sz w:val="32"/>
          <w:szCs w:val="32"/>
          <w:lang w:val="en-US" w:eastAsia="zh-CN" w:bidi="zh-CN"/>
        </w:rPr>
        <w:t>万元及以上的。</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（三）单次出租期限超过</w:t>
      </w:r>
      <w:r>
        <w:rPr>
          <w:rFonts w:hint="default" w:ascii="Arial" w:hAnsi="Arial" w:eastAsia="仿宋_GB2312" w:cs="Arial"/>
          <w:bCs w:val="0"/>
          <w:color w:val="000000"/>
          <w:kern w:val="2"/>
          <w:sz w:val="32"/>
          <w:szCs w:val="32"/>
          <w:lang w:val="en-US" w:eastAsia="zh-CN" w:bidi="ar"/>
        </w:rPr>
        <w:t>5</w:t>
      </w:r>
      <w:r>
        <w:rPr>
          <w:rFonts w:hint="eastAsia" w:ascii="仿宋_GB2312" w:hAnsi="仿宋_GB2312" w:eastAsia="仿宋_GB2312" w:cs="仿宋_GB2312"/>
          <w:bCs/>
          <w:kern w:val="0"/>
          <w:sz w:val="32"/>
          <w:szCs w:val="32"/>
          <w:lang w:val="en-US" w:eastAsia="zh-CN" w:bidi="zh-CN"/>
        </w:rPr>
        <w:t>年的出租行为。</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（四）因涉密等特殊原因采取非公开方式招租的行为（附件</w:t>
      </w:r>
      <w:r>
        <w:rPr>
          <w:rFonts w:hint="default" w:ascii="Arial" w:hAnsi="Arial" w:eastAsia="仿宋_GB2312" w:cs="Arial"/>
          <w:bCs w:val="0"/>
          <w:color w:val="000000"/>
          <w:kern w:val="2"/>
          <w:sz w:val="32"/>
          <w:szCs w:val="32"/>
          <w:lang w:val="en-US" w:eastAsia="zh-CN" w:bidi="ar"/>
        </w:rPr>
        <w:t>1</w:t>
      </w:r>
      <w:r>
        <w:rPr>
          <w:rFonts w:hint="eastAsia" w:ascii="仿宋_GB2312" w:hAnsi="仿宋_GB2312" w:eastAsia="仿宋_GB2312" w:cs="仿宋_GB2312"/>
          <w:bCs/>
          <w:kern w:val="0"/>
          <w:sz w:val="32"/>
          <w:szCs w:val="32"/>
          <w:lang w:val="en-US" w:eastAsia="zh-CN" w:bidi="zh-CN"/>
        </w:rPr>
        <w:t>中可不公开招租的情形除外）。</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 xml:space="preserve"> 下属企业租赁事宜符合下列条件之一的，应提交集团党委会前置研究后，提交集团董事会决策：</w:t>
      </w:r>
    </w:p>
    <w:p>
      <w:pPr>
        <w:keepNext w:val="0"/>
        <w:keepLines w:val="0"/>
        <w:pageBreakBefore w:val="0"/>
        <w:widowControl w:val="0"/>
        <w:numPr>
          <w:ilvl w:val="-1"/>
          <w:numId w:val="0"/>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val="0"/>
          <w:color w:val="000000"/>
          <w:kern w:val="0"/>
          <w:sz w:val="32"/>
          <w:szCs w:val="32"/>
          <w:lang w:val="en-US" w:eastAsia="zh-CN" w:bidi="zh-CN"/>
        </w:rPr>
      </w:pPr>
      <w:r>
        <w:rPr>
          <w:rFonts w:hint="eastAsia" w:ascii="仿宋_GB2312" w:hAnsi="仿宋_GB2312" w:eastAsia="仿宋_GB2312" w:cs="仿宋_GB2312"/>
          <w:bCs w:val="0"/>
          <w:color w:val="000000"/>
          <w:kern w:val="0"/>
          <w:sz w:val="32"/>
          <w:szCs w:val="32"/>
          <w:lang w:val="en-US" w:eastAsia="zh-CN" w:bidi="zh-CN"/>
        </w:rPr>
        <w:t>（一）单宗招租资产的平均年租金底价在</w:t>
      </w:r>
      <w:r>
        <w:rPr>
          <w:rFonts w:hint="default" w:ascii="Arial" w:hAnsi="Arial" w:eastAsia="仿宋_GB2312" w:cs="Arial"/>
          <w:bCs w:val="0"/>
          <w:color w:val="000000"/>
          <w:kern w:val="2"/>
          <w:sz w:val="32"/>
          <w:szCs w:val="32"/>
          <w:lang w:val="en-US" w:eastAsia="zh-CN" w:bidi="ar"/>
        </w:rPr>
        <w:t>300</w:t>
      </w:r>
      <w:r>
        <w:rPr>
          <w:rFonts w:hint="eastAsia" w:ascii="仿宋_GB2312" w:hAnsi="仿宋_GB2312" w:eastAsia="仿宋_GB2312" w:cs="仿宋_GB2312"/>
          <w:bCs w:val="0"/>
          <w:color w:val="000000"/>
          <w:kern w:val="0"/>
          <w:sz w:val="32"/>
          <w:szCs w:val="32"/>
          <w:lang w:val="en-US" w:eastAsia="zh-CN" w:bidi="zh-CN"/>
        </w:rPr>
        <w:t>万元以上的。</w:t>
      </w:r>
    </w:p>
    <w:p>
      <w:pPr>
        <w:keepNext w:val="0"/>
        <w:keepLines w:val="0"/>
        <w:pageBreakBefore w:val="0"/>
        <w:widowControl w:val="0"/>
        <w:numPr>
          <w:ilvl w:val="-1"/>
          <w:numId w:val="0"/>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bCs w:val="0"/>
          <w:color w:val="000000"/>
          <w:kern w:val="0"/>
          <w:sz w:val="32"/>
          <w:szCs w:val="32"/>
          <w:lang w:val="en-US" w:eastAsia="zh-CN" w:bidi="zh-CN"/>
        </w:rPr>
        <w:t>（二）单次出租期限超过</w:t>
      </w:r>
      <w:r>
        <w:rPr>
          <w:rFonts w:hint="default" w:ascii="Arial" w:hAnsi="Arial" w:eastAsia="仿宋_GB2312" w:cs="Arial"/>
          <w:bCs w:val="0"/>
          <w:color w:val="000000"/>
          <w:kern w:val="2"/>
          <w:sz w:val="32"/>
          <w:szCs w:val="32"/>
          <w:lang w:val="en-US" w:eastAsia="zh-CN" w:bidi="ar"/>
        </w:rPr>
        <w:t>5</w:t>
      </w:r>
      <w:r>
        <w:rPr>
          <w:rFonts w:hint="eastAsia" w:ascii="仿宋_GB2312" w:hAnsi="仿宋_GB2312" w:eastAsia="仿宋_GB2312" w:cs="仿宋_GB2312"/>
          <w:bCs w:val="0"/>
          <w:color w:val="000000"/>
          <w:kern w:val="0"/>
          <w:sz w:val="32"/>
          <w:szCs w:val="32"/>
          <w:lang w:val="en-US" w:eastAsia="zh-CN" w:bidi="zh-CN"/>
        </w:rPr>
        <w:t>年的出租行为。</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单宗招租资产是指在单次招租环节计划将单个资产或多个资产共同视作整体面向非特定单一承租人进行出租的资产。多个资产之间存在互为配套等关联关系的，应当统一制定招租方案进行决策</w:t>
      </w:r>
      <w:bookmarkStart w:id="67" w:name="_GoBack"/>
      <w:bookmarkEnd w:id="67"/>
      <w:r>
        <w:rPr>
          <w:rFonts w:hint="eastAsia" w:ascii="仿宋_GB2312" w:hAnsi="仿宋_GB2312" w:eastAsia="仿宋_GB2312" w:cs="仿宋_GB2312"/>
          <w:color w:val="000000"/>
          <w:sz w:val="32"/>
          <w:szCs w:val="32"/>
          <w:lang w:val="en-US" w:eastAsia="zh-CN" w:bidi="zh-CN"/>
        </w:rPr>
        <w:t>。</w:t>
      </w:r>
    </w:p>
    <w:p>
      <w:pPr>
        <w:keepNext w:val="0"/>
        <w:keepLines w:val="0"/>
        <w:pageBreakBefore w:val="0"/>
        <w:widowControl w:val="0"/>
        <w:numPr>
          <w:ilvl w:val="0"/>
          <w:numId w:val="3"/>
        </w:numPr>
        <w:suppressLineNumbers w:val="0"/>
        <w:kinsoku/>
        <w:wordWrap/>
        <w:overflowPunct/>
        <w:topLinePunct w:val="0"/>
        <w:autoSpaceDE w:val="0"/>
        <w:autoSpaceDN w:val="0"/>
        <w:bidi w:val="0"/>
        <w:adjustRightInd/>
        <w:snapToGrid/>
        <w:spacing w:before="0" w:beforeAutospacing="0" w:after="0" w:afterAutospacing="0" w:line="560" w:lineRule="exact"/>
        <w:ind w:left="0" w:leftChars="0" w:right="0" w:firstLine="640" w:firstLineChars="200"/>
        <w:jc w:val="both"/>
        <w:textAlignment w:val="auto"/>
        <w:rPr>
          <w:rFonts w:hint="default" w:ascii="仿宋_GB2312" w:hAnsi="仿宋_GB2312" w:eastAsia="仿宋_GB2312" w:cs="仿宋_GB2312"/>
          <w:b/>
          <w:bCs/>
          <w:color w:val="000000"/>
          <w:kern w:val="0"/>
          <w:sz w:val="32"/>
          <w:szCs w:val="32"/>
          <w:lang w:val="en-US" w:eastAsia="zh-CN" w:bidi="zh-CN"/>
        </w:rPr>
      </w:pPr>
      <w:r>
        <w:rPr>
          <w:rFonts w:hint="eastAsia" w:ascii="仿宋_GB2312" w:hAnsi="仿宋_GB2312" w:eastAsia="仿宋_GB2312" w:cs="仿宋_GB2312"/>
          <w:color w:val="000000"/>
          <w:kern w:val="0"/>
          <w:sz w:val="32"/>
          <w:szCs w:val="32"/>
          <w:lang w:val="en-US" w:eastAsia="zh-CN" w:bidi="zh-CN"/>
        </w:rPr>
        <w:t xml:space="preserve"> </w:t>
      </w:r>
      <w:r>
        <w:rPr>
          <w:rFonts w:hint="eastAsia" w:ascii="仿宋_GB2312" w:hAnsi="仿宋_GB2312" w:eastAsia="仿宋_GB2312" w:cs="仿宋_GB2312"/>
          <w:b w:val="0"/>
          <w:bCs w:val="0"/>
          <w:color w:val="000000"/>
          <w:kern w:val="0"/>
          <w:sz w:val="32"/>
          <w:szCs w:val="32"/>
          <w:lang w:val="en-US" w:eastAsia="zh-CN" w:bidi="zh-CN"/>
        </w:rPr>
        <w:t>租赁期限超过10年的资产出租项目，</w:t>
      </w:r>
      <w:r>
        <w:rPr>
          <w:rFonts w:ascii="仿宋_GB2312" w:hAnsi="仿宋_GB2312" w:eastAsia="仿宋_GB2312" w:cs="仿宋_GB2312"/>
          <w:kern w:val="0"/>
          <w:sz w:val="32"/>
          <w:szCs w:val="32"/>
          <w:lang w:val="zh-CN" w:bidi="zh-CN"/>
        </w:rPr>
        <w:t>集团</w:t>
      </w:r>
      <w:r>
        <w:rPr>
          <w:rFonts w:hint="eastAsia" w:ascii="仿宋_GB2312" w:hAnsi="仿宋_GB2312" w:eastAsia="仿宋_GB2312" w:cs="仿宋_GB2312"/>
          <w:b w:val="0"/>
          <w:bCs w:val="0"/>
          <w:color w:val="000000"/>
          <w:kern w:val="0"/>
          <w:sz w:val="32"/>
          <w:szCs w:val="32"/>
          <w:lang w:val="en-US" w:eastAsia="zh-CN" w:bidi="zh-CN"/>
        </w:rPr>
        <w:t>董事会决策后</w:t>
      </w:r>
      <w:r>
        <w:rPr>
          <w:rFonts w:hint="default" w:ascii="仿宋_GB2312" w:hAnsi="仿宋_GB2312" w:eastAsia="仿宋_GB2312" w:cs="仿宋_GB2312"/>
          <w:b w:val="0"/>
          <w:bCs w:val="0"/>
          <w:color w:val="000000"/>
          <w:kern w:val="0"/>
          <w:sz w:val="32"/>
          <w:szCs w:val="32"/>
          <w:lang w:val="zh-CN" w:eastAsia="zh-CN" w:bidi="zh-CN"/>
        </w:rPr>
        <w:t>，集团归口管理部门</w:t>
      </w:r>
      <w:r>
        <w:rPr>
          <w:rFonts w:hint="default" w:ascii="仿宋_GB2312" w:hAnsi="Calibri" w:eastAsia="仿宋_GB2312" w:cs="仿宋_GB2312"/>
          <w:b w:val="0"/>
          <w:bCs w:val="0"/>
          <w:color w:val="000000"/>
          <w:kern w:val="2"/>
          <w:sz w:val="32"/>
          <w:szCs w:val="32"/>
          <w:lang w:val="en-US" w:eastAsia="zh-CN" w:bidi="ar"/>
        </w:rPr>
        <w:t>按照相关规定需要向国资监管机构书面报告的要履行报告程序。</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出租方不得</w:t>
      </w:r>
      <w:r>
        <w:rPr>
          <w:rFonts w:hint="default" w:ascii="仿宋_GB2312" w:hAnsi="仿宋_GB2312" w:eastAsia="仿宋_GB2312" w:cs="仿宋_GB2312"/>
          <w:color w:val="000000"/>
          <w:sz w:val="32"/>
          <w:szCs w:val="32"/>
          <w:lang w:eastAsia="zh-CN" w:bidi="zh-CN"/>
        </w:rPr>
        <w:t>为了</w:t>
      </w:r>
      <w:r>
        <w:rPr>
          <w:rFonts w:hint="eastAsia" w:ascii="仿宋_GB2312" w:hAnsi="仿宋_GB2312" w:eastAsia="仿宋_GB2312" w:cs="仿宋_GB2312"/>
          <w:color w:val="000000"/>
          <w:sz w:val="32"/>
          <w:szCs w:val="32"/>
          <w:lang w:val="en-US" w:eastAsia="zh-CN" w:bidi="zh-CN"/>
        </w:rPr>
        <w:t>规避“三重一大”决策程序</w:t>
      </w:r>
      <w:r>
        <w:rPr>
          <w:rFonts w:hint="default" w:ascii="仿宋_GB2312" w:hAnsi="仿宋_GB2312" w:eastAsia="仿宋_GB2312" w:cs="仿宋_GB2312"/>
          <w:color w:val="000000"/>
          <w:sz w:val="32"/>
          <w:szCs w:val="32"/>
          <w:lang w:eastAsia="zh-CN" w:bidi="zh-CN"/>
        </w:rPr>
        <w:t>，违背价值最大化原则刻意采用</w:t>
      </w:r>
      <w:r>
        <w:rPr>
          <w:rFonts w:hint="eastAsia" w:ascii="仿宋_GB2312" w:hAnsi="仿宋_GB2312" w:eastAsia="仿宋_GB2312" w:cs="仿宋_GB2312"/>
          <w:color w:val="000000"/>
          <w:sz w:val="32"/>
          <w:szCs w:val="32"/>
          <w:lang w:val="en-US" w:eastAsia="zh-CN" w:bidi="zh-CN"/>
        </w:rPr>
        <w:t>拆分面积、压低租金等方式</w:t>
      </w:r>
      <w:r>
        <w:rPr>
          <w:rFonts w:hint="default" w:ascii="仿宋_GB2312" w:hAnsi="仿宋_GB2312" w:eastAsia="仿宋_GB2312" w:cs="仿宋_GB2312"/>
          <w:color w:val="000000"/>
          <w:sz w:val="32"/>
          <w:szCs w:val="32"/>
          <w:lang w:eastAsia="zh-CN" w:bidi="zh-CN"/>
        </w:rPr>
        <w:t>降低决策层级</w:t>
      </w:r>
      <w:r>
        <w:rPr>
          <w:rFonts w:hint="eastAsia" w:ascii="仿宋_GB2312" w:hAnsi="仿宋_GB2312" w:eastAsia="仿宋_GB2312" w:cs="仿宋_GB2312"/>
          <w:color w:val="000000"/>
          <w:sz w:val="32"/>
          <w:szCs w:val="32"/>
          <w:lang w:val="en-US" w:eastAsia="zh-CN" w:bidi="zh-CN"/>
        </w:rPr>
        <w:t>。</w:t>
      </w:r>
    </w:p>
    <w:p>
      <w:pPr>
        <w:widowControl w:val="0"/>
        <w:numPr>
          <w:ilvl w:val="0"/>
          <w:numId w:val="3"/>
        </w:numPr>
        <w:autoSpaceDE w:val="0"/>
        <w:autoSpaceDN w:val="0"/>
        <w:spacing w:after="120" w:afterAutospacing="0" w:line="560" w:lineRule="exact"/>
        <w:ind w:firstLine="640" w:firstLineChars="200"/>
        <w:jc w:val="both"/>
        <w:rPr>
          <w:rFonts w:hint="eastAsia" w:ascii="仿宋_GB2312" w:hAnsi="仿宋_GB2312" w:eastAsia="仿宋_GB2312" w:cs="仿宋_GB2312"/>
          <w:sz w:val="22"/>
          <w:szCs w:val="22"/>
          <w:lang w:val="en-US" w:eastAsia="zh-CN" w:bidi="zh-CN"/>
        </w:rPr>
      </w:pPr>
      <w:r>
        <w:rPr>
          <w:rFonts w:hint="eastAsia" w:ascii="仿宋_GB2312" w:hAnsi="仿宋_GB2312" w:eastAsia="仿宋_GB2312" w:cs="仿宋_GB2312"/>
          <w:color w:val="000000"/>
          <w:sz w:val="32"/>
          <w:szCs w:val="32"/>
          <w:lang w:val="en-US" w:eastAsia="zh-CN" w:bidi="zh-CN"/>
        </w:rPr>
        <w:t xml:space="preserve"> 除重大资产租赁事项外，一般性资产租赁事项由出租方按其内部制度自主决策。</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default" w:ascii="黑体" w:hAnsi="黑体" w:eastAsia="黑体" w:cs="黑体"/>
          <w:bCs/>
          <w:color w:val="000000"/>
          <w:sz w:val="32"/>
          <w:szCs w:val="31"/>
          <w:lang w:val="en-US" w:eastAsia="zh-CN" w:bidi="zh-CN"/>
        </w:rPr>
      </w:pPr>
      <w:bookmarkStart w:id="16" w:name="_Toc4037"/>
      <w:r>
        <w:rPr>
          <w:rFonts w:hint="eastAsia" w:ascii="黑体" w:hAnsi="黑体" w:eastAsia="黑体" w:cs="黑体"/>
          <w:bCs/>
          <w:color w:val="000000"/>
          <w:sz w:val="32"/>
          <w:szCs w:val="31"/>
          <w:lang w:val="en-US" w:eastAsia="zh-CN" w:bidi="zh-CN"/>
        </w:rPr>
        <w:t>资产招租管理</w:t>
      </w:r>
      <w:bookmarkEnd w:id="16"/>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default"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招租方式</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一）资产租赁应当采取公开竞争招租的方式进行，公开披露信息，广泛征集承租方，相关要求按照集团重大事项信息公开规定执行。根据绵阳市政府、绵阳市国资委相关规定可不公开（不进场）招租的情形除外（见附件</w:t>
      </w:r>
      <w:r>
        <w:rPr>
          <w:rFonts w:hint="default" w:ascii="Arial" w:hAnsi="Arial" w:eastAsia="仿宋_GB2312" w:cs="Arial"/>
          <w:color w:val="000000"/>
          <w:kern w:val="2"/>
          <w:sz w:val="32"/>
          <w:szCs w:val="32"/>
          <w:lang w:val="en-US" w:eastAsia="zh-CN" w:bidi="ar"/>
        </w:rPr>
        <w:t>1</w:t>
      </w:r>
      <w:r>
        <w:rPr>
          <w:rFonts w:hint="eastAsia" w:ascii="仿宋_GB2312" w:hAnsi="仿宋_GB2312" w:eastAsia="仿宋_GB2312" w:cs="仿宋_GB2312"/>
          <w:color w:val="000000"/>
          <w:sz w:val="32"/>
          <w:szCs w:val="32"/>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二）承租方为下属企业和绵阳市国资委实际控制的各级国有企业、各级党政机关、事业单位以及在民政部门登记的非营利性社会组织，由出租方与承租方在参考市场价格基础上采取非公开协议方式自行协商确定的，出租方报集团归口管理部门、集团分管领导、总经理、董事长逐级审批后实施（非公开协议出租需提交资料见附件</w:t>
      </w:r>
      <w:r>
        <w:rPr>
          <w:rFonts w:hint="default" w:ascii="Arial" w:hAnsi="Arial" w:eastAsia="仿宋_GB2312" w:cs="Arial"/>
          <w:color w:val="000000"/>
          <w:kern w:val="2"/>
          <w:sz w:val="32"/>
          <w:szCs w:val="32"/>
          <w:lang w:val="en-US" w:eastAsia="zh-CN" w:bidi="ar"/>
        </w:rPr>
        <w:t>2</w:t>
      </w:r>
      <w:r>
        <w:rPr>
          <w:rFonts w:hint="eastAsia" w:ascii="仿宋_GB2312" w:hAnsi="仿宋_GB2312" w:eastAsia="仿宋_GB2312" w:cs="仿宋_GB2312"/>
          <w:color w:val="000000"/>
          <w:sz w:val="32"/>
          <w:szCs w:val="32"/>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（三）按照法律法规和国资监管相关规定应当在产权交易机构公开进行的，按照相关规定执行。</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w:t>
      </w:r>
      <w:r>
        <w:rPr>
          <w:rFonts w:hint="eastAsia" w:ascii="仿宋_GB2312" w:hAnsi="仿宋_GB2312" w:eastAsia="仿宋_GB2312" w:cs="仿宋_GB2312"/>
          <w:b/>
          <w:bCs/>
          <w:color w:val="000000"/>
          <w:sz w:val="32"/>
          <w:szCs w:val="32"/>
          <w:lang w:val="en-US" w:eastAsia="zh-CN" w:bidi="zh-CN"/>
        </w:rPr>
        <w:t>招租方案调整</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default" w:ascii="仿宋_GB2312" w:hAnsi="仿宋_GB2312" w:eastAsia="仿宋_GB2312" w:cs="仿宋_GB2312"/>
          <w:color w:val="000000"/>
          <w:sz w:val="32"/>
          <w:szCs w:val="32"/>
          <w:highlight w:val="none"/>
          <w:lang w:val="en-US" w:eastAsia="zh-CN" w:bidi="zh-CN"/>
        </w:rPr>
      </w:pPr>
      <w:r>
        <w:rPr>
          <w:rFonts w:hint="eastAsia" w:ascii="仿宋_GB2312" w:hAnsi="仿宋_GB2312" w:eastAsia="仿宋_GB2312" w:cs="仿宋_GB2312"/>
          <w:color w:val="000000"/>
          <w:sz w:val="32"/>
          <w:szCs w:val="32"/>
          <w:lang w:val="en-US" w:eastAsia="zh-CN" w:bidi="zh-CN"/>
        </w:rPr>
        <w:t>招租公告期满未征集到意向承租方的，可以延长公告期或者降低出租底价进行第二次公开招租，降价幅度超过10%的，应当重新履行决策审批程序；若资产公开招租超过半年仍无符合条件者报名，可调整招租方案重新履行决策审批程序后重新公开招租。</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eastAsia"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承租方确定</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bidi="zh-CN"/>
        </w:rPr>
      </w:pPr>
      <w:r>
        <w:rPr>
          <w:rFonts w:hint="eastAsia" w:ascii="仿宋_GB2312" w:hAnsi="仿宋_GB2312" w:eastAsia="仿宋_GB2312" w:cs="仿宋_GB2312"/>
          <w:color w:val="000000"/>
          <w:sz w:val="32"/>
          <w:szCs w:val="32"/>
          <w:lang w:val="en-US" w:eastAsia="zh-CN" w:bidi="zh-CN"/>
        </w:rPr>
        <w:t>（一）公开招租过程中，只有一个符合条件者报名的，经出租方批准后，可以按实际报价但不能低于招租底价签订租赁协议；若有两个以上符合条件报名的，应按照公开竞价、综合评定、择</w:t>
      </w:r>
      <w:r>
        <w:rPr>
          <w:rFonts w:hint="eastAsia" w:ascii="仿宋_GB2312" w:hAnsi="仿宋_GB2312" w:eastAsia="仿宋_GB2312" w:cs="仿宋_GB2312"/>
          <w:color w:val="000000"/>
          <w:sz w:val="32"/>
          <w:szCs w:val="32"/>
          <w:highlight w:val="none"/>
          <w:lang w:val="en-US" w:eastAsia="zh-CN" w:bidi="zh-CN"/>
        </w:rPr>
        <w:t>优选择的原则确定承租方。</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default" w:ascii="仿宋_GB2312" w:hAnsi="仿宋_GB2312" w:eastAsia="仿宋_GB2312" w:cs="仿宋_GB2312"/>
          <w:color w:val="000000"/>
          <w:sz w:val="32"/>
          <w:szCs w:val="32"/>
          <w:highlight w:val="none"/>
          <w:lang w:val="en-US" w:eastAsia="zh-CN" w:bidi="zh-CN"/>
        </w:rPr>
      </w:pPr>
      <w:r>
        <w:rPr>
          <w:rFonts w:hint="eastAsia" w:ascii="仿宋_GB2312" w:hAnsi="仿宋_GB2312" w:eastAsia="仿宋_GB2312" w:cs="仿宋_GB2312"/>
          <w:color w:val="000000"/>
          <w:sz w:val="32"/>
          <w:szCs w:val="32"/>
          <w:highlight w:val="none"/>
          <w:lang w:val="en-US" w:eastAsia="zh-CN" w:bidi="zh-CN"/>
        </w:rPr>
        <w:t>（二）原承租方对资产进行了建设改造或投入装饰装修且承租方信用良好的，企业引入投资方附带租赁企业资产的，或下属企业参与公开招租竞价的，在承租面积、价格、支付方式和期限等条件相同情况下具有优先承租权。法律法规对优先承租权另有规定的，从其规定。</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firstLine="643" w:firstLineChars="200"/>
        <w:jc w:val="both"/>
        <w:textAlignment w:val="auto"/>
        <w:rPr>
          <w:rFonts w:hint="eastAsia"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b/>
          <w:bCs/>
          <w:color w:val="000000"/>
          <w:sz w:val="32"/>
          <w:szCs w:val="32"/>
          <w:highlight w:val="none"/>
          <w:lang w:val="en-US" w:eastAsia="zh-CN" w:bidi="zh-CN"/>
        </w:rPr>
        <w:t>合同签订和</w:t>
      </w:r>
      <w:r>
        <w:rPr>
          <w:rFonts w:hint="eastAsia" w:ascii="仿宋_GB2312" w:hAnsi="仿宋_GB2312" w:eastAsia="仿宋_GB2312" w:cs="仿宋_GB2312"/>
          <w:b/>
          <w:bCs/>
          <w:color w:val="000000"/>
          <w:sz w:val="32"/>
          <w:szCs w:val="32"/>
          <w:lang w:val="en-US" w:eastAsia="zh-CN" w:bidi="zh-CN"/>
        </w:rPr>
        <w:t>出租</w:t>
      </w:r>
      <w:r>
        <w:rPr>
          <w:rFonts w:hint="eastAsia" w:ascii="仿宋_GB2312" w:hAnsi="仿宋_GB2312" w:eastAsia="仿宋_GB2312" w:cs="仿宋_GB2312"/>
          <w:b/>
          <w:bCs/>
          <w:color w:val="000000"/>
          <w:sz w:val="32"/>
          <w:szCs w:val="32"/>
          <w:highlight w:val="none"/>
          <w:lang w:val="en-US" w:eastAsia="zh-CN" w:bidi="zh-CN"/>
        </w:rPr>
        <w:t>结果</w:t>
      </w:r>
      <w:r>
        <w:rPr>
          <w:rFonts w:hint="eastAsia" w:ascii="仿宋_GB2312" w:hAnsi="仿宋_GB2312" w:eastAsia="仿宋_GB2312" w:cs="仿宋_GB2312"/>
          <w:b/>
          <w:bCs/>
          <w:color w:val="000000"/>
          <w:sz w:val="32"/>
          <w:szCs w:val="32"/>
          <w:lang w:val="en-US" w:eastAsia="zh-CN" w:bidi="zh-CN"/>
        </w:rPr>
        <w:t>公示</w:t>
      </w:r>
    </w:p>
    <w:p>
      <w:pPr>
        <w:keepNext w:val="0"/>
        <w:keepLines w:val="0"/>
        <w:pageBreakBefore w:val="0"/>
        <w:widowControl w:val="0"/>
        <w:numPr>
          <w:ilvl w:val="-1"/>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eastAsia"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（一）出租方应及时组织与确定的承租方签订规范的资产租赁合同和租赁资产安全管理责任书。</w:t>
      </w:r>
    </w:p>
    <w:p>
      <w:pPr>
        <w:keepNext w:val="0"/>
        <w:keepLines w:val="0"/>
        <w:pageBreakBefore w:val="0"/>
        <w:widowControl w:val="0"/>
        <w:numPr>
          <w:ilvl w:val="-1"/>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eastAsia"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（二）租赁合同必须包含租赁标的具体信息（含租赁物内的设施、设备、物品等）、租赁期限、价格及支付条款、物业管理能源费用、租赁房屋的交付和违约责任等内容。</w:t>
      </w:r>
    </w:p>
    <w:p>
      <w:pPr>
        <w:keepNext w:val="0"/>
        <w:keepLines w:val="0"/>
        <w:pageBreakBefore w:val="0"/>
        <w:widowControl w:val="0"/>
        <w:numPr>
          <w:ilvl w:val="-1"/>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default" w:ascii="仿宋_GB2312" w:hAnsi="仿宋_GB2312" w:eastAsia="仿宋_GB2312" w:cs="仿宋_GB2312"/>
          <w:b w:val="0"/>
          <w:bCs w:val="0"/>
          <w:color w:val="000000"/>
          <w:sz w:val="32"/>
          <w:szCs w:val="32"/>
          <w:highlight w:val="none"/>
          <w:lang w:val="en-US" w:eastAsia="zh-CN" w:bidi="zh-CN"/>
        </w:rPr>
      </w:pPr>
      <w:r>
        <w:rPr>
          <w:rFonts w:hint="eastAsia" w:ascii="仿宋_GB2312" w:hAnsi="仿宋_GB2312" w:eastAsia="仿宋_GB2312" w:cs="仿宋_GB2312"/>
          <w:b w:val="0"/>
          <w:bCs w:val="0"/>
          <w:color w:val="000000"/>
          <w:sz w:val="32"/>
          <w:szCs w:val="32"/>
          <w:lang w:val="en-US" w:eastAsia="zh-CN" w:bidi="zh-CN"/>
        </w:rPr>
        <w:t>（三）租赁合同生效后</w:t>
      </w:r>
      <w:r>
        <w:rPr>
          <w:rFonts w:hint="eastAsia" w:ascii="Arial" w:hAnsi="Arial" w:eastAsia="仿宋_GB2312" w:cs="Arial"/>
          <w:b w:val="0"/>
          <w:bCs w:val="0"/>
          <w:color w:val="000000"/>
          <w:kern w:val="2"/>
          <w:sz w:val="32"/>
          <w:szCs w:val="32"/>
          <w:lang w:val="en-US" w:eastAsia="zh-CN" w:bidi="ar"/>
        </w:rPr>
        <w:t>及时</w:t>
      </w:r>
      <w:r>
        <w:rPr>
          <w:rFonts w:hint="eastAsia" w:ascii="仿宋_GB2312" w:hAnsi="仿宋_GB2312" w:eastAsia="仿宋_GB2312" w:cs="仿宋_GB2312"/>
          <w:b w:val="0"/>
          <w:bCs w:val="0"/>
          <w:color w:val="000000"/>
          <w:sz w:val="32"/>
          <w:szCs w:val="32"/>
          <w:lang w:val="en-US" w:eastAsia="zh-CN" w:bidi="zh-CN"/>
        </w:rPr>
        <w:t>按照集团关于信息公开相关要求进行出租结果信息公示。</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color w:val="000000"/>
          <w:sz w:val="32"/>
          <w:szCs w:val="32"/>
          <w:lang w:val="en-US" w:eastAsia="zh-CN" w:bidi="zh-CN"/>
        </w:rPr>
      </w:pPr>
      <w:bookmarkStart w:id="17" w:name="_Toc28207"/>
      <w:bookmarkStart w:id="18" w:name="_Toc9643"/>
      <w:bookmarkStart w:id="19" w:name="_Toc18443"/>
      <w:bookmarkStart w:id="20" w:name="_Toc7536"/>
      <w:bookmarkStart w:id="21" w:name="_Toc18013"/>
      <w:r>
        <w:rPr>
          <w:rFonts w:hint="eastAsia" w:ascii="黑体" w:hAnsi="黑体" w:eastAsia="黑体" w:cs="黑体"/>
          <w:bCs/>
          <w:color w:val="000000"/>
          <w:sz w:val="32"/>
          <w:szCs w:val="31"/>
          <w:lang w:val="en-US" w:eastAsia="zh-CN" w:bidi="zh-CN"/>
        </w:rPr>
        <w:t>资产租赁日常管理</w:t>
      </w:r>
      <w:bookmarkEnd w:id="17"/>
      <w:bookmarkEnd w:id="18"/>
      <w:bookmarkEnd w:id="19"/>
      <w:bookmarkEnd w:id="20"/>
      <w:bookmarkEnd w:id="21"/>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default"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租金管理</w:t>
      </w:r>
    </w:p>
    <w:p>
      <w:pPr>
        <w:widowControl/>
        <w:autoSpaceDE w:val="0"/>
        <w:autoSpaceDN w:val="0"/>
        <w:spacing w:line="560" w:lineRule="exact"/>
        <w:ind w:firstLine="616" w:firstLineChars="200"/>
        <w:jc w:val="left"/>
        <w:rPr>
          <w:rFonts w:hint="default" w:ascii="仿宋_GB2312" w:hAnsi="仿宋_GB2312" w:eastAsia="仿宋_GB2312" w:cs="仿宋_GB2312"/>
          <w:color w:val="000000"/>
          <w:kern w:val="0"/>
          <w:sz w:val="32"/>
          <w:szCs w:val="32"/>
          <w:lang w:val="en-US" w:eastAsia="zh-CN" w:bidi="zh-CN"/>
        </w:rPr>
      </w:pPr>
      <w:r>
        <w:rPr>
          <w:rFonts w:hint="eastAsia" w:ascii="仿宋_GB2312" w:hAnsi="仿宋_GB2312" w:eastAsia="仿宋_GB2312" w:cs="仿宋_GB2312"/>
          <w:color w:val="000000"/>
          <w:spacing w:val="-6"/>
          <w:kern w:val="0"/>
          <w:sz w:val="32"/>
          <w:szCs w:val="32"/>
          <w:lang w:val="en-US" w:eastAsia="zh-CN" w:bidi="zh-CN"/>
        </w:rPr>
        <w:t>出租方应建立租金催收和预警机制，按照合同约定按时、足额收取租金，对于租金拖欠行为，应当及时采取有效措施进行追缴</w:t>
      </w:r>
      <w:r>
        <w:rPr>
          <w:rFonts w:hint="eastAsia" w:ascii="仿宋_GB2312" w:hAnsi="仿宋_GB2312" w:eastAsia="仿宋_GB2312" w:cs="仿宋_GB2312"/>
          <w:color w:val="000000"/>
          <w:kern w:val="0"/>
          <w:sz w:val="32"/>
          <w:szCs w:val="32"/>
          <w:lang w:val="en-US" w:eastAsia="zh-CN" w:bidi="zh-CN"/>
        </w:rPr>
        <w:t>。</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default"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b/>
          <w:bCs/>
          <w:color w:val="000000"/>
          <w:sz w:val="32"/>
          <w:szCs w:val="32"/>
          <w:highlight w:val="none"/>
          <w:lang w:val="en-US" w:eastAsia="zh-CN" w:bidi="zh-CN"/>
        </w:rPr>
        <w:t>现场管理</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eastAsia"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出租方定期实勘出租现场，建立安全管理体系，对以下情况进行监督检查并做好书面记录：</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（一）</w:t>
      </w:r>
      <w:r>
        <w:rPr>
          <w:rFonts w:hint="default" w:ascii="仿宋_GB2312" w:hAnsi="仿宋_GB2312" w:eastAsia="仿宋_GB2312" w:cs="仿宋_GB2312"/>
          <w:b w:val="0"/>
          <w:bCs w:val="0"/>
          <w:color w:val="000000"/>
          <w:sz w:val="32"/>
          <w:szCs w:val="32"/>
          <w:lang w:val="en-US" w:eastAsia="zh-CN" w:bidi="zh-CN"/>
        </w:rPr>
        <w:t>是否设置安全通道并保持畅通，疏散指示标志是否明显，指示方向是否正确，应急灯性能是否完好</w:t>
      </w:r>
      <w:r>
        <w:rPr>
          <w:rFonts w:hint="eastAsia" w:ascii="仿宋_GB2312" w:hAnsi="仿宋_GB2312" w:eastAsia="仿宋_GB2312" w:cs="仿宋_GB2312"/>
          <w:b w:val="0"/>
          <w:bCs w:val="0"/>
          <w:color w:val="000000"/>
          <w:sz w:val="32"/>
          <w:szCs w:val="32"/>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（二）</w:t>
      </w:r>
      <w:r>
        <w:rPr>
          <w:rFonts w:hint="default" w:ascii="仿宋_GB2312" w:hAnsi="仿宋_GB2312" w:eastAsia="仿宋_GB2312" w:cs="仿宋_GB2312"/>
          <w:b w:val="0"/>
          <w:bCs w:val="0"/>
          <w:color w:val="000000"/>
          <w:sz w:val="32"/>
          <w:szCs w:val="32"/>
          <w:lang w:val="en-US" w:eastAsia="zh-CN" w:bidi="zh-CN"/>
        </w:rPr>
        <w:t>是否按标准设置安全出口，并保持畅通</w:t>
      </w:r>
      <w:r>
        <w:rPr>
          <w:rFonts w:hint="eastAsia" w:ascii="仿宋_GB2312" w:hAnsi="仿宋_GB2312" w:eastAsia="仿宋_GB2312" w:cs="仿宋_GB2312"/>
          <w:b w:val="0"/>
          <w:bCs w:val="0"/>
          <w:color w:val="000000"/>
          <w:sz w:val="32"/>
          <w:szCs w:val="32"/>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（三）</w:t>
      </w:r>
      <w:r>
        <w:rPr>
          <w:rFonts w:hint="default" w:ascii="仿宋_GB2312" w:hAnsi="仿宋_GB2312" w:eastAsia="仿宋_GB2312" w:cs="仿宋_GB2312"/>
          <w:b w:val="0"/>
          <w:bCs w:val="0"/>
          <w:color w:val="000000"/>
          <w:sz w:val="32"/>
          <w:szCs w:val="32"/>
          <w:lang w:val="en-US" w:eastAsia="zh-CN" w:bidi="zh-CN"/>
        </w:rPr>
        <w:t>消防器材是否完好，数量、布局是否合理</w:t>
      </w:r>
      <w:r>
        <w:rPr>
          <w:rFonts w:hint="eastAsia" w:ascii="仿宋_GB2312" w:hAnsi="仿宋_GB2312" w:eastAsia="仿宋_GB2312" w:cs="仿宋_GB2312"/>
          <w:b w:val="0"/>
          <w:bCs w:val="0"/>
          <w:color w:val="000000"/>
          <w:sz w:val="32"/>
          <w:szCs w:val="32"/>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（四）其他安全管理体系规定事项。</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firstLine="643"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资产维护管理</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（一）自主经营的出租方应做好资产的定期维护和季节性预防保养，通过对资产的养护，最大限度地延长资产使用年限。</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（二）受托管理的资产，出租方应与资产产权所属单位明确约定资产维修、维护、空置期管理等责任主体。</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default"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档案管理</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default" w:ascii="仿宋_GB2312" w:hAnsi="仿宋_GB2312" w:eastAsia="仿宋_GB2312" w:cs="仿宋_GB2312"/>
          <w:color w:val="000000"/>
          <w:sz w:val="32"/>
          <w:szCs w:val="32"/>
          <w:lang w:val="en-US" w:eastAsia="zh-CN" w:bidi="zh-CN"/>
        </w:rPr>
        <w:t>出租</w:t>
      </w:r>
      <w:r>
        <w:rPr>
          <w:rFonts w:hint="eastAsia" w:ascii="仿宋_GB2312" w:hAnsi="仿宋_GB2312" w:eastAsia="仿宋_GB2312" w:cs="仿宋_GB2312"/>
          <w:color w:val="000000"/>
          <w:sz w:val="32"/>
          <w:szCs w:val="32"/>
          <w:lang w:val="en-US" w:eastAsia="zh-CN" w:bidi="zh-CN"/>
        </w:rPr>
        <w:t>方</w:t>
      </w:r>
      <w:r>
        <w:rPr>
          <w:rFonts w:hint="default" w:ascii="仿宋_GB2312" w:hAnsi="仿宋_GB2312" w:eastAsia="仿宋_GB2312" w:cs="仿宋_GB2312"/>
          <w:color w:val="000000"/>
          <w:sz w:val="32"/>
          <w:szCs w:val="32"/>
          <w:lang w:val="en-US" w:eastAsia="zh-CN" w:bidi="zh-CN"/>
        </w:rPr>
        <w:t>要建立资产租赁全过程记录机制，资产租赁方案提出、招租底价</w:t>
      </w:r>
      <w:r>
        <w:rPr>
          <w:rFonts w:hint="eastAsia" w:ascii="仿宋_GB2312" w:hAnsi="仿宋_GB2312" w:eastAsia="仿宋_GB2312" w:cs="仿宋_GB2312"/>
          <w:color w:val="000000"/>
          <w:sz w:val="32"/>
          <w:szCs w:val="32"/>
          <w:lang w:val="en-US" w:eastAsia="zh-CN" w:bidi="zh-CN"/>
        </w:rPr>
        <w:t>的</w:t>
      </w:r>
      <w:r>
        <w:rPr>
          <w:rFonts w:hint="default" w:ascii="仿宋_GB2312" w:hAnsi="仿宋_GB2312" w:eastAsia="仿宋_GB2312" w:cs="仿宋_GB2312"/>
          <w:color w:val="000000"/>
          <w:sz w:val="32"/>
          <w:szCs w:val="32"/>
          <w:lang w:val="en-US" w:eastAsia="zh-CN" w:bidi="zh-CN"/>
        </w:rPr>
        <w:t>确定</w:t>
      </w:r>
      <w:r>
        <w:rPr>
          <w:rFonts w:hint="eastAsia" w:ascii="仿宋_GB2312" w:hAnsi="仿宋_GB2312" w:eastAsia="仿宋_GB2312" w:cs="仿宋_GB2312"/>
          <w:color w:val="000000"/>
          <w:sz w:val="32"/>
          <w:szCs w:val="32"/>
          <w:lang w:val="en-US" w:eastAsia="zh-CN" w:bidi="zh-CN"/>
        </w:rPr>
        <w:t>依据及决策流程</w:t>
      </w:r>
      <w:r>
        <w:rPr>
          <w:rFonts w:hint="default" w:ascii="仿宋_GB2312" w:hAnsi="仿宋_GB2312" w:eastAsia="仿宋_GB2312" w:cs="仿宋_GB2312"/>
          <w:color w:val="000000"/>
          <w:sz w:val="32"/>
          <w:szCs w:val="32"/>
          <w:lang w:val="en-US" w:eastAsia="zh-CN" w:bidi="zh-CN"/>
        </w:rPr>
        <w:t>、信息发布、意向承租方报名、承租方确定、租赁合同</w:t>
      </w:r>
      <w:r>
        <w:rPr>
          <w:rFonts w:hint="eastAsia" w:ascii="仿宋_GB2312" w:hAnsi="仿宋_GB2312" w:eastAsia="仿宋_GB2312" w:cs="仿宋_GB2312"/>
          <w:color w:val="000000"/>
          <w:sz w:val="32"/>
          <w:szCs w:val="32"/>
          <w:lang w:val="en-US" w:eastAsia="zh-CN" w:bidi="zh-CN"/>
        </w:rPr>
        <w:t>以及资产租赁经营管理台账</w:t>
      </w:r>
      <w:r>
        <w:rPr>
          <w:rFonts w:hint="default" w:ascii="仿宋_GB2312" w:hAnsi="仿宋_GB2312" w:eastAsia="仿宋_GB2312" w:cs="仿宋_GB2312"/>
          <w:color w:val="000000"/>
          <w:sz w:val="32"/>
          <w:szCs w:val="32"/>
          <w:lang w:val="en-US" w:eastAsia="zh-CN" w:bidi="zh-CN"/>
        </w:rPr>
        <w:t>等资料均要进行</w:t>
      </w:r>
      <w:r>
        <w:rPr>
          <w:rFonts w:hint="eastAsia" w:ascii="仿宋_GB2312" w:hAnsi="仿宋_GB2312" w:eastAsia="仿宋_GB2312" w:cs="仿宋_GB2312"/>
          <w:color w:val="000000"/>
          <w:sz w:val="32"/>
          <w:szCs w:val="32"/>
          <w:lang w:val="en-US" w:eastAsia="zh-CN" w:bidi="zh-CN"/>
        </w:rPr>
        <w:t>存档。</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eastAsia" w:ascii="仿宋_GB2312" w:hAnsi="仿宋_GB2312" w:eastAsia="仿宋_GB2312" w:cs="仿宋_GB2312"/>
          <w:b/>
          <w:bCs/>
          <w:color w:val="000000"/>
          <w:sz w:val="32"/>
          <w:szCs w:val="32"/>
          <w:lang w:val="en-US" w:eastAsia="zh-CN" w:bidi="zh-CN"/>
        </w:rPr>
      </w:pPr>
      <w:bookmarkStart w:id="22" w:name="_Toc20471"/>
      <w:r>
        <w:rPr>
          <w:rFonts w:hint="eastAsia" w:ascii="仿宋_GB2312" w:hAnsi="仿宋_GB2312" w:eastAsia="仿宋_GB2312" w:cs="仿宋_GB2312"/>
          <w:b/>
          <w:bCs/>
          <w:color w:val="000000"/>
          <w:sz w:val="32"/>
          <w:szCs w:val="32"/>
          <w:lang w:val="en-US" w:eastAsia="zh-CN" w:bidi="zh-CN"/>
        </w:rPr>
        <w:t xml:space="preserve"> 履约管理</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（一）出租方应按照租赁合同约定，办理保证金的收取与退还，追究相关违约责任等。</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（二）因情势变更导致继续履行资产租赁合同对集团显失公平的，应积极与承租方协商，合理期限协商不成的，通过人民法院或仲裁机构变更或解除合同。</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color w:val="000000"/>
          <w:sz w:val="32"/>
          <w:szCs w:val="31"/>
          <w:lang w:val="en-US" w:eastAsia="zh-CN" w:bidi="zh-CN"/>
        </w:rPr>
      </w:pPr>
      <w:bookmarkStart w:id="23" w:name="_Toc31896"/>
      <w:bookmarkStart w:id="24" w:name="_Toc28248"/>
      <w:bookmarkStart w:id="25" w:name="_Toc30988"/>
      <w:bookmarkStart w:id="26" w:name="_Toc184"/>
      <w:bookmarkStart w:id="27" w:name="_Toc8067"/>
      <w:r>
        <w:rPr>
          <w:rFonts w:hint="eastAsia" w:ascii="黑体" w:hAnsi="黑体" w:eastAsia="黑体" w:cs="黑体"/>
          <w:bCs/>
          <w:color w:val="000000"/>
          <w:sz w:val="32"/>
          <w:szCs w:val="31"/>
          <w:lang w:val="en-US" w:eastAsia="zh-CN" w:bidi="zh-CN"/>
        </w:rPr>
        <w:t>退租管理</w:t>
      </w:r>
      <w:bookmarkEnd w:id="23"/>
    </w:p>
    <w:bookmarkEnd w:id="24"/>
    <w:bookmarkEnd w:id="25"/>
    <w:bookmarkEnd w:id="26"/>
    <w:bookmarkEnd w:id="27"/>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b w:val="0"/>
          <w:bCs w:val="0"/>
          <w:color w:val="000000"/>
          <w:sz w:val="32"/>
          <w:szCs w:val="32"/>
          <w:lang w:val="en-US" w:eastAsia="zh-CN" w:bidi="zh-CN"/>
        </w:rPr>
        <w:t>租赁合同执行完毕，承租方退租的，出租方应做好资产的具体收回工作，包括但不限于资产完好性检查、水、电等费用余额核对、确认等。</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 xml:space="preserve"> 租赁合同未到期，承租人提前退租的，应根据协议约定办理退租事宜。</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 xml:space="preserve"> 承租人退租后，房屋处于空置期间，资产管理责任主体要监控房屋状况，避免房屋出现安全问题。</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default" w:ascii="黑体" w:hAnsi="黑体" w:eastAsia="黑体" w:cs="黑体"/>
          <w:bCs/>
          <w:color w:val="000000"/>
          <w:sz w:val="32"/>
          <w:szCs w:val="31"/>
          <w:lang w:val="en-US" w:eastAsia="zh-CN" w:bidi="zh-CN"/>
        </w:rPr>
      </w:pPr>
      <w:bookmarkStart w:id="28" w:name="_Toc25124"/>
      <w:r>
        <w:rPr>
          <w:rFonts w:hint="eastAsia" w:ascii="黑体" w:hAnsi="黑体" w:eastAsia="黑体" w:cs="黑体"/>
          <w:bCs/>
          <w:color w:val="000000"/>
          <w:sz w:val="32"/>
          <w:szCs w:val="31"/>
          <w:lang w:val="en-US" w:eastAsia="zh-CN" w:bidi="zh-CN"/>
        </w:rPr>
        <w:t>监督与检查</w:t>
      </w:r>
      <w:bookmarkEnd w:id="28"/>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3"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default" w:ascii="仿宋_GB2312" w:hAnsi="仿宋_GB2312" w:eastAsia="仿宋_GB2312" w:cs="仿宋_GB2312"/>
          <w:b w:val="0"/>
          <w:bCs w:val="0"/>
          <w:color w:val="000000"/>
          <w:sz w:val="32"/>
          <w:szCs w:val="32"/>
          <w:lang w:val="zh-CN" w:eastAsia="zh-CN" w:bidi="zh-CN"/>
        </w:rPr>
        <w:t>总部</w:t>
      </w:r>
      <w:r>
        <w:rPr>
          <w:rFonts w:hint="eastAsia" w:ascii="仿宋_GB2312" w:hAnsi="仿宋_GB2312" w:eastAsia="仿宋_GB2312" w:cs="仿宋_GB2312"/>
          <w:b w:val="0"/>
          <w:bCs w:val="0"/>
          <w:color w:val="000000"/>
          <w:sz w:val="32"/>
          <w:szCs w:val="32"/>
          <w:lang w:val="en-US" w:eastAsia="zh-CN" w:bidi="zh-CN"/>
        </w:rPr>
        <w:t>资本运营部组织对在租资产进行定期检查和随机抽查，查找问题，及时纠正，确保资产租赁管理工作规范有序。</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 xml:space="preserve"> </w:t>
      </w:r>
      <w:r>
        <w:rPr>
          <w:rFonts w:hint="default" w:ascii="仿宋_GB2312" w:hAnsi="仿宋_GB2312" w:eastAsia="仿宋_GB2312" w:cs="仿宋_GB2312"/>
          <w:b w:val="0"/>
          <w:bCs w:val="0"/>
          <w:color w:val="000000"/>
          <w:sz w:val="32"/>
          <w:szCs w:val="32"/>
          <w:lang w:val="zh-CN" w:eastAsia="zh-CN" w:bidi="zh-CN"/>
        </w:rPr>
        <w:t>总部</w:t>
      </w:r>
      <w:r>
        <w:rPr>
          <w:rFonts w:hint="eastAsia" w:ascii="仿宋_GB2312" w:hAnsi="仿宋_GB2312" w:eastAsia="仿宋_GB2312" w:cs="仿宋_GB2312"/>
          <w:b w:val="0"/>
          <w:bCs w:val="0"/>
          <w:color w:val="000000"/>
          <w:sz w:val="32"/>
          <w:szCs w:val="32"/>
          <w:lang w:val="en-US" w:eastAsia="zh-CN" w:bidi="zh-CN"/>
        </w:rPr>
        <w:t>法务审计部原则上每</w:t>
      </w:r>
      <w:r>
        <w:rPr>
          <w:rFonts w:hint="default" w:ascii="Arial" w:hAnsi="Arial" w:eastAsia="仿宋_GB2312" w:cs="Arial"/>
          <w:b w:val="0"/>
          <w:bCs w:val="0"/>
          <w:color w:val="000000"/>
          <w:kern w:val="2"/>
          <w:sz w:val="32"/>
          <w:szCs w:val="32"/>
          <w:highlight w:val="none"/>
          <w:lang w:val="en-US" w:eastAsia="zh-CN" w:bidi="ar"/>
        </w:rPr>
        <w:t>2</w:t>
      </w:r>
      <w:r>
        <w:rPr>
          <w:rFonts w:hint="eastAsia" w:ascii="仿宋_GB2312" w:hAnsi="仿宋_GB2312" w:eastAsia="仿宋_GB2312" w:cs="仿宋_GB2312"/>
          <w:b w:val="0"/>
          <w:bCs w:val="0"/>
          <w:color w:val="000000"/>
          <w:sz w:val="32"/>
          <w:szCs w:val="32"/>
          <w:highlight w:val="none"/>
          <w:lang w:val="en-US" w:eastAsia="zh-CN" w:bidi="zh-CN"/>
        </w:rPr>
        <w:t>～</w:t>
      </w:r>
      <w:r>
        <w:rPr>
          <w:rFonts w:hint="default" w:ascii="Arial" w:hAnsi="Arial" w:eastAsia="仿宋_GB2312" w:cs="Arial"/>
          <w:b w:val="0"/>
          <w:bCs w:val="0"/>
          <w:color w:val="000000"/>
          <w:kern w:val="2"/>
          <w:sz w:val="32"/>
          <w:szCs w:val="32"/>
          <w:highlight w:val="none"/>
          <w:lang w:val="en-US" w:eastAsia="zh-CN" w:bidi="ar"/>
        </w:rPr>
        <w:t>3</w:t>
      </w:r>
      <w:r>
        <w:rPr>
          <w:rFonts w:hint="eastAsia" w:ascii="仿宋_GB2312" w:hAnsi="仿宋_GB2312" w:eastAsia="仿宋_GB2312" w:cs="仿宋_GB2312"/>
          <w:b w:val="0"/>
          <w:bCs w:val="0"/>
          <w:color w:val="000000"/>
          <w:sz w:val="32"/>
          <w:szCs w:val="32"/>
          <w:lang w:val="en-US" w:eastAsia="zh-CN" w:bidi="zh-CN"/>
        </w:rPr>
        <w:t>年进行一次资产租赁方面的全面审计。</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 xml:space="preserve"> </w:t>
      </w:r>
      <w:r>
        <w:rPr>
          <w:rFonts w:hint="default" w:ascii="仿宋_GB2312" w:hAnsi="仿宋_GB2312" w:eastAsia="仿宋_GB2312" w:cs="仿宋_GB2312"/>
          <w:b w:val="0"/>
          <w:bCs w:val="0"/>
          <w:color w:val="000000"/>
          <w:sz w:val="32"/>
          <w:szCs w:val="32"/>
          <w:lang w:val="zh-CN" w:eastAsia="zh-CN" w:bidi="zh-CN"/>
        </w:rPr>
        <w:t>总部</w:t>
      </w:r>
      <w:r>
        <w:rPr>
          <w:rFonts w:hint="eastAsia" w:ascii="仿宋_GB2312" w:hAnsi="仿宋_GB2312" w:eastAsia="仿宋_GB2312" w:cs="仿宋_GB2312"/>
          <w:b w:val="0"/>
          <w:bCs w:val="0"/>
          <w:color w:val="000000"/>
          <w:sz w:val="32"/>
          <w:szCs w:val="32"/>
          <w:lang w:val="en-US" w:eastAsia="zh-CN" w:bidi="zh-CN"/>
        </w:rPr>
        <w:t>财务管理部在每年末组织开展租赁资产清查盘点，保证账、物相符。</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 xml:space="preserve"> 集团纪委依法依规进行追责问责，企业相关负责人在资产租赁过程中违反相关法律法规、规章，滥用职权、玩忽职守，造成国有资产损失的，应当依法承担赔偿责任，按权限由相关部门依法依规追责；构成犯罪的，移送司法机关依法追究刑事责任。</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color w:val="000000"/>
          <w:sz w:val="32"/>
          <w:szCs w:val="31"/>
          <w:lang w:val="en-US" w:eastAsia="zh-CN" w:bidi="zh-CN"/>
        </w:rPr>
      </w:pPr>
      <w:bookmarkStart w:id="29" w:name="_Toc3442"/>
      <w:bookmarkStart w:id="30" w:name="_Toc6453"/>
      <w:bookmarkStart w:id="31" w:name="_Toc5626"/>
      <w:bookmarkStart w:id="32" w:name="_Toc31263"/>
      <w:bookmarkStart w:id="33" w:name="_Toc5877"/>
      <w:r>
        <w:rPr>
          <w:rFonts w:hint="eastAsia" w:ascii="黑体" w:hAnsi="黑体" w:eastAsia="黑体" w:cs="黑体"/>
          <w:bCs/>
          <w:color w:val="000000"/>
          <w:sz w:val="32"/>
          <w:szCs w:val="31"/>
          <w:lang w:val="en-US" w:eastAsia="zh-CN" w:bidi="zh-CN"/>
        </w:rPr>
        <w:t>附  则</w:t>
      </w:r>
      <w:bookmarkEnd w:id="22"/>
      <w:bookmarkEnd w:id="29"/>
      <w:bookmarkEnd w:id="30"/>
      <w:bookmarkEnd w:id="31"/>
      <w:bookmarkEnd w:id="32"/>
      <w:bookmarkEnd w:id="33"/>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因不可抗力导致出租方暂时不能按照本办法进行出租规范管理的，出租方应及时向集团归口管理部门报告，同时集团应及时向国资监管机构报告，出租方应在影响解除后继续按本办法规范管理资产出租行为。</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w:t>
      </w:r>
      <w:r>
        <w:rPr>
          <w:rFonts w:hint="eastAsia" w:ascii="仿宋_GB2312" w:hAnsi="仿宋_GB2312" w:eastAsia="仿宋_GB2312" w:cs="仿宋_GB2312"/>
          <w:b w:val="0"/>
          <w:bCs w:val="0"/>
          <w:color w:val="000000"/>
          <w:sz w:val="32"/>
          <w:szCs w:val="32"/>
          <w:lang w:val="en-US" w:eastAsia="zh-CN" w:bidi="zh-CN"/>
        </w:rPr>
        <w:t>主业为经营专业市场、商业综合体、产业园区等资产租赁事项的出租方，应参照本办法精神并结合有关政策、市场规律、行业特点等制</w:t>
      </w:r>
      <w:r>
        <w:rPr>
          <w:rFonts w:hint="default" w:ascii="仿宋_GB2312" w:hAnsi="仿宋_GB2312" w:eastAsia="仿宋_GB2312" w:cs="仿宋_GB2312"/>
          <w:b w:val="0"/>
          <w:bCs w:val="0"/>
          <w:color w:val="000000"/>
          <w:sz w:val="32"/>
          <w:szCs w:val="32"/>
          <w:lang w:val="zh-CN" w:eastAsia="zh-CN" w:bidi="zh-CN"/>
        </w:rPr>
        <w:t>订</w:t>
      </w:r>
      <w:r>
        <w:rPr>
          <w:rFonts w:hint="eastAsia" w:ascii="仿宋_GB2312" w:hAnsi="仿宋_GB2312" w:eastAsia="仿宋_GB2312" w:cs="仿宋_GB2312"/>
          <w:b w:val="0"/>
          <w:bCs w:val="0"/>
          <w:color w:val="000000"/>
          <w:sz w:val="32"/>
          <w:szCs w:val="32"/>
          <w:lang w:val="en-US" w:eastAsia="zh-CN" w:bidi="zh-CN"/>
        </w:rPr>
        <w:t>本公司</w:t>
      </w:r>
      <w:r>
        <w:rPr>
          <w:rFonts w:ascii="仿宋_GB2312" w:hAnsi="宋体" w:eastAsia="仿宋_GB2312" w:cs="仿宋_GB2312"/>
          <w:color w:val="000000"/>
          <w:kern w:val="0"/>
          <w:sz w:val="31"/>
          <w:szCs w:val="31"/>
          <w:highlight w:val="none"/>
          <w:lang w:val="en-US" w:eastAsia="zh-CN" w:bidi="ar"/>
        </w:rPr>
        <w:t>资产租赁管理</w:t>
      </w:r>
      <w:r>
        <w:rPr>
          <w:rFonts w:hint="eastAsia" w:ascii="仿宋_GB2312" w:hAnsi="宋体" w:eastAsia="仿宋_GB2312" w:cs="仿宋_GB2312"/>
          <w:color w:val="000000"/>
          <w:kern w:val="0"/>
          <w:sz w:val="31"/>
          <w:szCs w:val="31"/>
          <w:highlight w:val="none"/>
          <w:lang w:val="en-US" w:eastAsia="zh-CN" w:bidi="ar"/>
        </w:rPr>
        <w:t>制度和实施细则</w:t>
      </w:r>
      <w:r>
        <w:rPr>
          <w:rFonts w:hint="eastAsia" w:ascii="仿宋_GB2312" w:hAnsi="仿宋_GB2312" w:eastAsia="仿宋_GB2312" w:cs="仿宋_GB2312"/>
          <w:b w:val="0"/>
          <w:bCs w:val="0"/>
          <w:color w:val="000000"/>
          <w:sz w:val="32"/>
          <w:szCs w:val="32"/>
          <w:lang w:val="en-US" w:eastAsia="zh-CN" w:bidi="zh-CN"/>
        </w:rPr>
        <w:t>，并报</w:t>
      </w:r>
      <w:r>
        <w:rPr>
          <w:rFonts w:hint="eastAsia" w:ascii="仿宋_GB2312" w:hAnsi="仿宋_GB2312" w:eastAsia="仿宋_GB2312" w:cs="仿宋_GB2312"/>
          <w:sz w:val="32"/>
          <w:szCs w:val="32"/>
          <w:lang w:val="en-US" w:eastAsia="zh-CN" w:bidi="zh-CN"/>
        </w:rPr>
        <w:t>集团归口管理部门</w:t>
      </w:r>
      <w:r>
        <w:rPr>
          <w:rFonts w:hint="eastAsia" w:ascii="仿宋_GB2312" w:hAnsi="仿宋_GB2312" w:eastAsia="仿宋_GB2312" w:cs="仿宋_GB2312"/>
          <w:b w:val="0"/>
          <w:bCs w:val="0"/>
          <w:color w:val="000000"/>
          <w:sz w:val="32"/>
          <w:szCs w:val="32"/>
          <w:lang w:val="en-US" w:eastAsia="zh-CN" w:bidi="zh-CN"/>
        </w:rPr>
        <w:t>备案。其他下属企业若有必要可制</w:t>
      </w:r>
      <w:r>
        <w:rPr>
          <w:rFonts w:hint="default" w:ascii="仿宋_GB2312" w:hAnsi="仿宋_GB2312" w:eastAsia="仿宋_GB2312" w:cs="仿宋_GB2312"/>
          <w:b w:val="0"/>
          <w:bCs w:val="0"/>
          <w:color w:val="000000"/>
          <w:sz w:val="32"/>
          <w:szCs w:val="32"/>
          <w:lang w:val="zh-CN" w:eastAsia="zh-CN" w:bidi="zh-CN"/>
        </w:rPr>
        <w:t>订</w:t>
      </w:r>
      <w:r>
        <w:rPr>
          <w:rFonts w:hint="eastAsia" w:ascii="仿宋_GB2312" w:hAnsi="仿宋_GB2312" w:eastAsia="仿宋_GB2312" w:cs="仿宋_GB2312"/>
          <w:b w:val="0"/>
          <w:bCs w:val="0"/>
          <w:color w:val="000000"/>
          <w:sz w:val="32"/>
          <w:szCs w:val="32"/>
          <w:lang w:val="en-US" w:eastAsia="zh-CN" w:bidi="zh-CN"/>
        </w:rPr>
        <w:t>本公司资产租赁管理制度</w:t>
      </w:r>
      <w:r>
        <w:rPr>
          <w:rFonts w:hint="default" w:ascii="仿宋_GB2312" w:hAnsi="仿宋_GB2312" w:eastAsia="仿宋_GB2312" w:cs="仿宋_GB2312"/>
          <w:b w:val="0"/>
          <w:bCs w:val="0"/>
          <w:color w:val="000000"/>
          <w:sz w:val="32"/>
          <w:szCs w:val="32"/>
          <w:lang w:val="zh-CN" w:eastAsia="zh-CN" w:bidi="zh-CN"/>
        </w:rPr>
        <w:t>，制订后</w:t>
      </w:r>
      <w:r>
        <w:rPr>
          <w:rFonts w:hint="eastAsia" w:ascii="仿宋_GB2312" w:hAnsi="仿宋_GB2312" w:eastAsia="仿宋_GB2312" w:cs="仿宋_GB2312"/>
          <w:sz w:val="32"/>
          <w:szCs w:val="32"/>
          <w:lang w:val="en-US" w:eastAsia="zh-CN" w:bidi="zh-CN"/>
        </w:rPr>
        <w:t>报集团归口管理部门备案</w:t>
      </w:r>
      <w:r>
        <w:rPr>
          <w:rFonts w:hint="eastAsia" w:ascii="仿宋_GB2312" w:hAnsi="仿宋_GB2312" w:eastAsia="仿宋_GB2312" w:cs="仿宋_GB2312"/>
          <w:b w:val="0"/>
          <w:bCs w:val="0"/>
          <w:color w:val="000000"/>
          <w:sz w:val="32"/>
          <w:szCs w:val="32"/>
          <w:lang w:val="en-US" w:eastAsia="zh-CN" w:bidi="zh-CN"/>
        </w:rPr>
        <w:t>。</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w:t>
      </w:r>
      <w:r>
        <w:rPr>
          <w:rFonts w:hint="default" w:ascii="仿宋_GB2312" w:hAnsi="仿宋_GB2312" w:eastAsia="仿宋_GB2312" w:cs="仿宋_GB2312"/>
          <w:color w:val="000000"/>
          <w:sz w:val="32"/>
          <w:szCs w:val="32"/>
          <w:lang w:val="zh-CN" w:eastAsia="zh-CN" w:bidi="zh-CN"/>
        </w:rPr>
        <w:t>绵阳</w:t>
      </w:r>
      <w:r>
        <w:rPr>
          <w:rFonts w:hint="eastAsia" w:ascii="仿宋_GB2312" w:hAnsi="仿宋_GB2312" w:eastAsia="仿宋_GB2312" w:cs="仿宋_GB2312"/>
          <w:color w:val="000000"/>
          <w:sz w:val="32"/>
          <w:szCs w:val="32"/>
          <w:lang w:val="en-US" w:eastAsia="zh-CN" w:bidi="zh-CN"/>
        </w:rPr>
        <w:t>市委、市政府安排的出租行为和不再续租的临时短期租赁行为（不超过六个月）不适用本办法。</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资产租赁涉及资产评估的，按照集团资产评估管理相关规定执行。</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本办法由</w:t>
      </w:r>
      <w:r>
        <w:rPr>
          <w:rFonts w:hint="default" w:ascii="仿宋_GB2312" w:hAnsi="仿宋_GB2312" w:eastAsia="仿宋_GB2312" w:cs="仿宋_GB2312"/>
          <w:color w:val="000000"/>
          <w:sz w:val="32"/>
          <w:szCs w:val="32"/>
          <w:lang w:val="zh-CN" w:eastAsia="zh-CN" w:bidi="zh-CN"/>
        </w:rPr>
        <w:t>总部</w:t>
      </w:r>
      <w:r>
        <w:rPr>
          <w:rFonts w:hint="eastAsia" w:ascii="仿宋_GB2312" w:hAnsi="仿宋_GB2312" w:eastAsia="仿宋_GB2312" w:cs="仿宋_GB2312"/>
          <w:color w:val="000000"/>
          <w:sz w:val="32"/>
          <w:szCs w:val="32"/>
          <w:lang w:val="en-US" w:eastAsia="zh-CN" w:bidi="zh-CN"/>
        </w:rPr>
        <w:t>资本运营部负责解释。</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本办法自印发之日起施行。本办法印发时，前期未履行完毕的合同按原合同履行，合同期</w:t>
      </w:r>
      <w:r>
        <w:rPr>
          <w:rFonts w:hint="default" w:ascii="仿宋_GB2312" w:hAnsi="仿宋_GB2312" w:eastAsia="仿宋_GB2312" w:cs="仿宋_GB2312"/>
          <w:color w:val="000000"/>
          <w:sz w:val="32"/>
          <w:szCs w:val="32"/>
          <w:lang w:val="zh-CN" w:eastAsia="zh-CN" w:bidi="zh-CN"/>
        </w:rPr>
        <w:t>履行期限</w:t>
      </w:r>
      <w:r>
        <w:rPr>
          <w:rFonts w:hint="eastAsia" w:ascii="仿宋_GB2312" w:hAnsi="仿宋_GB2312" w:eastAsia="仿宋_GB2312" w:cs="仿宋_GB2312"/>
          <w:color w:val="000000"/>
          <w:sz w:val="32"/>
          <w:szCs w:val="32"/>
          <w:lang w:val="en-US" w:eastAsia="zh-CN" w:bidi="zh-CN"/>
        </w:rPr>
        <w:t>届满后按本办法执行。本办法印发后，原《九洲集团房产租赁经营管理办法》（九洲集团财务〔</w:t>
      </w:r>
      <w:r>
        <w:rPr>
          <w:rFonts w:hint="default" w:ascii="Arial" w:hAnsi="Arial" w:eastAsia="仿宋_GB2312" w:cs="Arial"/>
          <w:color w:val="000000"/>
          <w:kern w:val="2"/>
          <w:sz w:val="32"/>
          <w:szCs w:val="32"/>
          <w:lang w:val="en-US" w:eastAsia="zh-CN" w:bidi="ar"/>
        </w:rPr>
        <w:t>2021</w:t>
      </w:r>
      <w:r>
        <w:rPr>
          <w:rFonts w:hint="eastAsia" w:ascii="仿宋_GB2312" w:hAnsi="仿宋_GB2312" w:eastAsia="仿宋_GB2312" w:cs="仿宋_GB2312"/>
          <w:color w:val="000000"/>
          <w:sz w:val="32"/>
          <w:szCs w:val="32"/>
          <w:lang w:val="en-US" w:eastAsia="zh-CN" w:bidi="zh-CN"/>
        </w:rPr>
        <w:t>〕</w:t>
      </w:r>
      <w:r>
        <w:rPr>
          <w:rFonts w:hint="default" w:ascii="Arial" w:hAnsi="Arial" w:eastAsia="仿宋_GB2312" w:cs="Arial"/>
          <w:color w:val="000000"/>
          <w:kern w:val="2"/>
          <w:sz w:val="32"/>
          <w:szCs w:val="32"/>
          <w:lang w:val="en-US" w:eastAsia="zh-CN" w:bidi="ar"/>
        </w:rPr>
        <w:t>162</w:t>
      </w:r>
      <w:r>
        <w:rPr>
          <w:rFonts w:hint="eastAsia" w:ascii="仿宋_GB2312" w:hAnsi="仿宋_GB2312" w:eastAsia="仿宋_GB2312" w:cs="仿宋_GB2312"/>
          <w:color w:val="000000"/>
          <w:sz w:val="32"/>
          <w:szCs w:val="32"/>
          <w:lang w:val="en-US" w:eastAsia="zh-CN" w:bidi="zh-CN"/>
        </w:rPr>
        <w:t>号）</w:t>
      </w:r>
      <w:r>
        <w:rPr>
          <w:rFonts w:hint="default" w:ascii="仿宋_GB2312" w:hAnsi="仿宋_GB2312" w:eastAsia="仿宋_GB2312" w:cs="仿宋_GB2312"/>
          <w:color w:val="000000"/>
          <w:sz w:val="32"/>
          <w:szCs w:val="32"/>
          <w:lang w:val="zh-CN" w:eastAsia="zh-CN" w:bidi="zh-CN"/>
        </w:rPr>
        <w:t>同时</w:t>
      </w:r>
      <w:r>
        <w:rPr>
          <w:rFonts w:hint="eastAsia" w:ascii="仿宋_GB2312" w:hAnsi="仿宋_GB2312" w:eastAsia="仿宋_GB2312" w:cs="仿宋_GB2312"/>
          <w:color w:val="000000"/>
          <w:sz w:val="32"/>
          <w:szCs w:val="32"/>
          <w:lang w:val="en-US" w:eastAsia="zh-CN" w:bidi="zh-CN"/>
        </w:rPr>
        <w:t>废止。</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jc w:val="both"/>
        <w:textAlignment w:val="auto"/>
        <w:rPr>
          <w:rFonts w:hint="eastAsia" w:ascii="仿宋_GB2312" w:hAnsi="仿宋_GB2312" w:eastAsia="仿宋_GB2312" w:cs="仿宋_GB2312"/>
          <w:color w:val="000000"/>
          <w:sz w:val="32"/>
          <w:szCs w:val="32"/>
          <w:lang w:val="en-US" w:eastAsia="zh-CN" w:bidi="zh-CN"/>
        </w:rPr>
      </w:pPr>
    </w:p>
    <w:p>
      <w:pPr>
        <w:keepNext w:val="0"/>
        <w:keepLines w:val="0"/>
        <w:widowControl w:val="0"/>
        <w:suppressLineNumbers w:val="0"/>
        <w:autoSpaceDE w:val="0"/>
        <w:autoSpaceDN w:val="0"/>
        <w:snapToGrid w:val="0"/>
        <w:spacing w:before="0" w:beforeAutospacing="0" w:after="0" w:afterAutospacing="0" w:line="560" w:lineRule="exact"/>
        <w:ind w:left="304" w:leftChars="145" w:right="0" w:firstLine="320" w:firstLineChars="100"/>
        <w:jc w:val="both"/>
        <w:rPr>
          <w:rFonts w:hint="default" w:ascii="仿宋_GB2312" w:hAnsi="仿宋_GB2312" w:eastAsia="仿宋_GB2312" w:cs="仿宋_GB2312"/>
          <w:color w:val="000000"/>
          <w:kern w:val="2"/>
          <w:sz w:val="32"/>
          <w:szCs w:val="32"/>
          <w:lang w:val="zh-CN" w:bidi="zh-CN"/>
        </w:rPr>
      </w:pPr>
      <w:r>
        <w:rPr>
          <w:rFonts w:hint="eastAsia" w:ascii="仿宋_GB2312" w:hAnsi="仿宋_GB2312" w:eastAsia="仿宋_GB2312" w:cs="仿宋_GB2312"/>
          <w:color w:val="000000"/>
          <w:kern w:val="0"/>
          <w:sz w:val="32"/>
          <w:szCs w:val="32"/>
          <w:lang w:val="en-US" w:eastAsia="zh-CN" w:bidi="zh-CN"/>
        </w:rPr>
        <w:t>附件：</w:t>
      </w:r>
      <w:r>
        <w:rPr>
          <w:rFonts w:hint="default" w:ascii="Arial" w:hAnsi="Arial" w:eastAsia="仿宋_GB2312" w:cs="Arial"/>
          <w:color w:val="000000"/>
          <w:spacing w:val="0"/>
          <w:kern w:val="2"/>
          <w:sz w:val="32"/>
          <w:szCs w:val="32"/>
          <w:lang w:val="en-US" w:eastAsia="zh-CN" w:bidi="ar"/>
        </w:rPr>
        <w:t>1</w:t>
      </w:r>
      <w:r>
        <w:rPr>
          <w:rFonts w:hint="default" w:ascii="仿宋_GB2312" w:hAnsi="Calibri" w:eastAsia="仿宋_GB2312" w:cs="仿宋_GB2312"/>
          <w:color w:val="000000"/>
          <w:spacing w:val="0"/>
          <w:kern w:val="2"/>
          <w:sz w:val="32"/>
          <w:szCs w:val="32"/>
          <w:lang w:val="en-US" w:eastAsia="zh-CN" w:bidi="ar"/>
        </w:rPr>
        <w:t>.</w:t>
      </w:r>
      <w:r>
        <w:rPr>
          <w:rFonts w:hint="default" w:ascii="仿宋_GB2312" w:hAnsi="Calibri" w:eastAsia="仿宋_GB2312" w:cs="仿宋_GB2312"/>
          <w:color w:val="000000"/>
          <w:spacing w:val="-6"/>
          <w:kern w:val="2"/>
          <w:sz w:val="32"/>
          <w:szCs w:val="32"/>
          <w:lang w:val="en-US" w:eastAsia="zh-CN" w:bidi="ar"/>
        </w:rPr>
        <w:t>集团资产租赁业务中可不公开（不进场）招租的情形</w:t>
      </w:r>
    </w:p>
    <w:p>
      <w:pPr>
        <w:keepNext w:val="0"/>
        <w:keepLines w:val="0"/>
        <w:widowControl w:val="0"/>
        <w:suppressLineNumbers w:val="0"/>
        <w:autoSpaceDE w:val="0"/>
        <w:autoSpaceDN w:val="0"/>
        <w:snapToGrid w:val="0"/>
        <w:spacing w:before="0" w:beforeAutospacing="0" w:after="120" w:afterAutospacing="0" w:line="560" w:lineRule="exact"/>
        <w:ind w:left="0" w:leftChars="0" w:right="0" w:firstLine="1600" w:firstLineChars="500"/>
        <w:jc w:val="both"/>
        <w:rPr>
          <w:rFonts w:hint="default" w:ascii="仿宋_GB2312" w:hAnsi="仿宋_GB2312" w:eastAsia="仿宋_GB2312" w:cs="仿宋_GB2312"/>
          <w:color w:val="000000"/>
          <w:kern w:val="2"/>
          <w:sz w:val="32"/>
          <w:szCs w:val="32"/>
          <w:lang w:val="zh-CN" w:bidi="zh-CN"/>
        </w:rPr>
      </w:pPr>
      <w:r>
        <w:rPr>
          <w:rFonts w:hint="default" w:ascii="Arial" w:hAnsi="Arial" w:eastAsia="仿宋_GB2312" w:cs="Arial"/>
          <w:color w:val="000000"/>
          <w:kern w:val="2"/>
          <w:sz w:val="32"/>
          <w:szCs w:val="32"/>
          <w:lang w:val="en-US" w:eastAsia="zh-CN" w:bidi="ar"/>
        </w:rPr>
        <w:t>2</w:t>
      </w:r>
      <w:r>
        <w:rPr>
          <w:rFonts w:hint="default" w:ascii="仿宋_GB2312" w:hAnsi="Calibri" w:eastAsia="仿宋_GB2312" w:cs="仿宋_GB2312"/>
          <w:color w:val="000000"/>
          <w:kern w:val="2"/>
          <w:sz w:val="32"/>
          <w:szCs w:val="32"/>
          <w:lang w:val="en-US" w:eastAsia="zh-CN" w:bidi="ar"/>
        </w:rPr>
        <w:t>.土地、房产类非公开协议出租申请表</w:t>
      </w:r>
    </w:p>
    <w:p>
      <w:pPr>
        <w:keepNext w:val="0"/>
        <w:keepLines w:val="0"/>
        <w:widowControl/>
        <w:suppressLineNumbers w:val="0"/>
        <w:autoSpaceDE w:val="0"/>
        <w:autoSpaceDN w:val="0"/>
        <w:spacing w:before="0" w:beforeAutospacing="0" w:after="0" w:afterAutospacing="0"/>
        <w:ind w:left="0" w:leftChars="0" w:right="0" w:firstLine="1600" w:firstLineChars="500"/>
        <w:jc w:val="both"/>
        <w:rPr>
          <w:rFonts w:hint="default" w:ascii="仿宋_GB2312" w:hAnsi="Calibri" w:eastAsia="仿宋_GB2312" w:cs="仿宋_GB2312"/>
          <w:color w:val="000000"/>
          <w:kern w:val="2"/>
          <w:sz w:val="32"/>
          <w:szCs w:val="32"/>
          <w:lang w:val="en-US" w:eastAsia="zh-CN" w:bidi="ar"/>
        </w:rPr>
      </w:pPr>
      <w:r>
        <w:rPr>
          <w:rFonts w:hint="default" w:ascii="Arial" w:hAnsi="Arial" w:eastAsia="仿宋_GB2312" w:cs="Arial"/>
          <w:color w:val="000000"/>
          <w:kern w:val="2"/>
          <w:sz w:val="32"/>
          <w:szCs w:val="32"/>
          <w:lang w:val="en-US" w:eastAsia="zh-CN" w:bidi="ar"/>
        </w:rPr>
        <w:t>3.</w:t>
      </w:r>
      <w:r>
        <w:rPr>
          <w:rFonts w:hint="default" w:ascii="仿宋_GB2312" w:hAnsi="Calibri" w:eastAsia="仿宋_GB2312" w:cs="仿宋_GB2312"/>
          <w:color w:val="000000"/>
          <w:kern w:val="2"/>
          <w:sz w:val="32"/>
          <w:szCs w:val="32"/>
          <w:lang w:val="en-US" w:eastAsia="zh-CN" w:bidi="ar"/>
        </w:rPr>
        <w:t>资产租赁流程图</w:t>
      </w:r>
    </w:p>
    <w:p>
      <w:pPr>
        <w:keepNext w:val="0"/>
        <w:keepLines w:val="0"/>
        <w:widowControl/>
        <w:suppressLineNumbers w:val="0"/>
        <w:autoSpaceDE w:val="0"/>
        <w:autoSpaceDN w:val="0"/>
        <w:spacing w:before="0" w:beforeAutospacing="0" w:after="0" w:afterAutospacing="0"/>
        <w:ind w:left="0" w:leftChars="0" w:right="0" w:firstLine="0" w:firstLineChars="0"/>
        <w:jc w:val="both"/>
        <w:rPr>
          <w:rFonts w:hint="default" w:ascii="仿宋_GB2312" w:hAnsi="Calibri" w:eastAsia="仿宋_GB2312" w:cs="仿宋_GB2312"/>
          <w:color w:val="000000"/>
          <w:kern w:val="2"/>
          <w:sz w:val="32"/>
          <w:szCs w:val="32"/>
          <w:lang w:val="en-US" w:eastAsia="zh-CN" w:bidi="ar"/>
        </w:rPr>
      </w:pPr>
    </w:p>
    <w:p>
      <w:pPr>
        <w:snapToGrid w:val="0"/>
        <w:spacing w:line="560" w:lineRule="exact"/>
        <w:ind w:firstLine="640" w:firstLineChars="200"/>
        <w:jc w:val="both"/>
        <w:rPr>
          <w:rFonts w:hint="default"/>
          <w:color w:val="000000"/>
          <w:sz w:val="32"/>
          <w:szCs w:val="32"/>
          <w:lang w:eastAsia="zh-CN"/>
        </w:rPr>
        <w:sectPr>
          <w:footerReference r:id="rId10" w:type="default"/>
          <w:pgSz w:w="11928" w:h="16860"/>
          <w:pgMar w:top="2098" w:right="1474" w:bottom="1984" w:left="1587" w:header="1814" w:footer="1026" w:gutter="0"/>
          <w:pgNumType w:fmt="decimal" w:start="1"/>
          <w:cols w:space="0" w:num="1"/>
          <w:docGrid w:linePitch="299" w:charSpace="0"/>
        </w:sectPr>
      </w:pP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textAlignment w:val="auto"/>
        <w:outlineLvl w:val="0"/>
        <w:rPr>
          <w:rFonts w:hint="default" w:ascii="黑体" w:hAnsi="黑体" w:eastAsia="黑体" w:cs="黑体"/>
          <w:b w:val="0"/>
          <w:bCs w:val="0"/>
          <w:color w:val="000000"/>
          <w:sz w:val="32"/>
          <w:szCs w:val="32"/>
          <w:lang w:val="en-US" w:eastAsia="zh-CN" w:bidi="zh-CN"/>
        </w:rPr>
      </w:pPr>
      <w:bookmarkStart w:id="34" w:name="_Toc27758"/>
      <w:bookmarkStart w:id="35" w:name="_Toc18266"/>
      <w:bookmarkStart w:id="36" w:name="_Toc7312"/>
      <w:bookmarkStart w:id="37" w:name="_Toc19697"/>
      <w:bookmarkStart w:id="38" w:name="_Toc21889"/>
      <w:bookmarkStart w:id="39" w:name="_Toc8889"/>
      <w:bookmarkStart w:id="40" w:name="_Toc14614"/>
      <w:bookmarkStart w:id="41" w:name="_Toc28597"/>
      <w:bookmarkStart w:id="42" w:name="_Toc22243"/>
      <w:r>
        <w:rPr>
          <w:rFonts w:hint="eastAsia" w:ascii="黑体" w:hAnsi="黑体" w:eastAsia="黑体" w:cs="黑体"/>
          <w:b w:val="0"/>
          <w:bCs w:val="0"/>
          <w:color w:val="000000"/>
          <w:sz w:val="32"/>
          <w:szCs w:val="32"/>
          <w:lang w:val="en-US" w:eastAsia="zh-CN" w:bidi="zh-CN"/>
        </w:rPr>
        <w:t>附件</w:t>
      </w:r>
      <w:bookmarkEnd w:id="34"/>
      <w:bookmarkEnd w:id="35"/>
      <w:bookmarkEnd w:id="36"/>
      <w:bookmarkEnd w:id="37"/>
      <w:bookmarkEnd w:id="38"/>
      <w:r>
        <w:rPr>
          <w:rFonts w:hint="eastAsia" w:ascii="黑体" w:hAnsi="黑体" w:eastAsia="黑体" w:cs="黑体"/>
          <w:b w:val="0"/>
          <w:bCs w:val="0"/>
          <w:color w:val="000000"/>
          <w:sz w:val="32"/>
          <w:szCs w:val="32"/>
          <w:lang w:val="en-US" w:eastAsia="zh-CN" w:bidi="zh-CN"/>
        </w:rPr>
        <w:t>1</w:t>
      </w:r>
      <w:bookmarkEnd w:id="39"/>
      <w:bookmarkEnd w:id="40"/>
      <w:bookmarkEnd w:id="41"/>
      <w:bookmarkEnd w:id="42"/>
    </w:p>
    <w:p>
      <w:pPr>
        <w:keepNext w:val="0"/>
        <w:keepLines w:val="0"/>
        <w:pageBreakBefore w:val="0"/>
        <w:widowControl w:val="0"/>
        <w:numPr>
          <w:ilvl w:val="0"/>
          <w:numId w:val="0"/>
        </w:numPr>
        <w:kinsoku/>
        <w:wordWrap/>
        <w:overflowPunct/>
        <w:topLinePunct w:val="0"/>
        <w:autoSpaceDE w:val="0"/>
        <w:autoSpaceDN w:val="0"/>
        <w:bidi w:val="0"/>
        <w:adjustRightInd/>
        <w:snapToGrid/>
        <w:spacing w:before="300" w:beforeLines="100" w:after="300" w:afterLines="100" w:afterAutospacing="0" w:line="560" w:lineRule="exact"/>
        <w:ind w:firstLine="0" w:firstLineChars="0"/>
        <w:jc w:val="center"/>
        <w:textAlignment w:val="auto"/>
        <w:outlineLvl w:val="0"/>
        <w:rPr>
          <w:rFonts w:hint="eastAsia" w:ascii="方正小标宋_GBK" w:hAnsi="方正小标宋_GBK" w:eastAsia="方正小标宋_GBK" w:cs="方正小标宋_GBK"/>
          <w:color w:val="000000"/>
          <w:sz w:val="44"/>
          <w:szCs w:val="44"/>
          <w:lang w:val="en-US" w:eastAsia="zh-CN" w:bidi="zh-CN"/>
        </w:rPr>
      </w:pPr>
      <w:bookmarkStart w:id="43" w:name="_Toc26402"/>
      <w:bookmarkStart w:id="44" w:name="_Toc17061"/>
      <w:bookmarkStart w:id="45" w:name="_Toc5536"/>
      <w:bookmarkStart w:id="46" w:name="_Toc6221"/>
      <w:bookmarkStart w:id="47" w:name="_Toc26395"/>
      <w:r>
        <w:rPr>
          <w:rFonts w:hint="eastAsia" w:ascii="方正小标宋_GBK" w:hAnsi="方正小标宋_GBK" w:eastAsia="方正小标宋_GBK" w:cs="方正小标宋_GBK"/>
          <w:color w:val="000000"/>
          <w:sz w:val="44"/>
          <w:szCs w:val="44"/>
          <w:lang w:val="en-US" w:eastAsia="zh-CN" w:bidi="zh-CN"/>
        </w:rPr>
        <w:t>集团资产租赁业务中可不公开</w:t>
      </w:r>
      <w:bookmarkEnd w:id="43"/>
      <w:bookmarkEnd w:id="44"/>
      <w:bookmarkEnd w:id="45"/>
    </w:p>
    <w:p>
      <w:pPr>
        <w:keepNext w:val="0"/>
        <w:keepLines w:val="0"/>
        <w:pageBreakBefore w:val="0"/>
        <w:widowControl w:val="0"/>
        <w:numPr>
          <w:ilvl w:val="0"/>
          <w:numId w:val="0"/>
        </w:numPr>
        <w:kinsoku/>
        <w:wordWrap/>
        <w:overflowPunct/>
        <w:topLinePunct w:val="0"/>
        <w:autoSpaceDE w:val="0"/>
        <w:autoSpaceDN w:val="0"/>
        <w:bidi w:val="0"/>
        <w:adjustRightInd/>
        <w:snapToGrid/>
        <w:spacing w:before="300" w:beforeLines="100" w:after="300" w:afterLines="100" w:afterAutospacing="0" w:line="560" w:lineRule="exact"/>
        <w:ind w:firstLine="0" w:firstLineChars="0"/>
        <w:jc w:val="center"/>
        <w:textAlignment w:val="auto"/>
        <w:outlineLvl w:val="0"/>
        <w:rPr>
          <w:rFonts w:hint="eastAsia" w:ascii="方正小标宋_GBK" w:hAnsi="方正小标宋_GBK" w:eastAsia="方正小标宋_GBK" w:cs="方正小标宋_GBK"/>
          <w:color w:val="000000"/>
          <w:sz w:val="44"/>
          <w:szCs w:val="44"/>
          <w:lang w:val="en-US" w:eastAsia="zh-CN" w:bidi="zh-CN"/>
        </w:rPr>
      </w:pPr>
      <w:bookmarkStart w:id="48" w:name="_Toc11135"/>
      <w:bookmarkStart w:id="49" w:name="_Toc13101"/>
      <w:bookmarkStart w:id="50" w:name="_Toc5020"/>
      <w:r>
        <w:rPr>
          <w:rFonts w:hint="eastAsia" w:ascii="方正小标宋_GBK" w:hAnsi="方正小标宋_GBK" w:eastAsia="方正小标宋_GBK" w:cs="方正小标宋_GBK"/>
          <w:color w:val="000000"/>
          <w:sz w:val="44"/>
          <w:szCs w:val="44"/>
          <w:lang w:val="en-US" w:eastAsia="zh-CN" w:bidi="zh-CN"/>
        </w:rPr>
        <w:t>（不进场）招租的情形</w:t>
      </w:r>
      <w:bookmarkEnd w:id="46"/>
      <w:bookmarkEnd w:id="47"/>
      <w:bookmarkEnd w:id="48"/>
      <w:bookmarkEnd w:id="49"/>
      <w:bookmarkEnd w:id="50"/>
    </w:p>
    <w:p>
      <w:pPr>
        <w:keepNext w:val="0"/>
        <w:keepLines w:val="0"/>
        <w:pageBreakBefore w:val="0"/>
        <w:widowControl w:val="0"/>
        <w:numPr>
          <w:ilvl w:val="0"/>
          <w:numId w:val="0"/>
        </w:numPr>
        <w:kinsoku/>
        <w:wordWrap/>
        <w:overflowPunct/>
        <w:topLinePunct w:val="0"/>
        <w:autoSpaceDE w:val="0"/>
        <w:autoSpaceDN w:val="0"/>
        <w:bidi w:val="0"/>
        <w:adjustRightInd/>
        <w:snapToGrid/>
        <w:spacing w:before="300" w:beforeLines="100" w:after="300" w:afterLines="100" w:afterAutospacing="0" w:line="560" w:lineRule="exact"/>
        <w:ind w:firstLine="0" w:firstLineChars="0"/>
        <w:jc w:val="center"/>
        <w:textAlignment w:val="auto"/>
        <w:rPr>
          <w:rFonts w:hint="eastAsia" w:ascii="方正小标宋_GBK" w:hAnsi="方正小标宋_GBK" w:eastAsia="方正小标宋_GBK" w:cs="方正小标宋_GBK"/>
          <w:color w:val="000000"/>
          <w:sz w:val="44"/>
          <w:szCs w:val="44"/>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bidi="zh-CN"/>
        </w:rPr>
      </w:pPr>
      <w:r>
        <w:rPr>
          <w:rFonts w:hint="eastAsia" w:ascii="仿宋_GB2312" w:hAnsi="仿宋_GB2312" w:eastAsia="仿宋_GB2312" w:cs="仿宋_GB2312"/>
          <w:color w:val="000000"/>
          <w:sz w:val="32"/>
          <w:szCs w:val="32"/>
          <w:highlight w:val="none"/>
          <w:lang w:val="en-US" w:eastAsia="zh-CN" w:bidi="zh-CN"/>
        </w:rPr>
        <w:t>1.承租方为下属企业和绵阳市国资委实际控制的各级国有企业、各级党政机关、事业单位以及在民政部门登记的非营利性社会组织，出租方可不公开招租。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2.涉及国计民生、公益性、文物保护和基础设施建设等特殊要求，或可能危及公共安全、影响公共卫生和社会秩序等造成重大社会影响的不动产租赁可不公开（不进场）招租；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3.涉及国家、省、市政府支持在绵落地的产业项目，市政府根据招商引资需要确定的资产出租行为可不公开（不进场）招租；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4.租赁期限不超过6个月且不再续租的短期资产租赁（出租企业不得以拆分租赁期限、连续短租等方式规避公开招租）可不公开（不进场）招租；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5.已纳入政府征收、收储范围的续租（租赁期限不超过1年）可不公开（不进场）招租；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6.列入集团转型、更新项目范围的短期续租或其他因历史原因造成的，尚在清退过程中的过渡性续租（租赁期限不超过1年）可不公开（不进场）招租；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7.在大型百货、购物中心、农贸市场等场所内开展专业零售及批发业务涉及出租的应当采取公开方式招租；大型百货、购物中心等新开商业通过招商先行引入一批经营者营造商业氛围且租期为18个月内的出租，可不公开（不进场）招租，到期后须重新公开（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8.为集团主责主业提供配套服务的供应商、经销商因开展配套服务承租集团不动产的可不公开（不进场）招租；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9.纳入市保障性租赁住房、公租房、居住性公房、人才公寓、员工宿舍的租赁住宅，或住宅小区配套的车库等地下空间，及社区配套商业设施的出租，出租企业自行制定出租规则的可不公开（不进场）招租；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10.其他特殊情形（不适于公开招租）的出租，经向市国资委报备同意的。</w:t>
      </w:r>
    </w:p>
    <w:p>
      <w:pPr>
        <w:autoSpaceDE w:val="0"/>
        <w:autoSpaceDN w:val="0"/>
        <w:jc w:val="left"/>
        <w:rPr>
          <w:rFonts w:hint="eastAsia" w:ascii="仿宋_GB2312" w:hAnsi="仿宋_GB2312" w:eastAsia="仿宋_GB2312" w:cs="仿宋_GB2312"/>
          <w:color w:val="000000"/>
          <w:kern w:val="0"/>
          <w:sz w:val="32"/>
          <w:szCs w:val="32"/>
          <w:lang w:val="en-US" w:eastAsia="zh-CN" w:bidi="zh-CN"/>
        </w:rPr>
      </w:pPr>
      <w:r>
        <w:rPr>
          <w:rFonts w:hint="eastAsia" w:ascii="仿宋_GB2312" w:hAnsi="仿宋_GB2312" w:eastAsia="仿宋_GB2312" w:cs="仿宋_GB2312"/>
          <w:color w:val="000000"/>
          <w:kern w:val="0"/>
          <w:sz w:val="32"/>
          <w:szCs w:val="32"/>
          <w:lang w:val="en-US" w:eastAsia="zh-CN" w:bidi="zh-CN"/>
        </w:rPr>
        <w:br w:type="page"/>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sectPr>
          <w:footerReference r:id="rId11" w:type="default"/>
          <w:pgSz w:w="11928" w:h="16860"/>
          <w:pgMar w:top="2098" w:right="1474" w:bottom="1984" w:left="1587" w:header="1814" w:footer="1026" w:gutter="0"/>
          <w:pgNumType w:fmt="decimal" w:start="1"/>
          <w:cols w:space="0" w:num="1"/>
          <w:docGrid w:linePitch="299" w:charSpace="0"/>
        </w:sectPr>
      </w:pP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textAlignment w:val="auto"/>
        <w:outlineLvl w:val="0"/>
        <w:rPr>
          <w:rFonts w:hint="eastAsia" w:ascii="黑体" w:hAnsi="黑体" w:eastAsia="黑体" w:cs="黑体"/>
          <w:b w:val="0"/>
          <w:bCs w:val="0"/>
          <w:color w:val="000000"/>
          <w:sz w:val="32"/>
          <w:szCs w:val="32"/>
          <w:lang w:val="en-US" w:eastAsia="zh-CN" w:bidi="zh-CN"/>
        </w:rPr>
      </w:pPr>
      <w:bookmarkStart w:id="51" w:name="_Toc29426"/>
      <w:bookmarkStart w:id="52" w:name="_Toc23388"/>
      <w:bookmarkStart w:id="53" w:name="_Toc17653"/>
      <w:bookmarkStart w:id="54" w:name="_Toc23643"/>
      <w:r>
        <w:rPr>
          <w:rFonts w:hint="eastAsia" w:ascii="黑体" w:hAnsi="黑体" w:eastAsia="黑体" w:cs="黑体"/>
          <w:b w:val="0"/>
          <w:bCs w:val="0"/>
          <w:color w:val="000000"/>
          <w:sz w:val="32"/>
          <w:szCs w:val="32"/>
          <w:lang w:val="en-US" w:eastAsia="zh-CN" w:bidi="zh-CN"/>
        </w:rPr>
        <w:t>附件2</w:t>
      </w:r>
      <w:bookmarkEnd w:id="51"/>
      <w:bookmarkEnd w:id="52"/>
      <w:bookmarkEnd w:id="53"/>
      <w:bookmarkEnd w:id="54"/>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textAlignment w:val="auto"/>
        <w:outlineLvl w:val="9"/>
        <w:rPr>
          <w:rFonts w:hint="eastAsia" w:ascii="黑体" w:hAnsi="黑体" w:eastAsia="黑体" w:cs="黑体"/>
          <w:b w:val="0"/>
          <w:bCs w:val="0"/>
          <w:color w:val="000000"/>
          <w:sz w:val="32"/>
          <w:szCs w:val="32"/>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before="300" w:beforeLines="100" w:after="300" w:afterLines="100" w:afterAutospacing="0" w:line="560" w:lineRule="exact"/>
        <w:ind w:firstLine="0" w:firstLineChars="0"/>
        <w:jc w:val="center"/>
        <w:textAlignment w:val="auto"/>
        <w:outlineLvl w:val="0"/>
        <w:rPr>
          <w:rFonts w:hint="eastAsia" w:ascii="仿宋_GB2312" w:hAnsi="仿宋_GB2312" w:eastAsia="仿宋_GB2312" w:cs="仿宋_GB2312"/>
          <w:color w:val="000000"/>
          <w:sz w:val="30"/>
          <w:szCs w:val="30"/>
          <w:lang w:val="en-US" w:eastAsia="zh-CN" w:bidi="zh-CN"/>
        </w:rPr>
      </w:pPr>
      <w:bookmarkStart w:id="55" w:name="_Toc24795"/>
      <w:r>
        <w:rPr>
          <w:rFonts w:hint="eastAsia" w:ascii="仿宋_GB2312" w:hAnsi="仿宋_GB2312" w:eastAsia="仿宋_GB2312" w:cs="仿宋_GB2312"/>
          <w:color w:val="000000"/>
          <w:sz w:val="30"/>
          <w:szCs w:val="30"/>
          <w:lang w:val="en-US" w:eastAsia="zh-CN" w:bidi="zh-CN"/>
        </w:rPr>
        <w:t>土地、房产类非公开协议出租申请表</w:t>
      </w:r>
      <w:bookmarkEnd w:id="55"/>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textAlignment w:val="auto"/>
        <w:outlineLvl w:val="0"/>
        <w:rPr>
          <w:rFonts w:hint="default" w:ascii="仿宋_GB2312" w:hAnsi="仿宋_GB2312" w:eastAsia="仿宋_GB2312" w:cs="仿宋_GB2312"/>
          <w:color w:val="000000"/>
          <w:sz w:val="21"/>
          <w:szCs w:val="21"/>
          <w:lang w:val="en-US" w:eastAsia="zh-CN" w:bidi="zh-CN"/>
        </w:rPr>
      </w:pPr>
      <w:bookmarkStart w:id="56" w:name="_Toc26438"/>
      <w:bookmarkStart w:id="57" w:name="_Toc18318"/>
      <w:bookmarkStart w:id="58" w:name="_Toc18852"/>
      <w:bookmarkStart w:id="59" w:name="_Toc21656"/>
      <w:r>
        <w:rPr>
          <w:rFonts w:hint="eastAsia" w:ascii="仿宋_GB2312" w:hAnsi="仿宋_GB2312" w:eastAsia="仿宋_GB2312" w:cs="仿宋_GB2312"/>
          <w:color w:val="000000"/>
          <w:sz w:val="21"/>
          <w:szCs w:val="21"/>
          <w:lang w:val="en-US" w:eastAsia="zh-CN" w:bidi="zh-CN"/>
        </w:rPr>
        <w:t>申请单位名称：                                申请时间：</w:t>
      </w:r>
      <w:bookmarkEnd w:id="56"/>
      <w:bookmarkEnd w:id="57"/>
      <w:bookmarkEnd w:id="58"/>
      <w:bookmarkEnd w:id="59"/>
    </w:p>
    <w:tbl>
      <w:tblPr>
        <w:tblStyle w:val="12"/>
        <w:tblW w:w="13755" w:type="dxa"/>
        <w:tblInd w:w="-7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5"/>
        <w:gridCol w:w="870"/>
        <w:gridCol w:w="975"/>
        <w:gridCol w:w="825"/>
        <w:gridCol w:w="1140"/>
        <w:gridCol w:w="915"/>
        <w:gridCol w:w="900"/>
        <w:gridCol w:w="840"/>
        <w:gridCol w:w="1080"/>
        <w:gridCol w:w="840"/>
        <w:gridCol w:w="870"/>
        <w:gridCol w:w="915"/>
        <w:gridCol w:w="1020"/>
        <w:gridCol w:w="1020"/>
        <w:gridCol w:w="7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序号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出租方</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承租方</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产权持有方</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土地、房产名称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土地、房产位置</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租赁面积（平方米）</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租赁价格（万元）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租赁期限（年 月一年月）</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租赁用途</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租金递增率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租金支付方式</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定价依据（周边市场价格情况）</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非公开协议出租的原因</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400" w:lineRule="exact"/>
        <w:textAlignment w:val="auto"/>
        <w:outlineLvl w:val="0"/>
        <w:rPr>
          <w:rFonts w:hint="eastAsia" w:ascii="仿宋_GB2312" w:hAnsi="仿宋_GB2312" w:eastAsia="仿宋_GB2312" w:cs="仿宋_GB2312"/>
          <w:b w:val="0"/>
          <w:bCs w:val="0"/>
          <w:color w:val="000000"/>
          <w:sz w:val="21"/>
          <w:szCs w:val="21"/>
          <w:lang w:val="en-US" w:eastAsia="zh-CN" w:bidi="zh-CN"/>
        </w:rPr>
      </w:pPr>
      <w:bookmarkStart w:id="60" w:name="_Toc15026"/>
      <w:bookmarkStart w:id="61" w:name="_Toc18405"/>
      <w:bookmarkStart w:id="62" w:name="_Toc26480"/>
      <w:bookmarkStart w:id="63" w:name="_Toc17759"/>
      <w:r>
        <w:rPr>
          <w:rFonts w:hint="eastAsia" w:ascii="仿宋_GB2312" w:hAnsi="仿宋_GB2312" w:eastAsia="仿宋_GB2312" w:cs="仿宋_GB2312"/>
          <w:b w:val="0"/>
          <w:bCs w:val="0"/>
          <w:color w:val="000000"/>
          <w:sz w:val="21"/>
          <w:szCs w:val="21"/>
          <w:lang w:val="en-US" w:eastAsia="zh-CN" w:bidi="zh-CN"/>
        </w:rPr>
        <w:t>注：单宗招租资产的平均年租金底价在300万元以下或单次出租期限不超过5年的，且承租方为下属企业和绵阳市国资委实际控制的各级国有企业、各级党政机关、事业单位以及在民政部门登记的非营利性社会组织，拟采取非公开协议方式出租的情形填写以上申请表。</w:t>
      </w:r>
      <w:bookmarkEnd w:id="60"/>
      <w:bookmarkEnd w:id="61"/>
      <w:bookmarkEnd w:id="62"/>
      <w:bookmarkEnd w:id="63"/>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400" w:lineRule="exact"/>
        <w:textAlignment w:val="auto"/>
        <w:outlineLvl w:val="9"/>
        <w:rPr>
          <w:rFonts w:hint="eastAsia" w:ascii="仿宋_GB2312" w:hAnsi="仿宋_GB2312" w:eastAsia="仿宋_GB2312" w:cs="仿宋_GB2312"/>
          <w:b w:val="0"/>
          <w:bCs w:val="0"/>
          <w:color w:val="000000"/>
          <w:sz w:val="24"/>
          <w:szCs w:val="24"/>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left"/>
        <w:textAlignment w:val="auto"/>
        <w:outlineLvl w:val="9"/>
        <w:rPr>
          <w:rFonts w:hint="eastAsia" w:ascii="黑体" w:hAnsi="黑体" w:eastAsia="黑体" w:cs="黑体"/>
          <w:b w:val="0"/>
          <w:bCs w:val="0"/>
          <w:color w:val="000000"/>
          <w:sz w:val="32"/>
          <w:szCs w:val="32"/>
          <w:lang w:val="en-US" w:eastAsia="zh-CN"/>
        </w:rPr>
        <w:sectPr>
          <w:footerReference r:id="rId12" w:type="default"/>
          <w:pgSz w:w="16860" w:h="11928" w:orient="landscape"/>
          <w:pgMar w:top="1587" w:right="2098" w:bottom="1474" w:left="1984" w:header="1814" w:footer="1026" w:gutter="0"/>
          <w:pgNumType w:fmt="decimal" w:start="1"/>
          <w:cols w:space="0" w:num="1"/>
          <w:docGrid w:linePitch="299" w:charSpace="0"/>
        </w:sectPr>
      </w:pPr>
    </w:p>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left"/>
        <w:textAlignment w:val="auto"/>
        <w:outlineLvl w:val="0"/>
        <w:rPr>
          <w:rFonts w:hint="eastAsia" w:ascii="黑体" w:hAnsi="黑体" w:eastAsia="黑体" w:cs="黑体"/>
          <w:b w:val="0"/>
          <w:bCs w:val="0"/>
          <w:color w:val="000000"/>
          <w:sz w:val="32"/>
          <w:szCs w:val="32"/>
          <w:lang w:val="en-US" w:eastAsia="zh-CN" w:bidi="zh-CN"/>
        </w:rPr>
      </w:pPr>
      <w:bookmarkStart w:id="64" w:name="_Toc985"/>
      <w:r>
        <w:rPr>
          <w:rFonts w:hint="eastAsia" w:ascii="黑体" w:hAnsi="黑体" w:eastAsia="黑体" w:cs="黑体"/>
          <w:b w:val="0"/>
          <w:bCs w:val="0"/>
          <w:color w:val="000000"/>
          <w:sz w:val="32"/>
          <w:szCs w:val="32"/>
          <w:lang w:val="en-US" w:eastAsia="zh-CN" w:bidi="zh-CN"/>
        </w:rPr>
        <w:t>附件3</w:t>
      </w:r>
      <w:bookmarkEnd w:id="64"/>
    </w:p>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center"/>
        <w:textAlignment w:val="auto"/>
        <w:outlineLvl w:val="0"/>
        <w:rPr>
          <w:rFonts w:hint="eastAsia" w:ascii="仿宋_GB2312" w:hAnsi="仿宋_GB2312" w:eastAsia="仿宋_GB2312" w:cs="仿宋_GB2312"/>
          <w:b w:val="0"/>
          <w:bCs w:val="0"/>
          <w:color w:val="000000"/>
          <w:kern w:val="0"/>
          <w:sz w:val="24"/>
          <w:szCs w:val="24"/>
          <w:lang w:val="en-US" w:eastAsia="zh-CN" w:bidi="zh-CN"/>
        </w:rPr>
      </w:pPr>
      <w:bookmarkStart w:id="65" w:name="_Toc19001"/>
      <w:r>
        <w:rPr>
          <w:rFonts w:hint="default" w:ascii="黑体" w:hAnsi="黑体" w:eastAsia="黑体" w:cs="黑体"/>
          <w:b w:val="0"/>
          <w:bCs w:val="0"/>
          <w:color w:val="000000" w:themeColor="text1"/>
          <w:sz w:val="32"/>
          <w:szCs w:val="32"/>
          <w:lang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-323850</wp:posOffset>
            </wp:positionH>
            <wp:positionV relativeFrom="paragraph">
              <wp:posOffset>463550</wp:posOffset>
            </wp:positionV>
            <wp:extent cx="8102600" cy="4399280"/>
            <wp:effectExtent l="0" t="0" r="0" b="0"/>
            <wp:wrapTopAndBottom/>
            <wp:docPr id="15" name="图片 15" descr="未命名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未命名文件"/>
                    <pic:cNvPicPr>
                      <a:picLocks noChangeAspect="1"/>
                    </pic:cNvPicPr>
                  </pic:nvPicPr>
                  <pic:blipFill>
                    <a:blip r:embed="rId17"/>
                    <a:stretch>
                      <a:fillRect/>
                    </a:stretch>
                  </pic:blipFill>
                  <pic:spPr>
                    <a:xfrm>
                      <a:off x="0" y="0"/>
                      <a:ext cx="8102600" cy="4399280"/>
                    </a:xfrm>
                    <a:prstGeom prst="rect">
                      <a:avLst/>
                    </a:prstGeom>
                  </pic:spPr>
                </pic:pic>
              </a:graphicData>
            </a:graphic>
          </wp:anchor>
        </w:drawing>
      </w:r>
      <w:r>
        <w:rPr>
          <w:rFonts w:hint="eastAsia" w:ascii="仿宋_GB2312" w:hAnsi="仿宋_GB2312" w:eastAsia="仿宋_GB2312" w:cs="仿宋_GB2312"/>
          <w:b w:val="0"/>
          <w:bCs w:val="0"/>
          <w:color w:val="000000"/>
          <w:kern w:val="0"/>
          <w:sz w:val="24"/>
          <w:szCs w:val="24"/>
          <w:lang w:val="en-US" w:eastAsia="zh-CN" w:bidi="zh-CN"/>
        </w:rPr>
        <w:t>图</w:t>
      </w:r>
      <w:r>
        <w:rPr>
          <w:rFonts w:hint="default" w:ascii="Arial" w:hAnsi="Arial" w:eastAsia="仿宋_GB2312" w:cs="Arial"/>
          <w:b w:val="0"/>
          <w:bCs w:val="0"/>
          <w:color w:val="000000"/>
          <w:kern w:val="0"/>
          <w:sz w:val="24"/>
          <w:szCs w:val="24"/>
          <w:lang w:val="en-US" w:eastAsia="zh-CN" w:bidi="zh-CN"/>
        </w:rPr>
        <w:t>1</w:t>
      </w:r>
      <w:r>
        <w:rPr>
          <w:rFonts w:hint="eastAsia" w:ascii="仿宋_GB2312" w:hAnsi="仿宋_GB2312" w:eastAsia="仿宋_GB2312" w:cs="仿宋_GB2312"/>
          <w:b w:val="0"/>
          <w:bCs w:val="0"/>
          <w:color w:val="000000"/>
          <w:kern w:val="0"/>
          <w:sz w:val="24"/>
          <w:szCs w:val="24"/>
          <w:lang w:val="en-US" w:eastAsia="zh-CN" w:bidi="zh-CN"/>
        </w:rPr>
        <w:t xml:space="preserve">  总部作为出租方的资产招租流程图</w:t>
      </w:r>
      <w:bookmarkEnd w:id="65"/>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textAlignment w:val="auto"/>
        <w:outlineLvl w:val="9"/>
        <w:rPr>
          <w:rFonts w:hint="eastAsia"/>
          <w:lang w:val="en-US" w:eastAsia="zh-CN"/>
        </w:rPr>
        <w:sectPr>
          <w:footerReference r:id="rId13" w:type="default"/>
          <w:footerReference r:id="rId14" w:type="even"/>
          <w:pgSz w:w="16838" w:h="11906" w:orient="landscape"/>
          <w:pgMar w:top="1588" w:right="2098" w:bottom="1474" w:left="1985" w:header="851" w:footer="992" w:gutter="0"/>
          <w:pgNumType w:fmt="decimal" w:start="1"/>
          <w:cols w:space="720" w:num="1"/>
          <w:docGrid w:type="lines" w:linePitch="312" w:charSpace="0"/>
        </w:sectPr>
      </w:pPr>
    </w:p>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center"/>
        <w:textAlignment w:val="auto"/>
        <w:outlineLvl w:val="0"/>
        <w:rPr>
          <w:rFonts w:hint="default" w:ascii="黑体" w:hAnsi="黑体" w:eastAsia="黑体" w:cs="黑体"/>
          <w:b w:val="0"/>
          <w:bCs w:val="0"/>
          <w:color w:val="000000" w:themeColor="text1"/>
          <w:sz w:val="32"/>
          <w:szCs w:val="32"/>
          <w:lang w:val="en-US" w:eastAsia="zh-CN"/>
          <w14:textFill>
            <w14:solidFill>
              <w14:schemeClr w14:val="tx1"/>
            </w14:solidFill>
          </w14:textFill>
        </w:rPr>
      </w:pPr>
      <w:bookmarkStart w:id="66" w:name="_Toc3411"/>
      <w:r>
        <w:rPr>
          <w:rFonts w:hint="eastAsia" w:cs="仿宋_GB2312"/>
          <w:b w:val="0"/>
          <w:bCs w:val="0"/>
          <w:color w:val="000000" w:themeColor="text1"/>
          <w:sz w:val="24"/>
          <w:szCs w:val="24"/>
          <w:lang w:val="en-US" w:eastAsia="zh-CN"/>
          <w14:textFill>
            <w14:solidFill>
              <w14:schemeClr w14:val="tx1"/>
            </w14:solidFill>
          </w14:textFill>
        </w:rPr>
        <w:drawing>
          <wp:anchor distT="0" distB="0" distL="114300" distR="114300" simplePos="0" relativeHeight="251660288" behindDoc="0" locked="0" layoutInCell="1" allowOverlap="1">
            <wp:simplePos x="0" y="0"/>
            <wp:positionH relativeFrom="column">
              <wp:posOffset>-203200</wp:posOffset>
            </wp:positionH>
            <wp:positionV relativeFrom="paragraph">
              <wp:posOffset>640080</wp:posOffset>
            </wp:positionV>
            <wp:extent cx="8100695" cy="4008120"/>
            <wp:effectExtent l="0" t="0" r="0" b="0"/>
            <wp:wrapTopAndBottom/>
            <wp:docPr id="4" name="图片 4" descr="未命名文件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命名文件 (3)"/>
                    <pic:cNvPicPr>
                      <a:picLocks noChangeAspect="1"/>
                    </pic:cNvPicPr>
                  </pic:nvPicPr>
                  <pic:blipFill>
                    <a:blip r:embed="rId18"/>
                    <a:stretch>
                      <a:fillRect/>
                    </a:stretch>
                  </pic:blipFill>
                  <pic:spPr>
                    <a:xfrm>
                      <a:off x="0" y="0"/>
                      <a:ext cx="8100695" cy="4008120"/>
                    </a:xfrm>
                    <a:prstGeom prst="rect">
                      <a:avLst/>
                    </a:prstGeom>
                  </pic:spPr>
                </pic:pic>
              </a:graphicData>
            </a:graphic>
          </wp:anchor>
        </w:drawing>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图</w:t>
      </w:r>
      <w:r>
        <w:rPr>
          <w:rFonts w:hint="default" w:ascii="Arial" w:hAnsi="Arial" w:eastAsia="仿宋_GB2312" w:cs="Arial"/>
          <w:b w:val="0"/>
          <w:bCs w:val="0"/>
          <w:color w:val="000000" w:themeColor="text1"/>
          <w:sz w:val="24"/>
          <w:szCs w:val="24"/>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 xml:space="preserve">  </w:t>
      </w:r>
      <w:r>
        <w:rPr>
          <w:rFonts w:hint="eastAsia" w:cs="仿宋_GB2312"/>
          <w:b w:val="0"/>
          <w:bCs w:val="0"/>
          <w:color w:val="000000" w:themeColor="text1"/>
          <w:sz w:val="24"/>
          <w:szCs w:val="24"/>
          <w:lang w:val="en-US" w:eastAsia="zh-CN"/>
          <w14:textFill>
            <w14:solidFill>
              <w14:schemeClr w14:val="tx1"/>
            </w14:solidFill>
          </w14:textFill>
        </w:rPr>
        <w:t>下属企业</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作为出租方的资产</w:t>
      </w:r>
      <w:r>
        <w:rPr>
          <w:rFonts w:hint="eastAsia" w:cs="仿宋_GB2312"/>
          <w:b w:val="0"/>
          <w:bCs w:val="0"/>
          <w:color w:val="000000" w:themeColor="text1"/>
          <w:sz w:val="24"/>
          <w:szCs w:val="24"/>
          <w:lang w:val="en-US" w:eastAsia="zh-CN"/>
          <w14:textFill>
            <w14:solidFill>
              <w14:schemeClr w14:val="tx1"/>
            </w14:solidFill>
          </w14:textFill>
        </w:rPr>
        <w:t>招租</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流程图</w:t>
      </w:r>
      <w:bookmarkEnd w:id="66"/>
    </w:p>
    <w:p>
      <w:pPr>
        <w:pStyle w:val="4"/>
        <w:ind w:left="0" w:leftChars="0" w:firstLine="0" w:firstLineChars="0"/>
        <w:rPr>
          <w:rFonts w:hint="eastAsia"/>
          <w:lang w:val="en-US" w:eastAsia="zh-CN"/>
        </w:rPr>
      </w:pPr>
    </w:p>
    <w:sectPr>
      <w:footerReference r:id="rId15" w:type="default"/>
      <w:pgSz w:w="16860" w:h="11928" w:orient="landscape"/>
      <w:pgMar w:top="1587" w:right="2098" w:bottom="1474" w:left="1984" w:header="1814" w:footer="1026" w:gutter="0"/>
      <w:pgNumType w:fmt="decimal"/>
      <w:cols w:space="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-256540</wp:posOffset>
              </wp:positionV>
              <wp:extent cx="1224280" cy="32639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224280" cy="326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20.2pt;height:25.7pt;width:96.4pt;mso-position-horizontal-relative:margin;z-index:251662336;mso-width-relative:page;mso-height-relative:page;" filled="f" stroked="f" coordsize="21600,21600" o:gfxdata="UEsDBAoAAAAAAIdO4kAAAAAAAAAAAAAAAAAEAAAAZHJzL1BLAwQUAAAACACHTuJANuoZTtUAAAAH&#10;AQAADwAAAGRycy9kb3ducmV2LnhtbE2PS0/DMBCE70j8B2uRuLV2qgpBiNMDjxuvFpDg5sRLEmGv&#10;I9tJy79ne4LbrGY18021OXgnZoxpCKShWCoQSG2wA3Ua3l7vF5cgUjZkjQuEGn4wwaY+PalMacOe&#10;tjjvcic4hFJpNPQ5j6WUqe3Rm7QMIxJ7XyF6k/mMnbTR7DncO7lS6kJ6MxA39GbEmx7b793kNbiP&#10;FB8alT/n2+4xvzzL6f2ueNL6/KxQ1yAyHvLfMxzxGR1qZmrCRDYJp4GHZA2LtVqDONpXK17SsCgU&#10;yLqS//nrX1BLAwQUAAAACACHTuJAa4is/zcCAABkBAAADgAAAGRycy9lMm9Eb2MueG1srVTLbhMx&#10;FN0j8Q+W92TSBKISdVKFVkFIFa1UEGvH48lY8gvbyUz4APgDVmzY8135Do49mRQVFl2wce7c9zn3&#10;3lxcdlqRnfBBWlPSs9GYEmG4raTZlPTjh9WLc0pCZKZiyhpR0r0I9HLx/NlF6+ZiYhurKuEJkpgw&#10;b11JmxjdvCgCb4RmYWSdMDDW1msW8ek3ReVZi+xaFZPxeFa01lfOWy5CgPa6N9JjRv+UhLauJRfX&#10;lm+1MLHP6oViEZBCI12gi9xtXQseb+s6iEhUSYE05hdFIK/TWywu2HzjmWskP7bAntLCI0yaSYOi&#10;p1TXLDKy9fKvVFpyb4Ot44hbXfRAMiNAcTZ+xM19w5zIWEB1cCfSw/9Ly9/v7jyRVUmnM0oM05j4&#10;4fu3w49fh59fCXQgqHVhDr97B8/YvbEd1mbQBygT7q72Ov0CEYEd9O5P9IouEp6CJpOXk3OYOGzT&#10;yWz6OvNfPEQ7H+JbYTVJQkk9xpdZZbubENEJXAeXVMzYlVQqj1AZ0pZ0Nn01zgEnCyKUQWDC0Pea&#10;pNituyOwta32wOVtvxrB8ZVE8RsW4h3z2AX0i2uJt3hqZVHEHiVKGuu//Euf/DEiWClpsVslDZ+3&#10;zAtK1DuD4SFlHAQ/COtBMFt9ZbGuZ7hDx7OIAB/VINbe6k84omWqAhMzHLVKGgfxKvYbjiPkYrnM&#10;Tlvn5abpA7B6jsUbc+94KtNTudxGW8vMcqKo5+XIHJYvk388lLTdf35nr4c/h8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uoZTtUAAAAHAQAADwAAAAAAAAABACAAAAAiAAAAZHJzL2Rvd25yZXYu&#10;eG1sUEsBAhQAFAAAAAgAh07iQGuIrP83AgAAZAQAAA4AAAAAAAAAAQAgAAAAJAEAAGRycy9lMm9E&#10;b2MueG1sUEsFBgAAAAAGAAYAWQEAAM0FAAAAAA==&#10;">
              <v:fill on="f" focussize="0,0"/>
              <v:stroke on="f" weight="0.5pt"/>
              <v:imagedata o:title=""/>
              <o:lock v:ext="edit" aspectratio="f"/>
              <v:textbox inset="0mm,0mm,0mm,0mm">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v:textbox>
            </v:shape>
          </w:pict>
        </mc:Fallback>
      </mc:AlternateContent>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autoSpaceDE w:val="0"/>
      <w:autoSpaceDN w:val="0"/>
      <w:snapToGrid w:val="0"/>
      <w:jc w:val="center"/>
      <w:rPr>
        <w:rFonts w:ascii="仿宋_GB2312" w:hAnsi="仿宋_GB2312" w:eastAsia="仿宋_GB2312" w:cs="仿宋_GB2312"/>
        <w:sz w:val="18"/>
        <w:szCs w:val="22"/>
        <w:lang w:val="zh-CN" w:eastAsia="zh-CN" w:bidi="zh-CN"/>
      </w:rPr>
    </w:pPr>
  </w:p>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sz w:val="28"/>
        <w:szCs w:val="28"/>
      </w:rPr>
    </w:pPr>
    <w:r>
      <w:rPr>
        <w:sz w:val="28"/>
      </w:rPr>
      <mc:AlternateContent>
        <mc:Choice Requires="wps">
          <w:drawing>
            <wp:anchor distT="0" distB="0" distL="114300" distR="114300" simplePos="0" relativeHeight="251669504" behindDoc="0" locked="0" layoutInCell="1" allowOverlap="1">
              <wp:simplePos x="0" y="0"/>
              <wp:positionH relativeFrom="margin">
                <wp:posOffset>0</wp:posOffset>
              </wp:positionH>
              <wp:positionV relativeFrom="paragraph">
                <wp:posOffset>-256540</wp:posOffset>
              </wp:positionV>
              <wp:extent cx="1224280" cy="326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224280" cy="326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20.2pt;height:25.7pt;width:96.4pt;mso-position-horizontal-relative:margin;z-index:251669504;mso-width-relative:page;mso-height-relative:page;" filled="f" stroked="f" coordsize="21600,21600" o:gfxdata="UEsDBAoAAAAAAIdO4kAAAAAAAAAAAAAAAAAEAAAAZHJzL1BLAwQUAAAACACHTuJANuoZTtUAAAAH&#10;AQAADwAAAGRycy9kb3ducmV2LnhtbE2PS0/DMBCE70j8B2uRuLV2qgpBiNMDjxuvFpDg5sRLEmGv&#10;I9tJy79ne4LbrGY18021OXgnZoxpCKShWCoQSG2wA3Ua3l7vF5cgUjZkjQuEGn4wwaY+PalMacOe&#10;tjjvcic4hFJpNPQ5j6WUqe3Rm7QMIxJ7XyF6k/mMnbTR7DncO7lS6kJ6MxA39GbEmx7b793kNbiP&#10;FB8alT/n2+4xvzzL6f2ueNL6/KxQ1yAyHvLfMxzxGR1qZmrCRDYJp4GHZA2LtVqDONpXK17SsCgU&#10;yLqS//nrX1BLAwQUAAAACACHTuJAsvNuvjcCAABiBAAADgAAAGRycy9lMm9Eb2MueG1srVRNjtMw&#10;FN4jcQfLe5o2hWqomo7KVEVII2akgli7jtNYsv2M7TYpB4AbsGLDnnP1HDw7SQcNLGbBxv3i9/t9&#10;fq+L61YrchTOSzAFnYzGlAjDoZRmX9CPHzYvrijxgZmSKTCioCfh6fXy+bNFY+cihxpUKRzBJMbP&#10;G1vQOgQ7zzLPa6GZH4EVBo0VOM0Cfrp9VjrWYHatsnw8nmUNuNI64MJ7vF13RtpndE9JCFUluVgD&#10;P2hhQpfVCcUCUvK1tJ4uU7dVJXi4qyovAlEFRaYhnVgE8S6e2XLB5nvHbC153wJ7SguPOGkmDRa9&#10;pFqzwMjByb9SackdeKjCiIPOOiJJEWQxGT/SZlszKxIXlNrbi+j+/6Xl74/3jsiyoDklhml88PP3&#10;b+cfv84/v5I8ytNYP0evrUW/0L6BFodmuPd4GVm3ldPxF/kQtKO4p4u4og2Ex6A8f5lfoYmjbZrP&#10;pq+T+tlDtHU+vBWgSQQFdfh4SVN2vPUBO0HXwSUWM7CRSqUHVIY0BZ1NX41TwMWCEcpgYOTQ9RpR&#10;aHdtT2wH5Ql5OegGw1u+kVj8lvlwzxxOAvaLuxLu8KgUYBHoESU1uC//uo/++EBopaTBySqo/3xg&#10;TlCi3hl8OkwZBuAGsBuAOegbwGGd4BZaniAGuKAGWDnQn3CFVrEKmpjhWKugYYA3oZtvXEEuVqvk&#10;dLBO7usuAAfPsnBrtpbHMp2Uq0OASiaVo0SdLr1yOHpJ/H5N4mz/+Z28Hv4al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uoZTtUAAAAHAQAADwAAAAAAAAABACAAAAAiAAAAZHJzL2Rvd25yZXYu&#10;eG1sUEsBAhQAFAAAAAgAh07iQLLzbr43AgAAYgQAAA4AAAAAAAAAAQAgAAAAJAEAAGRycy9lMm9E&#10;b2MueG1sUEsFBgAAAAAGAAYAWQEAAM0FAAAAAA==&#10;">
              <v:fill on="f" focussize="0,0"/>
              <v:stroke on="f" weight="0.5pt"/>
              <v:imagedata o:title=""/>
              <o:lock v:ext="edit" aspectratio="f"/>
              <v:textbox inset="0mm,0mm,0mm,0mm">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v:textbox>
            </v:shape>
          </w:pict>
        </mc:Fallback>
      </mc:AlternateContent>
    </w:r>
  </w:p>
  <w:p>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autoSpaceDE w:val="0"/>
      <w:autoSpaceDN w:val="0"/>
      <w:snapToGrid w:val="0"/>
      <w:jc w:val="center"/>
      <w:rPr>
        <w:rFonts w:ascii="仿宋_GB2312" w:hAnsi="仿宋_GB2312" w:eastAsia="仿宋_GB2312" w:cs="仿宋_GB2312"/>
        <w:sz w:val="18"/>
        <w:szCs w:val="22"/>
        <w:lang w:val="zh-CN" w:eastAsia="zh-CN" w:bidi="zh-CN"/>
      </w:rP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-438150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4.5pt;height:144pt;width:144pt;mso-position-horizontal:outside;mso-position-horizontal-relative:margin;mso-wrap-style:none;z-index:251668480;mso-width-relative:page;mso-height-relative:page;" filled="f" stroked="f" coordsize="21600,21600" o:gfxdata="UEsDBAoAAAAAAIdO4kAAAAAAAAAAAAAAAAAEAAAAZHJzL1BLAwQUAAAACACHTuJAk4O4VtQAAAAI&#10;AQAADwAAAGRycy9kb3ducmV2LnhtbE2PQU/DMAyF70j8h8hI3La0A02lNJ3ERDkise7AMWtMW0ic&#10;Ksm68u8xJ7g9+1nP36t2i7NixhBHTwrydQYCqfNmpF7BsW1WBYiYNBltPaGCb4ywq6+vKl0af6E3&#10;nA+pFxxCsdQKhpSmUsrYDeh0XPsJib0PH5xOPIZemqAvHO6s3GTZVjo9En8Y9IT7Abuvw9kp2Ddt&#10;G2aMwb7jS3P3+fp0j8+LUrc3efYIIuGS/o7hF5/RoWamkz+TicIq4CJJwWr7wILtTVGwOLHIeSPr&#10;Sv4vUP8AUEsDBBQAAAAIAIdO4kCpNz7rMwIAAGMEAAAOAAAAZHJzL2Uyb0RvYy54bWytVM2O0zAQ&#10;viPxDpbvNGkXVlXVdFW2KkKq2JUWxNl1nMaS/2S7TcoDwBtw4sKd5+pz8DlpumjhsAcuztgz/sbf&#10;NzOZ37RakYPwQVpT0PEop0QYbktpdgX99HH9akpJiMyUTFkjCnoUgd4sXr6YN24mJra2qhSeAMSE&#10;WeMKWsfoZlkWeC00CyPrhIGzsl6ziK3fZaVnDdC1yiZ5fp011pfOWy5CwOmqd9Izon8OoK0qycXK&#10;8r0WJvaoXigWQSnU0gW66F5bVYLHu6oKIhJVUDCN3YoksLdpzRZzNtt55mrJz09gz3nCE06aSYOk&#10;F6gVi4zsvfwLSkvubbBVHHGrs55IpwhYjPMn2jzUzImOC6QO7iJ6+H+w/MPh3hNZFvT1FSWGaVT8&#10;9P3b6cev08+vBGcQqHFhhrgHh8jYvrUt2mY4DzhMvNvK6/QFIwI/5D1e5BVtJDxdmk6m0xwuDt+w&#10;AX72eN35EN8Jq0kyCupRv05WdtiE2IcOISmbsWupVFdDZUhT0OurN3l34eIBuDLIkUj0j01WbLft&#10;mdnWlkcQ87bvjeD4WiL5hoV4zzyaAQ/GuMQ7LJWySGLPFiW19V/+dZ7iUSN4KWnQXAU1mCVK1HuD&#10;2gEwDoYfjO1gmL2+tejWMcbQ8c7EBR/VYFbe6s+YoWXKARczHJkKGgfzNvYNjhnkYrnsgvbOy13d&#10;X0DnORY35sHxlCYJGdxyHyFmp3ESqFflrBt6r6vSeU5Sc/+576Ie/w2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ODuFbUAAAACAEAAA8AAAAAAAAAAQAgAAAAIgAAAGRycy9kb3ducmV2LnhtbFBL&#10;AQIUABQAAAAIAIdO4kCpNz7rMwIAAGMEAAAOAAAAAAAAAAEAIAAAACMBAABkcnMvZTJvRG9jLnht&#10;bFBLBQYAAAAABgAGAFkBAADIBQAAAAA=&#10;">
              <v:fill on="f" focussize="0,0"/>
              <v:stroke on="f" weight="0.5pt"/>
              <v:imagedata o:title=""/>
              <o:lock v:ext="edit" aspectratio="f"/>
              <v:textbox inset="0mm,0mm,0mm,0mm" style="mso-fit-shape-to-text:t;">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pPr>
                      <w:pStyle w:val="8"/>
                    </w:pPr>
                  </w:p>
                </w:txbxContent>
              </v:textbox>
            </v:shape>
          </w:pict>
        </mc:Fallback>
      </mc:AlternateContent>
    </w:r>
  </w:p>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autoSpaceDE w:val="0"/>
      <w:autoSpaceDN w:val="0"/>
      <w:snapToGrid w:val="0"/>
      <w:jc w:val="center"/>
      <w:rPr>
        <w:rFonts w:ascii="仿宋_GB2312" w:hAnsi="仿宋_GB2312" w:eastAsia="仿宋_GB2312" w:cs="仿宋_GB2312"/>
        <w:sz w:val="18"/>
        <w:szCs w:val="22"/>
        <w:lang w:val="zh-CN" w:eastAsia="zh-CN" w:bidi="zh-CN"/>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-438785</wp:posOffset>
              </wp:positionV>
              <wp:extent cx="1036955" cy="38481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036955" cy="384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34.55pt;height:30.3pt;width:81.65pt;mso-position-horizontal:outside;mso-position-horizontal-relative:margin;z-index:251663360;mso-width-relative:page;mso-height-relative:page;" filled="f" stroked="f" coordsize="21600,21600" o:gfxdata="UEsDBAoAAAAAAIdO4kAAAAAAAAAAAAAAAAAEAAAAZHJzL1BLAwQUAAAACACHTuJA9JTP6dYAAAAH&#10;AQAADwAAAGRycy9kb3ducmV2LnhtbE2PS0/DMBCE70j8B2uRuLV2qIhKiNMDjxuPUkCCmxMvSUS8&#10;juxNWv497gmOOzOa+bbcHNwgZgyx96QhWyoQSI23PbUa3l7vF2sQkQ1ZM3hCDT8YYVOdnpSmsH5P&#10;LzjvuBWphGJhNHTMYyFlbDp0Ji79iJS8Lx+c4XSGVtpg9qncDfJCqVw601Na6MyINx0237vJaRg+&#10;YnioFX/Ot+0jb5/l9H6XPWl9fpapaxCMB/4LwxE/oUOVmGo/kY1i0JAeYQ2L/CoDcbTz1QpEnZT1&#10;JciqlP/5q19QSwMEFAAAAAgAh07iQDKXerw5AgAAZAQAAA4AAABkcnMvZTJvRG9jLnhtbK1UzY7T&#10;MBC+I/EOlu806ZZWpWq6KlsVIVXsSgvi7DpOY8n2GNttUh4A3oDTXrjzXH0Oxk7TRQuHPXBxJ/P/&#10;fTPT+XWrFTkI5yWYgg4HOSXCcCil2RX008f1qyklPjBTMgVGFPQoPL1evHwxb+xMXEENqhSOYBLj&#10;Z40taB2CnWWZ57XQzA/ACoPGCpxmAT/dLisdazC7VtlVnk+yBlxpHXDhPWpXnZGeM7rnJISqklys&#10;gO+1MKHL6oRiASH5WlpPF6nbqhI83FaVF4GogiLSkF4sgvI2vtlizmY7x2wt+bkF9pwWnmDSTBos&#10;ekm1YoGRvZN/pdKSO/BQhQEHnXVAEiOIYpg/4ea+ZlYkLEi1txfS/f9Lyz8c7hyRZUFHOHfDNE78&#10;9OP76eHX6ec3gjokqLF+hn73Fj1D+xZaXJte71EZcbeV0/EXERG0I73HC72iDYTHoHw0eTMeU8LR&#10;Npq+ng4T/9ljtHU+vBOgSRQK6nB8iVV22PiAnaBr7xKLGVhLpdIIlSFNQSejcZ4CLhaMUAYDI4au&#10;1yiFdtuegW2hPCIuB91qeMvXEotvmA93zOEuIBS8lnCLT6UAi8BZoqQG9/Vf+uiPI0IrJQ3uVkH9&#10;lz1zghL13uDw4iL2guuFbS+Yvb4BXNch3qHlScQAF1QvVg70ZzyiZayCJmY41ipo6MWb0G04HiEX&#10;y2Vy2lsnd3UXgKtnWdiYe8tjmY7K5T5AJRPLkaKOlzNzuHyJ/POhxO3+8zt5Pf45LH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9JTP6dYAAAAHAQAADwAAAAAAAAABACAAAAAiAAAAZHJzL2Rvd25y&#10;ZXYueG1sUEsBAhQAFAAAAAgAh07iQDKXerw5AgAAZAQAAA4AAAAAAAAAAQAgAAAAJQEAAGRycy9l&#10;Mm9Eb2MueG1sUEsFBgAAAAAGAAYAWQEAANAFAAAAAA==&#10;">
              <v:fill on="f" focussize="0,0"/>
              <v:stroke on="f" weight="0.5pt"/>
              <v:imagedata o:title=""/>
              <o:lock v:ext="edit" aspectratio="f"/>
              <v:textbox inset="0mm,0mm,0mm,0mm">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v:textbox>
            </v:shape>
          </w:pict>
        </mc:Fallback>
      </mc:AlternateContent>
    </w:r>
  </w:p>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bidi w:val="0"/>
      <w:adjustRightInd/>
      <w:snapToGrid w:val="0"/>
      <w:ind w:right="315" w:rightChars="150"/>
      <w:textAlignment w:val="auto"/>
      <w:rPr>
        <w:rFonts w:ascii="宋体" w:hAnsi="宋体" w:cs="宋体"/>
        <w:sz w:val="28"/>
        <w:szCs w:val="28"/>
      </w:rPr>
    </w:pPr>
    <w:r>
      <w:rPr>
        <w:sz w:val="18"/>
      </w:rPr>
      <mc:AlternateContent>
        <mc:Choice Requires="wps">
          <w:drawing>
            <wp:anchor distT="0" distB="0" distL="114300" distR="114300" simplePos="0" relativeHeight="251664384" behindDoc="0" locked="0" layoutInCell="1" allowOverlap="1">
              <wp:simplePos x="0" y="0"/>
              <wp:positionH relativeFrom="margin">
                <wp:posOffset>7202170</wp:posOffset>
              </wp:positionH>
              <wp:positionV relativeFrom="paragraph">
                <wp:posOffset>95885</wp:posOffset>
              </wp:positionV>
              <wp:extent cx="930910" cy="29845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93091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567.1pt;margin-top:7.55pt;height:23.5pt;width:73.3pt;mso-position-horizontal-relative:margin;z-index:251664384;mso-width-relative:page;mso-height-relative:page;" filled="f" stroked="f" coordsize="21600,21600" o:gfxdata="UEsDBAoAAAAAAIdO4kAAAAAAAAAAAAAAAAAEAAAAZHJzL1BLAwQUAAAACACHTuJA+jQDVtcAAAAL&#10;AQAADwAAAGRycy9kb3ducmV2LnhtbE2Py07DMBBF90j8gzVI7KjtAFUV4nTBY8ezgNTunNgkEfY4&#10;sp20/D3TFezmao7uo1ofvGOzjWkIqEAuBDCLbTADdgo+3h8uVsBS1mi0C2gV/NgE6/r0pNKlCXt8&#10;s/Mmd4xMMJVaQZ/zWHKe2t56nRZhtEi/rxC9ziRjx03UezL3jhdCLLnXA1JCr0d729v2ezN5BW6b&#10;4mMj8m6+657y6wufPu/ls1LnZ1LcAMv2kP9gONan6lBTpyZMaBJzpOXlVUEsXdcS2JEoVoLWNAqW&#10;hQReV/z/hvoXUEsDBBQAAAAIAIdO4kBFpT2jNgIAAGMEAAAOAAAAZHJzL2Uyb0RvYy54bWytVM1u&#10;EzEQviPxDpbvdPMDVRN1U4VGRUgVrRQQZ8frzVqyPcZ2slseAN6AExfuPFefg293sykUDj1wcWbn&#10;//tmJucXjTVsr0LU5HI+PhlxppykQrttzj+8v3pxxllMwhXCkFM5v1ORXyyePzuv/VxNqCJTqMCQ&#10;xMV57XNepeTnWRZlpayIJ+SVg7GkYEXCZ9hmRRA1sluTTUaj06ymUPhAUsUI7ao38kPG8JSEVJZa&#10;qhXJnVUu9VmDMiIBUqy0j3zRdVuWSqabsowqMZNzIE3diyKQN+2bLc7FfBuEr7Q8tCCe0sIjTFZo&#10;h6LHVCuRBNsF/Vcqq2WgSGU6kWSzHkjHCFCMR4+4WVfCqw4LqI7+SHr8f2nlu/1tYLrI+XTGmRMW&#10;E7//9vX++8/7H18YdCCo9nEOv7WHZ2peU4O1GfQRyhZ3Uwbb/gIRgx303h3pVU1iEsrZdDQbwyJh&#10;mszOXr7q6M8egn2I6Y0iy1oh5wHT60gV++uY0AhcB5e2lqMrbUw3QeNYnfPTKVL+YUGEcQhsIfSt&#10;tlJqNs0B14aKO8AK1G9G9PJKo/i1iOlWBKwC+sWxpBs8pSEUoYPEWUXh87/0rT8mBCtnNVYr5/HT&#10;TgTFmXnrMDukTIMQBmEzCG5nLwnbOsYZetmJCAjJDGIZyH7EDS3bKjAJJ1Er52kQL1O/4LhBqZbL&#10;zmnng95WfQA2z4t07dZetmV6wpa7RKXuWG4p6nk5MIfd68g/3Em73L9/d14P/w2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o0A1bXAAAACwEAAA8AAAAAAAAAAQAgAAAAIgAAAGRycy9kb3ducmV2&#10;LnhtbFBLAQIUABQAAAAIAIdO4kBFpT2jNgIAAGMEAAAOAAAAAAAAAAEAIAAAACYBAABkcnMvZTJv&#10;RG9jLnhtbFBLBQYAAAAABgAGAFkBAADOBQAAAAA=&#10;">
              <v:fill on="f" focussize="0,0"/>
              <v:stroke on="f" weight="0.5pt"/>
              <v:imagedata o:title=""/>
              <o:lock v:ext="edit" aspectratio="f"/>
              <v:textbox inset="0mm,0mm,0mm,0mm">
                <w:txbxContent>
                  <w:p>
                    <w:pPr>
                      <w:pStyle w:val="8"/>
                      <w:keepNext w:val="0"/>
                      <w:keepLines w:val="0"/>
                      <w:pageBreakBefore w:val="0"/>
                      <w:widowControl w:val="0"/>
                      <w:kinsoku/>
                      <w:wordWrap/>
                      <w:overflowPunct/>
                      <w:topLinePunct w:val="0"/>
                      <w:bidi w:val="0"/>
                      <w:adjustRightInd/>
                      <w:snapToGrid w:val="0"/>
                      <w:ind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v:textbox>
            </v:shape>
          </w:pict>
        </mc:Fallback>
      </mc:AlternateContent>
    </w:r>
  </w:p>
  <w:p>
    <w:pPr>
      <w:widowControl w:val="0"/>
      <w:tabs>
        <w:tab w:val="center" w:pos="4153"/>
        <w:tab w:val="right" w:pos="8306"/>
      </w:tabs>
      <w:autoSpaceDE w:val="0"/>
      <w:autoSpaceDN w:val="0"/>
      <w:snapToGrid w:val="0"/>
      <w:jc w:val="center"/>
      <w:rPr>
        <w:rFonts w:ascii="仿宋_GB2312" w:hAnsi="仿宋_GB2312" w:eastAsia="仿宋_GB2312" w:cs="仿宋_GB2312"/>
        <w:sz w:val="18"/>
        <w:szCs w:val="22"/>
        <w:lang w:val="zh-CN" w:eastAsia="zh-CN" w:bidi="zh-CN"/>
      </w:rPr>
    </w:pPr>
  </w:p>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560"/>
      <w:jc w:val="right"/>
      <w:rPr>
        <w:rFonts w:ascii="宋体" w:hAnsi="宋体" w:cs="宋体"/>
        <w:sz w:val="28"/>
        <w:szCs w:val="28"/>
      </w:rPr>
    </w:pPr>
  </w:p>
  <w:p>
    <w:pPr>
      <w:pStyle w:val="8"/>
    </w:pPr>
    <w:r>
      <w:rPr>
        <w:sz w:val="28"/>
      </w:rPr>
      <mc:AlternateContent>
        <mc:Choice Requires="wps">
          <w:drawing>
            <wp:anchor distT="0" distB="0" distL="114300" distR="114300" simplePos="0" relativeHeight="251665408" behindDoc="0" locked="0" layoutInCell="1" allowOverlap="1">
              <wp:simplePos x="0" y="0"/>
              <wp:positionH relativeFrom="margin">
                <wp:posOffset>7245350</wp:posOffset>
              </wp:positionH>
              <wp:positionV relativeFrom="paragraph">
                <wp:posOffset>26035</wp:posOffset>
              </wp:positionV>
              <wp:extent cx="863600" cy="2794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863600" cy="279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570.5pt;margin-top:2.05pt;height:22pt;width:68pt;mso-position-horizontal-relative:margin;z-index:251665408;mso-width-relative:page;mso-height-relative:page;" filled="f" stroked="f" coordsize="21600,21600" o:gfxdata="UEsDBAoAAAAAAIdO4kAAAAAAAAAAAAAAAAAEAAAAZHJzL1BLAwQUAAAACACHTuJA7P/+/tYAAAAK&#10;AQAADwAAAGRycy9kb3ducmV2LnhtbE2PS0/DMBCE70j8B2uRuFHbVUWrEKcHHjeeBSS4OfGSRMR2&#10;ZG/S8u/ZnuA4s6PZb8rtwQ9ixpT7GAzohQKBoYmuD62Bt9e7iw2ITDY4O8SABn4ww7Y6PSlt4eI+&#10;vOC8o1ZwSciFNdARjYWUuenQ27yIIwa+fcXkLbFMrXTJ7rncD3Kp1KX0tg/8obMjXnfYfO8mb2D4&#10;yOm+VvQ537QP9Pwkp/db/WjM+ZlWVyAID/QXhiM+o0PFTHWcgstiYK1XmseQgZUGcQws12s2ajY2&#10;GmRVyv8Tql9QSwMEFAAAAAgAh07iQN8nPPo4AgAAYwQAAA4AAABkcnMvZTJvRG9jLnhtbK1UwW4T&#10;MRC9I/EPlu9007SEEmVThVZBSBWtVBBnx+vNWrI9xnayGz4A/oATF+58V76Dt7vZFBUOPXBx3s6M&#10;33jezGR22VjDtipETS7npycjzpSTVGi3zvnHD8sXF5zFJFwhDDmV852K/HL+/Nms9lM1popMoQID&#10;iYvT2ue8SslPsyzKSlkRT8grB2dJwYqEz7DOiiBqsFuTjUejSVZTKHwgqWKE9bp38gNjeAohlaWW&#10;6prkxiqXetagjEgoKVbaRz7vXluWSqbbsowqMZNzVJq6E0mAV+2ZzWdiug7CV1oeniCe8oRHNVmh&#10;HZIeqa5FEmwT9F9UVstAkcp0IslmfSGdIqjidPRIm/tKeNXVAqmjP4oe/x+tfL+9C0wXOT+HJE5Y&#10;dHz//dv+x6/9z68MNghU+zhF3L1HZGreUIOxGewRxrbupgy2/UVFDH5w7Y7yqiYxCePF5GwygkfC&#10;NX71+hwY7NnDZR9ieqvIshbkPKB7nahiexNTHzqEtLkcLbUxXQeNY3XOJ2cvR92FowfkxiFHW0L/&#10;1BalZtUc6lpRsUNZgfrJiF4uNZLfiJjuRMAo4L1YlnSLozSEJHRAnFUUvvzL3sajQ/ByVmO0ch4/&#10;b0RQnJl3Dr0DZRpAGMBqAG5jrwjTeoo19LKDuBCSGWAZyH7CDi3aLHAJJ5Er52mAV6kfcOygVItF&#10;F7TxQa+r/gImz4t04+69bNP0Ui42iUrdqdxK1OtyUA6z1/XpsCftcP/53UU9/DfM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s//7+1gAAAAoBAAAPAAAAAAAAAAEAIAAAACIAAABkcnMvZG93bnJl&#10;di54bWxQSwECFAAUAAAACACHTuJA3yc8+jgCAABjBAAADgAAAAAAAAABACAAAAAlAQAAZHJzL2Uy&#10;b0RvYy54bWxQSwUGAAAAAAYABgBZAQAAzwUAAAAA&#10;">
              <v:fill on="f" focussize="0,0"/>
              <v:stroke on="f" weight="0.5pt"/>
              <v:imagedata o:title=""/>
              <o:lock v:ext="edit" aspectratio="f"/>
              <v:textbox inset="0mm,0mm,0mm,0mm">
                <w:txbxContent>
                  <w:p>
                    <w:pPr>
                      <w:pStyle w:val="8"/>
                      <w:keepNext w:val="0"/>
                      <w:keepLines w:val="0"/>
                      <w:pageBreakBefore w:val="0"/>
                      <w:widowControl w:val="0"/>
                      <w:kinsoku/>
                      <w:wordWrap/>
                      <w:overflowPunct/>
                      <w:topLinePunct w:val="0"/>
                      <w:bidi w:val="0"/>
                      <w:adjustRightInd/>
                      <w:snapToGrid w:val="0"/>
                      <w:ind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-19685</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55pt;height:144pt;width:144pt;mso-position-horizontal:outside;mso-position-horizontal-relative:margin;mso-wrap-style:none;z-index:251666432;mso-width-relative:page;mso-height-relative:page;" filled="f" stroked="f" coordsize="21600,21600" o:gfxdata="UEsDBAoAAAAAAIdO4kAAAAAAAAAAAAAAAAAEAAAAZHJzL1BLAwQUAAAACACHTuJA138krNUAAAAH&#10;AQAADwAAAGRycy9kb3ducmV2LnhtbE2PQU/DMAyF70j8h8hI3La024RKaTqJiXJEYt2BY9aYtlvj&#10;VEnWlX+Pd4Kbn5/13udiO9tBTOhD70hBukxAIDXO9NQqONTVIgMRoiajB0eo4AcDbMv7u0Lnxl3p&#10;E6d9bAWHUMi1gi7GMZcyNB1aHZZuRGLv23mrI0vfSuP1lcPtIFdJ8iSt7okbOj3irsPmvL9YBbuq&#10;rv2EwQ9f+F6tTx+vG3yblXp8SJMXEBHn+HcMN3xGh5KZju5CJohBAT8SFSzWKQh2V1nGi+Nt2DyD&#10;LAv5n7/8BVBLAwQUAAAACACHTuJAbGFg7zMCAABjBAAADgAAAGRycy9lMm9Eb2MueG1srVTNjtMw&#10;EL4j8Q6W7zRpgVVVNV2VrYqQKnalBXF2Haex5D/ZbpPyAPAGnLhw3+fqc/A5abpo4bAHLs7YM/5m&#10;vm/GmV+3WpGD8EFaU9DxKKdEGG5LaXYF/fxp/WpKSYjMlExZIwp6FIFeL16+mDduJia2tqoUngDE&#10;hFnjClrH6GZZFngtNAsj64SBs7Jes4it32WlZw3QtcomeX6VNdaXzlsuQsDpqnfSM6J/DqCtKsnF&#10;yvK9Fib2qF4oFkEp1NIFuuiqrSrB421VBRGJKiiYxm5FEtjbtGaLOZvtPHO15OcS2HNKeMJJM2mQ&#10;9AK1YpGRvZd/QWnJvQ22iiNuddYT6RQBi3H+RJv7mjnRcYHUwV1ED/8Pln883Hkiy4K+GVNimEbH&#10;Tz++n34+nH59IziDQI0LM8TdO0TG9p1tMTbDecBh4t1WXqcvGBH4Ie/xIq9oI+Hp0nQyneZwcfiG&#10;DfCzx+vOh/heWE2SUVCP/nWyssMmxD50CEnZjF1LpboeKkOagl69fpt3Fy4egCuDHIlEX2yyYrtt&#10;z8y2tjyCmLf9bATH1xLJNyzEO+YxDCgYzyXeYqmURRJ7tiiprf/6r/MUjx7BS0mD4SqowVuiRH0w&#10;6B0A42D4wdgOhtnrG4tpRTtQS2figo9qMCtv9Re8oWXKARczHJkKGgfzJvYDjjfIxXLZBe2dl7u6&#10;v4DJcyxuzL3jKU0SMrjlPkLMTuMkUK/KWTfMXtel8ztJw/3nvot6/Dc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XfySs1QAAAAcBAAAPAAAAAAAAAAEAIAAAACIAAABkcnMvZG93bnJldi54bWxQ&#10;SwECFAAUAAAACACHTuJAbGFg7zMCAABjBAAADgAAAAAAAAABACAAAAAkAQAAZHJzL2Uyb0RvYy54&#10;bWxQSwUGAAAAAAYABgBZAQAAy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-19685</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55pt;height:144pt;width:144pt;mso-position-horizontal:outside;mso-position-horizontal-relative:margin;mso-wrap-style:none;z-index:251667456;mso-width-relative:page;mso-height-relative:page;" filled="f" stroked="f" coordsize="21600,21600" o:gfxdata="UEsDBAoAAAAAAIdO4kAAAAAAAAAAAAAAAAAEAAAAZHJzL1BLAwQUAAAACACHTuJA138krNUAAAAH&#10;AQAADwAAAGRycy9kb3ducmV2LnhtbE2PQU/DMAyF70j8h8hI3La024RKaTqJiXJEYt2BY9aYtlvj&#10;VEnWlX+Pd4Kbn5/13udiO9tBTOhD70hBukxAIDXO9NQqONTVIgMRoiajB0eo4AcDbMv7u0Lnxl3p&#10;E6d9bAWHUMi1gi7GMZcyNB1aHZZuRGLv23mrI0vfSuP1lcPtIFdJ8iSt7okbOj3irsPmvL9YBbuq&#10;rv2EwQ9f+F6tTx+vG3yblXp8SJMXEBHn+HcMN3xGh5KZju5CJohBAT8SFSzWKQh2V1nGi+Nt2DyD&#10;LAv5n7/8BVBLAwQUAAAACACHTuJA65+pBDMCAABjBAAADgAAAGRycy9lMm9Eb2MueG1srVTNjtMw&#10;EL4j8Q6W7zRpgVVV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Rb0zYQSwzQq&#10;fvrx/fTz4fTrG8EZBGpcmCHu3iEytu9si7YZzgMOE++28jp9wYjAD3mPF3lFGwlPl6aT6TSHi8M3&#10;bICfPV53PsT3wmqSjIJ61K+TlR02IfahQ0jKZuxaKtXVUBnSFPTq9du8u3DxAFwZ5Egk+scmK7bb&#10;9sxsa8sjiHnb90ZwfC2RfMNCvGMezYAHY1ziLZZKWSSxZ4uS2vqv/zpP8agRvJQ0aK6CGswSJeqD&#10;Qe0AGAfDD8Z2MMxe31h06xhj6Hhn4oKPajArb/UXzNAy5YCLGY5MBY2DeRP7BscMcrFcdkF75+Wu&#10;7i+g8xyLG3PveEqThAxuuY8Qs9M4CdSrctYNvddV6Twnqbn/3HdRj/+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XfySs1QAAAAcBAAAPAAAAAAAAAAEAIAAAACIAAABkcnMvZG93bnJldi54bWxQ&#10;SwECFAAUAAAACACHTuJA65+pBDMCAABjBAAADgAAAAAAAAABACAAAAAkAQAAZHJzL2Uyb0RvYy54&#10;bWxQSwUGAAAAAAYABgBZAQAAyQUAAAAA&#10;">
              <v:fill on="f" focussize="0,0"/>
              <v:stroke on="f" weight="0.5pt"/>
              <v:imagedata o:title=""/>
              <o:lock v:ext="edit" aspectratio="f"/>
              <v:textbox inset="0mm,0mm,0mm,0mm" style="mso-fit-shape-to-text:t;">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pPr>
      <w:pStyle w:val="6"/>
      <w:spacing w:line="14" w:lineRule="auto"/>
      <w:rPr>
        <w:sz w:val="20"/>
      </w:rPr>
    </w:pPr>
    <w:r>
      <w:rPr>
        <w:lang w:val="en-US" w:bidi="ar-SA"/>
      </w:rPr>
      <mc:AlternateContent>
        <mc:Choice Requires="wps">
          <w:drawing>
            <wp:anchor distT="0" distB="0" distL="114300" distR="114300" simplePos="0" relativeHeight="251661312" behindDoc="0" locked="0" layoutInCell="1" allowOverlap="1">
              <wp:simplePos x="0" y="0"/>
              <wp:positionH relativeFrom="margin">
                <wp:posOffset>0</wp:posOffset>
              </wp:positionH>
              <wp:positionV relativeFrom="paragraph">
                <wp:posOffset>71755</wp:posOffset>
              </wp:positionV>
              <wp:extent cx="777875" cy="38608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777875" cy="3860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center"/>
                            <w:textAlignment w:val="auto"/>
                            <w:outlineLvl w:val="0"/>
                            <w:rPr>
                              <w:rFonts w:hint="default" w:ascii="黑体" w:hAnsi="黑体" w:eastAsia="黑体" w:cs="黑体"/>
                              <w:b w:val="0"/>
                              <w:bCs w:val="0"/>
                              <w:color w:val="000000" w:themeColor="text1"/>
                              <w:sz w:val="32"/>
                              <w:szCs w:val="32"/>
                              <w:lang w:val="en-US" w:eastAsia="zh-CN"/>
                              <w14:textFill>
                                <w14:solidFill>
                                  <w14:schemeClr w14:val="tx1"/>
                                </w14:solidFill>
                              </w14:textFill>
                            </w:rPr>
                          </w:pPr>
                          <w:r>
                            <w:rPr>
                              <w:rFonts w:hint="eastAsia" w:cs="仿宋_GB2312"/>
                              <w:b w:val="0"/>
                              <w:bCs w:val="0"/>
                              <w:color w:val="000000" w:themeColor="text1"/>
                              <w:sz w:val="24"/>
                              <w:szCs w:val="24"/>
                              <w:lang w:val="en-US" w:eastAsia="zh-CN"/>
                              <w14:textFill>
                                <w14:solidFill>
                                  <w14:schemeClr w14:val="tx1"/>
                                </w14:solidFill>
                              </w14:textFill>
                            </w:rPr>
                            <w:drawing>
                              <wp:inline distT="0" distB="0" distL="114300" distR="114300">
                                <wp:extent cx="8100695" cy="4008120"/>
                                <wp:effectExtent l="0" t="0" r="0" b="0"/>
                                <wp:docPr id="17" name="图片 17" descr="未命名文件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未命名文件 (3)"/>
                                        <pic:cNvPicPr>
                                          <a:picLocks noChangeAspect="1"/>
                                        </pic:cNvPicPr>
                                      </pic:nvPicPr>
                                      <pic:blipFill>
                                        <a:blip r:embed="rId1"/>
                                        <a:stretch>
                                          <a:fillRect/>
                                        </a:stretch>
                                      </pic:blipFill>
                                      <pic:spPr>
                                        <a:xfrm>
                                          <a:off x="0" y="0"/>
                                          <a:ext cx="8100695" cy="4008120"/>
                                        </a:xfrm>
                                        <a:prstGeom prst="rect">
                                          <a:avLst/>
                                        </a:prstGeom>
                                      </pic:spPr>
                                    </pic:pic>
                                  </a:graphicData>
                                </a:graphic>
                              </wp:inline>
                            </w:drawing>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图</w:t>
                          </w:r>
                          <w:r>
                            <w:rPr>
                              <w:rFonts w:hint="default" w:ascii="Arial" w:hAnsi="Arial" w:eastAsia="仿宋_GB2312" w:cs="Arial"/>
                              <w:b w:val="0"/>
                              <w:bCs w:val="0"/>
                              <w:color w:val="000000" w:themeColor="text1"/>
                              <w:sz w:val="24"/>
                              <w:szCs w:val="24"/>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 xml:space="preserve">  </w:t>
                          </w:r>
                          <w:r>
                            <w:rPr>
                              <w:rFonts w:hint="eastAsia" w:cs="仿宋_GB2312"/>
                              <w:b w:val="0"/>
                              <w:bCs w:val="0"/>
                              <w:color w:val="000000" w:themeColor="text1"/>
                              <w:sz w:val="24"/>
                              <w:szCs w:val="24"/>
                              <w:lang w:val="en-US" w:eastAsia="zh-CN"/>
                              <w14:textFill>
                                <w14:solidFill>
                                  <w14:schemeClr w14:val="tx1"/>
                                </w14:solidFill>
                              </w14:textFill>
                            </w:rPr>
                            <w:t>下属企业</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作为出租方的资产</w:t>
                          </w:r>
                          <w:r>
                            <w:rPr>
                              <w:rFonts w:hint="eastAsia" w:cs="仿宋_GB2312"/>
                              <w:b w:val="0"/>
                              <w:bCs w:val="0"/>
                              <w:color w:val="000000" w:themeColor="text1"/>
                              <w:sz w:val="24"/>
                              <w:szCs w:val="24"/>
                              <w:lang w:val="en-US" w:eastAsia="zh-CN"/>
                              <w14:textFill>
                                <w14:solidFill>
                                  <w14:schemeClr w14:val="tx1"/>
                                </w14:solidFill>
                              </w14:textFill>
                            </w:rPr>
                            <w:t>招租</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流程图</w:t>
                          </w:r>
                        </w:p>
                        <w:p>
                          <w:pPr>
                            <w:pStyle w:val="4"/>
                            <w:ind w:firstLine="44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5.65pt;height:30.4pt;width:61.25pt;mso-position-horizontal-relative:margin;z-index:251661312;mso-width-relative:page;mso-height-relative:page;" filled="f" stroked="f" coordsize="21600,21600" o:gfxdata="UEsDBAoAAAAAAIdO4kAAAAAAAAAAAAAAAAAEAAAAZHJzL1BLAwQUAAAACACHTuJA3hHNsdQAAAAG&#10;AQAADwAAAGRycy9kb3ducmV2LnhtbE2PO0/EMBCEeyT+g7VIdJydIB4Kca7g0fE8QILOiZckwl5H&#10;9iZ3/Ht8FZQ7M5r5tl7vvBMLxjQG0lCsFAikLtiReg1vr3cnlyASG7LGBUINP5hg3Rwe1KayYUsv&#10;uGy4F7mEUmU0DMxTJWXqBvQmrcKElL2vEL3hfMZe2mi2udw7WSp1Lr0ZKS8MZsLrAbvvzew1uI8U&#10;71vFn8tN/8DPT3J+vy0etT4+KtQVCMYd/4Vhj5/RoclMbZjJJuE05Ec4q8UpiL1blmcgWg0XZQGy&#10;qeV//OYXUEsDBBQAAAAIAIdO4kCsMy6vMgIAAFcEAAAOAAAAZHJzL2Uyb0RvYy54bWytVM1uEzEQ&#10;viPxDpbvdNNWTaKomyq0KkKqaKWCODteb3cl22Nsp7vlAeANOHHpnefKc/DZm01R4dADF2d2/r9v&#10;ZnJ61hvN7pUPLdmSHx5MOFNWUtXau5J/+nj5Zs5ZiMJWQpNVJX9QgZ8tX7867dxCHVFDulKeIYkN&#10;i86VvInRLYoiyEYZEQ7IKQtjTd6IiE9/V1RedMhudHE0mUyLjnzlPEkVArQXg5HvMvqXJKS6bqW6&#10;ILkxysYhq1daREAKTesCX+Zu61rJeF3XQUWmSw6kMb8oAnmd3mJ5KhZ3XrimlbsWxEtaeIbJiNai&#10;6D7VhYiCbXz7VyrTSk+B6nggyRQDkMwIUBxOnnFz2winMhZQHdye9PD/0soP9zeetRU2YcqZFQYT&#10;3/74vv35a/v4jUEHgjoXFvC7dfCM/Vvq4TzqA5QJd197k36BiMEOeh/29Ko+MgnlbDabz044kzAd&#10;z6eTeaa/eAp2PsR3igxLQsk9ppdJFfdXIaIRuI4uqZaly1brPEFtWVfy6fHJJAfsLYjQFoEJwtBq&#10;kmK/7ne41lQ9AJanYTOCk5ctil+JEG+ExyoACY4lXuOpNaEI7STOGvJf/6VP/pgQrJx1WK2Shy8b&#10;4RVn+r3F7NIejoIfhfUo2I05J2zrIc7QySwiwEc9irUn8xk3tEpVYBJWolbJ4yiex2HBcYNSrVbZ&#10;CdvmRLyyt06m1AN9q02kus3MJloGLnZsYd8y4bvbSAv953f2evo/W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3hHNsdQAAAAGAQAADwAAAAAAAAABACAAAAAiAAAAZHJzL2Rvd25yZXYueG1sUEsB&#10;AhQAFAAAAAgAh07iQKwzLq8yAgAAVwQAAA4AAAAAAAAAAQAgAAAAIwEAAGRycy9lMm9Eb2MueG1s&#10;UEsFBgAAAAAGAAYAWQEAAMcFAAAAAA==&#10;">
              <v:fill on="f" focussize="0,0"/>
              <v:stroke on="f" weight="0.5pt"/>
              <v:imagedata o:title=""/>
              <o:lock v:ext="edit" aspectratio="f"/>
              <v:textbox inset="0mm,0mm,0mm,0mm">
                <w:txbxContent>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center"/>
                      <w:textAlignment w:val="auto"/>
                      <w:outlineLvl w:val="0"/>
                      <w:rPr>
                        <w:rFonts w:hint="default" w:ascii="黑体" w:hAnsi="黑体" w:eastAsia="黑体" w:cs="黑体"/>
                        <w:b w:val="0"/>
                        <w:bCs w:val="0"/>
                        <w:color w:val="000000" w:themeColor="text1"/>
                        <w:sz w:val="32"/>
                        <w:szCs w:val="32"/>
                        <w:lang w:val="en-US" w:eastAsia="zh-CN"/>
                        <w14:textFill>
                          <w14:solidFill>
                            <w14:schemeClr w14:val="tx1"/>
                          </w14:solidFill>
                        </w14:textFill>
                      </w:rPr>
                    </w:pPr>
                    <w:r>
                      <w:rPr>
                        <w:rFonts w:hint="eastAsia" w:cs="仿宋_GB2312"/>
                        <w:b w:val="0"/>
                        <w:bCs w:val="0"/>
                        <w:color w:val="000000" w:themeColor="text1"/>
                        <w:sz w:val="24"/>
                        <w:szCs w:val="24"/>
                        <w:lang w:val="en-US" w:eastAsia="zh-CN"/>
                        <w14:textFill>
                          <w14:solidFill>
                            <w14:schemeClr w14:val="tx1"/>
                          </w14:solidFill>
                        </w14:textFill>
                      </w:rPr>
                      <w:drawing>
                        <wp:inline distT="0" distB="0" distL="114300" distR="114300">
                          <wp:extent cx="8100695" cy="4008120"/>
                          <wp:effectExtent l="0" t="0" r="0" b="0"/>
                          <wp:docPr id="17" name="图片 17" descr="未命名文件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未命名文件 (3)"/>
                                  <pic:cNvPicPr>
                                    <a:picLocks noChangeAspect="1"/>
                                  </pic:cNvPicPr>
                                </pic:nvPicPr>
                                <pic:blipFill>
                                  <a:blip r:embed="rId1"/>
                                  <a:stretch>
                                    <a:fillRect/>
                                  </a:stretch>
                                </pic:blipFill>
                                <pic:spPr>
                                  <a:xfrm>
                                    <a:off x="0" y="0"/>
                                    <a:ext cx="8100695" cy="4008120"/>
                                  </a:xfrm>
                                  <a:prstGeom prst="rect">
                                    <a:avLst/>
                                  </a:prstGeom>
                                </pic:spPr>
                              </pic:pic>
                            </a:graphicData>
                          </a:graphic>
                        </wp:inline>
                      </w:drawing>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图</w:t>
                    </w:r>
                    <w:r>
                      <w:rPr>
                        <w:rFonts w:hint="default" w:ascii="Arial" w:hAnsi="Arial" w:eastAsia="仿宋_GB2312" w:cs="Arial"/>
                        <w:b w:val="0"/>
                        <w:bCs w:val="0"/>
                        <w:color w:val="000000" w:themeColor="text1"/>
                        <w:sz w:val="24"/>
                        <w:szCs w:val="24"/>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 xml:space="preserve">  </w:t>
                    </w:r>
                    <w:r>
                      <w:rPr>
                        <w:rFonts w:hint="eastAsia" w:cs="仿宋_GB2312"/>
                        <w:b w:val="0"/>
                        <w:bCs w:val="0"/>
                        <w:color w:val="000000" w:themeColor="text1"/>
                        <w:sz w:val="24"/>
                        <w:szCs w:val="24"/>
                        <w:lang w:val="en-US" w:eastAsia="zh-CN"/>
                        <w14:textFill>
                          <w14:solidFill>
                            <w14:schemeClr w14:val="tx1"/>
                          </w14:solidFill>
                        </w14:textFill>
                      </w:rPr>
                      <w:t>下属企业</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作为出租方的资产</w:t>
                    </w:r>
                    <w:r>
                      <w:rPr>
                        <w:rFonts w:hint="eastAsia" w:cs="仿宋_GB2312"/>
                        <w:b w:val="0"/>
                        <w:bCs w:val="0"/>
                        <w:color w:val="000000" w:themeColor="text1"/>
                        <w:sz w:val="24"/>
                        <w:szCs w:val="24"/>
                        <w:lang w:val="en-US" w:eastAsia="zh-CN"/>
                        <w14:textFill>
                          <w14:solidFill>
                            <w14:schemeClr w14:val="tx1"/>
                          </w14:solidFill>
                        </w14:textFill>
                      </w:rPr>
                      <w:t>招租</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流程图</w:t>
                    </w:r>
                  </w:p>
                  <w:p>
                    <w:pPr>
                      <w:pStyle w:val="4"/>
                      <w:ind w:firstLine="440"/>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spacing w:line="560" w:lineRule="exact"/>
      <w:ind w:firstLine="360" w:firstLineChars="200"/>
      <w:jc w:val="center"/>
      <w:rPr>
        <w:rFonts w:eastAsia="仿宋_GB2312"/>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A495CB"/>
    <w:multiLevelType w:val="singleLevel"/>
    <w:tmpl w:val="A4A495CB"/>
    <w:lvl w:ilvl="0" w:tentative="0">
      <w:start w:val="1"/>
      <w:numFmt w:val="chineseCounting"/>
      <w:suff w:val="nothing"/>
      <w:lvlText w:val="（%1）"/>
      <w:lvlJc w:val="left"/>
      <w:rPr>
        <w:rFonts w:hint="eastAsia"/>
      </w:rPr>
    </w:lvl>
  </w:abstractNum>
  <w:abstractNum w:abstractNumId="1">
    <w:nsid w:val="CBAEAC5F"/>
    <w:multiLevelType w:val="multilevel"/>
    <w:tmpl w:val="CBAEAC5F"/>
    <w:lvl w:ilvl="0" w:tentative="0">
      <w:start w:val="1"/>
      <w:numFmt w:val="decimal"/>
      <w:suff w:val="space"/>
      <w:lvlText w:val="%1."/>
      <w:lvlJc w:val="left"/>
      <w:pPr>
        <w:ind w:left="-2518"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1B836047"/>
    <w:multiLevelType w:val="multilevel"/>
    <w:tmpl w:val="1B836047"/>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5D63D5AE"/>
    <w:multiLevelType w:val="singleLevel"/>
    <w:tmpl w:val="5D63D5AE"/>
    <w:lvl w:ilvl="0" w:tentative="0">
      <w:start w:val="1"/>
      <w:numFmt w:val="chineseCounting"/>
      <w:suff w:val="nothing"/>
      <w:lvlText w:val="第%1条"/>
      <w:lvlJc w:val="left"/>
      <w:pPr>
        <w:ind w:left="0" w:firstLine="420"/>
      </w:pPr>
      <w:rPr>
        <w:rFonts w:hint="eastAsia" w:ascii="仿宋_GB2312" w:hAnsi="仿宋_GB2312" w:eastAsia="仿宋_GB2312" w:cs="仿宋_GB2312"/>
        <w:b/>
        <w:bCs/>
        <w:sz w:val="32"/>
        <w:szCs w:val="32"/>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wNTdiMDA2MTU0NjRjMmM1NTg4ODk2MzRhNTkzOWUifQ=="/>
  </w:docVars>
  <w:rsids>
    <w:rsidRoot w:val="00B40F84"/>
    <w:rsid w:val="00010B4E"/>
    <w:rsid w:val="000305A9"/>
    <w:rsid w:val="000450FA"/>
    <w:rsid w:val="000544A3"/>
    <w:rsid w:val="000648E7"/>
    <w:rsid w:val="00080700"/>
    <w:rsid w:val="000A31AF"/>
    <w:rsid w:val="000A405D"/>
    <w:rsid w:val="000E63BA"/>
    <w:rsid w:val="00101943"/>
    <w:rsid w:val="0010510B"/>
    <w:rsid w:val="00147668"/>
    <w:rsid w:val="00194ACF"/>
    <w:rsid w:val="001F46F1"/>
    <w:rsid w:val="001F621C"/>
    <w:rsid w:val="00226EAB"/>
    <w:rsid w:val="00227AF8"/>
    <w:rsid w:val="002429E9"/>
    <w:rsid w:val="00247343"/>
    <w:rsid w:val="002546AF"/>
    <w:rsid w:val="00273565"/>
    <w:rsid w:val="0031201C"/>
    <w:rsid w:val="00342267"/>
    <w:rsid w:val="0037172F"/>
    <w:rsid w:val="00380E0A"/>
    <w:rsid w:val="00396799"/>
    <w:rsid w:val="003B0C14"/>
    <w:rsid w:val="003C22C4"/>
    <w:rsid w:val="003D745A"/>
    <w:rsid w:val="00426473"/>
    <w:rsid w:val="00460427"/>
    <w:rsid w:val="00463AC9"/>
    <w:rsid w:val="004675A4"/>
    <w:rsid w:val="00493231"/>
    <w:rsid w:val="004A12CE"/>
    <w:rsid w:val="004A6883"/>
    <w:rsid w:val="004D34B2"/>
    <w:rsid w:val="004F428C"/>
    <w:rsid w:val="004F44CF"/>
    <w:rsid w:val="00510B22"/>
    <w:rsid w:val="00514059"/>
    <w:rsid w:val="005443A8"/>
    <w:rsid w:val="005570EA"/>
    <w:rsid w:val="005B32D0"/>
    <w:rsid w:val="005B3773"/>
    <w:rsid w:val="005C74CA"/>
    <w:rsid w:val="005E02AD"/>
    <w:rsid w:val="00605D0B"/>
    <w:rsid w:val="006546A0"/>
    <w:rsid w:val="00657FA9"/>
    <w:rsid w:val="006A558B"/>
    <w:rsid w:val="006C259E"/>
    <w:rsid w:val="006E16B7"/>
    <w:rsid w:val="006F109D"/>
    <w:rsid w:val="006F1B40"/>
    <w:rsid w:val="007178B1"/>
    <w:rsid w:val="0073552D"/>
    <w:rsid w:val="00741489"/>
    <w:rsid w:val="00744F02"/>
    <w:rsid w:val="00745D38"/>
    <w:rsid w:val="00757E2F"/>
    <w:rsid w:val="0078120C"/>
    <w:rsid w:val="00793E53"/>
    <w:rsid w:val="00797CBB"/>
    <w:rsid w:val="007A1DE5"/>
    <w:rsid w:val="007C1535"/>
    <w:rsid w:val="007D2DC8"/>
    <w:rsid w:val="007D56D8"/>
    <w:rsid w:val="00804DD5"/>
    <w:rsid w:val="00842CB0"/>
    <w:rsid w:val="00843687"/>
    <w:rsid w:val="00870398"/>
    <w:rsid w:val="00875F08"/>
    <w:rsid w:val="0094491A"/>
    <w:rsid w:val="009543CF"/>
    <w:rsid w:val="0096599B"/>
    <w:rsid w:val="0097323D"/>
    <w:rsid w:val="009961B0"/>
    <w:rsid w:val="009B04EA"/>
    <w:rsid w:val="00A14464"/>
    <w:rsid w:val="00A356C8"/>
    <w:rsid w:val="00A45B92"/>
    <w:rsid w:val="00A47364"/>
    <w:rsid w:val="00A84F9D"/>
    <w:rsid w:val="00A95CCF"/>
    <w:rsid w:val="00A96DB8"/>
    <w:rsid w:val="00AB4BDA"/>
    <w:rsid w:val="00AE5567"/>
    <w:rsid w:val="00B01DE3"/>
    <w:rsid w:val="00B13DF7"/>
    <w:rsid w:val="00B40F84"/>
    <w:rsid w:val="00B511BC"/>
    <w:rsid w:val="00B529DA"/>
    <w:rsid w:val="00B61827"/>
    <w:rsid w:val="00B666B8"/>
    <w:rsid w:val="00BA26A5"/>
    <w:rsid w:val="00BE3635"/>
    <w:rsid w:val="00C31CEF"/>
    <w:rsid w:val="00C90BD5"/>
    <w:rsid w:val="00D01407"/>
    <w:rsid w:val="00D743B5"/>
    <w:rsid w:val="00DC25C8"/>
    <w:rsid w:val="00DE3407"/>
    <w:rsid w:val="00DE3F51"/>
    <w:rsid w:val="00DF30A6"/>
    <w:rsid w:val="00DF443D"/>
    <w:rsid w:val="00E43822"/>
    <w:rsid w:val="00E86636"/>
    <w:rsid w:val="00E91553"/>
    <w:rsid w:val="00ED5688"/>
    <w:rsid w:val="00ED5BB2"/>
    <w:rsid w:val="00EF52EF"/>
    <w:rsid w:val="00F06F63"/>
    <w:rsid w:val="00F07530"/>
    <w:rsid w:val="00F148C7"/>
    <w:rsid w:val="00F21B5E"/>
    <w:rsid w:val="00F5084D"/>
    <w:rsid w:val="00F73D2E"/>
    <w:rsid w:val="00F87A10"/>
    <w:rsid w:val="00FD6D19"/>
    <w:rsid w:val="00FE74AD"/>
    <w:rsid w:val="01277EFF"/>
    <w:rsid w:val="01D0188D"/>
    <w:rsid w:val="01DD3C4D"/>
    <w:rsid w:val="02190050"/>
    <w:rsid w:val="02797B16"/>
    <w:rsid w:val="02B97070"/>
    <w:rsid w:val="02C866AB"/>
    <w:rsid w:val="0300751D"/>
    <w:rsid w:val="03C76963"/>
    <w:rsid w:val="04542A71"/>
    <w:rsid w:val="04C35BAF"/>
    <w:rsid w:val="04CD7FA9"/>
    <w:rsid w:val="04E71D5A"/>
    <w:rsid w:val="051F6AF3"/>
    <w:rsid w:val="05F6722D"/>
    <w:rsid w:val="05FE0636"/>
    <w:rsid w:val="06104E0D"/>
    <w:rsid w:val="06141FDC"/>
    <w:rsid w:val="06532730"/>
    <w:rsid w:val="066D3BEE"/>
    <w:rsid w:val="06E1241B"/>
    <w:rsid w:val="07174E7F"/>
    <w:rsid w:val="072A2952"/>
    <w:rsid w:val="075027E7"/>
    <w:rsid w:val="07675529"/>
    <w:rsid w:val="077566D6"/>
    <w:rsid w:val="07A47618"/>
    <w:rsid w:val="07E41A00"/>
    <w:rsid w:val="080F08D8"/>
    <w:rsid w:val="08381BDD"/>
    <w:rsid w:val="08594AB2"/>
    <w:rsid w:val="087370B9"/>
    <w:rsid w:val="08A83DFB"/>
    <w:rsid w:val="08F57ACE"/>
    <w:rsid w:val="094445B2"/>
    <w:rsid w:val="0A5C1F90"/>
    <w:rsid w:val="0A83110A"/>
    <w:rsid w:val="0AD27C21"/>
    <w:rsid w:val="0AE0393B"/>
    <w:rsid w:val="0B1526A9"/>
    <w:rsid w:val="0B606FA5"/>
    <w:rsid w:val="0BFC5492"/>
    <w:rsid w:val="0BFF5B68"/>
    <w:rsid w:val="0C4E1A2D"/>
    <w:rsid w:val="0C5E3BDC"/>
    <w:rsid w:val="0CC003F3"/>
    <w:rsid w:val="0E5F5565"/>
    <w:rsid w:val="0E67321C"/>
    <w:rsid w:val="0E9723FE"/>
    <w:rsid w:val="0EA57F7D"/>
    <w:rsid w:val="0EBA5B1C"/>
    <w:rsid w:val="0EE10574"/>
    <w:rsid w:val="0F1A688C"/>
    <w:rsid w:val="0F3B5A0F"/>
    <w:rsid w:val="0F597141"/>
    <w:rsid w:val="0F5C08A7"/>
    <w:rsid w:val="0FEB5776"/>
    <w:rsid w:val="10506D9B"/>
    <w:rsid w:val="10817E99"/>
    <w:rsid w:val="10E072B6"/>
    <w:rsid w:val="10F7015B"/>
    <w:rsid w:val="11001D37"/>
    <w:rsid w:val="11056D1C"/>
    <w:rsid w:val="11252F1A"/>
    <w:rsid w:val="117C3312"/>
    <w:rsid w:val="11A132AE"/>
    <w:rsid w:val="11C10C43"/>
    <w:rsid w:val="12B97544"/>
    <w:rsid w:val="13385187"/>
    <w:rsid w:val="13462EA8"/>
    <w:rsid w:val="14117437"/>
    <w:rsid w:val="1492531B"/>
    <w:rsid w:val="14AA458A"/>
    <w:rsid w:val="15113ED8"/>
    <w:rsid w:val="154567FD"/>
    <w:rsid w:val="160F05AC"/>
    <w:rsid w:val="16604136"/>
    <w:rsid w:val="16A93365"/>
    <w:rsid w:val="16FF416C"/>
    <w:rsid w:val="17F62285"/>
    <w:rsid w:val="181F70EC"/>
    <w:rsid w:val="18422604"/>
    <w:rsid w:val="18A22DD5"/>
    <w:rsid w:val="18B03A11"/>
    <w:rsid w:val="18BF335E"/>
    <w:rsid w:val="18E72B38"/>
    <w:rsid w:val="1A612A46"/>
    <w:rsid w:val="1B3C5B87"/>
    <w:rsid w:val="1B465A40"/>
    <w:rsid w:val="1BA24ED9"/>
    <w:rsid w:val="1BEA548C"/>
    <w:rsid w:val="1C142509"/>
    <w:rsid w:val="1C335FB1"/>
    <w:rsid w:val="1C644DBE"/>
    <w:rsid w:val="1CB57848"/>
    <w:rsid w:val="1CF2284B"/>
    <w:rsid w:val="1D370008"/>
    <w:rsid w:val="1D8008FE"/>
    <w:rsid w:val="1D8B05A9"/>
    <w:rsid w:val="1E1C48C7"/>
    <w:rsid w:val="1E8F7C25"/>
    <w:rsid w:val="1EB1403F"/>
    <w:rsid w:val="1EF108E0"/>
    <w:rsid w:val="1F3837F0"/>
    <w:rsid w:val="1F9072A5"/>
    <w:rsid w:val="20286583"/>
    <w:rsid w:val="2048214B"/>
    <w:rsid w:val="20E26B8E"/>
    <w:rsid w:val="20EA1B5B"/>
    <w:rsid w:val="214278BC"/>
    <w:rsid w:val="216B2003"/>
    <w:rsid w:val="2178657D"/>
    <w:rsid w:val="218C499A"/>
    <w:rsid w:val="21C56F1C"/>
    <w:rsid w:val="22E11B5C"/>
    <w:rsid w:val="23AE01BF"/>
    <w:rsid w:val="240C2B80"/>
    <w:rsid w:val="24435A04"/>
    <w:rsid w:val="246C362F"/>
    <w:rsid w:val="25E1516E"/>
    <w:rsid w:val="25E76599"/>
    <w:rsid w:val="26071CD7"/>
    <w:rsid w:val="26630E73"/>
    <w:rsid w:val="26D65792"/>
    <w:rsid w:val="274F5850"/>
    <w:rsid w:val="27AC1848"/>
    <w:rsid w:val="27F64701"/>
    <w:rsid w:val="2801016E"/>
    <w:rsid w:val="281C2526"/>
    <w:rsid w:val="28292197"/>
    <w:rsid w:val="28976A2A"/>
    <w:rsid w:val="28A210F3"/>
    <w:rsid w:val="28A303DF"/>
    <w:rsid w:val="28A70D52"/>
    <w:rsid w:val="28C53AE3"/>
    <w:rsid w:val="28E24BE6"/>
    <w:rsid w:val="29656C0A"/>
    <w:rsid w:val="29EA6657"/>
    <w:rsid w:val="29F1262D"/>
    <w:rsid w:val="2A1312C5"/>
    <w:rsid w:val="2A6355E4"/>
    <w:rsid w:val="2AA32F9F"/>
    <w:rsid w:val="2AA46FCF"/>
    <w:rsid w:val="2B240A16"/>
    <w:rsid w:val="2B2865AE"/>
    <w:rsid w:val="2BA45CB8"/>
    <w:rsid w:val="2BC90C1A"/>
    <w:rsid w:val="2BC979EB"/>
    <w:rsid w:val="2BCE6C40"/>
    <w:rsid w:val="2BFF4A9F"/>
    <w:rsid w:val="2C047D74"/>
    <w:rsid w:val="2C2E0FF2"/>
    <w:rsid w:val="2CA62D0A"/>
    <w:rsid w:val="2CFA1A7F"/>
    <w:rsid w:val="2E175BCA"/>
    <w:rsid w:val="2E293BF2"/>
    <w:rsid w:val="2E6452AD"/>
    <w:rsid w:val="2EA4771D"/>
    <w:rsid w:val="2EC910FD"/>
    <w:rsid w:val="2F35161A"/>
    <w:rsid w:val="2F3C4CFF"/>
    <w:rsid w:val="2F42442D"/>
    <w:rsid w:val="301C38BE"/>
    <w:rsid w:val="30322561"/>
    <w:rsid w:val="3034062C"/>
    <w:rsid w:val="30E32DDF"/>
    <w:rsid w:val="31D10829"/>
    <w:rsid w:val="31D67BED"/>
    <w:rsid w:val="31DF4EEB"/>
    <w:rsid w:val="31E77834"/>
    <w:rsid w:val="31F91B2E"/>
    <w:rsid w:val="32820142"/>
    <w:rsid w:val="32C002B7"/>
    <w:rsid w:val="32D72CC9"/>
    <w:rsid w:val="32E0684A"/>
    <w:rsid w:val="332C591A"/>
    <w:rsid w:val="334B460B"/>
    <w:rsid w:val="33900270"/>
    <w:rsid w:val="339F45EC"/>
    <w:rsid w:val="33AC39F7"/>
    <w:rsid w:val="33AE5C63"/>
    <w:rsid w:val="33EF032C"/>
    <w:rsid w:val="34656168"/>
    <w:rsid w:val="3475776A"/>
    <w:rsid w:val="34A16E97"/>
    <w:rsid w:val="35434328"/>
    <w:rsid w:val="357B7513"/>
    <w:rsid w:val="359E4EC6"/>
    <w:rsid w:val="35F7332A"/>
    <w:rsid w:val="36502A56"/>
    <w:rsid w:val="367E5AAF"/>
    <w:rsid w:val="36EC1C61"/>
    <w:rsid w:val="372B5B51"/>
    <w:rsid w:val="373A0C1E"/>
    <w:rsid w:val="37491635"/>
    <w:rsid w:val="374C71CD"/>
    <w:rsid w:val="37CD5B4B"/>
    <w:rsid w:val="3856197C"/>
    <w:rsid w:val="38710670"/>
    <w:rsid w:val="38795776"/>
    <w:rsid w:val="38B637D9"/>
    <w:rsid w:val="38C847CB"/>
    <w:rsid w:val="38FD1F03"/>
    <w:rsid w:val="392F478C"/>
    <w:rsid w:val="39E86DE6"/>
    <w:rsid w:val="3A0F3EB6"/>
    <w:rsid w:val="3A1C701E"/>
    <w:rsid w:val="3A4D2A17"/>
    <w:rsid w:val="3A6718D0"/>
    <w:rsid w:val="3A856654"/>
    <w:rsid w:val="3AA572CA"/>
    <w:rsid w:val="3B0C0B24"/>
    <w:rsid w:val="3B102058"/>
    <w:rsid w:val="3B6B3A9C"/>
    <w:rsid w:val="3BF21AC7"/>
    <w:rsid w:val="3C0216A5"/>
    <w:rsid w:val="3C37124C"/>
    <w:rsid w:val="3CD72D32"/>
    <w:rsid w:val="3CDA092A"/>
    <w:rsid w:val="3D2331BC"/>
    <w:rsid w:val="3D956BAE"/>
    <w:rsid w:val="3D9F4C24"/>
    <w:rsid w:val="3E151A9D"/>
    <w:rsid w:val="3E2F0A0D"/>
    <w:rsid w:val="3E670FA7"/>
    <w:rsid w:val="3EAD53A9"/>
    <w:rsid w:val="3F956100"/>
    <w:rsid w:val="3FAA4467"/>
    <w:rsid w:val="3FAD475C"/>
    <w:rsid w:val="3FFF011F"/>
    <w:rsid w:val="403B61F2"/>
    <w:rsid w:val="40414DCB"/>
    <w:rsid w:val="40416B7A"/>
    <w:rsid w:val="405A0828"/>
    <w:rsid w:val="409B585E"/>
    <w:rsid w:val="40BB15DE"/>
    <w:rsid w:val="40D55514"/>
    <w:rsid w:val="40E52618"/>
    <w:rsid w:val="411A6D42"/>
    <w:rsid w:val="41EA3241"/>
    <w:rsid w:val="41F8770C"/>
    <w:rsid w:val="4269060A"/>
    <w:rsid w:val="42A82E8A"/>
    <w:rsid w:val="42B63735"/>
    <w:rsid w:val="42C16A90"/>
    <w:rsid w:val="42E14644"/>
    <w:rsid w:val="42EA799C"/>
    <w:rsid w:val="42ED123B"/>
    <w:rsid w:val="435B7C7F"/>
    <w:rsid w:val="435C1F1C"/>
    <w:rsid w:val="437454B8"/>
    <w:rsid w:val="439F77F0"/>
    <w:rsid w:val="44090878"/>
    <w:rsid w:val="44B55D88"/>
    <w:rsid w:val="453A628D"/>
    <w:rsid w:val="45967CB0"/>
    <w:rsid w:val="45DB537A"/>
    <w:rsid w:val="45FD1795"/>
    <w:rsid w:val="46197A6F"/>
    <w:rsid w:val="4654337F"/>
    <w:rsid w:val="46733949"/>
    <w:rsid w:val="46D242EA"/>
    <w:rsid w:val="470B6145"/>
    <w:rsid w:val="475C073D"/>
    <w:rsid w:val="47650640"/>
    <w:rsid w:val="48142DC6"/>
    <w:rsid w:val="48496F13"/>
    <w:rsid w:val="485673C8"/>
    <w:rsid w:val="486B7B64"/>
    <w:rsid w:val="488D71D1"/>
    <w:rsid w:val="48D662CD"/>
    <w:rsid w:val="48E44E8E"/>
    <w:rsid w:val="48EE1FE1"/>
    <w:rsid w:val="49284987"/>
    <w:rsid w:val="494F1DBE"/>
    <w:rsid w:val="496032D2"/>
    <w:rsid w:val="49634005"/>
    <w:rsid w:val="49A34401"/>
    <w:rsid w:val="49D2118A"/>
    <w:rsid w:val="4A0C6405"/>
    <w:rsid w:val="4BD25C27"/>
    <w:rsid w:val="4C292CE8"/>
    <w:rsid w:val="4C9E2269"/>
    <w:rsid w:val="4D3233CB"/>
    <w:rsid w:val="4D7A7B6F"/>
    <w:rsid w:val="4DB40E38"/>
    <w:rsid w:val="4E2E44B5"/>
    <w:rsid w:val="4F2B19FD"/>
    <w:rsid w:val="4F6A776F"/>
    <w:rsid w:val="512728F2"/>
    <w:rsid w:val="51551A45"/>
    <w:rsid w:val="518C60C3"/>
    <w:rsid w:val="5199721C"/>
    <w:rsid w:val="51A339D3"/>
    <w:rsid w:val="51AC22C1"/>
    <w:rsid w:val="52550447"/>
    <w:rsid w:val="526D37FE"/>
    <w:rsid w:val="52CF44B9"/>
    <w:rsid w:val="53142116"/>
    <w:rsid w:val="533F163E"/>
    <w:rsid w:val="5350784E"/>
    <w:rsid w:val="535A51E8"/>
    <w:rsid w:val="536966CD"/>
    <w:rsid w:val="536A2433"/>
    <w:rsid w:val="541D768B"/>
    <w:rsid w:val="543534D1"/>
    <w:rsid w:val="54436F0C"/>
    <w:rsid w:val="544B2E31"/>
    <w:rsid w:val="54720FE1"/>
    <w:rsid w:val="54905ECA"/>
    <w:rsid w:val="54C3589D"/>
    <w:rsid w:val="54CE6F56"/>
    <w:rsid w:val="54DC110F"/>
    <w:rsid w:val="54E67898"/>
    <w:rsid w:val="553B4BED"/>
    <w:rsid w:val="5589747C"/>
    <w:rsid w:val="563A0FB3"/>
    <w:rsid w:val="563F1955"/>
    <w:rsid w:val="56BE6D1E"/>
    <w:rsid w:val="57346F39"/>
    <w:rsid w:val="576A47B0"/>
    <w:rsid w:val="57CB65ED"/>
    <w:rsid w:val="57E5652D"/>
    <w:rsid w:val="58112E7E"/>
    <w:rsid w:val="581415F7"/>
    <w:rsid w:val="58193069"/>
    <w:rsid w:val="585A172A"/>
    <w:rsid w:val="587358E6"/>
    <w:rsid w:val="590B00DF"/>
    <w:rsid w:val="591326B2"/>
    <w:rsid w:val="59C26B25"/>
    <w:rsid w:val="5A9658BC"/>
    <w:rsid w:val="5ABD109B"/>
    <w:rsid w:val="5AC73D2F"/>
    <w:rsid w:val="5AE2166F"/>
    <w:rsid w:val="5B0A0784"/>
    <w:rsid w:val="5B177ADB"/>
    <w:rsid w:val="5BAF428F"/>
    <w:rsid w:val="5BCC32E6"/>
    <w:rsid w:val="5BD2136F"/>
    <w:rsid w:val="5BE56AFB"/>
    <w:rsid w:val="5CDD4F4D"/>
    <w:rsid w:val="5CF4522A"/>
    <w:rsid w:val="5CF73D20"/>
    <w:rsid w:val="5D4F6922"/>
    <w:rsid w:val="5DAB167E"/>
    <w:rsid w:val="5E11264C"/>
    <w:rsid w:val="5E2D6537"/>
    <w:rsid w:val="5E2F4A6D"/>
    <w:rsid w:val="5E371164"/>
    <w:rsid w:val="5E421FE3"/>
    <w:rsid w:val="5E59557E"/>
    <w:rsid w:val="5E668834"/>
    <w:rsid w:val="5E7673D5"/>
    <w:rsid w:val="5EB3422A"/>
    <w:rsid w:val="5EB75219"/>
    <w:rsid w:val="5EF713FF"/>
    <w:rsid w:val="5F0B0627"/>
    <w:rsid w:val="5F2765C1"/>
    <w:rsid w:val="5F37100B"/>
    <w:rsid w:val="5F3D2BFE"/>
    <w:rsid w:val="5F5B68D0"/>
    <w:rsid w:val="5F726541"/>
    <w:rsid w:val="5F779291"/>
    <w:rsid w:val="5FB75BB9"/>
    <w:rsid w:val="5FC811A9"/>
    <w:rsid w:val="606C1599"/>
    <w:rsid w:val="60BD1DF5"/>
    <w:rsid w:val="60EA43CC"/>
    <w:rsid w:val="617523E1"/>
    <w:rsid w:val="61FC4B9F"/>
    <w:rsid w:val="621D4F4D"/>
    <w:rsid w:val="623C31ED"/>
    <w:rsid w:val="626A0316"/>
    <w:rsid w:val="62BB4062"/>
    <w:rsid w:val="638E7A78"/>
    <w:rsid w:val="640815D9"/>
    <w:rsid w:val="646E18B5"/>
    <w:rsid w:val="647F343B"/>
    <w:rsid w:val="64D16925"/>
    <w:rsid w:val="64E14C72"/>
    <w:rsid w:val="652561BA"/>
    <w:rsid w:val="655D4743"/>
    <w:rsid w:val="659547A6"/>
    <w:rsid w:val="66176722"/>
    <w:rsid w:val="663F14FE"/>
    <w:rsid w:val="66744DAB"/>
    <w:rsid w:val="668220D6"/>
    <w:rsid w:val="673D3C8F"/>
    <w:rsid w:val="6747066A"/>
    <w:rsid w:val="67760F4F"/>
    <w:rsid w:val="677740DE"/>
    <w:rsid w:val="678069A9"/>
    <w:rsid w:val="67A12617"/>
    <w:rsid w:val="67D53EC8"/>
    <w:rsid w:val="685836D0"/>
    <w:rsid w:val="6864048F"/>
    <w:rsid w:val="68A815DC"/>
    <w:rsid w:val="68AD6BBD"/>
    <w:rsid w:val="68C25D53"/>
    <w:rsid w:val="68E90CB5"/>
    <w:rsid w:val="69877444"/>
    <w:rsid w:val="699D4AE0"/>
    <w:rsid w:val="6A1F58CE"/>
    <w:rsid w:val="6A570614"/>
    <w:rsid w:val="6AAC1F9A"/>
    <w:rsid w:val="6AEC1C54"/>
    <w:rsid w:val="6B777044"/>
    <w:rsid w:val="6BCA3618"/>
    <w:rsid w:val="6C0B30C3"/>
    <w:rsid w:val="6C5916D2"/>
    <w:rsid w:val="6C722BD2"/>
    <w:rsid w:val="6CA6524B"/>
    <w:rsid w:val="6D1B05CF"/>
    <w:rsid w:val="6D725612"/>
    <w:rsid w:val="6D7276F1"/>
    <w:rsid w:val="6D732496"/>
    <w:rsid w:val="6DA00AD4"/>
    <w:rsid w:val="6DE768F3"/>
    <w:rsid w:val="6E1F2086"/>
    <w:rsid w:val="6E401094"/>
    <w:rsid w:val="6EF94940"/>
    <w:rsid w:val="6F1A48B6"/>
    <w:rsid w:val="6F835115"/>
    <w:rsid w:val="6F9C134D"/>
    <w:rsid w:val="6FC76537"/>
    <w:rsid w:val="70297201"/>
    <w:rsid w:val="710B2708"/>
    <w:rsid w:val="7126796B"/>
    <w:rsid w:val="713752AB"/>
    <w:rsid w:val="716C1C00"/>
    <w:rsid w:val="71A3045E"/>
    <w:rsid w:val="71A65EF1"/>
    <w:rsid w:val="71D21EA0"/>
    <w:rsid w:val="71F413EE"/>
    <w:rsid w:val="723B6BBB"/>
    <w:rsid w:val="724B663B"/>
    <w:rsid w:val="72606A84"/>
    <w:rsid w:val="72877914"/>
    <w:rsid w:val="729B6560"/>
    <w:rsid w:val="72F81BAE"/>
    <w:rsid w:val="73413CBF"/>
    <w:rsid w:val="735C1771"/>
    <w:rsid w:val="739D4CCD"/>
    <w:rsid w:val="73EB3881"/>
    <w:rsid w:val="74AC4C31"/>
    <w:rsid w:val="74E5720C"/>
    <w:rsid w:val="74F355FB"/>
    <w:rsid w:val="75003489"/>
    <w:rsid w:val="756B730A"/>
    <w:rsid w:val="75AE4C20"/>
    <w:rsid w:val="75B40ED9"/>
    <w:rsid w:val="75DA6B4D"/>
    <w:rsid w:val="7627396C"/>
    <w:rsid w:val="76326989"/>
    <w:rsid w:val="765E152C"/>
    <w:rsid w:val="766F349D"/>
    <w:rsid w:val="7710577C"/>
    <w:rsid w:val="778D7C68"/>
    <w:rsid w:val="782642CC"/>
    <w:rsid w:val="783133B4"/>
    <w:rsid w:val="78A10A6D"/>
    <w:rsid w:val="78CA4C57"/>
    <w:rsid w:val="790A599B"/>
    <w:rsid w:val="791F4EA4"/>
    <w:rsid w:val="799D236B"/>
    <w:rsid w:val="79C1149D"/>
    <w:rsid w:val="79D67D7A"/>
    <w:rsid w:val="79F24465"/>
    <w:rsid w:val="7A683E06"/>
    <w:rsid w:val="7AF1431C"/>
    <w:rsid w:val="7BC0571D"/>
    <w:rsid w:val="7C394BCE"/>
    <w:rsid w:val="7CA51C63"/>
    <w:rsid w:val="7CBA73F0"/>
    <w:rsid w:val="7D6009A5"/>
    <w:rsid w:val="7D603DDC"/>
    <w:rsid w:val="7D6757E6"/>
    <w:rsid w:val="7D9A3859"/>
    <w:rsid w:val="7DD72546"/>
    <w:rsid w:val="7DDB4B27"/>
    <w:rsid w:val="7E4D5C72"/>
    <w:rsid w:val="7E5D3A60"/>
    <w:rsid w:val="7E7B3A68"/>
    <w:rsid w:val="7EF42A2E"/>
    <w:rsid w:val="7F2ABF5B"/>
    <w:rsid w:val="7F67306C"/>
    <w:rsid w:val="7F674C81"/>
    <w:rsid w:val="7FBEB33A"/>
    <w:rsid w:val="7FEC7BA9"/>
    <w:rsid w:val="DD7300C2"/>
    <w:rsid w:val="DFDDD56C"/>
    <w:rsid w:val="F3FCC63A"/>
    <w:rsid w:val="FE2E1244"/>
    <w:rsid w:val="FEB7B60A"/>
    <w:rsid w:val="FEDA2B7F"/>
    <w:rsid w:val="FFF733E0"/>
    <w:rsid w:val="FFFFE30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1"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1"/>
    <w:pPr>
      <w:spacing w:before="260" w:after="260" w:line="560" w:lineRule="exact"/>
      <w:jc w:val="center"/>
      <w:outlineLvl w:val="0"/>
    </w:pPr>
    <w:rPr>
      <w:rFonts w:ascii="黑体" w:hAnsi="黑体" w:eastAsia="黑体" w:cs="黑体"/>
      <w:bCs/>
      <w:sz w:val="32"/>
      <w:szCs w:val="31"/>
    </w:rPr>
  </w:style>
  <w:style w:type="paragraph" w:styleId="3">
    <w:name w:val="heading 4"/>
    <w:basedOn w:val="1"/>
    <w:next w:val="1"/>
    <w:autoRedefine/>
    <w:semiHidden/>
    <w:unhideWhenUsed/>
    <w:qFormat/>
    <w:uiPriority w:val="0"/>
    <w:pPr>
      <w:keepNext/>
      <w:keepLines/>
      <w:widowControl w:val="0"/>
      <w:suppressLineNumbers w:val="0"/>
      <w:spacing w:before="280" w:beforeAutospacing="0" w:after="290" w:afterAutospacing="0" w:line="374" w:lineRule="auto"/>
      <w:jc w:val="both"/>
      <w:outlineLvl w:val="3"/>
    </w:pPr>
    <w:rPr>
      <w:rFonts w:hint="default" w:ascii="等线 Light" w:hAnsi="等线 Light" w:eastAsia="等线 Light" w:cs="Times New Roman"/>
      <w:b/>
      <w:bCs/>
      <w:kern w:val="2"/>
      <w:sz w:val="28"/>
      <w:szCs w:val="28"/>
      <w:lang w:val="en-US" w:eastAsia="zh-CN" w:bidi="ar"/>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style>
  <w:style w:type="paragraph" w:styleId="5">
    <w:name w:val="annotation text"/>
    <w:basedOn w:val="1"/>
    <w:autoRedefine/>
    <w:qFormat/>
    <w:uiPriority w:val="0"/>
    <w:pPr>
      <w:jc w:val="left"/>
    </w:pPr>
  </w:style>
  <w:style w:type="paragraph" w:styleId="6">
    <w:name w:val="Body Text"/>
    <w:basedOn w:val="1"/>
    <w:link w:val="22"/>
    <w:autoRedefine/>
    <w:semiHidden/>
    <w:unhideWhenUsed/>
    <w:qFormat/>
    <w:uiPriority w:val="0"/>
    <w:pPr>
      <w:spacing w:after="120"/>
    </w:pPr>
  </w:style>
  <w:style w:type="paragraph" w:styleId="7">
    <w:name w:val="Balloon Text"/>
    <w:basedOn w:val="1"/>
    <w:link w:val="18"/>
    <w:autoRedefine/>
    <w:qFormat/>
    <w:uiPriority w:val="0"/>
    <w:rPr>
      <w:sz w:val="18"/>
      <w:szCs w:val="18"/>
    </w:rPr>
  </w:style>
  <w:style w:type="paragraph" w:styleId="8">
    <w:name w:val="footer"/>
    <w:basedOn w:val="1"/>
    <w:link w:val="23"/>
    <w:autoRedefine/>
    <w:qFormat/>
    <w:uiPriority w:val="0"/>
    <w:pPr>
      <w:tabs>
        <w:tab w:val="center" w:pos="4153"/>
        <w:tab w:val="right" w:pos="8306"/>
      </w:tabs>
      <w:snapToGrid w:val="0"/>
      <w:jc w:val="left"/>
    </w:pPr>
    <w:rPr>
      <w:sz w:val="18"/>
    </w:rPr>
  </w:style>
  <w:style w:type="paragraph" w:styleId="9">
    <w:name w:val="header"/>
    <w:basedOn w:val="1"/>
    <w:qFormat/>
    <w:uiPriority w:val="0"/>
    <w:pPr>
      <w:tabs>
        <w:tab w:val="center" w:pos="4153"/>
        <w:tab w:val="right" w:pos="8306"/>
      </w:tabs>
      <w:snapToGrid w:val="0"/>
    </w:pPr>
    <w:rPr>
      <w:sz w:val="18"/>
    </w:rPr>
  </w:style>
  <w:style w:type="paragraph" w:styleId="10">
    <w:name w:val="toc 1"/>
    <w:basedOn w:val="1"/>
    <w:next w:val="1"/>
    <w:qFormat/>
    <w:uiPriority w:val="1"/>
    <w:pPr>
      <w:spacing w:before="233"/>
      <w:jc w:val="center"/>
    </w:pPr>
    <w:rPr>
      <w:sz w:val="31"/>
      <w:szCs w:val="31"/>
    </w:rPr>
  </w:style>
  <w:style w:type="paragraph" w:styleId="11">
    <w:name w:val="Body Text 2"/>
    <w:basedOn w:val="1"/>
    <w:autoRedefine/>
    <w:qFormat/>
    <w:uiPriority w:val="0"/>
    <w:pPr>
      <w:spacing w:after="120" w:line="480" w:lineRule="auto"/>
    </w:pPr>
  </w:style>
  <w:style w:type="table" w:styleId="13">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5">
    <w:name w:val="annotation reference"/>
    <w:basedOn w:val="14"/>
    <w:autoRedefine/>
    <w:semiHidden/>
    <w:unhideWhenUsed/>
    <w:qFormat/>
    <w:uiPriority w:val="0"/>
    <w:rPr>
      <w:sz w:val="21"/>
      <w:szCs w:val="21"/>
    </w:rPr>
  </w:style>
  <w:style w:type="paragraph" w:customStyle="1" w:styleId="16">
    <w:name w:val="列出段落1"/>
    <w:basedOn w:val="1"/>
    <w:qFormat/>
    <w:uiPriority w:val="0"/>
    <w:pPr>
      <w:ind w:firstLine="200" w:firstLineChars="200"/>
    </w:pPr>
  </w:style>
  <w:style w:type="paragraph" w:customStyle="1" w:styleId="17">
    <w:name w:val="列出段落2"/>
    <w:basedOn w:val="1"/>
    <w:autoRedefine/>
    <w:qFormat/>
    <w:uiPriority w:val="0"/>
    <w:pPr>
      <w:ind w:firstLine="200" w:firstLineChars="200"/>
    </w:pPr>
  </w:style>
  <w:style w:type="character" w:customStyle="1" w:styleId="18">
    <w:name w:val="批注框文本 字符"/>
    <w:basedOn w:val="14"/>
    <w:link w:val="7"/>
    <w:autoRedefine/>
    <w:qFormat/>
    <w:uiPriority w:val="0"/>
    <w:rPr>
      <w:rFonts w:ascii="Calibri" w:hAnsi="Calibri"/>
      <w:kern w:val="2"/>
      <w:sz w:val="18"/>
      <w:szCs w:val="18"/>
    </w:rPr>
  </w:style>
  <w:style w:type="paragraph" w:customStyle="1" w:styleId="19">
    <w:name w:val="修订1"/>
    <w:autoRedefine/>
    <w:hidden/>
    <w:unhideWhenUsed/>
    <w:qFormat/>
    <w:uiPriority w:val="99"/>
    <w:rPr>
      <w:rFonts w:ascii="Calibri" w:hAnsi="Calibri" w:eastAsia="宋体" w:cs="Times New Roman"/>
      <w:kern w:val="2"/>
      <w:sz w:val="21"/>
      <w:szCs w:val="22"/>
      <w:lang w:val="en-US" w:eastAsia="zh-CN" w:bidi="ar-SA"/>
    </w:rPr>
  </w:style>
  <w:style w:type="paragraph" w:styleId="20">
    <w:name w:val="List Paragraph"/>
    <w:basedOn w:val="1"/>
    <w:autoRedefine/>
    <w:unhideWhenUsed/>
    <w:qFormat/>
    <w:uiPriority w:val="99"/>
    <w:pPr>
      <w:ind w:firstLine="420" w:firstLineChars="200"/>
    </w:pPr>
  </w:style>
  <w:style w:type="paragraph" w:customStyle="1" w:styleId="21">
    <w:name w:val="修订2"/>
    <w:autoRedefine/>
    <w:hidden/>
    <w:semiHidden/>
    <w:qFormat/>
    <w:uiPriority w:val="99"/>
    <w:rPr>
      <w:rFonts w:ascii="Calibri" w:hAnsi="Calibri" w:eastAsia="宋体" w:cs="Times New Roman"/>
      <w:kern w:val="2"/>
      <w:sz w:val="21"/>
      <w:szCs w:val="22"/>
      <w:lang w:val="en-US" w:eastAsia="zh-CN" w:bidi="ar-SA"/>
    </w:rPr>
  </w:style>
  <w:style w:type="character" w:customStyle="1" w:styleId="22">
    <w:name w:val="正文文本 字符"/>
    <w:basedOn w:val="14"/>
    <w:link w:val="6"/>
    <w:autoRedefine/>
    <w:semiHidden/>
    <w:qFormat/>
    <w:uiPriority w:val="0"/>
    <w:rPr>
      <w:rFonts w:ascii="Calibri" w:hAnsi="Calibri"/>
      <w:kern w:val="2"/>
      <w:sz w:val="21"/>
      <w:szCs w:val="22"/>
    </w:rPr>
  </w:style>
  <w:style w:type="character" w:customStyle="1" w:styleId="23">
    <w:name w:val="页脚 字符"/>
    <w:basedOn w:val="14"/>
    <w:link w:val="8"/>
    <w:autoRedefine/>
    <w:qFormat/>
    <w:uiPriority w:val="0"/>
    <w:rPr>
      <w:rFonts w:ascii="Calibri" w:hAnsi="Calibri"/>
      <w:kern w:val="2"/>
      <w:sz w:val="18"/>
      <w:szCs w:val="22"/>
    </w:rPr>
  </w:style>
  <w:style w:type="paragraph" w:styleId="24">
    <w:name w:val="No Spacing"/>
    <w:autoRedefine/>
    <w:qFormat/>
    <w:uiPriority w:val="1"/>
    <w:rPr>
      <w:rFonts w:ascii="Calibri" w:hAnsi="Calibri" w:eastAsia="宋体" w:cs="Times New Roman"/>
      <w:sz w:val="22"/>
      <w:szCs w:val="22"/>
      <w:lang w:val="en-US" w:eastAsia="zh-CN" w:bidi="ar-SA"/>
    </w:rPr>
  </w:style>
  <w:style w:type="paragraph" w:customStyle="1" w:styleId="25">
    <w:name w:val="WPSOffice手动目录 1"/>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image" Target="media/image2.png"/><Relationship Id="rId16" Type="http://schemas.openxmlformats.org/officeDocument/2006/relationships/theme" Target="theme/theme1.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ot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A89D6A-3C76-42E5-96C6-54F256E6018D}">
  <ds:schemaRefs/>
</ds:datastoreItem>
</file>

<file path=docProps/app.xml><?xml version="1.0" encoding="utf-8"?>
<Properties xmlns="http://schemas.openxmlformats.org/officeDocument/2006/extended-properties" xmlns:vt="http://schemas.openxmlformats.org/officeDocument/2006/docPropsVTypes">
  <Pages>20</Pages>
  <Words>6601</Words>
  <Characters>6670</Characters>
  <Lines>37</Lines>
  <Paragraphs>10</Paragraphs>
  <TotalTime>36</TotalTime>
  <ScaleCrop>false</ScaleCrop>
  <LinksUpToDate>false</LinksUpToDate>
  <CharactersWithSpaces>6788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2024-02-24T00:43:00Z</dcterms:created>
  <dc:creator>狂爱逗虾狗丶จุ๊บ</dc:creator>
  <cp:lastModifiedBy>王玺焱</cp:lastModifiedBy>
  <cp:lastPrinted>2024-07-17T02:18:00Z</cp:lastPrinted>
  <dcterms:modified xsi:type="dcterms:W3CDTF">2024-07-18T06:14:46Z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583BA7ACEBD84E1384550F577F08AD56_13</vt:lpwstr>
  </property>
</Properties>
</file>