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r>
        <w:rPr>
          <w:rFonts w:ascii="方正小标宋简体" w:hAnsi="方正小标宋简体" w:eastAsia="方正小标宋简体" w:cs="方正小标宋简体"/>
          <w:b w:val="0"/>
          <w:bCs/>
          <w:sz w:val="44"/>
          <w:szCs w:val="44"/>
          <w:highlight w:val="none"/>
        </w:rPr>
        <w:t>202</w:t>
      </w:r>
      <w:r>
        <w:rPr>
          <w:rFonts w:hint="eastAsia" w:ascii="方正小标宋简体" w:hAnsi="方正小标宋简体" w:eastAsia="方正小标宋简体" w:cs="方正小标宋简体"/>
          <w:b w:val="0"/>
          <w:bCs/>
          <w:sz w:val="44"/>
          <w:szCs w:val="44"/>
          <w:highlight w:val="none"/>
          <w:lang w:val="en-US" w:eastAsia="zh-CN"/>
        </w:rPr>
        <w:t>4</w:t>
      </w:r>
      <w:r>
        <w:rPr>
          <w:rFonts w:ascii="方正小标宋简体" w:hAnsi="方正小标宋简体" w:eastAsia="方正小标宋简体" w:cs="方正小标宋简体"/>
          <w:b w:val="0"/>
          <w:bCs/>
          <w:sz w:val="44"/>
          <w:szCs w:val="44"/>
          <w:highlight w:val="none"/>
        </w:rPr>
        <w:t>年度经营业绩责任书</w:t>
      </w:r>
    </w:p>
    <w:p>
      <w:pPr>
        <w:keepNext w:val="0"/>
        <w:keepLines w:val="0"/>
        <w:pageBreakBefore w:val="0"/>
        <w:kinsoku/>
        <w:wordWrap/>
        <w:overflowPunct/>
        <w:topLinePunct w:val="0"/>
        <w:autoSpaceDE/>
        <w:autoSpaceDN/>
        <w:bidi w:val="0"/>
        <w:adjustRightInd w:val="0"/>
        <w:snapToGrid w:val="0"/>
        <w:spacing w:line="560" w:lineRule="exact"/>
        <w:jc w:val="center"/>
        <w:rPr>
          <w:rFonts w:ascii="方正小标宋简体" w:hAnsi="方正小标宋简体" w:eastAsia="方正小标宋简体" w:cs="方正小标宋简体"/>
          <w:b w:val="0"/>
          <w:bCs/>
          <w:sz w:val="44"/>
          <w:szCs w:val="44"/>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公司</w:t>
      </w:r>
      <w:r>
        <w:rPr>
          <w:rFonts w:hint="eastAsia" w:ascii="仿宋_GB2312" w:hAnsi="仿宋_GB2312" w:eastAsia="仿宋_GB2312" w:cs="仿宋_GB2312"/>
          <w:b w:val="0"/>
          <w:bCs/>
          <w:sz w:val="32"/>
          <w:szCs w:val="32"/>
          <w:highlight w:val="none"/>
        </w:rPr>
        <w:t>：</w:t>
      </w:r>
      <w:r>
        <w:rPr>
          <w:rFonts w:hint="eastAsia" w:ascii="仿宋_GB2312" w:hAnsi="仿宋_GB2312" w:eastAsia="仿宋_GB2312" w:cs="仿宋_GB2312"/>
          <w:b w:val="0"/>
          <w:bCs/>
          <w:sz w:val="32"/>
          <w:szCs w:val="32"/>
          <w:highlight w:val="none"/>
          <w:lang w:val="en-US" w:eastAsia="zh-CN"/>
        </w:rPr>
        <w:t>四川九洲后勤服务有限责任公司</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甲方（考核方、授权代表）：</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任职单位及职务：</w:t>
      </w: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line="560" w:lineRule="exact"/>
        <w:ind w:firstLine="640" w:firstLineChars="200"/>
        <w:jc w:val="left"/>
        <w:rPr>
          <w:rFonts w:hint="eastAsia" w:ascii="仿宋_GB2312" w:hAnsi="仿宋_GB2312" w:eastAsia="仿宋_GB2312" w:cs="仿宋_GB2312"/>
          <w:b w:val="0"/>
          <w:bCs/>
          <w:sz w:val="32"/>
          <w:szCs w:val="32"/>
          <w:highlight w:val="none"/>
          <w:u w:val="single"/>
          <w:lang w:val="en-US" w:eastAsia="zh-CN"/>
        </w:rPr>
      </w:pPr>
      <w:r>
        <w:rPr>
          <w:rFonts w:hint="eastAsia" w:ascii="仿宋_GB2312" w:hAnsi="仿宋_GB2312" w:eastAsia="仿宋_GB2312" w:cs="仿宋_GB2312"/>
          <w:b w:val="0"/>
          <w:bCs/>
          <w:sz w:val="32"/>
          <w:szCs w:val="32"/>
          <w:highlight w:val="none"/>
          <w:lang w:val="en-US" w:eastAsia="zh-CN"/>
        </w:rPr>
        <w:t>乙方（</w:t>
      </w:r>
      <w:r>
        <w:rPr>
          <w:rFonts w:hint="eastAsia" w:ascii="仿宋_GB2312" w:hAnsi="仿宋_GB2312" w:eastAsia="仿宋_GB2312" w:cs="仿宋_GB2312"/>
          <w:b w:val="0"/>
          <w:bCs/>
          <w:sz w:val="32"/>
          <w:szCs w:val="32"/>
          <w:highlight w:val="none"/>
        </w:rPr>
        <w:t>被考核方</w:t>
      </w:r>
      <w:r>
        <w:rPr>
          <w:rFonts w:hint="eastAsia" w:ascii="仿宋_GB2312" w:hAnsi="仿宋_GB2312" w:eastAsia="仿宋_GB2312" w:cs="仿宋_GB2312"/>
          <w:b w:val="0"/>
          <w:bCs/>
          <w:sz w:val="32"/>
          <w:szCs w:val="32"/>
          <w:highlight w:val="none"/>
          <w:lang w:val="en-US" w:eastAsia="zh-CN"/>
        </w:rPr>
        <w:t>）</w:t>
      </w:r>
      <w:r>
        <w:rPr>
          <w:rFonts w:hint="eastAsia" w:ascii="仿宋_GB2312" w:hAnsi="仿宋_GB2312" w:eastAsia="仿宋_GB2312" w:cs="仿宋_GB2312"/>
          <w:b w:val="0"/>
          <w:bCs/>
          <w:sz w:val="32"/>
          <w:szCs w:val="32"/>
          <w:highlight w:val="none"/>
        </w:rPr>
        <w:t>：黎林</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default" w:ascii="仿宋_GB2312" w:hAnsi="仿宋_GB2312" w:eastAsia="仿宋_GB2312" w:cs="仿宋_GB2312"/>
          <w:b w:val="0"/>
          <w:bCs/>
          <w:sz w:val="32"/>
          <w:szCs w:val="32"/>
          <w:highlight w:val="none"/>
          <w:u w:val="none"/>
          <w:lang w:val="en-US" w:eastAsia="zh-CN"/>
        </w:rPr>
      </w:pPr>
      <w:r>
        <w:rPr>
          <w:rFonts w:hint="eastAsia" w:ascii="仿宋_GB2312" w:hAnsi="仿宋_GB2312" w:eastAsia="仿宋_GB2312" w:cs="仿宋_GB2312"/>
          <w:b w:val="0"/>
          <w:bCs/>
          <w:sz w:val="32"/>
          <w:szCs w:val="32"/>
          <w:highlight w:val="none"/>
          <w:u w:val="none"/>
          <w:lang w:val="en-US" w:eastAsia="zh-CN"/>
        </w:rPr>
        <w:t>身份证号码：510724198607222431</w:t>
      </w: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p>
    <w:p>
      <w:pPr>
        <w:keepNext w:val="0"/>
        <w:keepLines w:val="0"/>
        <w:pageBreakBefore w:val="0"/>
        <w:kinsoku/>
        <w:wordWrap/>
        <w:overflowPunct/>
        <w:topLinePunct w:val="0"/>
        <w:autoSpaceDE/>
        <w:autoSpaceDN/>
        <w:bidi w:val="0"/>
        <w:spacing w:before="156" w:beforeLines="50" w:line="560" w:lineRule="exact"/>
        <w:ind w:firstLine="640" w:firstLineChars="200"/>
        <w:jc w:val="left"/>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为充分调动公司经营者的积极性，鼓励为公司经营发展找增量、提效益，引导其全面完成年度和任期经营目标任务，结合《绵阳市市属国有企业负责人经营业绩考核办法》（绵府办发〔2021〕24号）及九洲集团薪酬绩效等相关管理制度,业绩指标一年一签。为此特制定本责任书。</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一、</w:t>
      </w:r>
      <w:r>
        <w:rPr>
          <w:rFonts w:hint="eastAsia" w:ascii="黑体" w:hAnsi="黑体" w:eastAsia="黑体" w:cs="黑体"/>
          <w:b w:val="0"/>
          <w:bCs/>
          <w:sz w:val="32"/>
          <w:szCs w:val="32"/>
          <w:highlight w:val="none"/>
        </w:rPr>
        <w:t>考核周期</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考核期限：</w:t>
      </w:r>
      <w:r>
        <w:rPr>
          <w:rFonts w:hint="eastAsia" w:ascii="仿宋_GB2312" w:hAnsi="仿宋_GB2312" w:eastAsia="仿宋_GB2312" w:cs="仿宋_GB2312"/>
          <w:b w:val="0"/>
          <w:bCs/>
          <w:sz w:val="32"/>
          <w:szCs w:val="32"/>
          <w:highlight w:val="none"/>
          <w:u w:val="single"/>
        </w:rPr>
        <w:t>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年1月1日至202</w:t>
      </w:r>
      <w:r>
        <w:rPr>
          <w:rFonts w:hint="eastAsia" w:ascii="仿宋_GB2312" w:hAnsi="仿宋_GB2312" w:eastAsia="仿宋_GB2312" w:cs="仿宋_GB2312"/>
          <w:b w:val="0"/>
          <w:bCs/>
          <w:sz w:val="32"/>
          <w:szCs w:val="32"/>
          <w:highlight w:val="none"/>
          <w:u w:val="single"/>
          <w:lang w:val="en-US" w:eastAsia="zh-CN"/>
        </w:rPr>
        <w:t>4</w:t>
      </w:r>
      <w:r>
        <w:rPr>
          <w:rFonts w:hint="eastAsia" w:ascii="仿宋_GB2312" w:hAnsi="仿宋_GB2312" w:eastAsia="仿宋_GB2312" w:cs="仿宋_GB2312"/>
          <w:b w:val="0"/>
          <w:bCs/>
          <w:sz w:val="32"/>
          <w:szCs w:val="32"/>
          <w:highlight w:val="none"/>
          <w:u w:val="single"/>
        </w:rPr>
        <w:t>年12月31日</w:t>
      </w: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spacing w:line="560" w:lineRule="exact"/>
        <w:ind w:left="641" w:leftChars="0"/>
        <w:jc w:val="lef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val="en-US" w:eastAsia="zh-CN"/>
        </w:rPr>
        <w:t>二、</w:t>
      </w:r>
      <w:r>
        <w:rPr>
          <w:rFonts w:hint="eastAsia" w:ascii="黑体" w:hAnsi="黑体" w:eastAsia="黑体" w:cs="黑体"/>
          <w:b w:val="0"/>
          <w:bCs/>
          <w:sz w:val="32"/>
          <w:szCs w:val="32"/>
          <w:highlight w:val="none"/>
          <w:lang w:eastAsia="zh-CN"/>
        </w:rPr>
        <w:t>考核指标</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b w:val="0"/>
          <w:bCs/>
          <w:sz w:val="32"/>
          <w:szCs w:val="32"/>
          <w:highlight w:val="none"/>
        </w:rPr>
      </w:pPr>
      <w:r>
        <w:rPr>
          <w:rFonts w:hint="eastAsia" w:ascii="仿宋_GB2312" w:hAnsi="仿宋_GB2312" w:eastAsia="仿宋_GB2312" w:cs="仿宋_GB2312"/>
          <w:b w:val="0"/>
          <w:bCs/>
          <w:sz w:val="32"/>
          <w:szCs w:val="32"/>
          <w:highlight w:val="none"/>
        </w:rPr>
        <w:t>经营业绩指标分为组织绩效指标、任务绩效指标、协同绩效指标和红线指标等四个维度</w:t>
      </w:r>
      <w:r>
        <w:rPr>
          <w:rFonts w:hint="eastAsia" w:ascii="仿宋_GB2312" w:hAnsi="仿宋_GB2312" w:eastAsia="仿宋_GB2312" w:cs="仿宋_GB2312"/>
          <w:b w:val="0"/>
          <w:bCs/>
          <w:sz w:val="32"/>
          <w:szCs w:val="32"/>
          <w:highlight w:val="none"/>
          <w:lang w:eastAsia="zh-CN"/>
        </w:rPr>
        <w:t>，</w:t>
      </w:r>
      <w:r>
        <w:rPr>
          <w:rFonts w:hint="eastAsia" w:ascii="仿宋_GB2312" w:hAnsi="仿宋_GB2312" w:eastAsia="仿宋_GB2312" w:cs="仿宋_GB2312"/>
          <w:b w:val="0"/>
          <w:bCs/>
          <w:sz w:val="32"/>
          <w:szCs w:val="32"/>
          <w:highlight w:val="none"/>
        </w:rPr>
        <w:t>由甲方根据企业发展战略、经营计划、历史数据、行业对标情况以及乙方岗位职责等确定，202</w:t>
      </w:r>
      <w:r>
        <w:rPr>
          <w:rFonts w:hint="eastAsia" w:ascii="仿宋_GB2312" w:hAnsi="仿宋_GB2312" w:eastAsia="仿宋_GB2312" w:cs="仿宋_GB2312"/>
          <w:b w:val="0"/>
          <w:bCs/>
          <w:sz w:val="32"/>
          <w:szCs w:val="32"/>
          <w:highlight w:val="none"/>
          <w:lang w:val="en-US" w:eastAsia="zh-CN"/>
        </w:rPr>
        <w:t>4</w:t>
      </w:r>
      <w:r>
        <w:rPr>
          <w:rFonts w:hint="eastAsia" w:ascii="仿宋_GB2312" w:hAnsi="仿宋_GB2312" w:eastAsia="仿宋_GB2312" w:cs="仿宋_GB2312"/>
          <w:b w:val="0"/>
          <w:bCs/>
          <w:sz w:val="32"/>
          <w:szCs w:val="32"/>
          <w:highlight w:val="none"/>
        </w:rPr>
        <w:t>年业绩目标如下：</w:t>
      </w:r>
    </w:p>
    <w:p>
      <w:pPr>
        <w:keepNext w:val="0"/>
        <w:keepLines w:val="0"/>
        <w:pageBreakBefore w:val="0"/>
        <w:kinsoku/>
        <w:wordWrap/>
        <w:overflowPunct/>
        <w:topLinePunct w:val="0"/>
        <w:autoSpaceDE/>
        <w:autoSpaceDN/>
        <w:bidi w:val="0"/>
        <w:spacing w:line="560" w:lineRule="exact"/>
        <w:ind w:firstLine="643" w:firstLineChars="200"/>
        <w:rPr>
          <w:rFonts w:hint="eastAsia" w:ascii="楷体_GB2312" w:hAnsi="楷体_GB2312" w:eastAsia="楷体_GB2312" w:cs="楷体_GB2312"/>
          <w:b/>
          <w:bCs w:val="0"/>
          <w:sz w:val="32"/>
          <w:szCs w:val="32"/>
          <w:highlight w:val="none"/>
        </w:rPr>
      </w:pPr>
      <w:r>
        <w:rPr>
          <w:rFonts w:hint="eastAsia" w:ascii="楷体_GB2312" w:hAnsi="楷体_GB2312" w:eastAsia="楷体_GB2312" w:cs="楷体_GB2312"/>
          <w:b/>
          <w:bCs w:val="0"/>
          <w:sz w:val="32"/>
          <w:szCs w:val="32"/>
          <w:highlight w:val="none"/>
        </w:rPr>
        <w:t>（一）组织绩效</w:t>
      </w:r>
    </w:p>
    <w:p>
      <w:pPr>
        <w:keepNext w:val="0"/>
        <w:keepLines w:val="0"/>
        <w:pageBreakBefore w:val="0"/>
        <w:kinsoku/>
        <w:wordWrap/>
        <w:overflowPunct/>
        <w:topLinePunct w:val="0"/>
        <w:autoSpaceDE/>
        <w:autoSpaceDN/>
        <w:bidi w:val="0"/>
        <w:spacing w:line="560" w:lineRule="exact"/>
        <w:ind w:firstLine="640" w:firstLineChars="200"/>
        <w:rPr>
          <w:rFonts w:hint="eastAsia" w:ascii="仿宋_GB2312" w:eastAsia="仿宋_GB2312"/>
          <w:b w:val="0"/>
          <w:bCs/>
          <w:sz w:val="32"/>
          <w:szCs w:val="32"/>
          <w:highlight w:val="none"/>
        </w:rPr>
      </w:pPr>
      <w:r>
        <w:rPr>
          <w:rFonts w:hint="eastAsia" w:ascii="仿宋_GB2312" w:eastAsia="仿宋_GB2312"/>
          <w:b w:val="0"/>
          <w:bCs/>
          <w:sz w:val="32"/>
          <w:szCs w:val="32"/>
          <w:highlight w:val="none"/>
        </w:rPr>
        <w:t>组织绩效指标为定量的经济指标，主要包括所在公司营业收入、利润总额、人工成本利润率、期间费用率、应收账款周转率、存货周转率等指标，指标得分上不封顶。</w:t>
      </w:r>
    </w:p>
    <w:tbl>
      <w:tblPr>
        <w:tblStyle w:val="20"/>
        <w:tblW w:w="517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49"/>
        <w:gridCol w:w="672"/>
        <w:gridCol w:w="624"/>
        <w:gridCol w:w="600"/>
        <w:gridCol w:w="552"/>
        <w:gridCol w:w="552"/>
        <w:gridCol w:w="660"/>
        <w:gridCol w:w="552"/>
        <w:gridCol w:w="564"/>
        <w:gridCol w:w="456"/>
        <w:gridCol w:w="432"/>
        <w:gridCol w:w="404"/>
        <w:gridCol w:w="495"/>
        <w:gridCol w:w="429"/>
        <w:gridCol w:w="464"/>
        <w:gridCol w:w="5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jc w:val="center"/>
        </w:trPr>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b/>
                <w:bCs/>
                <w:i w:val="0"/>
                <w:iCs w:val="0"/>
                <w:color w:val="auto"/>
                <w:kern w:val="0"/>
                <w:sz w:val="21"/>
                <w:szCs w:val="21"/>
                <w:highlight w:val="none"/>
                <w:u w:val="none"/>
                <w:lang w:val="en-US" w:eastAsia="zh-CN" w:bidi="ar"/>
              </w:rPr>
              <w:t>公司</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b/>
                <w:bCs/>
                <w:i w:val="0"/>
                <w:iCs w:val="0"/>
                <w:color w:val="auto"/>
                <w:kern w:val="0"/>
                <w:sz w:val="21"/>
                <w:szCs w:val="21"/>
                <w:highlight w:val="none"/>
                <w:u w:val="none"/>
                <w:lang w:val="en-US" w:eastAsia="zh-CN" w:bidi="ar"/>
              </w:rPr>
              <w:t>（部门）</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名称</w:t>
            </w:r>
          </w:p>
        </w:tc>
        <w:tc>
          <w:tcPr>
            <w:tcW w:w="358"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重</w:t>
            </w:r>
          </w:p>
        </w:tc>
        <w:tc>
          <w:tcPr>
            <w:tcW w:w="65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营业收入</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(万元)</w:t>
            </w:r>
          </w:p>
        </w:tc>
        <w:tc>
          <w:tcPr>
            <w:tcW w:w="58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利润总额</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(万元)</w:t>
            </w:r>
          </w:p>
        </w:tc>
        <w:tc>
          <w:tcPr>
            <w:tcW w:w="64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在绵产值/营收</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(万元)</w:t>
            </w:r>
          </w:p>
        </w:tc>
        <w:tc>
          <w:tcPr>
            <w:tcW w:w="54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人工</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成本</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利润率</w:t>
            </w:r>
          </w:p>
        </w:tc>
        <w:tc>
          <w:tcPr>
            <w:tcW w:w="44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人均利润</w:t>
            </w:r>
          </w:p>
        </w:tc>
        <w:tc>
          <w:tcPr>
            <w:tcW w:w="49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期间费用率</w:t>
            </w:r>
          </w:p>
        </w:tc>
        <w:tc>
          <w:tcPr>
            <w:tcW w:w="55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b/>
                <w:color w:val="auto"/>
                <w:sz w:val="21"/>
                <w:szCs w:val="21"/>
                <w:lang w:bidi="ar"/>
              </w:rPr>
            </w:pPr>
            <w:r>
              <w:rPr>
                <w:rStyle w:val="44"/>
                <w:b/>
                <w:color w:val="auto"/>
                <w:sz w:val="21"/>
                <w:szCs w:val="21"/>
                <w:lang w:bidi="ar"/>
              </w:rPr>
              <w:t>两金</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Cs/>
                <w:color w:val="auto"/>
                <w:sz w:val="21"/>
                <w:szCs w:val="21"/>
                <w:highlight w:val="none"/>
                <w:vertAlign w:val="baseline"/>
                <w:lang w:val="en-US" w:eastAsia="zh-CN"/>
              </w:rPr>
            </w:pPr>
            <w:r>
              <w:rPr>
                <w:rStyle w:val="44"/>
                <w:b/>
                <w:color w:val="auto"/>
                <w:sz w:val="21"/>
                <w:szCs w:val="21"/>
                <w:lang w:bidi="ar"/>
              </w:rPr>
              <w:t>周转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719" w:type="pct"/>
            <w:vMerge w:val="continue"/>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kinsoku/>
              <w:wordWrap/>
              <w:overflowPunct/>
              <w:topLinePunct w:val="0"/>
              <w:autoSpaceDE/>
              <w:autoSpaceDN/>
              <w:bidi w:val="0"/>
              <w:spacing w:line="400" w:lineRule="exact"/>
              <w:jc w:val="center"/>
              <w:rPr>
                <w:rFonts w:hint="eastAsia" w:ascii="仿宋_GB2312" w:hAnsi="仿宋_GB2312" w:eastAsia="仿宋_GB2312" w:cs="仿宋_GB2312"/>
                <w:b/>
                <w:bCs/>
                <w:i w:val="0"/>
                <w:iCs w:val="0"/>
                <w:color w:val="auto"/>
                <w:sz w:val="21"/>
                <w:szCs w:val="21"/>
                <w:highlight w:val="none"/>
                <w:u w:val="none"/>
              </w:rPr>
            </w:pPr>
          </w:p>
        </w:tc>
        <w:tc>
          <w:tcPr>
            <w:tcW w:w="358" w:type="pct"/>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p>
        </w:tc>
        <w:tc>
          <w:tcPr>
            <w:tcW w:w="3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kern w:val="0"/>
                <w:sz w:val="21"/>
                <w:szCs w:val="21"/>
                <w:highlight w:val="none"/>
                <w:u w:val="none"/>
                <w:lang w:val="en-US" w:eastAsia="zh-CN" w:bidi="ar"/>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标</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目</w:t>
            </w:r>
          </w:p>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SA"/>
              </w:rPr>
            </w:pPr>
            <w:r>
              <w:rPr>
                <w:rStyle w:val="44"/>
                <w:rFonts w:hint="eastAsia" w:ascii="仿宋_GB2312" w:hAnsi="仿宋_GB2312" w:eastAsia="仿宋_GB2312" w:cs="仿宋_GB2312"/>
                <w:b/>
                <w:bCs/>
                <w:color w:val="auto"/>
                <w:sz w:val="21"/>
                <w:szCs w:val="21"/>
                <w:highlight w:val="none"/>
                <w:lang w:val="en-US" w:eastAsia="zh-CN" w:bidi="ar"/>
              </w:rPr>
              <w:t>标</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SA"/>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23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目标</w:t>
            </w:r>
          </w:p>
        </w:tc>
        <w:tc>
          <w:tcPr>
            <w:tcW w:w="2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Style w:val="44"/>
                <w:rFonts w:hint="eastAsia" w:ascii="仿宋_GB2312" w:hAnsi="仿宋_GB2312" w:eastAsia="仿宋_GB2312" w:cs="仿宋_GB2312"/>
                <w:b/>
                <w:bCs/>
                <w:color w:val="auto"/>
                <w:sz w:val="21"/>
                <w:szCs w:val="21"/>
                <w:highlight w:val="none"/>
                <w:lang w:val="en-US" w:eastAsia="zh-CN" w:bidi="ar"/>
              </w:rPr>
              <w:t>权重</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eastAsia" w:ascii="仿宋_GB2312" w:hAnsi="仿宋_GB2312" w:eastAsia="仿宋_GB2312" w:cs="仿宋_GB2312"/>
                <w:b/>
                <w:bCs/>
                <w:i w:val="0"/>
                <w:iCs w:val="0"/>
                <w:color w:val="auto"/>
                <w:sz w:val="21"/>
                <w:szCs w:val="21"/>
                <w:highlight w:val="none"/>
                <w:u w:val="none"/>
              </w:rPr>
            </w:pPr>
            <w:r>
              <w:rPr>
                <w:rFonts w:hint="eastAsia" w:ascii="仿宋_GB2312" w:hAnsi="仿宋_GB2312" w:eastAsia="仿宋_GB2312" w:cs="仿宋_GB2312"/>
                <w:b/>
                <w:bCs/>
                <w:i w:val="0"/>
                <w:iCs w:val="0"/>
                <w:color w:val="auto"/>
                <w:kern w:val="0"/>
                <w:sz w:val="21"/>
                <w:szCs w:val="21"/>
                <w:highlight w:val="none"/>
                <w:u w:val="none"/>
                <w:lang w:val="en-US" w:eastAsia="zh-CN" w:bidi="ar"/>
              </w:rPr>
              <w:t>目标</w:t>
            </w:r>
          </w:p>
        </w:tc>
        <w:tc>
          <w:tcPr>
            <w:tcW w:w="3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eastAsia" w:ascii="仿宋_GB2312" w:hAnsi="仿宋_GB2312" w:eastAsia="仿宋_GB2312" w:cs="仿宋_GB2312"/>
                <w:b/>
                <w:bCs/>
                <w:color w:val="auto"/>
                <w:sz w:val="21"/>
                <w:szCs w:val="21"/>
                <w:highlight w:val="none"/>
                <w:lang w:val="en-US" w:eastAsia="zh-CN" w:bidi="ar"/>
              </w:rPr>
            </w:pPr>
            <w:r>
              <w:rPr>
                <w:rStyle w:val="44"/>
                <w:rFonts w:hint="eastAsia" w:ascii="仿宋_GB2312" w:hAnsi="仿宋_GB2312" w:eastAsia="仿宋_GB2312" w:cs="仿宋_GB2312"/>
                <w:b/>
                <w:bCs/>
                <w:color w:val="auto"/>
                <w:sz w:val="21"/>
                <w:szCs w:val="21"/>
                <w:highlight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jc w:val="center"/>
        </w:trPr>
        <w:tc>
          <w:tcPr>
            <w:tcW w:w="719" w:type="pct"/>
            <w:tcBorders>
              <w:top w:val="single" w:color="auto" w:sz="4" w:space="0"/>
              <w:left w:val="single" w:color="000000" w:sz="4" w:space="0"/>
              <w:bottom w:val="single" w:color="000000" w:sz="4" w:space="0"/>
              <w:right w:val="single" w:color="000000" w:sz="4" w:space="0"/>
            </w:tcBorders>
            <w:noWrap/>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b/>
                <w:bCs/>
                <w:i w:val="0"/>
                <w:iCs w:val="0"/>
                <w:color w:val="auto"/>
                <w:sz w:val="20"/>
                <w:szCs w:val="20"/>
                <w:highlight w:val="none"/>
                <w:u w:val="none"/>
                <w:lang w:val="en-US" w:eastAsia="zh-CN"/>
              </w:rPr>
            </w:pPr>
            <w:r>
              <w:rPr>
                <w:rFonts w:hint="eastAsia" w:ascii="仿宋_GB2312" w:hAnsi="仿宋_GB2312" w:eastAsia="仿宋_GB2312" w:cs="仿宋_GB2312"/>
                <w:b w:val="0"/>
                <w:bCs w:val="0"/>
                <w:i w:val="0"/>
                <w:iCs w:val="0"/>
                <w:color w:val="auto"/>
                <w:sz w:val="20"/>
                <w:szCs w:val="20"/>
                <w:highlight w:val="none"/>
                <w:u w:val="none"/>
                <w:lang w:val="en-US" w:eastAsia="zh-CN"/>
              </w:rPr>
              <w:t>四川九洲后勤服务有限责任公司</w:t>
            </w:r>
          </w:p>
        </w:tc>
        <w:tc>
          <w:tcPr>
            <w:tcW w:w="358" w:type="pct"/>
            <w:tcBorders>
              <w:top w:val="single" w:color="auto" w:sz="4" w:space="0"/>
              <w:left w:val="single" w:color="000000" w:sz="4" w:space="0"/>
              <w:bottom w:val="single" w:color="auto"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b w:val="0"/>
                <w:bCs w:val="0"/>
                <w:i w:val="0"/>
                <w:iCs w:val="0"/>
                <w:color w:val="auto"/>
                <w:kern w:val="0"/>
                <w:sz w:val="18"/>
                <w:szCs w:val="18"/>
                <w:highlight w:val="none"/>
                <w:u w:val="none"/>
                <w:lang w:val="en-US" w:eastAsia="zh-CN" w:bidi="ar"/>
              </w:rPr>
            </w:pPr>
            <w:r>
              <w:rPr>
                <w:rFonts w:hint="eastAsia" w:ascii="仿宋_GB2312" w:hAnsi="仿宋_GB2312" w:eastAsia="仿宋_GB2312" w:cs="仿宋_GB2312"/>
                <w:b w:val="0"/>
                <w:bCs w:val="0"/>
                <w:i w:val="0"/>
                <w:iCs w:val="0"/>
                <w:color w:val="auto"/>
                <w:kern w:val="0"/>
                <w:sz w:val="18"/>
                <w:szCs w:val="18"/>
                <w:highlight w:val="none"/>
                <w:u w:val="none"/>
                <w:lang w:val="en-US" w:eastAsia="zh-CN" w:bidi="ar"/>
              </w:rPr>
              <w:t>100%</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b w:val="0"/>
                <w:bCs w:val="0"/>
                <w:i w:val="0"/>
                <w:iCs w:val="0"/>
                <w:color w:val="auto"/>
                <w:kern w:val="0"/>
                <w:sz w:val="18"/>
                <w:szCs w:val="18"/>
                <w:highlight w:val="none"/>
                <w:u w:val="none"/>
                <w:lang w:val="en-US" w:eastAsia="zh-CN" w:bidi="ar"/>
              </w:rPr>
            </w:pPr>
            <w:r>
              <w:rPr>
                <w:rFonts w:hint="eastAsia" w:ascii="仿宋_GB2312" w:hAnsi="仿宋_GB2312" w:eastAsia="仿宋_GB2312" w:cs="仿宋_GB2312"/>
                <w:b w:val="0"/>
                <w:bCs w:val="0"/>
                <w:i w:val="0"/>
                <w:iCs w:val="0"/>
                <w:color w:val="000000"/>
                <w:sz w:val="18"/>
                <w:szCs w:val="18"/>
                <w:highlight w:val="none"/>
                <w:u w:val="none"/>
                <w:lang w:val="en-US" w:eastAsia="zh-CN"/>
              </w:rPr>
              <w:t>9000</w:t>
            </w:r>
          </w:p>
        </w:tc>
        <w:tc>
          <w:tcPr>
            <w:tcW w:w="320"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Style w:val="44"/>
                <w:rFonts w:hint="default" w:ascii="仿宋_GB2312" w:hAnsi="仿宋_GB2312" w:eastAsia="仿宋_GB2312" w:cs="仿宋_GB2312"/>
                <w:b w:val="0"/>
                <w:bCs w:val="0"/>
                <w:color w:val="auto"/>
                <w:sz w:val="18"/>
                <w:szCs w:val="18"/>
                <w:highlight w:val="none"/>
                <w:lang w:val="en-US" w:eastAsia="zh-CN" w:bidi="ar"/>
              </w:rPr>
            </w:pPr>
            <w:r>
              <w:rPr>
                <w:rStyle w:val="44"/>
                <w:rFonts w:hint="eastAsia" w:ascii="仿宋_GB2312" w:hAnsi="仿宋_GB2312" w:eastAsia="仿宋_GB2312" w:cs="仿宋_GB2312"/>
                <w:b w:val="0"/>
                <w:bCs w:val="0"/>
                <w:color w:val="auto"/>
                <w:sz w:val="18"/>
                <w:szCs w:val="18"/>
                <w:highlight w:val="none"/>
                <w:lang w:val="en-US" w:eastAsia="zh-CN" w:bidi="ar"/>
              </w:rPr>
              <w:t>100%</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Style w:val="44"/>
                <w:rFonts w:hint="default" w:ascii="仿宋_GB2312" w:hAnsi="仿宋_GB2312" w:eastAsia="仿宋_GB2312" w:cs="仿宋_GB2312"/>
                <w:b w:val="0"/>
                <w:bCs w:val="0"/>
                <w:color w:val="auto"/>
                <w:sz w:val="18"/>
                <w:szCs w:val="18"/>
                <w:highlight w:val="none"/>
                <w:lang w:val="en-US" w:eastAsia="zh-CN" w:bidi="ar"/>
              </w:rPr>
            </w:pPr>
            <w:r>
              <w:rPr>
                <w:rStyle w:val="44"/>
                <w:rFonts w:hint="eastAsia" w:ascii="仿宋_GB2312" w:hAnsi="仿宋_GB2312" w:eastAsia="仿宋_GB2312" w:cs="仿宋_GB2312"/>
                <w:b w:val="0"/>
                <w:bCs w:val="0"/>
                <w:color w:val="auto"/>
                <w:sz w:val="18"/>
                <w:szCs w:val="18"/>
                <w:highlight w:val="none"/>
                <w:lang w:val="en-US" w:eastAsia="zh-CN" w:bidi="ar"/>
              </w:rPr>
              <w:t>0</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Style w:val="44"/>
                <w:rFonts w:hint="default" w:ascii="仿宋_GB2312" w:hAnsi="仿宋_GB2312" w:eastAsia="仿宋_GB2312" w:cs="仿宋_GB2312"/>
                <w:b w:val="0"/>
                <w:bCs w:val="0"/>
                <w:color w:val="000000" w:themeColor="text1"/>
                <w:sz w:val="18"/>
                <w:szCs w:val="18"/>
                <w:highlight w:val="none"/>
                <w:lang w:val="en-US" w:eastAsia="zh-CN" w:bidi="ar"/>
                <w14:textFill>
                  <w14:solidFill>
                    <w14:schemeClr w14:val="tx1"/>
                  </w14:solidFill>
                </w14:textFill>
              </w:rPr>
            </w:pPr>
            <w:r>
              <w:rPr>
                <w:rStyle w:val="44"/>
                <w:rFonts w:hint="eastAsia" w:ascii="仿宋_GB2312" w:hAnsi="仿宋_GB2312" w:eastAsia="仿宋_GB2312" w:cs="仿宋_GB2312"/>
                <w:b w:val="0"/>
                <w:bCs w:val="0"/>
                <w:color w:val="000000" w:themeColor="text1"/>
                <w:sz w:val="18"/>
                <w:szCs w:val="18"/>
                <w:highlight w:val="none"/>
                <w:lang w:val="en-US" w:eastAsia="zh-CN" w:bidi="ar"/>
                <w14:textFill>
                  <w14:solidFill>
                    <w14:schemeClr w14:val="tx1"/>
                  </w14:solidFill>
                </w14:textFill>
              </w:rPr>
              <w:t>0</w:t>
            </w:r>
          </w:p>
        </w:tc>
        <w:tc>
          <w:tcPr>
            <w:tcW w:w="3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000000" w:themeColor="text1"/>
                <w:sz w:val="18"/>
                <w:szCs w:val="18"/>
                <w:highlight w:val="none"/>
                <w:lang w:val="en-US" w:eastAsia="zh-CN" w:bidi="ar"/>
                <w14:textFill>
                  <w14:solidFill>
                    <w14:schemeClr w14:val="tx1"/>
                  </w14:solidFill>
                </w14:textFill>
              </w:rPr>
            </w:pPr>
            <w:r>
              <w:rPr>
                <w:rStyle w:val="44"/>
                <w:rFonts w:hint="eastAsia" w:ascii="仿宋_GB2312" w:hAnsi="仿宋_GB2312" w:eastAsia="仿宋_GB2312" w:cs="仿宋_GB2312"/>
                <w:b w:val="0"/>
                <w:bCs w:val="0"/>
                <w:color w:val="000000" w:themeColor="text1"/>
                <w:sz w:val="18"/>
                <w:szCs w:val="18"/>
                <w:highlight w:val="none"/>
                <w:lang w:val="en-US" w:eastAsia="zh-CN" w:bidi="ar"/>
                <w14:textFill>
                  <w14:solidFill>
                    <w14:schemeClr w14:val="tx1"/>
                  </w14:solidFill>
                </w14:textFill>
              </w:rPr>
              <w:t>7600</w:t>
            </w:r>
          </w:p>
        </w:tc>
        <w:tc>
          <w:tcPr>
            <w:tcW w:w="29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000000" w:themeColor="text1"/>
                <w:sz w:val="18"/>
                <w:szCs w:val="18"/>
                <w:highlight w:val="none"/>
                <w:lang w:val="en-US" w:eastAsia="zh-CN" w:bidi="ar"/>
                <w14:textFill>
                  <w14:solidFill>
                    <w14:schemeClr w14:val="tx1"/>
                  </w14:solidFill>
                </w14:textFill>
              </w:rPr>
            </w:pPr>
            <w:r>
              <w:rPr>
                <w:rStyle w:val="44"/>
                <w:rFonts w:hint="eastAsia" w:ascii="仿宋_GB2312" w:hAnsi="仿宋_GB2312" w:eastAsia="仿宋_GB2312" w:cs="仿宋_GB2312"/>
                <w:b w:val="0"/>
                <w:bCs w:val="0"/>
                <w:color w:val="000000" w:themeColor="text1"/>
                <w:sz w:val="18"/>
                <w:szCs w:val="18"/>
                <w:highlight w:val="none"/>
                <w:lang w:val="en-US" w:eastAsia="zh-CN" w:bidi="ar"/>
                <w14:textFill>
                  <w14:solidFill>
                    <w14:schemeClr w14:val="tx1"/>
                  </w14:solidFill>
                </w14:textFill>
              </w:rPr>
              <w:t>84%</w:t>
            </w:r>
          </w:p>
        </w:tc>
        <w:tc>
          <w:tcPr>
            <w:tcW w:w="30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000000" w:themeColor="text1"/>
                <w:sz w:val="18"/>
                <w:szCs w:val="18"/>
                <w:highlight w:val="none"/>
                <w:lang w:val="en-US" w:eastAsia="zh-CN" w:bidi="ar"/>
                <w14:textFill>
                  <w14:solidFill>
                    <w14:schemeClr w14:val="tx1"/>
                  </w14:solidFill>
                </w14:textFill>
              </w:rPr>
            </w:pPr>
            <w:r>
              <w:rPr>
                <w:rStyle w:val="44"/>
                <w:rFonts w:hint="eastAsia" w:ascii="仿宋_GB2312" w:hAnsi="仿宋_GB2312" w:eastAsia="仿宋_GB2312" w:cs="仿宋_GB2312"/>
                <w:b w:val="0"/>
                <w:bCs w:val="0"/>
                <w:color w:val="000000" w:themeColor="text1"/>
                <w:sz w:val="18"/>
                <w:szCs w:val="18"/>
                <w:highlight w:val="none"/>
                <w:lang w:val="en-US" w:eastAsia="zh-CN" w:bidi="ar"/>
                <w14:textFill>
                  <w14:solidFill>
                    <w14:schemeClr w14:val="tx1"/>
                  </w14:solidFill>
                </w14:textFill>
              </w:rPr>
              <w:t>0</w:t>
            </w:r>
          </w:p>
        </w:tc>
        <w:tc>
          <w:tcPr>
            <w:tcW w:w="24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000000" w:themeColor="text1"/>
                <w:sz w:val="18"/>
                <w:szCs w:val="18"/>
                <w:highlight w:val="none"/>
                <w:lang w:val="en-US" w:eastAsia="zh-CN" w:bidi="ar"/>
                <w14:textFill>
                  <w14:solidFill>
                    <w14:schemeClr w14:val="tx1"/>
                  </w14:solidFill>
                </w14:textFill>
              </w:rPr>
            </w:pPr>
            <w:r>
              <w:rPr>
                <w:rStyle w:val="44"/>
                <w:rFonts w:hint="eastAsia" w:ascii="仿宋_GB2312" w:hAnsi="仿宋_GB2312" w:eastAsia="仿宋_GB2312" w:cs="仿宋_GB2312"/>
                <w:b w:val="0"/>
                <w:bCs w:val="0"/>
                <w:color w:val="000000" w:themeColor="text1"/>
                <w:sz w:val="18"/>
                <w:szCs w:val="18"/>
                <w:highlight w:val="none"/>
                <w:lang w:val="en-US" w:eastAsia="zh-CN" w:bidi="ar"/>
                <w14:textFill>
                  <w14:solidFill>
                    <w14:schemeClr w14:val="tx1"/>
                  </w14:solidFill>
                </w14:textFill>
              </w:rPr>
              <w:t>0</w:t>
            </w:r>
          </w:p>
        </w:tc>
        <w:tc>
          <w:tcPr>
            <w:tcW w:w="23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auto"/>
                <w:sz w:val="18"/>
                <w:szCs w:val="18"/>
                <w:highlight w:val="none"/>
                <w:lang w:val="en-US" w:eastAsia="zh-CN" w:bidi="ar"/>
              </w:rPr>
            </w:pPr>
            <w:r>
              <w:rPr>
                <w:rStyle w:val="44"/>
                <w:rFonts w:hint="eastAsia" w:ascii="仿宋_GB2312" w:hAnsi="仿宋_GB2312" w:eastAsia="仿宋_GB2312" w:cs="仿宋_GB2312"/>
                <w:b w:val="0"/>
                <w:bCs w:val="0"/>
                <w:color w:val="auto"/>
                <w:sz w:val="18"/>
                <w:szCs w:val="18"/>
                <w:highlight w:val="none"/>
                <w:lang w:val="en-US" w:eastAsia="zh-CN" w:bidi="ar"/>
              </w:rPr>
              <w:t>0</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auto"/>
                <w:sz w:val="18"/>
                <w:szCs w:val="18"/>
                <w:highlight w:val="none"/>
                <w:lang w:val="en-US" w:eastAsia="zh-CN" w:bidi="ar"/>
              </w:rPr>
            </w:pPr>
            <w:r>
              <w:rPr>
                <w:rStyle w:val="44"/>
                <w:rFonts w:hint="eastAsia" w:ascii="仿宋_GB2312" w:hAnsi="仿宋_GB2312" w:eastAsia="仿宋_GB2312" w:cs="仿宋_GB2312"/>
                <w:b w:val="0"/>
                <w:bCs w:val="0"/>
                <w:color w:val="auto"/>
                <w:sz w:val="18"/>
                <w:szCs w:val="18"/>
                <w:highlight w:val="none"/>
                <w:lang w:val="en-US" w:eastAsia="zh-CN" w:bidi="ar"/>
              </w:rPr>
              <w:t>0</w:t>
            </w:r>
          </w:p>
        </w:tc>
        <w:tc>
          <w:tcPr>
            <w:tcW w:w="2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suppressAutoHyphens/>
              <w:kinsoku/>
              <w:wordWrap/>
              <w:overflowPunct/>
              <w:topLinePunct w:val="0"/>
              <w:autoSpaceDE/>
              <w:autoSpaceDN/>
              <w:bidi w:val="0"/>
              <w:adjustRightInd w:val="0"/>
              <w:snapToGrid w:val="0"/>
              <w:spacing w:line="400" w:lineRule="exact"/>
              <w:jc w:val="center"/>
              <w:textAlignment w:val="auto"/>
              <w:rPr>
                <w:rFonts w:hint="default" w:ascii="仿宋_GB2312" w:hAnsi="仿宋_GB2312" w:eastAsia="仿宋_GB2312" w:cs="仿宋_GB2312"/>
                <w:b w:val="0"/>
                <w:bCs w:val="0"/>
                <w:kern w:val="2"/>
                <w:sz w:val="18"/>
                <w:szCs w:val="18"/>
                <w:highlight w:val="none"/>
                <w:vertAlign w:val="baseline"/>
                <w:lang w:val="en-US" w:eastAsia="zh-CN" w:bidi="ar-SA"/>
              </w:rPr>
            </w:pPr>
            <w:r>
              <w:rPr>
                <w:rFonts w:hint="eastAsia" w:ascii="仿宋_GB2312" w:hAnsi="仿宋_GB2312" w:eastAsia="仿宋_GB2312" w:cs="仿宋_GB2312"/>
                <w:b w:val="0"/>
                <w:bCs w:val="0"/>
                <w:kern w:val="2"/>
                <w:sz w:val="18"/>
                <w:szCs w:val="18"/>
                <w:highlight w:val="none"/>
                <w:vertAlign w:val="baseline"/>
                <w:lang w:val="en-US" w:eastAsia="zh-CN" w:bidi="ar-SA"/>
              </w:rPr>
              <w:t>0</w:t>
            </w:r>
          </w:p>
        </w:tc>
        <w:tc>
          <w:tcPr>
            <w:tcW w:w="22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auto"/>
                <w:sz w:val="18"/>
                <w:szCs w:val="18"/>
                <w:highlight w:val="none"/>
                <w:lang w:val="en-US" w:eastAsia="zh-CN" w:bidi="ar"/>
              </w:rPr>
            </w:pPr>
            <w:r>
              <w:rPr>
                <w:rStyle w:val="44"/>
                <w:rFonts w:hint="eastAsia" w:ascii="仿宋_GB2312" w:hAnsi="仿宋_GB2312" w:eastAsia="仿宋_GB2312" w:cs="仿宋_GB2312"/>
                <w:b w:val="0"/>
                <w:bCs w:val="0"/>
                <w:color w:val="auto"/>
                <w:sz w:val="18"/>
                <w:szCs w:val="18"/>
                <w:highlight w:val="none"/>
                <w:lang w:val="en-US" w:eastAsia="zh-CN" w:bidi="ar"/>
              </w:rPr>
              <w:t>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Fonts w:hint="default" w:ascii="仿宋_GB2312" w:hAnsi="仿宋_GB2312" w:eastAsia="仿宋_GB2312" w:cs="仿宋_GB2312"/>
                <w:b w:val="0"/>
                <w:bCs w:val="0"/>
                <w:i w:val="0"/>
                <w:iCs w:val="0"/>
                <w:color w:val="auto"/>
                <w:kern w:val="0"/>
                <w:sz w:val="18"/>
                <w:szCs w:val="18"/>
                <w:highlight w:val="none"/>
                <w:u w:val="none"/>
                <w:lang w:val="en-US" w:eastAsia="zh-CN" w:bidi="ar"/>
              </w:rPr>
            </w:pPr>
            <w:r>
              <w:rPr>
                <w:rFonts w:hint="eastAsia" w:ascii="仿宋_GB2312" w:hAnsi="仿宋_GB2312" w:eastAsia="仿宋_GB2312" w:cs="仿宋_GB2312"/>
                <w:b w:val="0"/>
                <w:bCs w:val="0"/>
                <w:i w:val="0"/>
                <w:iCs w:val="0"/>
                <w:color w:val="auto"/>
                <w:kern w:val="0"/>
                <w:sz w:val="18"/>
                <w:szCs w:val="18"/>
                <w:highlight w:val="none"/>
                <w:u w:val="none"/>
                <w:lang w:val="en-US" w:eastAsia="zh-CN" w:bidi="ar"/>
              </w:rPr>
              <w:t>0</w:t>
            </w:r>
          </w:p>
        </w:tc>
        <w:tc>
          <w:tcPr>
            <w:tcW w:w="30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spacing w:line="400" w:lineRule="exact"/>
              <w:jc w:val="center"/>
              <w:textAlignment w:val="center"/>
              <w:rPr>
                <w:rStyle w:val="44"/>
                <w:rFonts w:hint="default" w:ascii="仿宋_GB2312" w:hAnsi="仿宋_GB2312" w:eastAsia="仿宋_GB2312" w:cs="仿宋_GB2312"/>
                <w:b w:val="0"/>
                <w:bCs w:val="0"/>
                <w:color w:val="auto"/>
                <w:sz w:val="18"/>
                <w:szCs w:val="18"/>
                <w:highlight w:val="none"/>
                <w:lang w:val="en-US" w:eastAsia="zh-CN" w:bidi="ar"/>
              </w:rPr>
            </w:pPr>
            <w:r>
              <w:rPr>
                <w:rStyle w:val="44"/>
                <w:rFonts w:hint="eastAsia" w:ascii="仿宋_GB2312" w:hAnsi="仿宋_GB2312" w:eastAsia="仿宋_GB2312" w:cs="仿宋_GB2312"/>
                <w:b w:val="0"/>
                <w:bCs w:val="0"/>
                <w:color w:val="auto"/>
                <w:sz w:val="18"/>
                <w:szCs w:val="18"/>
                <w:highlight w:val="none"/>
                <w:lang w:val="en-US" w:eastAsia="zh-CN" w:bidi="ar"/>
              </w:rPr>
              <w:t>0</w:t>
            </w:r>
          </w:p>
        </w:tc>
      </w:tr>
    </w:tbl>
    <w:p>
      <w:pPr>
        <w:keepNext w:val="0"/>
        <w:keepLines w:val="0"/>
        <w:pageBreakBefore w:val="0"/>
        <w:kinsoku/>
        <w:wordWrap/>
        <w:overflowPunct/>
        <w:topLinePunct w:val="0"/>
        <w:autoSpaceDE/>
        <w:autoSpaceDN/>
        <w:bidi w:val="0"/>
        <w:spacing w:line="560" w:lineRule="exact"/>
        <w:ind w:firstLine="640" w:firstLineChars="200"/>
        <w:rPr>
          <w:rFonts w:hint="eastAsia" w:ascii="仿宋_GB2312" w:hAnsi="Times New Roman" w:eastAsia="仿宋_GB2312" w:cs="Times New Roman"/>
          <w:b/>
          <w:bCs w:val="0"/>
          <w:sz w:val="32"/>
          <w:szCs w:val="32"/>
          <w:highlight w:val="none"/>
        </w:rPr>
      </w:pPr>
      <w:r>
        <w:rPr>
          <w:rFonts w:hint="eastAsia" w:ascii="仿宋_GB2312" w:hAnsi="Times New Roman" w:eastAsia="仿宋_GB2312" w:cs="Times New Roman"/>
          <w:b w:val="0"/>
          <w:bCs/>
          <w:sz w:val="32"/>
          <w:szCs w:val="32"/>
          <w:highlight w:val="none"/>
          <w:lang w:eastAsia="zh-CN"/>
        </w:rPr>
        <w:t>备注：</w:t>
      </w:r>
      <w:r>
        <w:rPr>
          <w:rFonts w:hint="eastAsia" w:ascii="仿宋_GB2312" w:hAnsi="Times New Roman" w:eastAsia="仿宋_GB2312" w:cs="Times New Roman"/>
          <w:b w:val="0"/>
          <w:bCs/>
          <w:sz w:val="32"/>
          <w:szCs w:val="32"/>
          <w:highlight w:val="none"/>
          <w:lang w:val="en-US" w:eastAsia="zh-CN"/>
        </w:rPr>
        <w:t>人工成本利润率不低于“较上年人工成本利润率优化2%”。（以上指标根据快报数测算，待薪酬分配专项审计报告出具后进行调整）</w:t>
      </w:r>
    </w:p>
    <w:p>
      <w:pPr>
        <w:widowControl/>
        <w:spacing w:line="560" w:lineRule="exact"/>
        <w:ind w:firstLine="643" w:firstLineChars="200"/>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（二）任务绩效</w:t>
      </w:r>
    </w:p>
    <w:p>
      <w:pPr>
        <w:widowControl/>
        <w:spacing w:line="56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任务绩效指标为定性的重点任务指标，主要包括经营发展、科技创新、数字化转型、党建工作、投融资、专项工作等。每项得分不超过120分。</w:t>
      </w:r>
    </w:p>
    <w:p>
      <w:pPr>
        <w:widowControl/>
        <w:spacing w:line="560" w:lineRule="exact"/>
        <w:ind w:firstLine="640" w:firstLineChars="200"/>
        <w:rPr>
          <w:rFonts w:hint="default" w:ascii="仿宋_GB2312" w:eastAsia="仿宋_GB2312"/>
          <w:sz w:val="32"/>
          <w:szCs w:val="32"/>
          <w:highlight w:val="none"/>
          <w:lang w:val="en-US" w:eastAsia="zh-CN"/>
        </w:rPr>
      </w:pPr>
    </w:p>
    <w:tbl>
      <w:tblPr>
        <w:tblStyle w:val="46"/>
        <w:tblW w:w="52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60"/>
        <w:gridCol w:w="1366"/>
        <w:gridCol w:w="6382"/>
        <w:gridCol w:w="9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trPr>
        <w:tc>
          <w:tcPr>
            <w:tcW w:w="30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color w:val="000000" w:themeColor="text1"/>
                <w:spacing w:val="3"/>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pacing w:val="3"/>
                <w:sz w:val="24"/>
                <w:szCs w:val="24"/>
                <w:highlight w:val="none"/>
                <w14:textFill>
                  <w14:solidFill>
                    <w14:schemeClr w14:val="tx1"/>
                  </w14:solidFill>
                </w14:textFill>
              </w:rPr>
              <w:t>序号</w:t>
            </w:r>
          </w:p>
        </w:tc>
        <w:tc>
          <w:tcPr>
            <w:tcW w:w="736"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color w:val="000000" w:themeColor="text1"/>
                <w:spacing w:val="3"/>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pacing w:val="3"/>
                <w:sz w:val="24"/>
                <w:szCs w:val="24"/>
                <w:highlight w:val="none"/>
                <w14:textFill>
                  <w14:solidFill>
                    <w14:schemeClr w14:val="tx1"/>
                  </w14:solidFill>
                </w14:textFill>
              </w:rPr>
              <w:t>指标名称</w:t>
            </w:r>
          </w:p>
        </w:tc>
        <w:tc>
          <w:tcPr>
            <w:tcW w:w="34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color w:val="000000" w:themeColor="text1"/>
                <w:spacing w:val="3"/>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pacing w:val="3"/>
                <w:sz w:val="24"/>
                <w:szCs w:val="24"/>
                <w:highlight w:val="none"/>
                <w14:textFill>
                  <w14:solidFill>
                    <w14:schemeClr w14:val="tx1"/>
                  </w14:solidFill>
                </w14:textFill>
              </w:rPr>
              <w:t>202</w:t>
            </w:r>
            <w:r>
              <w:rPr>
                <w:rFonts w:hint="eastAsia" w:ascii="仿宋_GB2312" w:hAnsi="仿宋_GB2312" w:eastAsia="仿宋_GB2312" w:cs="仿宋_GB2312"/>
                <w:b/>
                <w:bCs/>
                <w:color w:val="000000" w:themeColor="text1"/>
                <w:spacing w:val="3"/>
                <w:sz w:val="24"/>
                <w:szCs w:val="24"/>
                <w:highlight w:val="none"/>
                <w:lang w:val="en-US" w:eastAsia="zh-CN"/>
                <w14:textFill>
                  <w14:solidFill>
                    <w14:schemeClr w14:val="tx1"/>
                  </w14:solidFill>
                </w14:textFill>
              </w:rPr>
              <w:t>4</w:t>
            </w:r>
            <w:r>
              <w:rPr>
                <w:rFonts w:hint="eastAsia" w:ascii="仿宋_GB2312" w:hAnsi="仿宋_GB2312" w:eastAsia="仿宋_GB2312" w:cs="仿宋_GB2312"/>
                <w:b/>
                <w:bCs/>
                <w:color w:val="000000" w:themeColor="text1"/>
                <w:spacing w:val="3"/>
                <w:sz w:val="24"/>
                <w:szCs w:val="24"/>
                <w:highlight w:val="none"/>
                <w14:textFill>
                  <w14:solidFill>
                    <w14:schemeClr w14:val="tx1"/>
                  </w14:solidFill>
                </w14:textFill>
              </w:rPr>
              <w:t>年度目标</w:t>
            </w:r>
          </w:p>
        </w:tc>
        <w:tc>
          <w:tcPr>
            <w:tcW w:w="52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pacing w:val="-3"/>
                <w:sz w:val="24"/>
                <w:szCs w:val="24"/>
                <w:highlight w:val="none"/>
                <w14:textFill>
                  <w14:solidFill>
                    <w14:schemeClr w14:val="tx1"/>
                  </w14:solidFill>
                </w14:textFill>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1</w:t>
            </w:r>
          </w:p>
        </w:tc>
        <w:tc>
          <w:tcPr>
            <w:tcW w:w="736"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default"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经营发展</w:t>
            </w:r>
          </w:p>
        </w:tc>
        <w:tc>
          <w:tcPr>
            <w:tcW w:w="34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_GB2312" w:hAnsi="仿宋_GB2312" w:eastAsia="仿宋_GB2312" w:cs="仿宋_GB2312"/>
                <w:color w:val="000000" w:themeColor="text1"/>
                <w:spacing w:val="3"/>
                <w:sz w:val="24"/>
                <w:szCs w:val="24"/>
                <w:highlight w:val="none"/>
                <w:lang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九洲科工园后勤服务满意度达到80%（全员评价）。</w:t>
            </w:r>
          </w:p>
        </w:tc>
        <w:tc>
          <w:tcPr>
            <w:tcW w:w="52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2</w:t>
            </w:r>
          </w:p>
        </w:tc>
        <w:tc>
          <w:tcPr>
            <w:tcW w:w="736"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安全环保</w:t>
            </w:r>
          </w:p>
        </w:tc>
        <w:tc>
          <w:tcPr>
            <w:tcW w:w="34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完成年度安全责任书层层签订，抓实《全员安全生产责任制》《安全生产和环境保护考核追责办法》等制度的贯彻执行。</w:t>
            </w:r>
          </w:p>
        </w:tc>
        <w:tc>
          <w:tcPr>
            <w:tcW w:w="52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3</w:t>
            </w:r>
          </w:p>
        </w:tc>
        <w:tc>
          <w:tcPr>
            <w:tcW w:w="736"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安全环保</w:t>
            </w:r>
          </w:p>
        </w:tc>
        <w:tc>
          <w:tcPr>
            <w:tcW w:w="34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推进双重预防机制和安全生产标准化建设，开展安全生产隐患排查，集团隐患整改率达98%以上;全年死亡事故为0、重伤事故为0、轻伤率≤1‰。</w:t>
            </w:r>
          </w:p>
        </w:tc>
        <w:tc>
          <w:tcPr>
            <w:tcW w:w="52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2"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4</w:t>
            </w:r>
          </w:p>
        </w:tc>
        <w:tc>
          <w:tcPr>
            <w:tcW w:w="736"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安全环保</w:t>
            </w:r>
          </w:p>
        </w:tc>
        <w:tc>
          <w:tcPr>
            <w:tcW w:w="3439" w:type="pct"/>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开展环境保护、职业健康专项排查治理，确保职业病及职业中毒事故为0、环境污染事故为0。</w:t>
            </w:r>
          </w:p>
        </w:tc>
        <w:tc>
          <w:tcPr>
            <w:tcW w:w="522" w:type="pct"/>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2"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default"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5</w:t>
            </w:r>
          </w:p>
        </w:tc>
        <w:tc>
          <w:tcPr>
            <w:tcW w:w="736"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基建保障</w:t>
            </w:r>
          </w:p>
        </w:tc>
        <w:tc>
          <w:tcPr>
            <w:tcW w:w="3439"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按集团决策意见推进实</w:t>
            </w:r>
            <w:bookmarkStart w:id="0" w:name="_GoBack"/>
            <w:bookmarkEnd w:id="0"/>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施：</w:t>
            </w:r>
            <w:r>
              <w:rPr>
                <w:rFonts w:hint="eastAsia" w:ascii="仿宋_GB2312" w:hAnsi="仿宋_GB2312" w:eastAsia="仿宋_GB2312" w:cs="仿宋_GB2312"/>
                <w:color w:val="000000" w:themeColor="text1"/>
                <w:spacing w:val="-11"/>
                <w:sz w:val="24"/>
                <w:szCs w:val="24"/>
                <w:highlight w:val="none"/>
                <w:lang w:val="en-US" w:eastAsia="zh-CN"/>
                <w14:textFill>
                  <w14:solidFill>
                    <w14:schemeClr w14:val="tx1"/>
                  </w14:solidFill>
                </w14:textFill>
              </w:rPr>
              <w:t>1.职工健身中心改造建设；2.201大楼一、二楼卫生间升级改造；3.九洲科工园各大门更新改造；4.新建九洲科工园单身公寓项目或者利用外部资源解决职工住宿问题的论证；5.民品区道路升级改造和环境美化提升。</w:t>
            </w:r>
          </w:p>
        </w:tc>
        <w:tc>
          <w:tcPr>
            <w:tcW w:w="52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2"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default"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6</w:t>
            </w:r>
          </w:p>
        </w:tc>
        <w:tc>
          <w:tcPr>
            <w:tcW w:w="736"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基建保障</w:t>
            </w:r>
          </w:p>
        </w:tc>
        <w:tc>
          <w:tcPr>
            <w:tcW w:w="3439"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完成</w:t>
            </w:r>
            <w:r>
              <w:rPr>
                <w:rFonts w:hint="eastAsia" w:ascii="仿宋_GB2312" w:hAnsi="仿宋_GB2312" w:eastAsia="仿宋_GB2312" w:cs="仿宋_GB2312"/>
                <w:color w:val="000000" w:themeColor="text1"/>
                <w:spacing w:val="-6"/>
                <w:sz w:val="24"/>
                <w:szCs w:val="24"/>
                <w:highlight w:val="none"/>
                <w:lang w:val="en-US" w:eastAsia="zh-CN"/>
                <w14:textFill>
                  <w14:solidFill>
                    <w14:schemeClr w14:val="tx1"/>
                  </w14:solidFill>
                </w14:textFill>
              </w:rPr>
              <w:t>九洲科工园新建综合性工业厂房(113#、114#)竣工验收。</w:t>
            </w:r>
          </w:p>
        </w:tc>
        <w:tc>
          <w:tcPr>
            <w:tcW w:w="52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2"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default"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7</w:t>
            </w:r>
          </w:p>
        </w:tc>
        <w:tc>
          <w:tcPr>
            <w:tcW w:w="736"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基建保障</w:t>
            </w:r>
          </w:p>
        </w:tc>
        <w:tc>
          <w:tcPr>
            <w:tcW w:w="3439"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完成</w:t>
            </w:r>
            <w:r>
              <w:rPr>
                <w:rFonts w:hint="eastAsia" w:ascii="仿宋_GB2312" w:hAnsi="仿宋_GB2312" w:eastAsia="仿宋_GB2312" w:cs="仿宋_GB2312"/>
                <w:color w:val="000000" w:themeColor="text1"/>
                <w:spacing w:val="-6"/>
                <w:sz w:val="24"/>
                <w:szCs w:val="24"/>
                <w:highlight w:val="none"/>
                <w:lang w:val="en-US" w:eastAsia="zh-CN"/>
                <w14:textFill>
                  <w14:solidFill>
                    <w14:schemeClr w14:val="tx1"/>
                  </w14:solidFill>
                </w14:textFill>
              </w:rPr>
              <w:t>民品区单身公寓室内翻新；民品区装饰架拆除和外墙翻新。</w:t>
            </w:r>
          </w:p>
        </w:tc>
        <w:tc>
          <w:tcPr>
            <w:tcW w:w="52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2"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8</w:t>
            </w:r>
          </w:p>
        </w:tc>
        <w:tc>
          <w:tcPr>
            <w:tcW w:w="736"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信访工作</w:t>
            </w:r>
          </w:p>
        </w:tc>
        <w:tc>
          <w:tcPr>
            <w:tcW w:w="3439"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leftChars="0"/>
              <w:jc w:val="left"/>
              <w:textAlignment w:val="auto"/>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健全信访工作台账，建立重点信访人员、信访事项工作档案。</w:t>
            </w:r>
          </w:p>
        </w:tc>
        <w:tc>
          <w:tcPr>
            <w:tcW w:w="52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2"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default"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9</w:t>
            </w:r>
          </w:p>
        </w:tc>
        <w:tc>
          <w:tcPr>
            <w:tcW w:w="736"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数字化转型</w:t>
            </w:r>
          </w:p>
        </w:tc>
        <w:tc>
          <w:tcPr>
            <w:tcW w:w="3439"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主要业务流程上线率达到80%。</w:t>
            </w:r>
          </w:p>
        </w:tc>
        <w:tc>
          <w:tcPr>
            <w:tcW w:w="52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302"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default"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10</w:t>
            </w:r>
          </w:p>
        </w:tc>
        <w:tc>
          <w:tcPr>
            <w:tcW w:w="736"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党建</w:t>
            </w:r>
          </w:p>
        </w:tc>
        <w:tc>
          <w:tcPr>
            <w:tcW w:w="3439" w:type="pct"/>
            <w:tcBorders>
              <w:top w:val="single" w:color="auto" w:sz="4" w:space="0"/>
              <w:left w:val="single" w:color="auto" w:sz="4" w:space="0"/>
              <w:bottom w:val="single" w:color="auto" w:sz="4" w:space="0"/>
              <w:right w:val="single" w:color="auto" w:sz="4" w:space="0"/>
            </w:tcBorders>
            <w:noWrap w:val="0"/>
            <w:vAlign w:val="center"/>
          </w:tcPr>
          <w:p>
            <w:pPr>
              <w:pStyle w:val="45"/>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pacing w:val="3"/>
                <w:sz w:val="24"/>
                <w:szCs w:val="24"/>
                <w:highlight w:val="none"/>
                <w:lang w:val="en-US" w:eastAsia="zh-CN"/>
                <w14:textFill>
                  <w14:solidFill>
                    <w14:schemeClr w14:val="tx1"/>
                  </w14:solidFill>
                </w14:textFill>
              </w:rPr>
              <w:t>加强党组织建设、推进党的理论建设、加强党风廉政建设。</w:t>
            </w:r>
          </w:p>
        </w:tc>
        <w:tc>
          <w:tcPr>
            <w:tcW w:w="52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24"/>
                <w:szCs w:val="24"/>
                <w:highlight w:val="none"/>
                <w:lang w:val="en-US" w:eastAsia="zh-CN" w:bidi="ar-SA"/>
                <w14:textFill>
                  <w14:solidFill>
                    <w14:schemeClr w14:val="tx1"/>
                  </w14:solidFill>
                </w14:textFill>
              </w:rPr>
              <w:t>10%</w:t>
            </w:r>
          </w:p>
        </w:tc>
      </w:tr>
    </w:tbl>
    <w:p>
      <w:pPr>
        <w:keepNext w:val="0"/>
        <w:keepLines w:val="0"/>
        <w:pageBreakBefore w:val="0"/>
        <w:widowControl/>
        <w:kinsoku/>
        <w:wordWrap/>
        <w:overflowPunct/>
        <w:topLinePunct w:val="0"/>
        <w:autoSpaceDE/>
        <w:autoSpaceDN/>
        <w:bidi w:val="0"/>
        <w:adjustRightInd/>
        <w:snapToGrid/>
        <w:spacing w:line="540" w:lineRule="exact"/>
        <w:ind w:firstLine="643"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（三）协同绩效指标</w:t>
      </w:r>
    </w:p>
    <w:p>
      <w:pPr>
        <w:keepNext w:val="0"/>
        <w:keepLines w:val="0"/>
        <w:pageBreakBefore w:val="0"/>
        <w:widowControl/>
        <w:kinsoku/>
        <w:wordWrap/>
        <w:overflowPunct/>
        <w:topLinePunct w:val="0"/>
        <w:autoSpaceDE/>
        <w:autoSpaceDN/>
        <w:bidi w:val="0"/>
        <w:adjustRightInd/>
        <w:snapToGrid/>
        <w:spacing w:line="540" w:lineRule="exact"/>
        <w:ind w:firstLine="643" w:firstLineChars="200"/>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1．协同</w:t>
      </w:r>
      <w:r>
        <w:rPr>
          <w:rFonts w:hint="default" w:ascii="仿宋_GB2312" w:eastAsia="仿宋_GB2312"/>
          <w:b/>
          <w:bCs/>
          <w:sz w:val="32"/>
          <w:szCs w:val="32"/>
          <w:highlight w:val="none"/>
          <w:lang w:val="en-US" w:eastAsia="zh-CN"/>
        </w:rPr>
        <w:t>绩效考评</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由公司主要领导、分管领导、主要业务关联单位负责人等从业务上下游协作配合效果和工作具体成效等方面进行综合评价打分。具体评分规则如下：</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Ⅰ档(150分)：协作效果好，工作成效远超预期。</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Ⅱ档(120分)：协作效果较好，工作成效符合预期。</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Ⅲ档(100分)：协作效果和工作成效基本符合预期。</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Ⅳ档(80分)：协作效果不佳，工作成效与预期有一定差距。</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Ⅴ档(60分)：协作效果较差，工作成效与预期有较大差距。</w:t>
      </w:r>
    </w:p>
    <w:p>
      <w:pPr>
        <w:keepNext w:val="0"/>
        <w:keepLines w:val="0"/>
        <w:pageBreakBefore w:val="0"/>
        <w:widowControl/>
        <w:kinsoku/>
        <w:wordWrap/>
        <w:overflowPunct/>
        <w:topLinePunct w:val="0"/>
        <w:autoSpaceDE/>
        <w:autoSpaceDN/>
        <w:bidi w:val="0"/>
        <w:adjustRightInd/>
        <w:snapToGrid/>
        <w:spacing w:line="540" w:lineRule="exact"/>
        <w:ind w:firstLine="643" w:firstLineChars="200"/>
        <w:textAlignment w:val="auto"/>
        <w:rPr>
          <w:rFonts w:hint="default" w:ascii="仿宋_GB2312" w:eastAsia="仿宋_GB2312"/>
          <w:b/>
          <w:bCs/>
          <w:sz w:val="32"/>
          <w:szCs w:val="32"/>
          <w:highlight w:val="none"/>
          <w:lang w:val="en-US" w:eastAsia="zh-CN"/>
        </w:rPr>
      </w:pPr>
      <w:r>
        <w:rPr>
          <w:rFonts w:hint="eastAsia" w:ascii="仿宋_GB2312" w:eastAsia="仿宋_GB2312"/>
          <w:b/>
          <w:bCs/>
          <w:sz w:val="32"/>
          <w:szCs w:val="32"/>
          <w:highlight w:val="none"/>
          <w:lang w:val="en-US" w:eastAsia="zh-CN"/>
        </w:rPr>
        <w:t>2．协同</w:t>
      </w:r>
      <w:r>
        <w:rPr>
          <w:rFonts w:hint="default" w:ascii="仿宋_GB2312" w:eastAsia="仿宋_GB2312"/>
          <w:b/>
          <w:bCs/>
          <w:sz w:val="32"/>
          <w:szCs w:val="32"/>
          <w:highlight w:val="none"/>
          <w:lang w:val="en-US" w:eastAsia="zh-CN"/>
        </w:rPr>
        <w:t>绩效得分</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w:t>
      </w:r>
      <w:r>
        <w:rPr>
          <w:rFonts w:hint="default" w:ascii="仿宋_GB2312" w:eastAsia="仿宋_GB2312"/>
          <w:sz w:val="32"/>
          <w:szCs w:val="32"/>
          <w:highlight w:val="none"/>
          <w:lang w:val="en-US" w:eastAsia="zh-CN"/>
        </w:rPr>
        <w:t>各单位第一负责人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年度周边绩效得分=集团公司主要领导评分×30%+分管领导评分×40%+业务关联单位第一负责人评分×30%</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pacing w:val="-11"/>
          <w:sz w:val="32"/>
          <w:szCs w:val="32"/>
          <w:highlight w:val="none"/>
          <w:lang w:val="en-US" w:eastAsia="zh-CN"/>
        </w:rPr>
      </w:pPr>
      <w:r>
        <w:rPr>
          <w:rFonts w:hint="eastAsia" w:ascii="仿宋_GB2312" w:eastAsia="仿宋_GB2312"/>
          <w:sz w:val="32"/>
          <w:szCs w:val="32"/>
          <w:highlight w:val="none"/>
          <w:lang w:val="en-US" w:eastAsia="zh-CN"/>
        </w:rPr>
        <w:t>（2）</w:t>
      </w:r>
      <w:r>
        <w:rPr>
          <w:rFonts w:hint="default" w:ascii="仿宋_GB2312" w:eastAsia="仿宋_GB2312"/>
          <w:spacing w:val="-11"/>
          <w:sz w:val="32"/>
          <w:szCs w:val="32"/>
          <w:highlight w:val="none"/>
          <w:lang w:val="en-US" w:eastAsia="zh-CN"/>
        </w:rPr>
        <w:t>各单位其他纳入九洲集团公司职数管理的中层管理人员</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default" w:ascii="仿宋_GB2312" w:eastAsia="仿宋_GB2312"/>
          <w:sz w:val="32"/>
          <w:szCs w:val="32"/>
          <w:highlight w:val="none"/>
          <w:lang w:val="en-US" w:eastAsia="zh-CN"/>
        </w:rPr>
      </w:pPr>
      <w:r>
        <w:rPr>
          <w:rFonts w:hint="default" w:ascii="仿宋_GB2312" w:eastAsia="仿宋_GB2312"/>
          <w:sz w:val="32"/>
          <w:szCs w:val="32"/>
          <w:highlight w:val="none"/>
          <w:lang w:val="en-US" w:eastAsia="zh-CN"/>
        </w:rPr>
        <w:t>年度周边绩效得分=分管领导评分×30%+单位第一负责人评分×40%+业务关联单位负责人评分×30%</w:t>
      </w:r>
    </w:p>
    <w:p>
      <w:pPr>
        <w:keepNext w:val="0"/>
        <w:keepLines w:val="0"/>
        <w:pageBreakBefore w:val="0"/>
        <w:widowControl/>
        <w:kinsoku/>
        <w:wordWrap/>
        <w:overflowPunct/>
        <w:topLinePunct w:val="0"/>
        <w:autoSpaceDE/>
        <w:autoSpaceDN/>
        <w:bidi w:val="0"/>
        <w:adjustRightInd/>
        <w:snapToGrid/>
        <w:spacing w:line="540" w:lineRule="exact"/>
        <w:ind w:firstLine="643" w:firstLineChars="200"/>
        <w:textAlignment w:val="auto"/>
        <w:rPr>
          <w:rFonts w:hint="default"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（四）红线指标</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红线指标为不能突破的红线条款，主要包括党风廉政建设、安全、保密和践行企业文化等。采取扣分制，原则上红线指标总扣分不超过10分，因为党风廉政建设、安全、保密等造成一票否决或重大责任事故的，全部或部分扣减年度绩效得分。</w:t>
      </w:r>
    </w:p>
    <w:p>
      <w:pPr>
        <w:keepNext w:val="0"/>
        <w:keepLines w:val="0"/>
        <w:pageBreakBefore w:val="0"/>
        <w:numPr>
          <w:ilvl w:val="0"/>
          <w:numId w:val="0"/>
        </w:numPr>
        <w:kinsoku/>
        <w:wordWrap/>
        <w:overflowPunct/>
        <w:topLinePunct w:val="0"/>
        <w:autoSpaceDE/>
        <w:autoSpaceDN/>
        <w:bidi w:val="0"/>
        <w:adjustRightInd/>
        <w:snapToGrid/>
        <w:spacing w:line="540" w:lineRule="exact"/>
        <w:ind w:left="641" w:leftChars="0"/>
        <w:jc w:val="left"/>
        <w:textAlignment w:val="auto"/>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三、考核兑现</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cs="Times New Roman"/>
          <w:b/>
          <w:bCs w:val="0"/>
          <w:sz w:val="32"/>
          <w:szCs w:val="32"/>
          <w:highlight w:val="none"/>
          <w:lang w:eastAsia="zh-CN"/>
        </w:rPr>
      </w:pPr>
      <w:r>
        <w:rPr>
          <w:rFonts w:hint="eastAsia" w:ascii="仿宋_GB2312" w:hAnsi="宋体" w:eastAsia="仿宋_GB2312" w:cs="Times New Roman"/>
          <w:b/>
          <w:bCs w:val="0"/>
          <w:sz w:val="32"/>
          <w:szCs w:val="32"/>
          <w:highlight w:val="none"/>
          <w:lang w:eastAsia="zh-CN"/>
        </w:rPr>
        <w:t>考核得分=组织绩效得分×</w:t>
      </w:r>
      <w:r>
        <w:rPr>
          <w:rFonts w:hint="eastAsia" w:ascii="仿宋_GB2312" w:hAnsi="宋体" w:eastAsia="仿宋_GB2312" w:cs="Times New Roman"/>
          <w:b/>
          <w:bCs w:val="0"/>
          <w:sz w:val="32"/>
          <w:szCs w:val="32"/>
          <w:highlight w:val="none"/>
          <w:lang w:val="en-US" w:eastAsia="zh-CN"/>
        </w:rPr>
        <w:t>3</w:t>
      </w:r>
      <w:r>
        <w:rPr>
          <w:rFonts w:hint="eastAsia" w:ascii="仿宋_GB2312" w:hAnsi="宋体" w:eastAsia="仿宋_GB2312" w:cs="Times New Roman"/>
          <w:b/>
          <w:bCs w:val="0"/>
          <w:sz w:val="32"/>
          <w:szCs w:val="32"/>
          <w:highlight w:val="none"/>
          <w:lang w:eastAsia="zh-CN"/>
        </w:rPr>
        <w:t>0%+任务绩效得分×</w:t>
      </w:r>
      <w:r>
        <w:rPr>
          <w:rFonts w:hint="eastAsia" w:ascii="仿宋_GB2312" w:hAnsi="宋体" w:eastAsia="仿宋_GB2312" w:cs="Times New Roman"/>
          <w:b/>
          <w:bCs w:val="0"/>
          <w:sz w:val="32"/>
          <w:szCs w:val="32"/>
          <w:highlight w:val="none"/>
          <w:lang w:val="en-US" w:eastAsia="zh-CN"/>
        </w:rPr>
        <w:t>5</w:t>
      </w:r>
      <w:r>
        <w:rPr>
          <w:rFonts w:hint="eastAsia" w:ascii="仿宋_GB2312" w:hAnsi="宋体" w:eastAsia="仿宋_GB2312" w:cs="Times New Roman"/>
          <w:b/>
          <w:bCs w:val="0"/>
          <w:sz w:val="32"/>
          <w:szCs w:val="32"/>
          <w:highlight w:val="none"/>
          <w:lang w:eastAsia="zh-CN"/>
        </w:rPr>
        <w:t>0%+</w:t>
      </w:r>
      <w:r>
        <w:rPr>
          <w:rFonts w:hint="eastAsia" w:ascii="仿宋_GB2312" w:hAnsi="宋体" w:eastAsia="仿宋_GB2312" w:cs="Times New Roman"/>
          <w:b/>
          <w:bCs w:val="0"/>
          <w:sz w:val="32"/>
          <w:szCs w:val="32"/>
          <w:highlight w:val="none"/>
          <w:lang w:val="en-US" w:eastAsia="zh-CN"/>
        </w:rPr>
        <w:t>协同</w:t>
      </w:r>
      <w:r>
        <w:rPr>
          <w:rFonts w:hint="eastAsia" w:ascii="仿宋_GB2312" w:hAnsi="宋体" w:eastAsia="仿宋_GB2312" w:cs="Times New Roman"/>
          <w:b/>
          <w:bCs w:val="0"/>
          <w:sz w:val="32"/>
          <w:szCs w:val="32"/>
          <w:highlight w:val="none"/>
          <w:lang w:eastAsia="zh-CN"/>
        </w:rPr>
        <w:t>绩效得分×20%-红线指标扣分</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年薪=基本年薪+绩效年薪</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基本年薪占年薪标准的</w:t>
      </w:r>
      <w:r>
        <w:rPr>
          <w:rFonts w:hint="eastAsia" w:ascii="仿宋_GB2312" w:hAnsi="宋体" w:eastAsia="仿宋_GB2312" w:cs="Times New Roman"/>
          <w:b w:val="0"/>
          <w:bCs/>
          <w:sz w:val="32"/>
          <w:szCs w:val="32"/>
          <w:highlight w:val="none"/>
          <w:lang w:val="en-US" w:eastAsia="zh-CN"/>
        </w:rPr>
        <w:t>4</w:t>
      </w:r>
      <w:r>
        <w:rPr>
          <w:rFonts w:hint="eastAsia" w:ascii="仿宋_GB2312" w:hAnsi="宋体" w:eastAsia="仿宋_GB2312" w:cs="Times New Roman"/>
          <w:b w:val="0"/>
          <w:bCs/>
          <w:sz w:val="32"/>
          <w:szCs w:val="32"/>
          <w:highlight w:val="none"/>
          <w:lang w:eastAsia="zh-CN"/>
        </w:rPr>
        <w:t>0%，绩效年薪占年薪标准的</w:t>
      </w:r>
      <w:r>
        <w:rPr>
          <w:rFonts w:hint="eastAsia" w:ascii="仿宋_GB2312" w:hAnsi="宋体" w:eastAsia="仿宋_GB2312" w:cs="Times New Roman"/>
          <w:b w:val="0"/>
          <w:bCs/>
          <w:sz w:val="32"/>
          <w:szCs w:val="32"/>
          <w:highlight w:val="none"/>
          <w:lang w:val="en-US" w:eastAsia="zh-CN"/>
        </w:rPr>
        <w:t>6</w:t>
      </w:r>
      <w:r>
        <w:rPr>
          <w:rFonts w:hint="eastAsia" w:ascii="仿宋_GB2312" w:hAnsi="宋体" w:eastAsia="仿宋_GB2312" w:cs="Times New Roman"/>
          <w:b w:val="0"/>
          <w:bCs/>
          <w:sz w:val="32"/>
          <w:szCs w:val="32"/>
          <w:highlight w:val="none"/>
          <w:lang w:eastAsia="zh-CN"/>
        </w:rPr>
        <w:t>0%。年薪兑现与乙方年度经营业绩考核得分挂钩，具体挂钩方式如下：</w:t>
      </w:r>
    </w:p>
    <w:p>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cs="Times New Roman"/>
          <w:b/>
          <w:bCs w:val="0"/>
          <w:sz w:val="32"/>
          <w:szCs w:val="32"/>
          <w:highlight w:val="none"/>
          <w:lang w:val="en-US" w:eastAsia="zh-CN"/>
        </w:rPr>
      </w:pPr>
      <w:r>
        <w:rPr>
          <w:rFonts w:hint="eastAsia" w:ascii="仿宋_GB2312" w:hAnsi="宋体" w:eastAsia="仿宋_GB2312" w:cs="Times New Roman"/>
          <w:b/>
          <w:bCs w:val="0"/>
          <w:sz w:val="32"/>
          <w:szCs w:val="32"/>
          <w:highlight w:val="none"/>
          <w:lang w:val="en-US" w:eastAsia="zh-CN"/>
        </w:rPr>
        <w:t>绩效年薪=绩效年薪标准×考核得分/100。绩效年薪不超过绩效年薪标准的2倍。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hAnsi="宋体" w:eastAsia="仿宋_GB2312" w:cs="Times New Roman"/>
          <w:b w:val="0"/>
          <w:bCs/>
          <w:sz w:val="32"/>
          <w:szCs w:val="32"/>
          <w:highlight w:val="none"/>
          <w:lang w:eastAsia="zh-CN"/>
        </w:rPr>
        <w:t>乙方年薪实行预发制，年终根据考核结果结算年薪，并结合已预发年薪兑现剩余部分。</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_GB2312" w:hAnsi="宋体" w:eastAsia="仿宋_GB2312" w:cs="Times New Roman"/>
          <w:b w:val="0"/>
          <w:bCs/>
          <w:sz w:val="32"/>
          <w:szCs w:val="32"/>
          <w:highlight w:val="none"/>
          <w:lang w:eastAsia="zh-CN"/>
        </w:rPr>
      </w:pPr>
      <w:r>
        <w:rPr>
          <w:rFonts w:hint="eastAsia" w:ascii="仿宋_GB2312" w:eastAsia="仿宋_GB2312"/>
          <w:sz w:val="32"/>
          <w:szCs w:val="32"/>
          <w:highlight w:val="none"/>
          <w:lang w:val="en-US" w:eastAsia="zh-CN"/>
        </w:rPr>
        <w:t>超额利润奖励按照专项考核管理办法进行。</w:t>
      </w:r>
    </w:p>
    <w:p>
      <w:pPr>
        <w:keepNext w:val="0"/>
        <w:keepLines w:val="0"/>
        <w:pageBreakBefore w:val="0"/>
        <w:numPr>
          <w:ilvl w:val="0"/>
          <w:numId w:val="0"/>
        </w:numPr>
        <w:kinsoku/>
        <w:wordWrap/>
        <w:overflowPunct/>
        <w:topLinePunct w:val="0"/>
        <w:autoSpaceDE/>
        <w:autoSpaceDN/>
        <w:bidi w:val="0"/>
        <w:adjustRightInd/>
        <w:snapToGrid/>
        <w:spacing w:line="540" w:lineRule="exact"/>
        <w:ind w:left="641" w:leftChars="0"/>
        <w:jc w:val="left"/>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其他</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宋体" w:eastAsia="仿宋_GB2312"/>
          <w:b w:val="0"/>
          <w:bCs/>
          <w:sz w:val="32"/>
          <w:szCs w:val="32"/>
          <w:highlight w:val="none"/>
        </w:rPr>
      </w:pPr>
      <w:r>
        <w:rPr>
          <w:rFonts w:hint="eastAsia" w:ascii="仿宋_GB2312" w:hAnsi="宋体" w:eastAsia="仿宋_GB2312"/>
          <w:b w:val="0"/>
          <w:bCs/>
          <w:sz w:val="32"/>
          <w:szCs w:val="32"/>
          <w:highlight w:val="none"/>
        </w:rPr>
        <w:t>1</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本协议其他未尽事宜由双方另行协商。</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eastAsia="仿宋_GB2312"/>
          <w:b w:val="0"/>
          <w:bCs/>
          <w:sz w:val="32"/>
          <w:szCs w:val="32"/>
          <w:highlight w:val="none"/>
        </w:rPr>
      </w:pPr>
      <w:r>
        <w:rPr>
          <w:rFonts w:hint="eastAsia" w:ascii="仿宋_GB2312" w:hAnsi="宋体" w:eastAsia="仿宋_GB2312"/>
          <w:b w:val="0"/>
          <w:bCs/>
          <w:sz w:val="32"/>
          <w:szCs w:val="32"/>
          <w:highlight w:val="none"/>
        </w:rPr>
        <w:t>2</w:t>
      </w:r>
      <w:r>
        <w:rPr>
          <w:rFonts w:hint="eastAsia" w:ascii="仿宋_GB2312" w:hAnsi="宋体" w:eastAsia="仿宋_GB2312"/>
          <w:b w:val="0"/>
          <w:bCs/>
          <w:sz w:val="32"/>
          <w:szCs w:val="32"/>
          <w:highlight w:val="none"/>
          <w:lang w:eastAsia="zh-CN"/>
        </w:rPr>
        <w:t>．</w:t>
      </w:r>
      <w:r>
        <w:rPr>
          <w:rFonts w:hint="eastAsia" w:ascii="仿宋_GB2312" w:hAnsi="宋体" w:eastAsia="仿宋_GB2312"/>
          <w:b w:val="0"/>
          <w:bCs/>
          <w:sz w:val="32"/>
          <w:szCs w:val="32"/>
          <w:highlight w:val="none"/>
        </w:rPr>
        <w:t>本协议一式三份，甲方、乙方、干部管理部门各执一份，自甲、乙双方签字（盖章）之日起生效。</w:t>
      </w: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spacing w:line="560" w:lineRule="exact"/>
        <w:rPr>
          <w:rFonts w:hint="eastAsia" w:ascii="仿宋_GB2312" w:hAnsi="宋体" w:eastAsia="仿宋_GB2312"/>
          <w:b w:val="0"/>
          <w:bCs/>
          <w:sz w:val="32"/>
          <w:szCs w:val="32"/>
          <w:highlight w:val="none"/>
          <w:lang w:val="en-US" w:eastAsia="zh-CN"/>
        </w:rPr>
      </w:pPr>
    </w:p>
    <w:p>
      <w:pPr>
        <w:keepNext w:val="0"/>
        <w:keepLines w:val="0"/>
        <w:pageBreakBefore w:val="0"/>
        <w:tabs>
          <w:tab w:val="left" w:pos="758"/>
        </w:tabs>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ab/>
      </w: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甲方（盖章）：</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乙方（签字）：</w:t>
      </w:r>
    </w:p>
    <w:p>
      <w:pPr>
        <w:keepNext w:val="0"/>
        <w:keepLines w:val="0"/>
        <w:pageBreakBefore w:val="0"/>
        <w:kinsoku/>
        <w:wordWrap/>
        <w:overflowPunct/>
        <w:topLinePunct w:val="0"/>
        <w:autoSpaceDE/>
        <w:autoSpaceDN/>
        <w:bidi w:val="0"/>
        <w:adjustRightInd w:val="0"/>
        <w:snapToGrid w:val="0"/>
        <w:spacing w:line="560" w:lineRule="exact"/>
        <w:rPr>
          <w:rFonts w:ascii="黑体" w:hAnsi="黑体" w:eastAsia="黑体" w:cs="黑体"/>
          <w:b w:val="0"/>
          <w:bCs/>
          <w:sz w:val="32"/>
          <w:szCs w:val="32"/>
          <w:highlight w:val="none"/>
        </w:rPr>
      </w:pPr>
    </w:p>
    <w:p>
      <w:pPr>
        <w:keepNext w:val="0"/>
        <w:keepLines w:val="0"/>
        <w:pageBreakBefore w:val="0"/>
        <w:kinsoku/>
        <w:wordWrap/>
        <w:overflowPunct/>
        <w:topLinePunct w:val="0"/>
        <w:autoSpaceDE/>
        <w:autoSpaceDN/>
        <w:bidi w:val="0"/>
        <w:adjustRightInd w:val="0"/>
        <w:snapToGrid w:val="0"/>
        <w:spacing w:line="560" w:lineRule="exact"/>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rPr>
        <w:t>法定代表人</w:t>
      </w:r>
      <w:r>
        <w:rPr>
          <w:rFonts w:hint="eastAsia" w:ascii="黑体" w:hAnsi="黑体" w:eastAsia="黑体" w:cs="黑体"/>
          <w:b w:val="0"/>
          <w:bCs/>
          <w:sz w:val="32"/>
          <w:szCs w:val="32"/>
          <w:highlight w:val="none"/>
          <w:lang w:val="en-US" w:eastAsia="zh-CN"/>
        </w:rPr>
        <w:t>/授权代表</w:t>
      </w:r>
      <w:r>
        <w:rPr>
          <w:rFonts w:hint="eastAsia" w:ascii="黑体" w:hAnsi="黑体" w:eastAsia="黑体" w:cs="黑体"/>
          <w:b w:val="0"/>
          <w:bCs/>
          <w:sz w:val="32"/>
          <w:szCs w:val="32"/>
          <w:highlight w:val="none"/>
        </w:rPr>
        <w:t>（签字）：</w:t>
      </w: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ascii="黑体" w:hAnsi="黑体" w:eastAsia="黑体" w:cs="黑体"/>
          <w:b w:val="0"/>
          <w:bCs/>
          <w:sz w:val="32"/>
          <w:szCs w:val="32"/>
          <w:highlight w:val="none"/>
        </w:rPr>
      </w:pPr>
    </w:p>
    <w:p>
      <w:pPr>
        <w:pStyle w:val="47"/>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60" w:lineRule="exact"/>
        <w:jc w:val="both"/>
        <w:textAlignment w:val="baseline"/>
        <w:rPr>
          <w:rFonts w:hint="default" w:ascii="仿宋_GB2312" w:hAnsi="宋体" w:eastAsia="仿宋_GB2312" w:cs="宋体"/>
          <w:color w:val="000000"/>
          <w:kern w:val="0"/>
          <w:sz w:val="32"/>
          <w:szCs w:val="32"/>
          <w:lang w:val="en-US" w:eastAsia="zh-CN"/>
        </w:rPr>
      </w:pPr>
      <w:r>
        <w:rPr>
          <w:rFonts w:hint="eastAsia" w:ascii="黑体" w:hAnsi="黑体" w:eastAsia="黑体" w:cs="黑体"/>
          <w:b w:val="0"/>
          <w:bCs/>
          <w:sz w:val="32"/>
          <w:szCs w:val="32"/>
          <w:highlight w:val="none"/>
        </w:rPr>
        <w:t>签订日期：</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年</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rPr>
        <w:t>月</w:t>
      </w:r>
      <w:r>
        <w:rPr>
          <w:rFonts w:hint="eastAsia" w:ascii="黑体" w:hAnsi="黑体" w:eastAsia="黑体" w:cs="黑体"/>
          <w:b w:val="0"/>
          <w:bCs/>
          <w:sz w:val="32"/>
          <w:szCs w:val="32"/>
          <w:highlight w:val="none"/>
          <w:lang w:val="en-US" w:eastAsia="zh-CN"/>
        </w:rPr>
        <w:t xml:space="preserve">   </w:t>
      </w:r>
      <w:r>
        <w:rPr>
          <w:rFonts w:hint="eastAsia" w:ascii="黑体" w:hAnsi="黑体" w:eastAsia="黑体" w:cs="黑体"/>
          <w:b w:val="0"/>
          <w:bCs/>
          <w:sz w:val="32"/>
          <w:szCs w:val="32"/>
          <w:highlight w:val="none"/>
          <w:lang w:eastAsia="zh-CN"/>
        </w:rPr>
        <w:t>日</w:t>
      </w: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E5412A-A9A3-4362-BF67-DFC5C7D4C5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315D0BBA-57D2-4969-AAC5-C09F841DD0DB}"/>
  </w:font>
  <w:font w:name="方正小标宋简体">
    <w:panose1 w:val="02000000000000000000"/>
    <w:charset w:val="86"/>
    <w:family w:val="script"/>
    <w:pitch w:val="default"/>
    <w:sig w:usb0="00000001" w:usb1="08000000" w:usb2="00000000" w:usb3="00000000" w:csb0="00040000" w:csb1="00000000"/>
    <w:embedRegular r:id="rId3" w:fontKey="{C69A9AFE-ACE8-44CF-BC3F-AEF63C09401C}"/>
  </w:font>
  <w:font w:name="楷体_GB2312">
    <w:panose1 w:val="02010609030101010101"/>
    <w:charset w:val="86"/>
    <w:family w:val="modern"/>
    <w:pitch w:val="default"/>
    <w:sig w:usb0="00000001" w:usb1="080E0000" w:usb2="00000000" w:usb3="00000000" w:csb0="00040000" w:csb1="00000000"/>
    <w:embedRegular r:id="rId4" w:fontKey="{E2DDB52B-F66F-4B4C-8827-40A64DEF7752}"/>
  </w:font>
  <w:font w:name="QisiAaBanSong">
    <w:panose1 w:val="00020600040101010101"/>
    <w:charset w:val="86"/>
    <w:family w:val="auto"/>
    <w:pitch w:val="default"/>
    <w:sig w:usb0="A00002BF" w:usb1="18EF7CFA" w:usb2="00000016" w:usb3="00000000" w:csb0="0004009F" w:csb1="DFD70000"/>
    <w:embedRegular r:id="rId5" w:fontKey="{FAECCAFE-FCDC-4F66-964F-8F122D9018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300" w:lineRule="exact"/>
      <w:jc w:val="left"/>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 xml:space="preserve">                                                                                                              </w:t>
    </w:r>
    <w:r>
      <w:rPr>
        <w:rFonts w:hint="eastAsia" w:ascii="QisiAaBanSong" w:hAnsi="QisiAaBanSong" w:eastAsia="QisiAaBanSong" w:cs="QisiAaBanSong"/>
        <w:b w:val="0"/>
        <w:bCs/>
        <w:color w:val="215F9A"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zNzk0ODNkZmU4OTFlOTUyZTZkMGVhYjJmZjUxZTIifQ=="/>
    <w:docVar w:name="KSO_WPS_MARK_KEY" w:val="2ae2a4ea-a28c-4f71-ac81-9d3afa3525fa"/>
  </w:docVars>
  <w:rsids>
    <w:rsidRoot w:val="00D26C17"/>
    <w:rsid w:val="00004294"/>
    <w:rsid w:val="00077BB8"/>
    <w:rsid w:val="003815EF"/>
    <w:rsid w:val="003D138F"/>
    <w:rsid w:val="00411E7D"/>
    <w:rsid w:val="00522E5A"/>
    <w:rsid w:val="00666A9B"/>
    <w:rsid w:val="007B2113"/>
    <w:rsid w:val="00857D86"/>
    <w:rsid w:val="00933E5B"/>
    <w:rsid w:val="009731F3"/>
    <w:rsid w:val="00996404"/>
    <w:rsid w:val="00C6664C"/>
    <w:rsid w:val="00D1064C"/>
    <w:rsid w:val="00D26C17"/>
    <w:rsid w:val="00D51E8B"/>
    <w:rsid w:val="00D77774"/>
    <w:rsid w:val="00DE63A2"/>
    <w:rsid w:val="00EE3721"/>
    <w:rsid w:val="00F069A3"/>
    <w:rsid w:val="00FF7664"/>
    <w:rsid w:val="014414DF"/>
    <w:rsid w:val="017B11E4"/>
    <w:rsid w:val="018F2EE2"/>
    <w:rsid w:val="01AF5332"/>
    <w:rsid w:val="01BC58B4"/>
    <w:rsid w:val="01C3381D"/>
    <w:rsid w:val="022369EF"/>
    <w:rsid w:val="02355837"/>
    <w:rsid w:val="02671768"/>
    <w:rsid w:val="027125E7"/>
    <w:rsid w:val="02A209F3"/>
    <w:rsid w:val="02D908B8"/>
    <w:rsid w:val="02F2197A"/>
    <w:rsid w:val="03675EC4"/>
    <w:rsid w:val="03827295"/>
    <w:rsid w:val="03AD4DDD"/>
    <w:rsid w:val="03B7227C"/>
    <w:rsid w:val="044955CA"/>
    <w:rsid w:val="048F2C7D"/>
    <w:rsid w:val="04EC7024"/>
    <w:rsid w:val="053242B0"/>
    <w:rsid w:val="05485881"/>
    <w:rsid w:val="05665D07"/>
    <w:rsid w:val="05705AEA"/>
    <w:rsid w:val="05A52CD4"/>
    <w:rsid w:val="064D0857"/>
    <w:rsid w:val="06577AD4"/>
    <w:rsid w:val="068E3768"/>
    <w:rsid w:val="06E17D3B"/>
    <w:rsid w:val="075A5568"/>
    <w:rsid w:val="079046C9"/>
    <w:rsid w:val="07983414"/>
    <w:rsid w:val="07D7219C"/>
    <w:rsid w:val="07EC0B14"/>
    <w:rsid w:val="08094D85"/>
    <w:rsid w:val="082A3964"/>
    <w:rsid w:val="08316AA1"/>
    <w:rsid w:val="08D613F6"/>
    <w:rsid w:val="090A6581"/>
    <w:rsid w:val="09165225"/>
    <w:rsid w:val="09313F0E"/>
    <w:rsid w:val="098146E6"/>
    <w:rsid w:val="09CD0A4B"/>
    <w:rsid w:val="0A4B1FCC"/>
    <w:rsid w:val="0A571F6F"/>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4234FE"/>
    <w:rsid w:val="0D847672"/>
    <w:rsid w:val="0DB16C21"/>
    <w:rsid w:val="0DBE2B84"/>
    <w:rsid w:val="0DCD726B"/>
    <w:rsid w:val="0DD34156"/>
    <w:rsid w:val="0E2854AC"/>
    <w:rsid w:val="0E5D47EB"/>
    <w:rsid w:val="0E67321C"/>
    <w:rsid w:val="0F3B0205"/>
    <w:rsid w:val="0F4F16B2"/>
    <w:rsid w:val="0FE12B5A"/>
    <w:rsid w:val="10086339"/>
    <w:rsid w:val="102F5453"/>
    <w:rsid w:val="103435D2"/>
    <w:rsid w:val="108F6A5A"/>
    <w:rsid w:val="10AC13BA"/>
    <w:rsid w:val="116752E1"/>
    <w:rsid w:val="11771B12"/>
    <w:rsid w:val="11987B90"/>
    <w:rsid w:val="119F6E8B"/>
    <w:rsid w:val="11B47634"/>
    <w:rsid w:val="11E20E0C"/>
    <w:rsid w:val="12535865"/>
    <w:rsid w:val="125E66E4"/>
    <w:rsid w:val="12733E70"/>
    <w:rsid w:val="12AF5192"/>
    <w:rsid w:val="12B502CE"/>
    <w:rsid w:val="12BE3627"/>
    <w:rsid w:val="12CE0C99"/>
    <w:rsid w:val="13143749"/>
    <w:rsid w:val="13217712"/>
    <w:rsid w:val="13685340"/>
    <w:rsid w:val="13786942"/>
    <w:rsid w:val="13913519"/>
    <w:rsid w:val="13A97E33"/>
    <w:rsid w:val="13CE5AEB"/>
    <w:rsid w:val="13DD7DC5"/>
    <w:rsid w:val="14773A8D"/>
    <w:rsid w:val="14777F31"/>
    <w:rsid w:val="14D64ED9"/>
    <w:rsid w:val="14F03A36"/>
    <w:rsid w:val="15141343"/>
    <w:rsid w:val="151508C6"/>
    <w:rsid w:val="15162D86"/>
    <w:rsid w:val="157408EC"/>
    <w:rsid w:val="15785D0F"/>
    <w:rsid w:val="15791A87"/>
    <w:rsid w:val="15824E09"/>
    <w:rsid w:val="159665DE"/>
    <w:rsid w:val="15B036FB"/>
    <w:rsid w:val="15C50828"/>
    <w:rsid w:val="15D171CD"/>
    <w:rsid w:val="15DD7F7C"/>
    <w:rsid w:val="15EB21E3"/>
    <w:rsid w:val="15FF261B"/>
    <w:rsid w:val="161D68B6"/>
    <w:rsid w:val="1653052A"/>
    <w:rsid w:val="16AD68BA"/>
    <w:rsid w:val="16B76879"/>
    <w:rsid w:val="16B965DF"/>
    <w:rsid w:val="16BF516A"/>
    <w:rsid w:val="16E7210F"/>
    <w:rsid w:val="17667442"/>
    <w:rsid w:val="178B5F49"/>
    <w:rsid w:val="17B62B1E"/>
    <w:rsid w:val="1843750D"/>
    <w:rsid w:val="18707171"/>
    <w:rsid w:val="18730A0F"/>
    <w:rsid w:val="19307018"/>
    <w:rsid w:val="194F441F"/>
    <w:rsid w:val="19AC41D9"/>
    <w:rsid w:val="19EA6AAF"/>
    <w:rsid w:val="19EA7F0C"/>
    <w:rsid w:val="1A321DA9"/>
    <w:rsid w:val="1A473E72"/>
    <w:rsid w:val="1A4E703E"/>
    <w:rsid w:val="1AD11A1D"/>
    <w:rsid w:val="1ADC6C39"/>
    <w:rsid w:val="1AFC6A9A"/>
    <w:rsid w:val="1B1526BF"/>
    <w:rsid w:val="1B1535E6"/>
    <w:rsid w:val="1B2E59C9"/>
    <w:rsid w:val="1B3A2509"/>
    <w:rsid w:val="1B6B1E72"/>
    <w:rsid w:val="1B6C0EE8"/>
    <w:rsid w:val="1B79089D"/>
    <w:rsid w:val="1BF04544"/>
    <w:rsid w:val="1C155AA2"/>
    <w:rsid w:val="1C3D380E"/>
    <w:rsid w:val="1C740F63"/>
    <w:rsid w:val="1C7B0660"/>
    <w:rsid w:val="1CB05A7F"/>
    <w:rsid w:val="1D15446A"/>
    <w:rsid w:val="1D1F566C"/>
    <w:rsid w:val="1D526E45"/>
    <w:rsid w:val="1D540DB7"/>
    <w:rsid w:val="1D770C9F"/>
    <w:rsid w:val="1D781367"/>
    <w:rsid w:val="1D934F03"/>
    <w:rsid w:val="1DC422B8"/>
    <w:rsid w:val="1DC46A6F"/>
    <w:rsid w:val="1DDC1D26"/>
    <w:rsid w:val="1DF63C75"/>
    <w:rsid w:val="1E30234F"/>
    <w:rsid w:val="1E675979"/>
    <w:rsid w:val="1E8C601F"/>
    <w:rsid w:val="1EB353CC"/>
    <w:rsid w:val="1EC975DB"/>
    <w:rsid w:val="1EE10644"/>
    <w:rsid w:val="1F4D7724"/>
    <w:rsid w:val="1F6D61B8"/>
    <w:rsid w:val="200563F1"/>
    <w:rsid w:val="200C59D1"/>
    <w:rsid w:val="20144886"/>
    <w:rsid w:val="208A4797"/>
    <w:rsid w:val="20F76FFF"/>
    <w:rsid w:val="21176FBB"/>
    <w:rsid w:val="21736403"/>
    <w:rsid w:val="218B39C0"/>
    <w:rsid w:val="21BF15BD"/>
    <w:rsid w:val="21DE15EF"/>
    <w:rsid w:val="220F79FB"/>
    <w:rsid w:val="223631D9"/>
    <w:rsid w:val="22600256"/>
    <w:rsid w:val="22CA56D0"/>
    <w:rsid w:val="23005595"/>
    <w:rsid w:val="23136EEB"/>
    <w:rsid w:val="233C3E4E"/>
    <w:rsid w:val="23E57486"/>
    <w:rsid w:val="24106586"/>
    <w:rsid w:val="241E3F33"/>
    <w:rsid w:val="2425014F"/>
    <w:rsid w:val="245636BF"/>
    <w:rsid w:val="2488354C"/>
    <w:rsid w:val="24CB23C4"/>
    <w:rsid w:val="250456E8"/>
    <w:rsid w:val="25111E17"/>
    <w:rsid w:val="252235B1"/>
    <w:rsid w:val="2535072C"/>
    <w:rsid w:val="258B55EA"/>
    <w:rsid w:val="25983863"/>
    <w:rsid w:val="25AA0769"/>
    <w:rsid w:val="25DD571A"/>
    <w:rsid w:val="263C57B2"/>
    <w:rsid w:val="265513EA"/>
    <w:rsid w:val="26B94C80"/>
    <w:rsid w:val="26FF4758"/>
    <w:rsid w:val="270811D6"/>
    <w:rsid w:val="2727030E"/>
    <w:rsid w:val="27A97FAA"/>
    <w:rsid w:val="27DE07E0"/>
    <w:rsid w:val="27E126B6"/>
    <w:rsid w:val="27F21951"/>
    <w:rsid w:val="28243AD4"/>
    <w:rsid w:val="282D3E1D"/>
    <w:rsid w:val="2838132E"/>
    <w:rsid w:val="283858CD"/>
    <w:rsid w:val="28821D21"/>
    <w:rsid w:val="28F416F8"/>
    <w:rsid w:val="29341AF5"/>
    <w:rsid w:val="293C78E0"/>
    <w:rsid w:val="29A30A29"/>
    <w:rsid w:val="29A92DEF"/>
    <w:rsid w:val="2A4B5348"/>
    <w:rsid w:val="2A924D25"/>
    <w:rsid w:val="2AB90504"/>
    <w:rsid w:val="2AC7692A"/>
    <w:rsid w:val="2B040F10"/>
    <w:rsid w:val="2B762C31"/>
    <w:rsid w:val="2B784A89"/>
    <w:rsid w:val="2BB553E6"/>
    <w:rsid w:val="2BD001FB"/>
    <w:rsid w:val="2BF23635"/>
    <w:rsid w:val="2C8965FC"/>
    <w:rsid w:val="2C9C1E8B"/>
    <w:rsid w:val="2CB91C59"/>
    <w:rsid w:val="2CDC2894"/>
    <w:rsid w:val="2D067C4C"/>
    <w:rsid w:val="2D611067"/>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520F7"/>
    <w:rsid w:val="309F1F4A"/>
    <w:rsid w:val="30CC6AB7"/>
    <w:rsid w:val="312D57A8"/>
    <w:rsid w:val="313905F0"/>
    <w:rsid w:val="31CB6D6E"/>
    <w:rsid w:val="31D9592F"/>
    <w:rsid w:val="320504D2"/>
    <w:rsid w:val="329459AD"/>
    <w:rsid w:val="329E4165"/>
    <w:rsid w:val="32C00582"/>
    <w:rsid w:val="335C6818"/>
    <w:rsid w:val="33AA7BD5"/>
    <w:rsid w:val="33C26591"/>
    <w:rsid w:val="33D91F25"/>
    <w:rsid w:val="33FB52BF"/>
    <w:rsid w:val="346F0006"/>
    <w:rsid w:val="346F2451"/>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163439"/>
    <w:rsid w:val="38370F4F"/>
    <w:rsid w:val="387C536A"/>
    <w:rsid w:val="388C3574"/>
    <w:rsid w:val="38957D3E"/>
    <w:rsid w:val="38A62B0D"/>
    <w:rsid w:val="38B86F56"/>
    <w:rsid w:val="38DF7CCF"/>
    <w:rsid w:val="3922196A"/>
    <w:rsid w:val="394F6C6F"/>
    <w:rsid w:val="39763A64"/>
    <w:rsid w:val="3A63048C"/>
    <w:rsid w:val="3AC71D0D"/>
    <w:rsid w:val="3B820DE6"/>
    <w:rsid w:val="3B8406BA"/>
    <w:rsid w:val="3B963A4D"/>
    <w:rsid w:val="3B9F48B6"/>
    <w:rsid w:val="3BB645EB"/>
    <w:rsid w:val="3C2D0D52"/>
    <w:rsid w:val="3C9B3F0D"/>
    <w:rsid w:val="3CD4717D"/>
    <w:rsid w:val="3D121CF5"/>
    <w:rsid w:val="3D143CBF"/>
    <w:rsid w:val="3D404AB5"/>
    <w:rsid w:val="3D897F97"/>
    <w:rsid w:val="3D8F1598"/>
    <w:rsid w:val="3DBB238D"/>
    <w:rsid w:val="3E2B12C1"/>
    <w:rsid w:val="3E3C1720"/>
    <w:rsid w:val="3E4505B4"/>
    <w:rsid w:val="3E5C147A"/>
    <w:rsid w:val="3E7E2A01"/>
    <w:rsid w:val="3E7F0194"/>
    <w:rsid w:val="3E9C57AC"/>
    <w:rsid w:val="3EBF7C5B"/>
    <w:rsid w:val="3EC063B5"/>
    <w:rsid w:val="3EC6070F"/>
    <w:rsid w:val="3ED51742"/>
    <w:rsid w:val="3F0F0BE2"/>
    <w:rsid w:val="3F5F64EF"/>
    <w:rsid w:val="3F744EE9"/>
    <w:rsid w:val="3F7B6278"/>
    <w:rsid w:val="3FA30A38"/>
    <w:rsid w:val="3FCB250F"/>
    <w:rsid w:val="3FCB2D5B"/>
    <w:rsid w:val="3FCF6328"/>
    <w:rsid w:val="3FD15E98"/>
    <w:rsid w:val="40006363"/>
    <w:rsid w:val="40273D0A"/>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E3578C"/>
    <w:rsid w:val="44FF34A7"/>
    <w:rsid w:val="45442C68"/>
    <w:rsid w:val="457A48DC"/>
    <w:rsid w:val="45C73FC5"/>
    <w:rsid w:val="45DE1D77"/>
    <w:rsid w:val="45FB5626"/>
    <w:rsid w:val="460F7548"/>
    <w:rsid w:val="462A2F7C"/>
    <w:rsid w:val="4654337F"/>
    <w:rsid w:val="4694464B"/>
    <w:rsid w:val="47617B01"/>
    <w:rsid w:val="477A0BC3"/>
    <w:rsid w:val="47834097"/>
    <w:rsid w:val="47A04ACD"/>
    <w:rsid w:val="47D81FA9"/>
    <w:rsid w:val="486B440C"/>
    <w:rsid w:val="494E5D41"/>
    <w:rsid w:val="49583186"/>
    <w:rsid w:val="49937C6C"/>
    <w:rsid w:val="49A03796"/>
    <w:rsid w:val="49A53CC1"/>
    <w:rsid w:val="49BF7253"/>
    <w:rsid w:val="49C83E68"/>
    <w:rsid w:val="49EF3AEA"/>
    <w:rsid w:val="49F3676E"/>
    <w:rsid w:val="4A3E237C"/>
    <w:rsid w:val="4AF85673"/>
    <w:rsid w:val="4B6B71A0"/>
    <w:rsid w:val="4B982BB3"/>
    <w:rsid w:val="4BF7108D"/>
    <w:rsid w:val="4BFC429C"/>
    <w:rsid w:val="4C9B5863"/>
    <w:rsid w:val="4CC50B32"/>
    <w:rsid w:val="4CE0771A"/>
    <w:rsid w:val="4D096C71"/>
    <w:rsid w:val="4D7204C6"/>
    <w:rsid w:val="4DA44BEC"/>
    <w:rsid w:val="4DAE1633"/>
    <w:rsid w:val="4DB82445"/>
    <w:rsid w:val="4DEB45C9"/>
    <w:rsid w:val="4DF523C7"/>
    <w:rsid w:val="4E30647F"/>
    <w:rsid w:val="4E577EB0"/>
    <w:rsid w:val="4EFF13E5"/>
    <w:rsid w:val="4F3855EC"/>
    <w:rsid w:val="4F8C0F92"/>
    <w:rsid w:val="4FBA7B2E"/>
    <w:rsid w:val="4FCD544B"/>
    <w:rsid w:val="4FF77255"/>
    <w:rsid w:val="50376EC1"/>
    <w:rsid w:val="50442E41"/>
    <w:rsid w:val="50597F0F"/>
    <w:rsid w:val="50972065"/>
    <w:rsid w:val="50EF1724"/>
    <w:rsid w:val="511104C5"/>
    <w:rsid w:val="51772403"/>
    <w:rsid w:val="5245097E"/>
    <w:rsid w:val="52575455"/>
    <w:rsid w:val="526F57C8"/>
    <w:rsid w:val="527B604B"/>
    <w:rsid w:val="533455A3"/>
    <w:rsid w:val="53603363"/>
    <w:rsid w:val="53634C01"/>
    <w:rsid w:val="538E6122"/>
    <w:rsid w:val="543E18F6"/>
    <w:rsid w:val="54C811C0"/>
    <w:rsid w:val="54DE6C35"/>
    <w:rsid w:val="55035788"/>
    <w:rsid w:val="551E4A4E"/>
    <w:rsid w:val="55626BA7"/>
    <w:rsid w:val="55724DC3"/>
    <w:rsid w:val="55760C1C"/>
    <w:rsid w:val="55B335CC"/>
    <w:rsid w:val="55DB13C7"/>
    <w:rsid w:val="564662EE"/>
    <w:rsid w:val="565D20C7"/>
    <w:rsid w:val="57284198"/>
    <w:rsid w:val="57D22CC7"/>
    <w:rsid w:val="58003366"/>
    <w:rsid w:val="58C47EF0"/>
    <w:rsid w:val="58C90767"/>
    <w:rsid w:val="59032FB6"/>
    <w:rsid w:val="594D4389"/>
    <w:rsid w:val="597933D0"/>
    <w:rsid w:val="598946F7"/>
    <w:rsid w:val="59AF0BA0"/>
    <w:rsid w:val="59BC506B"/>
    <w:rsid w:val="5A0031AA"/>
    <w:rsid w:val="5A2E27F7"/>
    <w:rsid w:val="5A4F276C"/>
    <w:rsid w:val="5A7871E4"/>
    <w:rsid w:val="5AB52C6E"/>
    <w:rsid w:val="5AE76A55"/>
    <w:rsid w:val="5AF63C2C"/>
    <w:rsid w:val="5B637E94"/>
    <w:rsid w:val="5B860B91"/>
    <w:rsid w:val="5B8928AC"/>
    <w:rsid w:val="5C2238AB"/>
    <w:rsid w:val="5C300B46"/>
    <w:rsid w:val="5C5B5103"/>
    <w:rsid w:val="5C91170D"/>
    <w:rsid w:val="5CC44887"/>
    <w:rsid w:val="5D245401"/>
    <w:rsid w:val="5E0707E8"/>
    <w:rsid w:val="5E343D6A"/>
    <w:rsid w:val="5E516DC3"/>
    <w:rsid w:val="5E563CE0"/>
    <w:rsid w:val="5E836CBA"/>
    <w:rsid w:val="5EB93F9B"/>
    <w:rsid w:val="5ED131DB"/>
    <w:rsid w:val="5EEA61D6"/>
    <w:rsid w:val="5F2B2A77"/>
    <w:rsid w:val="5F6E1D2C"/>
    <w:rsid w:val="5F8D54E0"/>
    <w:rsid w:val="5FA82319"/>
    <w:rsid w:val="5FB05505"/>
    <w:rsid w:val="5FB24F46"/>
    <w:rsid w:val="5FB76230"/>
    <w:rsid w:val="5FDC6B40"/>
    <w:rsid w:val="5FF437B1"/>
    <w:rsid w:val="602120CC"/>
    <w:rsid w:val="60673F83"/>
    <w:rsid w:val="60A76AF7"/>
    <w:rsid w:val="60B10AFA"/>
    <w:rsid w:val="60FD670A"/>
    <w:rsid w:val="61265BEC"/>
    <w:rsid w:val="61483335"/>
    <w:rsid w:val="61CE3B8D"/>
    <w:rsid w:val="61D75138"/>
    <w:rsid w:val="624C78D4"/>
    <w:rsid w:val="62785DEC"/>
    <w:rsid w:val="62CD2097"/>
    <w:rsid w:val="62E3123D"/>
    <w:rsid w:val="63780255"/>
    <w:rsid w:val="63797DEF"/>
    <w:rsid w:val="63F83144"/>
    <w:rsid w:val="64034EC5"/>
    <w:rsid w:val="64570A13"/>
    <w:rsid w:val="64810435"/>
    <w:rsid w:val="64A82F69"/>
    <w:rsid w:val="64CA0F84"/>
    <w:rsid w:val="64FE29DC"/>
    <w:rsid w:val="65021D19"/>
    <w:rsid w:val="655D5954"/>
    <w:rsid w:val="65E55147"/>
    <w:rsid w:val="66372649"/>
    <w:rsid w:val="667F18FA"/>
    <w:rsid w:val="66F86147"/>
    <w:rsid w:val="67222BCE"/>
    <w:rsid w:val="682B7F8C"/>
    <w:rsid w:val="68404A74"/>
    <w:rsid w:val="685A261F"/>
    <w:rsid w:val="689478DF"/>
    <w:rsid w:val="68AF64C7"/>
    <w:rsid w:val="68B0082B"/>
    <w:rsid w:val="68C72CFE"/>
    <w:rsid w:val="68F840FA"/>
    <w:rsid w:val="6A2124C5"/>
    <w:rsid w:val="6A684D2E"/>
    <w:rsid w:val="6AE54422"/>
    <w:rsid w:val="6B384404"/>
    <w:rsid w:val="6B714C55"/>
    <w:rsid w:val="6BA92830"/>
    <w:rsid w:val="6BAA566B"/>
    <w:rsid w:val="6BD154E6"/>
    <w:rsid w:val="6C0E5BFA"/>
    <w:rsid w:val="6C7F08A6"/>
    <w:rsid w:val="6CDA3D2E"/>
    <w:rsid w:val="6D257FA0"/>
    <w:rsid w:val="6D400F45"/>
    <w:rsid w:val="6D981C1F"/>
    <w:rsid w:val="6DC42A14"/>
    <w:rsid w:val="6DCE3893"/>
    <w:rsid w:val="6DD55F01"/>
    <w:rsid w:val="6E9A19C7"/>
    <w:rsid w:val="6F245233"/>
    <w:rsid w:val="6F854425"/>
    <w:rsid w:val="6F8D6E36"/>
    <w:rsid w:val="6FA14932"/>
    <w:rsid w:val="6FC974CE"/>
    <w:rsid w:val="6FE401BA"/>
    <w:rsid w:val="6FF10FE9"/>
    <w:rsid w:val="701778DC"/>
    <w:rsid w:val="70661C93"/>
    <w:rsid w:val="70A87041"/>
    <w:rsid w:val="70AE3508"/>
    <w:rsid w:val="70B054D2"/>
    <w:rsid w:val="70C4547F"/>
    <w:rsid w:val="71353C29"/>
    <w:rsid w:val="7189187F"/>
    <w:rsid w:val="71C172BE"/>
    <w:rsid w:val="71D1732D"/>
    <w:rsid w:val="71E075D7"/>
    <w:rsid w:val="71FA1A60"/>
    <w:rsid w:val="722F0678"/>
    <w:rsid w:val="726B5B54"/>
    <w:rsid w:val="729F75AC"/>
    <w:rsid w:val="731F06ED"/>
    <w:rsid w:val="733C4DFB"/>
    <w:rsid w:val="73566279"/>
    <w:rsid w:val="73B66440"/>
    <w:rsid w:val="742A559B"/>
    <w:rsid w:val="746A1C1D"/>
    <w:rsid w:val="746C1710"/>
    <w:rsid w:val="74817FA7"/>
    <w:rsid w:val="74C829A2"/>
    <w:rsid w:val="75FB0F9D"/>
    <w:rsid w:val="762A53DF"/>
    <w:rsid w:val="76366479"/>
    <w:rsid w:val="76742AFE"/>
    <w:rsid w:val="76870A83"/>
    <w:rsid w:val="76A038F3"/>
    <w:rsid w:val="76B455F0"/>
    <w:rsid w:val="770B16B4"/>
    <w:rsid w:val="7715608F"/>
    <w:rsid w:val="786A065C"/>
    <w:rsid w:val="788A29CD"/>
    <w:rsid w:val="788E2CEB"/>
    <w:rsid w:val="78CA10FB"/>
    <w:rsid w:val="78E35D19"/>
    <w:rsid w:val="79002E09"/>
    <w:rsid w:val="790A599B"/>
    <w:rsid w:val="791800B8"/>
    <w:rsid w:val="79256331"/>
    <w:rsid w:val="792A55F5"/>
    <w:rsid w:val="793D367B"/>
    <w:rsid w:val="794C1B10"/>
    <w:rsid w:val="79553FFB"/>
    <w:rsid w:val="797C6656"/>
    <w:rsid w:val="79AD6A52"/>
    <w:rsid w:val="79C41B77"/>
    <w:rsid w:val="79CB3751"/>
    <w:rsid w:val="79F006ED"/>
    <w:rsid w:val="7A083C89"/>
    <w:rsid w:val="7A2B7977"/>
    <w:rsid w:val="7A6A4943"/>
    <w:rsid w:val="7AC041A5"/>
    <w:rsid w:val="7AD54393"/>
    <w:rsid w:val="7AE2272C"/>
    <w:rsid w:val="7AE71AF0"/>
    <w:rsid w:val="7B2C2BB5"/>
    <w:rsid w:val="7BD723F1"/>
    <w:rsid w:val="7BEB3862"/>
    <w:rsid w:val="7C376AA7"/>
    <w:rsid w:val="7C42333B"/>
    <w:rsid w:val="7C4466BB"/>
    <w:rsid w:val="7C8E366E"/>
    <w:rsid w:val="7C9A4D3A"/>
    <w:rsid w:val="7C9C679D"/>
    <w:rsid w:val="7CB73744"/>
    <w:rsid w:val="7CD23C96"/>
    <w:rsid w:val="7D140B97"/>
    <w:rsid w:val="7D731D61"/>
    <w:rsid w:val="7D87580C"/>
    <w:rsid w:val="7D965AF2"/>
    <w:rsid w:val="7D980636"/>
    <w:rsid w:val="7DF2480A"/>
    <w:rsid w:val="7E400DFB"/>
    <w:rsid w:val="7E437985"/>
    <w:rsid w:val="7E691D39"/>
    <w:rsid w:val="7E8F6E89"/>
    <w:rsid w:val="7EC62364"/>
    <w:rsid w:val="7EDE145C"/>
    <w:rsid w:val="7EEF1432"/>
    <w:rsid w:val="7F303C81"/>
    <w:rsid w:val="7F601E71"/>
    <w:rsid w:val="7FAF5848"/>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Body Text"/>
    <w:basedOn w:val="1"/>
    <w:next w:val="1"/>
    <w:semiHidden/>
    <w:unhideWhenUsed/>
    <w:qFormat/>
    <w:uiPriority w:val="99"/>
    <w:pPr>
      <w:spacing w:after="120"/>
    </w:pPr>
  </w:style>
  <w:style w:type="paragraph" w:styleId="12">
    <w:name w:val="Plain Text"/>
    <w:basedOn w:val="1"/>
    <w:qFormat/>
    <w:uiPriority w:val="0"/>
    <w:rPr>
      <w:rFonts w:ascii="宋体" w:hAnsi="Courier New" w:cs="Courier New"/>
      <w:szCs w:val="21"/>
    </w:rPr>
  </w:style>
  <w:style w:type="paragraph" w:styleId="13">
    <w:name w:val="footer"/>
    <w:basedOn w:val="1"/>
    <w:link w:val="42"/>
    <w:unhideWhenUsed/>
    <w:qFormat/>
    <w:uiPriority w:val="99"/>
    <w:pPr>
      <w:tabs>
        <w:tab w:val="center" w:pos="4153"/>
        <w:tab w:val="right" w:pos="8306"/>
      </w:tabs>
      <w:snapToGrid w:val="0"/>
      <w:jc w:val="left"/>
    </w:pPr>
    <w:rPr>
      <w:sz w:val="18"/>
      <w:szCs w:val="18"/>
    </w:rPr>
  </w:style>
  <w:style w:type="paragraph" w:styleId="14">
    <w:name w:val="header"/>
    <w:basedOn w:val="1"/>
    <w:link w:val="41"/>
    <w:unhideWhenUsed/>
    <w:qFormat/>
    <w:uiPriority w:val="99"/>
    <w:pPr>
      <w:tabs>
        <w:tab w:val="center" w:pos="4153"/>
        <w:tab w:val="right" w:pos="8306"/>
      </w:tabs>
      <w:snapToGrid w:val="0"/>
      <w:jc w:val="center"/>
    </w:pPr>
    <w:rPr>
      <w:sz w:val="18"/>
      <w:szCs w:val="18"/>
    </w:rPr>
  </w:style>
  <w:style w:type="paragraph" w:styleId="15">
    <w:name w:val="toc 1"/>
    <w:basedOn w:val="1"/>
    <w:next w:val="1"/>
    <w:semiHidden/>
    <w:qFormat/>
    <w:uiPriority w:val="0"/>
    <w:rPr>
      <w:rFonts w:ascii="Calibri" w:hAnsi="Calibri"/>
    </w:rPr>
  </w:style>
  <w:style w:type="paragraph" w:styleId="16">
    <w:name w:val="Subtitle"/>
    <w:basedOn w:val="1"/>
    <w:next w:val="1"/>
    <w:link w:val="33"/>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Body Text 2"/>
    <w:basedOn w:val="1"/>
    <w:qFormat/>
    <w:uiPriority w:val="0"/>
    <w:pPr>
      <w:widowControl w:val="0"/>
      <w:kinsoku/>
      <w:autoSpaceDE/>
      <w:autoSpaceDN/>
      <w:spacing w:line="600" w:lineRule="exact"/>
      <w:ind w:left="1280" w:hanging="1280" w:hangingChars="400"/>
      <w:textAlignment w:val="auto"/>
    </w:p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标题 1 字符"/>
    <w:basedOn w:val="22"/>
    <w:link w:val="2"/>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2"/>
    <w:link w:val="3"/>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2"/>
    <w:link w:val="4"/>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2"/>
    <w:link w:val="5"/>
    <w:semiHidden/>
    <w:qFormat/>
    <w:uiPriority w:val="9"/>
    <w:rPr>
      <w:rFonts w:cstheme="majorBidi"/>
      <w:color w:val="104862" w:themeColor="accent1" w:themeShade="BF"/>
      <w:sz w:val="28"/>
      <w:szCs w:val="28"/>
    </w:rPr>
  </w:style>
  <w:style w:type="character" w:customStyle="1" w:styleId="27">
    <w:name w:val="标题 5 字符"/>
    <w:basedOn w:val="22"/>
    <w:link w:val="6"/>
    <w:semiHidden/>
    <w:qFormat/>
    <w:uiPriority w:val="9"/>
    <w:rPr>
      <w:rFonts w:cstheme="majorBidi"/>
      <w:color w:val="104862" w:themeColor="accent1" w:themeShade="BF"/>
      <w:sz w:val="24"/>
      <w:szCs w:val="24"/>
    </w:rPr>
  </w:style>
  <w:style w:type="character" w:customStyle="1" w:styleId="28">
    <w:name w:val="标题 6 字符"/>
    <w:basedOn w:val="22"/>
    <w:link w:val="7"/>
    <w:semiHidden/>
    <w:qFormat/>
    <w:uiPriority w:val="9"/>
    <w:rPr>
      <w:rFonts w:cstheme="majorBidi"/>
      <w:b/>
      <w:bCs/>
      <w:color w:val="104862" w:themeColor="accent1" w:themeShade="BF"/>
    </w:rPr>
  </w:style>
  <w:style w:type="character" w:customStyle="1" w:styleId="29">
    <w:name w:val="标题 7 字符"/>
    <w:basedOn w:val="22"/>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2"/>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2"/>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2"/>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2"/>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22"/>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2"/>
    <w:link w:val="38"/>
    <w:qFormat/>
    <w:uiPriority w:val="30"/>
    <w:rPr>
      <w:i/>
      <w:iCs/>
      <w:color w:val="104862" w:themeColor="accent1" w:themeShade="BF"/>
    </w:rPr>
  </w:style>
  <w:style w:type="character" w:customStyle="1" w:styleId="40">
    <w:name w:val="Intense Reference"/>
    <w:basedOn w:val="22"/>
    <w:qFormat/>
    <w:uiPriority w:val="32"/>
    <w:rPr>
      <w:b/>
      <w:bCs/>
      <w:smallCaps/>
      <w:color w:val="104862" w:themeColor="accent1" w:themeShade="BF"/>
      <w:spacing w:val="5"/>
    </w:rPr>
  </w:style>
  <w:style w:type="character" w:customStyle="1" w:styleId="41">
    <w:name w:val="页眉 字符"/>
    <w:basedOn w:val="22"/>
    <w:link w:val="14"/>
    <w:qFormat/>
    <w:uiPriority w:val="99"/>
    <w:rPr>
      <w:sz w:val="18"/>
      <w:szCs w:val="18"/>
    </w:rPr>
  </w:style>
  <w:style w:type="character" w:customStyle="1" w:styleId="42">
    <w:name w:val="页脚 字符"/>
    <w:basedOn w:val="22"/>
    <w:link w:val="13"/>
    <w:qFormat/>
    <w:uiPriority w:val="99"/>
    <w:rPr>
      <w:sz w:val="18"/>
      <w:szCs w:val="18"/>
    </w:rPr>
  </w:style>
  <w:style w:type="paragraph" w:customStyle="1" w:styleId="4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4">
    <w:name w:val="font11"/>
    <w:basedOn w:val="22"/>
    <w:qFormat/>
    <w:uiPriority w:val="0"/>
    <w:rPr>
      <w:rFonts w:hint="eastAsia" w:ascii="仿宋_GB2312" w:eastAsia="仿宋_GB2312" w:cs="仿宋_GB2312"/>
      <w:color w:val="000000"/>
      <w:sz w:val="22"/>
      <w:szCs w:val="22"/>
      <w:u w:val="none"/>
    </w:rPr>
  </w:style>
  <w:style w:type="paragraph" w:customStyle="1" w:styleId="45">
    <w:name w:val="Table Text"/>
    <w:basedOn w:val="1"/>
    <w:semiHidden/>
    <w:qFormat/>
    <w:uiPriority w:val="0"/>
    <w:rPr>
      <w:rFonts w:ascii="宋体" w:hAnsi="宋体" w:eastAsia="宋体" w:cs="宋体"/>
      <w:sz w:val="24"/>
      <w:szCs w:val="24"/>
      <w:lang w:val="en-US" w:eastAsia="en-US" w:bidi="ar-SA"/>
    </w:rPr>
  </w:style>
  <w:style w:type="table" w:customStyle="1" w:styleId="46">
    <w:name w:val="Table Normal"/>
    <w:unhideWhenUsed/>
    <w:qFormat/>
    <w:uiPriority w:val="0"/>
    <w:tblPr>
      <w:tblCellMar>
        <w:top w:w="0" w:type="dxa"/>
        <w:left w:w="0" w:type="dxa"/>
        <w:bottom w:w="0" w:type="dxa"/>
        <w:right w:w="0" w:type="dxa"/>
      </w:tblCellMar>
    </w:tblPr>
  </w:style>
  <w:style w:type="paragraph" w:customStyle="1" w:styleId="47">
    <w:name w:val="普通(网站)1"/>
    <w:basedOn w:val="1"/>
    <w:qFormat/>
    <w:uiPriority w:val="0"/>
    <w:pPr>
      <w:widowControl/>
      <w:spacing w:beforeAutospacing="1"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1859</Words>
  <Characters>2003</Characters>
  <Lines>25</Lines>
  <Paragraphs>7</Paragraphs>
  <TotalTime>2</TotalTime>
  <ScaleCrop>false</ScaleCrop>
  <LinksUpToDate>false</LinksUpToDate>
  <CharactersWithSpaces>2034</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2024-01-21T12:35:00Z</dcterms:created>
  <dc:creator>a15280976656@outlook.com</dc:creator>
  <cp:lastModifiedBy>王宁</cp:lastModifiedBy>
  <cp:lastPrinted>2024-06-05T01:41:00Z</cp:lastPrinted>
  <dcterms:modified xsi:type="dcterms:W3CDTF">2024-06-13T08:14:22Z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18D0BE22A71548408DB61F84E6E0AA07_13</vt:lpwstr>
  </property>
</Properties>
</file>