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  <w14:textFill>
            <w14:solidFill>
              <w14:schemeClr w14:val="tx1"/>
            </w14:solidFill>
          </w14:textFill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outlineLvl w:val="9"/>
        <w:rPr>
          <w:rFonts w:ascii="黑体" w:hAnsi="黑体" w:eastAsia="黑体" w:cs="黑体"/>
          <w:b/>
          <w:bCs/>
          <w:color w:val="000000" w:themeColor="text1"/>
          <w:kern w:val="2"/>
          <w:sz w:val="36"/>
          <w:szCs w:val="36"/>
          <w:lang w:val="en-US" w:bidi="ar-SA"/>
          <w14:textFill>
            <w14:solidFill>
              <w14:schemeClr w14:val="tx1"/>
            </w14:solidFill>
          </w14:textFill>
        </w:rPr>
      </w:pPr>
      <w:r>
        <w:rPr>
          <w:rFonts w:ascii="黑体" w:hAnsi="黑体" w:eastAsia="黑体" w:cs="黑体"/>
          <w:b/>
          <w:bCs/>
          <w:color w:val="000000" w:themeColor="text1"/>
          <w:kern w:val="2"/>
          <w:sz w:val="36"/>
          <w:szCs w:val="36"/>
          <w:lang w:val="en-US" w:bidi="ar-SA"/>
          <w14:textFill>
            <w14:solidFill>
              <w14:schemeClr w14:val="tx1"/>
            </w14:solidFill>
          </w14:textFill>
        </w:rPr>
        <w:t>四川九洲投资控股集团有限公司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ascii="黑体" w:hAnsi="黑体" w:eastAsia="黑体" w:cs="黑体"/>
          <w:b/>
          <w:bCs/>
          <w:color w:val="000000" w:themeColor="text1"/>
          <w:kern w:val="2"/>
          <w:sz w:val="36"/>
          <w:szCs w:val="36"/>
          <w:lang w:val="en-US" w:bidi="ar-SA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kern w:val="2"/>
          <w:sz w:val="36"/>
          <w:szCs w:val="36"/>
          <w:lang w:val="en-US" w:eastAsia="zh-CN" w:bidi="ar-SA"/>
          <w14:textFill>
            <w14:solidFill>
              <w14:schemeClr w14:val="tx1"/>
            </w14:solidFill>
          </w14:textFill>
        </w:rPr>
        <w:t>公寓管理规范</w:t>
      </w: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</w:pP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</w:pP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</w:pP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</w:pP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</w:pP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</w:pP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</w:pPr>
    </w:p>
    <w:p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</w:pP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1960" w:firstLineChars="700"/>
        <w:jc w:val="both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1960" w:firstLineChars="700"/>
        <w:jc w:val="both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1960" w:firstLineChars="700"/>
        <w:jc w:val="both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1960" w:firstLineChars="700"/>
        <w:jc w:val="both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200" w:firstLineChars="1500"/>
        <w:jc w:val="both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</w:t>
      </w:r>
    </w:p>
    <w:p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760" w:firstLineChars="1700"/>
        <w:jc w:val="both"/>
        <w:textAlignment w:val="auto"/>
        <w:rPr>
          <w:rFonts w:hint="default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编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号：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JZJT-HQ-2024-0002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0" w:firstLineChars="200"/>
        <w:jc w:val="center"/>
        <w:textAlignment w:val="auto"/>
        <w:rPr>
          <w:rFonts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版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本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号：202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（0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）版</w:t>
      </w:r>
    </w:p>
    <w:p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560" w:firstLineChars="200"/>
        <w:jc w:val="center"/>
        <w:textAlignment w:val="auto"/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        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生效日期：202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4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黑体" w:hAnsi="黑体" w:eastAsia="黑体" w:cs="黑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before="0" w:after="0" w:line="360" w:lineRule="auto"/>
        <w:ind w:left="0" w:leftChars="0" w:right="0" w:rightChars="0" w:firstLine="0" w:firstLineChars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zh-CN" w:eastAsia="zh-CN" w:bidi="zh-CN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decimal" w:start="1"/>
          <w:cols w:space="0" w:num="1"/>
          <w:rtlGutter w:val="0"/>
          <w:docGrid w:type="lines" w:linePitch="312" w:charSpace="0"/>
        </w:sectPr>
      </w:pPr>
    </w:p>
    <w:sdt>
      <w:sdtPr>
        <w:rPr>
          <w:rFonts w:hint="eastAsia" w:ascii="仿宋_GB2312" w:hAnsi="仿宋_GB2312" w:eastAsia="仿宋_GB2312" w:cs="仿宋_GB2312"/>
          <w:sz w:val="32"/>
          <w:szCs w:val="32"/>
          <w:lang w:val="zh-CN" w:eastAsia="zh-CN" w:bidi="zh-CN"/>
        </w:rPr>
        <w:id w:val="147482985"/>
        <w15:color w:val="DBDBDB"/>
        <w:docPartObj>
          <w:docPartGallery w:val="Table of Contents"/>
          <w:docPartUnique/>
        </w:docPartObj>
      </w:sdtPr>
      <w:sdtEndPr>
        <w:rPr>
          <w:rFonts w:hint="eastAsia" w:ascii="Arial" w:hAnsi="Arial" w:eastAsia="仿宋_GB2312" w:cs="Arial"/>
          <w:color w:val="000000" w:themeColor="text1"/>
          <w:sz w:val="31"/>
          <w:szCs w:val="32"/>
          <w:lang w:val="zh-CN" w:eastAsia="zh-CN" w:bidi="zh-CN"/>
          <w14:textFill>
            <w14:solidFill>
              <w14:schemeClr w14:val="tx1"/>
            </w14:solidFill>
          </w14:textFill>
        </w:rPr>
      </w:sdtEndPr>
      <w:sdtContent>
        <w:p>
          <w:pPr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bidi w:val="0"/>
            <w:adjustRightInd w:val="0"/>
            <w:snapToGrid w:val="0"/>
            <w:spacing w:before="0" w:after="0" w:line="560" w:lineRule="exact"/>
            <w:ind w:left="0" w:leftChars="0" w:right="0" w:rightChars="0" w:firstLine="0" w:firstLineChars="0"/>
            <w:jc w:val="center"/>
            <w:textAlignment w:val="auto"/>
            <w:rPr>
              <w:rFonts w:hint="eastAsia" w:ascii="仿宋_GB2312" w:hAnsi="仿宋_GB2312" w:eastAsia="仿宋_GB2312" w:cs="仿宋_GB2312"/>
              <w:color w:val="000000" w:themeColor="text1"/>
              <w:sz w:val="32"/>
              <w:szCs w:val="32"/>
              <w:lang w:val="zh-CN" w:eastAsia="zh-CN" w:bidi="zh-CN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目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  <w:t xml:space="preserve">  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录</w:t>
          </w:r>
          <w:r>
            <w:rPr>
              <w:rFonts w:hint="eastAsia" w:ascii="仿宋_GB2312" w:hAnsi="仿宋_GB2312" w:eastAsia="仿宋_GB2312" w:cs="仿宋_GB2312"/>
              <w:color w:val="000000" w:themeColor="text1"/>
              <w:sz w:val="32"/>
              <w:szCs w:val="32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color w:val="000000" w:themeColor="text1"/>
              <w:sz w:val="32"/>
              <w:szCs w:val="32"/>
              <w14:textFill>
                <w14:solidFill>
                  <w14:schemeClr w14:val="tx1"/>
                </w14:solidFill>
              </w14:textFill>
            </w:rPr>
            <w:instrText xml:space="preserve">TOC \o "1-1" \h \u </w:instrText>
          </w:r>
          <w:r>
            <w:rPr>
              <w:rFonts w:hint="eastAsia" w:ascii="仿宋_GB2312" w:hAnsi="仿宋_GB2312" w:eastAsia="仿宋_GB2312" w:cs="仿宋_GB2312"/>
              <w:color w:val="000000" w:themeColor="text1"/>
              <w:sz w:val="32"/>
              <w:szCs w:val="32"/>
              <w14:textFill>
                <w14:solidFill>
                  <w14:schemeClr w14:val="tx1"/>
                </w14:solidFill>
              </w14:textFill>
            </w:rPr>
            <w:fldChar w:fldCharType="separate"/>
          </w:r>
        </w:p>
        <w:p>
          <w:pPr>
            <w:pStyle w:val="4"/>
            <w:keepNext w:val="0"/>
            <w:keepLines w:val="0"/>
            <w:pageBreakBefore w:val="0"/>
            <w:widowControl w:val="0"/>
            <w:tabs>
              <w:tab w:val="right" w:leader="dot" w:pos="8867"/>
            </w:tabs>
            <w:kinsoku/>
            <w:wordWrap/>
            <w:overflowPunct/>
            <w:topLinePunct w:val="0"/>
            <w:bidi w:val="0"/>
            <w:spacing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color w:val="000000" w:themeColor="text1"/>
              <w:sz w:val="32"/>
              <w:szCs w:val="32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_Toc11069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32"/>
              <w:szCs w:val="32"/>
              <w:lang w:val="en-US"/>
            </w:rPr>
            <w:t>第一章 总  则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PAGEREF _Toc11069 \h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>- 1 -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000000" w:themeColor="text1"/>
              <w:sz w:val="32"/>
              <w:szCs w:val="32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>
          <w:pPr>
            <w:pStyle w:val="4"/>
            <w:keepNext w:val="0"/>
            <w:keepLines w:val="0"/>
            <w:pageBreakBefore w:val="0"/>
            <w:widowControl w:val="0"/>
            <w:tabs>
              <w:tab w:val="right" w:leader="dot" w:pos="8867"/>
            </w:tabs>
            <w:kinsoku/>
            <w:wordWrap/>
            <w:overflowPunct/>
            <w:topLinePunct w:val="0"/>
            <w:bidi w:val="0"/>
            <w:spacing w:line="560" w:lineRule="exact"/>
            <w:jc w:val="both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color w:val="000000" w:themeColor="text1"/>
              <w:sz w:val="32"/>
              <w:szCs w:val="32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_Toc702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  <w:t>第二章 管理职责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PAGEREF _Toc702 \h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 xml:space="preserve">- 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  <w:t>2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 xml:space="preserve"> -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000000" w:themeColor="text1"/>
              <w:sz w:val="32"/>
              <w:szCs w:val="32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>
          <w:pPr>
            <w:pStyle w:val="4"/>
            <w:keepNext w:val="0"/>
            <w:keepLines w:val="0"/>
            <w:pageBreakBefore w:val="0"/>
            <w:widowControl w:val="0"/>
            <w:tabs>
              <w:tab w:val="right" w:leader="dot" w:pos="8867"/>
            </w:tabs>
            <w:kinsoku/>
            <w:wordWrap/>
            <w:overflowPunct/>
            <w:topLinePunct w:val="0"/>
            <w:bidi w:val="0"/>
            <w:spacing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color w:val="000000" w:themeColor="text1"/>
              <w:sz w:val="32"/>
              <w:szCs w:val="32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_Toc10768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bCs/>
              <w:sz w:val="32"/>
              <w:szCs w:val="32"/>
              <w:lang w:val="en-US" w:eastAsia="zh-CN"/>
            </w:rPr>
            <w:t xml:space="preserve">第三章 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  <w:t>收费管理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PAGEREF _Toc10768 \h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 xml:space="preserve">- 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  <w:t>5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 xml:space="preserve"> -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000000" w:themeColor="text1"/>
              <w:sz w:val="32"/>
              <w:szCs w:val="32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>
          <w:pPr>
            <w:pStyle w:val="4"/>
            <w:keepNext w:val="0"/>
            <w:keepLines w:val="0"/>
            <w:pageBreakBefore w:val="0"/>
            <w:widowControl w:val="0"/>
            <w:tabs>
              <w:tab w:val="right" w:leader="dot" w:pos="8867"/>
            </w:tabs>
            <w:kinsoku/>
            <w:wordWrap/>
            <w:overflowPunct/>
            <w:topLinePunct w:val="0"/>
            <w:bidi w:val="0"/>
            <w:spacing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color w:val="000000" w:themeColor="text1"/>
              <w:sz w:val="32"/>
              <w:szCs w:val="32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_Toc4679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  <w:t>第四章 监督与检查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PAGEREF _Toc4679 \h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 xml:space="preserve">- 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  <w:t>6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 xml:space="preserve"> -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000000" w:themeColor="text1"/>
              <w:sz w:val="32"/>
              <w:szCs w:val="32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>
          <w:pPr>
            <w:pStyle w:val="4"/>
            <w:keepNext w:val="0"/>
            <w:keepLines w:val="0"/>
            <w:pageBreakBefore w:val="0"/>
            <w:widowControl w:val="0"/>
            <w:tabs>
              <w:tab w:val="right" w:leader="dot" w:pos="8867"/>
            </w:tabs>
            <w:kinsoku/>
            <w:wordWrap/>
            <w:overflowPunct/>
            <w:topLinePunct w:val="0"/>
            <w:bidi w:val="0"/>
            <w:spacing w:line="560" w:lineRule="exact"/>
            <w:textAlignment w:val="auto"/>
            <w:rPr>
              <w:rFonts w:hint="eastAsia" w:ascii="仿宋_GB2312" w:hAnsi="仿宋_GB2312" w:eastAsia="仿宋_GB2312" w:cs="仿宋_GB2312"/>
              <w:sz w:val="32"/>
              <w:szCs w:val="32"/>
            </w:rPr>
          </w:pPr>
          <w:r>
            <w:rPr>
              <w:rFonts w:hint="eastAsia" w:ascii="仿宋_GB2312" w:hAnsi="仿宋_GB2312" w:eastAsia="仿宋_GB2312" w:cs="仿宋_GB2312"/>
              <w:color w:val="000000" w:themeColor="text1"/>
              <w:sz w:val="32"/>
              <w:szCs w:val="32"/>
              <w14:textFill>
                <w14:solidFill>
                  <w14:schemeClr w14:val="tx1"/>
                </w14:solidFill>
              </w14:textFill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HYPERLINK \l _Toc18443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  <w:t>第五章 附  则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ab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begin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instrText xml:space="preserve"> PAGEREF _Toc18443 \h </w:instrTex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separate"/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 xml:space="preserve">- 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  <w:lang w:val="en-US" w:eastAsia="zh-CN"/>
            </w:rPr>
            <w:t>7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t xml:space="preserve"> -</w:t>
          </w:r>
          <w:r>
            <w:rPr>
              <w:rFonts w:hint="eastAsia" w:ascii="仿宋_GB2312" w:hAnsi="仿宋_GB2312" w:eastAsia="仿宋_GB2312" w:cs="仿宋_GB2312"/>
              <w:sz w:val="32"/>
              <w:szCs w:val="32"/>
            </w:rPr>
            <w:fldChar w:fldCharType="end"/>
          </w:r>
          <w:r>
            <w:rPr>
              <w:rFonts w:hint="eastAsia" w:ascii="仿宋_GB2312" w:hAnsi="仿宋_GB2312" w:eastAsia="仿宋_GB2312" w:cs="仿宋_GB2312"/>
              <w:color w:val="000000" w:themeColor="text1"/>
              <w:sz w:val="32"/>
              <w:szCs w:val="32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  <w:p>
          <w:pPr>
            <w:pStyle w:val="9"/>
            <w:keepNext w:val="0"/>
            <w:keepLines w:val="0"/>
            <w:pageBreakBefore w:val="0"/>
            <w:widowControl w:val="0"/>
            <w:kinsoku/>
            <w:wordWrap/>
            <w:overflowPunct/>
            <w:topLinePunct w:val="0"/>
            <w:autoSpaceDE w:val="0"/>
            <w:autoSpaceDN w:val="0"/>
            <w:bidi w:val="0"/>
            <w:adjustRightInd w:val="0"/>
            <w:snapToGrid w:val="0"/>
            <w:spacing w:line="560" w:lineRule="exact"/>
            <w:ind w:firstLine="640" w:firstLineChars="200"/>
            <w:jc w:val="right"/>
            <w:textAlignment w:val="auto"/>
            <w:rPr>
              <w:rFonts w:hint="eastAsia" w:ascii="Arial" w:hAnsi="Arial" w:eastAsia="仿宋_GB2312" w:cs="Arial"/>
              <w:color w:val="000000" w:themeColor="text1"/>
              <w:sz w:val="31"/>
              <w:szCs w:val="32"/>
              <w:lang w:val="zh-CN" w:eastAsia="zh-CN" w:bidi="zh-CN"/>
              <w14:textFill>
                <w14:solidFill>
                  <w14:schemeClr w14:val="tx1"/>
                </w14:solidFill>
              </w14:textFill>
            </w:rPr>
          </w:pPr>
          <w:r>
            <w:rPr>
              <w:rFonts w:hint="eastAsia" w:ascii="仿宋_GB2312" w:hAnsi="仿宋_GB2312" w:eastAsia="仿宋_GB2312" w:cs="仿宋_GB2312"/>
              <w:color w:val="000000" w:themeColor="text1"/>
              <w:sz w:val="32"/>
              <w:szCs w:val="32"/>
              <w14:textFill>
                <w14:solidFill>
                  <w14:schemeClr w14:val="tx1"/>
                </w14:solidFill>
              </w14:textFill>
            </w:rPr>
            <w:fldChar w:fldCharType="end"/>
          </w:r>
        </w:p>
      </w:sdtContent>
    </w:sdt>
    <w:p>
      <w:pPr>
        <w:pStyle w:val="9"/>
        <w:widowControl w:val="0"/>
        <w:autoSpaceDE w:val="0"/>
        <w:autoSpaceDN w:val="0"/>
        <w:adjustRightInd w:val="0"/>
        <w:snapToGrid w:val="0"/>
        <w:spacing w:line="360" w:lineRule="auto"/>
        <w:ind w:firstLine="620" w:firstLineChars="200"/>
        <w:jc w:val="right"/>
        <w:rPr>
          <w:rFonts w:hint="eastAsia" w:ascii="Arial" w:hAnsi="Arial" w:eastAsia="仿宋_GB2312" w:cs="Arial"/>
          <w:color w:val="000000" w:themeColor="text1"/>
          <w:sz w:val="31"/>
          <w:szCs w:val="32"/>
          <w:lang w:val="zh-CN" w:eastAsia="zh-CN" w:bidi="zh-CN"/>
          <w14:textFill>
            <w14:solidFill>
              <w14:schemeClr w14:val="tx1"/>
            </w14:solidFill>
          </w14:textFill>
        </w:rPr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仿宋_GB2312" w:hAnsi="仿宋_GB2312" w:eastAsia="仿宋_GB2312" w:cs="仿宋_GB2312"/>
          <w:sz w:val="24"/>
          <w:szCs w:val="24"/>
        </w:rPr>
        <w:sectPr>
          <w:footerReference r:id="rId4" w:type="default"/>
          <w:pgSz w:w="11906" w:h="16838"/>
          <w:pgMar w:top="2098" w:right="1474" w:bottom="1984" w:left="1587" w:header="851" w:footer="992" w:gutter="0"/>
          <w:pgNumType w:fmt="decimal" w:start="1"/>
          <w:cols w:space="0" w:num="1"/>
          <w:rtlGutter w:val="0"/>
          <w:docGrid w:type="lines" w:linePitch="312" w:charSpace="0"/>
        </w:sect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center"/>
        <w:textAlignment w:val="auto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制度履历表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</w:p>
    <w:tbl>
      <w:tblPr>
        <w:tblStyle w:val="6"/>
        <w:tblW w:w="9487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12"/>
        <w:gridCol w:w="946"/>
        <w:gridCol w:w="704"/>
        <w:gridCol w:w="681"/>
        <w:gridCol w:w="1488"/>
        <w:gridCol w:w="900"/>
        <w:gridCol w:w="646"/>
        <w:gridCol w:w="281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  <w:jc w:val="center"/>
        </w:trPr>
        <w:tc>
          <w:tcPr>
            <w:tcW w:w="1312" w:type="dxa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制度名称</w:t>
            </w:r>
          </w:p>
        </w:tc>
        <w:tc>
          <w:tcPr>
            <w:tcW w:w="94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编制(修改)时间</w:t>
            </w:r>
          </w:p>
        </w:tc>
        <w:tc>
          <w:tcPr>
            <w:tcW w:w="704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首次编制</w:t>
            </w:r>
          </w:p>
        </w:tc>
        <w:tc>
          <w:tcPr>
            <w:tcW w:w="681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修订编制</w:t>
            </w:r>
          </w:p>
        </w:tc>
        <w:tc>
          <w:tcPr>
            <w:tcW w:w="1488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编制部门</w:t>
            </w:r>
          </w:p>
        </w:tc>
        <w:tc>
          <w:tcPr>
            <w:tcW w:w="90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审批</w:t>
            </w:r>
          </w:p>
        </w:tc>
        <w:tc>
          <w:tcPr>
            <w:tcW w:w="646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废止</w:t>
            </w:r>
          </w:p>
        </w:tc>
        <w:tc>
          <w:tcPr>
            <w:tcW w:w="2810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编号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1312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《四川九洲投资控股集团有限公司公寓管理办法（试行）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</w:t>
            </w:r>
          </w:p>
        </w:tc>
        <w:tc>
          <w:tcPr>
            <w:tcW w:w="9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default" w:ascii="Arial" w:hAnsi="Arial" w:eastAsia="仿宋_GB2312" w:cs="Arial"/>
                <w:sz w:val="21"/>
                <w:szCs w:val="21"/>
              </w:rPr>
              <w:t>20</w:t>
            </w:r>
            <w:r>
              <w:rPr>
                <w:rFonts w:hint="default" w:ascii="Arial" w:hAnsi="Arial" w:eastAsia="仿宋_GB2312" w:cs="Arial"/>
                <w:sz w:val="21"/>
                <w:szCs w:val="21"/>
                <w:lang w:val="en-US" w:eastAsia="zh-CN"/>
              </w:rPr>
              <w:t>22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年</w:t>
            </w:r>
          </w:p>
        </w:tc>
        <w:tc>
          <w:tcPr>
            <w:tcW w:w="7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√</w:t>
            </w:r>
          </w:p>
        </w:tc>
        <w:tc>
          <w:tcPr>
            <w:tcW w:w="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14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园区服务中心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总经理</w:t>
            </w:r>
          </w:p>
        </w:tc>
        <w:tc>
          <w:tcPr>
            <w:tcW w:w="6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</w:rPr>
              <w:t>九洲集团园服</w:t>
            </w:r>
            <w:r>
              <w:rPr>
                <w:rFonts w:hint="default" w:ascii="Arial" w:hAnsi="Arial" w:eastAsia="仿宋_GB2312" w:cs="Arial"/>
                <w:kern w:val="2"/>
                <w:sz w:val="21"/>
                <w:szCs w:val="21"/>
                <w:lang w:val="en-US" w:eastAsia="zh-CN" w:bidi="ar"/>
              </w:rPr>
              <w:t>〔2022〕78</w:t>
            </w:r>
            <w:r>
              <w:rPr>
                <w:rFonts w:hint="eastAsia" w:ascii="仿宋_GB2312" w:hAnsi="Calibri" w:eastAsia="仿宋_GB2312" w:cs="仿宋_GB2312"/>
                <w:kern w:val="2"/>
                <w:sz w:val="21"/>
                <w:szCs w:val="21"/>
                <w:lang w:val="en-US" w:eastAsia="zh-CN" w:bidi="ar"/>
              </w:rPr>
              <w:t>号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3" w:hRule="atLeast"/>
          <w:jc w:val="center"/>
        </w:trPr>
        <w:tc>
          <w:tcPr>
            <w:tcW w:w="131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17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说明：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1312" w:type="dxa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《四川九洲投资控股集团有限公司公寓管理规范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》</w:t>
            </w:r>
          </w:p>
        </w:tc>
        <w:tc>
          <w:tcPr>
            <w:tcW w:w="9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仿宋_GB2312" w:cs="Arial"/>
                <w:sz w:val="21"/>
                <w:szCs w:val="21"/>
                <w:lang w:val="en-US" w:eastAsia="zh-CN"/>
              </w:rPr>
              <w:t>202</w:t>
            </w:r>
            <w:r>
              <w:rPr>
                <w:rFonts w:hint="eastAsia" w:ascii="Arial" w:hAnsi="Arial" w:eastAsia="仿宋_GB2312" w:cs="Arial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年</w:t>
            </w:r>
          </w:p>
        </w:tc>
        <w:tc>
          <w:tcPr>
            <w:tcW w:w="70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681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√</w:t>
            </w:r>
          </w:p>
        </w:tc>
        <w:tc>
          <w:tcPr>
            <w:tcW w:w="14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园区服务中心</w:t>
            </w:r>
          </w:p>
        </w:tc>
        <w:tc>
          <w:tcPr>
            <w:tcW w:w="9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总经理</w:t>
            </w:r>
          </w:p>
        </w:tc>
        <w:tc>
          <w:tcPr>
            <w:tcW w:w="64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281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仿宋_GB2312" w:cs="Arial"/>
                <w:sz w:val="21"/>
                <w:szCs w:val="21"/>
                <w:lang w:val="en-US" w:eastAsia="zh-CN"/>
              </w:rPr>
              <w:t>JZJT-HQ-2024-0002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9" w:hRule="atLeast"/>
          <w:jc w:val="center"/>
        </w:trPr>
        <w:tc>
          <w:tcPr>
            <w:tcW w:w="1312" w:type="dxa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  <w:tc>
          <w:tcPr>
            <w:tcW w:w="8175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说明：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default" w:ascii="Arial" w:hAnsi="Arial" w:eastAsia="仿宋_GB2312" w:cs="Arial"/>
                <w:sz w:val="21"/>
                <w:szCs w:val="21"/>
              </w:rPr>
              <w:t>1</w:t>
            </w:r>
            <w:r>
              <w:rPr>
                <w:rFonts w:hint="eastAsia" w:ascii="Arial" w:hAnsi="Arial" w:eastAsia="仿宋_GB2312" w:cs="Arial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修改总则（公寓的定义、公寓管理原则）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仿宋_GB2312" w:cs="Arial"/>
                <w:sz w:val="21"/>
                <w:szCs w:val="21"/>
              </w:rPr>
              <w:t>2</w:t>
            </w:r>
            <w:r>
              <w:rPr>
                <w:rFonts w:hint="eastAsia" w:ascii="Arial" w:hAnsi="Arial" w:eastAsia="仿宋_GB2312" w:cs="Arial"/>
                <w:sz w:val="21"/>
                <w:szCs w:val="21"/>
                <w:lang w:eastAsia="zh-CN"/>
              </w:rPr>
              <w:t>.明确了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总部及各产业公司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管理职责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</w:pPr>
            <w:r>
              <w:rPr>
                <w:rFonts w:hint="default" w:ascii="Arial" w:hAnsi="Arial" w:eastAsia="仿宋_GB2312" w:cs="Arial"/>
                <w:sz w:val="21"/>
                <w:szCs w:val="21"/>
              </w:rPr>
              <w:t>3</w:t>
            </w:r>
            <w:r>
              <w:rPr>
                <w:rFonts w:hint="eastAsia" w:ascii="Arial" w:hAnsi="Arial" w:eastAsia="仿宋_GB2312" w:cs="Arial"/>
                <w:sz w:val="21"/>
                <w:szCs w:val="21"/>
                <w:lang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修改收费管理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Arial" w:hAnsi="Arial" w:eastAsia="仿宋_GB2312" w:cs="Arial"/>
                <w:sz w:val="21"/>
                <w:szCs w:val="21"/>
                <w:lang w:val="en-US" w:eastAsia="zh-CN"/>
              </w:rPr>
            </w:pPr>
            <w:r>
              <w:rPr>
                <w:rFonts w:hint="default" w:ascii="Arial" w:hAnsi="Arial" w:eastAsia="仿宋_GB2312" w:cs="Arial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Arial" w:hAnsi="Arial" w:eastAsia="仿宋_GB2312" w:cs="Arial"/>
                <w:sz w:val="21"/>
                <w:szCs w:val="21"/>
                <w:lang w:val="en-US" w:eastAsia="zh-CN"/>
              </w:rPr>
              <w:t>.新增公寓安全检查</w:t>
            </w:r>
          </w:p>
          <w:p>
            <w:pPr>
              <w:pStyle w:val="3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1"/>
                <w:szCs w:val="21"/>
                <w:lang w:val="en-US" w:eastAsia="zh-CN"/>
              </w:rPr>
              <w:t>5.取消附表：单身公寓管理实施细则等</w:t>
            </w:r>
          </w:p>
        </w:tc>
      </w:tr>
    </w:tbl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jc w:val="left"/>
        <w:textAlignment w:val="auto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注：“说明”阐述修改的主要内容。</w:t>
      </w:r>
    </w:p>
    <w:p>
      <w:pPr>
        <w:spacing w:before="120" w:beforeLines="50" w:after="120" w:afterLines="50" w:line="560" w:lineRule="exact"/>
        <w:jc w:val="center"/>
        <w:rPr>
          <w:rFonts w:ascii="Arial" w:hAnsi="黑体" w:eastAsia="黑体" w:cs="Arial"/>
          <w:w w:val="98"/>
          <w:sz w:val="21"/>
          <w:szCs w:val="21"/>
        </w:rPr>
      </w:pPr>
    </w:p>
    <w:p>
      <w:pPr>
        <w:pStyle w:val="5"/>
        <w:rPr>
          <w:rFonts w:ascii="Arial" w:hAnsi="黑体" w:eastAsia="黑体" w:cs="Arial"/>
          <w:w w:val="98"/>
          <w:sz w:val="21"/>
          <w:szCs w:val="21"/>
        </w:rPr>
      </w:pPr>
    </w:p>
    <w:p>
      <w:pPr>
        <w:pStyle w:val="5"/>
        <w:rPr>
          <w:rFonts w:ascii="Arial" w:hAnsi="黑体" w:eastAsia="黑体" w:cs="Arial"/>
          <w:w w:val="98"/>
          <w:sz w:val="21"/>
          <w:szCs w:val="21"/>
        </w:rPr>
      </w:pPr>
    </w:p>
    <w:p>
      <w:pPr>
        <w:pStyle w:val="5"/>
        <w:rPr>
          <w:rFonts w:ascii="Arial" w:hAnsi="黑体" w:eastAsia="黑体" w:cs="Arial"/>
          <w:w w:val="98"/>
          <w:sz w:val="21"/>
          <w:szCs w:val="21"/>
        </w:rPr>
      </w:pPr>
    </w:p>
    <w:p>
      <w:pPr>
        <w:pStyle w:val="5"/>
        <w:rPr>
          <w:rFonts w:ascii="Arial" w:hAnsi="黑体" w:eastAsia="黑体" w:cs="Arial"/>
          <w:w w:val="98"/>
          <w:sz w:val="21"/>
          <w:szCs w:val="21"/>
        </w:rPr>
      </w:pPr>
    </w:p>
    <w:p>
      <w:pPr>
        <w:pStyle w:val="5"/>
        <w:rPr>
          <w:rFonts w:ascii="Arial" w:hAnsi="黑体" w:eastAsia="黑体" w:cs="Arial"/>
          <w:w w:val="98"/>
          <w:sz w:val="21"/>
          <w:szCs w:val="21"/>
        </w:rPr>
      </w:pPr>
    </w:p>
    <w:p>
      <w:pPr>
        <w:pStyle w:val="5"/>
        <w:rPr>
          <w:rFonts w:ascii="Arial" w:hAnsi="黑体" w:eastAsia="黑体" w:cs="Arial"/>
          <w:w w:val="98"/>
          <w:sz w:val="21"/>
          <w:szCs w:val="21"/>
        </w:rPr>
      </w:pPr>
    </w:p>
    <w:p>
      <w:pPr>
        <w:pStyle w:val="5"/>
        <w:rPr>
          <w:rFonts w:ascii="Arial" w:hAnsi="黑体" w:eastAsia="黑体" w:cs="Arial"/>
          <w:w w:val="98"/>
          <w:sz w:val="21"/>
          <w:szCs w:val="21"/>
        </w:rPr>
      </w:pPr>
    </w:p>
    <w:p>
      <w:pPr>
        <w:numPr>
          <w:ilvl w:val="-1"/>
          <w:numId w:val="0"/>
        </w:numPr>
        <w:spacing w:before="260" w:after="260" w:line="560" w:lineRule="exact"/>
        <w:ind w:left="0" w:firstLine="0"/>
        <w:jc w:val="center"/>
        <w:rPr>
          <w:rFonts w:hint="eastAsia" w:ascii="黑体" w:hAnsi="黑体" w:eastAsia="黑体" w:cs="黑体"/>
          <w:b/>
          <w:sz w:val="32"/>
          <w:szCs w:val="32"/>
          <w:lang w:eastAsia="zh-CN"/>
        </w:rPr>
      </w:pPr>
    </w:p>
    <w:p>
      <w:pPr>
        <w:numPr>
          <w:ilvl w:val="-1"/>
          <w:numId w:val="0"/>
        </w:numPr>
        <w:spacing w:before="260" w:after="260" w:line="560" w:lineRule="exact"/>
        <w:ind w:left="0" w:firstLine="0"/>
        <w:jc w:val="center"/>
        <w:rPr>
          <w:rFonts w:hint="eastAsia" w:ascii="黑体" w:hAnsi="黑体" w:eastAsia="黑体" w:cs="黑体"/>
          <w:b/>
          <w:sz w:val="32"/>
          <w:szCs w:val="32"/>
          <w:lang w:eastAsia="zh-CN"/>
        </w:rPr>
        <w:sectPr>
          <w:footerReference r:id="rId5" w:type="default"/>
          <w:pgSz w:w="11906" w:h="16838"/>
          <w:pgMar w:top="2098" w:right="1474" w:bottom="1984" w:left="1587" w:header="851" w:footer="992" w:gutter="0"/>
          <w:pgNumType w:fmt="decimal" w:start="1"/>
          <w:cols w:space="0" w:num="1"/>
          <w:rtlGutter w:val="0"/>
          <w:docGrid w:type="lines" w:linePitch="312" w:charSpace="0"/>
        </w:sectPr>
      </w:pPr>
    </w:p>
    <w:p>
      <w:pPr>
        <w:numPr>
          <w:ilvl w:val="-1"/>
          <w:numId w:val="0"/>
        </w:numPr>
        <w:spacing w:before="260" w:after="260" w:line="560" w:lineRule="exact"/>
        <w:ind w:left="0" w:firstLine="0"/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sz w:val="32"/>
          <w:szCs w:val="32"/>
          <w:lang w:eastAsia="zh-CN"/>
        </w:rPr>
        <w:t>第一章</w:t>
      </w:r>
      <w:r>
        <w:rPr>
          <w:rFonts w:hint="eastAsia" w:ascii="黑体" w:hAnsi="黑体" w:eastAsia="黑体" w:cs="黑体"/>
          <w:b/>
          <w:sz w:val="32"/>
          <w:szCs w:val="32"/>
          <w:lang w:val="en-US" w:eastAsia="zh-CN"/>
        </w:rPr>
        <w:t xml:space="preserve"> 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总  则</w:t>
      </w:r>
    </w:p>
    <w:p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第一条 </w:t>
      </w:r>
      <w:r>
        <w:rPr>
          <w:rFonts w:hint="eastAsia" w:ascii="仿宋_GB2312" w:hAnsi="仿宋_GB2312" w:eastAsia="仿宋_GB2312" w:cs="仿宋_GB2312"/>
          <w:sz w:val="32"/>
          <w:szCs w:val="32"/>
        </w:rPr>
        <w:t>公寓的定义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本办法所称公寓，特指</w:t>
      </w:r>
      <w:r>
        <w:rPr>
          <w:rFonts w:hint="default" w:ascii="仿宋_GB2312" w:hAnsi="仿宋_GB2312" w:eastAsia="仿宋_GB2312" w:cs="仿宋_GB2312"/>
          <w:sz w:val="32"/>
          <w:szCs w:val="32"/>
        </w:rPr>
        <w:t>在绵阳区域，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总部</w:t>
      </w:r>
      <w:r>
        <w:rPr>
          <w:rFonts w:hint="default" w:ascii="仿宋_GB2312" w:hAnsi="仿宋_GB2312" w:eastAsia="仿宋_GB2312" w:cs="仿宋_GB2312"/>
          <w:sz w:val="32"/>
          <w:szCs w:val="32"/>
        </w:rPr>
        <w:t>拥有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全部产权，按照既定的条件由员工短期租住、按照市场化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定价</w:t>
      </w:r>
      <w:r>
        <w:rPr>
          <w:rFonts w:hint="eastAsia" w:ascii="仿宋_GB2312" w:hAnsi="仿宋_GB2312" w:eastAsia="仿宋_GB2312" w:cs="仿宋_GB2312"/>
          <w:sz w:val="32"/>
          <w:szCs w:val="32"/>
        </w:rPr>
        <w:t>原则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对内</w:t>
      </w:r>
      <w:r>
        <w:rPr>
          <w:rFonts w:hint="eastAsia" w:ascii="仿宋_GB2312" w:hAnsi="仿宋_GB2312" w:eastAsia="仿宋_GB2312" w:cs="仿宋_GB2312"/>
          <w:sz w:val="32"/>
          <w:szCs w:val="32"/>
        </w:rPr>
        <w:t>出租的周转房。根据目前实际情况，分为普通公寓和暂住式成套公寓两类。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普通公寓包括：科工园101-107栋公寓、九洲三生活区39栋公寓；暂住式成套公寓包括：九洲北郡公寓、九洲二生活区鸳鸯楼、37栋公寓。</w:t>
      </w:r>
    </w:p>
    <w:p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第二条 </w:t>
      </w:r>
      <w:r>
        <w:rPr>
          <w:rFonts w:hint="eastAsia" w:ascii="仿宋_GB2312" w:hAnsi="仿宋_GB2312" w:eastAsia="仿宋_GB2312" w:cs="仿宋_GB2312"/>
          <w:sz w:val="32"/>
          <w:szCs w:val="32"/>
        </w:rPr>
        <w:t>管理原则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(一)保障性原则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主要保障</w:t>
      </w:r>
      <w:r>
        <w:rPr>
          <w:rFonts w:hint="eastAsia" w:ascii="仿宋_GB2312" w:hAnsi="仿宋_GB2312" w:eastAsia="仿宋_GB2312" w:cs="仿宋_GB2312"/>
          <w:sz w:val="32"/>
          <w:szCs w:val="32"/>
        </w:rPr>
        <w:t>总部及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各产业公司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在</w:t>
      </w:r>
      <w:r>
        <w:rPr>
          <w:rFonts w:hint="default" w:ascii="仿宋_GB2312" w:hAnsi="仿宋_GB2312" w:eastAsia="仿宋_GB2312" w:cs="仿宋_GB2312"/>
          <w:sz w:val="32"/>
          <w:szCs w:val="32"/>
        </w:rPr>
        <w:t>绵阳</w:t>
      </w:r>
      <w:r>
        <w:rPr>
          <w:rFonts w:hint="eastAsia" w:ascii="仿宋_GB2312" w:hAnsi="仿宋_GB2312" w:eastAsia="仿宋_GB2312" w:cs="仿宋_GB2312"/>
          <w:sz w:val="32"/>
          <w:szCs w:val="32"/>
        </w:rPr>
        <w:t>市</w:t>
      </w:r>
      <w:r>
        <w:rPr>
          <w:rFonts w:hint="default" w:ascii="仿宋_GB2312" w:hAnsi="仿宋_GB2312" w:eastAsia="仿宋_GB2312" w:cs="仿宋_GB2312"/>
          <w:sz w:val="32"/>
          <w:szCs w:val="32"/>
        </w:rPr>
        <w:t>区</w:t>
      </w:r>
      <w:r>
        <w:rPr>
          <w:rFonts w:hint="eastAsia" w:ascii="仿宋_GB2312" w:hAnsi="仿宋_GB2312" w:eastAsia="仿宋_GB2312" w:cs="仿宋_GB2312"/>
          <w:sz w:val="32"/>
          <w:szCs w:val="32"/>
        </w:rPr>
        <w:t>暂无固定住房的</w:t>
      </w:r>
      <w:r>
        <w:rPr>
          <w:rFonts w:hint="default" w:ascii="仿宋_GB2312" w:hAnsi="仿宋_GB2312" w:eastAsia="仿宋_GB2312" w:cs="仿宋_GB2312"/>
          <w:sz w:val="32"/>
          <w:szCs w:val="32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员工短期周转性租住需求。</w:t>
      </w:r>
    </w:p>
    <w:p>
      <w:pPr>
        <w:numPr>
          <w:ilvl w:val="0"/>
          <w:numId w:val="1"/>
        </w:numPr>
        <w:spacing w:line="560" w:lineRule="exact"/>
        <w:ind w:firstLine="616" w:firstLineChars="200"/>
        <w:rPr>
          <w:rFonts w:hint="eastAsia" w:ascii="仿宋_GB2312" w:hAnsi="仿宋_GB2312" w:eastAsia="仿宋_GB2312" w:cs="仿宋_GB2312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周转性原则</w:t>
      </w:r>
    </w:p>
    <w:p>
      <w:pPr>
        <w:spacing w:line="560" w:lineRule="exact"/>
        <w:ind w:firstLine="616" w:firstLineChars="200"/>
        <w:rPr>
          <w:rFonts w:hint="eastAsia" w:ascii="仿宋_GB2312" w:hAnsi="仿宋_GB2312" w:eastAsia="仿宋_GB2312" w:cs="仿宋_GB2312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总部</w:t>
      </w:r>
      <w:r>
        <w:rPr>
          <w:rFonts w:ascii="仿宋_GB2312" w:hAnsi="仿宋_GB2312" w:eastAsia="仿宋_GB2312" w:cs="仿宋_GB2312"/>
          <w:spacing w:val="-6"/>
          <w:sz w:val="32"/>
          <w:szCs w:val="32"/>
        </w:rPr>
        <w:t>及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各产业公司自行统筹管理所分配的有限房源，由符合租住条件的员工短期租住，租赁期限原则上不得超过3年，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  <w:lang w:val="en-US" w:eastAsia="zh-CN"/>
        </w:rPr>
        <w:t>以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确保房源的周转性。公寓不得转租、转借，若产业公司不再需要，须及时退还</w:t>
      </w:r>
      <w:r>
        <w:rPr>
          <w:rFonts w:hint="default" w:ascii="仿宋_GB2312" w:hAnsi="仿宋_GB2312" w:eastAsia="仿宋_GB2312" w:cs="仿宋_GB2312"/>
          <w:spacing w:val="-6"/>
          <w:sz w:val="32"/>
          <w:szCs w:val="32"/>
        </w:rPr>
        <w:t>总部</w:t>
      </w: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统筹周转。</w:t>
      </w:r>
    </w:p>
    <w:p>
      <w:pPr>
        <w:spacing w:line="560" w:lineRule="exact"/>
        <w:ind w:firstLine="616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6"/>
          <w:sz w:val="32"/>
          <w:szCs w:val="32"/>
        </w:rPr>
        <w:t>（三）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合理收益</w:t>
      </w:r>
      <w:r>
        <w:rPr>
          <w:rFonts w:hint="eastAsia" w:ascii="仿宋_GB2312" w:hAnsi="仿宋_GB2312" w:eastAsia="仿宋_GB2312" w:cs="仿宋_GB2312"/>
          <w:sz w:val="32"/>
          <w:szCs w:val="32"/>
        </w:rPr>
        <w:t>原则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公寓按市场化原则实行有偿租用、有偿服务。总部及各产业公司</w:t>
      </w:r>
      <w:r>
        <w:rPr>
          <w:rFonts w:hint="default" w:ascii="仿宋_GB2312" w:hAnsi="仿宋_GB2312" w:eastAsia="仿宋_GB2312" w:cs="仿宋_GB2312"/>
          <w:sz w:val="32"/>
          <w:szCs w:val="32"/>
        </w:rPr>
        <w:t>的员工</w:t>
      </w:r>
      <w:r>
        <w:rPr>
          <w:rFonts w:hint="eastAsia" w:ascii="仿宋_GB2312" w:hAnsi="仿宋_GB2312" w:eastAsia="仿宋_GB2312" w:cs="仿宋_GB2312"/>
          <w:sz w:val="32"/>
          <w:szCs w:val="32"/>
        </w:rPr>
        <w:t>应按规定的标准缴纳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房屋</w:t>
      </w:r>
      <w:r>
        <w:rPr>
          <w:rFonts w:hint="eastAsia" w:ascii="仿宋_GB2312" w:hAnsi="仿宋_GB2312" w:eastAsia="仿宋_GB2312" w:cs="仿宋_GB2312"/>
          <w:sz w:val="32"/>
          <w:szCs w:val="32"/>
        </w:rPr>
        <w:t>租金、租房保证金、能耗费(主要为水电气)等费用。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（四）契约化管理原则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按照国家相关法律法规和</w:t>
      </w:r>
      <w:r>
        <w:rPr>
          <w:rFonts w:hint="default" w:ascii="仿宋_GB2312" w:hAnsi="仿宋_GB2312" w:eastAsia="仿宋_GB2312" w:cs="仿宋_GB2312"/>
          <w:sz w:val="32"/>
          <w:szCs w:val="32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</w:rPr>
        <w:t>的相关管理制度，以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租住协议、入住公约等</w:t>
      </w:r>
      <w:r>
        <w:rPr>
          <w:rFonts w:hint="eastAsia" w:ascii="仿宋_GB2312" w:hAnsi="仿宋_GB2312" w:eastAsia="仿宋_GB2312" w:cs="仿宋_GB2312"/>
          <w:sz w:val="32"/>
          <w:szCs w:val="32"/>
        </w:rPr>
        <w:t>形式依法加强公寓租住业务的规范管理。</w:t>
      </w:r>
    </w:p>
    <w:p>
      <w:pPr>
        <w:pStyle w:val="5"/>
        <w:numPr>
          <w:ilvl w:val="0"/>
          <w:numId w:val="0"/>
        </w:numPr>
        <w:spacing w:after="0" w:line="560" w:lineRule="exact"/>
        <w:ind w:firstLine="64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（五）统筹管理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原则</w:t>
      </w:r>
    </w:p>
    <w:p>
      <w:pPr>
        <w:pStyle w:val="5"/>
        <w:spacing w:after="0" w:line="560" w:lineRule="exact"/>
        <w:ind w:firstLine="632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</w:rPr>
        <w:t>总部</w:t>
      </w:r>
      <w:r>
        <w:rPr>
          <w:rFonts w:hint="eastAsia" w:ascii="仿宋_GB2312" w:hAnsi="仿宋_GB2312" w:eastAsia="仿宋_GB2312" w:cs="仿宋_GB2312"/>
          <w:color w:val="auto"/>
          <w:spacing w:val="-2"/>
          <w:sz w:val="32"/>
          <w:szCs w:val="32"/>
          <w:lang w:val="en-US" w:eastAsia="zh-CN"/>
        </w:rPr>
        <w:t>统筹管理公寓房源，根据各产业公司每年报送的新增在绵员工公寓住宿需求，将可提供的公寓房间按间数出租给各产业公司，并根据实际情况进行适时动态调整。</w:t>
      </w:r>
    </w:p>
    <w:p>
      <w:pPr>
        <w:pStyle w:val="5"/>
        <w:numPr>
          <w:ilvl w:val="0"/>
          <w:numId w:val="0"/>
        </w:numPr>
        <w:spacing w:after="0"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-SA"/>
        </w:rPr>
        <w:t>（六）</w:t>
      </w:r>
      <w:r>
        <w:rPr>
          <w:rFonts w:hint="eastAsia" w:ascii="仿宋_GB2312" w:hAnsi="仿宋_GB2312" w:eastAsia="仿宋_GB2312" w:cs="仿宋_GB2312"/>
          <w:sz w:val="32"/>
          <w:szCs w:val="32"/>
        </w:rPr>
        <w:t>谁使用谁负责原则</w:t>
      </w:r>
    </w:p>
    <w:p>
      <w:pPr>
        <w:pStyle w:val="5"/>
        <w:spacing w:after="0" w:line="560" w:lineRule="exact"/>
        <w:ind w:firstLine="632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各产业公司要具体管理到每一个房间、每一位员工，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lang w:val="en-US" w:eastAsia="zh-CN"/>
        </w:rPr>
        <w:t>要求住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highlight w:val="none"/>
          <w:lang w:val="en-US" w:eastAsia="zh-CN"/>
        </w:rPr>
        <w:t>员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  <w:highlight w:val="none"/>
        </w:rPr>
        <w:t>爱惜公物、遵守管理制度，</w:t>
      </w:r>
      <w:r>
        <w:rPr>
          <w:rFonts w:hint="eastAsia" w:ascii="仿宋_GB2312" w:hAnsi="仿宋_GB2312" w:eastAsia="仿宋_GB2312" w:cs="仿宋_GB2312"/>
          <w:spacing w:val="-2"/>
          <w:sz w:val="32"/>
          <w:szCs w:val="32"/>
        </w:rPr>
        <w:t>同时接受总部的统一管理。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60" w:after="260" w:line="560" w:lineRule="exact"/>
        <w:ind w:firstLine="643" w:firstLineChars="200"/>
        <w:jc w:val="center"/>
        <w:textAlignment w:val="auto"/>
        <w:rPr>
          <w:rFonts w:hint="eastAsia" w:ascii="黑体" w:hAnsi="黑体" w:eastAsia="黑体" w:cs="黑体"/>
          <w:b/>
          <w:bCs w:val="0"/>
          <w:sz w:val="32"/>
          <w:szCs w:val="32"/>
        </w:rPr>
      </w:pPr>
      <w:r>
        <w:rPr>
          <w:rFonts w:hint="eastAsia" w:ascii="黑体" w:hAnsi="黑体" w:eastAsia="黑体" w:cs="黑体"/>
          <w:b/>
          <w:bCs w:val="0"/>
          <w:sz w:val="32"/>
          <w:szCs w:val="32"/>
          <w:lang w:eastAsia="zh-CN"/>
        </w:rPr>
        <w:t>第二章</w:t>
      </w:r>
      <w:r>
        <w:rPr>
          <w:rFonts w:hint="eastAsia" w:ascii="黑体" w:hAnsi="黑体" w:eastAsia="黑体" w:cs="黑体"/>
          <w:b/>
          <w:bCs w:val="0"/>
          <w:sz w:val="32"/>
          <w:szCs w:val="32"/>
        </w:rPr>
        <w:t xml:space="preserve"> 管理职责</w:t>
      </w:r>
    </w:p>
    <w:p>
      <w:pPr>
        <w:spacing w:line="560" w:lineRule="exact"/>
        <w:ind w:firstLine="643" w:firstLineChars="200"/>
        <w:rPr>
          <w:rFonts w:hint="default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shd w:val="clear" w:color="auto" w:fill="FFFFFF"/>
          <w:lang w:eastAsia="zh-CN"/>
        </w:rPr>
        <w:t>第三条</w:t>
      </w: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val="en-US" w:eastAsia="zh-CN"/>
        </w:rPr>
        <w:t xml:space="preserve"> 总部管理职责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（一）园区服务中心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负责公寓的统筹管理和相关服务，根据实际情况，负责修订完善《公寓管理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规范</w:t>
      </w:r>
      <w:r>
        <w:rPr>
          <w:rFonts w:hint="eastAsia" w:ascii="仿宋_GB2312" w:hAnsi="仿宋_GB2312" w:eastAsia="仿宋_GB2312" w:cs="仿宋_GB2312"/>
          <w:sz w:val="32"/>
          <w:szCs w:val="32"/>
        </w:rPr>
        <w:t>》。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1.配置专职公寓管理人员。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2.公寓房间内设施设备的配置方案及计划管理。制订需要更新和增设的设施设备需求计划，报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总部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分管</w:t>
      </w:r>
      <w:r>
        <w:rPr>
          <w:rFonts w:hint="default" w:ascii="仿宋_GB2312" w:hAnsi="仿宋_GB2312" w:eastAsia="仿宋_GB2312" w:cs="仿宋_GB2312"/>
          <w:sz w:val="32"/>
          <w:szCs w:val="32"/>
          <w:lang w:eastAsia="zh-CN"/>
        </w:rPr>
        <w:t>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领导</w:t>
      </w:r>
      <w:r>
        <w:rPr>
          <w:rFonts w:hint="eastAsia" w:ascii="仿宋_GB2312" w:hAnsi="仿宋_GB2312" w:eastAsia="仿宋_GB2312" w:cs="仿宋_GB2312"/>
          <w:sz w:val="32"/>
          <w:szCs w:val="32"/>
        </w:rPr>
        <w:t>审批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后由相关部门执行相应采供流程</w:t>
      </w:r>
      <w:r>
        <w:rPr>
          <w:rFonts w:hint="eastAsia" w:ascii="仿宋_GB2312" w:hAnsi="仿宋_GB2312" w:eastAsia="仿宋_GB2312" w:cs="仿宋_GB2312"/>
          <w:sz w:val="32"/>
          <w:szCs w:val="32"/>
        </w:rPr>
        <w:t>；建立公寓现有设施设备物资台账，定期进行清理、盘点和报损。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3.将公寓房间统一租赁给各产业公司，并代表总部与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总部员工及</w:t>
      </w:r>
      <w:r>
        <w:rPr>
          <w:rFonts w:hint="eastAsia" w:ascii="仿宋_GB2312" w:hAnsi="仿宋_GB2312" w:eastAsia="仿宋_GB2312" w:cs="仿宋_GB2312"/>
          <w:sz w:val="32"/>
          <w:szCs w:val="32"/>
        </w:rPr>
        <w:t>各产业公司签订《房屋租赁协议》。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4.制作总部及各产业公司租用房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屋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的租金、能耗费等相关费用的月度报表，将总部公寓住员上月的水、电、气、房租扣款数据录入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总部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HR工资系统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代扣代缴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；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将产业公司租用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公寓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《月度水电气房租缴款通知单》发各产业公司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统一结算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将《水电气房租月报总表》及各产业公司的《月度水电气房租扣款通知单》提交总部财务管理部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用于结算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.负责公寓的安全值守、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公共区域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保洁、消防管理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能源消耗的抄录及设施设备维修。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.定期开展公寓检查、督导监管及考核等相关工作。</w:t>
      </w:r>
    </w:p>
    <w:p>
      <w:pPr>
        <w:pStyle w:val="5"/>
        <w:spacing w:after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（二）组织人事部</w:t>
      </w:r>
    </w:p>
    <w:p>
      <w:pPr>
        <w:pStyle w:val="5"/>
        <w:spacing w:after="0" w:line="560" w:lineRule="exact"/>
        <w:ind w:firstLine="64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1.负责制定总部每年新进员工的安置政策，包含房屋分配、租赁期限等内容。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2.每年5月前向园区服务中心提供总部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及各产业公司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校招新员工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在绵的住宿需求计划。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.每月5日前向园区服务中心提交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总部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本月新增租房员工计划，以此作为园区服务中心动态管理及相关费用清算的依据。</w:t>
      </w:r>
    </w:p>
    <w:p>
      <w:pPr>
        <w:numPr>
          <w:ilvl w:val="0"/>
          <w:numId w:val="0"/>
        </w:num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（三）财务管理部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1.每月与园区服务中心核对HR工资系统中数据的一致性，确保《水电气房租月报总表》中的总部员工代扣款无误。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2.每月与相关产业公司对账，对未缴纳房租的产业公司及欠款数额书面告知园区服务中心，作为能否对其续租、提供服务及考核的参考依据。</w:t>
      </w:r>
    </w:p>
    <w:p>
      <w:pPr>
        <w:spacing w:line="560" w:lineRule="exact"/>
        <w:ind w:firstLine="640" w:firstLineChars="200"/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资本运营部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</w:rPr>
        <w:t>负责</w:t>
      </w:r>
      <w:r>
        <w:rPr>
          <w:rFonts w:hint="eastAsia" w:ascii="仿宋_GB2312" w:hAnsi="仿宋_GB2312" w:eastAsia="仿宋_GB2312" w:cs="仿宋_GB2312"/>
          <w:sz w:val="32"/>
          <w:szCs w:val="32"/>
        </w:rPr>
        <w:t>制订公寓租金、保证金等费用标准。</w:t>
      </w:r>
    </w:p>
    <w:p>
      <w:pPr>
        <w:pStyle w:val="5"/>
        <w:numPr>
          <w:ilvl w:val="0"/>
          <w:numId w:val="0"/>
        </w:numPr>
        <w:spacing w:after="0" w:line="56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第四条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产业公司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管理职责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（一）负责向总部组织人事部报送本公司每年新进员工在绵住宿需求计划。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（二）负责制定本公司每年新进员工的安置政策，包含房屋分配、租赁期限等内容。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员工入住资格审查、员工房间安排与调整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对员工入住九洲公寓的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情况形成管理台账。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24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pacing w:val="-4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highlight w:val="none"/>
          <w:lang w:val="en-US" w:eastAsia="zh-CN"/>
        </w:rPr>
        <w:t>四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pacing w:val="-4"/>
          <w:sz w:val="32"/>
          <w:szCs w:val="32"/>
          <w:highlight w:val="none"/>
        </w:rPr>
        <w:t>根据总部发布的房屋租金标准及园区服务中心提供的能耗费用明细，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按季度向总部足额缴交房租、按月向总部足额缴交能耗费。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明确专人负责所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租用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的公寓日常管理工作，履行对所属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</w:rPr>
        <w:t>住宿员工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的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主体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管理责任，自行对本单位员工的入住进行动态调配，对员工住宿期间的安全及现场管理工作负责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同时积极配合园区服务中心的统筹管理。</w:t>
      </w:r>
    </w:p>
    <w:p>
      <w:pPr>
        <w:spacing w:line="560" w:lineRule="exact"/>
        <w:ind w:firstLine="640" w:firstLineChars="200"/>
        <w:rPr>
          <w:rFonts w:hint="eastAsia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六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制订本公司的公寓管理规约，</w:t>
      </w:r>
      <w:r>
        <w:rPr>
          <w:rFonts w:hint="eastAsia" w:ascii="仿宋_GB2312" w:hAnsi="仿宋_GB2312" w:eastAsia="仿宋_GB2312" w:cs="仿宋_GB2312"/>
          <w:spacing w:val="-11"/>
          <w:sz w:val="32"/>
          <w:szCs w:val="32"/>
          <w:highlight w:val="none"/>
        </w:rPr>
        <w:t>对违法、违规、违约员工进行强制退房。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根据总部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安全环保相关要求，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开展住宿员工安全教育培训，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定期或不定期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公寓安全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检查，杜绝安全事故发生。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教育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</w:rPr>
        <w:t>住宿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员工爱护房间内的设施设备，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维护清洁卫生，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自觉遵守国家法律、法规及公司相关规定，自觉维护良好企业形象。</w:t>
      </w:r>
    </w:p>
    <w:p>
      <w:pPr>
        <w:adjustRightInd w:val="0"/>
        <w:spacing w:before="260" w:after="260" w:line="560" w:lineRule="exact"/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章  收费管理</w:t>
      </w:r>
    </w:p>
    <w:p>
      <w:pPr>
        <w:spacing w:line="560" w:lineRule="exact"/>
        <w:ind w:firstLine="643" w:firstLineChars="200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条 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eastAsia="zh-CN"/>
        </w:rPr>
        <w:t>公寓费用标准制订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公寓费用标准的制订</w:t>
      </w:r>
      <w:r>
        <w:rPr>
          <w:rFonts w:hint="eastAsia" w:ascii="仿宋_GB2312" w:hAnsi="仿宋_GB2312" w:eastAsia="仿宋_GB2312" w:cs="仿宋_GB2312"/>
          <w:sz w:val="32"/>
          <w:szCs w:val="32"/>
        </w:rPr>
        <w:t>遵循市场化原则，由总部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资本运营部</w:t>
      </w:r>
      <w:r>
        <w:rPr>
          <w:rFonts w:hint="eastAsia" w:ascii="仿宋_GB2312" w:hAnsi="仿宋_GB2312" w:eastAsia="仿宋_GB2312" w:cs="仿宋_GB2312"/>
          <w:sz w:val="32"/>
          <w:szCs w:val="32"/>
        </w:rPr>
        <w:t>组织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财务管理部、组织人事部和园区服务中心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在进行市场调研的基础上制订，报批后由园区服务中心发布执行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适时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实行动态调整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现行标准见附表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FF0000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各产业公司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根据总部发布的公寓费用标准，</w:t>
      </w:r>
      <w:r>
        <w:rPr>
          <w:rFonts w:hint="eastAsia" w:ascii="仿宋_GB2312" w:hAnsi="仿宋_GB2312" w:eastAsia="仿宋_GB2312" w:cs="仿宋_GB2312"/>
          <w:sz w:val="32"/>
          <w:szCs w:val="32"/>
        </w:rPr>
        <w:t>自行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决定本公司员工租用公寓的相关费用</w:t>
      </w:r>
      <w:r>
        <w:rPr>
          <w:rFonts w:hint="eastAsia" w:ascii="仿宋_GB2312" w:hAnsi="仿宋_GB2312" w:eastAsia="仿宋_GB2312" w:cs="仿宋_GB2312"/>
          <w:sz w:val="32"/>
          <w:szCs w:val="32"/>
        </w:rPr>
        <w:t>标准。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第六条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公寓相关费用收缴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（一）租金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租金实行先入住后交费的原则，以自然月份为准。当月租住未满5天不计费用；超过5天但不足15天的按照半月计收；超过15天按满月计收。每年7月校招新员工，免除军训当月租金费用。</w:t>
      </w:r>
    </w:p>
    <w:p>
      <w:pPr>
        <w:spacing w:line="560" w:lineRule="exact"/>
        <w:ind w:firstLine="640" w:firstLineChars="200"/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总部员工租住的公寓租金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能耗费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直接从工资中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代扣代缴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。各产业公司租用的公寓租金由各产业公司每季度全额向总部缴纳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（二）</w:t>
      </w:r>
      <w:r>
        <w:rPr>
          <w:rFonts w:hint="eastAsia" w:ascii="仿宋_GB2312" w:hAnsi="仿宋_GB2312" w:eastAsia="仿宋_GB2312" w:cs="仿宋_GB2312"/>
          <w:sz w:val="32"/>
          <w:szCs w:val="32"/>
        </w:rPr>
        <w:t>租房保证金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总部</w:t>
      </w:r>
      <w:r>
        <w:rPr>
          <w:rFonts w:hint="default" w:ascii="仿宋_GB2312" w:hAnsi="仿宋_GB2312" w:eastAsia="仿宋_GB2312" w:cs="仿宋_GB2312"/>
          <w:sz w:val="32"/>
          <w:szCs w:val="32"/>
        </w:rPr>
        <w:t>住宿员工</w:t>
      </w:r>
      <w:r>
        <w:rPr>
          <w:rFonts w:hint="eastAsia" w:ascii="仿宋_GB2312" w:hAnsi="仿宋_GB2312" w:eastAsia="仿宋_GB2312" w:cs="仿宋_GB2312"/>
          <w:sz w:val="32"/>
          <w:szCs w:val="32"/>
        </w:rPr>
        <w:t>按照《房屋租赁协议》约定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按人次在总部财务管理部一次性缴纳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退</w:t>
      </w:r>
      <w:r>
        <w:rPr>
          <w:rFonts w:ascii="仿宋_GB2312" w:hAnsi="仿宋_GB2312" w:eastAsia="仿宋_GB2312" w:cs="仿宋_GB2312"/>
          <w:sz w:val="32"/>
          <w:szCs w:val="32"/>
        </w:rPr>
        <w:t>房</w:t>
      </w:r>
      <w:r>
        <w:rPr>
          <w:rFonts w:hint="eastAsia" w:ascii="仿宋_GB2312" w:hAnsi="仿宋_GB2312" w:eastAsia="仿宋_GB2312" w:cs="仿宋_GB2312"/>
          <w:sz w:val="32"/>
          <w:szCs w:val="32"/>
        </w:rPr>
        <w:t>时若无公物损坏和其他欠款，经</w:t>
      </w:r>
      <w:r>
        <w:rPr>
          <w:rFonts w:ascii="仿宋_GB2312" w:hAnsi="仿宋_GB2312" w:eastAsia="仿宋_GB2312" w:cs="仿宋_GB2312"/>
          <w:sz w:val="32"/>
          <w:szCs w:val="32"/>
        </w:rPr>
        <w:t>园区服务中心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查验后由总部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财务管理部</w:t>
      </w:r>
      <w:r>
        <w:rPr>
          <w:rFonts w:hint="eastAsia" w:ascii="仿宋_GB2312" w:hAnsi="仿宋_GB2312" w:eastAsia="仿宋_GB2312" w:cs="仿宋_GB2312"/>
          <w:sz w:val="32"/>
          <w:szCs w:val="32"/>
        </w:rPr>
        <w:t>退还本人。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各产业公司按照《房屋租赁协议》约定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按间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/套</w:t>
      </w:r>
      <w:r>
        <w:rPr>
          <w:rFonts w:hint="eastAsia" w:ascii="仿宋_GB2312" w:hAnsi="仿宋_GB2312" w:eastAsia="仿宋_GB2312" w:cs="仿宋_GB2312"/>
          <w:sz w:val="32"/>
          <w:szCs w:val="32"/>
        </w:rPr>
        <w:t>向总部一次性缴纳，退</w:t>
      </w:r>
      <w:r>
        <w:rPr>
          <w:rFonts w:ascii="仿宋_GB2312" w:hAnsi="仿宋_GB2312" w:eastAsia="仿宋_GB2312" w:cs="仿宋_GB2312"/>
          <w:sz w:val="32"/>
          <w:szCs w:val="32"/>
        </w:rPr>
        <w:t>房</w:t>
      </w:r>
      <w:r>
        <w:rPr>
          <w:rFonts w:hint="eastAsia" w:ascii="仿宋_GB2312" w:hAnsi="仿宋_GB2312" w:eastAsia="仿宋_GB2312" w:cs="仿宋_GB2312"/>
          <w:sz w:val="32"/>
          <w:szCs w:val="32"/>
        </w:rPr>
        <w:t>时若无公物损坏和其他欠款，经</w:t>
      </w:r>
      <w:r>
        <w:rPr>
          <w:rFonts w:ascii="仿宋_GB2312" w:hAnsi="仿宋_GB2312" w:eastAsia="仿宋_GB2312" w:cs="仿宋_GB2312"/>
          <w:sz w:val="32"/>
          <w:szCs w:val="32"/>
        </w:rPr>
        <w:t>园区服务中心</w:t>
      </w:r>
      <w:r>
        <w:rPr>
          <w:rFonts w:hint="eastAsia" w:ascii="仿宋_GB2312" w:hAnsi="仿宋_GB2312" w:eastAsia="仿宋_GB2312" w:cs="仿宋_GB2312"/>
          <w:sz w:val="32"/>
          <w:szCs w:val="32"/>
        </w:rPr>
        <w:t>查验后由总部财务管理部退还各产业公司。</w:t>
      </w:r>
    </w:p>
    <w:p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能耗费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8" w:firstLineChars="200"/>
        <w:textAlignment w:val="auto"/>
        <w:rPr>
          <w:rFonts w:hint="eastAsia" w:ascii="仿宋_GB2312" w:hAnsi="仿宋_GB2312" w:eastAsia="仿宋_GB2312" w:cs="仿宋_GB2312"/>
          <w:spacing w:val="-8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能耗费标准根据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  <w:highlight w:val="none"/>
          <w:lang w:eastAsia="zh-CN"/>
        </w:rPr>
        <w:t>能源</w:t>
      </w:r>
      <w:r>
        <w:rPr>
          <w:rFonts w:hint="eastAsia" w:ascii="仿宋_GB2312" w:hAnsi="仿宋_GB2312" w:eastAsia="仿宋_GB2312" w:cs="仿宋_GB2312"/>
          <w:spacing w:val="-8"/>
          <w:sz w:val="32"/>
          <w:szCs w:val="32"/>
        </w:rPr>
        <w:t>供给单位的收费标准，据实计收。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（四）公寓维修费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.零星维修：若因使用不当、人为破坏造成公寓内设施设备损坏的，由住员承担相关维修费用，园区服务中心组织实施维修，费用标准参照《九洲集团科工园区零星维修服务收费指导意见》（九洲集团财务〔2022〕81号）执行；非上述原因造成公寓内设施设备损坏的，按照公司零星维修相关流程，费用由总部承担，园区服务中心组织实施维修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0000FF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2.大宗维修：有计划的大宗维修（如:墙面翻新、水电管网改造等）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按照公司相关管理办法及流程执行，费用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由总部承担，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园区服务中心组织实施维修。</w:t>
      </w:r>
    </w:p>
    <w:p>
      <w:pPr>
        <w:adjustRightInd w:val="0"/>
        <w:spacing w:before="260" w:after="260" w:line="560" w:lineRule="exact"/>
        <w:ind w:firstLine="2891" w:firstLineChars="900"/>
        <w:jc w:val="both"/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 xml:space="preserve">章  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监督与检查</w:t>
      </w:r>
    </w:p>
    <w:p>
      <w:pPr>
        <w:spacing w:line="560" w:lineRule="exact"/>
        <w:ind w:firstLine="643" w:firstLineChars="200"/>
        <w:rPr>
          <w:rFonts w:hint="default" w:asci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第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  <w:lang w:val="en-US" w:eastAsia="zh-CN"/>
        </w:rPr>
        <w:t>七</w:t>
      </w: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 xml:space="preserve">条 </w:t>
      </w:r>
      <w:r>
        <w:rPr>
          <w:rFonts w:hint="eastAsia" w:ascii="仿宋_GB2312" w:eastAsia="仿宋_GB2312" w:cs="仿宋_GB2312"/>
          <w:b w:val="0"/>
          <w:bCs w:val="0"/>
          <w:color w:val="000000"/>
          <w:kern w:val="0"/>
          <w:sz w:val="32"/>
          <w:szCs w:val="32"/>
          <w:highlight w:val="none"/>
          <w:lang w:val="en-US" w:eastAsia="zh-CN" w:bidi="ar"/>
        </w:rPr>
        <w:t>总部职能部门采取定期和随机的方式，对公寓进行日常管理检查，发现问题，通知相关单位或责任人及时整改。各产业公司要做好房间住宿情况的自检自查，切实落实管理责任。</w:t>
      </w:r>
    </w:p>
    <w:p>
      <w:pPr>
        <w:spacing w:line="560" w:lineRule="exact"/>
        <w:ind w:firstLine="640" w:firstLineChars="200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若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  <w:lang w:eastAsia="zh-CN"/>
        </w:rPr>
        <w:t>住宿员工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因房间内违规使用大功率电器、给电瓶车充电、高空抛物、擅自更改燃气或电路管线等严重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违反安全生产和消防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管理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规定的，由园区服务中心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提交总部安全生产办公室，依据安全生产相关规章制度进行处理和考核。</w:t>
      </w:r>
    </w:p>
    <w:p>
      <w:pPr>
        <w:adjustRightInd w:val="0"/>
        <w:spacing w:before="260" w:after="260" w:line="560" w:lineRule="exact"/>
        <w:jc w:val="center"/>
        <w:rPr>
          <w:rFonts w:hint="eastAsia"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第</w:t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CN"/>
        </w:rPr>
        <w:t>五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章  附  则</w:t>
      </w:r>
    </w:p>
    <w:p>
      <w:pPr>
        <w:spacing w:line="520" w:lineRule="exact"/>
        <w:ind w:firstLine="643" w:firstLineChars="200"/>
        <w:rPr>
          <w:rFonts w:hint="default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八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条 </w:t>
      </w:r>
      <w:r>
        <w:rPr>
          <w:rFonts w:hint="default" w:ascii="仿宋_GB2312" w:hAnsi="仿宋_GB2312" w:eastAsia="仿宋_GB2312" w:cs="仿宋_GB2312"/>
          <w:b w:val="0"/>
          <w:color w:val="auto"/>
          <w:sz w:val="32"/>
          <w:szCs w:val="32"/>
          <w:u w:val="none"/>
        </w:rPr>
        <w:t>本规范适用于</w:t>
      </w:r>
      <w:r>
        <w:rPr>
          <w:rFonts w:hint="eastAsia" w:ascii="仿宋_GB2312" w:hAnsi="仿宋_GB2312" w:eastAsia="仿宋_GB2312" w:cs="仿宋_GB2312"/>
          <w:b w:val="0"/>
          <w:color w:val="auto"/>
          <w:sz w:val="32"/>
          <w:szCs w:val="32"/>
          <w:u w:val="none"/>
          <w:lang w:eastAsia="zh-CN"/>
        </w:rPr>
        <w:t>总部拥有产权的公寓日常管理，各下属公司自有产权的公寓管理可参照本规范执行。</w:t>
      </w:r>
    </w:p>
    <w:p>
      <w:pPr>
        <w:spacing w:line="52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b/>
          <w:bCs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九</w:t>
      </w:r>
      <w:r>
        <w:rPr>
          <w:rFonts w:hint="default" w:ascii="仿宋_GB2312" w:hAnsi="仿宋_GB2312" w:eastAsia="仿宋_GB2312" w:cs="仿宋_GB2312"/>
          <w:b/>
          <w:bCs/>
          <w:sz w:val="32"/>
          <w:szCs w:val="32"/>
        </w:rPr>
        <w:t>条</w:t>
      </w:r>
      <w:r>
        <w:rPr>
          <w:rFonts w:hint="default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规范</w:t>
      </w:r>
      <w:r>
        <w:rPr>
          <w:rFonts w:hint="eastAsia" w:ascii="仿宋_GB2312" w:hAnsi="仿宋_GB2312" w:eastAsia="仿宋_GB2312" w:cs="仿宋_GB2312"/>
          <w:sz w:val="32"/>
          <w:szCs w:val="32"/>
        </w:rPr>
        <w:t>由园区服务中心负责解释、修订。</w:t>
      </w:r>
    </w:p>
    <w:p>
      <w:pPr>
        <w:spacing w:line="520" w:lineRule="exact"/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第</w:t>
      </w:r>
      <w:r>
        <w:rPr>
          <w:rFonts w:hint="eastAsia" w:ascii="仿宋_GB2312" w:hAnsi="仿宋_GB2312" w:eastAsia="仿宋_GB2312" w:cs="仿宋_GB2312"/>
          <w:b/>
          <w:sz w:val="32"/>
          <w:szCs w:val="32"/>
          <w:lang w:val="en-US" w:eastAsia="zh-CN"/>
        </w:rPr>
        <w:t>十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 xml:space="preserve">条 </w:t>
      </w:r>
      <w:r>
        <w:rPr>
          <w:rFonts w:hint="eastAsia" w:ascii="仿宋_GB2312" w:hAnsi="仿宋_GB2312" w:eastAsia="仿宋_GB2312" w:cs="仿宋_GB2312"/>
          <w:sz w:val="32"/>
          <w:szCs w:val="32"/>
        </w:rPr>
        <w:t>本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规范</w:t>
      </w:r>
      <w:r>
        <w:rPr>
          <w:rFonts w:hint="eastAsia" w:ascii="仿宋_GB2312" w:hAnsi="仿宋_GB2312" w:eastAsia="仿宋_GB2312" w:cs="仿宋_GB2312"/>
          <w:sz w:val="32"/>
          <w:szCs w:val="32"/>
        </w:rPr>
        <w:t>自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发布</w:t>
      </w:r>
      <w:r>
        <w:rPr>
          <w:rFonts w:hint="eastAsia" w:ascii="仿宋_GB2312" w:hAnsi="仿宋_GB2312" w:eastAsia="仿宋_GB2312" w:cs="仿宋_GB2312"/>
          <w:sz w:val="32"/>
          <w:szCs w:val="32"/>
        </w:rPr>
        <w:t>之日起执行，原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《四川九洲投资控股集团有限公司公寓管理办法（试行）</w:t>
      </w:r>
      <w:r>
        <w:rPr>
          <w:rFonts w:hint="eastAsia" w:ascii="仿宋_GB2312" w:hAnsi="仿宋_GB2312" w:eastAsia="仿宋_GB2312" w:cs="仿宋_GB2312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(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 w:bidi="ar"/>
        </w:rPr>
        <w:t>九洲集团园服〔2022〕78号)</w:t>
      </w:r>
      <w:r>
        <w:rPr>
          <w:rFonts w:hint="eastAsia" w:ascii="仿宋_GB2312" w:hAnsi="仿宋_GB2312" w:eastAsia="仿宋_GB2312" w:cs="仿宋_GB2312"/>
          <w:sz w:val="32"/>
          <w:szCs w:val="32"/>
        </w:rPr>
        <w:t>废止。</w:t>
      </w:r>
    </w:p>
    <w:p>
      <w:pPr>
        <w:pStyle w:val="5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pStyle w:val="5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附表：公寓费用标准</w:t>
      </w:r>
    </w:p>
    <w:p/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pStyle w:val="5"/>
      </w:pPr>
    </w:p>
    <w:p>
      <w:pPr>
        <w:spacing w:line="560" w:lineRule="exact"/>
        <w:jc w:val="both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6"/>
          <w:szCs w:val="36"/>
          <w:lang w:val="en-US" w:eastAsia="zh-CN"/>
        </w:rPr>
        <w:t>公寓费用标准</w:t>
      </w:r>
    </w:p>
    <w:tbl>
      <w:tblPr>
        <w:tblStyle w:val="7"/>
        <w:tblW w:w="9542" w:type="dxa"/>
        <w:tblInd w:w="-2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3"/>
        <w:gridCol w:w="1230"/>
        <w:gridCol w:w="870"/>
        <w:gridCol w:w="1875"/>
        <w:gridCol w:w="840"/>
        <w:gridCol w:w="1350"/>
        <w:gridCol w:w="14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exact"/>
        </w:trPr>
        <w:tc>
          <w:tcPr>
            <w:tcW w:w="1943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公寓名称及位置</w:t>
            </w:r>
          </w:p>
        </w:tc>
        <w:tc>
          <w:tcPr>
            <w:tcW w:w="1230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楼栋</w:t>
            </w:r>
          </w:p>
        </w:tc>
        <w:tc>
          <w:tcPr>
            <w:tcW w:w="870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户型</w:t>
            </w:r>
          </w:p>
        </w:tc>
        <w:tc>
          <w:tcPr>
            <w:tcW w:w="1875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租金标准</w:t>
            </w:r>
          </w:p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元/间（套）/月</w:t>
            </w:r>
          </w:p>
        </w:tc>
        <w:tc>
          <w:tcPr>
            <w:tcW w:w="219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保证金</w:t>
            </w:r>
          </w:p>
        </w:tc>
        <w:tc>
          <w:tcPr>
            <w:tcW w:w="1434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能耗费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</w:trPr>
        <w:tc>
          <w:tcPr>
            <w:tcW w:w="1943" w:type="dxa"/>
            <w:vMerge w:val="continue"/>
            <w:tcBorders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vMerge w:val="continue"/>
            <w:tcBorders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0" w:type="dxa"/>
            <w:vMerge w:val="continue"/>
            <w:tcBorders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vMerge w:val="continue"/>
            <w:tcBorders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4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元/人</w:t>
            </w:r>
          </w:p>
        </w:tc>
        <w:tc>
          <w:tcPr>
            <w:tcW w:w="1350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元/间（套）</w:t>
            </w:r>
          </w:p>
        </w:tc>
        <w:tc>
          <w:tcPr>
            <w:tcW w:w="1434" w:type="dxa"/>
            <w:vMerge w:val="continue"/>
            <w:tcBorders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1943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科工园公寓</w:t>
            </w:r>
          </w:p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(九盛路11号)</w:t>
            </w:r>
          </w:p>
        </w:tc>
        <w:tc>
          <w:tcPr>
            <w:tcW w:w="123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superscript"/>
                <w:lang w:val="en-US" w:eastAsia="zh-CN"/>
              </w:rPr>
            </w:pPr>
            <w:r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101#</w:t>
            </w:r>
          </w:p>
        </w:tc>
        <w:tc>
          <w:tcPr>
            <w:tcW w:w="87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单间</w:t>
            </w:r>
          </w:p>
        </w:tc>
        <w:tc>
          <w:tcPr>
            <w:tcW w:w="1875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400</w:t>
            </w:r>
          </w:p>
        </w:tc>
        <w:tc>
          <w:tcPr>
            <w:tcW w:w="84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400</w:t>
            </w:r>
          </w:p>
        </w:tc>
        <w:tc>
          <w:tcPr>
            <w:tcW w:w="135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1000</w:t>
            </w:r>
          </w:p>
        </w:tc>
        <w:tc>
          <w:tcPr>
            <w:tcW w:w="1434" w:type="dxa"/>
            <w:vMerge w:val="restart"/>
            <w:vAlign w:val="center"/>
          </w:tcPr>
          <w:p>
            <w:pPr>
              <w:spacing w:line="560" w:lineRule="exact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根据能源供给单位的收费标准，据实计收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102#</w:t>
            </w:r>
          </w:p>
        </w:tc>
        <w:tc>
          <w:tcPr>
            <w:tcW w:w="87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单间</w:t>
            </w:r>
          </w:p>
        </w:tc>
        <w:tc>
          <w:tcPr>
            <w:tcW w:w="1875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400</w:t>
            </w:r>
          </w:p>
        </w:tc>
        <w:tc>
          <w:tcPr>
            <w:tcW w:w="84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400</w:t>
            </w:r>
          </w:p>
        </w:tc>
        <w:tc>
          <w:tcPr>
            <w:tcW w:w="135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1000</w:t>
            </w:r>
          </w:p>
        </w:tc>
        <w:tc>
          <w:tcPr>
            <w:tcW w:w="1434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1943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103#</w:t>
            </w:r>
          </w:p>
        </w:tc>
        <w:tc>
          <w:tcPr>
            <w:tcW w:w="87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单间</w:t>
            </w:r>
          </w:p>
        </w:tc>
        <w:tc>
          <w:tcPr>
            <w:tcW w:w="1875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400</w:t>
            </w:r>
          </w:p>
        </w:tc>
        <w:tc>
          <w:tcPr>
            <w:tcW w:w="84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400</w:t>
            </w:r>
          </w:p>
        </w:tc>
        <w:tc>
          <w:tcPr>
            <w:tcW w:w="135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1000</w:t>
            </w:r>
          </w:p>
        </w:tc>
        <w:tc>
          <w:tcPr>
            <w:tcW w:w="1434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104#</w:t>
            </w:r>
          </w:p>
        </w:tc>
        <w:tc>
          <w:tcPr>
            <w:tcW w:w="87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单间</w:t>
            </w:r>
          </w:p>
        </w:tc>
        <w:tc>
          <w:tcPr>
            <w:tcW w:w="1875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500</w:t>
            </w:r>
          </w:p>
        </w:tc>
        <w:tc>
          <w:tcPr>
            <w:tcW w:w="84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400</w:t>
            </w:r>
          </w:p>
        </w:tc>
        <w:tc>
          <w:tcPr>
            <w:tcW w:w="135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1000</w:t>
            </w:r>
          </w:p>
        </w:tc>
        <w:tc>
          <w:tcPr>
            <w:tcW w:w="1434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105#</w:t>
            </w:r>
          </w:p>
        </w:tc>
        <w:tc>
          <w:tcPr>
            <w:tcW w:w="87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单间</w:t>
            </w:r>
          </w:p>
        </w:tc>
        <w:tc>
          <w:tcPr>
            <w:tcW w:w="1875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500</w:t>
            </w:r>
          </w:p>
        </w:tc>
        <w:tc>
          <w:tcPr>
            <w:tcW w:w="84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400</w:t>
            </w:r>
          </w:p>
        </w:tc>
        <w:tc>
          <w:tcPr>
            <w:tcW w:w="135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1000</w:t>
            </w:r>
          </w:p>
        </w:tc>
        <w:tc>
          <w:tcPr>
            <w:tcW w:w="1434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106#</w:t>
            </w:r>
          </w:p>
        </w:tc>
        <w:tc>
          <w:tcPr>
            <w:tcW w:w="87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单间</w:t>
            </w:r>
          </w:p>
        </w:tc>
        <w:tc>
          <w:tcPr>
            <w:tcW w:w="1875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600</w:t>
            </w:r>
          </w:p>
        </w:tc>
        <w:tc>
          <w:tcPr>
            <w:tcW w:w="84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400</w:t>
            </w:r>
          </w:p>
        </w:tc>
        <w:tc>
          <w:tcPr>
            <w:tcW w:w="135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1000</w:t>
            </w:r>
          </w:p>
        </w:tc>
        <w:tc>
          <w:tcPr>
            <w:tcW w:w="1434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107#</w:t>
            </w:r>
          </w:p>
        </w:tc>
        <w:tc>
          <w:tcPr>
            <w:tcW w:w="87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单间</w:t>
            </w:r>
          </w:p>
        </w:tc>
        <w:tc>
          <w:tcPr>
            <w:tcW w:w="1875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600</w:t>
            </w:r>
          </w:p>
        </w:tc>
        <w:tc>
          <w:tcPr>
            <w:tcW w:w="84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400</w:t>
            </w:r>
          </w:p>
        </w:tc>
        <w:tc>
          <w:tcPr>
            <w:tcW w:w="135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1000</w:t>
            </w:r>
          </w:p>
        </w:tc>
        <w:tc>
          <w:tcPr>
            <w:tcW w:w="1434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九洲北郡公寓（青龙大道南段244号）</w:t>
            </w:r>
          </w:p>
        </w:tc>
        <w:tc>
          <w:tcPr>
            <w:tcW w:w="1230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1#、6#</w:t>
            </w:r>
          </w:p>
        </w:tc>
        <w:tc>
          <w:tcPr>
            <w:tcW w:w="870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套间</w:t>
            </w:r>
          </w:p>
        </w:tc>
        <w:tc>
          <w:tcPr>
            <w:tcW w:w="1875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800</w:t>
            </w:r>
          </w:p>
        </w:tc>
        <w:tc>
          <w:tcPr>
            <w:tcW w:w="84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400</w:t>
            </w:r>
          </w:p>
        </w:tc>
        <w:tc>
          <w:tcPr>
            <w:tcW w:w="135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1000</w:t>
            </w:r>
          </w:p>
        </w:tc>
        <w:tc>
          <w:tcPr>
            <w:tcW w:w="1434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0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900</w:t>
            </w:r>
          </w:p>
        </w:tc>
        <w:tc>
          <w:tcPr>
            <w:tcW w:w="84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400</w:t>
            </w:r>
          </w:p>
        </w:tc>
        <w:tc>
          <w:tcPr>
            <w:tcW w:w="135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1000</w:t>
            </w:r>
          </w:p>
        </w:tc>
        <w:tc>
          <w:tcPr>
            <w:tcW w:w="1434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870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75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1000</w:t>
            </w:r>
          </w:p>
        </w:tc>
        <w:tc>
          <w:tcPr>
            <w:tcW w:w="84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400</w:t>
            </w:r>
          </w:p>
        </w:tc>
        <w:tc>
          <w:tcPr>
            <w:tcW w:w="135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1000</w:t>
            </w:r>
          </w:p>
        </w:tc>
        <w:tc>
          <w:tcPr>
            <w:tcW w:w="1434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restart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九洲二生活区公寓（平政一巷4号）</w:t>
            </w:r>
          </w:p>
        </w:tc>
        <w:tc>
          <w:tcPr>
            <w:tcW w:w="123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37#</w:t>
            </w:r>
          </w:p>
        </w:tc>
        <w:tc>
          <w:tcPr>
            <w:tcW w:w="87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套间</w:t>
            </w:r>
          </w:p>
        </w:tc>
        <w:tc>
          <w:tcPr>
            <w:tcW w:w="1875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800</w:t>
            </w:r>
          </w:p>
        </w:tc>
        <w:tc>
          <w:tcPr>
            <w:tcW w:w="84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400</w:t>
            </w:r>
          </w:p>
        </w:tc>
        <w:tc>
          <w:tcPr>
            <w:tcW w:w="135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1000</w:t>
            </w:r>
          </w:p>
        </w:tc>
        <w:tc>
          <w:tcPr>
            <w:tcW w:w="1434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43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23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鸳鸯楼</w:t>
            </w:r>
          </w:p>
        </w:tc>
        <w:tc>
          <w:tcPr>
            <w:tcW w:w="87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套间</w:t>
            </w:r>
          </w:p>
        </w:tc>
        <w:tc>
          <w:tcPr>
            <w:tcW w:w="1875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100</w:t>
            </w:r>
          </w:p>
        </w:tc>
        <w:tc>
          <w:tcPr>
            <w:tcW w:w="84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/</w:t>
            </w:r>
          </w:p>
        </w:tc>
        <w:tc>
          <w:tcPr>
            <w:tcW w:w="135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1000</w:t>
            </w:r>
          </w:p>
        </w:tc>
        <w:tc>
          <w:tcPr>
            <w:tcW w:w="1434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90" w:hRule="atLeast"/>
        </w:trPr>
        <w:tc>
          <w:tcPr>
            <w:tcW w:w="1943" w:type="dxa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九洲三生活区公寓（滨江路11号）</w:t>
            </w:r>
          </w:p>
        </w:tc>
        <w:tc>
          <w:tcPr>
            <w:tcW w:w="123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39#</w:t>
            </w:r>
          </w:p>
        </w:tc>
        <w:tc>
          <w:tcPr>
            <w:tcW w:w="87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单间</w:t>
            </w:r>
          </w:p>
        </w:tc>
        <w:tc>
          <w:tcPr>
            <w:tcW w:w="1875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300</w:t>
            </w:r>
          </w:p>
        </w:tc>
        <w:tc>
          <w:tcPr>
            <w:tcW w:w="84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400</w:t>
            </w:r>
          </w:p>
        </w:tc>
        <w:tc>
          <w:tcPr>
            <w:tcW w:w="1350" w:type="dxa"/>
            <w:vAlign w:val="center"/>
          </w:tcPr>
          <w:p>
            <w:pPr>
              <w:spacing w:line="560" w:lineRule="exact"/>
              <w:jc w:val="center"/>
              <w:rPr>
                <w:rFonts w:hint="default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仿宋_GB2312" w:cs="Arial"/>
                <w:sz w:val="24"/>
                <w:szCs w:val="24"/>
                <w:vertAlign w:val="baseline"/>
                <w:lang w:val="en-US" w:eastAsia="zh-CN"/>
              </w:rPr>
              <w:t>1000</w:t>
            </w:r>
          </w:p>
        </w:tc>
        <w:tc>
          <w:tcPr>
            <w:tcW w:w="1434" w:type="dxa"/>
            <w:vMerge w:val="continue"/>
            <w:vAlign w:val="center"/>
          </w:tcPr>
          <w:p>
            <w:pPr>
              <w:spacing w:line="560" w:lineRule="exact"/>
              <w:jc w:val="center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42" w:type="dxa"/>
            <w:gridSpan w:val="7"/>
            <w:vAlign w:val="center"/>
          </w:tcPr>
          <w:p>
            <w:pPr>
              <w:spacing w:line="560" w:lineRule="exact"/>
              <w:jc w:val="left"/>
              <w:rPr>
                <w:rFonts w:hint="default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vertAlign w:val="baseline"/>
                <w:lang w:val="en-US" w:eastAsia="zh-CN"/>
              </w:rPr>
              <w:t>备注：此公寓费用标准自2024年1月1日起执行，租金包含物业管理费，适时动态调整。</w:t>
            </w:r>
          </w:p>
        </w:tc>
      </w:tr>
    </w:tbl>
    <w:p>
      <w:pPr>
        <w:pStyle w:val="5"/>
      </w:pPr>
    </w:p>
    <w:sectPr>
      <w:footerReference r:id="rId6" w:type="default"/>
      <w:pgSz w:w="11906" w:h="16838"/>
      <w:pgMar w:top="2098" w:right="1474" w:bottom="1984" w:left="1587" w:header="851" w:footer="992" w:gutter="0"/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BA3CFBC"/>
    <w:multiLevelType w:val="singleLevel"/>
    <w:tmpl w:val="BBA3CFBC"/>
    <w:lvl w:ilvl="0" w:tentative="0">
      <w:start w:val="2"/>
      <w:numFmt w:val="chineseCounting"/>
      <w:lvlText w:val="(%1)"/>
      <w:lvlJc w:val="left"/>
      <w:pPr>
        <w:tabs>
          <w:tab w:val="left" w:pos="312"/>
        </w:tabs>
      </w:pPr>
      <w:rPr>
        <w:rFonts w:hint="eastAsia"/>
      </w:rPr>
    </w:lvl>
  </w:abstractNum>
  <w:abstractNum w:abstractNumId="1">
    <w:nsid w:val="F1EA9447"/>
    <w:multiLevelType w:val="singleLevel"/>
    <w:tmpl w:val="F1EA9447"/>
    <w:lvl w:ilvl="0" w:tentative="0">
      <w:start w:val="3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revisionView w:markup="0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2ZWExMTRkNDE2ZjkzMjI0ZTI5NTRjMWUwZDEyNTcifQ=="/>
  </w:docVars>
  <w:rsids>
    <w:rsidRoot w:val="2CFA5524"/>
    <w:rsid w:val="08E23107"/>
    <w:rsid w:val="1A303BFE"/>
    <w:rsid w:val="28B162EC"/>
    <w:rsid w:val="2CFA5524"/>
    <w:rsid w:val="2DEE637C"/>
    <w:rsid w:val="314C281A"/>
    <w:rsid w:val="319172B1"/>
    <w:rsid w:val="33976CF9"/>
    <w:rsid w:val="3CD42DDC"/>
    <w:rsid w:val="3F4E342B"/>
    <w:rsid w:val="3F592485"/>
    <w:rsid w:val="464A382E"/>
    <w:rsid w:val="4A6E0229"/>
    <w:rsid w:val="4F802680"/>
    <w:rsid w:val="58B15932"/>
    <w:rsid w:val="5EFF6819"/>
    <w:rsid w:val="61AC1CCE"/>
    <w:rsid w:val="67B247E5"/>
    <w:rsid w:val="783C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1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toc 1"/>
    <w:basedOn w:val="1"/>
    <w:next w:val="1"/>
    <w:qFormat/>
    <w:uiPriority w:val="1"/>
    <w:pPr>
      <w:spacing w:before="233"/>
      <w:jc w:val="center"/>
    </w:pPr>
    <w:rPr>
      <w:sz w:val="31"/>
      <w:szCs w:val="31"/>
    </w:rPr>
  </w:style>
  <w:style w:type="paragraph" w:styleId="5">
    <w:name w:val="Body Text 2"/>
    <w:basedOn w:val="1"/>
    <w:qFormat/>
    <w:uiPriority w:val="0"/>
    <w:pPr>
      <w:spacing w:after="120" w:line="480" w:lineRule="auto"/>
    </w:pPr>
    <w:rPr>
      <w:rFonts w:ascii="宋体" w:hAnsi="宋体" w:cs="宋体"/>
      <w:sz w:val="30"/>
      <w:szCs w:val="30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No Spacing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2840</Words>
  <Characters>2922</Characters>
  <Lines>0</Lines>
  <Paragraphs>0</Paragraphs>
  <TotalTime>17</TotalTime>
  <ScaleCrop>false</ScaleCrop>
  <LinksUpToDate>false</LinksUpToDate>
  <CharactersWithSpaces>3053</CharactersWithSpaces>
  <Application>WPS Office_11.8.2.11500_F1E327BC-269C-435d-A152-05C5408002CA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2024-06-26T06:17:00Z</dcterms:created>
  <dc:creator>Administrator</dc:creator>
  <cp:lastModifiedBy>Administrator</cp:lastModifiedBy>
  <dcterms:modified xsi:type="dcterms:W3CDTF">2024-06-27T08:04:46Z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2052-11.8.2.11500</vt:lpwstr>
  </property>
  <property fmtid="{D5CDD505-2E9C-101B-9397-08002B2CF9AE}" pid="3" name="ICV">
    <vt:lpwstr>99758579D6D34A08920E0A3809A73627</vt:lpwstr>
  </property>
</Properties>
</file>