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val="0"/>
        <w:snapToGrid w:val="0"/>
        <w:spacing w:line="560" w:lineRule="exact"/>
        <w:jc w:val="center"/>
        <w:rPr>
          <w:rFonts w:ascii="方正小标宋简体" w:hAnsi="方正小标宋简体" w:eastAsia="方正小标宋简体" w:cs="方正小标宋简体"/>
          <w:b w:val="0"/>
          <w:bCs/>
          <w:sz w:val="44"/>
          <w:szCs w:val="44"/>
          <w:highlight w:val="none"/>
        </w:rPr>
      </w:pPr>
      <w:r>
        <w:rPr>
          <w:rFonts w:ascii="方正小标宋简体" w:hAnsi="方正小标宋简体" w:eastAsia="方正小标宋简体" w:cs="方正小标宋简体"/>
          <w:b w:val="0"/>
          <w:bCs/>
          <w:sz w:val="44"/>
          <w:szCs w:val="44"/>
          <w:highlight w:val="none"/>
        </w:rPr>
        <w:t>202</w:t>
      </w:r>
      <w:r>
        <w:rPr>
          <w:rFonts w:hint="eastAsia" w:ascii="方正小标宋简体" w:hAnsi="方正小标宋简体" w:eastAsia="方正小标宋简体" w:cs="方正小标宋简体"/>
          <w:b w:val="0"/>
          <w:bCs/>
          <w:sz w:val="44"/>
          <w:szCs w:val="44"/>
          <w:highlight w:val="none"/>
          <w:lang w:val="en-US" w:eastAsia="zh-CN"/>
        </w:rPr>
        <w:t>4</w:t>
      </w:r>
      <w:r>
        <w:rPr>
          <w:rFonts w:ascii="方正小标宋简体" w:hAnsi="方正小标宋简体" w:eastAsia="方正小标宋简体" w:cs="方正小标宋简体"/>
          <w:b w:val="0"/>
          <w:bCs/>
          <w:sz w:val="44"/>
          <w:szCs w:val="44"/>
          <w:highlight w:val="none"/>
        </w:rPr>
        <w:t>年度经营业绩责任书</w:t>
      </w:r>
    </w:p>
    <w:p>
      <w:pPr>
        <w:keepNext w:val="0"/>
        <w:keepLines w:val="0"/>
        <w:pageBreakBefore w:val="0"/>
        <w:kinsoku/>
        <w:wordWrap/>
        <w:overflowPunct/>
        <w:topLinePunct w:val="0"/>
        <w:autoSpaceDE/>
        <w:autoSpaceDN/>
        <w:bidi w:val="0"/>
        <w:adjustRightInd w:val="0"/>
        <w:snapToGrid w:val="0"/>
        <w:spacing w:line="560" w:lineRule="exact"/>
        <w:jc w:val="center"/>
        <w:rPr>
          <w:rFonts w:ascii="方正小标宋简体" w:hAnsi="方正小标宋简体" w:eastAsia="方正小标宋简体" w:cs="方正小标宋简体"/>
          <w:b w:val="0"/>
          <w:bCs/>
          <w:sz w:val="44"/>
          <w:szCs w:val="44"/>
          <w:highlight w:val="none"/>
        </w:rPr>
      </w:pP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lang w:val="en-US" w:eastAsia="zh-CN"/>
        </w:rPr>
        <w:t>公司</w:t>
      </w:r>
      <w:r>
        <w:rPr>
          <w:rFonts w:hint="eastAsia" w:ascii="仿宋_GB2312" w:hAnsi="仿宋_GB2312" w:eastAsia="仿宋_GB2312" w:cs="仿宋_GB2312"/>
          <w:b w:val="0"/>
          <w:bCs/>
          <w:sz w:val="32"/>
          <w:szCs w:val="32"/>
          <w:highlight w:val="none"/>
        </w:rPr>
        <w:t>：</w:t>
      </w:r>
      <w:r>
        <w:rPr>
          <w:rFonts w:hint="eastAsia" w:ascii="仿宋_GB2312" w:hAnsi="仿宋_GB2312" w:eastAsia="仿宋_GB2312" w:cs="仿宋_GB2312"/>
          <w:b w:val="0"/>
          <w:bCs/>
          <w:sz w:val="32"/>
          <w:szCs w:val="32"/>
          <w:highlight w:val="none"/>
          <w:u w:val="none"/>
          <w:lang w:val="en-US" w:eastAsia="zh-CN"/>
        </w:rPr>
        <w:t>九洲千城置业有限责任公司</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甲方（考核方、授权代表）：杜明茗</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身份证号码：510727198705230610</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default"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任职单位及职务：九洲千城置业有限责任公司董事长</w:t>
      </w:r>
    </w:p>
    <w:p>
      <w:pPr>
        <w:keepNext w:val="0"/>
        <w:keepLines w:val="0"/>
        <w:pageBreakBefore w:val="0"/>
        <w:kinsoku/>
        <w:wordWrap/>
        <w:overflowPunct/>
        <w:topLinePunct w:val="0"/>
        <w:autoSpaceDE/>
        <w:autoSpaceDN/>
        <w:bidi w:val="0"/>
        <w:spacing w:line="560" w:lineRule="exact"/>
        <w:ind w:firstLine="640" w:firstLineChars="200"/>
        <w:jc w:val="left"/>
        <w:rPr>
          <w:rFonts w:hint="eastAsia" w:ascii="仿宋_GB2312" w:hAnsi="仿宋_GB2312" w:eastAsia="仿宋_GB2312" w:cs="仿宋_GB2312"/>
          <w:b w:val="0"/>
          <w:bCs/>
          <w:sz w:val="32"/>
          <w:szCs w:val="32"/>
          <w:highlight w:val="none"/>
        </w:rPr>
      </w:pPr>
      <w:bookmarkStart w:id="0" w:name="_GoBack"/>
      <w:bookmarkEnd w:id="0"/>
    </w:p>
    <w:p>
      <w:pPr>
        <w:keepNext w:val="0"/>
        <w:keepLines w:val="0"/>
        <w:pageBreakBefore w:val="0"/>
        <w:kinsoku/>
        <w:wordWrap/>
        <w:overflowPunct/>
        <w:topLinePunct w:val="0"/>
        <w:autoSpaceDE/>
        <w:autoSpaceDN/>
        <w:bidi w:val="0"/>
        <w:spacing w:line="560" w:lineRule="exact"/>
        <w:ind w:firstLine="640" w:firstLineChars="200"/>
        <w:jc w:val="left"/>
        <w:rPr>
          <w:rFonts w:hint="eastAsia" w:ascii="仿宋_GB2312" w:hAnsi="仿宋_GB2312" w:eastAsia="仿宋_GB2312" w:cs="仿宋_GB2312"/>
          <w:b w:val="0"/>
          <w:bCs/>
          <w:sz w:val="32"/>
          <w:szCs w:val="32"/>
          <w:highlight w:val="none"/>
          <w:u w:val="single"/>
          <w:lang w:val="en-US" w:eastAsia="zh-CN"/>
        </w:rPr>
      </w:pPr>
      <w:r>
        <w:rPr>
          <w:rFonts w:hint="eastAsia" w:ascii="仿宋_GB2312" w:hAnsi="仿宋_GB2312" w:eastAsia="仿宋_GB2312" w:cs="仿宋_GB2312"/>
          <w:b w:val="0"/>
          <w:bCs/>
          <w:sz w:val="32"/>
          <w:szCs w:val="32"/>
          <w:highlight w:val="none"/>
          <w:lang w:val="en-US" w:eastAsia="zh-CN"/>
        </w:rPr>
        <w:t>乙方（</w:t>
      </w:r>
      <w:r>
        <w:rPr>
          <w:rFonts w:hint="eastAsia" w:ascii="仿宋_GB2312" w:hAnsi="仿宋_GB2312" w:eastAsia="仿宋_GB2312" w:cs="仿宋_GB2312"/>
          <w:b w:val="0"/>
          <w:bCs/>
          <w:sz w:val="32"/>
          <w:szCs w:val="32"/>
          <w:highlight w:val="none"/>
        </w:rPr>
        <w:t>被考核方</w:t>
      </w:r>
      <w:r>
        <w:rPr>
          <w:rFonts w:hint="eastAsia" w:ascii="仿宋_GB2312" w:hAnsi="仿宋_GB2312" w:eastAsia="仿宋_GB2312" w:cs="仿宋_GB2312"/>
          <w:b w:val="0"/>
          <w:bCs/>
          <w:sz w:val="32"/>
          <w:szCs w:val="32"/>
          <w:highlight w:val="none"/>
          <w:lang w:val="en-US" w:eastAsia="zh-CN"/>
        </w:rPr>
        <w:t>）</w:t>
      </w:r>
      <w:r>
        <w:rPr>
          <w:rFonts w:hint="eastAsia" w:ascii="仿宋_GB2312" w:hAnsi="仿宋_GB2312" w:eastAsia="仿宋_GB2312" w:cs="仿宋_GB2312"/>
          <w:b w:val="0"/>
          <w:bCs/>
          <w:sz w:val="32"/>
          <w:szCs w:val="32"/>
          <w:highlight w:val="none"/>
        </w:rPr>
        <w:t>：</w:t>
      </w:r>
      <w:r>
        <w:rPr>
          <w:rFonts w:hint="eastAsia" w:ascii="仿宋_GB2312" w:hAnsi="仿宋_GB2312" w:eastAsia="仿宋_GB2312" w:cs="仿宋_GB2312"/>
          <w:b w:val="0"/>
          <w:bCs/>
          <w:sz w:val="32"/>
          <w:szCs w:val="32"/>
          <w:highlight w:val="none"/>
          <w:u w:val="none"/>
          <w:lang w:val="en-US" w:eastAsia="zh-CN"/>
        </w:rPr>
        <w:t>周龙</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default"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身份证号码：51060319880718767X</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rPr>
      </w:pP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为充分调动公司经营者的积极性，鼓励为公司经营发展找增量、提效益，引导其全面完成年度和任期经营目标任务，结合《绵阳市市属国有企业负责人经营业绩考核办法》（绵府办发〔2021〕24号）及九洲集团薪酬绩效等相关管理制度,业绩指标一年一签。为此特制定本责任书。</w:t>
      </w: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lang w:eastAsia="zh-CN"/>
        </w:rPr>
        <w:t>一、</w:t>
      </w:r>
      <w:r>
        <w:rPr>
          <w:rFonts w:hint="eastAsia" w:ascii="黑体" w:hAnsi="黑体" w:eastAsia="黑体" w:cs="黑体"/>
          <w:b w:val="0"/>
          <w:bCs/>
          <w:sz w:val="32"/>
          <w:szCs w:val="32"/>
          <w:highlight w:val="none"/>
        </w:rPr>
        <w:t>考核周期</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考核期限：</w:t>
      </w:r>
      <w:r>
        <w:rPr>
          <w:rFonts w:hint="eastAsia" w:ascii="仿宋_GB2312" w:hAnsi="仿宋_GB2312" w:eastAsia="仿宋_GB2312" w:cs="仿宋_GB2312"/>
          <w:b w:val="0"/>
          <w:bCs/>
          <w:sz w:val="32"/>
          <w:szCs w:val="32"/>
          <w:highlight w:val="none"/>
          <w:u w:val="single"/>
        </w:rPr>
        <w:t>202</w:t>
      </w:r>
      <w:r>
        <w:rPr>
          <w:rFonts w:hint="eastAsia" w:ascii="仿宋_GB2312" w:hAnsi="仿宋_GB2312" w:eastAsia="仿宋_GB2312" w:cs="仿宋_GB2312"/>
          <w:b w:val="0"/>
          <w:bCs/>
          <w:sz w:val="32"/>
          <w:szCs w:val="32"/>
          <w:highlight w:val="none"/>
          <w:u w:val="single"/>
          <w:lang w:val="en-US" w:eastAsia="zh-CN"/>
        </w:rPr>
        <w:t>4</w:t>
      </w:r>
      <w:r>
        <w:rPr>
          <w:rFonts w:hint="eastAsia" w:ascii="仿宋_GB2312" w:hAnsi="仿宋_GB2312" w:eastAsia="仿宋_GB2312" w:cs="仿宋_GB2312"/>
          <w:b w:val="0"/>
          <w:bCs/>
          <w:sz w:val="32"/>
          <w:szCs w:val="32"/>
          <w:highlight w:val="none"/>
          <w:u w:val="single"/>
        </w:rPr>
        <w:t>年1月1日至202</w:t>
      </w:r>
      <w:r>
        <w:rPr>
          <w:rFonts w:hint="eastAsia" w:ascii="仿宋_GB2312" w:hAnsi="仿宋_GB2312" w:eastAsia="仿宋_GB2312" w:cs="仿宋_GB2312"/>
          <w:b w:val="0"/>
          <w:bCs/>
          <w:sz w:val="32"/>
          <w:szCs w:val="32"/>
          <w:highlight w:val="none"/>
          <w:u w:val="single"/>
          <w:lang w:val="en-US" w:eastAsia="zh-CN"/>
        </w:rPr>
        <w:t>4</w:t>
      </w:r>
      <w:r>
        <w:rPr>
          <w:rFonts w:hint="eastAsia" w:ascii="仿宋_GB2312" w:hAnsi="仿宋_GB2312" w:eastAsia="仿宋_GB2312" w:cs="仿宋_GB2312"/>
          <w:b w:val="0"/>
          <w:bCs/>
          <w:sz w:val="32"/>
          <w:szCs w:val="32"/>
          <w:highlight w:val="none"/>
          <w:u w:val="single"/>
        </w:rPr>
        <w:t>年12月31日</w:t>
      </w: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lang w:val="en-US" w:eastAsia="zh-CN"/>
        </w:rPr>
        <w:t>二、</w:t>
      </w:r>
      <w:r>
        <w:rPr>
          <w:rFonts w:hint="eastAsia" w:ascii="黑体" w:hAnsi="黑体" w:eastAsia="黑体" w:cs="黑体"/>
          <w:b w:val="0"/>
          <w:bCs/>
          <w:sz w:val="32"/>
          <w:szCs w:val="32"/>
          <w:highlight w:val="none"/>
          <w:lang w:eastAsia="zh-CN"/>
        </w:rPr>
        <w:t>考核指标</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经营业绩指标分为组织绩效指标、任务绩效指标、协同绩效指标和红线指标等四个维度</w:t>
      </w:r>
      <w:r>
        <w:rPr>
          <w:rFonts w:hint="eastAsia" w:ascii="仿宋_GB2312" w:hAnsi="仿宋_GB2312" w:eastAsia="仿宋_GB2312" w:cs="仿宋_GB2312"/>
          <w:b w:val="0"/>
          <w:bCs/>
          <w:sz w:val="32"/>
          <w:szCs w:val="32"/>
          <w:highlight w:val="none"/>
          <w:lang w:eastAsia="zh-CN"/>
        </w:rPr>
        <w:t>，</w:t>
      </w:r>
      <w:r>
        <w:rPr>
          <w:rFonts w:hint="eastAsia" w:ascii="仿宋_GB2312" w:hAnsi="仿宋_GB2312" w:eastAsia="仿宋_GB2312" w:cs="仿宋_GB2312"/>
          <w:b w:val="0"/>
          <w:bCs/>
          <w:sz w:val="32"/>
          <w:szCs w:val="32"/>
          <w:highlight w:val="none"/>
        </w:rPr>
        <w:t>由甲方根据企业发展战略、经营计划、历史数据、行业对标情况以及乙方岗位职责等确定，202</w:t>
      </w:r>
      <w:r>
        <w:rPr>
          <w:rFonts w:hint="eastAsia" w:ascii="仿宋_GB2312" w:hAnsi="仿宋_GB2312" w:eastAsia="仿宋_GB2312" w:cs="仿宋_GB2312"/>
          <w:b w:val="0"/>
          <w:bCs/>
          <w:sz w:val="32"/>
          <w:szCs w:val="32"/>
          <w:highlight w:val="none"/>
          <w:lang w:val="en-US" w:eastAsia="zh-CN"/>
        </w:rPr>
        <w:t>4</w:t>
      </w:r>
      <w:r>
        <w:rPr>
          <w:rFonts w:hint="eastAsia" w:ascii="仿宋_GB2312" w:hAnsi="仿宋_GB2312" w:eastAsia="仿宋_GB2312" w:cs="仿宋_GB2312"/>
          <w:b w:val="0"/>
          <w:bCs/>
          <w:sz w:val="32"/>
          <w:szCs w:val="32"/>
          <w:highlight w:val="none"/>
        </w:rPr>
        <w:t>年业绩目标如下：</w:t>
      </w:r>
    </w:p>
    <w:p>
      <w:pPr>
        <w:keepNext w:val="0"/>
        <w:keepLines w:val="0"/>
        <w:pageBreakBefore w:val="0"/>
        <w:kinsoku/>
        <w:wordWrap/>
        <w:overflowPunct/>
        <w:topLinePunct w:val="0"/>
        <w:autoSpaceDE/>
        <w:autoSpaceDN/>
        <w:bidi w:val="0"/>
        <w:spacing w:line="560" w:lineRule="exact"/>
        <w:ind w:firstLine="643" w:firstLineChars="200"/>
        <w:rPr>
          <w:rFonts w:hint="eastAsia" w:ascii="楷体_GB2312" w:hAnsi="楷体_GB2312" w:eastAsia="楷体_GB2312" w:cs="楷体_GB2312"/>
          <w:b/>
          <w:bCs w:val="0"/>
          <w:sz w:val="32"/>
          <w:szCs w:val="32"/>
          <w:highlight w:val="none"/>
        </w:rPr>
      </w:pPr>
      <w:r>
        <w:rPr>
          <w:rFonts w:hint="eastAsia" w:ascii="楷体_GB2312" w:hAnsi="楷体_GB2312" w:eastAsia="楷体_GB2312" w:cs="楷体_GB2312"/>
          <w:b/>
          <w:bCs w:val="0"/>
          <w:sz w:val="32"/>
          <w:szCs w:val="32"/>
          <w:highlight w:val="none"/>
        </w:rPr>
        <w:t>（一）组织绩效</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eastAsia="仿宋_GB2312"/>
          <w:b w:val="0"/>
          <w:bCs/>
          <w:sz w:val="32"/>
          <w:szCs w:val="32"/>
          <w:highlight w:val="none"/>
        </w:rPr>
      </w:pPr>
      <w:r>
        <w:rPr>
          <w:rFonts w:hint="eastAsia" w:ascii="仿宋_GB2312" w:eastAsia="仿宋_GB2312"/>
          <w:b w:val="0"/>
          <w:bCs/>
          <w:sz w:val="32"/>
          <w:szCs w:val="32"/>
          <w:highlight w:val="none"/>
        </w:rPr>
        <w:t>组织绩效指标为定量的经济指标，主要包括所在公司营业收入、利润总额、人工成本利润率、期间费用率、应收账款周转率、存货周转率等指标，指标得分上不封顶。</w:t>
      </w:r>
    </w:p>
    <w:tbl>
      <w:tblPr>
        <w:tblStyle w:val="21"/>
        <w:tblpPr w:leftFromText="180" w:rightFromText="180" w:vertAnchor="text" w:horzAnchor="page" w:tblpX="742" w:tblpY="122"/>
        <w:tblOverlap w:val="never"/>
        <w:tblW w:w="586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09"/>
        <w:gridCol w:w="679"/>
        <w:gridCol w:w="623"/>
        <w:gridCol w:w="641"/>
        <w:gridCol w:w="701"/>
        <w:gridCol w:w="638"/>
        <w:gridCol w:w="624"/>
        <w:gridCol w:w="650"/>
        <w:gridCol w:w="740"/>
        <w:gridCol w:w="533"/>
        <w:gridCol w:w="650"/>
        <w:gridCol w:w="650"/>
        <w:gridCol w:w="637"/>
        <w:gridCol w:w="676"/>
        <w:gridCol w:w="727"/>
        <w:gridCol w:w="65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380"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kern w:val="0"/>
                <w:sz w:val="21"/>
                <w:szCs w:val="21"/>
                <w:highlight w:val="none"/>
                <w:u w:val="none"/>
                <w:lang w:val="en-US" w:eastAsia="zh-CN" w:bidi="ar"/>
              </w:rPr>
            </w:pPr>
            <w:r>
              <w:rPr>
                <w:rFonts w:hint="eastAsia" w:ascii="仿宋_GB2312" w:hAnsi="仿宋_GB2312" w:eastAsia="仿宋_GB2312" w:cs="仿宋_GB2312"/>
                <w:b/>
                <w:bCs/>
                <w:i w:val="0"/>
                <w:iCs w:val="0"/>
                <w:color w:val="auto"/>
                <w:kern w:val="0"/>
                <w:sz w:val="21"/>
                <w:szCs w:val="21"/>
                <w:highlight w:val="none"/>
                <w:u w:val="none"/>
                <w:lang w:val="en-US" w:eastAsia="zh-CN" w:bidi="ar"/>
              </w:rPr>
              <w:t>公司</w:t>
            </w:r>
          </w:p>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Fonts w:hint="eastAsia" w:ascii="仿宋_GB2312" w:hAnsi="仿宋_GB2312" w:eastAsia="仿宋_GB2312" w:cs="仿宋_GB2312"/>
                <w:b/>
                <w:bCs/>
                <w:i w:val="0"/>
                <w:iCs w:val="0"/>
                <w:color w:val="auto"/>
                <w:kern w:val="0"/>
                <w:sz w:val="21"/>
                <w:szCs w:val="21"/>
                <w:highlight w:val="none"/>
                <w:u w:val="none"/>
                <w:lang w:val="en-US" w:eastAsia="zh-CN" w:bidi="ar"/>
              </w:rPr>
              <w:t>名称</w:t>
            </w:r>
          </w:p>
        </w:tc>
        <w:tc>
          <w:tcPr>
            <w:tcW w:w="319" w:type="pct"/>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bCs/>
                <w:color w:val="auto"/>
                <w:sz w:val="21"/>
                <w:szCs w:val="21"/>
                <w:highlight w:val="none"/>
                <w:lang w:val="en-US" w:eastAsia="zh-CN" w:bidi="ar"/>
              </w:rPr>
            </w:pPr>
            <w:r>
              <w:rPr>
                <w:rStyle w:val="45"/>
                <w:rFonts w:hint="eastAsia" w:ascii="仿宋_GB2312" w:hAnsi="仿宋_GB2312" w:eastAsia="仿宋_GB2312" w:cs="仿宋_GB2312"/>
                <w:b/>
                <w:bCs/>
                <w:color w:val="auto"/>
                <w:sz w:val="21"/>
                <w:szCs w:val="21"/>
                <w:highlight w:val="none"/>
                <w:lang w:val="en-US" w:eastAsia="zh-CN" w:bidi="ar"/>
              </w:rPr>
              <w:t>权重</w:t>
            </w:r>
          </w:p>
        </w:tc>
        <w:tc>
          <w:tcPr>
            <w:tcW w:w="594"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bCs/>
                <w:color w:val="auto"/>
                <w:sz w:val="21"/>
                <w:szCs w:val="21"/>
                <w:highlight w:val="none"/>
                <w:lang w:val="en-US" w:eastAsia="zh-CN" w:bidi="ar"/>
              </w:rPr>
            </w:pPr>
            <w:r>
              <w:rPr>
                <w:rStyle w:val="45"/>
                <w:rFonts w:hint="eastAsia" w:ascii="仿宋_GB2312" w:hAnsi="仿宋_GB2312" w:eastAsia="仿宋_GB2312" w:cs="仿宋_GB2312"/>
                <w:b/>
                <w:bCs/>
                <w:color w:val="auto"/>
                <w:sz w:val="21"/>
                <w:szCs w:val="21"/>
                <w:highlight w:val="none"/>
                <w:lang w:val="en-US" w:eastAsia="zh-CN" w:bidi="ar"/>
              </w:rPr>
              <w:t>营业收入</w:t>
            </w:r>
          </w:p>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Fonts w:hint="eastAsia" w:ascii="仿宋_GB2312" w:hAnsi="仿宋_GB2312" w:eastAsia="仿宋_GB2312" w:cs="仿宋_GB2312"/>
                <w:b/>
                <w:bCs/>
                <w:i w:val="0"/>
                <w:iCs w:val="0"/>
                <w:color w:val="auto"/>
                <w:kern w:val="0"/>
                <w:sz w:val="21"/>
                <w:szCs w:val="21"/>
                <w:highlight w:val="none"/>
                <w:u w:val="none"/>
                <w:lang w:val="en-US" w:eastAsia="zh-CN" w:bidi="ar"/>
              </w:rPr>
              <w:t>(万元)</w:t>
            </w:r>
          </w:p>
        </w:tc>
        <w:tc>
          <w:tcPr>
            <w:tcW w:w="629"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5"/>
                <w:rFonts w:hint="eastAsia" w:ascii="仿宋_GB2312" w:hAnsi="仿宋_GB2312" w:eastAsia="仿宋_GB2312" w:cs="仿宋_GB2312"/>
                <w:b/>
                <w:bCs/>
                <w:color w:val="auto"/>
                <w:sz w:val="21"/>
                <w:szCs w:val="21"/>
                <w:highlight w:val="none"/>
                <w:lang w:val="en-US" w:eastAsia="zh-CN" w:bidi="ar"/>
              </w:rPr>
              <w:t>利润总额(万元)</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bCs/>
                <w:color w:val="auto"/>
                <w:sz w:val="21"/>
                <w:szCs w:val="21"/>
                <w:highlight w:val="none"/>
                <w:lang w:val="en-US" w:eastAsia="zh-CN" w:bidi="ar"/>
              </w:rPr>
            </w:pPr>
            <w:r>
              <w:rPr>
                <w:rStyle w:val="45"/>
                <w:rFonts w:hint="eastAsia" w:ascii="仿宋_GB2312" w:hAnsi="仿宋_GB2312" w:eastAsia="仿宋_GB2312" w:cs="仿宋_GB2312"/>
                <w:b/>
                <w:bCs/>
                <w:color w:val="auto"/>
                <w:sz w:val="21"/>
                <w:szCs w:val="21"/>
                <w:highlight w:val="none"/>
                <w:lang w:val="en-US" w:eastAsia="zh-CN" w:bidi="ar"/>
              </w:rPr>
              <w:t>在绵产值/营收(万元)</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bCs/>
                <w:color w:val="auto"/>
                <w:sz w:val="21"/>
                <w:szCs w:val="21"/>
                <w:highlight w:val="none"/>
                <w:lang w:val="en-US" w:eastAsia="zh-CN" w:bidi="ar"/>
              </w:rPr>
            </w:pPr>
            <w:r>
              <w:rPr>
                <w:rStyle w:val="45"/>
                <w:rFonts w:hint="eastAsia" w:ascii="仿宋_GB2312" w:hAnsi="仿宋_GB2312" w:eastAsia="仿宋_GB2312" w:cs="仿宋_GB2312"/>
                <w:b/>
                <w:bCs/>
                <w:color w:val="auto"/>
                <w:sz w:val="21"/>
                <w:szCs w:val="21"/>
                <w:highlight w:val="none"/>
                <w:lang w:val="en-US" w:eastAsia="zh-CN" w:bidi="ar"/>
              </w:rPr>
              <w:t>人工成本</w:t>
            </w:r>
          </w:p>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5"/>
                <w:rFonts w:hint="eastAsia" w:ascii="仿宋_GB2312" w:hAnsi="仿宋_GB2312" w:eastAsia="仿宋_GB2312" w:cs="仿宋_GB2312"/>
                <w:b/>
                <w:bCs/>
                <w:color w:val="auto"/>
                <w:sz w:val="21"/>
                <w:szCs w:val="21"/>
                <w:highlight w:val="none"/>
                <w:lang w:val="en-US" w:eastAsia="zh-CN" w:bidi="ar"/>
              </w:rPr>
              <w:t>利润率</w:t>
            </w:r>
          </w:p>
        </w:tc>
        <w:tc>
          <w:tcPr>
            <w:tcW w:w="611"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bCs/>
                <w:color w:val="auto"/>
                <w:sz w:val="21"/>
                <w:szCs w:val="21"/>
                <w:highlight w:val="none"/>
                <w:lang w:val="en-US" w:eastAsia="zh-CN" w:bidi="ar"/>
              </w:rPr>
            </w:pPr>
            <w:r>
              <w:rPr>
                <w:rStyle w:val="45"/>
                <w:rFonts w:hint="eastAsia" w:ascii="仿宋_GB2312" w:hAnsi="仿宋_GB2312" w:eastAsia="仿宋_GB2312" w:cs="仿宋_GB2312"/>
                <w:b/>
                <w:bCs/>
                <w:color w:val="auto"/>
                <w:sz w:val="21"/>
                <w:szCs w:val="21"/>
                <w:highlight w:val="none"/>
                <w:lang w:val="en-US" w:eastAsia="zh-CN" w:bidi="ar"/>
              </w:rPr>
              <w:t>人均利润</w:t>
            </w:r>
          </w:p>
        </w:tc>
        <w:tc>
          <w:tcPr>
            <w:tcW w:w="617"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5"/>
                <w:rFonts w:hint="eastAsia" w:ascii="仿宋_GB2312" w:hAnsi="仿宋_GB2312" w:eastAsia="仿宋_GB2312" w:cs="仿宋_GB2312"/>
                <w:b/>
                <w:bCs/>
                <w:color w:val="auto"/>
                <w:sz w:val="21"/>
                <w:szCs w:val="21"/>
                <w:highlight w:val="none"/>
                <w:lang w:val="en-US" w:eastAsia="zh-CN" w:bidi="ar"/>
              </w:rPr>
              <w:t>期间费用率</w:t>
            </w:r>
          </w:p>
        </w:tc>
        <w:tc>
          <w:tcPr>
            <w:tcW w:w="65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Cs/>
                <w:color w:val="auto"/>
                <w:sz w:val="21"/>
                <w:szCs w:val="21"/>
                <w:highlight w:val="none"/>
                <w:vertAlign w:val="baseline"/>
                <w:lang w:val="en-US" w:eastAsia="zh-CN"/>
              </w:rPr>
            </w:pPr>
            <w:r>
              <w:rPr>
                <w:rStyle w:val="45"/>
                <w:b/>
                <w:color w:val="auto"/>
                <w:sz w:val="21"/>
                <w:szCs w:val="21"/>
                <w:lang w:bidi="ar"/>
              </w:rPr>
              <w:t>两金周转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1" w:hRule="atLeast"/>
        </w:trPr>
        <w:tc>
          <w:tcPr>
            <w:tcW w:w="380" w:type="pct"/>
            <w:vMerge w:val="continue"/>
            <w:tcBorders>
              <w:top w:val="single" w:color="000000" w:sz="4" w:space="0"/>
              <w:left w:val="single" w:color="000000" w:sz="4" w:space="0"/>
              <w:bottom w:val="single" w:color="auto" w:sz="4" w:space="0"/>
              <w:right w:val="single" w:color="000000" w:sz="4" w:space="0"/>
            </w:tcBorders>
            <w:noWrap/>
            <w:vAlign w:val="center"/>
          </w:tcPr>
          <w:p>
            <w:pPr>
              <w:keepNext w:val="0"/>
              <w:keepLines w:val="0"/>
              <w:pageBreakBefore w:val="0"/>
              <w:kinsoku/>
              <w:wordWrap/>
              <w:overflowPunct/>
              <w:topLinePunct w:val="0"/>
              <w:autoSpaceDE/>
              <w:autoSpaceDN/>
              <w:bidi w:val="0"/>
              <w:spacing w:line="240" w:lineRule="exact"/>
              <w:jc w:val="center"/>
              <w:rPr>
                <w:rFonts w:hint="eastAsia" w:ascii="仿宋_GB2312" w:hAnsi="仿宋_GB2312" w:eastAsia="仿宋_GB2312" w:cs="仿宋_GB2312"/>
                <w:b/>
                <w:bCs/>
                <w:i w:val="0"/>
                <w:iCs w:val="0"/>
                <w:color w:val="auto"/>
                <w:sz w:val="21"/>
                <w:szCs w:val="21"/>
                <w:highlight w:val="none"/>
                <w:u w:val="none"/>
              </w:rPr>
            </w:pPr>
          </w:p>
        </w:tc>
        <w:tc>
          <w:tcPr>
            <w:tcW w:w="319" w:type="pct"/>
            <w:vMerge w:val="continue"/>
            <w:tcBorders>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kern w:val="0"/>
                <w:sz w:val="21"/>
                <w:szCs w:val="21"/>
                <w:highlight w:val="none"/>
                <w:u w:val="none"/>
                <w:lang w:val="en-US" w:eastAsia="zh-CN" w:bidi="ar"/>
              </w:rPr>
            </w:pPr>
          </w:p>
        </w:tc>
        <w:tc>
          <w:tcPr>
            <w:tcW w:w="2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Fonts w:hint="eastAsia" w:ascii="仿宋_GB2312" w:hAnsi="仿宋_GB2312" w:eastAsia="仿宋_GB2312" w:cs="仿宋_GB2312"/>
                <w:b/>
                <w:bCs/>
                <w:i w:val="0"/>
                <w:iCs w:val="0"/>
                <w:color w:val="auto"/>
                <w:kern w:val="0"/>
                <w:sz w:val="21"/>
                <w:szCs w:val="21"/>
                <w:highlight w:val="none"/>
                <w:u w:val="none"/>
                <w:lang w:val="en-US" w:eastAsia="zh-CN" w:bidi="ar"/>
              </w:rPr>
              <w:t>目标</w:t>
            </w:r>
          </w:p>
        </w:tc>
        <w:tc>
          <w:tcPr>
            <w:tcW w:w="3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5"/>
                <w:rFonts w:hint="eastAsia" w:ascii="仿宋_GB2312" w:hAnsi="仿宋_GB2312" w:eastAsia="仿宋_GB2312" w:cs="仿宋_GB2312"/>
                <w:b/>
                <w:bCs/>
                <w:color w:val="auto"/>
                <w:sz w:val="21"/>
                <w:szCs w:val="21"/>
                <w:highlight w:val="none"/>
                <w:lang w:val="en-US" w:eastAsia="zh-CN" w:bidi="ar"/>
              </w:rPr>
              <w:t>权重</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5"/>
                <w:rFonts w:hint="eastAsia" w:ascii="仿宋_GB2312" w:hAnsi="仿宋_GB2312" w:eastAsia="仿宋_GB2312" w:cs="仿宋_GB2312"/>
                <w:b/>
                <w:bCs/>
                <w:color w:val="auto"/>
                <w:sz w:val="21"/>
                <w:szCs w:val="21"/>
                <w:highlight w:val="none"/>
                <w:lang w:val="en-US" w:eastAsia="zh-CN" w:bidi="ar"/>
              </w:rPr>
              <w:t>目标</w:t>
            </w:r>
          </w:p>
        </w:tc>
        <w:tc>
          <w:tcPr>
            <w:tcW w:w="2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5"/>
                <w:rFonts w:hint="eastAsia" w:ascii="仿宋_GB2312" w:hAnsi="仿宋_GB2312" w:eastAsia="仿宋_GB2312" w:cs="仿宋_GB2312"/>
                <w:b/>
                <w:bCs/>
                <w:color w:val="auto"/>
                <w:sz w:val="21"/>
                <w:szCs w:val="21"/>
                <w:highlight w:val="none"/>
                <w:lang w:val="en-US" w:eastAsia="zh-CN" w:bidi="ar"/>
              </w:rPr>
              <w:t>权重</w:t>
            </w:r>
          </w:p>
        </w:tc>
        <w:tc>
          <w:tcPr>
            <w:tcW w:w="29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bCs/>
                <w:color w:val="auto"/>
                <w:sz w:val="21"/>
                <w:szCs w:val="21"/>
                <w:highlight w:val="none"/>
                <w:lang w:val="en-US" w:eastAsia="zh-CN" w:bidi="ar-SA"/>
              </w:rPr>
            </w:pPr>
            <w:r>
              <w:rPr>
                <w:rStyle w:val="45"/>
                <w:rFonts w:hint="eastAsia" w:ascii="仿宋_GB2312" w:hAnsi="仿宋_GB2312" w:eastAsia="仿宋_GB2312" w:cs="仿宋_GB2312"/>
                <w:b/>
                <w:bCs/>
                <w:color w:val="auto"/>
                <w:sz w:val="21"/>
                <w:szCs w:val="21"/>
                <w:highlight w:val="none"/>
                <w:lang w:val="en-US" w:eastAsia="zh-CN" w:bidi="ar"/>
              </w:rPr>
              <w:t>目标</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bCs/>
                <w:color w:val="auto"/>
                <w:sz w:val="21"/>
                <w:szCs w:val="21"/>
                <w:highlight w:val="none"/>
                <w:lang w:val="en-US" w:eastAsia="zh-CN" w:bidi="ar-SA"/>
              </w:rPr>
            </w:pPr>
            <w:r>
              <w:rPr>
                <w:rStyle w:val="45"/>
                <w:rFonts w:hint="eastAsia" w:ascii="仿宋_GB2312" w:hAnsi="仿宋_GB2312" w:eastAsia="仿宋_GB2312" w:cs="仿宋_GB2312"/>
                <w:b/>
                <w:bCs/>
                <w:color w:val="auto"/>
                <w:sz w:val="21"/>
                <w:szCs w:val="21"/>
                <w:highlight w:val="none"/>
                <w:lang w:val="en-US" w:eastAsia="zh-CN" w:bidi="ar"/>
              </w:rPr>
              <w:t>权重</w:t>
            </w:r>
          </w:p>
        </w:tc>
        <w:tc>
          <w:tcPr>
            <w:tcW w:w="3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5"/>
                <w:rFonts w:hint="eastAsia" w:ascii="仿宋_GB2312" w:hAnsi="仿宋_GB2312" w:eastAsia="仿宋_GB2312" w:cs="仿宋_GB2312"/>
                <w:b/>
                <w:bCs/>
                <w:color w:val="auto"/>
                <w:sz w:val="21"/>
                <w:szCs w:val="21"/>
                <w:highlight w:val="none"/>
                <w:lang w:val="en-US" w:eastAsia="zh-CN" w:bidi="ar"/>
              </w:rPr>
              <w:t>目标</w:t>
            </w:r>
          </w:p>
        </w:tc>
        <w:tc>
          <w:tcPr>
            <w:tcW w:w="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5"/>
                <w:rFonts w:hint="eastAsia" w:ascii="仿宋_GB2312" w:hAnsi="仿宋_GB2312" w:eastAsia="仿宋_GB2312" w:cs="仿宋_GB2312"/>
                <w:b/>
                <w:bCs/>
                <w:color w:val="auto"/>
                <w:sz w:val="21"/>
                <w:szCs w:val="21"/>
                <w:highlight w:val="none"/>
                <w:lang w:val="en-US" w:eastAsia="zh-CN" w:bidi="ar"/>
              </w:rPr>
              <w:t>权重</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bCs/>
                <w:color w:val="auto"/>
                <w:sz w:val="21"/>
                <w:szCs w:val="21"/>
                <w:highlight w:val="none"/>
                <w:lang w:val="en-US" w:eastAsia="zh-CN" w:bidi="ar"/>
              </w:rPr>
            </w:pPr>
            <w:r>
              <w:rPr>
                <w:rStyle w:val="45"/>
                <w:rFonts w:hint="eastAsia" w:ascii="仿宋_GB2312" w:hAnsi="仿宋_GB2312" w:eastAsia="仿宋_GB2312" w:cs="仿宋_GB2312"/>
                <w:b/>
                <w:bCs/>
                <w:color w:val="auto"/>
                <w:sz w:val="21"/>
                <w:szCs w:val="21"/>
                <w:highlight w:val="none"/>
                <w:lang w:val="en-US" w:eastAsia="zh-CN" w:bidi="ar"/>
              </w:rPr>
              <w:t>目标</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bCs/>
                <w:color w:val="auto"/>
                <w:sz w:val="21"/>
                <w:szCs w:val="21"/>
                <w:highlight w:val="none"/>
                <w:lang w:val="en-US" w:eastAsia="zh-CN" w:bidi="ar"/>
              </w:rPr>
            </w:pPr>
            <w:r>
              <w:rPr>
                <w:rStyle w:val="45"/>
                <w:rFonts w:hint="eastAsia" w:ascii="仿宋_GB2312" w:hAnsi="仿宋_GB2312" w:eastAsia="仿宋_GB2312" w:cs="仿宋_GB2312"/>
                <w:b/>
                <w:bCs/>
                <w:color w:val="auto"/>
                <w:sz w:val="21"/>
                <w:szCs w:val="21"/>
                <w:highlight w:val="none"/>
                <w:lang w:val="en-US" w:eastAsia="zh-CN" w:bidi="ar"/>
              </w:rPr>
              <w:t>权重</w:t>
            </w:r>
          </w:p>
        </w:tc>
        <w:tc>
          <w:tcPr>
            <w:tcW w:w="2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5"/>
                <w:rFonts w:hint="eastAsia" w:ascii="仿宋_GB2312" w:hAnsi="仿宋_GB2312" w:eastAsia="仿宋_GB2312" w:cs="仿宋_GB2312"/>
                <w:b/>
                <w:bCs/>
                <w:color w:val="auto"/>
                <w:sz w:val="21"/>
                <w:szCs w:val="21"/>
                <w:highlight w:val="none"/>
                <w:lang w:val="en-US" w:eastAsia="zh-CN" w:bidi="ar"/>
              </w:rPr>
              <w:t>目标</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5"/>
                <w:rFonts w:hint="eastAsia" w:ascii="仿宋_GB2312" w:hAnsi="仿宋_GB2312" w:eastAsia="仿宋_GB2312" w:cs="仿宋_GB2312"/>
                <w:b/>
                <w:bCs/>
                <w:color w:val="auto"/>
                <w:sz w:val="21"/>
                <w:szCs w:val="21"/>
                <w:highlight w:val="none"/>
                <w:lang w:val="en-US" w:eastAsia="zh-CN" w:bidi="ar"/>
              </w:rPr>
              <w:t>权重</w:t>
            </w:r>
          </w:p>
        </w:tc>
        <w:tc>
          <w:tcPr>
            <w:tcW w:w="34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Fonts w:hint="eastAsia" w:ascii="仿宋_GB2312" w:hAnsi="仿宋_GB2312" w:eastAsia="仿宋_GB2312" w:cs="仿宋_GB2312"/>
                <w:b/>
                <w:bCs/>
                <w:i w:val="0"/>
                <w:iCs w:val="0"/>
                <w:color w:val="auto"/>
                <w:kern w:val="0"/>
                <w:sz w:val="21"/>
                <w:szCs w:val="21"/>
                <w:highlight w:val="none"/>
                <w:u w:val="none"/>
                <w:lang w:val="en-US" w:eastAsia="zh-CN" w:bidi="ar"/>
              </w:rPr>
              <w:t>目标</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bCs/>
                <w:color w:val="auto"/>
                <w:sz w:val="21"/>
                <w:szCs w:val="21"/>
                <w:highlight w:val="none"/>
                <w:lang w:val="en-US" w:eastAsia="zh-CN" w:bidi="ar"/>
              </w:rPr>
            </w:pPr>
            <w:r>
              <w:rPr>
                <w:rStyle w:val="45"/>
                <w:rFonts w:hint="eastAsia" w:ascii="仿宋_GB2312" w:hAnsi="仿宋_GB2312" w:eastAsia="仿宋_GB2312" w:cs="仿宋_GB2312"/>
                <w:b/>
                <w:bCs/>
                <w:color w:val="auto"/>
                <w:sz w:val="21"/>
                <w:szCs w:val="21"/>
                <w:highlight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trPr>
        <w:tc>
          <w:tcPr>
            <w:tcW w:w="380" w:type="pct"/>
            <w:tcBorders>
              <w:top w:val="single" w:color="auto" w:sz="4" w:space="0"/>
              <w:left w:val="single" w:color="000000" w:sz="4" w:space="0"/>
              <w:bottom w:val="single" w:color="000000" w:sz="4" w:space="0"/>
              <w:right w:val="single" w:color="000000" w:sz="4" w:space="0"/>
            </w:tcBorders>
            <w:noWrap/>
            <w:vAlign w:val="center"/>
          </w:tcPr>
          <w:p>
            <w:pPr>
              <w:pStyle w:val="46"/>
              <w:keepNext w:val="0"/>
              <w:keepLines w:val="0"/>
              <w:pageBreakBefore w:val="0"/>
              <w:widowControl w:val="0"/>
              <w:kinsoku/>
              <w:wordWrap/>
              <w:overflowPunct/>
              <w:topLinePunct w:val="0"/>
              <w:autoSpaceDE/>
              <w:autoSpaceDN/>
              <w:bidi w:val="0"/>
              <w:adjustRightInd/>
              <w:snapToGrid/>
              <w:spacing w:line="240" w:lineRule="exact"/>
              <w:ind w:left="0" w:leftChars="0"/>
              <w:jc w:val="center"/>
              <w:textAlignment w:val="auto"/>
              <w:rPr>
                <w:rFonts w:hint="eastAsia" w:ascii="仿宋_GB2312" w:hAnsi="仿宋_GB2312" w:eastAsia="仿宋_GB2312" w:cs="仿宋_GB2312"/>
                <w:b/>
                <w:bCs/>
                <w:i w:val="0"/>
                <w:iCs w:val="0"/>
                <w:color w:val="auto"/>
                <w:sz w:val="20"/>
                <w:szCs w:val="20"/>
                <w:highlight w:val="none"/>
                <w:u w:val="none"/>
                <w:lang w:val="en-US" w:eastAsia="zh-CN"/>
              </w:rPr>
            </w:pPr>
            <w:r>
              <w:rPr>
                <w:rFonts w:hint="eastAsia" w:ascii="仿宋_GB2312" w:hAnsi="仿宋_GB2312" w:eastAsia="仿宋_GB2312" w:cs="仿宋_GB2312"/>
                <w:b/>
                <w:bCs/>
                <w:i w:val="0"/>
                <w:iCs w:val="0"/>
                <w:color w:val="auto"/>
                <w:sz w:val="20"/>
                <w:szCs w:val="20"/>
                <w:highlight w:val="none"/>
                <w:u w:val="none"/>
                <w:lang w:val="en-US" w:eastAsia="zh-CN"/>
              </w:rPr>
              <w:t>九洲</w:t>
            </w:r>
          </w:p>
          <w:p>
            <w:pPr>
              <w:pStyle w:val="46"/>
              <w:keepNext w:val="0"/>
              <w:keepLines w:val="0"/>
              <w:pageBreakBefore w:val="0"/>
              <w:widowControl w:val="0"/>
              <w:kinsoku/>
              <w:wordWrap/>
              <w:overflowPunct/>
              <w:topLinePunct w:val="0"/>
              <w:autoSpaceDE/>
              <w:autoSpaceDN/>
              <w:bidi w:val="0"/>
              <w:adjustRightInd/>
              <w:snapToGrid/>
              <w:spacing w:line="240" w:lineRule="exact"/>
              <w:ind w:left="0" w:leftChars="0"/>
              <w:jc w:val="center"/>
              <w:textAlignment w:val="auto"/>
              <w:rPr>
                <w:rFonts w:hint="default" w:ascii="仿宋_GB2312" w:hAnsi="仿宋_GB2312" w:eastAsia="仿宋_GB2312" w:cs="仿宋_GB2312"/>
                <w:b/>
                <w:bCs/>
                <w:i w:val="0"/>
                <w:iCs w:val="0"/>
                <w:color w:val="auto"/>
                <w:sz w:val="20"/>
                <w:szCs w:val="20"/>
                <w:highlight w:val="none"/>
                <w:u w:val="none"/>
                <w:lang w:val="en-US" w:eastAsia="zh-CN"/>
              </w:rPr>
            </w:pPr>
            <w:r>
              <w:rPr>
                <w:rFonts w:hint="eastAsia" w:ascii="仿宋_GB2312" w:hAnsi="仿宋_GB2312" w:eastAsia="仿宋_GB2312" w:cs="仿宋_GB2312"/>
                <w:b/>
                <w:bCs/>
                <w:i w:val="0"/>
                <w:iCs w:val="0"/>
                <w:color w:val="auto"/>
                <w:sz w:val="20"/>
                <w:szCs w:val="20"/>
                <w:highlight w:val="none"/>
                <w:u w:val="none"/>
                <w:lang w:val="en-US" w:eastAsia="zh-CN"/>
              </w:rPr>
              <w:t>千城</w:t>
            </w:r>
          </w:p>
        </w:tc>
        <w:tc>
          <w:tcPr>
            <w:tcW w:w="319" w:type="pct"/>
            <w:tcBorders>
              <w:top w:val="single" w:color="auto" w:sz="4" w:space="0"/>
              <w:left w:val="single" w:color="000000" w:sz="4" w:space="0"/>
              <w:bottom w:val="single" w:color="auto" w:sz="4" w:space="0"/>
              <w:right w:val="single" w:color="000000" w:sz="4" w:space="0"/>
            </w:tcBorders>
            <w:noWrap w:val="0"/>
            <w:vAlign w:val="center"/>
          </w:tcPr>
          <w:p>
            <w:pPr>
              <w:pStyle w:val="46"/>
              <w:keepNext w:val="0"/>
              <w:keepLines w:val="0"/>
              <w:pageBreakBefore w:val="0"/>
              <w:widowControl w:val="0"/>
              <w:kinsoku/>
              <w:wordWrap/>
              <w:overflowPunct/>
              <w:topLinePunct w:val="0"/>
              <w:autoSpaceDE/>
              <w:autoSpaceDN/>
              <w:bidi w:val="0"/>
              <w:adjustRightInd/>
              <w:snapToGrid/>
              <w:spacing w:line="240" w:lineRule="exact"/>
              <w:ind w:left="0" w:leftChars="0"/>
              <w:jc w:val="center"/>
              <w:textAlignment w:val="auto"/>
              <w:rPr>
                <w:rFonts w:hint="default" w:ascii="仿宋_GB2312" w:hAnsi="仿宋_GB2312" w:eastAsia="仿宋_GB2312" w:cs="仿宋_GB2312"/>
                <w:b/>
                <w:bCs/>
                <w:i w:val="0"/>
                <w:iCs w:val="0"/>
                <w:color w:val="auto"/>
                <w:kern w:val="0"/>
                <w:sz w:val="21"/>
                <w:szCs w:val="21"/>
                <w:highlight w:val="none"/>
                <w:u w:val="none"/>
                <w:lang w:val="en-US" w:eastAsia="zh-CN" w:bidi="ar"/>
              </w:rPr>
            </w:pPr>
            <w:r>
              <w:rPr>
                <w:rStyle w:val="45"/>
                <w:rFonts w:hint="eastAsia" w:hAnsi="仿宋_GB2312"/>
                <w:b w:val="0"/>
                <w:bCs w:val="0"/>
                <w:color w:val="auto"/>
                <w:kern w:val="2"/>
                <w:sz w:val="21"/>
                <w:szCs w:val="21"/>
                <w:highlight w:val="none"/>
                <w:lang w:val="en-US" w:eastAsia="zh-CN" w:bidi="ar"/>
              </w:rPr>
              <w:t>100%</w:t>
            </w:r>
          </w:p>
        </w:tc>
        <w:tc>
          <w:tcPr>
            <w:tcW w:w="292" w:type="pct"/>
            <w:tcBorders>
              <w:top w:val="single" w:color="000000" w:sz="4" w:space="0"/>
              <w:left w:val="single" w:color="000000" w:sz="4" w:space="0"/>
              <w:bottom w:val="single" w:color="000000" w:sz="4" w:space="0"/>
              <w:right w:val="single" w:color="000000" w:sz="4" w:space="0"/>
            </w:tcBorders>
            <w:noWrap w:val="0"/>
            <w:vAlign w:val="center"/>
          </w:tcPr>
          <w:p>
            <w:pPr>
              <w:pStyle w:val="46"/>
              <w:keepNext w:val="0"/>
              <w:keepLines w:val="0"/>
              <w:pageBreakBefore w:val="0"/>
              <w:widowControl w:val="0"/>
              <w:kinsoku/>
              <w:wordWrap/>
              <w:overflowPunct/>
              <w:topLinePunct w:val="0"/>
              <w:autoSpaceDE/>
              <w:autoSpaceDN/>
              <w:bidi w:val="0"/>
              <w:adjustRightInd/>
              <w:snapToGrid/>
              <w:spacing w:line="240" w:lineRule="exact"/>
              <w:ind w:left="0" w:leftChars="0"/>
              <w:jc w:val="center"/>
              <w:textAlignment w:val="auto"/>
              <w:rPr>
                <w:rFonts w:hint="eastAsia" w:ascii="仿宋_GB2312" w:hAnsi="仿宋_GB2312" w:eastAsia="仿宋_GB2312" w:cs="仿宋_GB2312"/>
                <w:b/>
                <w:bCs/>
                <w:i w:val="0"/>
                <w:iCs w:val="0"/>
                <w:color w:val="auto"/>
                <w:kern w:val="0"/>
                <w:sz w:val="21"/>
                <w:szCs w:val="21"/>
                <w:highlight w:val="none"/>
                <w:u w:val="none"/>
                <w:lang w:val="en-US" w:eastAsia="zh-CN" w:bidi="ar"/>
              </w:rPr>
            </w:pPr>
            <w:r>
              <w:rPr>
                <w:rFonts w:hint="eastAsia" w:ascii="仿宋_GB2312" w:hAnsi="仿宋_GB2312" w:eastAsia="仿宋_GB2312" w:cs="仿宋_GB2312"/>
                <w:spacing w:val="-2"/>
                <w:sz w:val="21"/>
                <w:szCs w:val="21"/>
              </w:rPr>
              <w:t>220000</w:t>
            </w:r>
          </w:p>
        </w:tc>
        <w:tc>
          <w:tcPr>
            <w:tcW w:w="301" w:type="pct"/>
            <w:tcBorders>
              <w:top w:val="single" w:color="000000" w:sz="4" w:space="0"/>
              <w:left w:val="single" w:color="000000" w:sz="4" w:space="0"/>
              <w:bottom w:val="single" w:color="000000" w:sz="4" w:space="0"/>
              <w:right w:val="single" w:color="000000" w:sz="4" w:space="0"/>
            </w:tcBorders>
            <w:noWrap w:val="0"/>
            <w:vAlign w:val="center"/>
          </w:tcPr>
          <w:p>
            <w:pPr>
              <w:pStyle w:val="46"/>
              <w:keepNext w:val="0"/>
              <w:keepLines w:val="0"/>
              <w:pageBreakBefore w:val="0"/>
              <w:widowControl w:val="0"/>
              <w:kinsoku/>
              <w:wordWrap/>
              <w:overflowPunct/>
              <w:topLinePunct w:val="0"/>
              <w:autoSpaceDE/>
              <w:autoSpaceDN/>
              <w:bidi w:val="0"/>
              <w:adjustRightInd/>
              <w:snapToGrid/>
              <w:spacing w:line="240" w:lineRule="exact"/>
              <w:ind w:left="0" w:leftChars="0"/>
              <w:jc w:val="center"/>
              <w:textAlignment w:val="auto"/>
              <w:rPr>
                <w:rStyle w:val="45"/>
                <w:rFonts w:hint="default" w:ascii="仿宋_GB2312" w:hAnsi="仿宋_GB2312" w:eastAsia="仿宋_GB2312" w:cs="仿宋_GB2312"/>
                <w:b/>
                <w:bCs/>
                <w:color w:val="auto"/>
                <w:sz w:val="21"/>
                <w:szCs w:val="21"/>
                <w:highlight w:val="none"/>
                <w:lang w:val="en-US" w:eastAsia="zh-CN" w:bidi="ar"/>
              </w:rPr>
            </w:pPr>
            <w:r>
              <w:rPr>
                <w:rStyle w:val="45"/>
                <w:rFonts w:hint="eastAsia" w:hAnsi="仿宋_GB2312"/>
                <w:b w:val="0"/>
                <w:bCs w:val="0"/>
                <w:color w:val="auto"/>
                <w:kern w:val="2"/>
                <w:sz w:val="21"/>
                <w:szCs w:val="21"/>
                <w:highlight w:val="none"/>
                <w:lang w:val="en-US" w:eastAsia="zh-CN" w:bidi="ar"/>
              </w:rPr>
              <w:t>20%</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pPr>
              <w:pStyle w:val="46"/>
              <w:keepNext w:val="0"/>
              <w:keepLines w:val="0"/>
              <w:pageBreakBefore w:val="0"/>
              <w:widowControl w:val="0"/>
              <w:kinsoku/>
              <w:wordWrap/>
              <w:overflowPunct/>
              <w:topLinePunct w:val="0"/>
              <w:autoSpaceDE/>
              <w:autoSpaceDN/>
              <w:bidi w:val="0"/>
              <w:adjustRightInd/>
              <w:snapToGrid/>
              <w:spacing w:line="240" w:lineRule="exact"/>
              <w:ind w:left="0" w:leftChars="0"/>
              <w:jc w:val="center"/>
              <w:textAlignment w:val="auto"/>
              <w:rPr>
                <w:rStyle w:val="45"/>
                <w:rFonts w:hint="eastAsia" w:ascii="仿宋_GB2312" w:hAnsi="仿宋_GB2312" w:eastAsia="仿宋_GB2312" w:cs="仿宋_GB2312"/>
                <w:b/>
                <w:bCs/>
                <w:color w:val="auto"/>
                <w:sz w:val="21"/>
                <w:szCs w:val="21"/>
                <w:highlight w:val="none"/>
                <w:lang w:val="en-US" w:eastAsia="zh-CN" w:bidi="ar"/>
              </w:rPr>
            </w:pPr>
            <w:r>
              <w:rPr>
                <w:rFonts w:hint="eastAsia" w:ascii="仿宋_GB2312" w:hAnsi="仿宋_GB2312" w:eastAsia="仿宋_GB2312" w:cs="仿宋_GB2312"/>
                <w:spacing w:val="-4"/>
                <w:sz w:val="21"/>
                <w:szCs w:val="21"/>
              </w:rPr>
              <w:t>7000</w:t>
            </w:r>
          </w:p>
        </w:tc>
        <w:tc>
          <w:tcPr>
            <w:tcW w:w="299" w:type="pct"/>
            <w:tcBorders>
              <w:top w:val="single" w:color="000000" w:sz="4" w:space="0"/>
              <w:left w:val="single" w:color="000000" w:sz="4" w:space="0"/>
              <w:bottom w:val="single" w:color="000000" w:sz="4" w:space="0"/>
              <w:right w:val="single" w:color="000000" w:sz="4" w:space="0"/>
            </w:tcBorders>
            <w:noWrap w:val="0"/>
            <w:vAlign w:val="center"/>
          </w:tcPr>
          <w:p>
            <w:pPr>
              <w:pStyle w:val="46"/>
              <w:keepNext w:val="0"/>
              <w:keepLines w:val="0"/>
              <w:pageBreakBefore w:val="0"/>
              <w:widowControl w:val="0"/>
              <w:kinsoku/>
              <w:wordWrap/>
              <w:overflowPunct/>
              <w:topLinePunct w:val="0"/>
              <w:autoSpaceDE/>
              <w:autoSpaceDN/>
              <w:bidi w:val="0"/>
              <w:adjustRightInd/>
              <w:snapToGrid/>
              <w:spacing w:line="240" w:lineRule="exact"/>
              <w:ind w:left="0" w:leftChars="0"/>
              <w:jc w:val="center"/>
              <w:textAlignment w:val="auto"/>
              <w:rPr>
                <w:rStyle w:val="45"/>
                <w:rFonts w:hint="default" w:ascii="仿宋_GB2312" w:hAnsi="仿宋_GB2312" w:eastAsia="仿宋_GB2312" w:cs="仿宋_GB2312"/>
                <w:b/>
                <w:bCs/>
                <w:color w:val="auto"/>
                <w:sz w:val="21"/>
                <w:szCs w:val="21"/>
                <w:highlight w:val="none"/>
                <w:lang w:val="en-US" w:eastAsia="zh-CN" w:bidi="ar"/>
              </w:rPr>
            </w:pPr>
            <w:r>
              <w:rPr>
                <w:rStyle w:val="45"/>
                <w:rFonts w:hint="eastAsia" w:hAnsi="仿宋_GB2312"/>
                <w:b w:val="0"/>
                <w:bCs w:val="0"/>
                <w:color w:val="auto"/>
                <w:kern w:val="2"/>
                <w:sz w:val="21"/>
                <w:szCs w:val="21"/>
                <w:highlight w:val="none"/>
                <w:lang w:val="en-US" w:eastAsia="zh-CN" w:bidi="ar"/>
              </w:rPr>
              <w:t>50%</w:t>
            </w:r>
          </w:p>
        </w:tc>
        <w:tc>
          <w:tcPr>
            <w:tcW w:w="29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spacing w:val="-2"/>
                <w:kern w:val="2"/>
                <w:sz w:val="21"/>
                <w:szCs w:val="21"/>
                <w:lang w:val="en-US" w:eastAsia="zh-CN" w:bidi="ar-SA"/>
              </w:rPr>
            </w:pPr>
            <w:r>
              <w:rPr>
                <w:rFonts w:hint="eastAsia" w:ascii="仿宋_GB2312" w:hAnsi="仿宋_GB2312" w:eastAsia="仿宋_GB2312" w:cs="仿宋_GB2312"/>
                <w:spacing w:val="-2"/>
                <w:kern w:val="2"/>
                <w:sz w:val="21"/>
                <w:szCs w:val="21"/>
                <w:lang w:val="en-US" w:eastAsia="zh-CN" w:bidi="ar-SA"/>
              </w:rPr>
              <w:t>135</w:t>
            </w:r>
          </w:p>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default" w:ascii="仿宋_GB2312" w:hAnsi="仿宋_GB2312" w:eastAsia="仿宋_GB2312" w:cs="仿宋_GB2312"/>
                <w:b w:val="0"/>
                <w:bCs w:val="0"/>
                <w:color w:val="auto"/>
                <w:sz w:val="21"/>
                <w:szCs w:val="21"/>
                <w:highlight w:val="none"/>
                <w:lang w:val="en-US" w:eastAsia="zh-CN" w:bidi="ar"/>
              </w:rPr>
            </w:pPr>
            <w:r>
              <w:rPr>
                <w:rFonts w:hint="eastAsia" w:ascii="仿宋_GB2312" w:hAnsi="仿宋_GB2312" w:eastAsia="仿宋_GB2312" w:cs="仿宋_GB2312"/>
                <w:spacing w:val="-2"/>
                <w:kern w:val="2"/>
                <w:sz w:val="21"/>
                <w:szCs w:val="21"/>
                <w:lang w:val="en-US" w:eastAsia="zh-CN" w:bidi="ar-SA"/>
              </w:rPr>
              <w:t>98</w:t>
            </w:r>
            <w:r>
              <w:rPr>
                <w:rStyle w:val="45"/>
                <w:rFonts w:hint="eastAsia" w:ascii="仿宋_GB2312" w:hAnsi="仿宋_GB2312" w:eastAsia="仿宋_GB2312" w:cs="仿宋_GB2312"/>
                <w:b w:val="0"/>
                <w:bCs w:val="0"/>
                <w:color w:val="auto"/>
                <w:sz w:val="21"/>
                <w:szCs w:val="21"/>
                <w:highlight w:val="none"/>
                <w:lang w:val="en-US" w:eastAsia="zh-CN" w:bidi="ar"/>
              </w:rPr>
              <w:t>3</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default" w:ascii="仿宋_GB2312" w:hAnsi="仿宋_GB2312" w:eastAsia="仿宋_GB2312" w:cs="仿宋_GB2312"/>
                <w:b w:val="0"/>
                <w:bCs w:val="0"/>
                <w:color w:val="auto"/>
                <w:sz w:val="21"/>
                <w:szCs w:val="21"/>
                <w:highlight w:val="none"/>
                <w:lang w:val="en-US" w:eastAsia="zh-CN" w:bidi="ar"/>
              </w:rPr>
            </w:pPr>
            <w:r>
              <w:rPr>
                <w:rStyle w:val="45"/>
                <w:rFonts w:hint="eastAsia" w:ascii="仿宋_GB2312" w:hAnsi="仿宋_GB2312" w:eastAsia="仿宋_GB2312" w:cs="仿宋_GB2312"/>
                <w:b w:val="0"/>
                <w:bCs w:val="0"/>
                <w:color w:val="auto"/>
                <w:sz w:val="21"/>
                <w:szCs w:val="21"/>
                <w:highlight w:val="none"/>
                <w:lang w:val="en-US" w:eastAsia="zh-CN" w:bidi="ar"/>
              </w:rPr>
              <w:t>5%</w:t>
            </w:r>
          </w:p>
        </w:tc>
        <w:tc>
          <w:tcPr>
            <w:tcW w:w="3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val="0"/>
                <w:bCs w:val="0"/>
                <w:color w:val="auto"/>
                <w:sz w:val="21"/>
                <w:szCs w:val="21"/>
                <w:highlight w:val="none"/>
                <w:lang w:val="en-US" w:eastAsia="zh-CN" w:bidi="ar"/>
              </w:rPr>
            </w:pPr>
            <w:r>
              <w:rPr>
                <w:rFonts w:hint="eastAsia" w:ascii="仿宋_GB2312" w:hAnsi="仿宋_GB2312" w:eastAsia="仿宋_GB2312" w:cs="仿宋_GB2312"/>
                <w:spacing w:val="-5"/>
                <w:sz w:val="21"/>
                <w:szCs w:val="21"/>
              </w:rPr>
              <w:t>143.9%</w:t>
            </w:r>
          </w:p>
        </w:tc>
        <w:tc>
          <w:tcPr>
            <w:tcW w:w="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default" w:ascii="仿宋_GB2312" w:hAnsi="仿宋_GB2312" w:eastAsia="仿宋_GB2312" w:cs="仿宋_GB2312"/>
                <w:b w:val="0"/>
                <w:bCs w:val="0"/>
                <w:color w:val="auto"/>
                <w:sz w:val="21"/>
                <w:szCs w:val="21"/>
                <w:highlight w:val="none"/>
                <w:lang w:val="en-US" w:eastAsia="zh-CN" w:bidi="ar"/>
              </w:rPr>
            </w:pPr>
            <w:r>
              <w:rPr>
                <w:rStyle w:val="45"/>
                <w:rFonts w:hint="eastAsia" w:ascii="仿宋_GB2312" w:hAnsi="仿宋_GB2312" w:eastAsia="仿宋_GB2312" w:cs="仿宋_GB2312"/>
                <w:b w:val="0"/>
                <w:bCs w:val="0"/>
                <w:color w:val="auto"/>
                <w:sz w:val="21"/>
                <w:szCs w:val="21"/>
                <w:highlight w:val="none"/>
                <w:lang w:val="en-US" w:eastAsia="zh-CN" w:bidi="ar"/>
              </w:rPr>
              <w:t>5%</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eastAsia" w:ascii="仿宋_GB2312" w:hAnsi="仿宋_GB2312" w:eastAsia="仿宋_GB2312" w:cs="仿宋_GB2312"/>
                <w:b w:val="0"/>
                <w:bCs w:val="0"/>
                <w:color w:val="auto"/>
                <w:sz w:val="21"/>
                <w:szCs w:val="21"/>
                <w:highlight w:val="none"/>
                <w:lang w:val="en-US" w:eastAsia="zh-CN" w:bidi="ar"/>
              </w:rPr>
            </w:pPr>
            <w:r>
              <w:rPr>
                <w:rFonts w:hint="eastAsia" w:ascii="仿宋_GB2312" w:hAnsi="仿宋_GB2312" w:eastAsia="仿宋_GB2312" w:cs="仿宋_GB2312"/>
                <w:spacing w:val="-3"/>
                <w:sz w:val="21"/>
                <w:szCs w:val="21"/>
              </w:rPr>
              <w:t>28.6</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default" w:ascii="仿宋_GB2312" w:hAnsi="仿宋_GB2312" w:eastAsia="仿宋_GB2312" w:cs="仿宋_GB2312"/>
                <w:b w:val="0"/>
                <w:bCs w:val="0"/>
                <w:color w:val="auto"/>
                <w:sz w:val="21"/>
                <w:szCs w:val="21"/>
                <w:highlight w:val="none"/>
                <w:lang w:val="en-US" w:eastAsia="zh-CN" w:bidi="ar"/>
              </w:rPr>
            </w:pPr>
            <w:r>
              <w:rPr>
                <w:rStyle w:val="45"/>
                <w:rFonts w:hint="eastAsia" w:ascii="仿宋_GB2312" w:hAnsi="仿宋_GB2312" w:eastAsia="仿宋_GB2312" w:cs="仿宋_GB2312"/>
                <w:b w:val="0"/>
                <w:bCs w:val="0"/>
                <w:color w:val="auto"/>
                <w:sz w:val="21"/>
                <w:szCs w:val="21"/>
                <w:highlight w:val="none"/>
                <w:lang w:val="en-US" w:eastAsia="zh-CN" w:bidi="ar"/>
              </w:rPr>
              <w:t>10%</w:t>
            </w:r>
          </w:p>
        </w:tc>
        <w:tc>
          <w:tcPr>
            <w:tcW w:w="2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AutoHyphens/>
              <w:kinsoku/>
              <w:wordWrap/>
              <w:overflowPunct/>
              <w:topLinePunct w:val="0"/>
              <w:autoSpaceDE/>
              <w:autoSpaceDN/>
              <w:bidi w:val="0"/>
              <w:adjustRightInd w:val="0"/>
              <w:snapToGrid w:val="0"/>
              <w:spacing w:line="240" w:lineRule="exact"/>
              <w:jc w:val="center"/>
              <w:textAlignment w:val="auto"/>
              <w:rPr>
                <w:rFonts w:hint="eastAsia" w:ascii="仿宋_GB2312" w:hAnsi="仿宋_GB2312" w:eastAsia="仿宋_GB2312" w:cs="仿宋_GB2312"/>
                <w:b w:val="0"/>
                <w:bCs w:val="0"/>
                <w:kern w:val="2"/>
                <w:sz w:val="21"/>
                <w:szCs w:val="21"/>
                <w:highlight w:val="none"/>
                <w:vertAlign w:val="baseline"/>
                <w:lang w:val="en-US" w:eastAsia="zh-CN" w:bidi="ar-SA"/>
              </w:rPr>
            </w:pPr>
            <w:r>
              <w:rPr>
                <w:rFonts w:hint="eastAsia" w:ascii="仿宋_GB2312" w:hAnsi="仿宋_GB2312" w:eastAsia="仿宋_GB2312" w:cs="仿宋_GB2312"/>
                <w:spacing w:val="1"/>
                <w:sz w:val="21"/>
                <w:szCs w:val="21"/>
              </w:rPr>
              <w:t>9.65%</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default" w:ascii="仿宋_GB2312" w:hAnsi="仿宋_GB2312" w:eastAsia="仿宋_GB2312" w:cs="仿宋_GB2312"/>
                <w:b w:val="0"/>
                <w:bCs w:val="0"/>
                <w:color w:val="auto"/>
                <w:sz w:val="21"/>
                <w:szCs w:val="21"/>
                <w:highlight w:val="none"/>
                <w:lang w:val="en-US" w:eastAsia="zh-CN" w:bidi="ar"/>
              </w:rPr>
            </w:pPr>
            <w:r>
              <w:rPr>
                <w:rStyle w:val="45"/>
                <w:rFonts w:hint="eastAsia" w:ascii="仿宋_GB2312" w:hAnsi="仿宋_GB2312" w:eastAsia="仿宋_GB2312" w:cs="仿宋_GB2312"/>
                <w:b w:val="0"/>
                <w:bCs w:val="0"/>
                <w:color w:val="auto"/>
                <w:sz w:val="21"/>
                <w:szCs w:val="21"/>
                <w:highlight w:val="none"/>
                <w:lang w:val="en-US" w:eastAsia="zh-CN" w:bidi="ar"/>
              </w:rPr>
              <w:t>5%</w:t>
            </w:r>
          </w:p>
        </w:tc>
        <w:tc>
          <w:tcPr>
            <w:tcW w:w="34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val="0"/>
                <w:bCs w:val="0"/>
                <w:i w:val="0"/>
                <w:iCs w:val="0"/>
                <w:color w:val="auto"/>
                <w:kern w:val="0"/>
                <w:sz w:val="21"/>
                <w:szCs w:val="21"/>
                <w:highlight w:val="none"/>
                <w:u w:val="none"/>
                <w:lang w:val="en-US" w:eastAsia="zh-CN" w:bidi="ar"/>
              </w:rPr>
            </w:pPr>
            <w:r>
              <w:rPr>
                <w:rFonts w:hint="eastAsia" w:ascii="仿宋_GB2312" w:hAnsi="仿宋_GB2312" w:eastAsia="仿宋_GB2312" w:cs="仿宋_GB2312"/>
                <w:sz w:val="21"/>
                <w:szCs w:val="21"/>
              </w:rPr>
              <w:t>两金管控较上年有大幅提升</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5"/>
                <w:rFonts w:hint="default" w:ascii="仿宋_GB2312" w:hAnsi="仿宋_GB2312" w:eastAsia="仿宋_GB2312" w:cs="仿宋_GB2312"/>
                <w:b w:val="0"/>
                <w:bCs w:val="0"/>
                <w:color w:val="auto"/>
                <w:sz w:val="21"/>
                <w:szCs w:val="21"/>
                <w:highlight w:val="none"/>
                <w:lang w:val="en-US" w:eastAsia="zh-CN" w:bidi="ar"/>
              </w:rPr>
            </w:pPr>
            <w:r>
              <w:rPr>
                <w:rStyle w:val="45"/>
                <w:rFonts w:hint="eastAsia" w:ascii="仿宋_GB2312" w:hAnsi="仿宋_GB2312" w:eastAsia="仿宋_GB2312" w:cs="仿宋_GB2312"/>
                <w:b w:val="0"/>
                <w:bCs w:val="0"/>
                <w:color w:val="auto"/>
                <w:sz w:val="21"/>
                <w:szCs w:val="21"/>
                <w:highlight w:val="none"/>
                <w:lang w:val="en-US" w:eastAsia="zh-CN" w:bidi="ar"/>
              </w:rPr>
              <w:t>5%</w:t>
            </w:r>
          </w:p>
        </w:tc>
      </w:tr>
    </w:tbl>
    <w:p>
      <w:pPr>
        <w:widowControl/>
        <w:spacing w:line="560" w:lineRule="exact"/>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备注：人工成本利润率不低于“较上年人工成本利润率优化2%”。（以上指标根据快报数测算，待薪酬分配专项审计报告出具后进行调整）</w:t>
      </w:r>
    </w:p>
    <w:p>
      <w:pPr>
        <w:widowControl/>
        <w:spacing w:line="560" w:lineRule="exact"/>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期间费用率目标值9.65%(剔除较上年增加的财务费用);收</w:t>
      </w:r>
    </w:p>
    <w:p>
      <w:pPr>
        <w:widowControl/>
        <w:spacing w:line="560" w:lineRule="exac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入完成率未达100%,费用率11.8%和费用预算额2.84亿元的孰低额。</w:t>
      </w:r>
    </w:p>
    <w:p>
      <w:pPr>
        <w:widowControl/>
        <w:spacing w:line="560" w:lineRule="exact"/>
        <w:ind w:firstLine="640" w:firstLineChars="200"/>
        <w:rPr>
          <w:rFonts w:hint="eastAsia" w:ascii="仿宋_GB2312" w:eastAsia="仿宋_GB2312"/>
          <w:sz w:val="32"/>
          <w:szCs w:val="32"/>
          <w:highlight w:val="none"/>
          <w:lang w:val="en-US" w:eastAsia="zh-CN"/>
        </w:rPr>
      </w:pPr>
      <w:r>
        <w:rPr>
          <w:rFonts w:hint="default" w:ascii="仿宋_GB2312" w:eastAsia="仿宋_GB2312"/>
          <w:sz w:val="32"/>
          <w:szCs w:val="32"/>
          <w:highlight w:val="none"/>
          <w:lang w:val="en-US" w:eastAsia="zh-CN"/>
        </w:rPr>
        <w:t>在绵营收135983</w:t>
      </w:r>
      <w:r>
        <w:rPr>
          <w:rFonts w:hint="eastAsia" w:ascii="仿宋_GB2312" w:eastAsia="仿宋_GB2312"/>
          <w:sz w:val="32"/>
          <w:szCs w:val="32"/>
          <w:highlight w:val="none"/>
          <w:lang w:val="en-US" w:eastAsia="zh-CN"/>
        </w:rPr>
        <w:t>万元</w:t>
      </w:r>
      <w:r>
        <w:rPr>
          <w:rFonts w:hint="default" w:ascii="仿宋_GB2312" w:eastAsia="仿宋_GB2312"/>
          <w:sz w:val="32"/>
          <w:szCs w:val="32"/>
          <w:highlight w:val="none"/>
          <w:lang w:val="en-US" w:eastAsia="zh-CN"/>
        </w:rPr>
        <w:t>（未考虑内部交易抵销）</w:t>
      </w:r>
      <w:r>
        <w:rPr>
          <w:rFonts w:hint="eastAsia" w:ascii="仿宋_GB2312" w:eastAsia="仿宋_GB2312"/>
          <w:sz w:val="32"/>
          <w:szCs w:val="32"/>
          <w:highlight w:val="none"/>
          <w:lang w:val="en-US" w:eastAsia="zh-CN"/>
        </w:rPr>
        <w:t>。</w:t>
      </w:r>
    </w:p>
    <w:p>
      <w:pPr>
        <w:widowControl/>
        <w:spacing w:line="560" w:lineRule="exact"/>
        <w:ind w:firstLine="643" w:firstLineChars="200"/>
        <w:rPr>
          <w:rFonts w:hint="default"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（二）任务绩效</w:t>
      </w:r>
    </w:p>
    <w:p>
      <w:pPr>
        <w:widowControl/>
        <w:spacing w:line="560" w:lineRule="exact"/>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任务绩效指标为定性的重点任务指标，主要包括经营发展、科技创新、数字化转型、党建工作、投融资、专项工作等。每项得分不超过120分。</w:t>
      </w:r>
    </w:p>
    <w:p>
      <w:pPr>
        <w:widowControl/>
        <w:spacing w:line="560" w:lineRule="exact"/>
        <w:ind w:firstLine="640" w:firstLineChars="200"/>
        <w:rPr>
          <w:rFonts w:hint="default" w:ascii="仿宋_GB2312" w:eastAsia="仿宋_GB2312"/>
          <w:sz w:val="32"/>
          <w:szCs w:val="32"/>
          <w:highlight w:val="none"/>
          <w:lang w:val="en-US" w:eastAsia="zh-CN"/>
        </w:rPr>
      </w:pPr>
    </w:p>
    <w:tbl>
      <w:tblPr>
        <w:tblStyle w:val="47"/>
        <w:tblW w:w="503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83"/>
        <w:gridCol w:w="1317"/>
        <w:gridCol w:w="5879"/>
        <w:gridCol w:w="1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3" w:hRule="atLeast"/>
          <w:tblHeader/>
        </w:trPr>
        <w:tc>
          <w:tcPr>
            <w:tcW w:w="327" w:type="pct"/>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b/>
                <w:bCs/>
                <w:spacing w:val="3"/>
                <w:sz w:val="24"/>
                <w:szCs w:val="24"/>
                <w:highlight w:val="none"/>
              </w:rPr>
            </w:pPr>
            <w:r>
              <w:rPr>
                <w:rFonts w:hint="eastAsia" w:ascii="仿宋_GB2312" w:hAnsi="仿宋_GB2312" w:eastAsia="仿宋_GB2312" w:cs="仿宋_GB2312"/>
                <w:b/>
                <w:bCs/>
                <w:spacing w:val="3"/>
                <w:sz w:val="24"/>
                <w:szCs w:val="24"/>
                <w:highlight w:val="none"/>
              </w:rPr>
              <w:t>序号</w:t>
            </w:r>
          </w:p>
        </w:tc>
        <w:tc>
          <w:tcPr>
            <w:tcW w:w="738" w:type="pct"/>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b/>
                <w:bCs/>
                <w:spacing w:val="3"/>
                <w:sz w:val="24"/>
                <w:szCs w:val="24"/>
                <w:highlight w:val="none"/>
              </w:rPr>
            </w:pPr>
            <w:r>
              <w:rPr>
                <w:rFonts w:hint="eastAsia" w:ascii="仿宋_GB2312" w:hAnsi="仿宋_GB2312" w:eastAsia="仿宋_GB2312" w:cs="仿宋_GB2312"/>
                <w:b/>
                <w:bCs/>
                <w:spacing w:val="3"/>
                <w:sz w:val="24"/>
                <w:szCs w:val="24"/>
                <w:highlight w:val="none"/>
              </w:rPr>
              <w:t>指标名称</w:t>
            </w:r>
          </w:p>
        </w:tc>
        <w:tc>
          <w:tcPr>
            <w:tcW w:w="3293" w:type="pct"/>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b/>
                <w:bCs/>
                <w:spacing w:val="3"/>
                <w:sz w:val="24"/>
                <w:szCs w:val="24"/>
                <w:highlight w:val="none"/>
              </w:rPr>
            </w:pPr>
            <w:r>
              <w:rPr>
                <w:rFonts w:hint="eastAsia" w:ascii="仿宋_GB2312" w:hAnsi="仿宋_GB2312" w:eastAsia="仿宋_GB2312" w:cs="仿宋_GB2312"/>
                <w:b/>
                <w:bCs/>
                <w:spacing w:val="3"/>
                <w:sz w:val="24"/>
                <w:szCs w:val="24"/>
                <w:highlight w:val="none"/>
              </w:rPr>
              <w:t>202</w:t>
            </w:r>
            <w:r>
              <w:rPr>
                <w:rFonts w:hint="eastAsia" w:ascii="仿宋_GB2312" w:hAnsi="仿宋_GB2312" w:eastAsia="仿宋_GB2312" w:cs="仿宋_GB2312"/>
                <w:b/>
                <w:bCs/>
                <w:spacing w:val="3"/>
                <w:sz w:val="24"/>
                <w:szCs w:val="24"/>
                <w:highlight w:val="none"/>
                <w:lang w:val="en-US" w:eastAsia="zh-CN"/>
              </w:rPr>
              <w:t>4</w:t>
            </w:r>
            <w:r>
              <w:rPr>
                <w:rFonts w:hint="eastAsia" w:ascii="仿宋_GB2312" w:hAnsi="仿宋_GB2312" w:eastAsia="仿宋_GB2312" w:cs="仿宋_GB2312"/>
                <w:b/>
                <w:bCs/>
                <w:spacing w:val="3"/>
                <w:sz w:val="24"/>
                <w:szCs w:val="24"/>
                <w:highlight w:val="none"/>
              </w:rPr>
              <w:t>年度目标</w:t>
            </w:r>
          </w:p>
        </w:tc>
        <w:tc>
          <w:tcPr>
            <w:tcW w:w="640" w:type="pct"/>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pacing w:val="-3"/>
                <w:sz w:val="24"/>
                <w:szCs w:val="24"/>
                <w:highlight w:val="none"/>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1" w:hRule="atLeast"/>
        </w:trPr>
        <w:tc>
          <w:tcPr>
            <w:tcW w:w="327" w:type="pct"/>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spacing w:val="3"/>
                <w:sz w:val="24"/>
                <w:szCs w:val="24"/>
                <w:highlight w:val="none"/>
              </w:rPr>
            </w:pPr>
            <w:r>
              <w:rPr>
                <w:rFonts w:hint="eastAsia" w:ascii="仿宋_GB2312" w:hAnsi="仿宋_GB2312" w:eastAsia="仿宋_GB2312" w:cs="仿宋_GB2312"/>
                <w:spacing w:val="3"/>
                <w:sz w:val="24"/>
                <w:szCs w:val="24"/>
                <w:highlight w:val="none"/>
              </w:rPr>
              <w:t>1</w:t>
            </w:r>
          </w:p>
        </w:tc>
        <w:tc>
          <w:tcPr>
            <w:tcW w:w="738" w:type="pct"/>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经营发展</w:t>
            </w:r>
          </w:p>
        </w:tc>
        <w:tc>
          <w:tcPr>
            <w:tcW w:w="3293" w:type="pct"/>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jc w:val="left"/>
              <w:textAlignment w:val="auto"/>
              <w:rPr>
                <w:rFonts w:hint="eastAsia" w:ascii="仿宋_GB2312" w:hAnsi="仿宋_GB2312" w:eastAsia="仿宋_GB2312" w:cs="仿宋_GB2312"/>
                <w:spacing w:val="3"/>
                <w:sz w:val="24"/>
                <w:szCs w:val="24"/>
                <w:highlight w:val="none"/>
                <w:lang w:eastAsia="zh-CN"/>
              </w:rPr>
            </w:pPr>
            <w:r>
              <w:rPr>
                <w:rFonts w:hint="eastAsia" w:ascii="仿宋_GB2312" w:hAnsi="仿宋_GB2312" w:eastAsia="仿宋_GB2312" w:cs="仿宋_GB2312"/>
                <w:spacing w:val="3"/>
                <w:sz w:val="24"/>
                <w:szCs w:val="24"/>
                <w:highlight w:val="none"/>
                <w:lang w:eastAsia="zh-CN"/>
              </w:rPr>
              <w:t>详见《经营发展重点工作台账》。</w:t>
            </w:r>
          </w:p>
        </w:tc>
        <w:tc>
          <w:tcPr>
            <w:tcW w:w="640" w:type="pct"/>
            <w:noWrap w:val="0"/>
            <w:vAlign w:val="center"/>
          </w:tcPr>
          <w:p>
            <w:pPr>
              <w:keepNext w:val="0"/>
              <w:keepLines w:val="0"/>
              <w:widowControl/>
              <w:suppressLineNumbers w:val="0"/>
              <w:jc w:val="center"/>
              <w:textAlignment w:val="center"/>
              <w:rPr>
                <w:rFonts w:hint="default"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1" w:hRule="atLeast"/>
        </w:trPr>
        <w:tc>
          <w:tcPr>
            <w:tcW w:w="327" w:type="pct"/>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2</w:t>
            </w:r>
          </w:p>
        </w:tc>
        <w:tc>
          <w:tcPr>
            <w:tcW w:w="738" w:type="pct"/>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spacing w:val="3"/>
                <w:sz w:val="24"/>
                <w:szCs w:val="24"/>
                <w:highlight w:val="none"/>
              </w:rPr>
            </w:pPr>
            <w:r>
              <w:rPr>
                <w:rFonts w:hint="eastAsia" w:ascii="仿宋_GB2312" w:hAnsi="仿宋_GB2312" w:eastAsia="仿宋_GB2312" w:cs="仿宋_GB2312"/>
                <w:spacing w:val="3"/>
                <w:sz w:val="24"/>
                <w:szCs w:val="24"/>
                <w:highlight w:val="none"/>
                <w:lang w:val="en-US" w:eastAsia="zh-CN"/>
              </w:rPr>
              <w:t>数字化转型</w:t>
            </w:r>
          </w:p>
        </w:tc>
        <w:tc>
          <w:tcPr>
            <w:tcW w:w="3293" w:type="pct"/>
            <w:noWrap w:val="0"/>
            <w:vAlign w:val="center"/>
          </w:tcPr>
          <w:p>
            <w:pPr>
              <w:pStyle w:val="46"/>
              <w:keepNext w:val="0"/>
              <w:keepLines w:val="0"/>
              <w:pageBreakBefore w:val="0"/>
              <w:widowControl w:val="0"/>
              <w:numPr>
                <w:ilvl w:val="0"/>
                <w:numId w:val="1"/>
              </w:numPr>
              <w:kinsoku/>
              <w:wordWrap/>
              <w:overflowPunct/>
              <w:topLinePunct w:val="0"/>
              <w:autoSpaceDE/>
              <w:autoSpaceDN/>
              <w:bidi w:val="0"/>
              <w:adjustRightInd/>
              <w:snapToGrid/>
              <w:spacing w:line="300" w:lineRule="exact"/>
              <w:ind w:left="0"/>
              <w:jc w:val="left"/>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eastAsia="zh-CN"/>
              </w:rPr>
              <w:t>成立以业务牵头的相关数字化转型工作组，落实集团数字化工作部署，配合完成财务、商旅、集采、人资等垂直管控 线条的数字化转型落地；</w:t>
            </w:r>
          </w:p>
          <w:p>
            <w:pPr>
              <w:pStyle w:val="46"/>
              <w:keepNext w:val="0"/>
              <w:keepLines w:val="0"/>
              <w:pageBreakBefore w:val="0"/>
              <w:widowControl w:val="0"/>
              <w:numPr>
                <w:ilvl w:val="0"/>
                <w:numId w:val="1"/>
              </w:numPr>
              <w:kinsoku/>
              <w:wordWrap/>
              <w:overflowPunct/>
              <w:topLinePunct w:val="0"/>
              <w:autoSpaceDE/>
              <w:autoSpaceDN/>
              <w:bidi w:val="0"/>
              <w:adjustRightInd/>
              <w:snapToGrid/>
              <w:spacing w:line="300" w:lineRule="exact"/>
              <w:ind w:left="0"/>
              <w:jc w:val="left"/>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eastAsia="zh-CN"/>
              </w:rPr>
              <w:t>主要业务流程上线率达到80%;</w:t>
            </w:r>
          </w:p>
          <w:p>
            <w:pPr>
              <w:pStyle w:val="46"/>
              <w:keepNext w:val="0"/>
              <w:keepLines w:val="0"/>
              <w:pageBreakBefore w:val="0"/>
              <w:widowControl w:val="0"/>
              <w:numPr>
                <w:ilvl w:val="0"/>
                <w:numId w:val="1"/>
              </w:numPr>
              <w:kinsoku/>
              <w:wordWrap/>
              <w:overflowPunct/>
              <w:topLinePunct w:val="0"/>
              <w:autoSpaceDE/>
              <w:autoSpaceDN/>
              <w:bidi w:val="0"/>
              <w:adjustRightInd/>
              <w:snapToGrid/>
              <w:spacing w:line="300" w:lineRule="exact"/>
              <w:ind w:left="0"/>
              <w:jc w:val="left"/>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eastAsia="zh-CN"/>
              </w:rPr>
              <w:t>完成经营性资产管理系统、档案管理系统建设；</w:t>
            </w:r>
          </w:p>
          <w:p>
            <w:pPr>
              <w:pStyle w:val="46"/>
              <w:keepNext w:val="0"/>
              <w:keepLines w:val="0"/>
              <w:pageBreakBefore w:val="0"/>
              <w:widowControl w:val="0"/>
              <w:numPr>
                <w:ilvl w:val="0"/>
                <w:numId w:val="1"/>
              </w:numPr>
              <w:kinsoku/>
              <w:wordWrap/>
              <w:overflowPunct/>
              <w:topLinePunct w:val="0"/>
              <w:autoSpaceDE/>
              <w:autoSpaceDN/>
              <w:bidi w:val="0"/>
              <w:adjustRightInd/>
              <w:snapToGrid/>
              <w:spacing w:line="300" w:lineRule="exact"/>
              <w:ind w:left="0"/>
              <w:jc w:val="left"/>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建立</w:t>
            </w:r>
            <w:r>
              <w:rPr>
                <w:rFonts w:hint="eastAsia" w:ascii="仿宋_GB2312" w:hAnsi="仿宋_GB2312" w:eastAsia="仿宋_GB2312" w:cs="仿宋_GB2312"/>
                <w:spacing w:val="3"/>
                <w:sz w:val="24"/>
                <w:szCs w:val="24"/>
                <w:highlight w:val="none"/>
                <w:lang w:eastAsia="zh-CN"/>
              </w:rPr>
              <w:t>《广联达数字新成本平台》指标库。</w:t>
            </w:r>
          </w:p>
        </w:tc>
        <w:tc>
          <w:tcPr>
            <w:tcW w:w="640" w:type="pct"/>
            <w:noWrap w:val="0"/>
            <w:vAlign w:val="center"/>
          </w:tcPr>
          <w:p>
            <w:pPr>
              <w:keepNext w:val="0"/>
              <w:keepLines w:val="0"/>
              <w:widowControl/>
              <w:suppressLineNumbers w:val="0"/>
              <w:jc w:val="center"/>
              <w:textAlignment w:val="center"/>
              <w:rPr>
                <w:rFonts w:hint="default"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327" w:type="pct"/>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3</w:t>
            </w:r>
          </w:p>
        </w:tc>
        <w:tc>
          <w:tcPr>
            <w:tcW w:w="738" w:type="pct"/>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spacing w:val="3"/>
                <w:sz w:val="24"/>
                <w:szCs w:val="24"/>
                <w:highlight w:val="none"/>
              </w:rPr>
            </w:pPr>
            <w:r>
              <w:rPr>
                <w:rFonts w:hint="eastAsia" w:ascii="仿宋_GB2312" w:hAnsi="仿宋_GB2312" w:eastAsia="仿宋_GB2312" w:cs="仿宋_GB2312"/>
                <w:spacing w:val="3"/>
                <w:sz w:val="24"/>
                <w:szCs w:val="24"/>
                <w:highlight w:val="none"/>
                <w:lang w:val="en-US" w:eastAsia="zh-CN"/>
              </w:rPr>
              <w:t>投融资</w:t>
            </w:r>
          </w:p>
        </w:tc>
        <w:tc>
          <w:tcPr>
            <w:tcW w:w="3293" w:type="pct"/>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jc w:val="left"/>
              <w:textAlignment w:val="auto"/>
              <w:rPr>
                <w:rFonts w:hint="eastAsia" w:ascii="仿宋_GB2312" w:hAnsi="仿宋_GB2312" w:eastAsia="仿宋_GB2312" w:cs="仿宋_GB2312"/>
                <w:spacing w:val="3"/>
                <w:sz w:val="24"/>
                <w:szCs w:val="24"/>
                <w:highlight w:val="none"/>
              </w:rPr>
            </w:pPr>
            <w:r>
              <w:rPr>
                <w:rFonts w:hint="eastAsia" w:ascii="仿宋_GB2312" w:hAnsi="仿宋_GB2312" w:eastAsia="仿宋_GB2312" w:cs="仿宋_GB2312"/>
                <w:spacing w:val="3"/>
                <w:sz w:val="24"/>
                <w:szCs w:val="24"/>
                <w:highlight w:val="none"/>
                <w:lang w:val="en-US" w:eastAsia="zh-CN"/>
              </w:rPr>
              <w:t>上报集团不低于2亿元可落地融资方案。</w:t>
            </w:r>
          </w:p>
        </w:tc>
        <w:tc>
          <w:tcPr>
            <w:tcW w:w="640" w:type="pct"/>
            <w:noWrap w:val="0"/>
            <w:vAlign w:val="center"/>
          </w:tcPr>
          <w:p>
            <w:pPr>
              <w:keepNext w:val="0"/>
              <w:keepLines w:val="0"/>
              <w:widowControl/>
              <w:suppressLineNumbers w:val="0"/>
              <w:jc w:val="center"/>
              <w:textAlignment w:val="center"/>
              <w:rPr>
                <w:rFonts w:hint="default"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3" w:hRule="atLeast"/>
        </w:trPr>
        <w:tc>
          <w:tcPr>
            <w:tcW w:w="327" w:type="pct"/>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4</w:t>
            </w:r>
          </w:p>
        </w:tc>
        <w:tc>
          <w:tcPr>
            <w:tcW w:w="738" w:type="pct"/>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仿宋_GB2312" w:hAnsi="仿宋_GB2312" w:eastAsia="仿宋_GB2312" w:cs="仿宋_GB2312"/>
                <w:spacing w:val="3"/>
                <w:sz w:val="24"/>
                <w:szCs w:val="24"/>
                <w:highlight w:val="none"/>
              </w:rPr>
            </w:pPr>
            <w:r>
              <w:rPr>
                <w:rFonts w:hint="eastAsia" w:ascii="仿宋_GB2312" w:hAnsi="仿宋_GB2312" w:eastAsia="仿宋_GB2312" w:cs="仿宋_GB2312"/>
                <w:spacing w:val="3"/>
                <w:sz w:val="24"/>
                <w:szCs w:val="24"/>
                <w:highlight w:val="none"/>
                <w:lang w:val="en-US" w:eastAsia="zh-CN"/>
              </w:rPr>
              <w:t>党建</w:t>
            </w:r>
          </w:p>
        </w:tc>
        <w:tc>
          <w:tcPr>
            <w:tcW w:w="3293" w:type="pct"/>
            <w:noWrap w:val="0"/>
            <w:vAlign w:val="center"/>
          </w:tcPr>
          <w:p>
            <w:pPr>
              <w:pStyle w:val="46"/>
              <w:keepNext w:val="0"/>
              <w:keepLines w:val="0"/>
              <w:pageBreakBefore w:val="0"/>
              <w:widowControl w:val="0"/>
              <w:kinsoku/>
              <w:wordWrap/>
              <w:overflowPunct/>
              <w:topLinePunct w:val="0"/>
              <w:autoSpaceDE/>
              <w:autoSpaceDN/>
              <w:bidi w:val="0"/>
              <w:adjustRightInd/>
              <w:snapToGrid/>
              <w:spacing w:line="300" w:lineRule="exact"/>
              <w:ind w:left="0" w:leftChars="0"/>
              <w:jc w:val="left"/>
              <w:textAlignment w:val="auto"/>
              <w:rPr>
                <w:rFonts w:hint="eastAsia" w:ascii="仿宋_GB2312" w:hAnsi="仿宋_GB2312" w:eastAsia="仿宋_GB2312" w:cs="仿宋_GB2312"/>
                <w:spacing w:val="3"/>
                <w:sz w:val="24"/>
                <w:szCs w:val="24"/>
                <w:highlight w:val="none"/>
              </w:rPr>
            </w:pPr>
            <w:r>
              <w:rPr>
                <w:rFonts w:hint="eastAsia" w:ascii="仿宋_GB2312" w:hAnsi="仿宋_GB2312" w:eastAsia="仿宋_GB2312" w:cs="仿宋_GB2312"/>
                <w:spacing w:val="3"/>
                <w:sz w:val="24"/>
                <w:szCs w:val="24"/>
                <w:highlight w:val="none"/>
                <w:lang w:eastAsia="zh-CN"/>
              </w:rPr>
              <w:t>按专项办法进行考核评价。</w:t>
            </w:r>
          </w:p>
        </w:tc>
        <w:tc>
          <w:tcPr>
            <w:tcW w:w="640" w:type="pct"/>
            <w:noWrap w:val="0"/>
            <w:vAlign w:val="center"/>
          </w:tcPr>
          <w:p>
            <w:pPr>
              <w:keepNext w:val="0"/>
              <w:keepLines w:val="0"/>
              <w:widowControl/>
              <w:suppressLineNumbers w:val="0"/>
              <w:jc w:val="center"/>
              <w:textAlignment w:val="center"/>
              <w:rPr>
                <w:rFonts w:hint="default"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10%</w:t>
            </w:r>
          </w:p>
        </w:tc>
      </w:tr>
    </w:tbl>
    <w:p>
      <w:pPr>
        <w:widowControl/>
        <w:spacing w:line="560" w:lineRule="exact"/>
        <w:ind w:firstLine="643" w:firstLineChars="200"/>
        <w:rPr>
          <w:rFonts w:hint="eastAsia"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（三）协同绩效指标</w:t>
      </w:r>
    </w:p>
    <w:p>
      <w:pPr>
        <w:widowControl/>
        <w:spacing w:line="560" w:lineRule="exact"/>
        <w:ind w:firstLine="643" w:firstLineChars="200"/>
        <w:rPr>
          <w:rFonts w:hint="default" w:ascii="仿宋_GB2312" w:eastAsia="仿宋_GB2312"/>
          <w:b/>
          <w:bCs/>
          <w:sz w:val="32"/>
          <w:szCs w:val="32"/>
          <w:highlight w:val="none"/>
          <w:lang w:val="en-US" w:eastAsia="zh-CN"/>
        </w:rPr>
      </w:pPr>
      <w:r>
        <w:rPr>
          <w:rFonts w:hint="eastAsia" w:ascii="仿宋_GB2312" w:eastAsia="仿宋_GB2312"/>
          <w:b/>
          <w:bCs/>
          <w:sz w:val="32"/>
          <w:szCs w:val="32"/>
          <w:highlight w:val="none"/>
          <w:lang w:val="en-US" w:eastAsia="zh-CN"/>
        </w:rPr>
        <w:t>1．协同</w:t>
      </w:r>
      <w:r>
        <w:rPr>
          <w:rFonts w:hint="default" w:ascii="仿宋_GB2312" w:eastAsia="仿宋_GB2312"/>
          <w:b/>
          <w:bCs/>
          <w:sz w:val="32"/>
          <w:szCs w:val="32"/>
          <w:highlight w:val="none"/>
          <w:lang w:val="en-US" w:eastAsia="zh-CN"/>
        </w:rPr>
        <w:t>绩效考评</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由公司主要领导、分管领导、主要业务关联单位负责人等从业务上下游协作配合效果和工作具体成效等方面进行综合评价打分。具体评分规则如下：</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Ⅰ档(150分)：协作效果好，工作成效远超预期。</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Ⅱ档(120分)：协作效果较好，工作成效符合预期。</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Ⅲ档(100分)：协作效果和工作成效基本符合预期。</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Ⅳ档(80分)：协作效果不佳，工作成效与预期有一定差距。</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Ⅴ档(60分)：协作效果较差，工作成效与预期有较大差距。</w:t>
      </w:r>
    </w:p>
    <w:p>
      <w:pPr>
        <w:widowControl/>
        <w:spacing w:line="560" w:lineRule="exact"/>
        <w:ind w:firstLine="643" w:firstLineChars="200"/>
        <w:rPr>
          <w:rFonts w:hint="default" w:ascii="仿宋_GB2312" w:eastAsia="仿宋_GB2312"/>
          <w:b/>
          <w:bCs/>
          <w:sz w:val="32"/>
          <w:szCs w:val="32"/>
          <w:highlight w:val="none"/>
          <w:lang w:val="en-US" w:eastAsia="zh-CN"/>
        </w:rPr>
      </w:pPr>
      <w:r>
        <w:rPr>
          <w:rFonts w:hint="eastAsia" w:ascii="仿宋_GB2312" w:eastAsia="仿宋_GB2312"/>
          <w:b/>
          <w:bCs/>
          <w:sz w:val="32"/>
          <w:szCs w:val="32"/>
          <w:highlight w:val="none"/>
          <w:lang w:val="en-US" w:eastAsia="zh-CN"/>
        </w:rPr>
        <w:t>2．协同</w:t>
      </w:r>
      <w:r>
        <w:rPr>
          <w:rFonts w:hint="default" w:ascii="仿宋_GB2312" w:eastAsia="仿宋_GB2312"/>
          <w:b/>
          <w:bCs/>
          <w:sz w:val="32"/>
          <w:szCs w:val="32"/>
          <w:highlight w:val="none"/>
          <w:lang w:val="en-US" w:eastAsia="zh-CN"/>
        </w:rPr>
        <w:t>绩效得分</w:t>
      </w:r>
    </w:p>
    <w:p>
      <w:pPr>
        <w:widowControl/>
        <w:spacing w:line="560" w:lineRule="exact"/>
        <w:ind w:firstLine="640" w:firstLineChars="200"/>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w:t>
      </w:r>
      <w:r>
        <w:rPr>
          <w:rFonts w:hint="default" w:ascii="仿宋_GB2312" w:eastAsia="仿宋_GB2312"/>
          <w:sz w:val="32"/>
          <w:szCs w:val="32"/>
          <w:highlight w:val="none"/>
          <w:lang w:val="en-US" w:eastAsia="zh-CN"/>
        </w:rPr>
        <w:t>各单位第一负责人</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年度周边绩效得分=集团公司主要领导评分×30%+分管领导评分×40%+业务关联单位第一负责人评分×30%</w:t>
      </w:r>
    </w:p>
    <w:p>
      <w:pPr>
        <w:widowControl/>
        <w:spacing w:line="560" w:lineRule="exact"/>
        <w:ind w:firstLine="640" w:firstLineChars="200"/>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w:t>
      </w:r>
      <w:r>
        <w:rPr>
          <w:rFonts w:hint="default" w:ascii="仿宋_GB2312" w:eastAsia="仿宋_GB2312"/>
          <w:sz w:val="32"/>
          <w:szCs w:val="32"/>
          <w:highlight w:val="none"/>
          <w:lang w:val="en-US" w:eastAsia="zh-CN"/>
        </w:rPr>
        <w:t>各单位其他纳入九洲集团公司职数管理的中层管理人员</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年度周边绩效得分=分管领导评分×30%+单位第一负责人评分×40%+业务关联单位负责人评分×30%</w:t>
      </w:r>
    </w:p>
    <w:p>
      <w:pPr>
        <w:widowControl/>
        <w:spacing w:line="560" w:lineRule="exact"/>
        <w:ind w:firstLine="643" w:firstLineChars="200"/>
        <w:rPr>
          <w:rFonts w:hint="default"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（四）红线指标</w:t>
      </w:r>
    </w:p>
    <w:p>
      <w:pPr>
        <w:widowControl/>
        <w:spacing w:line="560" w:lineRule="exact"/>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红线指标为不能突破的红线条款，主要包括党风廉政建设、安全、保密和践行企业文化等。采取扣分制，原则上红线指标总扣分不超过10分，因为党风廉政建设、安全、保密等造成一票否决或重大责任事故的，全部或部分扣减年度绩效得分。</w:t>
      </w: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lang w:eastAsia="zh-CN"/>
        </w:rPr>
        <w:t>三、考核兑现</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cs="Times New Roman"/>
          <w:b/>
          <w:bCs w:val="0"/>
          <w:sz w:val="32"/>
          <w:szCs w:val="32"/>
          <w:highlight w:val="none"/>
          <w:lang w:eastAsia="zh-CN"/>
        </w:rPr>
      </w:pPr>
      <w:r>
        <w:rPr>
          <w:rFonts w:hint="eastAsia" w:ascii="仿宋_GB2312" w:hAnsi="宋体" w:eastAsia="仿宋_GB2312" w:cs="Times New Roman"/>
          <w:b/>
          <w:bCs w:val="0"/>
          <w:sz w:val="32"/>
          <w:szCs w:val="32"/>
          <w:highlight w:val="none"/>
          <w:lang w:eastAsia="zh-CN"/>
        </w:rPr>
        <w:t>考核得分=组织绩效得分×</w:t>
      </w:r>
      <w:r>
        <w:rPr>
          <w:rFonts w:hint="eastAsia" w:ascii="仿宋_GB2312" w:hAnsi="宋体" w:eastAsia="仿宋_GB2312" w:cs="Times New Roman"/>
          <w:b/>
          <w:bCs w:val="0"/>
          <w:sz w:val="32"/>
          <w:szCs w:val="32"/>
          <w:highlight w:val="none"/>
          <w:lang w:val="en-US" w:eastAsia="zh-CN"/>
        </w:rPr>
        <w:t>3</w:t>
      </w:r>
      <w:r>
        <w:rPr>
          <w:rFonts w:hint="eastAsia" w:ascii="仿宋_GB2312" w:hAnsi="宋体" w:eastAsia="仿宋_GB2312" w:cs="Times New Roman"/>
          <w:b/>
          <w:bCs w:val="0"/>
          <w:sz w:val="32"/>
          <w:szCs w:val="32"/>
          <w:highlight w:val="none"/>
          <w:lang w:eastAsia="zh-CN"/>
        </w:rPr>
        <w:t>0%+任务绩效得分×</w:t>
      </w:r>
      <w:r>
        <w:rPr>
          <w:rFonts w:hint="eastAsia" w:ascii="仿宋_GB2312" w:hAnsi="宋体" w:eastAsia="仿宋_GB2312" w:cs="Times New Roman"/>
          <w:b/>
          <w:bCs w:val="0"/>
          <w:sz w:val="32"/>
          <w:szCs w:val="32"/>
          <w:highlight w:val="none"/>
          <w:lang w:val="en-US" w:eastAsia="zh-CN"/>
        </w:rPr>
        <w:t>5</w:t>
      </w:r>
      <w:r>
        <w:rPr>
          <w:rFonts w:hint="eastAsia" w:ascii="仿宋_GB2312" w:hAnsi="宋体" w:eastAsia="仿宋_GB2312" w:cs="Times New Roman"/>
          <w:b/>
          <w:bCs w:val="0"/>
          <w:sz w:val="32"/>
          <w:szCs w:val="32"/>
          <w:highlight w:val="none"/>
          <w:lang w:eastAsia="zh-CN"/>
        </w:rPr>
        <w:t>0%+</w:t>
      </w:r>
      <w:r>
        <w:rPr>
          <w:rFonts w:hint="eastAsia" w:ascii="仿宋_GB2312" w:hAnsi="宋体" w:eastAsia="仿宋_GB2312" w:cs="Times New Roman"/>
          <w:b/>
          <w:bCs w:val="0"/>
          <w:sz w:val="32"/>
          <w:szCs w:val="32"/>
          <w:highlight w:val="none"/>
          <w:lang w:val="en-US" w:eastAsia="zh-CN"/>
        </w:rPr>
        <w:t>协同</w:t>
      </w:r>
      <w:r>
        <w:rPr>
          <w:rFonts w:hint="eastAsia" w:ascii="仿宋_GB2312" w:hAnsi="宋体" w:eastAsia="仿宋_GB2312" w:cs="Times New Roman"/>
          <w:b/>
          <w:bCs w:val="0"/>
          <w:sz w:val="32"/>
          <w:szCs w:val="32"/>
          <w:highlight w:val="none"/>
          <w:lang w:eastAsia="zh-CN"/>
        </w:rPr>
        <w:t>绩效得分×20%-红线指标扣分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cs="Times New Roman"/>
          <w:b/>
          <w:bCs w:val="0"/>
          <w:sz w:val="32"/>
          <w:szCs w:val="32"/>
          <w:highlight w:val="none"/>
          <w:lang w:val="en-US" w:eastAsia="zh-CN"/>
        </w:rPr>
      </w:pPr>
      <w:r>
        <w:rPr>
          <w:rFonts w:hint="eastAsia" w:ascii="仿宋_GB2312" w:hAnsi="宋体" w:eastAsia="仿宋_GB2312" w:cs="Times New Roman"/>
          <w:b/>
          <w:bCs w:val="0"/>
          <w:sz w:val="32"/>
          <w:szCs w:val="32"/>
          <w:highlight w:val="none"/>
          <w:lang w:val="en-US" w:eastAsia="zh-CN"/>
        </w:rPr>
        <w:t>年薪=基本年薪+绩效年薪</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Times New Roman"/>
          <w:b w:val="0"/>
          <w:bCs/>
          <w:sz w:val="32"/>
          <w:szCs w:val="32"/>
          <w:highlight w:val="none"/>
          <w:lang w:eastAsia="zh-CN"/>
        </w:rPr>
      </w:pPr>
      <w:r>
        <w:rPr>
          <w:rFonts w:hint="eastAsia" w:ascii="仿宋_GB2312" w:hAnsi="宋体" w:eastAsia="仿宋_GB2312" w:cs="Times New Roman"/>
          <w:b w:val="0"/>
          <w:bCs/>
          <w:sz w:val="32"/>
          <w:szCs w:val="32"/>
          <w:highlight w:val="none"/>
          <w:lang w:eastAsia="zh-CN"/>
        </w:rPr>
        <w:t>基本年薪占年薪标准的</w:t>
      </w:r>
      <w:r>
        <w:rPr>
          <w:rFonts w:hint="eastAsia" w:ascii="仿宋_GB2312" w:hAnsi="宋体" w:eastAsia="仿宋_GB2312" w:cs="Times New Roman"/>
          <w:b w:val="0"/>
          <w:bCs/>
          <w:sz w:val="32"/>
          <w:szCs w:val="32"/>
          <w:highlight w:val="none"/>
          <w:lang w:val="en-US" w:eastAsia="zh-CN"/>
        </w:rPr>
        <w:t>4</w:t>
      </w:r>
      <w:r>
        <w:rPr>
          <w:rFonts w:hint="eastAsia" w:ascii="仿宋_GB2312" w:hAnsi="宋体" w:eastAsia="仿宋_GB2312" w:cs="Times New Roman"/>
          <w:b w:val="0"/>
          <w:bCs/>
          <w:sz w:val="32"/>
          <w:szCs w:val="32"/>
          <w:highlight w:val="none"/>
          <w:lang w:eastAsia="zh-CN"/>
        </w:rPr>
        <w:t>0%，绩效年薪占年薪标准的</w:t>
      </w:r>
      <w:r>
        <w:rPr>
          <w:rFonts w:hint="eastAsia" w:ascii="仿宋_GB2312" w:hAnsi="宋体" w:eastAsia="仿宋_GB2312" w:cs="Times New Roman"/>
          <w:b w:val="0"/>
          <w:bCs/>
          <w:sz w:val="32"/>
          <w:szCs w:val="32"/>
          <w:highlight w:val="none"/>
          <w:lang w:val="en-US" w:eastAsia="zh-CN"/>
        </w:rPr>
        <w:t>6</w:t>
      </w:r>
      <w:r>
        <w:rPr>
          <w:rFonts w:hint="eastAsia" w:ascii="仿宋_GB2312" w:hAnsi="宋体" w:eastAsia="仿宋_GB2312" w:cs="Times New Roman"/>
          <w:b w:val="0"/>
          <w:bCs/>
          <w:sz w:val="32"/>
          <w:szCs w:val="32"/>
          <w:highlight w:val="none"/>
          <w:lang w:eastAsia="zh-CN"/>
        </w:rPr>
        <w:t>0%。年薪兑现与乙方年度经营业绩考核得分挂钩，具体挂钩方式如下：</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cs="Times New Roman"/>
          <w:b/>
          <w:bCs w:val="0"/>
          <w:sz w:val="32"/>
          <w:szCs w:val="32"/>
          <w:highlight w:val="none"/>
          <w:lang w:val="en-US" w:eastAsia="zh-CN"/>
        </w:rPr>
      </w:pPr>
      <w:r>
        <w:rPr>
          <w:rFonts w:hint="eastAsia" w:ascii="仿宋_GB2312" w:hAnsi="宋体" w:eastAsia="仿宋_GB2312" w:cs="Times New Roman"/>
          <w:b/>
          <w:bCs w:val="0"/>
          <w:sz w:val="32"/>
          <w:szCs w:val="32"/>
          <w:highlight w:val="none"/>
          <w:lang w:val="en-US" w:eastAsia="zh-CN"/>
        </w:rPr>
        <w:t>绩效年薪=绩效年薪标准×考核得分/100。绩效年薪不超过绩效年薪标准的2倍。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Times New Roman"/>
          <w:b w:val="0"/>
          <w:bCs/>
          <w:sz w:val="32"/>
          <w:szCs w:val="32"/>
          <w:highlight w:val="none"/>
          <w:lang w:eastAsia="zh-CN"/>
        </w:rPr>
      </w:pPr>
      <w:r>
        <w:rPr>
          <w:rFonts w:hint="eastAsia" w:ascii="仿宋_GB2312" w:hAnsi="宋体" w:eastAsia="仿宋_GB2312" w:cs="Times New Roman"/>
          <w:b w:val="0"/>
          <w:bCs/>
          <w:sz w:val="32"/>
          <w:szCs w:val="32"/>
          <w:highlight w:val="none"/>
          <w:lang w:eastAsia="zh-CN"/>
        </w:rPr>
        <w:t>乙方年薪实行预发制，年终根据考核结果结算年薪，并结合已预发年薪兑现剩余部分。</w:t>
      </w:r>
    </w:p>
    <w:p>
      <w:pPr>
        <w:widowControl/>
        <w:spacing w:line="560" w:lineRule="exact"/>
        <w:ind w:firstLine="640" w:firstLineChars="200"/>
        <w:rPr>
          <w:rFonts w:hint="eastAsia" w:ascii="仿宋_GB2312" w:hAnsi="宋体" w:eastAsia="仿宋_GB2312" w:cs="Times New Roman"/>
          <w:b w:val="0"/>
          <w:bCs/>
          <w:sz w:val="32"/>
          <w:szCs w:val="32"/>
          <w:highlight w:val="none"/>
          <w:lang w:eastAsia="zh-CN"/>
        </w:rPr>
      </w:pPr>
      <w:r>
        <w:rPr>
          <w:rFonts w:hint="eastAsia" w:ascii="仿宋_GB2312" w:eastAsia="仿宋_GB2312"/>
          <w:sz w:val="32"/>
          <w:szCs w:val="32"/>
          <w:highlight w:val="none"/>
          <w:lang w:val="en-US" w:eastAsia="zh-CN"/>
        </w:rPr>
        <w:t>超额利润奖励按照专项考核管理办法进行。</w:t>
      </w: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lang w:eastAsia="zh-CN"/>
        </w:rPr>
        <w:t>四、</w:t>
      </w:r>
      <w:r>
        <w:rPr>
          <w:rFonts w:hint="eastAsia" w:ascii="黑体" w:hAnsi="黑体" w:eastAsia="黑体" w:cs="黑体"/>
          <w:b w:val="0"/>
          <w:bCs/>
          <w:sz w:val="32"/>
          <w:szCs w:val="32"/>
          <w:highlight w:val="none"/>
        </w:rPr>
        <w:t>其他</w:t>
      </w:r>
    </w:p>
    <w:p>
      <w:pPr>
        <w:keepNext w:val="0"/>
        <w:keepLines w:val="0"/>
        <w:pageBreakBefore w:val="0"/>
        <w:kinsoku/>
        <w:wordWrap/>
        <w:overflowPunct/>
        <w:topLinePunct w:val="0"/>
        <w:autoSpaceDE/>
        <w:autoSpaceDN/>
        <w:bidi w:val="0"/>
        <w:spacing w:line="560" w:lineRule="exact"/>
        <w:ind w:firstLine="640" w:firstLineChars="200"/>
        <w:rPr>
          <w:rFonts w:ascii="仿宋_GB2312" w:hAnsi="宋体" w:eastAsia="仿宋_GB2312"/>
          <w:b w:val="0"/>
          <w:bCs/>
          <w:sz w:val="32"/>
          <w:szCs w:val="32"/>
          <w:highlight w:val="none"/>
        </w:rPr>
      </w:pPr>
      <w:r>
        <w:rPr>
          <w:rFonts w:hint="eastAsia" w:ascii="仿宋_GB2312" w:hAnsi="宋体" w:eastAsia="仿宋_GB2312"/>
          <w:b w:val="0"/>
          <w:bCs/>
          <w:sz w:val="32"/>
          <w:szCs w:val="32"/>
          <w:highlight w:val="none"/>
        </w:rPr>
        <w:t>1</w:t>
      </w:r>
      <w:r>
        <w:rPr>
          <w:rFonts w:hint="eastAsia" w:ascii="仿宋_GB2312" w:hAnsi="宋体" w:eastAsia="仿宋_GB2312"/>
          <w:b w:val="0"/>
          <w:bCs/>
          <w:sz w:val="32"/>
          <w:szCs w:val="32"/>
          <w:highlight w:val="none"/>
          <w:lang w:eastAsia="zh-CN"/>
        </w:rPr>
        <w:t>．</w:t>
      </w:r>
      <w:r>
        <w:rPr>
          <w:rFonts w:hint="eastAsia" w:ascii="仿宋_GB2312" w:hAnsi="宋体" w:eastAsia="仿宋_GB2312"/>
          <w:b w:val="0"/>
          <w:bCs/>
          <w:sz w:val="32"/>
          <w:szCs w:val="32"/>
          <w:highlight w:val="none"/>
        </w:rPr>
        <w:t>本协议其他未尽事宜由双方另行协商。</w:t>
      </w:r>
    </w:p>
    <w:p>
      <w:pPr>
        <w:keepNext w:val="0"/>
        <w:keepLines w:val="0"/>
        <w:pageBreakBefore w:val="0"/>
        <w:kinsoku/>
        <w:wordWrap/>
        <w:overflowPunct/>
        <w:topLinePunct w:val="0"/>
        <w:autoSpaceDE/>
        <w:autoSpaceDN/>
        <w:bidi w:val="0"/>
        <w:spacing w:line="560" w:lineRule="exact"/>
        <w:ind w:firstLine="640" w:firstLineChars="200"/>
        <w:rPr>
          <w:rFonts w:ascii="仿宋_GB2312" w:eastAsia="仿宋_GB2312"/>
          <w:b w:val="0"/>
          <w:bCs/>
          <w:sz w:val="32"/>
          <w:szCs w:val="32"/>
          <w:highlight w:val="none"/>
        </w:rPr>
      </w:pPr>
      <w:r>
        <w:rPr>
          <w:rFonts w:hint="eastAsia" w:ascii="仿宋_GB2312" w:hAnsi="宋体" w:eastAsia="仿宋_GB2312"/>
          <w:b w:val="0"/>
          <w:bCs/>
          <w:sz w:val="32"/>
          <w:szCs w:val="32"/>
          <w:highlight w:val="none"/>
        </w:rPr>
        <w:t>2</w:t>
      </w:r>
      <w:r>
        <w:rPr>
          <w:rFonts w:hint="eastAsia" w:ascii="仿宋_GB2312" w:hAnsi="宋体" w:eastAsia="仿宋_GB2312"/>
          <w:b w:val="0"/>
          <w:bCs/>
          <w:sz w:val="32"/>
          <w:szCs w:val="32"/>
          <w:highlight w:val="none"/>
          <w:lang w:eastAsia="zh-CN"/>
        </w:rPr>
        <w:t>．</w:t>
      </w:r>
      <w:r>
        <w:rPr>
          <w:rFonts w:hint="eastAsia" w:ascii="仿宋_GB2312" w:hAnsi="宋体" w:eastAsia="仿宋_GB2312"/>
          <w:b w:val="0"/>
          <w:bCs/>
          <w:sz w:val="32"/>
          <w:szCs w:val="32"/>
          <w:highlight w:val="none"/>
        </w:rPr>
        <w:t>本协议一式三份，甲方、乙方、干部管理部门各执一份，自甲、乙双方签字（盖章）之日起生效。</w:t>
      </w:r>
    </w:p>
    <w:p>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rPr>
      </w:pP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rPr>
      </w:pP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lang w:eastAsia="zh-CN"/>
        </w:rPr>
      </w:pPr>
      <w:r>
        <w:rPr>
          <w:rFonts w:hint="eastAsia" w:ascii="仿宋_GB2312" w:hAnsi="宋体" w:eastAsia="仿宋_GB2312"/>
          <w:b w:val="0"/>
          <w:bCs/>
          <w:sz w:val="32"/>
          <w:szCs w:val="32"/>
          <w:highlight w:val="none"/>
          <w:lang w:val="en-US" w:eastAsia="zh-CN"/>
        </w:rPr>
        <w:t>附件：</w:t>
      </w:r>
      <w:r>
        <w:rPr>
          <w:rFonts w:hint="eastAsia" w:ascii="仿宋_GB2312" w:hAnsi="宋体" w:eastAsia="仿宋_GB2312"/>
          <w:b w:val="0"/>
          <w:bCs/>
          <w:sz w:val="32"/>
          <w:szCs w:val="32"/>
          <w:highlight w:val="none"/>
        </w:rPr>
        <w:t>1</w:t>
      </w:r>
      <w:r>
        <w:rPr>
          <w:rFonts w:hint="eastAsia" w:ascii="仿宋_GB2312" w:hAnsi="宋体" w:eastAsia="仿宋_GB2312"/>
          <w:b w:val="0"/>
          <w:bCs/>
          <w:sz w:val="32"/>
          <w:szCs w:val="32"/>
          <w:highlight w:val="none"/>
          <w:lang w:eastAsia="zh-CN"/>
        </w:rPr>
        <w:t>．经营发展重点工作台账</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lang w:eastAsia="zh-CN"/>
        </w:rPr>
      </w:pP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lang w:val="en-US" w:eastAsia="zh-CN"/>
        </w:rPr>
      </w:pPr>
    </w:p>
    <w:p>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rPr>
      </w:pPr>
    </w:p>
    <w:p>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rPr>
        <w:t>甲方（盖章）：</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乙方（签字）：</w:t>
      </w:r>
    </w:p>
    <w:p>
      <w:pPr>
        <w:keepNext w:val="0"/>
        <w:keepLines w:val="0"/>
        <w:pageBreakBefore w:val="0"/>
        <w:kinsoku/>
        <w:wordWrap/>
        <w:overflowPunct/>
        <w:topLinePunct w:val="0"/>
        <w:autoSpaceDE/>
        <w:autoSpaceDN/>
        <w:bidi w:val="0"/>
        <w:adjustRightInd w:val="0"/>
        <w:snapToGrid w:val="0"/>
        <w:spacing w:line="560" w:lineRule="exact"/>
        <w:rPr>
          <w:rFonts w:ascii="黑体" w:hAnsi="黑体" w:eastAsia="黑体" w:cs="黑体"/>
          <w:b w:val="0"/>
          <w:bCs/>
          <w:sz w:val="32"/>
          <w:szCs w:val="32"/>
          <w:highlight w:val="none"/>
        </w:rPr>
      </w:pPr>
    </w:p>
    <w:p>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rPr>
        <w:t>法定代表人（签字）：</w:t>
      </w:r>
    </w:p>
    <w:p>
      <w:pPr>
        <w:pStyle w:val="48"/>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60" w:lineRule="exact"/>
        <w:jc w:val="both"/>
        <w:textAlignment w:val="baseline"/>
        <w:rPr>
          <w:rFonts w:ascii="黑体" w:hAnsi="黑体" w:eastAsia="黑体" w:cs="黑体"/>
          <w:b w:val="0"/>
          <w:bCs/>
          <w:sz w:val="32"/>
          <w:szCs w:val="32"/>
          <w:highlight w:val="none"/>
        </w:rPr>
      </w:pPr>
    </w:p>
    <w:p>
      <w:pPr>
        <w:pStyle w:val="48"/>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60" w:lineRule="exact"/>
        <w:jc w:val="both"/>
        <w:textAlignment w:val="baseline"/>
        <w:rPr>
          <w:rFonts w:hint="eastAsia" w:ascii="黑体" w:hAnsi="黑体" w:eastAsia="黑体" w:cs="黑体"/>
          <w:b w:val="0"/>
          <w:bCs/>
          <w:sz w:val="32"/>
          <w:szCs w:val="32"/>
          <w:highlight w:val="none"/>
          <w:lang w:eastAsia="zh-CN"/>
        </w:rPr>
        <w:sectPr>
          <w:footerReference r:id="rId3" w:type="default"/>
          <w:pgSz w:w="11906" w:h="16838"/>
          <w:pgMar w:top="2098" w:right="1474" w:bottom="1984" w:left="1587"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黑体" w:hAnsi="黑体" w:eastAsia="黑体" w:cs="黑体"/>
          <w:b w:val="0"/>
          <w:bCs/>
          <w:sz w:val="32"/>
          <w:szCs w:val="32"/>
          <w:highlight w:val="none"/>
        </w:rPr>
        <w:t>签订日期：</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年</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月</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lang w:eastAsia="zh-CN"/>
        </w:rPr>
        <w:t>日</w:t>
      </w:r>
    </w:p>
    <w:p>
      <w:pPr>
        <w:pStyle w:val="48"/>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60" w:lineRule="exact"/>
        <w:jc w:val="both"/>
        <w:textAlignment w:val="baseline"/>
        <w:rPr>
          <w:rFonts w:hint="eastAsia" w:ascii="黑体" w:hAnsi="黑体" w:eastAsia="黑体" w:cs="黑体"/>
          <w:b w:val="0"/>
          <w:bCs/>
          <w:sz w:val="28"/>
          <w:szCs w:val="28"/>
          <w:highlight w:val="none"/>
          <w:lang w:val="en-US" w:eastAsia="zh-CN"/>
        </w:rPr>
      </w:pPr>
      <w:r>
        <w:rPr>
          <w:rFonts w:hint="eastAsia" w:ascii="黑体" w:hAnsi="黑体" w:eastAsia="黑体" w:cs="黑体"/>
          <w:b w:val="0"/>
          <w:bCs/>
          <w:sz w:val="28"/>
          <w:szCs w:val="28"/>
          <w:highlight w:val="none"/>
          <w:lang w:eastAsia="zh-CN"/>
        </w:rPr>
        <w:t>附件</w:t>
      </w:r>
      <w:r>
        <w:rPr>
          <w:rFonts w:hint="eastAsia" w:ascii="黑体" w:hAnsi="黑体" w:eastAsia="黑体" w:cs="黑体"/>
          <w:b w:val="0"/>
          <w:bCs/>
          <w:sz w:val="28"/>
          <w:szCs w:val="28"/>
          <w:highlight w:val="none"/>
          <w:lang w:val="en-US" w:eastAsia="zh-CN"/>
        </w:rPr>
        <w:t>1</w:t>
      </w:r>
    </w:p>
    <w:p>
      <w:pPr>
        <w:pStyle w:val="48"/>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60" w:lineRule="exact"/>
        <w:jc w:val="center"/>
        <w:textAlignment w:val="baseline"/>
        <w:rPr>
          <w:rFonts w:hint="eastAsia" w:ascii="方正小标宋简体" w:hAnsi="方正小标宋简体" w:eastAsia="方正小标宋简体" w:cs="方正小标宋简体"/>
          <w:b w:val="0"/>
          <w:bCs/>
          <w:sz w:val="44"/>
          <w:szCs w:val="44"/>
          <w:highlight w:val="none"/>
          <w:lang w:val="en-US" w:eastAsia="zh-CN"/>
        </w:rPr>
      </w:pPr>
      <w:r>
        <w:rPr>
          <w:rFonts w:hint="eastAsia" w:ascii="方正小标宋简体" w:hAnsi="方正小标宋简体" w:eastAsia="方正小标宋简体" w:cs="方正小标宋简体"/>
          <w:b w:val="0"/>
          <w:bCs/>
          <w:sz w:val="44"/>
          <w:szCs w:val="44"/>
          <w:highlight w:val="none"/>
          <w:lang w:val="en-US" w:eastAsia="zh-CN"/>
        </w:rPr>
        <w:t>经营发展重点工作台账</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0"/>
        <w:gridCol w:w="1259"/>
        <w:gridCol w:w="9160"/>
        <w:gridCol w:w="1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0" w:type="auto"/>
            <w:noWrap w:val="0"/>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公司名称</w:t>
            </w:r>
          </w:p>
        </w:tc>
        <w:tc>
          <w:tcPr>
            <w:tcW w:w="1259"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工作事项</w:t>
            </w:r>
          </w:p>
        </w:tc>
        <w:tc>
          <w:tcPr>
            <w:tcW w:w="916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输出成果/工作目标</w:t>
            </w:r>
          </w:p>
        </w:tc>
        <w:tc>
          <w:tcPr>
            <w:tcW w:w="128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指标权重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1180" w:type="dxa"/>
            <w:vMerge w:val="restart"/>
            <w:noWrap w:val="0"/>
            <w:vAlign w:val="center"/>
          </w:tcPr>
          <w:p>
            <w:pPr>
              <w:ind w:left="0" w:leftChars="0" w:firstLine="0" w:firstLineChars="0"/>
              <w:jc w:val="center"/>
              <w:rPr>
                <w:rFonts w:hint="eastAsia" w:ascii="仿宋" w:hAnsi="仿宋" w:eastAsia="仿宋" w:cs="仿宋"/>
                <w:b/>
                <w:bCs/>
                <w:sz w:val="30"/>
                <w:szCs w:val="30"/>
                <w:highlight w:val="none"/>
              </w:rPr>
            </w:pPr>
            <w:r>
              <w:rPr>
                <w:rStyle w:val="49"/>
                <w:rFonts w:hint="eastAsia" w:ascii="Arial" w:hAnsi="Arial" w:eastAsia="仿宋_GB2312" w:cs="Arial"/>
                <w:b/>
                <w:bCs/>
                <w:color w:val="000000" w:themeColor="text1"/>
                <w:lang w:bidi="ar"/>
                <w14:textFill>
                  <w14:solidFill>
                    <w14:schemeClr w14:val="tx1"/>
                  </w14:solidFill>
                </w14:textFill>
              </w:rPr>
              <w:t>九洲千城置业有限责任公司</w:t>
            </w: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highlight w:val="none"/>
                <w:u w:val="none"/>
              </w:rPr>
            </w:pPr>
          </w:p>
        </w:tc>
        <w:tc>
          <w:tcPr>
            <w:tcW w:w="1259" w:type="dxa"/>
            <w:vMerge w:val="restart"/>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highlight w:val="none"/>
                <w:u w:val="none"/>
              </w:rPr>
            </w:pPr>
            <w:r>
              <w:rPr>
                <w:rFonts w:ascii="Arial" w:hAnsi="Arial" w:eastAsia="仿宋_GB2312" w:cs="Arial"/>
                <w:b/>
                <w:bCs/>
                <w:color w:val="000000" w:themeColor="text1"/>
                <w:kern w:val="0"/>
                <w:sz w:val="24"/>
                <w:szCs w:val="24"/>
                <w:lang w:bidi="ar"/>
                <w14:textFill>
                  <w14:solidFill>
                    <w14:schemeClr w14:val="tx1"/>
                  </w14:solidFill>
                </w14:textFill>
              </w:rPr>
              <w:t>能力建设</w:t>
            </w:r>
          </w:p>
        </w:tc>
        <w:tc>
          <w:tcPr>
            <w:tcW w:w="9160" w:type="dxa"/>
            <w:noWrap w:val="0"/>
            <w:vAlign w:val="center"/>
          </w:tcPr>
          <w:p>
            <w:pPr>
              <w:widowControl/>
              <w:jc w:val="left"/>
              <w:textAlignment w:val="center"/>
              <w:rPr>
                <w:rStyle w:val="49"/>
                <w:rFonts w:hint="eastAsia" w:ascii="Arial" w:hAnsi="Arial" w:eastAsia="仿宋_GB2312" w:cs="Arial"/>
                <w:color w:val="000000" w:themeColor="text1"/>
                <w:lang w:eastAsia="zh-CN" w:bidi="ar"/>
                <w14:textFill>
                  <w14:solidFill>
                    <w14:schemeClr w14:val="tx1"/>
                  </w14:solidFill>
                </w14:textFill>
              </w:rPr>
            </w:pPr>
            <w:r>
              <w:rPr>
                <w:rStyle w:val="50"/>
                <w:rFonts w:eastAsia="仿宋_GB2312"/>
                <w:color w:val="000000" w:themeColor="text1"/>
                <w:lang w:bidi="ar"/>
                <w14:textFill>
                  <w14:solidFill>
                    <w14:schemeClr w14:val="tx1"/>
                  </w14:solidFill>
                </w14:textFill>
              </w:rPr>
              <w:t>1</w:t>
            </w:r>
            <w:r>
              <w:rPr>
                <w:rStyle w:val="49"/>
                <w:rFonts w:hint="default" w:ascii="Arial" w:hAnsi="Arial" w:eastAsia="仿宋_GB2312" w:cs="Arial"/>
                <w:color w:val="000000" w:themeColor="text1"/>
                <w:lang w:bidi="ar"/>
                <w14:textFill>
                  <w14:solidFill>
                    <w14:schemeClr w14:val="tx1"/>
                  </w14:solidFill>
                </w14:textFill>
              </w:rPr>
              <w:t>、完成内控建设</w:t>
            </w:r>
            <w:r>
              <w:rPr>
                <w:rStyle w:val="49"/>
                <w:rFonts w:hint="eastAsia" w:ascii="Arial" w:hAnsi="Arial" w:eastAsia="仿宋_GB2312" w:cs="Arial"/>
                <w:color w:val="000000" w:themeColor="text1"/>
                <w:lang w:eastAsia="zh-CN" w:bidi="ar"/>
                <w14:textFill>
                  <w14:solidFill>
                    <w14:schemeClr w14:val="tx1"/>
                  </w14:solidFill>
                </w14:textFill>
              </w:rPr>
              <w:t>及</w:t>
            </w:r>
            <w:r>
              <w:rPr>
                <w:rStyle w:val="49"/>
                <w:rFonts w:hint="default" w:ascii="Arial" w:hAnsi="Arial" w:eastAsia="仿宋_GB2312" w:cs="Arial"/>
                <w:color w:val="000000" w:themeColor="text1"/>
                <w:lang w:bidi="ar"/>
                <w14:textFill>
                  <w14:solidFill>
                    <w14:schemeClr w14:val="tx1"/>
                  </w14:solidFill>
                </w14:textFill>
              </w:rPr>
              <w:t>制度优化调整</w:t>
            </w:r>
            <w:r>
              <w:rPr>
                <w:rStyle w:val="49"/>
                <w:rFonts w:hint="eastAsia" w:ascii="Arial" w:hAnsi="Arial" w:eastAsia="仿宋_GB2312" w:cs="Arial"/>
                <w:color w:val="000000" w:themeColor="text1"/>
                <w:lang w:eastAsia="zh-CN" w:bidi="ar"/>
                <w14:textFill>
                  <w14:solidFill>
                    <w14:schemeClr w14:val="tx1"/>
                  </w14:solidFill>
                </w14:textFill>
              </w:rPr>
              <w:t>；</w:t>
            </w:r>
          </w:p>
          <w:p>
            <w:pPr>
              <w:widowControl/>
              <w:jc w:val="left"/>
              <w:textAlignment w:val="center"/>
              <w:rPr>
                <w:rStyle w:val="49"/>
                <w:rFonts w:hint="default" w:ascii="Arial" w:hAnsi="Arial" w:eastAsia="仿宋_GB2312" w:cs="Arial"/>
                <w:color w:val="000000" w:themeColor="text1"/>
                <w:lang w:bidi="ar"/>
                <w14:textFill>
                  <w14:solidFill>
                    <w14:schemeClr w14:val="tx1"/>
                  </w14:solidFill>
                </w14:textFill>
              </w:rPr>
            </w:pPr>
            <w:r>
              <w:rPr>
                <w:rStyle w:val="50"/>
                <w:rFonts w:eastAsia="仿宋_GB2312"/>
                <w:color w:val="000000" w:themeColor="text1"/>
                <w:lang w:bidi="ar"/>
                <w14:textFill>
                  <w14:solidFill>
                    <w14:schemeClr w14:val="tx1"/>
                  </w14:solidFill>
                </w14:textFill>
              </w:rPr>
              <w:t>6</w:t>
            </w:r>
            <w:r>
              <w:rPr>
                <w:rStyle w:val="49"/>
                <w:rFonts w:hint="default" w:ascii="Arial" w:hAnsi="Arial" w:eastAsia="仿宋_GB2312" w:cs="Arial"/>
                <w:color w:val="000000" w:themeColor="text1"/>
                <w:lang w:bidi="ar"/>
                <w14:textFill>
                  <w14:solidFill>
                    <w14:schemeClr w14:val="tx1"/>
                  </w14:solidFill>
                </w14:textFill>
              </w:rPr>
              <w:t>月底前完成《千城公司重大事项公开管理办法》发文；</w:t>
            </w:r>
          </w:p>
          <w:p>
            <w:pPr>
              <w:widowControl/>
              <w:jc w:val="left"/>
              <w:textAlignment w:val="center"/>
              <w:rPr>
                <w:rStyle w:val="49"/>
                <w:rFonts w:hint="default" w:ascii="Arial" w:hAnsi="Arial" w:eastAsia="仿宋_GB2312" w:cs="Arial"/>
                <w:color w:val="000000" w:themeColor="text1"/>
                <w:lang w:bidi="ar"/>
                <w14:textFill>
                  <w14:solidFill>
                    <w14:schemeClr w14:val="tx1"/>
                  </w14:solidFill>
                </w14:textFill>
              </w:rPr>
            </w:pPr>
            <w:r>
              <w:rPr>
                <w:rStyle w:val="50"/>
                <w:rFonts w:eastAsia="仿宋_GB2312"/>
                <w:color w:val="000000" w:themeColor="text1"/>
                <w:lang w:bidi="ar"/>
                <w14:textFill>
                  <w14:solidFill>
                    <w14:schemeClr w14:val="tx1"/>
                  </w14:solidFill>
                </w14:textFill>
              </w:rPr>
              <w:t>12</w:t>
            </w:r>
            <w:r>
              <w:rPr>
                <w:rStyle w:val="49"/>
                <w:rFonts w:hint="default" w:ascii="Arial" w:hAnsi="Arial" w:eastAsia="仿宋_GB2312" w:cs="Arial"/>
                <w:color w:val="000000" w:themeColor="text1"/>
                <w:lang w:bidi="ar"/>
                <w14:textFill>
                  <w14:solidFill>
                    <w14:schemeClr w14:val="tx1"/>
                  </w14:solidFill>
                </w14:textFill>
              </w:rPr>
              <w:t>月底前完成《合规管理制度》发文；</w:t>
            </w:r>
          </w:p>
          <w:p>
            <w:pPr>
              <w:widowControl/>
              <w:jc w:val="left"/>
              <w:textAlignment w:val="center"/>
              <w:rPr>
                <w:rFonts w:hint="eastAsia" w:ascii="仿宋_GB2312" w:hAnsi="仿宋_GB2312" w:eastAsia="仿宋_GB2312" w:cs="仿宋_GB2312"/>
                <w:i w:val="0"/>
                <w:iCs w:val="0"/>
                <w:color w:val="000000"/>
                <w:sz w:val="24"/>
                <w:szCs w:val="24"/>
                <w:highlight w:val="none"/>
                <w:u w:val="none"/>
              </w:rPr>
            </w:pPr>
            <w:r>
              <w:rPr>
                <w:rStyle w:val="49"/>
                <w:rFonts w:hint="default" w:ascii="Arial" w:hAnsi="Arial" w:eastAsia="仿宋_GB2312" w:cs="Arial"/>
                <w:color w:val="000000" w:themeColor="text1"/>
                <w:lang w:bidi="ar"/>
                <w14:textFill>
                  <w14:solidFill>
                    <w14:schemeClr w14:val="tx1"/>
                  </w14:solidFill>
                </w14:textFill>
              </w:rPr>
              <w:t>按集团要求完成</w:t>
            </w:r>
            <w:r>
              <w:rPr>
                <w:rStyle w:val="50"/>
                <w:rFonts w:eastAsia="仿宋_GB2312"/>
                <w:color w:val="000000" w:themeColor="text1"/>
                <w:lang w:bidi="ar"/>
                <w14:textFill>
                  <w14:solidFill>
                    <w14:schemeClr w14:val="tx1"/>
                  </w14:solidFill>
                </w14:textFill>
              </w:rPr>
              <w:t>7</w:t>
            </w:r>
            <w:r>
              <w:rPr>
                <w:rStyle w:val="49"/>
                <w:rFonts w:hint="default" w:ascii="Arial" w:hAnsi="Arial" w:eastAsia="仿宋_GB2312" w:cs="Arial"/>
                <w:color w:val="000000" w:themeColor="text1"/>
                <w:lang w:bidi="ar"/>
                <w14:textFill>
                  <w14:solidFill>
                    <w14:schemeClr w14:val="tx1"/>
                  </w14:solidFill>
                </w14:textFill>
              </w:rPr>
              <w:t>家下属公司内控体系建设。</w:t>
            </w:r>
          </w:p>
        </w:tc>
        <w:tc>
          <w:tcPr>
            <w:tcW w:w="1286" w:type="dxa"/>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i w:val="0"/>
                <w:iCs w:val="0"/>
                <w:color w:val="000000"/>
                <w:sz w:val="24"/>
                <w:szCs w:val="24"/>
                <w:highlight w:val="none"/>
                <w:u w:val="none"/>
                <w:lang w:val="en-US" w:eastAsia="zh-C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1180" w:type="dxa"/>
            <w:vMerge w:val="continue"/>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highlight w:val="none"/>
                <w:u w:val="none"/>
              </w:rPr>
            </w:pPr>
          </w:p>
        </w:tc>
        <w:tc>
          <w:tcPr>
            <w:tcW w:w="1259" w:type="dxa"/>
            <w:vMerge w:val="continue"/>
            <w:noWrap w:val="0"/>
            <w:vAlign w:val="center"/>
          </w:tcPr>
          <w:p>
            <w:pPr>
              <w:keepNext w:val="0"/>
              <w:keepLines w:val="0"/>
              <w:widowControl/>
              <w:suppressLineNumbers w:val="0"/>
              <w:jc w:val="center"/>
              <w:textAlignment w:val="center"/>
              <w:rPr>
                <w:rFonts w:ascii="Arial" w:hAnsi="Arial" w:eastAsia="仿宋_GB2312" w:cs="Arial"/>
                <w:b/>
                <w:bCs/>
                <w:color w:val="000000" w:themeColor="text1"/>
                <w:kern w:val="0"/>
                <w:sz w:val="24"/>
                <w:szCs w:val="24"/>
                <w:lang w:bidi="ar"/>
                <w14:textFill>
                  <w14:solidFill>
                    <w14:schemeClr w14:val="tx1"/>
                  </w14:solidFill>
                </w14:textFill>
              </w:rPr>
            </w:pPr>
          </w:p>
        </w:tc>
        <w:tc>
          <w:tcPr>
            <w:tcW w:w="9160" w:type="dxa"/>
            <w:noWrap w:val="0"/>
            <w:vAlign w:val="center"/>
          </w:tcPr>
          <w:p>
            <w:pPr>
              <w:widowControl/>
              <w:jc w:val="left"/>
              <w:textAlignment w:val="center"/>
              <w:rPr>
                <w:rStyle w:val="49"/>
                <w:rFonts w:hint="default" w:ascii="Arial" w:hAnsi="Arial" w:eastAsia="仿宋_GB2312" w:cs="Arial"/>
                <w:color w:val="000000" w:themeColor="text1"/>
                <w:lang w:bidi="ar"/>
                <w14:textFill>
                  <w14:solidFill>
                    <w14:schemeClr w14:val="tx1"/>
                  </w14:solidFill>
                </w14:textFill>
              </w:rPr>
            </w:pPr>
            <w:r>
              <w:rPr>
                <w:rStyle w:val="50"/>
                <w:rFonts w:eastAsia="仿宋_GB2312"/>
                <w:color w:val="000000" w:themeColor="text1"/>
                <w:lang w:bidi="ar"/>
                <w14:textFill>
                  <w14:solidFill>
                    <w14:schemeClr w14:val="tx1"/>
                  </w14:solidFill>
                </w14:textFill>
              </w:rPr>
              <w:t>2</w:t>
            </w:r>
            <w:r>
              <w:rPr>
                <w:rStyle w:val="49"/>
                <w:rFonts w:hint="default" w:ascii="Arial" w:hAnsi="Arial" w:eastAsia="仿宋_GB2312" w:cs="Arial"/>
                <w:color w:val="000000" w:themeColor="text1"/>
                <w:lang w:bidi="ar"/>
                <w14:textFill>
                  <w14:solidFill>
                    <w14:schemeClr w14:val="tx1"/>
                  </w14:solidFill>
                </w14:textFill>
              </w:rPr>
              <w:t>、按计划完成合规管理三张清单编制;同时配强合规法务专业人才，全年经济合同、制度、重大事项法律审核完成率100%。</w:t>
            </w:r>
          </w:p>
        </w:tc>
        <w:tc>
          <w:tcPr>
            <w:tcW w:w="1286" w:type="dxa"/>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i w:val="0"/>
                <w:iCs w:val="0"/>
                <w:color w:val="000000"/>
                <w:sz w:val="24"/>
                <w:szCs w:val="24"/>
                <w:highlight w:val="none"/>
                <w:u w:val="none"/>
                <w:lang w:val="en-US" w:eastAsia="zh-CN"/>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1180" w:type="dxa"/>
            <w:vMerge w:val="continue"/>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highlight w:val="none"/>
                <w:u w:val="none"/>
              </w:rPr>
            </w:pPr>
          </w:p>
        </w:tc>
        <w:tc>
          <w:tcPr>
            <w:tcW w:w="1259" w:type="dxa"/>
            <w:vMerge w:val="continue"/>
            <w:noWrap w:val="0"/>
            <w:vAlign w:val="center"/>
          </w:tcPr>
          <w:p>
            <w:pPr>
              <w:keepNext w:val="0"/>
              <w:keepLines w:val="0"/>
              <w:widowControl/>
              <w:suppressLineNumbers w:val="0"/>
              <w:jc w:val="center"/>
              <w:textAlignment w:val="center"/>
              <w:rPr>
                <w:rFonts w:ascii="Arial" w:hAnsi="Arial" w:eastAsia="仿宋_GB2312" w:cs="Arial"/>
                <w:b/>
                <w:bCs/>
                <w:color w:val="000000" w:themeColor="text1"/>
                <w:kern w:val="0"/>
                <w:sz w:val="24"/>
                <w:szCs w:val="24"/>
                <w:lang w:bidi="ar"/>
                <w14:textFill>
                  <w14:solidFill>
                    <w14:schemeClr w14:val="tx1"/>
                  </w14:solidFill>
                </w14:textFill>
              </w:rPr>
            </w:pPr>
          </w:p>
        </w:tc>
        <w:tc>
          <w:tcPr>
            <w:tcW w:w="9160" w:type="dxa"/>
            <w:noWrap w:val="0"/>
            <w:vAlign w:val="center"/>
          </w:tcPr>
          <w:p>
            <w:pPr>
              <w:keepNext w:val="0"/>
              <w:keepLines w:val="0"/>
              <w:widowControl/>
              <w:suppressLineNumbers w:val="0"/>
              <w:jc w:val="left"/>
              <w:textAlignment w:val="center"/>
              <w:rPr>
                <w:rStyle w:val="49"/>
                <w:rFonts w:hint="default" w:ascii="Arial" w:hAnsi="Arial" w:eastAsia="仿宋_GB2312" w:cs="Arial"/>
                <w:color w:val="000000" w:themeColor="text1"/>
                <w:lang w:bidi="ar"/>
                <w14:textFill>
                  <w14:solidFill>
                    <w14:schemeClr w14:val="tx1"/>
                  </w14:solidFill>
                </w14:textFill>
              </w:rPr>
            </w:pPr>
            <w:r>
              <w:rPr>
                <w:rStyle w:val="49"/>
                <w:rFonts w:hint="default" w:ascii="Arial" w:hAnsi="Arial" w:eastAsia="仿宋_GB2312" w:cs="Arial"/>
                <w:color w:val="000000" w:themeColor="text1"/>
                <w:lang w:bidi="ar"/>
                <w14:textFill>
                  <w14:solidFill>
                    <w14:schemeClr w14:val="tx1"/>
                  </w14:solidFill>
                </w14:textFill>
              </w:rPr>
              <w:t>3、强化内部审计人才队伍建设，开展湖北、西昌、库尔勒公司全项目审计和关键岗位人员离任审计，及时暴露问题，及时整改。</w:t>
            </w:r>
          </w:p>
        </w:tc>
        <w:tc>
          <w:tcPr>
            <w:tcW w:w="1286" w:type="dxa"/>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i w:val="0"/>
                <w:iCs w:val="0"/>
                <w:color w:val="000000"/>
                <w:sz w:val="24"/>
                <w:szCs w:val="24"/>
                <w:highlight w:val="none"/>
                <w:u w:val="none"/>
                <w:lang w:val="en-US" w:eastAsia="zh-CN"/>
              </w:rPr>
              <w:t>30%</w:t>
            </w:r>
          </w:p>
        </w:tc>
      </w:tr>
    </w:tbl>
    <w:p>
      <w:pPr>
        <w:pStyle w:val="48"/>
        <w:keepNext w:val="0"/>
        <w:keepLines w:val="0"/>
        <w:pageBreakBefore w:val="0"/>
        <w:widowControl/>
        <w:shd w:val="clear" w:color="auto" w:fill="FFFFFF"/>
        <w:kinsoku/>
        <w:wordWrap/>
        <w:overflowPunct/>
        <w:topLinePunct w:val="0"/>
        <w:autoSpaceDE/>
        <w:autoSpaceDN/>
        <w:bidi w:val="0"/>
        <w:adjustRightInd w:val="0"/>
        <w:snapToGrid w:val="0"/>
        <w:spacing w:beforeAutospacing="0" w:afterAutospacing="0" w:line="20" w:lineRule="exact"/>
        <w:jc w:val="both"/>
        <w:textAlignment w:val="baseline"/>
        <w:rPr>
          <w:rFonts w:hint="eastAsia" w:ascii="黑体" w:hAnsi="黑体" w:eastAsia="黑体" w:cs="黑体"/>
          <w:b w:val="0"/>
          <w:bCs w:val="0"/>
          <w:sz w:val="32"/>
          <w:szCs w:val="32"/>
          <w:highlight w:val="none"/>
          <w:lang w:eastAsia="zh-CN"/>
        </w:rPr>
      </w:pPr>
    </w:p>
    <w:p>
      <w:pPr>
        <w:rPr>
          <w:rFonts w:hint="default" w:ascii="仿宋_GB2312" w:hAnsi="宋体" w:eastAsia="仿宋_GB2312" w:cs="宋体"/>
          <w:color w:val="000000"/>
          <w:kern w:val="0"/>
          <w:sz w:val="32"/>
          <w:szCs w:val="32"/>
          <w:lang w:val="en-US" w:eastAsia="zh-CN"/>
        </w:rPr>
      </w:pPr>
    </w:p>
    <w:sectPr>
      <w:headerReference r:id="rId4" w:type="default"/>
      <w:footerReference r:id="rId5" w:type="default"/>
      <w:pgSz w:w="16838" w:h="11906" w:orient="landscape"/>
      <w:pgMar w:top="1588" w:right="2098" w:bottom="1474" w:left="1985"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2C2A852-C490-4DAA-A0C4-02C7C40BD4ED}"/>
  </w:font>
  <w:font w:name="黑体">
    <w:panose1 w:val="02010600030101010101"/>
    <w:charset w:val="86"/>
    <w:family w:val="auto"/>
    <w:pitch w:val="default"/>
    <w:sig w:usb0="800002BF" w:usb1="38CF7CFA" w:usb2="00000016" w:usb3="00000000" w:csb0="00040001" w:csb1="00000000"/>
    <w:embedRegular r:id="rId2" w:fontKey="{3E1C3CCF-02D7-41BD-94D1-FA9DCEF718A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3" w:fontKey="{6DB176AD-D7D0-4E6E-A0A3-832E56722E62}"/>
  </w:font>
  <w:font w:name="方正小标宋简体">
    <w:panose1 w:val="02000000000000000000"/>
    <w:charset w:val="86"/>
    <w:family w:val="script"/>
    <w:pitch w:val="default"/>
    <w:sig w:usb0="00000001" w:usb1="080E0000" w:usb2="00000000" w:usb3="00000000" w:csb0="00040000" w:csb1="00000000"/>
    <w:embedRegular r:id="rId4" w:fontKey="{5E620FA8-FA78-4616-B198-C258735D97B2}"/>
  </w:font>
  <w:font w:name="楷体_GB2312">
    <w:panose1 w:val="02010609030101010101"/>
    <w:charset w:val="86"/>
    <w:family w:val="modern"/>
    <w:pitch w:val="default"/>
    <w:sig w:usb0="00000001" w:usb1="080E0000" w:usb2="00000000" w:usb3="00000000" w:csb0="00040000" w:csb1="00000000"/>
    <w:embedRegular r:id="rId5" w:fontKey="{37CE0B25-ADFF-4857-8C53-2661147C9EBC}"/>
  </w:font>
  <w:font w:name="仿宋">
    <w:panose1 w:val="02010609060101010101"/>
    <w:charset w:val="86"/>
    <w:family w:val="modern"/>
    <w:pitch w:val="default"/>
    <w:sig w:usb0="800002BF" w:usb1="38CF7CFA" w:usb2="00000016" w:usb3="00000000" w:csb0="00040001" w:csb1="00000000"/>
    <w:embedRegular r:id="rId6" w:fontKey="{A5885C3F-3FCA-421F-ACFF-D4DF7A81812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黑体" w:hAnsi="黑体" w:eastAsia="黑体"/>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89535" cy="230505"/>
              <wp:effectExtent l="0" t="0" r="0" b="0"/>
              <wp:wrapNone/>
              <wp:docPr id="2" name="文本框 2"/>
              <wp:cNvGraphicFramePr/>
              <a:graphic xmlns:a="http://schemas.openxmlformats.org/drawingml/2006/main">
                <a:graphicData uri="http://schemas.microsoft.com/office/word/2010/wordprocessingShape">
                  <wps:wsp>
                    <wps:cNvSpPr txBox="1"/>
                    <wps:spPr>
                      <a:xfrm>
                        <a:off x="0" y="0"/>
                        <a:ext cx="89535" cy="230505"/>
                      </a:xfrm>
                      <a:prstGeom prst="rect">
                        <a:avLst/>
                      </a:prstGeom>
                      <a:noFill/>
                      <a:ln>
                        <a:noFill/>
                      </a:ln>
                    </wps:spPr>
                    <wps:txbx>
                      <w:txbxContent>
                        <w:p>
                          <w:pPr>
                            <w:pStyle w:val="13"/>
                            <w:jc w:val="center"/>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8.15pt;width:7.05pt;mso-position-horizontal:outside;mso-position-horizontal-relative:margin;mso-wrap-style:none;z-index:251659264;mso-width-relative:page;mso-height-relative:page;" filled="f" stroked="f" coordsize="21600,21600" o:gfxdata="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Hbql7DRAAAAAwEAAA8AAAAAAAAAAQAgAAAAIgAAAGRycy9kb3du&#10;cmV2LnhtbFBLAQIUABQAAAAIAIdO4kCjqq5CzQEAAJYDAAAOAAAAAAAAAAEAIAAAACABAABkcnMv&#10;ZTJvRG9jLnhtbFBLBQYAAAAABgAGAFkBAABfBQAAAAA=&#10;">
              <v:fill on="f" focussize="0,0"/>
              <v:stroke on="f"/>
              <v:imagedata o:title=""/>
              <o:lock v:ext="edit" aspectratio="f"/>
              <v:textbox inset="0mm,0mm,0mm,0mm" style="mso-fit-shape-to-text:t;">
                <w:txbxContent>
                  <w:p>
                    <w:pPr>
                      <w:pStyle w:val="13"/>
                      <w:jc w:val="center"/>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89940" cy="23685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789940" cy="2368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8.65pt;width:62.2pt;mso-position-horizontal:outside;mso-position-horizontal-relative:margin;z-index:251659264;mso-width-relative:page;mso-height-relative:page;" filled="f" stroked="f" coordsize="21600,21600" o:gfxdata="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dTTrC1QAAAAQBAAAPAAAAAAAAAAEAIAAAACIAAABkcnMvZG93bnJl&#10;di54bWxQSwECFAAUAAAACACHTuJAVcQ22jkCAABjBAAADgAAAAAAAAABACAAAAAkAQAAZHJzL2Uy&#10;b0RvYy54bWxQSwUGAAAAAAYABgBZAQAAzwUAAAAA&#10;">
              <v:fill on="f" focussize="0,0"/>
              <v:stroke on="f" weight="0.5pt"/>
              <v:imagedata o:title=""/>
              <o:lock v:ext="edit" aspectratio="f"/>
              <v:textbox inset="0mm,0mm,0mm,0mm">
                <w:txbxContent>
                  <w:p>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6E17D2"/>
    <w:multiLevelType w:val="singleLevel"/>
    <w:tmpl w:val="EF6E17D2"/>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hjYTc5ZWFhNjE3YWY4ZTJjMmUwNmM4MmQ4MGQwMDQifQ=="/>
  </w:docVars>
  <w:rsids>
    <w:rsidRoot w:val="00D26C17"/>
    <w:rsid w:val="00004294"/>
    <w:rsid w:val="00077BB8"/>
    <w:rsid w:val="003815EF"/>
    <w:rsid w:val="003D138F"/>
    <w:rsid w:val="00411E7D"/>
    <w:rsid w:val="00522E5A"/>
    <w:rsid w:val="00666A9B"/>
    <w:rsid w:val="007B2113"/>
    <w:rsid w:val="00933E5B"/>
    <w:rsid w:val="009731F3"/>
    <w:rsid w:val="00996404"/>
    <w:rsid w:val="00D1064C"/>
    <w:rsid w:val="00D26C17"/>
    <w:rsid w:val="00D51E8B"/>
    <w:rsid w:val="00D77774"/>
    <w:rsid w:val="00DE63A2"/>
    <w:rsid w:val="00EE3721"/>
    <w:rsid w:val="00F069A3"/>
    <w:rsid w:val="00FF7664"/>
    <w:rsid w:val="017B11E4"/>
    <w:rsid w:val="01AF5332"/>
    <w:rsid w:val="01C3381D"/>
    <w:rsid w:val="022369EF"/>
    <w:rsid w:val="02355837"/>
    <w:rsid w:val="02671768"/>
    <w:rsid w:val="027125E7"/>
    <w:rsid w:val="02A209F3"/>
    <w:rsid w:val="02D908B8"/>
    <w:rsid w:val="02F2197A"/>
    <w:rsid w:val="03675EC4"/>
    <w:rsid w:val="03827295"/>
    <w:rsid w:val="03AD4DDD"/>
    <w:rsid w:val="03B7227C"/>
    <w:rsid w:val="044955CA"/>
    <w:rsid w:val="048F2C7D"/>
    <w:rsid w:val="04EC7024"/>
    <w:rsid w:val="053242B0"/>
    <w:rsid w:val="05485881"/>
    <w:rsid w:val="05665D07"/>
    <w:rsid w:val="05A52CD4"/>
    <w:rsid w:val="06577AD4"/>
    <w:rsid w:val="068E3768"/>
    <w:rsid w:val="06E17D3B"/>
    <w:rsid w:val="079046C9"/>
    <w:rsid w:val="07983414"/>
    <w:rsid w:val="07D7219C"/>
    <w:rsid w:val="07EC0B14"/>
    <w:rsid w:val="08094D85"/>
    <w:rsid w:val="082A3964"/>
    <w:rsid w:val="08D613F6"/>
    <w:rsid w:val="090A6581"/>
    <w:rsid w:val="09165225"/>
    <w:rsid w:val="09313F0E"/>
    <w:rsid w:val="098146E6"/>
    <w:rsid w:val="0A4B1FCC"/>
    <w:rsid w:val="0A6D7B38"/>
    <w:rsid w:val="0A6F525B"/>
    <w:rsid w:val="0AA456F3"/>
    <w:rsid w:val="0AC51722"/>
    <w:rsid w:val="0AF4446C"/>
    <w:rsid w:val="0AFA761E"/>
    <w:rsid w:val="0B1B3B13"/>
    <w:rsid w:val="0B4A1806"/>
    <w:rsid w:val="0B552AA6"/>
    <w:rsid w:val="0BB04180"/>
    <w:rsid w:val="0BB12589"/>
    <w:rsid w:val="0C246C3B"/>
    <w:rsid w:val="0C50326D"/>
    <w:rsid w:val="0CA43CE5"/>
    <w:rsid w:val="0CA727E3"/>
    <w:rsid w:val="0CDE6ACB"/>
    <w:rsid w:val="0D004C71"/>
    <w:rsid w:val="0D0E73B0"/>
    <w:rsid w:val="0D847672"/>
    <w:rsid w:val="0DB16C21"/>
    <w:rsid w:val="0DBE2B84"/>
    <w:rsid w:val="0DCD726B"/>
    <w:rsid w:val="0DD34156"/>
    <w:rsid w:val="0E2854AC"/>
    <w:rsid w:val="0E67321C"/>
    <w:rsid w:val="0F3B0205"/>
    <w:rsid w:val="0F4F16B2"/>
    <w:rsid w:val="0FE12B5A"/>
    <w:rsid w:val="10086339"/>
    <w:rsid w:val="103435D2"/>
    <w:rsid w:val="108F6A5A"/>
    <w:rsid w:val="10AC13BA"/>
    <w:rsid w:val="116752E1"/>
    <w:rsid w:val="11771B12"/>
    <w:rsid w:val="11987B90"/>
    <w:rsid w:val="119F6E8B"/>
    <w:rsid w:val="11B47634"/>
    <w:rsid w:val="11E20E0C"/>
    <w:rsid w:val="125E66E4"/>
    <w:rsid w:val="12733E70"/>
    <w:rsid w:val="12BE3627"/>
    <w:rsid w:val="12CE0C99"/>
    <w:rsid w:val="13143749"/>
    <w:rsid w:val="13217712"/>
    <w:rsid w:val="133F4EEE"/>
    <w:rsid w:val="13685340"/>
    <w:rsid w:val="13786942"/>
    <w:rsid w:val="13913519"/>
    <w:rsid w:val="13A97E33"/>
    <w:rsid w:val="13CE5AEB"/>
    <w:rsid w:val="13DD7DC5"/>
    <w:rsid w:val="14773A8D"/>
    <w:rsid w:val="14777F31"/>
    <w:rsid w:val="14D64ED9"/>
    <w:rsid w:val="15141343"/>
    <w:rsid w:val="151508C6"/>
    <w:rsid w:val="15162D86"/>
    <w:rsid w:val="157408EC"/>
    <w:rsid w:val="15785D0F"/>
    <w:rsid w:val="15791A87"/>
    <w:rsid w:val="15824E09"/>
    <w:rsid w:val="159665DE"/>
    <w:rsid w:val="15B036FB"/>
    <w:rsid w:val="15C50828"/>
    <w:rsid w:val="15DD7F7C"/>
    <w:rsid w:val="15EB21E3"/>
    <w:rsid w:val="15FF261B"/>
    <w:rsid w:val="161D68B6"/>
    <w:rsid w:val="1653052A"/>
    <w:rsid w:val="16AD68BA"/>
    <w:rsid w:val="16B76879"/>
    <w:rsid w:val="16B965DF"/>
    <w:rsid w:val="16BF516A"/>
    <w:rsid w:val="16E7210F"/>
    <w:rsid w:val="17667442"/>
    <w:rsid w:val="178B5F49"/>
    <w:rsid w:val="1843750D"/>
    <w:rsid w:val="18730A0F"/>
    <w:rsid w:val="19307018"/>
    <w:rsid w:val="194F441F"/>
    <w:rsid w:val="19AC41D9"/>
    <w:rsid w:val="19EA6AAF"/>
    <w:rsid w:val="1A321DA9"/>
    <w:rsid w:val="1A473E72"/>
    <w:rsid w:val="1A4E703E"/>
    <w:rsid w:val="1AD11A1D"/>
    <w:rsid w:val="1ADC6C39"/>
    <w:rsid w:val="1AFC6A9A"/>
    <w:rsid w:val="1B1526BF"/>
    <w:rsid w:val="1B1535E6"/>
    <w:rsid w:val="1B2E59C9"/>
    <w:rsid w:val="1B6B1E72"/>
    <w:rsid w:val="1B79089D"/>
    <w:rsid w:val="1BF04544"/>
    <w:rsid w:val="1C155AA2"/>
    <w:rsid w:val="1C740F63"/>
    <w:rsid w:val="1C7B0660"/>
    <w:rsid w:val="1CB05A7F"/>
    <w:rsid w:val="1D1F566C"/>
    <w:rsid w:val="1D526E45"/>
    <w:rsid w:val="1D770C9F"/>
    <w:rsid w:val="1D781367"/>
    <w:rsid w:val="1D934F03"/>
    <w:rsid w:val="1DC422B8"/>
    <w:rsid w:val="1DDC1D26"/>
    <w:rsid w:val="1DF63C75"/>
    <w:rsid w:val="1E30234F"/>
    <w:rsid w:val="1E675979"/>
    <w:rsid w:val="1E8C601F"/>
    <w:rsid w:val="1EB353CC"/>
    <w:rsid w:val="1EC975DB"/>
    <w:rsid w:val="1EE10644"/>
    <w:rsid w:val="1F4D7724"/>
    <w:rsid w:val="1F6D61B8"/>
    <w:rsid w:val="20144886"/>
    <w:rsid w:val="208A4797"/>
    <w:rsid w:val="20F76FFF"/>
    <w:rsid w:val="21176FBB"/>
    <w:rsid w:val="21736403"/>
    <w:rsid w:val="218B39C0"/>
    <w:rsid w:val="21DE15EF"/>
    <w:rsid w:val="220F79FB"/>
    <w:rsid w:val="223631D9"/>
    <w:rsid w:val="22600256"/>
    <w:rsid w:val="23005595"/>
    <w:rsid w:val="23136EEB"/>
    <w:rsid w:val="233C3E4E"/>
    <w:rsid w:val="23E57486"/>
    <w:rsid w:val="24106586"/>
    <w:rsid w:val="241E3F33"/>
    <w:rsid w:val="2425014F"/>
    <w:rsid w:val="24CB23C4"/>
    <w:rsid w:val="250456E8"/>
    <w:rsid w:val="2535072C"/>
    <w:rsid w:val="258B55EA"/>
    <w:rsid w:val="25983863"/>
    <w:rsid w:val="25AA0769"/>
    <w:rsid w:val="25DD571A"/>
    <w:rsid w:val="263C57B2"/>
    <w:rsid w:val="265513EA"/>
    <w:rsid w:val="26FF4758"/>
    <w:rsid w:val="270811D6"/>
    <w:rsid w:val="2727030E"/>
    <w:rsid w:val="27A97FAA"/>
    <w:rsid w:val="27DE07E0"/>
    <w:rsid w:val="27E126B6"/>
    <w:rsid w:val="27F21951"/>
    <w:rsid w:val="28243AD4"/>
    <w:rsid w:val="282D3E1D"/>
    <w:rsid w:val="283858CD"/>
    <w:rsid w:val="28821D21"/>
    <w:rsid w:val="29341AF5"/>
    <w:rsid w:val="293C78E0"/>
    <w:rsid w:val="29A30A29"/>
    <w:rsid w:val="29A92DEF"/>
    <w:rsid w:val="2A4B5348"/>
    <w:rsid w:val="2A924D25"/>
    <w:rsid w:val="2AB90504"/>
    <w:rsid w:val="2AC7692A"/>
    <w:rsid w:val="2B040F10"/>
    <w:rsid w:val="2B762C31"/>
    <w:rsid w:val="2B784A89"/>
    <w:rsid w:val="2BB553E6"/>
    <w:rsid w:val="2BD001FB"/>
    <w:rsid w:val="2BF23635"/>
    <w:rsid w:val="2C8965FC"/>
    <w:rsid w:val="2C9C1E8B"/>
    <w:rsid w:val="2CB91C59"/>
    <w:rsid w:val="2D067C4C"/>
    <w:rsid w:val="2DA757CD"/>
    <w:rsid w:val="2E2E2FB7"/>
    <w:rsid w:val="2E5D564A"/>
    <w:rsid w:val="2E905A1F"/>
    <w:rsid w:val="2E9A2FA9"/>
    <w:rsid w:val="2EAE7D0D"/>
    <w:rsid w:val="2EB3170E"/>
    <w:rsid w:val="2EC21951"/>
    <w:rsid w:val="2EFC4E63"/>
    <w:rsid w:val="2F155F25"/>
    <w:rsid w:val="2F536A54"/>
    <w:rsid w:val="2F770234"/>
    <w:rsid w:val="2F8F5CD7"/>
    <w:rsid w:val="30104B22"/>
    <w:rsid w:val="301D0797"/>
    <w:rsid w:val="30713C53"/>
    <w:rsid w:val="30797323"/>
    <w:rsid w:val="309520F7"/>
    <w:rsid w:val="309F1F4A"/>
    <w:rsid w:val="30CC6AB7"/>
    <w:rsid w:val="312D57A8"/>
    <w:rsid w:val="313604A2"/>
    <w:rsid w:val="31443E63"/>
    <w:rsid w:val="31CB6D6E"/>
    <w:rsid w:val="31D9592F"/>
    <w:rsid w:val="320504D2"/>
    <w:rsid w:val="329459AD"/>
    <w:rsid w:val="329E4165"/>
    <w:rsid w:val="32C00582"/>
    <w:rsid w:val="335C6818"/>
    <w:rsid w:val="33C26591"/>
    <w:rsid w:val="33FB52BF"/>
    <w:rsid w:val="346F0006"/>
    <w:rsid w:val="34F565DC"/>
    <w:rsid w:val="35B415EC"/>
    <w:rsid w:val="35C83CF1"/>
    <w:rsid w:val="35E328D9"/>
    <w:rsid w:val="36000EF9"/>
    <w:rsid w:val="365C3DBB"/>
    <w:rsid w:val="367571F9"/>
    <w:rsid w:val="369235A5"/>
    <w:rsid w:val="36FD5C1C"/>
    <w:rsid w:val="37193A7A"/>
    <w:rsid w:val="37225683"/>
    <w:rsid w:val="37472E3B"/>
    <w:rsid w:val="37645C9B"/>
    <w:rsid w:val="37796E87"/>
    <w:rsid w:val="378325C5"/>
    <w:rsid w:val="37FA03AE"/>
    <w:rsid w:val="380A6843"/>
    <w:rsid w:val="38370F4F"/>
    <w:rsid w:val="387C536A"/>
    <w:rsid w:val="388C3574"/>
    <w:rsid w:val="38957D3E"/>
    <w:rsid w:val="38A62B0D"/>
    <w:rsid w:val="38B86F56"/>
    <w:rsid w:val="3922196A"/>
    <w:rsid w:val="394F6C6F"/>
    <w:rsid w:val="39763A64"/>
    <w:rsid w:val="3A63048C"/>
    <w:rsid w:val="3AC71D0D"/>
    <w:rsid w:val="3B8406BA"/>
    <w:rsid w:val="3B963A4D"/>
    <w:rsid w:val="3B9F48B6"/>
    <w:rsid w:val="3BB645EB"/>
    <w:rsid w:val="3C2D0D52"/>
    <w:rsid w:val="3C9B3F0D"/>
    <w:rsid w:val="3CD4717D"/>
    <w:rsid w:val="3D121CF5"/>
    <w:rsid w:val="3D404AB5"/>
    <w:rsid w:val="3D897F97"/>
    <w:rsid w:val="3D8F1598"/>
    <w:rsid w:val="3E2B12C1"/>
    <w:rsid w:val="3E4505B4"/>
    <w:rsid w:val="3E5C147A"/>
    <w:rsid w:val="3E7E2A01"/>
    <w:rsid w:val="3E7F0194"/>
    <w:rsid w:val="3E9C57AC"/>
    <w:rsid w:val="3EBF7C5B"/>
    <w:rsid w:val="3EC6070F"/>
    <w:rsid w:val="3ED51742"/>
    <w:rsid w:val="3F0F0BE2"/>
    <w:rsid w:val="3F5F64EF"/>
    <w:rsid w:val="3F744EE9"/>
    <w:rsid w:val="3F7B6278"/>
    <w:rsid w:val="3FA30A38"/>
    <w:rsid w:val="3FCB250F"/>
    <w:rsid w:val="3FCB2D5B"/>
    <w:rsid w:val="3FD15E98"/>
    <w:rsid w:val="40006363"/>
    <w:rsid w:val="409E3FCC"/>
    <w:rsid w:val="40D55514"/>
    <w:rsid w:val="40ED3BA3"/>
    <w:rsid w:val="412F51E3"/>
    <w:rsid w:val="41B17D2F"/>
    <w:rsid w:val="424E1A22"/>
    <w:rsid w:val="42611755"/>
    <w:rsid w:val="429531AD"/>
    <w:rsid w:val="42D8613A"/>
    <w:rsid w:val="42FA7159"/>
    <w:rsid w:val="43AF3320"/>
    <w:rsid w:val="43F92FEC"/>
    <w:rsid w:val="441B1E39"/>
    <w:rsid w:val="44501A81"/>
    <w:rsid w:val="44600F13"/>
    <w:rsid w:val="446B68BB"/>
    <w:rsid w:val="447517CB"/>
    <w:rsid w:val="4484172B"/>
    <w:rsid w:val="44A41DCD"/>
    <w:rsid w:val="44F346BF"/>
    <w:rsid w:val="44FF34A7"/>
    <w:rsid w:val="45442C68"/>
    <w:rsid w:val="457A48DC"/>
    <w:rsid w:val="45DE1D77"/>
    <w:rsid w:val="45FB5626"/>
    <w:rsid w:val="460F7548"/>
    <w:rsid w:val="462A2F7C"/>
    <w:rsid w:val="4654337F"/>
    <w:rsid w:val="4694464B"/>
    <w:rsid w:val="47617B01"/>
    <w:rsid w:val="47641E43"/>
    <w:rsid w:val="477A0BC3"/>
    <w:rsid w:val="47A04ACD"/>
    <w:rsid w:val="47D81FA9"/>
    <w:rsid w:val="486B440C"/>
    <w:rsid w:val="494E5D41"/>
    <w:rsid w:val="49583186"/>
    <w:rsid w:val="49937C6C"/>
    <w:rsid w:val="49A03796"/>
    <w:rsid w:val="49A53CC1"/>
    <w:rsid w:val="49BF7253"/>
    <w:rsid w:val="49C83E68"/>
    <w:rsid w:val="49F3676E"/>
    <w:rsid w:val="4A3E237C"/>
    <w:rsid w:val="4AF85673"/>
    <w:rsid w:val="4B6B71A0"/>
    <w:rsid w:val="4B982BB3"/>
    <w:rsid w:val="4BF7108D"/>
    <w:rsid w:val="4BFC429C"/>
    <w:rsid w:val="4BFF1FF7"/>
    <w:rsid w:val="4C9B5863"/>
    <w:rsid w:val="4CC50B32"/>
    <w:rsid w:val="4CE0771A"/>
    <w:rsid w:val="4D096C71"/>
    <w:rsid w:val="4DA44BEC"/>
    <w:rsid w:val="4DAE1633"/>
    <w:rsid w:val="4DB82445"/>
    <w:rsid w:val="4DEB45C9"/>
    <w:rsid w:val="4E30647F"/>
    <w:rsid w:val="4E577EB0"/>
    <w:rsid w:val="4EFF13E5"/>
    <w:rsid w:val="4F8C0F92"/>
    <w:rsid w:val="4FBA7B2E"/>
    <w:rsid w:val="4FCD544B"/>
    <w:rsid w:val="4FF77255"/>
    <w:rsid w:val="50376EC1"/>
    <w:rsid w:val="50442E41"/>
    <w:rsid w:val="50EF1724"/>
    <w:rsid w:val="511104C5"/>
    <w:rsid w:val="51772403"/>
    <w:rsid w:val="5245097E"/>
    <w:rsid w:val="52575455"/>
    <w:rsid w:val="526F57C8"/>
    <w:rsid w:val="527B604B"/>
    <w:rsid w:val="53603363"/>
    <w:rsid w:val="537E765E"/>
    <w:rsid w:val="538E6122"/>
    <w:rsid w:val="543E18F6"/>
    <w:rsid w:val="54C811C0"/>
    <w:rsid w:val="54DE6C35"/>
    <w:rsid w:val="551E4A4E"/>
    <w:rsid w:val="55724DC3"/>
    <w:rsid w:val="55760C1C"/>
    <w:rsid w:val="55B335CC"/>
    <w:rsid w:val="55DB13C7"/>
    <w:rsid w:val="564662EE"/>
    <w:rsid w:val="565D20C7"/>
    <w:rsid w:val="57284198"/>
    <w:rsid w:val="57D22CC7"/>
    <w:rsid w:val="58003366"/>
    <w:rsid w:val="58C47EF0"/>
    <w:rsid w:val="58C90767"/>
    <w:rsid w:val="59032FB6"/>
    <w:rsid w:val="594D4389"/>
    <w:rsid w:val="597933D0"/>
    <w:rsid w:val="598946F7"/>
    <w:rsid w:val="59AF0BA0"/>
    <w:rsid w:val="59BC506B"/>
    <w:rsid w:val="5A4F276C"/>
    <w:rsid w:val="5A7871E4"/>
    <w:rsid w:val="5AE76A55"/>
    <w:rsid w:val="5AF63C2C"/>
    <w:rsid w:val="5B637E94"/>
    <w:rsid w:val="5B860B91"/>
    <w:rsid w:val="5B8928AC"/>
    <w:rsid w:val="5C2238AB"/>
    <w:rsid w:val="5C300B46"/>
    <w:rsid w:val="5C91170D"/>
    <w:rsid w:val="5CC44887"/>
    <w:rsid w:val="5E0707E8"/>
    <w:rsid w:val="5E343D6A"/>
    <w:rsid w:val="5E516DC3"/>
    <w:rsid w:val="5E836CBA"/>
    <w:rsid w:val="5EB93F9B"/>
    <w:rsid w:val="5ED131DB"/>
    <w:rsid w:val="5EEA61D6"/>
    <w:rsid w:val="5F2B2A77"/>
    <w:rsid w:val="5F6E1D2C"/>
    <w:rsid w:val="5FA82319"/>
    <w:rsid w:val="5FB05505"/>
    <w:rsid w:val="5FB76230"/>
    <w:rsid w:val="5FDC6B40"/>
    <w:rsid w:val="5FF437B1"/>
    <w:rsid w:val="60673F83"/>
    <w:rsid w:val="60A76AF7"/>
    <w:rsid w:val="60B10AFA"/>
    <w:rsid w:val="60FD670A"/>
    <w:rsid w:val="61265BEC"/>
    <w:rsid w:val="61483335"/>
    <w:rsid w:val="61A426B2"/>
    <w:rsid w:val="61CE3B8D"/>
    <w:rsid w:val="61D75138"/>
    <w:rsid w:val="624C78D4"/>
    <w:rsid w:val="62785DEC"/>
    <w:rsid w:val="62CD2097"/>
    <w:rsid w:val="62E3123D"/>
    <w:rsid w:val="64570A13"/>
    <w:rsid w:val="64810435"/>
    <w:rsid w:val="64FE29DC"/>
    <w:rsid w:val="65021D19"/>
    <w:rsid w:val="655D5954"/>
    <w:rsid w:val="65E55147"/>
    <w:rsid w:val="66372649"/>
    <w:rsid w:val="67222BCE"/>
    <w:rsid w:val="67533061"/>
    <w:rsid w:val="682B7F8C"/>
    <w:rsid w:val="68404A74"/>
    <w:rsid w:val="685A261F"/>
    <w:rsid w:val="68AF64C7"/>
    <w:rsid w:val="68B0082B"/>
    <w:rsid w:val="68C72CFE"/>
    <w:rsid w:val="68F840FA"/>
    <w:rsid w:val="6A2124C5"/>
    <w:rsid w:val="6AE54422"/>
    <w:rsid w:val="6BA92830"/>
    <w:rsid w:val="6BD154E6"/>
    <w:rsid w:val="6C0E5BFA"/>
    <w:rsid w:val="6CDA3D2E"/>
    <w:rsid w:val="6D257FA0"/>
    <w:rsid w:val="6D400F45"/>
    <w:rsid w:val="6DC42A14"/>
    <w:rsid w:val="6DCE3893"/>
    <w:rsid w:val="6DD55F01"/>
    <w:rsid w:val="6F245233"/>
    <w:rsid w:val="6F854425"/>
    <w:rsid w:val="6F8D6E36"/>
    <w:rsid w:val="6FA14932"/>
    <w:rsid w:val="6FC974CE"/>
    <w:rsid w:val="6FE401BA"/>
    <w:rsid w:val="6FF10FE9"/>
    <w:rsid w:val="701778DC"/>
    <w:rsid w:val="70661C93"/>
    <w:rsid w:val="70A87041"/>
    <w:rsid w:val="70AE3508"/>
    <w:rsid w:val="71353C29"/>
    <w:rsid w:val="7189187F"/>
    <w:rsid w:val="71C172BE"/>
    <w:rsid w:val="71E075D7"/>
    <w:rsid w:val="71FA1A60"/>
    <w:rsid w:val="726B5B54"/>
    <w:rsid w:val="729F75AC"/>
    <w:rsid w:val="731F06ED"/>
    <w:rsid w:val="733C4DFB"/>
    <w:rsid w:val="73566279"/>
    <w:rsid w:val="73B66440"/>
    <w:rsid w:val="742A559B"/>
    <w:rsid w:val="746A1C1D"/>
    <w:rsid w:val="746C1710"/>
    <w:rsid w:val="74817FA7"/>
    <w:rsid w:val="74C829A2"/>
    <w:rsid w:val="75FB0F9D"/>
    <w:rsid w:val="76366479"/>
    <w:rsid w:val="76742AFE"/>
    <w:rsid w:val="76870A83"/>
    <w:rsid w:val="76A038F3"/>
    <w:rsid w:val="76B455F0"/>
    <w:rsid w:val="770B16B4"/>
    <w:rsid w:val="7715608F"/>
    <w:rsid w:val="786A065C"/>
    <w:rsid w:val="788A29CD"/>
    <w:rsid w:val="788E2CEB"/>
    <w:rsid w:val="78E35D19"/>
    <w:rsid w:val="790A599B"/>
    <w:rsid w:val="791800B8"/>
    <w:rsid w:val="79256331"/>
    <w:rsid w:val="792A55F5"/>
    <w:rsid w:val="793D367B"/>
    <w:rsid w:val="794C1B10"/>
    <w:rsid w:val="79553FFB"/>
    <w:rsid w:val="79AD6A52"/>
    <w:rsid w:val="79CB3751"/>
    <w:rsid w:val="79F006ED"/>
    <w:rsid w:val="7A2B7977"/>
    <w:rsid w:val="7A6A4943"/>
    <w:rsid w:val="7AC041A5"/>
    <w:rsid w:val="7AD54393"/>
    <w:rsid w:val="7AE2272C"/>
    <w:rsid w:val="7B2C2BB5"/>
    <w:rsid w:val="7BEB3862"/>
    <w:rsid w:val="7C376AA7"/>
    <w:rsid w:val="7C42333B"/>
    <w:rsid w:val="7C4466BB"/>
    <w:rsid w:val="7C9C679D"/>
    <w:rsid w:val="7CB73744"/>
    <w:rsid w:val="7CD23C96"/>
    <w:rsid w:val="7D140B97"/>
    <w:rsid w:val="7D731D61"/>
    <w:rsid w:val="7D87580C"/>
    <w:rsid w:val="7D965AF2"/>
    <w:rsid w:val="7D980636"/>
    <w:rsid w:val="7DF2480A"/>
    <w:rsid w:val="7E400DFB"/>
    <w:rsid w:val="7E437985"/>
    <w:rsid w:val="7E691D39"/>
    <w:rsid w:val="7E8F6E89"/>
    <w:rsid w:val="7EC62364"/>
    <w:rsid w:val="7EDE145C"/>
    <w:rsid w:val="7EEF1432"/>
    <w:rsid w:val="7F303C81"/>
    <w:rsid w:val="7FAF5848"/>
    <w:rsid w:val="7FCE2A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4"/>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5"/>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6"/>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7"/>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8"/>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9"/>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30"/>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1"/>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2"/>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3">
    <w:name w:val="Default Paragraph Font"/>
    <w:semiHidden/>
    <w:unhideWhenUsed/>
    <w:qFormat/>
    <w:uiPriority w:val="1"/>
  </w:style>
  <w:style w:type="table" w:default="1" w:styleId="21">
    <w:name w:val="Normal Table"/>
    <w:autoRedefine/>
    <w:semiHidden/>
    <w:unhideWhenUsed/>
    <w:qFormat/>
    <w:uiPriority w:val="99"/>
    <w:tblPr>
      <w:tblCellMar>
        <w:top w:w="0" w:type="dxa"/>
        <w:left w:w="108" w:type="dxa"/>
        <w:bottom w:w="0" w:type="dxa"/>
        <w:right w:w="108" w:type="dxa"/>
      </w:tblCellMar>
    </w:tblPr>
  </w:style>
  <w:style w:type="paragraph" w:styleId="11">
    <w:name w:val="Body Text"/>
    <w:basedOn w:val="1"/>
    <w:next w:val="1"/>
    <w:autoRedefine/>
    <w:semiHidden/>
    <w:unhideWhenUsed/>
    <w:qFormat/>
    <w:uiPriority w:val="99"/>
    <w:pPr>
      <w:spacing w:after="120"/>
    </w:pPr>
  </w:style>
  <w:style w:type="paragraph" w:styleId="12">
    <w:name w:val="Plain Text"/>
    <w:basedOn w:val="1"/>
    <w:autoRedefine/>
    <w:qFormat/>
    <w:uiPriority w:val="0"/>
    <w:rPr>
      <w:rFonts w:ascii="宋体" w:hAnsi="Courier New" w:cs="Courier New"/>
      <w:szCs w:val="21"/>
    </w:rPr>
  </w:style>
  <w:style w:type="paragraph" w:styleId="13">
    <w:name w:val="footer"/>
    <w:basedOn w:val="1"/>
    <w:link w:val="43"/>
    <w:autoRedefine/>
    <w:unhideWhenUsed/>
    <w:qFormat/>
    <w:uiPriority w:val="99"/>
    <w:pPr>
      <w:tabs>
        <w:tab w:val="center" w:pos="4153"/>
        <w:tab w:val="right" w:pos="8306"/>
      </w:tabs>
      <w:snapToGrid w:val="0"/>
      <w:jc w:val="left"/>
    </w:pPr>
    <w:rPr>
      <w:sz w:val="18"/>
      <w:szCs w:val="18"/>
    </w:rPr>
  </w:style>
  <w:style w:type="paragraph" w:styleId="14">
    <w:name w:val="header"/>
    <w:basedOn w:val="1"/>
    <w:link w:val="42"/>
    <w:unhideWhenUsed/>
    <w:qFormat/>
    <w:uiPriority w:val="99"/>
    <w:pPr>
      <w:tabs>
        <w:tab w:val="center" w:pos="4153"/>
        <w:tab w:val="right" w:pos="8306"/>
      </w:tabs>
      <w:snapToGrid w:val="0"/>
      <w:jc w:val="center"/>
    </w:pPr>
    <w:rPr>
      <w:sz w:val="18"/>
      <w:szCs w:val="18"/>
    </w:rPr>
  </w:style>
  <w:style w:type="paragraph" w:styleId="15">
    <w:name w:val="toc 1"/>
    <w:basedOn w:val="1"/>
    <w:next w:val="1"/>
    <w:semiHidden/>
    <w:qFormat/>
    <w:uiPriority w:val="0"/>
    <w:rPr>
      <w:rFonts w:ascii="Calibri" w:hAnsi="Calibri"/>
    </w:rPr>
  </w:style>
  <w:style w:type="paragraph" w:styleId="16">
    <w:name w:val="Subtitle"/>
    <w:basedOn w:val="1"/>
    <w:next w:val="1"/>
    <w:link w:val="34"/>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Body Text 2"/>
    <w:basedOn w:val="1"/>
    <w:autoRedefine/>
    <w:qFormat/>
    <w:uiPriority w:val="0"/>
    <w:pPr>
      <w:widowControl w:val="0"/>
      <w:kinsoku/>
      <w:autoSpaceDE/>
      <w:autoSpaceDN/>
      <w:spacing w:line="600" w:lineRule="exact"/>
      <w:ind w:left="1280" w:hanging="1280" w:hangingChars="400"/>
      <w:textAlignment w:val="auto"/>
    </w:pPr>
  </w:style>
  <w:style w:type="paragraph" w:styleId="18">
    <w:name w:val="Normal (Web)"/>
    <w:basedOn w:val="1"/>
    <w:autoRedefine/>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3"/>
    <w:autoRedefine/>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20">
    <w:name w:val="Body Text First Indent"/>
    <w:basedOn w:val="11"/>
    <w:qFormat/>
    <w:uiPriority w:val="0"/>
    <w:pPr>
      <w:spacing w:after="0"/>
      <w:ind w:firstLine="420" w:firstLineChars="100"/>
    </w:pPr>
    <w:rPr>
      <w:rFonts w:cs="Times New Roman"/>
    </w:rPr>
  </w:style>
  <w:style w:type="table" w:styleId="22">
    <w:name w:val="Table Grid"/>
    <w:basedOn w:val="21"/>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4">
    <w:name w:val="标题 1 字符"/>
    <w:basedOn w:val="23"/>
    <w:link w:val="2"/>
    <w:autoRedefine/>
    <w:qFormat/>
    <w:uiPriority w:val="9"/>
    <w:rPr>
      <w:rFonts w:asciiTheme="majorHAnsi" w:hAnsiTheme="majorHAnsi" w:eastAsiaTheme="majorEastAsia" w:cstheme="majorBidi"/>
      <w:color w:val="104862" w:themeColor="accent1" w:themeShade="BF"/>
      <w:sz w:val="48"/>
      <w:szCs w:val="48"/>
    </w:rPr>
  </w:style>
  <w:style w:type="character" w:customStyle="1" w:styleId="25">
    <w:name w:val="标题 2 字符"/>
    <w:basedOn w:val="23"/>
    <w:link w:val="3"/>
    <w:autoRedefine/>
    <w:qFormat/>
    <w:uiPriority w:val="9"/>
    <w:rPr>
      <w:rFonts w:asciiTheme="majorHAnsi" w:hAnsiTheme="majorHAnsi" w:eastAsiaTheme="majorEastAsia" w:cstheme="majorBidi"/>
      <w:color w:val="104862" w:themeColor="accent1" w:themeShade="BF"/>
      <w:sz w:val="40"/>
      <w:szCs w:val="40"/>
    </w:rPr>
  </w:style>
  <w:style w:type="character" w:customStyle="1" w:styleId="26">
    <w:name w:val="标题 3 字符"/>
    <w:basedOn w:val="23"/>
    <w:link w:val="4"/>
    <w:autoRedefine/>
    <w:qFormat/>
    <w:uiPriority w:val="9"/>
    <w:rPr>
      <w:rFonts w:asciiTheme="majorHAnsi" w:hAnsiTheme="majorHAnsi" w:eastAsiaTheme="majorEastAsia" w:cstheme="majorBidi"/>
      <w:color w:val="104862" w:themeColor="accent1" w:themeShade="BF"/>
      <w:sz w:val="32"/>
      <w:szCs w:val="32"/>
    </w:rPr>
  </w:style>
  <w:style w:type="character" w:customStyle="1" w:styleId="27">
    <w:name w:val="标题 4 字符"/>
    <w:basedOn w:val="23"/>
    <w:link w:val="5"/>
    <w:autoRedefine/>
    <w:semiHidden/>
    <w:qFormat/>
    <w:uiPriority w:val="9"/>
    <w:rPr>
      <w:rFonts w:cstheme="majorBidi"/>
      <w:color w:val="104862" w:themeColor="accent1" w:themeShade="BF"/>
      <w:sz w:val="28"/>
      <w:szCs w:val="28"/>
    </w:rPr>
  </w:style>
  <w:style w:type="character" w:customStyle="1" w:styleId="28">
    <w:name w:val="标题 5 字符"/>
    <w:basedOn w:val="23"/>
    <w:link w:val="6"/>
    <w:autoRedefine/>
    <w:semiHidden/>
    <w:qFormat/>
    <w:uiPriority w:val="9"/>
    <w:rPr>
      <w:rFonts w:cstheme="majorBidi"/>
      <w:color w:val="104862" w:themeColor="accent1" w:themeShade="BF"/>
      <w:sz w:val="24"/>
      <w:szCs w:val="24"/>
    </w:rPr>
  </w:style>
  <w:style w:type="character" w:customStyle="1" w:styleId="29">
    <w:name w:val="标题 6 字符"/>
    <w:basedOn w:val="23"/>
    <w:link w:val="7"/>
    <w:autoRedefine/>
    <w:semiHidden/>
    <w:qFormat/>
    <w:uiPriority w:val="9"/>
    <w:rPr>
      <w:rFonts w:cstheme="majorBidi"/>
      <w:b/>
      <w:bCs/>
      <w:color w:val="104862" w:themeColor="accent1" w:themeShade="BF"/>
    </w:rPr>
  </w:style>
  <w:style w:type="character" w:customStyle="1" w:styleId="30">
    <w:name w:val="标题 7 字符"/>
    <w:basedOn w:val="23"/>
    <w:link w:val="8"/>
    <w:autoRedefine/>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1">
    <w:name w:val="标题 8 字符"/>
    <w:basedOn w:val="23"/>
    <w:link w:val="9"/>
    <w:autoRedefine/>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2">
    <w:name w:val="标题 9 字符"/>
    <w:basedOn w:val="23"/>
    <w:link w:val="10"/>
    <w:autoRedefine/>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3">
    <w:name w:val="标题 字符"/>
    <w:basedOn w:val="23"/>
    <w:link w:val="19"/>
    <w:autoRedefine/>
    <w:qFormat/>
    <w:uiPriority w:val="10"/>
    <w:rPr>
      <w:rFonts w:asciiTheme="majorHAnsi" w:hAnsiTheme="majorHAnsi" w:eastAsiaTheme="majorEastAsia" w:cstheme="majorBidi"/>
      <w:spacing w:val="-10"/>
      <w:kern w:val="28"/>
      <w:sz w:val="56"/>
      <w:szCs w:val="56"/>
    </w:rPr>
  </w:style>
  <w:style w:type="character" w:customStyle="1" w:styleId="34">
    <w:name w:val="副标题 字符"/>
    <w:basedOn w:val="23"/>
    <w:link w:val="16"/>
    <w:autoRedefine/>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5">
    <w:name w:val="Quote"/>
    <w:basedOn w:val="1"/>
    <w:next w:val="1"/>
    <w:link w:val="36"/>
    <w:autoRedefine/>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6">
    <w:name w:val="引用 字符"/>
    <w:basedOn w:val="23"/>
    <w:link w:val="35"/>
    <w:autoRedefine/>
    <w:qFormat/>
    <w:uiPriority w:val="29"/>
    <w:rPr>
      <w:i/>
      <w:iCs/>
      <w:color w:val="404040" w:themeColor="text1" w:themeTint="BF"/>
      <w14:textFill>
        <w14:solidFill>
          <w14:schemeClr w14:val="tx1">
            <w14:lumMod w14:val="75000"/>
            <w14:lumOff w14:val="25000"/>
          </w14:schemeClr>
        </w14:solidFill>
      </w14:textFill>
    </w:rPr>
  </w:style>
  <w:style w:type="paragraph" w:styleId="37">
    <w:name w:val="List Paragraph"/>
    <w:basedOn w:val="1"/>
    <w:autoRedefine/>
    <w:qFormat/>
    <w:uiPriority w:val="34"/>
    <w:pPr>
      <w:ind w:left="720"/>
      <w:contextualSpacing/>
    </w:pPr>
  </w:style>
  <w:style w:type="character" w:customStyle="1" w:styleId="38">
    <w:name w:val="Intense Emphasis"/>
    <w:basedOn w:val="23"/>
    <w:autoRedefine/>
    <w:qFormat/>
    <w:uiPriority w:val="21"/>
    <w:rPr>
      <w:i/>
      <w:iCs/>
      <w:color w:val="104862" w:themeColor="accent1" w:themeShade="BF"/>
    </w:rPr>
  </w:style>
  <w:style w:type="paragraph" w:styleId="39">
    <w:name w:val="Intense Quote"/>
    <w:basedOn w:val="1"/>
    <w:next w:val="1"/>
    <w:link w:val="40"/>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0">
    <w:name w:val="明显引用 字符"/>
    <w:basedOn w:val="23"/>
    <w:link w:val="39"/>
    <w:autoRedefine/>
    <w:qFormat/>
    <w:uiPriority w:val="30"/>
    <w:rPr>
      <w:i/>
      <w:iCs/>
      <w:color w:val="104862" w:themeColor="accent1" w:themeShade="BF"/>
    </w:rPr>
  </w:style>
  <w:style w:type="character" w:customStyle="1" w:styleId="41">
    <w:name w:val="Intense Reference"/>
    <w:basedOn w:val="23"/>
    <w:autoRedefine/>
    <w:qFormat/>
    <w:uiPriority w:val="32"/>
    <w:rPr>
      <w:b/>
      <w:bCs/>
      <w:smallCaps/>
      <w:color w:val="104862" w:themeColor="accent1" w:themeShade="BF"/>
      <w:spacing w:val="5"/>
    </w:rPr>
  </w:style>
  <w:style w:type="character" w:customStyle="1" w:styleId="42">
    <w:name w:val="页眉 字符"/>
    <w:basedOn w:val="23"/>
    <w:link w:val="14"/>
    <w:autoRedefine/>
    <w:qFormat/>
    <w:uiPriority w:val="99"/>
    <w:rPr>
      <w:sz w:val="18"/>
      <w:szCs w:val="18"/>
    </w:rPr>
  </w:style>
  <w:style w:type="character" w:customStyle="1" w:styleId="43">
    <w:name w:val="页脚 字符"/>
    <w:basedOn w:val="23"/>
    <w:link w:val="13"/>
    <w:qFormat/>
    <w:uiPriority w:val="99"/>
    <w:rPr>
      <w:sz w:val="18"/>
      <w:szCs w:val="18"/>
    </w:rPr>
  </w:style>
  <w:style w:type="paragraph" w:customStyle="1" w:styleId="44">
    <w:name w:val="样式"/>
    <w:autoRedefine/>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45">
    <w:name w:val="font11"/>
    <w:basedOn w:val="23"/>
    <w:autoRedefine/>
    <w:qFormat/>
    <w:uiPriority w:val="0"/>
    <w:rPr>
      <w:rFonts w:hint="eastAsia" w:ascii="仿宋_GB2312" w:eastAsia="仿宋_GB2312" w:cs="仿宋_GB2312"/>
      <w:color w:val="000000"/>
      <w:sz w:val="22"/>
      <w:szCs w:val="22"/>
      <w:u w:val="none"/>
    </w:rPr>
  </w:style>
  <w:style w:type="paragraph" w:customStyle="1" w:styleId="46">
    <w:name w:val="Table Text"/>
    <w:basedOn w:val="1"/>
    <w:autoRedefine/>
    <w:semiHidden/>
    <w:qFormat/>
    <w:uiPriority w:val="0"/>
    <w:rPr>
      <w:rFonts w:ascii="宋体" w:hAnsi="宋体" w:eastAsia="宋体" w:cs="宋体"/>
      <w:sz w:val="24"/>
      <w:szCs w:val="24"/>
      <w:lang w:val="en-US" w:eastAsia="en-US" w:bidi="ar-SA"/>
    </w:rPr>
  </w:style>
  <w:style w:type="table" w:customStyle="1" w:styleId="47">
    <w:name w:val="Table Normal"/>
    <w:autoRedefine/>
    <w:unhideWhenUsed/>
    <w:qFormat/>
    <w:uiPriority w:val="0"/>
    <w:tblPr>
      <w:tblCellMar>
        <w:top w:w="0" w:type="dxa"/>
        <w:left w:w="0" w:type="dxa"/>
        <w:bottom w:w="0" w:type="dxa"/>
        <w:right w:w="0" w:type="dxa"/>
      </w:tblCellMar>
    </w:tblPr>
  </w:style>
  <w:style w:type="paragraph" w:customStyle="1" w:styleId="48">
    <w:name w:val="普通(网站)1"/>
    <w:basedOn w:val="1"/>
    <w:autoRedefine/>
    <w:qFormat/>
    <w:uiPriority w:val="0"/>
    <w:pPr>
      <w:widowControl/>
      <w:spacing w:beforeAutospacing="1" w:afterAutospacing="1"/>
      <w:jc w:val="left"/>
    </w:pPr>
    <w:rPr>
      <w:rFonts w:ascii="宋体" w:hAnsi="宋体" w:eastAsia="宋体" w:cs="宋体"/>
      <w:kern w:val="0"/>
      <w:sz w:val="24"/>
      <w:szCs w:val="24"/>
    </w:rPr>
  </w:style>
  <w:style w:type="character" w:customStyle="1" w:styleId="49">
    <w:name w:val="font41"/>
    <w:basedOn w:val="23"/>
    <w:autoRedefine/>
    <w:qFormat/>
    <w:uiPriority w:val="0"/>
    <w:rPr>
      <w:rFonts w:hint="eastAsia" w:ascii="宋体" w:hAnsi="宋体" w:eastAsia="宋体" w:cs="宋体"/>
      <w:color w:val="000000"/>
      <w:sz w:val="24"/>
      <w:szCs w:val="24"/>
      <w:u w:val="none"/>
    </w:rPr>
  </w:style>
  <w:style w:type="character" w:customStyle="1" w:styleId="50">
    <w:name w:val="font61"/>
    <w:basedOn w:val="23"/>
    <w:autoRedefine/>
    <w:qFormat/>
    <w:uiPriority w:val="0"/>
    <w:rPr>
      <w:rFonts w:hint="default" w:ascii="Arial" w:hAnsi="Arial" w:cs="Aria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1878</Words>
  <Characters>2043</Characters>
  <Lines>25</Lines>
  <Paragraphs>7</Paragraphs>
  <TotalTime>0</TotalTime>
  <ScaleCrop>false</ScaleCrop>
  <LinksUpToDate>false</LinksUpToDate>
  <CharactersWithSpaces>2074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2024-01-21T12:35:00Z</dcterms:created>
  <dc:creator>a15280976656@outlook.com</dc:creator>
  <cp:lastModifiedBy>wang</cp:lastModifiedBy>
  <cp:lastPrinted>2024-06-07T04:39:00Z</cp:lastPrinted>
  <dcterms:modified xsi:type="dcterms:W3CDTF">2024-06-11T07:17:33Z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94CF98BADB484982AD7942432F264B38</vt:lpwstr>
  </property>
</Properties>
</file>