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both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jc w:val="center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九洲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财务</w:t>
      </w:r>
      <w:r>
        <w:rPr>
          <w:rFonts w:hint="eastAsia" w:ascii="仿宋_GB2312" w:eastAsia="仿宋_GB2312"/>
          <w:sz w:val="32"/>
          <w:szCs w:val="32"/>
          <w:highlight w:val="none"/>
        </w:rPr>
        <w:t>〔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〕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  <w:highlight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关于融资及担保借款管理办法备案的报告</w:t>
      </w: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绵阳市国有资产监督管理委员会：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我司2024年第25次党委会研究、2024年董事会第9次会议审议，完成对《四川九洲投资控股集团有限公司融资及担保借款管理办法》的修订。现按照《绵阳市市属国有企业投融资及担保管理暂行办法》相关规定，向贵委备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特此报告。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附件：1.党委会纪要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80" w:leftChars="0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2.董事会决议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3.四川九洲投资控股集团有限公司融资及担保借款管理办法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520" w:firstLineChars="1100"/>
        <w:jc w:val="lef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四川九洲投资控股集团有限公司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438" w:rightChars="685"/>
        <w:jc w:val="righ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438" w:rightChars="685"/>
        <w:jc w:val="right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1438" w:rightChars="685"/>
        <w:jc w:val="both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</w:p>
    <w:tbl>
      <w:tblPr>
        <w:tblStyle w:val="3"/>
        <w:tblW w:w="8833" w:type="dxa"/>
        <w:tblInd w:w="12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3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10" w:leftChars="100" w:right="210" w:rightChars="100"/>
              <w:jc w:val="right"/>
              <w:textAlignment w:val="auto"/>
              <w:rPr>
                <w:rFonts w:hint="eastAsia"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 xml:space="preserve">公司办                        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eastAsia="zh-CN"/>
              </w:rPr>
              <w:t>202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日印发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right="315" w:rightChars="15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（共印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份）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644ED"/>
    <w:rsid w:val="0FF662A3"/>
    <w:rsid w:val="2897609D"/>
    <w:rsid w:val="2C4622BF"/>
    <w:rsid w:val="5F3519A2"/>
    <w:rsid w:val="6050602D"/>
    <w:rsid w:val="7DD11A9D"/>
    <w:rsid w:val="97DE7D37"/>
    <w:rsid w:val="EDF729B5"/>
    <w:rsid w:val="EFF7FB10"/>
    <w:rsid w:val="FEFBFE27"/>
    <w:rsid w:val="FF97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600" w:lineRule="exact"/>
      <w:ind w:left="1280" w:hanging="1280" w:hanging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73</TotalTime>
  <ScaleCrop>false</ScaleCrop>
  <LinksUpToDate>false</LinksUpToDate>
  <CharactersWithSpaces>0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DuYan</dc:creator>
  <cp:lastModifiedBy>无忧</cp:lastModifiedBy>
  <dcterms:modified xsi:type="dcterms:W3CDTF">2024-09-10T13:28:05Z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